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7E878">
      <w:pPr>
        <w:spacing w:line="276" w:lineRule="auto"/>
        <w:jc w:val="center"/>
        <w:rPr>
          <w:rFonts w:ascii="宋体" w:hAnsi="宋体" w:cs="Calibri"/>
          <w:b/>
          <w:sz w:val="44"/>
          <w:szCs w:val="20"/>
        </w:rPr>
      </w:pPr>
    </w:p>
    <w:p w14:paraId="06C1C817">
      <w:pPr>
        <w:spacing w:line="276" w:lineRule="auto"/>
        <w:jc w:val="center"/>
        <w:rPr>
          <w:rFonts w:ascii="黑体" w:hAnsi="黑体" w:eastAsia="黑体" w:cs="黑体"/>
          <w:sz w:val="52"/>
          <w:szCs w:val="52"/>
        </w:rPr>
      </w:pPr>
      <w:r>
        <w:rPr>
          <w:rFonts w:hint="eastAsia" w:ascii="黑体" w:hAnsi="黑体" w:eastAsia="黑体" w:cs="黑体"/>
          <w:sz w:val="52"/>
          <w:szCs w:val="52"/>
        </w:rPr>
        <w:t>深圳第一亚太物业管理有限公司</w:t>
      </w:r>
    </w:p>
    <w:p w14:paraId="3059A759">
      <w:pPr>
        <w:spacing w:line="276" w:lineRule="auto"/>
        <w:jc w:val="center"/>
        <w:rPr>
          <w:rFonts w:ascii="黑体" w:hAnsi="黑体" w:eastAsia="黑体" w:cs="黑体"/>
          <w:b/>
          <w:sz w:val="48"/>
          <w:szCs w:val="20"/>
        </w:rPr>
      </w:pPr>
    </w:p>
    <w:p w14:paraId="1D5F4A22">
      <w:pPr>
        <w:spacing w:line="276" w:lineRule="auto"/>
        <w:jc w:val="center"/>
        <w:rPr>
          <w:rFonts w:ascii="黑体" w:hAnsi="黑体" w:eastAsia="黑体" w:cs="黑体"/>
          <w:b/>
          <w:sz w:val="48"/>
        </w:rPr>
      </w:pPr>
    </w:p>
    <w:p w14:paraId="7D7817E8">
      <w:pPr>
        <w:spacing w:line="276" w:lineRule="auto"/>
        <w:jc w:val="center"/>
        <w:rPr>
          <w:rFonts w:ascii="黑体" w:hAnsi="黑体" w:eastAsia="黑体" w:cs="黑体"/>
          <w:sz w:val="72"/>
          <w:szCs w:val="72"/>
        </w:rPr>
      </w:pPr>
      <w:r>
        <w:rPr>
          <w:rFonts w:hint="eastAsia" w:ascii="黑体" w:hAnsi="黑体" w:eastAsia="黑体" w:cs="黑体"/>
          <w:sz w:val="72"/>
          <w:szCs w:val="72"/>
        </w:rPr>
        <w:t>非依法必须招标项目</w:t>
      </w:r>
    </w:p>
    <w:p w14:paraId="2C16F82E">
      <w:pPr>
        <w:spacing w:line="276" w:lineRule="auto"/>
        <w:jc w:val="center"/>
        <w:rPr>
          <w:rFonts w:ascii="黑体" w:hAnsi="黑体" w:eastAsia="黑体" w:cs="黑体"/>
          <w:sz w:val="72"/>
          <w:szCs w:val="72"/>
        </w:rPr>
      </w:pPr>
      <w:r>
        <w:rPr>
          <w:rFonts w:hint="eastAsia" w:ascii="黑体" w:hAnsi="黑体" w:eastAsia="黑体" w:cs="黑体"/>
          <w:sz w:val="72"/>
          <w:szCs w:val="72"/>
        </w:rPr>
        <w:t>服务类招标文件</w:t>
      </w:r>
    </w:p>
    <w:p w14:paraId="0D81B6FA">
      <w:pPr>
        <w:spacing w:line="276" w:lineRule="auto"/>
        <w:jc w:val="center"/>
        <w:rPr>
          <w:rFonts w:ascii="宋体" w:hAnsi="宋体" w:cs="黑体"/>
          <w:b/>
          <w:sz w:val="72"/>
          <w:szCs w:val="20"/>
        </w:rPr>
      </w:pPr>
    </w:p>
    <w:p w14:paraId="356B3FA2">
      <w:pPr>
        <w:spacing w:line="276" w:lineRule="auto"/>
        <w:jc w:val="center"/>
        <w:rPr>
          <w:rFonts w:ascii="宋体" w:hAnsi="宋体" w:cs="黑体"/>
          <w:b/>
          <w:sz w:val="72"/>
        </w:rPr>
      </w:pPr>
    </w:p>
    <w:p w14:paraId="4BC3EC10">
      <w:pPr>
        <w:spacing w:line="276" w:lineRule="auto"/>
        <w:rPr>
          <w:rFonts w:ascii="宋体" w:hAnsi="宋体" w:cs="黑体"/>
          <w:b/>
          <w:sz w:val="72"/>
        </w:rPr>
      </w:pPr>
    </w:p>
    <w:p w14:paraId="0A37CC2F">
      <w:pPr>
        <w:spacing w:line="276" w:lineRule="auto"/>
        <w:ind w:firstLine="31680"/>
        <w:jc w:val="center"/>
        <w:rPr>
          <w:rFonts w:ascii="宋体" w:hAnsi="宋体" w:cs="黑体"/>
          <w:b/>
          <w:sz w:val="44"/>
        </w:rPr>
      </w:pPr>
    </w:p>
    <w:p w14:paraId="1B50191F">
      <w:pPr>
        <w:spacing w:line="276" w:lineRule="auto"/>
        <w:ind w:left="-30076"/>
        <w:rPr>
          <w:rFonts w:ascii="宋体" w:hAnsi="宋体" w:cs="Calibri"/>
          <w:b/>
          <w:sz w:val="44"/>
        </w:rPr>
      </w:pPr>
    </w:p>
    <w:p w14:paraId="2281C557">
      <w:pPr>
        <w:spacing w:line="360" w:lineRule="auto"/>
        <w:ind w:firstLine="320" w:firstLineChars="100"/>
        <w:rPr>
          <w:rFonts w:hint="default" w:ascii="仿宋" w:hAnsi="仿宋" w:eastAsia="黑体" w:cs="宋体"/>
          <w:bCs/>
          <w:sz w:val="32"/>
          <w:szCs w:val="32"/>
          <w:u w:val="single"/>
          <w:lang w:val="en-US" w:eastAsia="zh-CN"/>
        </w:rPr>
      </w:pPr>
      <w:r>
        <w:rPr>
          <w:rFonts w:hint="eastAsia" w:ascii="黑体" w:hAnsi="黑体" w:eastAsia="黑体" w:cs="黑体"/>
          <w:sz w:val="32"/>
          <w:szCs w:val="32"/>
        </w:rPr>
        <w:t>招标项目名称：</w:t>
      </w:r>
      <w:r>
        <w:rPr>
          <w:rFonts w:hint="eastAsia" w:ascii="仿宋" w:hAnsi="仿宋" w:eastAsia="仿宋" w:cs="宋体"/>
          <w:bCs/>
          <w:sz w:val="32"/>
          <w:szCs w:val="32"/>
          <w:u w:val="single"/>
          <w:lang w:val="en-US" w:eastAsia="zh-CN"/>
        </w:rPr>
        <w:t>深圳华南城一期市场阳光棚维修工程</w:t>
      </w:r>
    </w:p>
    <w:p w14:paraId="2CAAC8DF">
      <w:pPr>
        <w:spacing w:line="360" w:lineRule="auto"/>
        <w:ind w:firstLine="320" w:firstLineChars="100"/>
        <w:rPr>
          <w:rFonts w:ascii="仿宋" w:hAnsi="仿宋" w:eastAsia="仿宋" w:cs="仿宋"/>
          <w:sz w:val="32"/>
          <w:szCs w:val="32"/>
          <w:u w:val="single"/>
        </w:rPr>
      </w:pPr>
      <w:r>
        <w:rPr>
          <w:rFonts w:hint="eastAsia" w:ascii="黑体" w:hAnsi="黑体" w:eastAsia="黑体" w:cs="黑体"/>
          <w:sz w:val="32"/>
          <w:szCs w:val="32"/>
        </w:rPr>
        <w:t xml:space="preserve">项 目 地 点： </w:t>
      </w:r>
      <w:r>
        <w:rPr>
          <w:rFonts w:hint="eastAsia" w:ascii="仿宋" w:hAnsi="仿宋" w:eastAsia="仿宋" w:cs="宋体"/>
          <w:bCs/>
          <w:sz w:val="32"/>
          <w:szCs w:val="32"/>
          <w:u w:val="single"/>
          <w:lang w:val="en-US" w:eastAsia="zh-CN"/>
        </w:rPr>
        <w:t>深圳市龙岗区平湖街道华南大道一号</w:t>
      </w:r>
    </w:p>
    <w:p w14:paraId="206579C0">
      <w:pPr>
        <w:spacing w:line="360" w:lineRule="auto"/>
        <w:ind w:firstLine="320" w:firstLineChars="100"/>
        <w:rPr>
          <w:rFonts w:ascii="黑体" w:hAnsi="黑体" w:eastAsia="黑体" w:cs="黑体"/>
          <w:sz w:val="32"/>
          <w:szCs w:val="20"/>
          <w:u w:val="single"/>
        </w:rPr>
      </w:pPr>
      <w:r>
        <w:rPr>
          <w:rFonts w:hint="eastAsia" w:ascii="黑体" w:hAnsi="黑体" w:eastAsia="黑体" w:cs="黑体"/>
          <w:sz w:val="32"/>
        </w:rPr>
        <w:t>招   标  人：</w:t>
      </w:r>
      <w:r>
        <w:rPr>
          <w:rFonts w:hint="eastAsia" w:ascii="仿宋" w:hAnsi="仿宋" w:eastAsia="仿宋" w:cs="仿宋"/>
          <w:sz w:val="32"/>
          <w:szCs w:val="32"/>
          <w:u w:val="single"/>
        </w:rPr>
        <w:t>深圳第一亚太物业管理有限公司</w:t>
      </w:r>
      <w:r>
        <w:rPr>
          <w:rFonts w:hint="eastAsia" w:ascii="仿宋" w:hAnsi="仿宋" w:eastAsia="仿宋" w:cs="宋体"/>
          <w:bCs/>
          <w:sz w:val="32"/>
          <w:szCs w:val="32"/>
          <w:u w:val="single"/>
        </w:rPr>
        <w:t>深圳</w:t>
      </w:r>
      <w:r>
        <w:rPr>
          <w:rFonts w:hint="eastAsia" w:ascii="仿宋" w:hAnsi="仿宋" w:eastAsia="仿宋" w:cs="仿宋"/>
          <w:sz w:val="32"/>
          <w:szCs w:val="32"/>
          <w:u w:val="single"/>
        </w:rPr>
        <w:t>分公司</w:t>
      </w:r>
    </w:p>
    <w:p w14:paraId="1595554D">
      <w:pPr>
        <w:spacing w:line="360" w:lineRule="auto"/>
        <w:jc w:val="center"/>
        <w:rPr>
          <w:rFonts w:ascii="黑体" w:hAnsi="黑体" w:eastAsia="黑体" w:cs="黑体"/>
          <w:sz w:val="32"/>
        </w:rPr>
      </w:pPr>
    </w:p>
    <w:p w14:paraId="22CE9EC8">
      <w:pPr>
        <w:spacing w:line="360" w:lineRule="auto"/>
        <w:jc w:val="center"/>
        <w:rPr>
          <w:rFonts w:ascii="黑体" w:hAnsi="黑体" w:eastAsia="黑体" w:cs="黑体"/>
          <w:sz w:val="32"/>
        </w:rPr>
      </w:pPr>
    </w:p>
    <w:p w14:paraId="7FBEFD1C">
      <w:pPr>
        <w:spacing w:line="360" w:lineRule="auto"/>
        <w:jc w:val="center"/>
        <w:rPr>
          <w:rFonts w:ascii="黑体" w:hAnsi="黑体" w:eastAsia="黑体" w:cs="黑体"/>
          <w:sz w:val="32"/>
        </w:rPr>
      </w:pPr>
    </w:p>
    <w:p w14:paraId="0CACD6EA">
      <w:pPr>
        <w:spacing w:line="360" w:lineRule="auto"/>
        <w:jc w:val="center"/>
        <w:rPr>
          <w:rFonts w:ascii="黑体" w:hAnsi="黑体" w:eastAsia="黑体" w:cs="黑体"/>
          <w:sz w:val="32"/>
        </w:rPr>
      </w:pPr>
    </w:p>
    <w:sdt>
      <w:sdtPr>
        <w:rPr>
          <w:rFonts w:ascii="Times New Roman" w:hAnsi="Times New Roman" w:eastAsia="宋体" w:cs="Times New Roman"/>
          <w:color w:val="auto"/>
          <w:kern w:val="2"/>
          <w:sz w:val="21"/>
          <w:szCs w:val="24"/>
          <w:lang w:val="zh-CN"/>
        </w:rPr>
        <w:id w:val="17114981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0CC5CC3C">
          <w:pPr>
            <w:pStyle w:val="188"/>
            <w:snapToGrid w:val="0"/>
            <w:spacing w:before="0" w:line="360" w:lineRule="exact"/>
            <w:ind w:firstLine="4305" w:firstLineChars="2050"/>
            <w:rPr>
              <w:rFonts w:ascii="黑体" w:hAnsi="黑体" w:eastAsia="黑体"/>
              <w:b/>
              <w:color w:val="000000" w:themeColor="text1"/>
              <w:lang w:val="zh-CN"/>
              <w14:textFill>
                <w14:solidFill>
                  <w14:schemeClr w14:val="tx1"/>
                </w14:solidFill>
              </w14:textFill>
            </w:rPr>
          </w:pPr>
          <w:r>
            <w:rPr>
              <w:rFonts w:ascii="黑体" w:hAnsi="黑体" w:eastAsia="黑体"/>
              <w:b/>
              <w:color w:val="000000" w:themeColor="text1"/>
              <w:lang w:val="zh-CN"/>
              <w14:textFill>
                <w14:solidFill>
                  <w14:schemeClr w14:val="tx1"/>
                </w14:solidFill>
              </w14:textFill>
            </w:rPr>
            <w:t>目录</w:t>
          </w:r>
        </w:p>
        <w:p w14:paraId="6514677D">
          <w:pPr>
            <w:snapToGrid w:val="0"/>
            <w:spacing w:line="360" w:lineRule="exact"/>
            <w:rPr>
              <w:lang w:val="zh-CN"/>
            </w:rPr>
          </w:pPr>
        </w:p>
        <w:p w14:paraId="379A4894">
          <w:pPr>
            <w:snapToGrid w:val="0"/>
            <w:spacing w:line="360" w:lineRule="exact"/>
            <w:rPr>
              <w:lang w:val="zh-CN"/>
            </w:rPr>
          </w:pPr>
        </w:p>
        <w:p w14:paraId="57316859">
          <w:pPr>
            <w:pStyle w:val="28"/>
            <w:tabs>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"_Toc228364641" </w:instrText>
          </w:r>
          <w:r>
            <w:fldChar w:fldCharType="separate"/>
          </w:r>
          <w:r>
            <w:rPr>
              <w:rStyle w:val="46"/>
              <w:rFonts w:hint="eastAsia" w:ascii="黑体" w:hAnsi="黑体" w:eastAsia="黑体" w:cs="黑体"/>
              <w:b/>
              <w:szCs w:val="21"/>
            </w:rPr>
            <w:t>第一章</w:t>
          </w:r>
          <w:r>
            <w:rPr>
              <w:rStyle w:val="46"/>
              <w:rFonts w:ascii="黑体" w:hAnsi="黑体" w:eastAsia="黑体" w:cs="宋体"/>
              <w:b/>
              <w:szCs w:val="21"/>
            </w:rPr>
            <w:t xml:space="preserve">  </w:t>
          </w:r>
          <w:r>
            <w:rPr>
              <w:rStyle w:val="46"/>
              <w:rFonts w:hint="eastAsia" w:ascii="黑体" w:hAnsi="黑体" w:eastAsia="黑体" w:cs="黑体"/>
              <w:b/>
              <w:szCs w:val="21"/>
            </w:rPr>
            <w:t>致投标人</w:t>
          </w:r>
          <w:r>
            <w:tab/>
          </w:r>
          <w:r>
            <w:fldChar w:fldCharType="begin"/>
          </w:r>
          <w:r>
            <w:instrText xml:space="preserve"> PAGEREF _Toc228364641 \h </w:instrText>
          </w:r>
          <w:r>
            <w:fldChar w:fldCharType="separate"/>
          </w:r>
          <w:r>
            <w:t>3</w:t>
          </w:r>
          <w:r>
            <w:fldChar w:fldCharType="end"/>
          </w:r>
          <w:r>
            <w:fldChar w:fldCharType="end"/>
          </w:r>
        </w:p>
        <w:p w14:paraId="4904DA47">
          <w:pPr>
            <w:pStyle w:val="28"/>
            <w:tabs>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"_Toc228364642" </w:instrText>
          </w:r>
          <w:r>
            <w:fldChar w:fldCharType="separate"/>
          </w:r>
          <w:r>
            <w:rPr>
              <w:rStyle w:val="46"/>
              <w:rFonts w:hint="eastAsia" w:ascii="黑体" w:hAnsi="黑体" w:eastAsia="黑体"/>
              <w:b/>
              <w:szCs w:val="21"/>
            </w:rPr>
            <w:t>第二章</w:t>
          </w:r>
          <w:r>
            <w:rPr>
              <w:rStyle w:val="46"/>
              <w:rFonts w:ascii="黑体" w:hAnsi="黑体" w:eastAsia="黑体"/>
              <w:b/>
              <w:szCs w:val="21"/>
            </w:rPr>
            <w:t xml:space="preserve">  </w:t>
          </w:r>
          <w:r>
            <w:rPr>
              <w:rStyle w:val="46"/>
              <w:rFonts w:hint="eastAsia" w:ascii="黑体" w:hAnsi="黑体" w:eastAsia="黑体"/>
              <w:b/>
              <w:szCs w:val="21"/>
            </w:rPr>
            <w:t>投标须知</w:t>
          </w:r>
          <w:r>
            <w:tab/>
          </w:r>
          <w:r>
            <w:fldChar w:fldCharType="begin"/>
          </w:r>
          <w:r>
            <w:instrText xml:space="preserve"> PAGEREF _Toc228364642 \h </w:instrText>
          </w:r>
          <w:r>
            <w:fldChar w:fldCharType="separate"/>
          </w:r>
          <w:r>
            <w:t>5</w:t>
          </w:r>
          <w:r>
            <w:fldChar w:fldCharType="end"/>
          </w:r>
          <w:r>
            <w:fldChar w:fldCharType="end"/>
          </w:r>
        </w:p>
        <w:p w14:paraId="57A055F0">
          <w:pPr>
            <w:pStyle w:val="33"/>
            <w:tabs>
              <w:tab w:val="right" w:leader="dot" w:pos="9061"/>
            </w:tabs>
            <w:snapToGrid w:val="0"/>
            <w:spacing w:before="0" w:line="360" w:lineRule="exact"/>
            <w:rPr>
              <w:rFonts w:asciiTheme="minorHAnsi" w:hAnsiTheme="minorHAnsi" w:eastAsiaTheme="minorEastAsia" w:cstheme="minorBidi"/>
              <w:sz w:val="21"/>
              <w:szCs w:val="22"/>
            </w:rPr>
          </w:pPr>
          <w:r>
            <w:fldChar w:fldCharType="begin"/>
          </w:r>
          <w:r>
            <w:instrText xml:space="preserve"> HYPERLINK \l "_Toc228364643" </w:instrText>
          </w:r>
          <w:r>
            <w:fldChar w:fldCharType="separate"/>
          </w:r>
          <w:r>
            <w:rPr>
              <w:rStyle w:val="46"/>
              <w:rFonts w:hint="eastAsia" w:ascii="黑体" w:hAnsi="黑体" w:eastAsia="黑体"/>
              <w:b/>
              <w:sz w:val="21"/>
              <w:szCs w:val="21"/>
            </w:rPr>
            <w:t>一、投标须知前附件</w:t>
          </w:r>
          <w:r>
            <w:tab/>
          </w:r>
          <w:r>
            <w:fldChar w:fldCharType="begin"/>
          </w:r>
          <w:r>
            <w:instrText xml:space="preserve"> PAGEREF _Toc228364643 \h </w:instrText>
          </w:r>
          <w:r>
            <w:fldChar w:fldCharType="separate"/>
          </w:r>
          <w:r>
            <w:t>5</w:t>
          </w:r>
          <w:r>
            <w:fldChar w:fldCharType="end"/>
          </w:r>
          <w:r>
            <w:fldChar w:fldCharType="end"/>
          </w:r>
        </w:p>
        <w:p w14:paraId="24B439E8">
          <w:pPr>
            <w:pStyle w:val="20"/>
            <w:tabs>
              <w:tab w:val="left" w:pos="1680"/>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"_Toc228364644" </w:instrText>
          </w:r>
          <w:r>
            <w:fldChar w:fldCharType="separate"/>
          </w:r>
          <w:r>
            <w:rPr>
              <w:rStyle w:val="46"/>
              <w:rFonts w:ascii="黑体" w:hAnsi="黑体" w:eastAsia="黑体"/>
            </w:rPr>
            <w:t>1.1.1</w:t>
          </w:r>
          <w:r>
            <w:rPr>
              <w:rFonts w:asciiTheme="minorHAnsi" w:hAnsiTheme="minorHAnsi" w:eastAsiaTheme="minorEastAsia" w:cstheme="minorBidi"/>
              <w:szCs w:val="22"/>
            </w:rPr>
            <w:tab/>
          </w:r>
          <w:r>
            <w:rPr>
              <w:rStyle w:val="46"/>
              <w:rFonts w:hint="eastAsia" w:ascii="黑体" w:hAnsi="黑体" w:eastAsia="黑体"/>
            </w:rPr>
            <w:t>（一）投标须知前附表</w:t>
          </w:r>
          <w:r>
            <w:rPr>
              <w:rStyle w:val="46"/>
              <w:rFonts w:ascii="黑体" w:hAnsi="黑体" w:eastAsia="黑体"/>
            </w:rPr>
            <w:t>1</w:t>
          </w:r>
          <w:r>
            <w:tab/>
          </w:r>
          <w:r>
            <w:fldChar w:fldCharType="begin"/>
          </w:r>
          <w:r>
            <w:instrText xml:space="preserve"> PAGEREF _Toc228364644 \h </w:instrText>
          </w:r>
          <w:r>
            <w:fldChar w:fldCharType="separate"/>
          </w:r>
          <w:r>
            <w:t>5</w:t>
          </w:r>
          <w:r>
            <w:fldChar w:fldCharType="end"/>
          </w:r>
          <w:r>
            <w:fldChar w:fldCharType="end"/>
          </w:r>
        </w:p>
        <w:p w14:paraId="7624FC65">
          <w:pPr>
            <w:pStyle w:val="20"/>
            <w:tabs>
              <w:tab w:val="left" w:pos="1680"/>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"_Toc228364645" </w:instrText>
          </w:r>
          <w:r>
            <w:fldChar w:fldCharType="separate"/>
          </w:r>
          <w:r>
            <w:rPr>
              <w:rStyle w:val="46"/>
              <w:rFonts w:ascii="黑体" w:hAnsi="黑体" w:eastAsia="黑体"/>
            </w:rPr>
            <w:t>1.1.2</w:t>
          </w:r>
          <w:r>
            <w:rPr>
              <w:rFonts w:asciiTheme="minorHAnsi" w:hAnsiTheme="minorHAnsi" w:eastAsiaTheme="minorEastAsia" w:cstheme="minorBidi"/>
              <w:szCs w:val="22"/>
            </w:rPr>
            <w:tab/>
          </w:r>
          <w:r>
            <w:rPr>
              <w:rStyle w:val="46"/>
              <w:rFonts w:hint="eastAsia" w:ascii="黑体" w:hAnsi="黑体" w:eastAsia="黑体"/>
            </w:rPr>
            <w:t>（二）投标须知前附表</w:t>
          </w:r>
          <w:r>
            <w:rPr>
              <w:rStyle w:val="46"/>
              <w:rFonts w:ascii="黑体" w:hAnsi="黑体" w:eastAsia="黑体"/>
            </w:rPr>
            <w:t>2</w:t>
          </w:r>
          <w:r>
            <w:tab/>
          </w:r>
          <w:r>
            <w:fldChar w:fldCharType="begin"/>
          </w:r>
          <w:r>
            <w:instrText xml:space="preserve"> PAGEREF _Toc228364645 \h </w:instrText>
          </w:r>
          <w:r>
            <w:fldChar w:fldCharType="separate"/>
          </w:r>
          <w:r>
            <w:t>10</w:t>
          </w:r>
          <w:r>
            <w:fldChar w:fldCharType="end"/>
          </w:r>
          <w:r>
            <w:fldChar w:fldCharType="end"/>
          </w:r>
        </w:p>
        <w:p w14:paraId="20AD655C">
          <w:pPr>
            <w:pStyle w:val="20"/>
            <w:tabs>
              <w:tab w:val="left" w:pos="1680"/>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"_Toc228364646" </w:instrText>
          </w:r>
          <w:r>
            <w:fldChar w:fldCharType="separate"/>
          </w:r>
          <w:r>
            <w:rPr>
              <w:rStyle w:val="46"/>
              <w:rFonts w:ascii="黑体" w:hAnsi="黑体" w:eastAsia="黑体"/>
            </w:rPr>
            <w:t>1.1.3</w:t>
          </w:r>
          <w:r>
            <w:rPr>
              <w:rFonts w:asciiTheme="minorHAnsi" w:hAnsiTheme="minorHAnsi" w:eastAsiaTheme="minorEastAsia" w:cstheme="minorBidi"/>
              <w:szCs w:val="22"/>
            </w:rPr>
            <w:tab/>
          </w:r>
          <w:r>
            <w:rPr>
              <w:rStyle w:val="46"/>
              <w:rFonts w:hint="eastAsia" w:ascii="黑体" w:hAnsi="黑体" w:eastAsia="黑体"/>
            </w:rPr>
            <w:t>（三）投标须知前附件</w:t>
          </w:r>
          <w:r>
            <w:tab/>
          </w:r>
          <w:r>
            <w:fldChar w:fldCharType="begin"/>
          </w:r>
          <w:r>
            <w:instrText xml:space="preserve"> PAGEREF _Toc228364646 \h </w:instrText>
          </w:r>
          <w:r>
            <w:fldChar w:fldCharType="separate"/>
          </w:r>
          <w:r>
            <w:t>12</w:t>
          </w:r>
          <w:r>
            <w:fldChar w:fldCharType="end"/>
          </w:r>
          <w:r>
            <w:fldChar w:fldCharType="end"/>
          </w:r>
        </w:p>
        <w:p w14:paraId="262EE582">
          <w:pPr>
            <w:pStyle w:val="33"/>
            <w:tabs>
              <w:tab w:val="right" w:leader="dot" w:pos="9061"/>
            </w:tabs>
            <w:snapToGrid w:val="0"/>
            <w:spacing w:before="0" w:line="360" w:lineRule="exact"/>
            <w:rPr>
              <w:rFonts w:asciiTheme="minorHAnsi" w:hAnsiTheme="minorHAnsi" w:eastAsiaTheme="minorEastAsia" w:cstheme="minorBidi"/>
              <w:sz w:val="21"/>
              <w:szCs w:val="22"/>
            </w:rPr>
          </w:pPr>
          <w:r>
            <w:fldChar w:fldCharType="begin"/>
          </w:r>
          <w:r>
            <w:instrText xml:space="preserve"> HYPERLINK \l "_Toc228364647" </w:instrText>
          </w:r>
          <w:r>
            <w:fldChar w:fldCharType="separate"/>
          </w:r>
          <w:r>
            <w:rPr>
              <w:rStyle w:val="46"/>
              <w:rFonts w:hint="eastAsia" w:ascii="黑体" w:hAnsi="黑体" w:eastAsia="黑体"/>
              <w:b/>
              <w:bCs/>
              <w:kern w:val="0"/>
              <w:sz w:val="21"/>
              <w:szCs w:val="21"/>
            </w:rPr>
            <w:t>二、投标须知</w:t>
          </w:r>
          <w:r>
            <w:tab/>
          </w:r>
          <w:r>
            <w:fldChar w:fldCharType="begin"/>
          </w:r>
          <w:r>
            <w:instrText xml:space="preserve"> PAGEREF _Toc228364647 \h </w:instrText>
          </w:r>
          <w:r>
            <w:fldChar w:fldCharType="separate"/>
          </w:r>
          <w:r>
            <w:t>29</w:t>
          </w:r>
          <w:r>
            <w:fldChar w:fldCharType="end"/>
          </w:r>
          <w:r>
            <w:fldChar w:fldCharType="end"/>
          </w:r>
        </w:p>
        <w:p w14:paraId="52659AAF">
          <w:pPr>
            <w:pStyle w:val="28"/>
            <w:tabs>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"_Toc228364648" </w:instrText>
          </w:r>
          <w:r>
            <w:fldChar w:fldCharType="separate"/>
          </w:r>
          <w:r>
            <w:rPr>
              <w:rStyle w:val="46"/>
              <w:rFonts w:hint="eastAsia" w:ascii="黑体" w:hAnsi="黑体" w:eastAsia="黑体"/>
              <w:b/>
            </w:rPr>
            <w:t>第三章</w:t>
          </w:r>
          <w:r>
            <w:rPr>
              <w:rStyle w:val="46"/>
              <w:rFonts w:ascii="黑体" w:hAnsi="黑体" w:eastAsia="黑体"/>
              <w:b/>
            </w:rPr>
            <w:t xml:space="preserve">  </w:t>
          </w:r>
          <w:r>
            <w:rPr>
              <w:rStyle w:val="46"/>
              <w:rFonts w:hint="eastAsia" w:ascii="黑体" w:hAnsi="黑体" w:eastAsia="黑体"/>
              <w:b/>
            </w:rPr>
            <w:t>合同文件</w:t>
          </w:r>
          <w:r>
            <w:tab/>
          </w:r>
          <w:r>
            <w:fldChar w:fldCharType="begin"/>
          </w:r>
          <w:r>
            <w:instrText xml:space="preserve"> PAGEREF _Toc228364648 \h </w:instrText>
          </w:r>
          <w:r>
            <w:fldChar w:fldCharType="separate"/>
          </w:r>
          <w:r>
            <w:t>47</w:t>
          </w:r>
          <w:r>
            <w:fldChar w:fldCharType="end"/>
          </w:r>
          <w:r>
            <w:fldChar w:fldCharType="end"/>
          </w:r>
        </w:p>
        <w:p w14:paraId="2F85E52F">
          <w:pPr>
            <w:pStyle w:val="33"/>
            <w:tabs>
              <w:tab w:val="right" w:leader="dot" w:pos="9061"/>
            </w:tabs>
            <w:snapToGrid w:val="0"/>
            <w:spacing w:before="0" w:line="360" w:lineRule="exact"/>
            <w:rPr>
              <w:rFonts w:asciiTheme="minorHAnsi" w:hAnsiTheme="minorHAnsi" w:eastAsiaTheme="minorEastAsia" w:cstheme="minorBidi"/>
              <w:sz w:val="21"/>
              <w:szCs w:val="22"/>
            </w:rPr>
          </w:pPr>
          <w:r>
            <w:fldChar w:fldCharType="begin"/>
          </w:r>
          <w:r>
            <w:instrText xml:space="preserve"> HYPERLINK \l "_Toc228364649" </w:instrText>
          </w:r>
          <w:r>
            <w:fldChar w:fldCharType="separate"/>
          </w:r>
          <w:r>
            <w:rPr>
              <w:rStyle w:val="46"/>
              <w:rFonts w:hint="eastAsia" w:ascii="黑体" w:hAnsi="黑体" w:eastAsia="黑体" w:cs="宋体"/>
              <w:kern w:val="0"/>
              <w:sz w:val="21"/>
              <w:szCs w:val="21"/>
            </w:rPr>
            <w:t>设备清单</w:t>
          </w:r>
          <w:r>
            <w:tab/>
          </w:r>
          <w:r>
            <w:fldChar w:fldCharType="begin"/>
          </w:r>
          <w:r>
            <w:instrText xml:space="preserve"> PAGEREF _Toc228364649 \h </w:instrText>
          </w:r>
          <w:r>
            <w:fldChar w:fldCharType="separate"/>
          </w:r>
          <w:r>
            <w:t>68</w:t>
          </w:r>
          <w:r>
            <w:fldChar w:fldCharType="end"/>
          </w:r>
          <w:r>
            <w:fldChar w:fldCharType="end"/>
          </w:r>
        </w:p>
        <w:p w14:paraId="2101BF31">
          <w:pPr>
            <w:pStyle w:val="33"/>
            <w:tabs>
              <w:tab w:val="right" w:leader="dot" w:pos="9061"/>
            </w:tabs>
            <w:snapToGrid w:val="0"/>
            <w:spacing w:before="0" w:line="360" w:lineRule="exact"/>
            <w:rPr>
              <w:rFonts w:asciiTheme="minorHAnsi" w:hAnsiTheme="minorHAnsi" w:eastAsiaTheme="minorEastAsia" w:cstheme="minorBidi"/>
              <w:sz w:val="21"/>
              <w:szCs w:val="22"/>
            </w:rPr>
          </w:pPr>
          <w:r>
            <w:fldChar w:fldCharType="begin"/>
          </w:r>
          <w:r>
            <w:instrText xml:space="preserve"> HYPERLINK \l "_Toc228364650" </w:instrText>
          </w:r>
          <w:r>
            <w:fldChar w:fldCharType="separate"/>
          </w:r>
          <w:r>
            <w:rPr>
              <w:rStyle w:val="46"/>
              <w:rFonts w:hint="eastAsia" w:ascii="黑体" w:hAnsi="黑体" w:eastAsia="黑体" w:cs="宋体"/>
              <w:kern w:val="0"/>
              <w:sz w:val="21"/>
              <w:szCs w:val="21"/>
            </w:rPr>
            <w:t>维保标准</w:t>
          </w:r>
          <w:r>
            <w:tab/>
          </w:r>
          <w:r>
            <w:fldChar w:fldCharType="begin"/>
          </w:r>
          <w:r>
            <w:instrText xml:space="preserve"> PAGEREF _Toc228364650 \h </w:instrText>
          </w:r>
          <w:r>
            <w:fldChar w:fldCharType="separate"/>
          </w:r>
          <w:r>
            <w:t>89</w:t>
          </w:r>
          <w:r>
            <w:fldChar w:fldCharType="end"/>
          </w:r>
          <w:r>
            <w:fldChar w:fldCharType="end"/>
          </w:r>
        </w:p>
        <w:p w14:paraId="7955C883">
          <w:pPr>
            <w:pStyle w:val="33"/>
            <w:tabs>
              <w:tab w:val="right" w:leader="dot" w:pos="9061"/>
            </w:tabs>
            <w:snapToGrid w:val="0"/>
            <w:spacing w:before="0" w:line="360" w:lineRule="exact"/>
            <w:rPr>
              <w:rFonts w:asciiTheme="minorHAnsi" w:hAnsiTheme="minorHAnsi" w:eastAsiaTheme="minorEastAsia" w:cstheme="minorBidi"/>
              <w:sz w:val="21"/>
              <w:szCs w:val="22"/>
            </w:rPr>
          </w:pPr>
          <w:r>
            <w:fldChar w:fldCharType="begin"/>
          </w:r>
          <w:r>
            <w:instrText xml:space="preserve"> HYPERLINK \l "_Toc228364651" </w:instrText>
          </w:r>
          <w:r>
            <w:fldChar w:fldCharType="separate"/>
          </w:r>
          <w:r>
            <w:rPr>
              <w:rStyle w:val="46"/>
              <w:rFonts w:hint="eastAsia" w:ascii="黑体" w:hAnsi="黑体" w:eastAsia="黑体" w:cs="仿宋_GB2312"/>
              <w:sz w:val="21"/>
              <w:szCs w:val="21"/>
            </w:rPr>
            <w:t>安全生产协议书</w:t>
          </w:r>
          <w:r>
            <w:tab/>
          </w:r>
          <w:r>
            <w:fldChar w:fldCharType="begin"/>
          </w:r>
          <w:r>
            <w:instrText xml:space="preserve"> PAGEREF _Toc228364651 \h </w:instrText>
          </w:r>
          <w:r>
            <w:fldChar w:fldCharType="separate"/>
          </w:r>
          <w:r>
            <w:t>111</w:t>
          </w:r>
          <w:r>
            <w:fldChar w:fldCharType="end"/>
          </w:r>
          <w:r>
            <w:fldChar w:fldCharType="end"/>
          </w:r>
        </w:p>
        <w:p w14:paraId="59AF1CFC">
          <w:pPr>
            <w:pStyle w:val="28"/>
            <w:tabs>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"_Toc228364652" </w:instrText>
          </w:r>
          <w:r>
            <w:fldChar w:fldCharType="separate"/>
          </w:r>
          <w:r>
            <w:rPr>
              <w:rStyle w:val="46"/>
              <w:rFonts w:hint="eastAsia" w:ascii="黑体" w:hAnsi="黑体" w:eastAsia="黑体" w:cs="黑体"/>
              <w:b/>
              <w:shd w:val="clear" w:color="060000" w:fill="auto"/>
            </w:rPr>
            <w:t>第四章</w:t>
          </w:r>
          <w:r>
            <w:rPr>
              <w:rStyle w:val="46"/>
              <w:rFonts w:ascii="黑体" w:hAnsi="黑体" w:eastAsia="黑体" w:cs="黑体"/>
              <w:b/>
              <w:shd w:val="clear" w:color="060000" w:fill="auto"/>
            </w:rPr>
            <w:t xml:space="preserve"> </w:t>
          </w:r>
          <w:r>
            <w:rPr>
              <w:rStyle w:val="46"/>
              <w:rFonts w:hint="eastAsia" w:ascii="黑体" w:hAnsi="黑体" w:eastAsia="黑体" w:cs="黑体"/>
              <w:b/>
              <w:shd w:val="clear" w:color="060000" w:fill="auto"/>
            </w:rPr>
            <w:t>投标文件格式</w:t>
          </w:r>
          <w:r>
            <w:tab/>
          </w:r>
          <w:r>
            <w:fldChar w:fldCharType="begin"/>
          </w:r>
          <w:r>
            <w:instrText xml:space="preserve"> PAGEREF _Toc228364652 \h </w:instrText>
          </w:r>
          <w:r>
            <w:fldChar w:fldCharType="separate"/>
          </w:r>
          <w:r>
            <w:t>117</w:t>
          </w:r>
          <w:r>
            <w:fldChar w:fldCharType="end"/>
          </w:r>
          <w:r>
            <w:fldChar w:fldCharType="end"/>
          </w:r>
        </w:p>
        <w:p w14:paraId="10D0173B">
          <w:pPr>
            <w:pStyle w:val="28"/>
            <w:tabs>
              <w:tab w:val="right" w:leader="dot" w:pos="9061"/>
            </w:tabs>
            <w:snapToGrid w:val="0"/>
            <w:spacing w:line="360" w:lineRule="exact"/>
            <w:rPr>
              <w:rFonts w:asciiTheme="minorHAnsi" w:hAnsiTheme="minorHAnsi" w:eastAsiaTheme="minorEastAsia" w:cstheme="minorBidi"/>
              <w:szCs w:val="22"/>
            </w:rPr>
          </w:pPr>
          <w:r>
            <w:fldChar w:fldCharType="begin"/>
          </w:r>
          <w:r>
            <w:instrText xml:space="preserve"> HYPERLINK \l "_Toc228364653" </w:instrText>
          </w:r>
          <w:r>
            <w:fldChar w:fldCharType="separate"/>
          </w:r>
          <w:r>
            <w:rPr>
              <w:rStyle w:val="46"/>
              <w:rFonts w:hint="eastAsia" w:ascii="黑体" w:hAnsi="黑体" w:eastAsia="黑体"/>
              <w:b/>
            </w:rPr>
            <w:t>第五章</w:t>
          </w:r>
          <w:r>
            <w:rPr>
              <w:rStyle w:val="46"/>
              <w:rFonts w:ascii="黑体" w:hAnsi="黑体" w:eastAsia="黑体"/>
              <w:b/>
            </w:rPr>
            <w:t xml:space="preserve"> </w:t>
          </w:r>
          <w:r>
            <w:rPr>
              <w:rStyle w:val="46"/>
              <w:rFonts w:hint="eastAsia" w:ascii="黑体" w:hAnsi="黑体" w:eastAsia="黑体"/>
              <w:b/>
            </w:rPr>
            <w:t>中标通知书</w:t>
          </w:r>
          <w:r>
            <w:tab/>
          </w:r>
          <w:r>
            <w:fldChar w:fldCharType="begin"/>
          </w:r>
          <w:r>
            <w:instrText xml:space="preserve"> PAGEREF _Toc228364653 \h </w:instrText>
          </w:r>
          <w:r>
            <w:fldChar w:fldCharType="separate"/>
          </w:r>
          <w:r>
            <w:t>136</w:t>
          </w:r>
          <w:r>
            <w:fldChar w:fldCharType="end"/>
          </w:r>
          <w:r>
            <w:fldChar w:fldCharType="end"/>
          </w:r>
        </w:p>
        <w:p w14:paraId="133CBC60">
          <w:pPr>
            <w:snapToGrid w:val="0"/>
            <w:spacing w:line="360" w:lineRule="exact"/>
          </w:pPr>
          <w:r>
            <w:rPr>
              <w:b/>
              <w:bCs/>
              <w:lang w:val="zh-CN"/>
            </w:rPr>
            <w:fldChar w:fldCharType="end"/>
          </w:r>
        </w:p>
      </w:sdtContent>
    </w:sdt>
    <w:p w14:paraId="6B434A85">
      <w:pPr>
        <w:spacing w:line="360" w:lineRule="auto"/>
        <w:jc w:val="center"/>
        <w:rPr>
          <w:rFonts w:ascii="黑体" w:hAnsi="黑体" w:eastAsia="黑体" w:cs="黑体"/>
          <w:sz w:val="32"/>
        </w:rPr>
      </w:pPr>
    </w:p>
    <w:p w14:paraId="5BA252AD">
      <w:pPr>
        <w:spacing w:line="360" w:lineRule="auto"/>
        <w:jc w:val="center"/>
        <w:rPr>
          <w:rFonts w:ascii="黑体" w:hAnsi="黑体" w:eastAsia="黑体" w:cs="黑体"/>
          <w:sz w:val="32"/>
        </w:rPr>
      </w:pPr>
    </w:p>
    <w:p w14:paraId="1803A3DB">
      <w:pPr>
        <w:spacing w:line="360" w:lineRule="auto"/>
        <w:jc w:val="center"/>
        <w:rPr>
          <w:rFonts w:ascii="黑体" w:hAnsi="黑体" w:eastAsia="黑体" w:cs="黑体"/>
          <w:sz w:val="32"/>
        </w:rPr>
      </w:pPr>
    </w:p>
    <w:p w14:paraId="0552A6EC">
      <w:pPr>
        <w:spacing w:line="360" w:lineRule="auto"/>
        <w:jc w:val="center"/>
        <w:rPr>
          <w:rFonts w:ascii="黑体" w:hAnsi="黑体" w:eastAsia="黑体" w:cs="黑体"/>
          <w:sz w:val="32"/>
        </w:rPr>
      </w:pPr>
    </w:p>
    <w:p w14:paraId="204D86E0">
      <w:pPr>
        <w:spacing w:line="360" w:lineRule="auto"/>
        <w:jc w:val="center"/>
        <w:rPr>
          <w:rFonts w:ascii="黑体" w:hAnsi="黑体" w:eastAsia="黑体" w:cs="黑体"/>
          <w:sz w:val="32"/>
        </w:rPr>
      </w:pPr>
    </w:p>
    <w:p w14:paraId="3B06D8AF">
      <w:pPr>
        <w:spacing w:line="360" w:lineRule="auto"/>
        <w:jc w:val="center"/>
        <w:rPr>
          <w:rFonts w:ascii="黑体" w:hAnsi="黑体" w:eastAsia="黑体" w:cs="黑体"/>
          <w:sz w:val="32"/>
        </w:rPr>
      </w:pPr>
    </w:p>
    <w:p w14:paraId="020AB387">
      <w:pPr>
        <w:spacing w:line="360" w:lineRule="auto"/>
        <w:jc w:val="center"/>
        <w:rPr>
          <w:rFonts w:ascii="黑体" w:hAnsi="黑体" w:eastAsia="黑体" w:cs="黑体"/>
          <w:sz w:val="32"/>
        </w:rPr>
      </w:pPr>
    </w:p>
    <w:p w14:paraId="0B5B571A">
      <w:pPr>
        <w:spacing w:line="360" w:lineRule="auto"/>
        <w:jc w:val="center"/>
        <w:rPr>
          <w:rFonts w:ascii="黑体" w:hAnsi="黑体" w:eastAsia="黑体" w:cs="黑体"/>
          <w:sz w:val="32"/>
        </w:rPr>
      </w:pPr>
    </w:p>
    <w:p w14:paraId="19426B18">
      <w:pPr>
        <w:spacing w:line="360" w:lineRule="auto"/>
        <w:jc w:val="center"/>
        <w:rPr>
          <w:rFonts w:ascii="黑体" w:hAnsi="黑体" w:eastAsia="黑体" w:cs="黑体"/>
          <w:sz w:val="32"/>
        </w:rPr>
      </w:pPr>
    </w:p>
    <w:p w14:paraId="20EF8338">
      <w:pPr>
        <w:spacing w:line="360" w:lineRule="auto"/>
        <w:jc w:val="center"/>
        <w:rPr>
          <w:rFonts w:ascii="黑体" w:hAnsi="黑体" w:eastAsia="黑体" w:cs="黑体"/>
          <w:sz w:val="32"/>
        </w:rPr>
      </w:pPr>
    </w:p>
    <w:p w14:paraId="031CEE88">
      <w:pPr>
        <w:spacing w:line="360" w:lineRule="auto"/>
        <w:jc w:val="center"/>
        <w:rPr>
          <w:rFonts w:ascii="黑体" w:hAnsi="黑体" w:eastAsia="黑体" w:cs="黑体"/>
          <w:sz w:val="32"/>
        </w:rPr>
      </w:pPr>
    </w:p>
    <w:p w14:paraId="2101AC6D">
      <w:pPr>
        <w:spacing w:line="360" w:lineRule="auto"/>
        <w:rPr>
          <w:rFonts w:ascii="黑体" w:hAnsi="黑体" w:eastAsia="黑体" w:cs="黑体"/>
          <w:sz w:val="32"/>
        </w:rPr>
      </w:pPr>
    </w:p>
    <w:p w14:paraId="34FB2C61">
      <w:pPr>
        <w:spacing w:line="276" w:lineRule="auto"/>
        <w:jc w:val="center"/>
        <w:rPr>
          <w:rFonts w:ascii="宋体" w:hAnsi="宋体" w:cs="黑体"/>
          <w:sz w:val="32"/>
        </w:rPr>
      </w:pPr>
    </w:p>
    <w:p w14:paraId="389A536D">
      <w:pPr>
        <w:keepNext/>
        <w:keepLines/>
        <w:spacing w:line="560" w:lineRule="exact"/>
        <w:jc w:val="center"/>
        <w:outlineLvl w:val="0"/>
        <w:rPr>
          <w:rFonts w:ascii="黑体" w:eastAsia="黑体" w:cs="黑体"/>
          <w:b/>
          <w:sz w:val="44"/>
          <w:szCs w:val="44"/>
        </w:rPr>
      </w:pPr>
      <w:bookmarkStart w:id="0" w:name="_Toc228364641"/>
      <w:r>
        <w:rPr>
          <w:rFonts w:hint="eastAsia" w:ascii="黑体" w:hAnsi="黑体" w:eastAsia="黑体" w:cs="黑体"/>
          <w:b/>
          <w:sz w:val="44"/>
          <w:szCs w:val="44"/>
        </w:rPr>
        <w:t>第一章</w:t>
      </w:r>
      <w:r>
        <w:rPr>
          <w:rFonts w:hint="eastAsia" w:ascii="黑体" w:hAnsi="黑体" w:eastAsia="黑体" w:cs="宋体"/>
          <w:b/>
          <w:sz w:val="44"/>
          <w:szCs w:val="44"/>
        </w:rPr>
        <w:t xml:space="preserve">  </w:t>
      </w:r>
      <w:r>
        <w:rPr>
          <w:rFonts w:hint="eastAsia" w:ascii="黑体" w:hAnsi="黑体" w:eastAsia="黑体" w:cs="黑体"/>
          <w:b/>
          <w:sz w:val="44"/>
          <w:szCs w:val="44"/>
        </w:rPr>
        <w:t>致投标人</w:t>
      </w:r>
      <w:bookmarkEnd w:id="0"/>
    </w:p>
    <w:p w14:paraId="130F85FC">
      <w:pPr>
        <w:spacing w:line="560" w:lineRule="exact"/>
        <w:ind w:firstLine="560" w:firstLineChars="200"/>
        <w:rPr>
          <w:rFonts w:ascii="仿宋_GB2312" w:hAnsi="宋体" w:eastAsia="仿宋_GB2312"/>
          <w:sz w:val="28"/>
          <w:szCs w:val="28"/>
        </w:rPr>
      </w:pPr>
    </w:p>
    <w:p w14:paraId="4FD3EBF7">
      <w:pPr>
        <w:spacing w:line="560" w:lineRule="exact"/>
        <w:ind w:firstLine="560" w:firstLineChars="200"/>
        <w:rPr>
          <w:rFonts w:ascii="仿宋" w:hAnsi="仿宋" w:eastAsia="仿宋"/>
          <w:sz w:val="28"/>
          <w:szCs w:val="28"/>
        </w:rPr>
      </w:pPr>
      <w:r>
        <w:rPr>
          <w:rFonts w:hint="eastAsia" w:ascii="仿宋" w:hAnsi="仿宋" w:eastAsia="仿宋"/>
          <w:sz w:val="28"/>
          <w:szCs w:val="28"/>
        </w:rPr>
        <w:t>一、本招标文件是依据招标投标有关法律、法规、规章和规范性文件，根据本次招标项目的特点和需要编制而成。招标文件的编制遵循了公开、公平、公正和诚实信用的原则。招标文件所包含的内容已清楚地反映了本次招标的规模、性质以及资信、商务和技术要求等。我们要求投标人必须完全响应本招标文件的实质性内容。</w:t>
      </w:r>
    </w:p>
    <w:p w14:paraId="63144511">
      <w:pPr>
        <w:spacing w:line="560" w:lineRule="exact"/>
        <w:ind w:firstLine="560" w:firstLineChars="200"/>
        <w:rPr>
          <w:rFonts w:ascii="仿宋" w:hAnsi="仿宋" w:eastAsia="仿宋"/>
          <w:sz w:val="28"/>
          <w:szCs w:val="28"/>
        </w:rPr>
      </w:pPr>
      <w:bookmarkStart w:id="1" w:name="_Toc130835209"/>
      <w:bookmarkStart w:id="2" w:name="_Toc130835683"/>
      <w:bookmarkStart w:id="3" w:name="_Toc203810203"/>
      <w:bookmarkStart w:id="4" w:name="_Toc269970459"/>
      <w:bookmarkStart w:id="5" w:name="_Toc130830412"/>
      <w:bookmarkStart w:id="6" w:name="_Toc203358554"/>
      <w:r>
        <w:rPr>
          <w:rFonts w:hint="eastAsia" w:ascii="仿宋" w:hAnsi="仿宋" w:eastAsia="仿宋"/>
          <w:sz w:val="28"/>
          <w:szCs w:val="28"/>
        </w:rPr>
        <w:t>二、投标人获取招标文件后，应仔细阅读招标文件及附件的全部内容，招标文件与附件具有同等效力。</w:t>
      </w:r>
    </w:p>
    <w:p w14:paraId="5A46FBD6">
      <w:pPr>
        <w:spacing w:line="560" w:lineRule="exact"/>
        <w:ind w:firstLine="560" w:firstLineChars="200"/>
        <w:rPr>
          <w:rFonts w:ascii="仿宋" w:hAnsi="仿宋" w:eastAsia="仿宋"/>
          <w:sz w:val="28"/>
          <w:szCs w:val="28"/>
        </w:rPr>
      </w:pPr>
      <w:r>
        <w:rPr>
          <w:rFonts w:hint="eastAsia" w:ascii="仿宋" w:hAnsi="仿宋" w:eastAsia="仿宋"/>
          <w:sz w:val="28"/>
          <w:szCs w:val="28"/>
        </w:rPr>
        <w:t>三、投标人在投标截止时间前，应及时收悉有关本次招标项目招标文件的答疑、补遗内容。招标文件、答疑、补遗内容不一致时，以最后发出的为准。</w:t>
      </w:r>
    </w:p>
    <w:p w14:paraId="36A8AC4B">
      <w:pPr>
        <w:spacing w:line="560" w:lineRule="exact"/>
        <w:ind w:firstLine="560" w:firstLineChars="200"/>
        <w:rPr>
          <w:rFonts w:ascii="仿宋" w:hAnsi="仿宋" w:eastAsia="仿宋"/>
          <w:sz w:val="28"/>
          <w:szCs w:val="28"/>
        </w:rPr>
      </w:pPr>
      <w:r>
        <w:rPr>
          <w:rFonts w:hint="eastAsia" w:ascii="仿宋" w:hAnsi="仿宋" w:eastAsia="仿宋"/>
          <w:sz w:val="28"/>
          <w:szCs w:val="28"/>
        </w:rPr>
        <w:t>四、投标人应在遵循招标文件的各项规定和要求的前提下，编制投标文件。编制投标文件时，应注意：</w:t>
      </w:r>
    </w:p>
    <w:p w14:paraId="10866997">
      <w:pPr>
        <w:spacing w:line="560" w:lineRule="exact"/>
        <w:ind w:firstLine="560" w:firstLineChars="200"/>
        <w:rPr>
          <w:rFonts w:ascii="仿宋" w:hAnsi="仿宋" w:eastAsia="仿宋"/>
          <w:sz w:val="28"/>
          <w:szCs w:val="28"/>
        </w:rPr>
      </w:pPr>
      <w:r>
        <w:rPr>
          <w:rFonts w:hint="eastAsia" w:ascii="仿宋" w:hAnsi="仿宋" w:eastAsia="仿宋"/>
          <w:sz w:val="28"/>
          <w:szCs w:val="28"/>
        </w:rPr>
        <w:t>1．投标文件必须满足招标文件中的实质性要求和条件。投标文件的所有否决性条款已在“投标须知前附件一”中汇总明示，若出现其中任何一个情形的，其投标将会被否决。</w:t>
      </w:r>
    </w:p>
    <w:p w14:paraId="6C0D452F">
      <w:pPr>
        <w:spacing w:line="560" w:lineRule="exact"/>
        <w:ind w:firstLine="560" w:firstLineChars="200"/>
        <w:rPr>
          <w:rFonts w:ascii="仿宋" w:hAnsi="仿宋" w:eastAsia="仿宋"/>
          <w:sz w:val="28"/>
          <w:szCs w:val="28"/>
        </w:rPr>
      </w:pPr>
      <w:r>
        <w:rPr>
          <w:rFonts w:hint="eastAsia" w:ascii="仿宋" w:hAnsi="仿宋" w:eastAsia="仿宋"/>
          <w:sz w:val="28"/>
          <w:szCs w:val="28"/>
        </w:rPr>
        <w:t>2．投标人对招标文件有不同意见或不明之处，应通过书面形式，向招标人质疑，求得彻底澄清。若招标人不接受投标人提出的意见，投标人必须按招标文件办理，而不应在投标文件中加进额外的条件。</w:t>
      </w:r>
    </w:p>
    <w:p w14:paraId="2AB52846">
      <w:pPr>
        <w:spacing w:line="560" w:lineRule="exact"/>
        <w:ind w:firstLine="560" w:firstLineChars="200"/>
        <w:rPr>
          <w:rFonts w:ascii="仿宋" w:hAnsi="仿宋" w:eastAsia="仿宋"/>
          <w:sz w:val="28"/>
          <w:szCs w:val="28"/>
        </w:rPr>
      </w:pPr>
      <w:r>
        <w:rPr>
          <w:rFonts w:hint="eastAsia" w:ascii="仿宋" w:hAnsi="仿宋" w:eastAsia="仿宋"/>
          <w:sz w:val="28"/>
          <w:szCs w:val="28"/>
        </w:rPr>
        <w:t>五、投标人在提交投标文件时，应注意：</w:t>
      </w:r>
    </w:p>
    <w:p w14:paraId="058389C4">
      <w:pPr>
        <w:spacing w:line="560" w:lineRule="exact"/>
        <w:ind w:firstLine="560" w:firstLineChars="200"/>
        <w:rPr>
          <w:rFonts w:ascii="仿宋" w:hAnsi="仿宋" w:eastAsia="仿宋"/>
          <w:sz w:val="28"/>
          <w:szCs w:val="28"/>
        </w:rPr>
      </w:pPr>
      <w:r>
        <w:rPr>
          <w:rFonts w:hint="eastAsia" w:ascii="仿宋" w:hAnsi="仿宋" w:eastAsia="仿宋"/>
          <w:sz w:val="28"/>
          <w:szCs w:val="28"/>
        </w:rPr>
        <w:t>1．投标人应严格按照招标文件的要求进行投标文件的密封和标记。</w:t>
      </w:r>
    </w:p>
    <w:p w14:paraId="382694C3">
      <w:pPr>
        <w:spacing w:line="560" w:lineRule="exact"/>
        <w:ind w:firstLine="560" w:firstLineChars="200"/>
        <w:rPr>
          <w:rFonts w:ascii="仿宋" w:hAnsi="仿宋" w:eastAsia="仿宋"/>
          <w:sz w:val="28"/>
          <w:szCs w:val="28"/>
        </w:rPr>
      </w:pPr>
      <w:r>
        <w:rPr>
          <w:rFonts w:hint="eastAsia" w:ascii="仿宋" w:hAnsi="仿宋" w:eastAsia="仿宋"/>
          <w:sz w:val="28"/>
          <w:szCs w:val="28"/>
        </w:rPr>
        <w:t>2．投标人应当在招标文件要求提交投标文件的截止时间前，将投标文件送达指定地址。</w:t>
      </w:r>
    </w:p>
    <w:p w14:paraId="3FE14E8B">
      <w:pPr>
        <w:spacing w:line="560" w:lineRule="exact"/>
        <w:ind w:firstLine="560" w:firstLineChars="200"/>
        <w:rPr>
          <w:rFonts w:ascii="仿宋" w:hAnsi="仿宋" w:eastAsia="仿宋"/>
          <w:sz w:val="28"/>
          <w:szCs w:val="28"/>
        </w:rPr>
      </w:pPr>
      <w:r>
        <w:rPr>
          <w:rFonts w:hint="eastAsia" w:ascii="仿宋" w:hAnsi="仿宋" w:eastAsia="仿宋"/>
          <w:sz w:val="28"/>
          <w:szCs w:val="28"/>
        </w:rPr>
        <w:t>六、其他应该注意的：</w:t>
      </w:r>
    </w:p>
    <w:p w14:paraId="601345B9">
      <w:pPr>
        <w:spacing w:line="560" w:lineRule="exact"/>
        <w:ind w:firstLine="560" w:firstLineChars="200"/>
        <w:rPr>
          <w:rFonts w:ascii="仿宋" w:hAnsi="仿宋" w:eastAsia="仿宋"/>
          <w:sz w:val="28"/>
          <w:szCs w:val="28"/>
        </w:rPr>
      </w:pPr>
      <w:r>
        <w:rPr>
          <w:rFonts w:hint="eastAsia" w:ascii="仿宋" w:hAnsi="仿宋" w:eastAsia="仿宋"/>
          <w:sz w:val="28"/>
          <w:szCs w:val="28"/>
        </w:rPr>
        <w:t>1、投标人提交投标文件，参加开标会和抽签的必须是投标人的法定代表人或其授权委托代理人，并持身份证明文件。非上述人员不得参加上述投标活动，否则由此产生的不利后果由投标人自行承担。</w:t>
      </w:r>
    </w:p>
    <w:p w14:paraId="1E979974">
      <w:pPr>
        <w:spacing w:line="560" w:lineRule="exact"/>
        <w:ind w:firstLine="560" w:firstLineChars="200"/>
        <w:rPr>
          <w:rFonts w:ascii="仿宋" w:hAnsi="仿宋" w:eastAsia="仿宋"/>
          <w:sz w:val="28"/>
          <w:szCs w:val="28"/>
        </w:rPr>
      </w:pPr>
      <w:r>
        <w:rPr>
          <w:rFonts w:hint="eastAsia" w:ascii="仿宋" w:hAnsi="仿宋" w:eastAsia="仿宋"/>
          <w:sz w:val="28"/>
          <w:szCs w:val="28"/>
        </w:rPr>
        <w:t>2、投标人须对投标资料的真实性负责。招标人有权将投标文件的部分或全部内容向外公示，若公示期间收到有关弄虚作假投诉的，招标人将提请有关行政管理部门查处。</w:t>
      </w:r>
    </w:p>
    <w:p w14:paraId="42172C3E">
      <w:pPr>
        <w:spacing w:line="560" w:lineRule="exact"/>
        <w:ind w:firstLine="560" w:firstLineChars="200"/>
        <w:rPr>
          <w:rFonts w:ascii="仿宋" w:hAnsi="仿宋" w:eastAsia="仿宋"/>
          <w:sz w:val="28"/>
          <w:szCs w:val="28"/>
        </w:rPr>
      </w:pPr>
      <w:r>
        <w:rPr>
          <w:rFonts w:hint="eastAsia" w:ascii="仿宋" w:hAnsi="仿宋" w:eastAsia="仿宋"/>
          <w:sz w:val="28"/>
          <w:szCs w:val="28"/>
        </w:rPr>
        <w:t>4、若投标人资质证书被暂扣或吊销，但仍参与投标的，招标人将取消其投标或中标资格、没收其投标保证金，并提请有关行政管理部门对其进行行政处罚。</w:t>
      </w:r>
    </w:p>
    <w:bookmarkEnd w:id="1"/>
    <w:bookmarkEnd w:id="2"/>
    <w:bookmarkEnd w:id="3"/>
    <w:bookmarkEnd w:id="4"/>
    <w:bookmarkEnd w:id="5"/>
    <w:bookmarkEnd w:id="6"/>
    <w:p w14:paraId="0DCD114F">
      <w:pPr>
        <w:spacing w:line="560" w:lineRule="exact"/>
        <w:ind w:firstLine="560" w:firstLineChars="200"/>
        <w:rPr>
          <w:rFonts w:ascii="仿宋" w:hAnsi="仿宋" w:eastAsia="仿宋"/>
          <w:sz w:val="28"/>
          <w:szCs w:val="28"/>
        </w:rPr>
      </w:pPr>
      <w:r>
        <w:rPr>
          <w:rFonts w:hint="eastAsia" w:ascii="仿宋" w:hAnsi="仿宋" w:eastAsia="仿宋"/>
          <w:sz w:val="28"/>
          <w:szCs w:val="28"/>
        </w:rPr>
        <w:t>七、本招标文件的解释权归招标人，即</w:t>
      </w:r>
      <w:bookmarkStart w:id="7" w:name="_Toc269970479"/>
      <w:bookmarkStart w:id="8" w:name="_Toc130835701"/>
      <w:bookmarkStart w:id="9" w:name="_Toc203810222"/>
      <w:bookmarkStart w:id="10" w:name="_Toc203358573"/>
      <w:bookmarkStart w:id="11" w:name="_Toc130835227"/>
      <w:bookmarkStart w:id="12" w:name="_Toc130830430"/>
      <w:r>
        <w:rPr>
          <w:rFonts w:hint="eastAsia" w:ascii="仿宋" w:hAnsi="仿宋" w:eastAsia="仿宋"/>
          <w:sz w:val="28"/>
          <w:szCs w:val="28"/>
        </w:rPr>
        <w:t>深圳第一亚太物业管理有限公司。</w:t>
      </w:r>
    </w:p>
    <w:bookmarkEnd w:id="7"/>
    <w:bookmarkEnd w:id="8"/>
    <w:bookmarkEnd w:id="9"/>
    <w:bookmarkEnd w:id="10"/>
    <w:bookmarkEnd w:id="11"/>
    <w:bookmarkEnd w:id="12"/>
    <w:p w14:paraId="349D1C9E">
      <w:pPr>
        <w:spacing w:line="560" w:lineRule="exact"/>
        <w:ind w:firstLine="560" w:firstLineChars="200"/>
        <w:rPr>
          <w:rFonts w:ascii="仿宋" w:hAnsi="仿宋" w:eastAsia="仿宋"/>
          <w:sz w:val="28"/>
          <w:szCs w:val="28"/>
        </w:rPr>
      </w:pPr>
    </w:p>
    <w:p w14:paraId="3BF38E20">
      <w:pPr>
        <w:spacing w:line="560" w:lineRule="exact"/>
        <w:ind w:firstLine="560" w:firstLineChars="200"/>
        <w:jc w:val="right"/>
        <w:rPr>
          <w:rFonts w:ascii="仿宋" w:hAnsi="仿宋" w:eastAsia="仿宋"/>
          <w:sz w:val="28"/>
          <w:szCs w:val="28"/>
        </w:rPr>
      </w:pPr>
      <w:r>
        <w:rPr>
          <w:rFonts w:hint="eastAsia" w:ascii="仿宋" w:hAnsi="仿宋" w:eastAsia="仿宋"/>
          <w:sz w:val="28"/>
          <w:szCs w:val="28"/>
        </w:rPr>
        <w:t>深圳第一亚太物业管理有限公司深圳分公司</w:t>
      </w:r>
    </w:p>
    <w:p w14:paraId="7BD539E6">
      <w:pPr>
        <w:spacing w:line="560" w:lineRule="exact"/>
        <w:ind w:firstLine="560" w:firstLineChars="200"/>
        <w:jc w:val="right"/>
        <w:rPr>
          <w:rFonts w:ascii="仿宋" w:hAnsi="仿宋" w:eastAsia="仿宋"/>
          <w:sz w:val="28"/>
          <w:szCs w:val="28"/>
        </w:rPr>
      </w:pPr>
      <w:r>
        <w:rPr>
          <w:rFonts w:hint="eastAsia" w:ascii="仿宋" w:hAnsi="仿宋" w:eastAsia="仿宋"/>
          <w:sz w:val="28"/>
          <w:szCs w:val="28"/>
        </w:rPr>
        <w:t>二〇二六年</w:t>
      </w:r>
      <w:r>
        <w:rPr>
          <w:rFonts w:hint="eastAsia" w:ascii="仿宋" w:hAnsi="仿宋" w:eastAsia="仿宋"/>
          <w:sz w:val="28"/>
          <w:szCs w:val="28"/>
          <w:lang w:val="en-US" w:eastAsia="zh-CN"/>
        </w:rPr>
        <w:t>六</w:t>
      </w:r>
      <w:r>
        <w:rPr>
          <w:rFonts w:hint="eastAsia" w:ascii="仿宋" w:hAnsi="仿宋" w:eastAsia="仿宋"/>
          <w:sz w:val="28"/>
          <w:szCs w:val="28"/>
        </w:rPr>
        <w:t xml:space="preserve">月   </w:t>
      </w:r>
    </w:p>
    <w:p w14:paraId="43FF488E">
      <w:pPr>
        <w:jc w:val="left"/>
        <w:rPr>
          <w:rFonts w:ascii="仿宋" w:hAnsi="仿宋" w:eastAsia="仿宋"/>
          <w:sz w:val="28"/>
          <w:szCs w:val="28"/>
        </w:rPr>
        <w:sectPr>
          <w:footerReference r:id="rId3" w:type="default"/>
          <w:pgSz w:w="11907" w:h="16840"/>
          <w:pgMar w:top="1418" w:right="1418" w:bottom="1418" w:left="1418" w:header="851" w:footer="680" w:gutter="0"/>
          <w:cols w:space="720" w:num="1"/>
        </w:sectPr>
      </w:pPr>
    </w:p>
    <w:p w14:paraId="76815BE4">
      <w:pPr>
        <w:rPr>
          <w:szCs w:val="20"/>
        </w:rPr>
      </w:pPr>
    </w:p>
    <w:p w14:paraId="484CA22C">
      <w:pPr>
        <w:pStyle w:val="2"/>
        <w:numPr>
          <w:ilvl w:val="0"/>
          <w:numId w:val="0"/>
        </w:numPr>
        <w:spacing w:before="0" w:after="0" w:line="560" w:lineRule="exact"/>
        <w:ind w:left="431" w:firstLine="1928" w:firstLineChars="400"/>
        <w:rPr>
          <w:rFonts w:ascii="黑体" w:hAnsi="黑体" w:eastAsia="黑体"/>
          <w:sz w:val="48"/>
          <w:szCs w:val="48"/>
        </w:rPr>
      </w:pPr>
      <w:bookmarkStart w:id="13" w:name="_Toc228364642"/>
      <w:r>
        <w:rPr>
          <w:rFonts w:hint="eastAsia" w:ascii="黑体" w:hAnsi="黑体" w:eastAsia="黑体"/>
          <w:sz w:val="48"/>
          <w:szCs w:val="48"/>
        </w:rPr>
        <w:t>第二章 投标须知</w:t>
      </w:r>
      <w:bookmarkEnd w:id="13"/>
    </w:p>
    <w:p w14:paraId="518EF257">
      <w:pPr>
        <w:rPr>
          <w:rFonts w:ascii="黑体" w:hAnsi="黑体" w:eastAsia="黑体"/>
          <w:sz w:val="44"/>
          <w:szCs w:val="44"/>
        </w:rPr>
      </w:pPr>
    </w:p>
    <w:p w14:paraId="4DDEAD79">
      <w:pPr>
        <w:pStyle w:val="3"/>
        <w:spacing w:before="0" w:after="0" w:line="560" w:lineRule="exact"/>
        <w:ind w:left="210"/>
        <w:jc w:val="center"/>
        <w:rPr>
          <w:rFonts w:ascii="黑体" w:hAnsi="黑体" w:eastAsia="黑体"/>
          <w:sz w:val="44"/>
          <w:szCs w:val="44"/>
        </w:rPr>
      </w:pPr>
      <w:bookmarkStart w:id="14" w:name="_Toc228364643"/>
      <w:r>
        <w:rPr>
          <w:rFonts w:hint="eastAsia" w:ascii="黑体" w:hAnsi="黑体"/>
          <w:b/>
          <w:sz w:val="44"/>
          <w:szCs w:val="44"/>
        </w:rPr>
        <w:t>一、投标须知前附件</w:t>
      </w:r>
      <w:bookmarkEnd w:id="14"/>
    </w:p>
    <w:p w14:paraId="69EF221F">
      <w:pPr>
        <w:rPr>
          <w:szCs w:val="20"/>
        </w:rPr>
      </w:pPr>
    </w:p>
    <w:p w14:paraId="6862A757">
      <w:pPr>
        <w:pStyle w:val="5"/>
        <w:spacing w:before="0" w:after="0" w:line="560" w:lineRule="exact"/>
        <w:jc w:val="center"/>
        <w:rPr>
          <w:rFonts w:ascii="黑体" w:hAnsi="黑体" w:eastAsia="黑体"/>
          <w:szCs w:val="36"/>
        </w:rPr>
      </w:pPr>
      <w:bookmarkStart w:id="15" w:name="_Toc228364644"/>
      <w:r>
        <w:rPr>
          <w:rFonts w:hint="eastAsia" w:ascii="黑体" w:hAnsi="黑体" w:eastAsia="黑体"/>
          <w:b/>
          <w:szCs w:val="36"/>
        </w:rPr>
        <w:t>（一）投标须知前附表1</w:t>
      </w:r>
      <w:bookmarkEnd w:id="15"/>
    </w:p>
    <w:p w14:paraId="7BE62CC0">
      <w:pPr>
        <w:rPr>
          <w:szCs w:val="20"/>
        </w:rPr>
      </w:pPr>
    </w:p>
    <w:tbl>
      <w:tblPr>
        <w:tblStyle w:val="38"/>
        <w:tblW w:w="9135" w:type="dxa"/>
        <w:jc w:val="center"/>
        <w:tblLayout w:type="fixed"/>
        <w:tblCellMar>
          <w:top w:w="0" w:type="dxa"/>
          <w:left w:w="108" w:type="dxa"/>
          <w:bottom w:w="0" w:type="dxa"/>
          <w:right w:w="108" w:type="dxa"/>
        </w:tblCellMar>
      </w:tblPr>
      <w:tblGrid>
        <w:gridCol w:w="901"/>
        <w:gridCol w:w="1985"/>
        <w:gridCol w:w="6249"/>
      </w:tblGrid>
      <w:tr w14:paraId="0FC53820">
        <w:tblPrEx>
          <w:tblCellMar>
            <w:top w:w="0" w:type="dxa"/>
            <w:left w:w="108" w:type="dxa"/>
            <w:bottom w:w="0" w:type="dxa"/>
            <w:right w:w="108" w:type="dxa"/>
          </w:tblCellMar>
        </w:tblPrEx>
        <w:trPr>
          <w:trHeight w:val="598" w:hRule="atLeast"/>
          <w:jc w:val="center"/>
        </w:trPr>
        <w:tc>
          <w:tcPr>
            <w:tcW w:w="901" w:type="dxa"/>
            <w:tcBorders>
              <w:top w:val="single" w:color="000000" w:sz="4" w:space="0"/>
              <w:left w:val="single" w:color="000000" w:sz="4" w:space="0"/>
              <w:bottom w:val="single" w:color="000000" w:sz="4" w:space="0"/>
              <w:right w:val="single" w:color="000000" w:sz="6" w:space="0"/>
            </w:tcBorders>
            <w:vAlign w:val="center"/>
          </w:tcPr>
          <w:p w14:paraId="34C5A923">
            <w:pPr>
              <w:spacing w:line="400" w:lineRule="exact"/>
              <w:jc w:val="center"/>
              <w:rPr>
                <w:rFonts w:ascii="仿宋" w:hAnsi="仿宋" w:eastAsia="仿宋"/>
                <w:b/>
                <w:sz w:val="28"/>
                <w:szCs w:val="28"/>
              </w:rPr>
            </w:pPr>
            <w:r>
              <w:rPr>
                <w:rFonts w:hint="eastAsia" w:ascii="仿宋" w:hAnsi="仿宋" w:eastAsia="仿宋"/>
                <w:b/>
                <w:sz w:val="28"/>
                <w:szCs w:val="28"/>
              </w:rPr>
              <w:t>序号</w:t>
            </w:r>
          </w:p>
        </w:tc>
        <w:tc>
          <w:tcPr>
            <w:tcW w:w="1984" w:type="dxa"/>
            <w:tcBorders>
              <w:top w:val="single" w:color="000000" w:sz="4" w:space="0"/>
              <w:left w:val="single" w:color="000000" w:sz="6" w:space="0"/>
              <w:bottom w:val="single" w:color="000000" w:sz="4" w:space="0"/>
              <w:right w:val="single" w:color="000000" w:sz="6" w:space="0"/>
            </w:tcBorders>
            <w:vAlign w:val="center"/>
          </w:tcPr>
          <w:p w14:paraId="194AA224">
            <w:pPr>
              <w:spacing w:line="400" w:lineRule="exact"/>
              <w:jc w:val="center"/>
              <w:rPr>
                <w:rFonts w:ascii="仿宋" w:hAnsi="仿宋" w:eastAsia="仿宋"/>
                <w:b/>
                <w:sz w:val="28"/>
                <w:szCs w:val="28"/>
              </w:rPr>
            </w:pPr>
            <w:r>
              <w:rPr>
                <w:rFonts w:hint="eastAsia" w:ascii="仿宋" w:hAnsi="仿宋" w:eastAsia="仿宋"/>
                <w:b/>
                <w:sz w:val="28"/>
                <w:szCs w:val="28"/>
              </w:rPr>
              <w:t>内 容</w:t>
            </w:r>
          </w:p>
        </w:tc>
        <w:tc>
          <w:tcPr>
            <w:tcW w:w="6246" w:type="dxa"/>
            <w:tcBorders>
              <w:top w:val="single" w:color="000000" w:sz="4" w:space="0"/>
              <w:left w:val="single" w:color="000000" w:sz="6" w:space="0"/>
              <w:bottom w:val="single" w:color="000000" w:sz="4" w:space="0"/>
              <w:right w:val="single" w:color="000000" w:sz="4" w:space="0"/>
            </w:tcBorders>
            <w:vAlign w:val="center"/>
          </w:tcPr>
          <w:p w14:paraId="1321713F">
            <w:pPr>
              <w:spacing w:line="400" w:lineRule="exact"/>
              <w:jc w:val="center"/>
              <w:rPr>
                <w:rFonts w:ascii="仿宋" w:hAnsi="仿宋" w:eastAsia="仿宋"/>
                <w:b/>
                <w:sz w:val="28"/>
                <w:szCs w:val="28"/>
              </w:rPr>
            </w:pPr>
            <w:r>
              <w:rPr>
                <w:rFonts w:hint="eastAsia" w:ascii="仿宋" w:hAnsi="仿宋" w:eastAsia="仿宋"/>
                <w:b/>
                <w:sz w:val="28"/>
                <w:szCs w:val="28"/>
              </w:rPr>
              <w:t>规   定</w:t>
            </w:r>
          </w:p>
        </w:tc>
      </w:tr>
      <w:tr w14:paraId="0F268A15">
        <w:tblPrEx>
          <w:tblCellMar>
            <w:top w:w="0" w:type="dxa"/>
            <w:left w:w="108" w:type="dxa"/>
            <w:bottom w:w="0" w:type="dxa"/>
            <w:right w:w="108" w:type="dxa"/>
          </w:tblCellMar>
        </w:tblPrEx>
        <w:trPr>
          <w:trHeight w:val="698"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D141F">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65A21">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招 标 人</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4602A">
            <w:pPr>
              <w:tabs>
                <w:tab w:val="left" w:pos="51"/>
              </w:tabs>
              <w:snapToGrid w:val="0"/>
              <w:spacing w:line="276" w:lineRule="auto"/>
              <w:jc w:val="left"/>
              <w:rPr>
                <w:rFonts w:ascii="仿宋" w:hAnsi="仿宋"/>
                <w:sz w:val="28"/>
                <w:szCs w:val="28"/>
              </w:rPr>
            </w:pPr>
            <w:r>
              <w:rPr>
                <w:rFonts w:hint="eastAsia" w:ascii="仿宋" w:hAnsi="仿宋" w:eastAsia="仿宋"/>
                <w:sz w:val="28"/>
                <w:szCs w:val="28"/>
              </w:rPr>
              <w:t>深圳第一亚太物业管理有限公司深圳分公司</w:t>
            </w:r>
          </w:p>
        </w:tc>
      </w:tr>
      <w:tr w14:paraId="210F590E">
        <w:tblPrEx>
          <w:tblCellMar>
            <w:top w:w="0" w:type="dxa"/>
            <w:left w:w="108" w:type="dxa"/>
            <w:bottom w:w="0" w:type="dxa"/>
            <w:right w:w="108" w:type="dxa"/>
          </w:tblCellMar>
        </w:tblPrEx>
        <w:trPr>
          <w:trHeight w:val="698"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5F075">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8C5A1">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招标项目名称</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A768">
            <w:pPr>
              <w:tabs>
                <w:tab w:val="left" w:pos="51"/>
              </w:tabs>
              <w:snapToGrid w:val="0"/>
              <w:spacing w:line="276" w:lineRule="auto"/>
              <w:jc w:val="left"/>
              <w:rPr>
                <w:rFonts w:ascii="仿宋" w:hAnsi="仿宋" w:eastAsia="仿宋"/>
                <w:sz w:val="28"/>
                <w:szCs w:val="28"/>
              </w:rPr>
            </w:pPr>
            <w:r>
              <w:rPr>
                <w:rFonts w:hint="eastAsia" w:ascii="仿宋" w:hAnsi="仿宋" w:eastAsia="仿宋"/>
                <w:sz w:val="28"/>
                <w:szCs w:val="28"/>
                <w:lang w:eastAsia="zh-CN"/>
              </w:rPr>
              <w:t>深圳华南城一期市场阳光棚维修工程</w:t>
            </w:r>
          </w:p>
        </w:tc>
      </w:tr>
      <w:tr w14:paraId="3DB4B64C">
        <w:tblPrEx>
          <w:tblCellMar>
            <w:top w:w="0" w:type="dxa"/>
            <w:left w:w="108" w:type="dxa"/>
            <w:bottom w:w="0" w:type="dxa"/>
            <w:right w:w="108" w:type="dxa"/>
          </w:tblCellMar>
        </w:tblPrEx>
        <w:trPr>
          <w:trHeight w:val="567"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89292">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9878">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项目地点</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B52D">
            <w:pPr>
              <w:pStyle w:val="115"/>
              <w:spacing w:line="400" w:lineRule="exact"/>
              <w:ind w:firstLine="0" w:firstLineChars="0"/>
              <w:jc w:val="left"/>
              <w:rPr>
                <w:rFonts w:ascii="仿宋" w:hAnsi="仿宋" w:eastAsia="仿宋"/>
                <w:sz w:val="28"/>
                <w:szCs w:val="28"/>
              </w:rPr>
            </w:pPr>
            <w:r>
              <w:rPr>
                <w:rFonts w:hint="eastAsia" w:ascii="仿宋" w:hAnsi="仿宋" w:eastAsia="仿宋"/>
                <w:iCs/>
                <w:color w:val="000000"/>
                <w:sz w:val="28"/>
                <w:szCs w:val="28"/>
              </w:rPr>
              <w:t>深圳市龙岗区平湖街道华南大道一号</w:t>
            </w:r>
          </w:p>
        </w:tc>
      </w:tr>
      <w:tr w14:paraId="370E0F91">
        <w:tblPrEx>
          <w:tblCellMar>
            <w:top w:w="0" w:type="dxa"/>
            <w:left w:w="108" w:type="dxa"/>
            <w:bottom w:w="0" w:type="dxa"/>
            <w:right w:w="108" w:type="dxa"/>
          </w:tblCellMar>
        </w:tblPrEx>
        <w:trPr>
          <w:trHeight w:val="656"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E966">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F8505">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资金来源</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AD33">
            <w:pPr>
              <w:pStyle w:val="115"/>
              <w:spacing w:line="400" w:lineRule="exact"/>
              <w:ind w:left="357" w:hanging="357" w:firstLineChars="0"/>
              <w:rPr>
                <w:rFonts w:ascii="仿宋" w:hAnsi="仿宋" w:eastAsia="仿宋"/>
                <w:sz w:val="28"/>
                <w:szCs w:val="28"/>
                <w:u w:val="single"/>
              </w:rPr>
            </w:pPr>
            <w:r>
              <w:rPr>
                <w:rFonts w:hint="eastAsia" w:ascii="仿宋" w:hAnsi="仿宋" w:eastAsia="仿宋"/>
                <w:sz w:val="28"/>
                <w:szCs w:val="28"/>
              </w:rPr>
              <w:t>□国有资金</w:t>
            </w:r>
            <w:r>
              <w:rPr>
                <w:rFonts w:hint="eastAsia" w:ascii="仿宋" w:hAnsi="仿宋" w:eastAsia="仿宋"/>
                <w:sz w:val="28"/>
                <w:szCs w:val="28"/>
                <w:u w:val="single"/>
              </w:rPr>
              <w:t xml:space="preserve"> / </w:t>
            </w:r>
            <w:r>
              <w:rPr>
                <w:rFonts w:hint="eastAsia" w:ascii="仿宋" w:hAnsi="仿宋" w:eastAsia="仿宋"/>
                <w:sz w:val="28"/>
                <w:szCs w:val="28"/>
              </w:rPr>
              <w:t>%</w:t>
            </w:r>
            <w:r>
              <w:rPr>
                <w:rFonts w:ascii="Segoe UI Symbol" w:hAnsi="Segoe UI Symbol" w:eastAsia="仿宋" w:cs="Segoe UI Symbol"/>
                <w:sz w:val="28"/>
                <w:szCs w:val="28"/>
              </w:rPr>
              <w:t>☑</w:t>
            </w:r>
            <w:r>
              <w:rPr>
                <w:rFonts w:hint="eastAsia" w:ascii="仿宋" w:hAnsi="仿宋" w:eastAsia="仿宋" w:cs="仿宋"/>
                <w:sz w:val="28"/>
                <w:szCs w:val="28"/>
              </w:rPr>
              <w:t>其他资金</w:t>
            </w:r>
            <w:r>
              <w:rPr>
                <w:rFonts w:hint="eastAsia" w:ascii="仿宋" w:hAnsi="仿宋" w:eastAsia="仿宋"/>
                <w:sz w:val="28"/>
                <w:szCs w:val="28"/>
                <w:u w:val="single"/>
              </w:rPr>
              <w:t xml:space="preserve">  </w:t>
            </w:r>
            <w:r>
              <w:rPr>
                <w:rFonts w:hint="eastAsia" w:ascii="仿宋" w:hAnsi="仿宋" w:eastAsia="仿宋"/>
                <w:sz w:val="28"/>
                <w:szCs w:val="28"/>
                <w:highlight w:val="none"/>
                <w:u w:val="single"/>
                <w:lang w:val="en-US" w:eastAsia="zh-CN"/>
              </w:rPr>
              <w:t>甲方出资</w:t>
            </w:r>
            <w:r>
              <w:rPr>
                <w:rFonts w:hint="eastAsia" w:ascii="仿宋" w:hAnsi="仿宋" w:eastAsia="仿宋"/>
                <w:sz w:val="28"/>
                <w:szCs w:val="28"/>
                <w:u w:val="single"/>
              </w:rPr>
              <w:t xml:space="preserve">  </w:t>
            </w:r>
          </w:p>
        </w:tc>
      </w:tr>
      <w:tr w14:paraId="608B14E1">
        <w:tblPrEx>
          <w:tblCellMar>
            <w:top w:w="0" w:type="dxa"/>
            <w:left w:w="108" w:type="dxa"/>
            <w:bottom w:w="0" w:type="dxa"/>
            <w:right w:w="108" w:type="dxa"/>
          </w:tblCellMar>
        </w:tblPrEx>
        <w:trPr>
          <w:trHeight w:val="635"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F19E">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DF652">
            <w:pPr>
              <w:pStyle w:val="115"/>
              <w:spacing w:line="400" w:lineRule="exact"/>
              <w:ind w:firstLine="0" w:firstLineChars="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招标范围</w:t>
            </w:r>
          </w:p>
          <w:p w14:paraId="0CA92BF5">
            <w:pPr>
              <w:pStyle w:val="115"/>
              <w:spacing w:line="400" w:lineRule="exact"/>
              <w:ind w:firstLine="0" w:firstLineChars="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及内容</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18DF1">
            <w:pPr>
              <w:autoSpaceDE w:val="0"/>
              <w:autoSpaceDN w:val="0"/>
              <w:spacing w:line="360" w:lineRule="auto"/>
              <w:rPr>
                <w:rFonts w:hint="eastAsia" w:ascii="仿宋" w:hAnsi="仿宋" w:eastAsia="仿宋" w:cs="Times New Roman"/>
                <w:iCs/>
                <w:color w:val="000000"/>
                <w:kern w:val="2"/>
                <w:sz w:val="28"/>
                <w:szCs w:val="28"/>
                <w:lang w:val="en-US" w:eastAsia="zh-CN" w:bidi="ar-SA"/>
              </w:rPr>
            </w:pPr>
            <w:r>
              <w:rPr>
                <w:rFonts w:hint="eastAsia" w:ascii="仿宋" w:hAnsi="仿宋" w:eastAsia="仿宋" w:cs="Times New Roman"/>
                <w:iCs/>
                <w:color w:val="000000"/>
                <w:kern w:val="2"/>
                <w:sz w:val="28"/>
                <w:szCs w:val="28"/>
                <w:lang w:val="en-US" w:eastAsia="zh-CN" w:bidi="ar-SA"/>
              </w:rPr>
              <w:t>深圳华南城一期市场自持区域</w:t>
            </w:r>
          </w:p>
          <w:p w14:paraId="71B42D18">
            <w:pPr>
              <w:autoSpaceDE w:val="0"/>
              <w:autoSpaceDN w:val="0"/>
              <w:spacing w:line="360" w:lineRule="auto"/>
              <w:rPr>
                <w:rFonts w:hint="eastAsia" w:hAnsi="宋体" w:cs="宋体"/>
                <w:bCs/>
                <w:iCs/>
                <w:sz w:val="24"/>
                <w:lang w:val="en-US" w:eastAsia="zh-CN"/>
              </w:rPr>
            </w:pPr>
            <w:r>
              <w:rPr>
                <w:rFonts w:hint="eastAsia" w:ascii="仿宋" w:hAnsi="仿宋" w:eastAsia="仿宋" w:cs="Times New Roman"/>
                <w:iCs/>
                <w:color w:val="000000"/>
                <w:kern w:val="2"/>
                <w:sz w:val="28"/>
                <w:szCs w:val="28"/>
                <w:lang w:val="en-US" w:eastAsia="zh-CN" w:bidi="ar-SA"/>
              </w:rPr>
              <w:t>阳光棚维修工程：更换阳光板707张，阳光棚钢结构加固及翻新的数量共1925㎡</w:t>
            </w:r>
          </w:p>
        </w:tc>
      </w:tr>
      <w:tr w14:paraId="3D4880C0">
        <w:tblPrEx>
          <w:tblCellMar>
            <w:top w:w="0" w:type="dxa"/>
            <w:left w:w="108" w:type="dxa"/>
            <w:bottom w:w="0" w:type="dxa"/>
            <w:right w:w="108" w:type="dxa"/>
          </w:tblCellMar>
        </w:tblPrEx>
        <w:trPr>
          <w:trHeight w:val="1441"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B8F63">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635C">
            <w:pPr>
              <w:pStyle w:val="115"/>
              <w:spacing w:line="400" w:lineRule="exact"/>
              <w:ind w:firstLine="0" w:firstLineChars="0"/>
              <w:jc w:val="center"/>
              <w:rPr>
                <w:rFonts w:ascii="仿宋" w:hAnsi="仿宋" w:eastAsia="仿宋"/>
                <w:sz w:val="28"/>
                <w:szCs w:val="28"/>
              </w:rPr>
            </w:pPr>
            <w:r>
              <w:rPr>
                <w:rFonts w:hint="eastAsia" w:ascii="仿宋" w:hAnsi="仿宋" w:eastAsia="仿宋"/>
                <w:sz w:val="28"/>
                <w:szCs w:val="28"/>
              </w:rPr>
              <w:t>招标方式</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7A2F">
            <w:pPr>
              <w:autoSpaceDE w:val="0"/>
              <w:autoSpaceDN w:val="0"/>
              <w:adjustRightInd w:val="0"/>
              <w:spacing w:line="400" w:lineRule="exact"/>
              <w:jc w:val="left"/>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公开招</w:t>
            </w:r>
            <w:r>
              <w:rPr>
                <w:rFonts w:hint="eastAsia" w:ascii="仿宋" w:hAnsi="仿宋" w:eastAsia="仿宋"/>
                <w:sz w:val="28"/>
                <w:szCs w:val="28"/>
              </w:rPr>
              <w:t>标</w:t>
            </w:r>
          </w:p>
          <w:p w14:paraId="3F1A18DE">
            <w:pPr>
              <w:autoSpaceDE w:val="0"/>
              <w:autoSpaceDN w:val="0"/>
              <w:adjustRightInd w:val="0"/>
              <w:spacing w:line="400" w:lineRule="exact"/>
              <w:jc w:val="left"/>
              <w:rPr>
                <w:rFonts w:ascii="仿宋" w:hAnsi="仿宋" w:eastAsia="仿宋"/>
                <w:sz w:val="28"/>
                <w:szCs w:val="28"/>
              </w:rPr>
            </w:pPr>
            <w:r>
              <w:rPr>
                <w:rFonts w:hint="eastAsia" w:ascii="仿宋" w:hAnsi="仿宋" w:eastAsia="仿宋"/>
                <w:sz w:val="28"/>
                <w:szCs w:val="28"/>
              </w:rPr>
              <w:t>□邀请招标</w:t>
            </w:r>
          </w:p>
        </w:tc>
      </w:tr>
      <w:tr w14:paraId="637C717B">
        <w:tblPrEx>
          <w:tblCellMar>
            <w:top w:w="0" w:type="dxa"/>
            <w:left w:w="108" w:type="dxa"/>
            <w:bottom w:w="0" w:type="dxa"/>
            <w:right w:w="108" w:type="dxa"/>
          </w:tblCellMar>
        </w:tblPrEx>
        <w:trPr>
          <w:trHeight w:val="6542"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8BF0">
            <w:pPr>
              <w:spacing w:line="400" w:lineRule="exact"/>
              <w:ind w:firstLine="280" w:firstLineChars="100"/>
              <w:rPr>
                <w:rFonts w:ascii="仿宋" w:hAnsi="仿宋" w:eastAsia="仿宋"/>
                <w:sz w:val="28"/>
                <w:szCs w:val="28"/>
              </w:rPr>
            </w:pPr>
            <w:r>
              <w:rPr>
                <w:rFonts w:hint="eastAsia" w:ascii="仿宋" w:hAnsi="仿宋" w:eastAsia="仿宋"/>
                <w:sz w:val="28"/>
                <w:szCs w:val="28"/>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47BFB">
            <w:pPr>
              <w:pStyle w:val="115"/>
              <w:spacing w:line="400" w:lineRule="exact"/>
              <w:ind w:firstLine="0" w:firstLineChars="0"/>
              <w:jc w:val="center"/>
              <w:rPr>
                <w:rFonts w:ascii="仿宋" w:hAnsi="仿宋" w:eastAsia="仿宋"/>
                <w:sz w:val="28"/>
                <w:szCs w:val="28"/>
              </w:rPr>
            </w:pPr>
            <w:r>
              <w:rPr>
                <w:rFonts w:hint="eastAsia" w:ascii="仿宋" w:hAnsi="仿宋" w:eastAsia="仿宋"/>
                <w:sz w:val="28"/>
                <w:szCs w:val="28"/>
              </w:rPr>
              <w:t>投标人</w:t>
            </w:r>
          </w:p>
          <w:p w14:paraId="3DED2B26">
            <w:pPr>
              <w:pStyle w:val="115"/>
              <w:spacing w:line="400" w:lineRule="exact"/>
              <w:ind w:firstLine="0" w:firstLineChars="0"/>
              <w:jc w:val="center"/>
              <w:rPr>
                <w:rFonts w:ascii="仿宋" w:hAnsi="仿宋" w:eastAsia="仿宋"/>
                <w:sz w:val="28"/>
                <w:szCs w:val="28"/>
              </w:rPr>
            </w:pPr>
            <w:r>
              <w:rPr>
                <w:rFonts w:hint="eastAsia" w:ascii="仿宋" w:hAnsi="仿宋" w:eastAsia="仿宋"/>
                <w:sz w:val="28"/>
                <w:szCs w:val="28"/>
              </w:rPr>
              <w:t>资格要求</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51E4">
            <w:pPr>
              <w:autoSpaceDE w:val="0"/>
              <w:autoSpaceDN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（一）企业资格要求： </w:t>
            </w:r>
          </w:p>
          <w:p w14:paraId="0602FFA6">
            <w:pPr>
              <w:wordWrap w:val="0"/>
              <w:autoSpaceDE w:val="0"/>
              <w:autoSpaceDN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1.投标单位必须为中华人民共和国境内注册且合法运作的企业，或法人授权的、合法注册的分支机构，或其他组织，具有从事</w:t>
            </w:r>
            <w:r>
              <w:rPr>
                <w:rFonts w:hint="eastAsia" w:ascii="仿宋" w:hAnsi="仿宋" w:eastAsia="仿宋"/>
                <w:color w:val="000000" w:themeColor="text1"/>
                <w:sz w:val="28"/>
                <w:szCs w:val="28"/>
                <w:highlight w:val="none"/>
                <w:lang w:val="en-US" w:eastAsia="zh-CN"/>
                <w14:textFill>
                  <w14:solidFill>
                    <w14:schemeClr w14:val="tx1"/>
                  </w14:solidFill>
                </w14:textFill>
              </w:rPr>
              <w:t>建筑及安装、装饰装修、钢结构施工等</w:t>
            </w:r>
            <w:r>
              <w:rPr>
                <w:rFonts w:hint="eastAsia" w:ascii="仿宋" w:hAnsi="仿宋" w:eastAsia="仿宋"/>
                <w:color w:val="000000" w:themeColor="text1"/>
                <w:sz w:val="28"/>
                <w:szCs w:val="28"/>
                <w:highlight w:val="none"/>
                <w14:textFill>
                  <w14:solidFill>
                    <w14:schemeClr w14:val="tx1"/>
                  </w14:solidFill>
                </w14:textFill>
              </w:rPr>
              <w:t>相关经营范围和能力。(投标单位必须提供营业执照复印件，因新版营业执照未体现营业范围及注册资金，若已更换新版营业执照，投标单位须同时提供商事主体临时信用信息平台http://www.gsxt.gov.cn/index.html/或市场主体信息查询平台中相关备案情况截图)</w:t>
            </w:r>
          </w:p>
          <w:p w14:paraId="699B5143">
            <w:pPr>
              <w:autoSpaceDE w:val="0"/>
              <w:autoSpaceDN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2.投标单位注册资金必须为人民币200万(含)以上，并在工商部门登记成立2年(含)以上的企业。(投标单位必须提供营业执照复印件加盖公章，分支机构以总公司注册资金为准)；</w:t>
            </w:r>
          </w:p>
          <w:p w14:paraId="20EFD5A6">
            <w:pPr>
              <w:autoSpaceDE w:val="0"/>
              <w:autoSpaceDN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投标单位在参加本项目投标活动前三年至今，在经营活动中无重大违法记录，无不良业绩、无不良信用记录。（投标单位提供自我承诺和“国家企业信用信息公示系统”中公示的行政处罚信息、列入经营异常名录信息、列入严重违法失信名单（黑名单）信息截图）</w:t>
            </w:r>
            <w:r>
              <w:rPr>
                <w:rFonts w:ascii="Calibri" w:hAnsi="Calibri" w:eastAsia="仿宋" w:cs="Calibri"/>
                <w:color w:val="000000" w:themeColor="text1"/>
                <w:sz w:val="28"/>
                <w:szCs w:val="28"/>
                <w:highlight w:val="none"/>
                <w14:textFill>
                  <w14:solidFill>
                    <w14:schemeClr w14:val="tx1"/>
                  </w14:solidFill>
                </w14:textFill>
              </w:rPr>
              <w:t> </w:t>
            </w:r>
          </w:p>
          <w:p w14:paraId="75D2C344">
            <w:pPr>
              <w:autoSpaceDE w:val="0"/>
              <w:autoSpaceDN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4.投标单位参加本次招标采购活动，不存在单位负责人为同一人或者存在直接控股、管理关系的其他供应商参与我司同一标段投标或者未划分标段的同一招标项目投标。（投标单位提供承诺函（格式自拟））</w:t>
            </w:r>
          </w:p>
          <w:p w14:paraId="673FB4AD">
            <w:pPr>
              <w:autoSpaceDE w:val="0"/>
              <w:autoSpaceDN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5.投标单位参加本次招标采购活动，不存在和其他供应商在同一采购项目中，同时委托同一个自然人、同一家庭的人员、同一单位的人员作为代理人的行为。（投标单位提供承诺函（格式自拟））</w:t>
            </w:r>
          </w:p>
          <w:p w14:paraId="11D971D9">
            <w:pPr>
              <w:autoSpaceDE w:val="0"/>
              <w:autoSpaceDN w:val="0"/>
              <w:spacing w:line="560" w:lineRule="exact"/>
              <w:rPr>
                <w:rFonts w:ascii="仿宋" w:hAnsi="仿宋" w:eastAsia="仿宋"/>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6.投标单位完全接受和满足本项目招标文件中规定的实质性要求，如对招标文件有异议，已在投标截止时间届满前依法进行维权救济，不存在对招标文件有异议的同时又参加投标以求侥幸中标或者为实现其他非法目的的行为。（投标单位提供承诺函（格式自拟））</w:t>
            </w:r>
          </w:p>
        </w:tc>
      </w:tr>
      <w:tr w14:paraId="5CC6EDB7">
        <w:tblPrEx>
          <w:tblCellMar>
            <w:top w:w="0" w:type="dxa"/>
            <w:left w:w="108" w:type="dxa"/>
            <w:bottom w:w="0" w:type="dxa"/>
            <w:right w:w="108" w:type="dxa"/>
          </w:tblCellMar>
        </w:tblPrEx>
        <w:trPr>
          <w:trHeight w:val="1117"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1B788">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6683">
            <w:pPr>
              <w:pStyle w:val="115"/>
              <w:spacing w:line="400" w:lineRule="exact"/>
              <w:ind w:firstLine="0" w:firstLineChars="0"/>
              <w:jc w:val="center"/>
              <w:rPr>
                <w:rFonts w:ascii="仿宋" w:hAnsi="仿宋" w:eastAsia="仿宋"/>
                <w:sz w:val="28"/>
                <w:szCs w:val="28"/>
                <w:highlight w:val="yellow"/>
              </w:rPr>
            </w:pPr>
            <w:r>
              <w:rPr>
                <w:rFonts w:hint="eastAsia" w:ascii="仿宋" w:hAnsi="仿宋" w:eastAsia="仿宋"/>
                <w:sz w:val="28"/>
                <w:szCs w:val="28"/>
              </w:rPr>
              <w:t>投标人项目负责人资格要求</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F17D9">
            <w:pPr>
              <w:autoSpaceDE w:val="0"/>
              <w:autoSpaceDN w:val="0"/>
              <w:spacing w:line="560" w:lineRule="exact"/>
              <w:rPr>
                <w:rFonts w:hint="default" w:ascii="仿宋" w:hAnsi="仿宋" w:eastAsia="仿宋"/>
                <w:sz w:val="28"/>
                <w:szCs w:val="28"/>
                <w:highlight w:val="none"/>
                <w:lang w:val="en-US"/>
              </w:rPr>
            </w:pPr>
            <w:r>
              <w:rPr>
                <w:rFonts w:hint="eastAsia" w:ascii="仿宋" w:hAnsi="仿宋" w:eastAsia="仿宋"/>
                <w:sz w:val="28"/>
                <w:szCs w:val="28"/>
                <w:highlight w:val="none"/>
              </w:rPr>
              <w:t>具备</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年以上</w:t>
            </w:r>
            <w:r>
              <w:rPr>
                <w:rFonts w:hint="eastAsia" w:ascii="仿宋" w:hAnsi="仿宋" w:eastAsia="仿宋"/>
                <w:color w:val="000000" w:themeColor="text1"/>
                <w:sz w:val="28"/>
                <w:szCs w:val="28"/>
                <w:highlight w:val="none"/>
                <w:lang w:val="en-US" w:eastAsia="zh-CN"/>
                <w14:textFill>
                  <w14:solidFill>
                    <w14:schemeClr w14:val="tx1"/>
                  </w14:solidFill>
                </w14:textFill>
              </w:rPr>
              <w:t>建筑及安装、装饰装修或钢结构施工等工程经验。</w:t>
            </w:r>
          </w:p>
        </w:tc>
      </w:tr>
      <w:tr w14:paraId="788E799F">
        <w:tblPrEx>
          <w:tblCellMar>
            <w:top w:w="0" w:type="dxa"/>
            <w:left w:w="108" w:type="dxa"/>
            <w:bottom w:w="0" w:type="dxa"/>
            <w:right w:w="108" w:type="dxa"/>
          </w:tblCellMar>
        </w:tblPrEx>
        <w:trPr>
          <w:trHeight w:val="1665"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9EF0B">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2F94">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资格审查</w:t>
            </w:r>
          </w:p>
          <w:p w14:paraId="477B6BB8">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方式</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4A91">
            <w:pPr>
              <w:pStyle w:val="115"/>
              <w:spacing w:line="400" w:lineRule="exact"/>
              <w:ind w:left="357" w:hanging="357" w:firstLineChars="0"/>
              <w:jc w:val="left"/>
              <w:rPr>
                <w:rFonts w:ascii="仿宋" w:hAnsi="仿宋" w:eastAsia="仿宋"/>
                <w:sz w:val="28"/>
                <w:szCs w:val="28"/>
              </w:rPr>
            </w:pPr>
            <w:r>
              <w:rPr>
                <w:rFonts w:hint="eastAsia" w:ascii="仿宋" w:hAnsi="仿宋" w:eastAsia="仿宋"/>
                <w:sz w:val="28"/>
                <w:szCs w:val="28"/>
              </w:rPr>
              <w:t>□资格预审</w:t>
            </w:r>
          </w:p>
          <w:p w14:paraId="11E32D2D">
            <w:pPr>
              <w:pStyle w:val="115"/>
              <w:spacing w:line="400" w:lineRule="exact"/>
              <w:ind w:left="357" w:hanging="357" w:firstLineChars="0"/>
              <w:jc w:val="left"/>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资格后</w:t>
            </w:r>
            <w:r>
              <w:rPr>
                <w:rFonts w:hint="eastAsia" w:ascii="仿宋" w:hAnsi="仿宋" w:eastAsia="仿宋"/>
                <w:sz w:val="28"/>
                <w:szCs w:val="28"/>
              </w:rPr>
              <w:t>审</w:t>
            </w:r>
          </w:p>
          <w:p w14:paraId="0AD0719D">
            <w:pPr>
              <w:topLinePunct/>
              <w:adjustRightInd w:val="0"/>
              <w:snapToGrid w:val="0"/>
              <w:spacing w:line="520" w:lineRule="exact"/>
              <w:rPr>
                <w:rFonts w:ascii="仿宋" w:hAnsi="仿宋" w:eastAsia="仿宋" w:cs="宋体"/>
                <w:kern w:val="0"/>
                <w:sz w:val="28"/>
                <w:szCs w:val="28"/>
              </w:rPr>
            </w:pPr>
            <w:r>
              <w:rPr>
                <w:rFonts w:hint="eastAsia" w:ascii="仿宋" w:hAnsi="仿宋" w:eastAsia="仿宋" w:cs="宋体"/>
                <w:kern w:val="0"/>
                <w:sz w:val="28"/>
                <w:szCs w:val="28"/>
              </w:rPr>
              <w:t>□投标报名</w:t>
            </w:r>
          </w:p>
          <w:p w14:paraId="1D239C62">
            <w:pPr>
              <w:pStyle w:val="115"/>
              <w:spacing w:line="400" w:lineRule="exact"/>
              <w:ind w:left="357" w:hanging="357" w:firstLineChars="0"/>
              <w:jc w:val="left"/>
              <w:rPr>
                <w:rFonts w:ascii="仿宋" w:hAnsi="仿宋" w:eastAsia="仿宋"/>
                <w:sz w:val="28"/>
                <w:szCs w:val="28"/>
              </w:rPr>
            </w:pPr>
            <w:r>
              <w:rPr>
                <w:rFonts w:hint="eastAsia" w:ascii="仿宋" w:hAnsi="仿宋" w:eastAsia="仿宋"/>
                <w:sz w:val="28"/>
                <w:szCs w:val="28"/>
              </w:rPr>
              <w:t>□投标邀请</w:t>
            </w:r>
          </w:p>
        </w:tc>
      </w:tr>
      <w:tr w14:paraId="36DFCAEC">
        <w:tblPrEx>
          <w:tblCellMar>
            <w:top w:w="0" w:type="dxa"/>
            <w:left w:w="108" w:type="dxa"/>
            <w:bottom w:w="0" w:type="dxa"/>
            <w:right w:w="108" w:type="dxa"/>
          </w:tblCellMar>
        </w:tblPrEx>
        <w:trPr>
          <w:trHeight w:val="897"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729C6">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8FD83">
            <w:pPr>
              <w:spacing w:line="360" w:lineRule="auto"/>
              <w:jc w:val="center"/>
              <w:rPr>
                <w:rFonts w:ascii="仿宋" w:hAnsi="仿宋" w:eastAsia="仿宋" w:cs="宋体"/>
                <w:sz w:val="28"/>
                <w:szCs w:val="28"/>
              </w:rPr>
            </w:pPr>
            <w:r>
              <w:rPr>
                <w:rFonts w:hint="eastAsia" w:ascii="仿宋" w:hAnsi="仿宋" w:eastAsia="仿宋" w:cs="宋体"/>
                <w:sz w:val="28"/>
                <w:szCs w:val="28"/>
              </w:rPr>
              <w:t>是否接受</w:t>
            </w:r>
          </w:p>
          <w:p w14:paraId="6D1BB651">
            <w:pPr>
              <w:pStyle w:val="115"/>
              <w:spacing w:line="400" w:lineRule="exact"/>
              <w:ind w:left="357" w:hanging="357" w:firstLineChars="0"/>
              <w:jc w:val="center"/>
              <w:rPr>
                <w:rFonts w:ascii="仿宋" w:hAnsi="仿宋" w:eastAsia="仿宋"/>
                <w:sz w:val="28"/>
                <w:szCs w:val="28"/>
              </w:rPr>
            </w:pPr>
            <w:r>
              <w:rPr>
                <w:rFonts w:hint="eastAsia" w:ascii="仿宋" w:hAnsi="仿宋" w:eastAsia="仿宋" w:cs="宋体"/>
                <w:sz w:val="28"/>
                <w:szCs w:val="28"/>
              </w:rPr>
              <w:t>联合体投标</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36842">
            <w:pPr>
              <w:pStyle w:val="115"/>
              <w:spacing w:line="400" w:lineRule="exact"/>
              <w:ind w:left="357" w:hanging="357" w:firstLineChars="0"/>
              <w:jc w:val="left"/>
              <w:rPr>
                <w:rFonts w:ascii="仿宋" w:hAnsi="仿宋" w:eastAsia="仿宋"/>
                <w:sz w:val="28"/>
                <w:szCs w:val="28"/>
              </w:rPr>
            </w:pPr>
            <w:r>
              <w:rPr>
                <w:rFonts w:ascii="Segoe UI Symbol" w:hAnsi="Segoe UI Symbol" w:eastAsia="仿宋" w:cs="Segoe UI Symbol"/>
                <w:color w:val="0000FF"/>
                <w:sz w:val="28"/>
                <w:szCs w:val="28"/>
              </w:rPr>
              <w:t>☑</w:t>
            </w:r>
            <w:r>
              <w:rPr>
                <w:rFonts w:hint="eastAsia" w:ascii="仿宋" w:hAnsi="仿宋" w:eastAsia="仿宋" w:cs="宋体"/>
                <w:sz w:val="28"/>
                <w:szCs w:val="28"/>
              </w:rPr>
              <w:t xml:space="preserve">不接受   </w:t>
            </w:r>
            <w:r>
              <w:rPr>
                <w:rFonts w:hint="eastAsia" w:ascii="仿宋" w:hAnsi="仿宋" w:eastAsia="仿宋" w:cs="宋体"/>
                <w:color w:val="0000FF"/>
                <w:sz w:val="28"/>
                <w:szCs w:val="28"/>
              </w:rPr>
              <w:t>□</w:t>
            </w:r>
            <w:r>
              <w:rPr>
                <w:rFonts w:hint="eastAsia" w:ascii="仿宋" w:hAnsi="仿宋" w:eastAsia="仿宋" w:cs="宋体"/>
                <w:sz w:val="28"/>
                <w:szCs w:val="28"/>
              </w:rPr>
              <w:t>接受</w:t>
            </w:r>
          </w:p>
        </w:tc>
      </w:tr>
      <w:tr w14:paraId="5926E458">
        <w:tblPrEx>
          <w:tblCellMar>
            <w:top w:w="0" w:type="dxa"/>
            <w:left w:w="108" w:type="dxa"/>
            <w:bottom w:w="0" w:type="dxa"/>
            <w:right w:w="108" w:type="dxa"/>
          </w:tblCellMar>
        </w:tblPrEx>
        <w:trPr>
          <w:trHeight w:val="1317"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1633F">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AD15">
            <w:pPr>
              <w:pStyle w:val="115"/>
              <w:spacing w:line="400" w:lineRule="exact"/>
              <w:ind w:left="357" w:hanging="357" w:firstLineChars="0"/>
              <w:jc w:val="center"/>
              <w:rPr>
                <w:rFonts w:ascii="仿宋" w:hAnsi="仿宋" w:eastAsia="仿宋"/>
                <w:sz w:val="28"/>
                <w:szCs w:val="28"/>
                <w:highlight w:val="none"/>
              </w:rPr>
            </w:pPr>
            <w:r>
              <w:rPr>
                <w:rFonts w:hint="eastAsia" w:ascii="仿宋" w:hAnsi="仿宋" w:eastAsia="仿宋"/>
                <w:sz w:val="28"/>
                <w:szCs w:val="28"/>
                <w:highlight w:val="none"/>
              </w:rPr>
              <w:t>投标报价</w:t>
            </w:r>
          </w:p>
          <w:p w14:paraId="6D7BDF51">
            <w:pPr>
              <w:pStyle w:val="115"/>
              <w:spacing w:line="400" w:lineRule="exact"/>
              <w:ind w:left="357" w:hanging="357" w:firstLineChars="0"/>
              <w:jc w:val="center"/>
              <w:rPr>
                <w:rFonts w:ascii="仿宋" w:hAnsi="仿宋" w:eastAsia="仿宋"/>
                <w:sz w:val="28"/>
                <w:szCs w:val="28"/>
                <w:highlight w:val="none"/>
              </w:rPr>
            </w:pPr>
            <w:r>
              <w:rPr>
                <w:rFonts w:hint="eastAsia" w:ascii="仿宋" w:hAnsi="仿宋" w:eastAsia="仿宋"/>
                <w:sz w:val="28"/>
                <w:szCs w:val="28"/>
                <w:highlight w:val="none"/>
              </w:rPr>
              <w:t>要求</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3524A">
            <w:pPr>
              <w:pStyle w:val="115"/>
              <w:numPr>
                <w:ilvl w:val="0"/>
                <w:numId w:val="4"/>
              </w:numPr>
              <w:wordWrap w:val="0"/>
              <w:spacing w:line="400" w:lineRule="exact"/>
              <w:ind w:firstLineChars="0"/>
              <w:rPr>
                <w:rFonts w:ascii="仿宋" w:hAnsi="仿宋" w:eastAsia="仿宋"/>
                <w:sz w:val="28"/>
                <w:szCs w:val="28"/>
                <w:highlight w:val="none"/>
              </w:rPr>
            </w:pPr>
            <w:r>
              <w:rPr>
                <w:rFonts w:hint="eastAsia" w:ascii="仿宋" w:hAnsi="仿宋" w:eastAsia="仿宋"/>
                <w:sz w:val="28"/>
                <w:szCs w:val="28"/>
                <w:highlight w:val="none"/>
              </w:rPr>
              <w:t>本项目投标报价上限为</w:t>
            </w:r>
            <w:r>
              <w:rPr>
                <w:rFonts w:ascii="仿宋" w:hAnsi="仿宋" w:eastAsia="仿宋"/>
                <w:sz w:val="28"/>
                <w:szCs w:val="28"/>
                <w:highlight w:val="none"/>
              </w:rPr>
              <w:t>1</w:t>
            </w:r>
            <w:r>
              <w:rPr>
                <w:rFonts w:hint="eastAsia" w:ascii="仿宋" w:hAnsi="仿宋" w:eastAsia="仿宋"/>
                <w:sz w:val="28"/>
                <w:szCs w:val="28"/>
                <w:highlight w:val="none"/>
                <w:lang w:val="en-US" w:eastAsia="zh-CN"/>
              </w:rPr>
              <w:t>73</w:t>
            </w:r>
            <w:r>
              <w:rPr>
                <w:rFonts w:ascii="仿宋" w:hAnsi="仿宋" w:eastAsia="仿宋"/>
                <w:sz w:val="28"/>
                <w:szCs w:val="28"/>
                <w:highlight w:val="none"/>
              </w:rPr>
              <w:t>0000</w:t>
            </w:r>
            <w:r>
              <w:rPr>
                <w:rFonts w:hint="eastAsia" w:ascii="仿宋" w:hAnsi="仿宋" w:eastAsia="仿宋"/>
                <w:sz w:val="28"/>
                <w:szCs w:val="28"/>
                <w:highlight w:val="none"/>
              </w:rPr>
              <w:t>元（含税专票</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%），超过上限价的投标文件将被否决。</w:t>
            </w:r>
          </w:p>
          <w:p w14:paraId="0E57B062">
            <w:pPr>
              <w:pStyle w:val="115"/>
              <w:wordWrap w:val="0"/>
              <w:spacing w:line="400" w:lineRule="exact"/>
              <w:ind w:firstLine="0" w:firstLineChars="0"/>
              <w:rPr>
                <w:rFonts w:ascii="仿宋" w:hAnsi="仿宋" w:eastAsia="仿宋"/>
                <w:sz w:val="28"/>
                <w:szCs w:val="28"/>
                <w:highlight w:val="none"/>
              </w:rPr>
            </w:pPr>
            <w:r>
              <w:rPr>
                <w:rFonts w:hint="eastAsia" w:ascii="仿宋" w:hAnsi="仿宋" w:eastAsia="仿宋"/>
                <w:sz w:val="28"/>
                <w:szCs w:val="28"/>
                <w:highlight w:val="none"/>
              </w:rPr>
              <w:t>（二）本项目报价为方式为综合单价包干。</w:t>
            </w:r>
          </w:p>
        </w:tc>
      </w:tr>
      <w:tr w14:paraId="50261012">
        <w:tblPrEx>
          <w:tblCellMar>
            <w:top w:w="0" w:type="dxa"/>
            <w:left w:w="108" w:type="dxa"/>
            <w:bottom w:w="0" w:type="dxa"/>
            <w:right w:w="108" w:type="dxa"/>
          </w:tblCellMar>
        </w:tblPrEx>
        <w:trPr>
          <w:trHeight w:val="890" w:hRule="atLeast"/>
          <w:jc w:val="center"/>
        </w:trPr>
        <w:tc>
          <w:tcPr>
            <w:tcW w:w="90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2AF5531">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12</w:t>
            </w:r>
          </w:p>
        </w:tc>
        <w:tc>
          <w:tcPr>
            <w:tcW w:w="198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6C8DB7F">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投标货币</w:t>
            </w:r>
          </w:p>
        </w:tc>
        <w:tc>
          <w:tcPr>
            <w:tcW w:w="624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EF96350">
            <w:pPr>
              <w:pStyle w:val="115"/>
              <w:spacing w:line="400" w:lineRule="exact"/>
              <w:ind w:left="700" w:hanging="700" w:hangingChars="250"/>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人民</w:t>
            </w:r>
            <w:r>
              <w:rPr>
                <w:rFonts w:hint="eastAsia" w:ascii="仿宋" w:hAnsi="仿宋" w:eastAsia="仿宋"/>
                <w:sz w:val="28"/>
                <w:szCs w:val="28"/>
              </w:rPr>
              <w:t>币</w:t>
            </w:r>
          </w:p>
          <w:p w14:paraId="6623FDBF">
            <w:pPr>
              <w:pStyle w:val="115"/>
              <w:spacing w:line="400" w:lineRule="exact"/>
              <w:ind w:left="700" w:hanging="700" w:hangingChars="250"/>
              <w:rPr>
                <w:rFonts w:ascii="仿宋" w:hAnsi="仿宋" w:eastAsia="仿宋"/>
                <w:sz w:val="28"/>
                <w:szCs w:val="28"/>
              </w:rPr>
            </w:pPr>
            <w:r>
              <w:rPr>
                <w:rFonts w:hint="eastAsia" w:ascii="仿宋" w:hAnsi="仿宋" w:eastAsia="仿宋"/>
                <w:sz w:val="28"/>
                <w:szCs w:val="28"/>
              </w:rPr>
              <w:t>□其他</w:t>
            </w:r>
          </w:p>
        </w:tc>
      </w:tr>
      <w:tr w14:paraId="56303D1C">
        <w:tblPrEx>
          <w:tblCellMar>
            <w:top w:w="0" w:type="dxa"/>
            <w:left w:w="108" w:type="dxa"/>
            <w:bottom w:w="0" w:type="dxa"/>
            <w:right w:w="108" w:type="dxa"/>
          </w:tblCellMar>
        </w:tblPrEx>
        <w:trPr>
          <w:trHeight w:val="890" w:hRule="atLeast"/>
          <w:jc w:val="center"/>
        </w:trPr>
        <w:tc>
          <w:tcPr>
            <w:tcW w:w="90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D3C2EF3">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13</w:t>
            </w:r>
          </w:p>
        </w:tc>
        <w:tc>
          <w:tcPr>
            <w:tcW w:w="198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B49BEF3">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服务周期要求</w:t>
            </w:r>
          </w:p>
        </w:tc>
        <w:tc>
          <w:tcPr>
            <w:tcW w:w="624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118A81C">
            <w:pPr>
              <w:autoSpaceDE w:val="0"/>
              <w:autoSpaceDN w:val="0"/>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2026年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日至202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p>
        </w:tc>
      </w:tr>
      <w:tr w14:paraId="7B9FB7BE">
        <w:tblPrEx>
          <w:tblCellMar>
            <w:top w:w="0" w:type="dxa"/>
            <w:left w:w="108" w:type="dxa"/>
            <w:bottom w:w="0" w:type="dxa"/>
            <w:right w:w="108" w:type="dxa"/>
          </w:tblCellMar>
        </w:tblPrEx>
        <w:trPr>
          <w:trHeight w:val="5087"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5A9F">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5D994">
            <w:pPr>
              <w:pStyle w:val="115"/>
              <w:spacing w:line="400" w:lineRule="exact"/>
              <w:ind w:firstLine="0" w:firstLineChars="0"/>
              <w:jc w:val="center"/>
              <w:rPr>
                <w:rFonts w:ascii="仿宋" w:hAnsi="仿宋" w:eastAsia="仿宋"/>
                <w:sz w:val="28"/>
                <w:szCs w:val="28"/>
              </w:rPr>
            </w:pPr>
            <w:r>
              <w:rPr>
                <w:rFonts w:hint="eastAsia" w:ascii="仿宋" w:hAnsi="仿宋" w:eastAsia="仿宋"/>
                <w:sz w:val="28"/>
                <w:szCs w:val="28"/>
              </w:rPr>
              <w:t>投标担保金额及方式</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23154">
            <w:pPr>
              <w:spacing w:line="400" w:lineRule="exact"/>
              <w:rPr>
                <w:rFonts w:ascii="仿宋" w:hAnsi="仿宋" w:eastAsia="仿宋"/>
                <w:sz w:val="28"/>
                <w:szCs w:val="28"/>
                <w:highlight w:val="none"/>
              </w:rPr>
            </w:pPr>
            <w:r>
              <w:rPr>
                <w:rFonts w:hint="eastAsia" w:ascii="仿宋" w:hAnsi="仿宋" w:eastAsia="仿宋"/>
                <w:sz w:val="28"/>
                <w:szCs w:val="28"/>
                <w:highlight w:val="none"/>
              </w:rPr>
              <w:t>投标担保金额：人民币</w:t>
            </w:r>
            <w:r>
              <w:rPr>
                <w:rFonts w:hint="eastAsia" w:ascii="仿宋" w:hAnsi="仿宋" w:eastAsia="仿宋"/>
                <w:sz w:val="28"/>
                <w:szCs w:val="28"/>
                <w:highlight w:val="none"/>
                <w:u w:val="single"/>
              </w:rPr>
              <w:t>壹万元</w:t>
            </w:r>
            <w:r>
              <w:rPr>
                <w:rFonts w:hint="eastAsia" w:ascii="仿宋" w:hAnsi="仿宋" w:eastAsia="仿宋"/>
                <w:sz w:val="28"/>
                <w:szCs w:val="28"/>
                <w:highlight w:val="none"/>
              </w:rPr>
              <w:t>整</w:t>
            </w:r>
          </w:p>
          <w:p w14:paraId="4A1F1034">
            <w:pPr>
              <w:spacing w:line="400" w:lineRule="exact"/>
              <w:rPr>
                <w:rFonts w:ascii="仿宋" w:hAnsi="仿宋" w:eastAsia="仿宋"/>
                <w:sz w:val="28"/>
                <w:szCs w:val="28"/>
                <w:highlight w:val="none"/>
              </w:rPr>
            </w:pPr>
            <w:r>
              <w:rPr>
                <w:rFonts w:hint="eastAsia" w:ascii="仿宋" w:hAnsi="仿宋" w:eastAsia="仿宋"/>
                <w:sz w:val="28"/>
                <w:szCs w:val="28"/>
                <w:highlight w:val="none"/>
              </w:rPr>
              <w:t>投标担保形式：</w:t>
            </w:r>
          </w:p>
          <w:p w14:paraId="0C6D83E3">
            <w:pPr>
              <w:spacing w:line="400" w:lineRule="exact"/>
              <w:rPr>
                <w:rFonts w:ascii="仿宋" w:hAnsi="仿宋" w:eastAsia="仿宋"/>
                <w:sz w:val="28"/>
                <w:szCs w:val="28"/>
                <w:highlight w:val="none"/>
              </w:rPr>
            </w:pPr>
            <w:r>
              <w:rPr>
                <w:rFonts w:hint="eastAsia" w:ascii="仿宋" w:hAnsi="仿宋" w:eastAsia="仿宋"/>
                <w:sz w:val="28"/>
                <w:szCs w:val="28"/>
                <w:highlight w:val="none"/>
              </w:rPr>
              <w:t>□投标保函</w:t>
            </w:r>
          </w:p>
          <w:p w14:paraId="24ECE7AE">
            <w:pPr>
              <w:spacing w:line="400" w:lineRule="exact"/>
              <w:rPr>
                <w:rFonts w:ascii="仿宋" w:hAnsi="仿宋" w:eastAsia="仿宋"/>
                <w:sz w:val="28"/>
                <w:szCs w:val="28"/>
                <w:highlight w:val="none"/>
              </w:rPr>
            </w:pPr>
            <w:r>
              <w:rPr>
                <w:rFonts w:ascii="Segoe UI Symbol" w:hAnsi="Segoe UI Symbol" w:eastAsia="仿宋" w:cs="Segoe UI Symbol"/>
                <w:sz w:val="28"/>
                <w:szCs w:val="28"/>
                <w:highlight w:val="none"/>
              </w:rPr>
              <w:t>☑</w:t>
            </w:r>
            <w:r>
              <w:rPr>
                <w:rFonts w:hint="eastAsia" w:ascii="仿宋" w:hAnsi="仿宋" w:eastAsia="仿宋" w:cs="仿宋"/>
                <w:sz w:val="28"/>
                <w:szCs w:val="28"/>
                <w:highlight w:val="none"/>
              </w:rPr>
              <w:t>现金（银行转账</w:t>
            </w:r>
            <w:r>
              <w:rPr>
                <w:rFonts w:hint="eastAsia" w:ascii="仿宋" w:hAnsi="仿宋" w:eastAsia="仿宋"/>
                <w:sz w:val="28"/>
                <w:szCs w:val="28"/>
                <w:highlight w:val="none"/>
              </w:rPr>
              <w:t>）</w:t>
            </w:r>
          </w:p>
          <w:p w14:paraId="7F50F95A">
            <w:pPr>
              <w:spacing w:line="400" w:lineRule="exact"/>
              <w:rPr>
                <w:rFonts w:ascii="仿宋" w:hAnsi="仿宋" w:eastAsia="仿宋"/>
                <w:sz w:val="28"/>
                <w:szCs w:val="28"/>
                <w:highlight w:val="none"/>
              </w:rPr>
            </w:pPr>
            <w:r>
              <w:rPr>
                <w:rFonts w:hint="eastAsia" w:ascii="仿宋" w:hAnsi="仿宋" w:eastAsia="仿宋"/>
                <w:sz w:val="28"/>
                <w:szCs w:val="28"/>
                <w:highlight w:val="none"/>
              </w:rPr>
              <w:t>招标人名称：</w:t>
            </w:r>
            <w:r>
              <w:rPr>
                <w:rFonts w:hint="eastAsia" w:ascii="仿宋" w:hAnsi="仿宋" w:eastAsia="仿宋" w:cs="仿宋"/>
                <w:bCs/>
                <w:color w:val="000000"/>
                <w:sz w:val="28"/>
                <w:szCs w:val="28"/>
                <w:highlight w:val="none"/>
                <w:u w:val="single"/>
              </w:rPr>
              <w:t>深圳第一亚太物业管理有限公司深圳分公司</w:t>
            </w:r>
          </w:p>
          <w:p w14:paraId="55957F5A">
            <w:pPr>
              <w:spacing w:line="400" w:lineRule="exact"/>
              <w:rPr>
                <w:rFonts w:ascii="仿宋" w:hAnsi="仿宋" w:eastAsia="仿宋"/>
                <w:color w:val="000000"/>
                <w:sz w:val="28"/>
                <w:szCs w:val="28"/>
                <w:highlight w:val="none"/>
              </w:rPr>
            </w:pPr>
            <w:r>
              <w:rPr>
                <w:rFonts w:hint="eastAsia" w:ascii="仿宋" w:hAnsi="仿宋" w:eastAsia="仿宋"/>
                <w:sz w:val="28"/>
                <w:szCs w:val="28"/>
                <w:highlight w:val="none"/>
              </w:rPr>
              <w:t>地址：</w:t>
            </w:r>
            <w:r>
              <w:rPr>
                <w:rFonts w:hint="eastAsia" w:ascii="仿宋" w:hAnsi="仿宋" w:eastAsia="仿宋"/>
                <w:iCs/>
                <w:color w:val="000000"/>
                <w:sz w:val="28"/>
                <w:szCs w:val="28"/>
                <w:highlight w:val="none"/>
                <w:u w:val="single"/>
              </w:rPr>
              <w:t>深圳市龙岗区平湖街道华南大道一号华南城总部行政楼3楼</w:t>
            </w:r>
            <w:r>
              <w:rPr>
                <w:rFonts w:hint="eastAsia" w:ascii="仿宋" w:hAnsi="仿宋" w:eastAsia="仿宋" w:cs="仿宋"/>
                <w:bCs/>
                <w:color w:val="000000"/>
                <w:sz w:val="28"/>
                <w:szCs w:val="28"/>
                <w:highlight w:val="none"/>
                <w:u w:val="single"/>
              </w:rPr>
              <w:t>办公室</w:t>
            </w:r>
          </w:p>
          <w:p w14:paraId="749D0510">
            <w:pPr>
              <w:pStyle w:val="115"/>
              <w:spacing w:line="400" w:lineRule="exact"/>
              <w:ind w:firstLine="0" w:firstLineChars="0"/>
              <w:rPr>
                <w:rFonts w:ascii="仿宋" w:hAnsi="仿宋" w:eastAsia="仿宋"/>
                <w:color w:val="000000"/>
                <w:sz w:val="28"/>
                <w:szCs w:val="28"/>
                <w:highlight w:val="none"/>
              </w:rPr>
            </w:pPr>
            <w:r>
              <w:rPr>
                <w:rFonts w:hint="eastAsia" w:ascii="仿宋" w:hAnsi="仿宋" w:eastAsia="仿宋"/>
                <w:color w:val="000000"/>
                <w:sz w:val="28"/>
                <w:szCs w:val="28"/>
                <w:highlight w:val="none"/>
              </w:rPr>
              <w:t>开户银行：中国农业银行深圳华南城支行</w:t>
            </w:r>
          </w:p>
          <w:p w14:paraId="43B3B0A0">
            <w:pPr>
              <w:pStyle w:val="115"/>
              <w:spacing w:line="400" w:lineRule="exact"/>
              <w:ind w:firstLine="0" w:firstLineChars="0"/>
              <w:rPr>
                <w:rFonts w:ascii="仿宋" w:hAnsi="仿宋" w:eastAsia="仿宋"/>
                <w:color w:val="000000"/>
                <w:sz w:val="28"/>
                <w:szCs w:val="28"/>
                <w:highlight w:val="none"/>
              </w:rPr>
            </w:pPr>
            <w:r>
              <w:rPr>
                <w:rFonts w:hint="eastAsia" w:ascii="仿宋" w:hAnsi="仿宋" w:eastAsia="仿宋"/>
                <w:color w:val="000000"/>
                <w:sz w:val="28"/>
                <w:szCs w:val="28"/>
                <w:highlight w:val="none"/>
              </w:rPr>
              <w:t>户    名：深圳第一亚太物业管理有限公司深圳分公司</w:t>
            </w:r>
          </w:p>
          <w:p w14:paraId="5435A78B">
            <w:pPr>
              <w:pStyle w:val="115"/>
              <w:spacing w:line="400" w:lineRule="exact"/>
              <w:ind w:firstLine="0" w:firstLineChars="0"/>
              <w:rPr>
                <w:rFonts w:ascii="仿宋" w:hAnsi="仿宋" w:eastAsia="仿宋"/>
                <w:sz w:val="28"/>
                <w:szCs w:val="28"/>
                <w:highlight w:val="none"/>
              </w:rPr>
            </w:pPr>
            <w:r>
              <w:rPr>
                <w:rFonts w:hint="eastAsia" w:ascii="仿宋" w:hAnsi="仿宋" w:eastAsia="仿宋"/>
                <w:color w:val="000000"/>
                <w:sz w:val="28"/>
                <w:szCs w:val="28"/>
                <w:highlight w:val="none"/>
              </w:rPr>
              <w:t>银行账号：</w:t>
            </w:r>
            <w:r>
              <w:rPr>
                <w:rFonts w:ascii="仿宋" w:hAnsi="仿宋" w:eastAsia="仿宋" w:cs="宋体"/>
                <w:bCs/>
                <w:snapToGrid w:val="0"/>
                <w:color w:val="000000"/>
                <w:sz w:val="28"/>
                <w:szCs w:val="28"/>
                <w:highlight w:val="none"/>
                <w:u w:val="single"/>
              </w:rPr>
              <w:t>4102 6500 0400 2384 7</w:t>
            </w:r>
            <w:r>
              <w:rPr>
                <w:rFonts w:hint="eastAsia" w:ascii="仿宋" w:hAnsi="仿宋" w:eastAsia="仿宋"/>
                <w:sz w:val="28"/>
                <w:szCs w:val="28"/>
                <w:highlight w:val="none"/>
              </w:rPr>
              <w:t>需备注“</w:t>
            </w:r>
            <w:r>
              <w:rPr>
                <w:rFonts w:hint="eastAsia" w:ascii="仿宋" w:hAnsi="仿宋" w:eastAsia="仿宋"/>
                <w:sz w:val="28"/>
                <w:szCs w:val="28"/>
                <w:highlight w:val="none"/>
                <w:u w:val="single"/>
                <w:lang w:val="en-US" w:eastAsia="zh-CN"/>
              </w:rPr>
              <w:t>深圳华南城一期市场阳光棚维修工程</w:t>
            </w:r>
            <w:r>
              <w:rPr>
                <w:rFonts w:hint="eastAsia" w:ascii="仿宋" w:hAnsi="仿宋" w:eastAsia="仿宋"/>
                <w:sz w:val="28"/>
                <w:szCs w:val="28"/>
                <w:highlight w:val="none"/>
              </w:rPr>
              <w:t>投标保证金。</w:t>
            </w:r>
          </w:p>
        </w:tc>
      </w:tr>
      <w:tr w14:paraId="5AB9826E">
        <w:tblPrEx>
          <w:tblCellMar>
            <w:top w:w="0" w:type="dxa"/>
            <w:left w:w="108" w:type="dxa"/>
            <w:bottom w:w="0" w:type="dxa"/>
            <w:right w:w="108" w:type="dxa"/>
          </w:tblCellMar>
        </w:tblPrEx>
        <w:trPr>
          <w:trHeight w:val="566"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729E5">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600D">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投标文件组成及份数</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E9074">
            <w:pPr>
              <w:pStyle w:val="115"/>
              <w:spacing w:line="400" w:lineRule="exact"/>
              <w:ind w:firstLine="0" w:firstLineChars="0"/>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资格审查文件：正本</w:t>
            </w:r>
            <w:r>
              <w:rPr>
                <w:rFonts w:hint="eastAsia" w:ascii="仿宋" w:hAnsi="仿宋" w:eastAsia="仿宋"/>
                <w:sz w:val="28"/>
                <w:szCs w:val="28"/>
                <w:u w:val="single"/>
              </w:rPr>
              <w:t xml:space="preserve">  1  </w:t>
            </w:r>
            <w:r>
              <w:rPr>
                <w:rFonts w:hint="eastAsia" w:ascii="仿宋" w:hAnsi="仿宋" w:eastAsia="仿宋"/>
                <w:sz w:val="28"/>
                <w:szCs w:val="28"/>
              </w:rPr>
              <w:t>份；副本</w:t>
            </w:r>
            <w:r>
              <w:rPr>
                <w:rFonts w:hint="eastAsia" w:ascii="仿宋" w:hAnsi="仿宋" w:eastAsia="仿宋"/>
                <w:sz w:val="28"/>
                <w:szCs w:val="28"/>
                <w:u w:val="single"/>
              </w:rPr>
              <w:t xml:space="preserve">  1  </w:t>
            </w:r>
            <w:r>
              <w:rPr>
                <w:rFonts w:hint="eastAsia" w:ascii="仿宋" w:hAnsi="仿宋" w:eastAsia="仿宋"/>
                <w:sz w:val="28"/>
                <w:szCs w:val="28"/>
              </w:rPr>
              <w:t>份</w:t>
            </w:r>
          </w:p>
          <w:p w14:paraId="6E95E064">
            <w:pPr>
              <w:pStyle w:val="115"/>
              <w:spacing w:line="400" w:lineRule="exact"/>
              <w:ind w:firstLine="0" w:firstLineChars="0"/>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投标函部分：正本</w:t>
            </w:r>
            <w:r>
              <w:rPr>
                <w:rFonts w:hint="eastAsia" w:ascii="仿宋" w:hAnsi="仿宋" w:eastAsia="仿宋"/>
                <w:sz w:val="28"/>
                <w:szCs w:val="28"/>
                <w:u w:val="single"/>
              </w:rPr>
              <w:t xml:space="preserve">  1  </w:t>
            </w:r>
            <w:r>
              <w:rPr>
                <w:rFonts w:hint="eastAsia" w:ascii="仿宋" w:hAnsi="仿宋" w:eastAsia="仿宋"/>
                <w:sz w:val="28"/>
                <w:szCs w:val="28"/>
              </w:rPr>
              <w:t>份；副本</w:t>
            </w:r>
            <w:r>
              <w:rPr>
                <w:rFonts w:hint="eastAsia" w:ascii="仿宋" w:hAnsi="仿宋" w:eastAsia="仿宋"/>
                <w:sz w:val="28"/>
                <w:szCs w:val="28"/>
                <w:u w:val="single"/>
              </w:rPr>
              <w:t xml:space="preserve">  1  </w:t>
            </w:r>
            <w:r>
              <w:rPr>
                <w:rFonts w:hint="eastAsia" w:ascii="仿宋" w:hAnsi="仿宋" w:eastAsia="仿宋"/>
                <w:sz w:val="28"/>
                <w:szCs w:val="28"/>
              </w:rPr>
              <w:t>份</w:t>
            </w:r>
          </w:p>
          <w:p w14:paraId="031EDD90">
            <w:pPr>
              <w:pStyle w:val="115"/>
              <w:spacing w:line="400" w:lineRule="exact"/>
              <w:ind w:firstLine="0" w:firstLineChars="0"/>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技术标部分：正本</w:t>
            </w:r>
            <w:r>
              <w:rPr>
                <w:rFonts w:hint="eastAsia" w:ascii="仿宋" w:hAnsi="仿宋" w:eastAsia="仿宋"/>
                <w:sz w:val="28"/>
                <w:szCs w:val="28"/>
                <w:u w:val="single"/>
              </w:rPr>
              <w:t xml:space="preserve">  1  </w:t>
            </w:r>
            <w:r>
              <w:rPr>
                <w:rFonts w:hint="eastAsia" w:ascii="仿宋" w:hAnsi="仿宋" w:eastAsia="仿宋"/>
                <w:sz w:val="28"/>
                <w:szCs w:val="28"/>
              </w:rPr>
              <w:t>份；副本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5</w:t>
            </w:r>
            <w:r>
              <w:rPr>
                <w:rFonts w:hint="eastAsia" w:ascii="仿宋" w:hAnsi="仿宋" w:eastAsia="仿宋"/>
                <w:sz w:val="28"/>
                <w:szCs w:val="28"/>
                <w:u w:val="single"/>
              </w:rPr>
              <w:t xml:space="preserve">  </w:t>
            </w:r>
            <w:r>
              <w:rPr>
                <w:rFonts w:hint="eastAsia" w:ascii="仿宋" w:hAnsi="仿宋" w:eastAsia="仿宋"/>
                <w:sz w:val="28"/>
                <w:szCs w:val="28"/>
              </w:rPr>
              <w:t>份</w:t>
            </w:r>
          </w:p>
          <w:p w14:paraId="00FA200C">
            <w:pPr>
              <w:pStyle w:val="115"/>
              <w:spacing w:line="400" w:lineRule="exact"/>
              <w:ind w:firstLine="0" w:firstLineChars="0"/>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商务标部分：正本</w:t>
            </w:r>
            <w:r>
              <w:rPr>
                <w:rFonts w:hint="eastAsia" w:ascii="仿宋" w:hAnsi="仿宋" w:eastAsia="仿宋"/>
                <w:sz w:val="28"/>
                <w:szCs w:val="28"/>
                <w:u w:val="single"/>
              </w:rPr>
              <w:t xml:space="preserve">  1  </w:t>
            </w:r>
            <w:r>
              <w:rPr>
                <w:rFonts w:hint="eastAsia" w:ascii="仿宋" w:hAnsi="仿宋" w:eastAsia="仿宋"/>
                <w:sz w:val="28"/>
                <w:szCs w:val="28"/>
              </w:rPr>
              <w:t>份；副本</w:t>
            </w:r>
            <w:r>
              <w:rPr>
                <w:rFonts w:hint="eastAsia" w:ascii="仿宋" w:hAnsi="仿宋" w:eastAsia="仿宋"/>
                <w:sz w:val="28"/>
                <w:szCs w:val="28"/>
                <w:u w:val="single"/>
              </w:rPr>
              <w:t xml:space="preserve">  1  </w:t>
            </w:r>
            <w:r>
              <w:rPr>
                <w:rFonts w:hint="eastAsia" w:ascii="仿宋" w:hAnsi="仿宋" w:eastAsia="仿宋"/>
                <w:sz w:val="28"/>
                <w:szCs w:val="28"/>
              </w:rPr>
              <w:t>份</w:t>
            </w:r>
          </w:p>
          <w:p w14:paraId="6E4BEE8A">
            <w:pPr>
              <w:pStyle w:val="115"/>
              <w:spacing w:line="400" w:lineRule="exact"/>
              <w:ind w:firstLine="0" w:firstLineChars="0"/>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资信标部分：正本</w:t>
            </w:r>
            <w:r>
              <w:rPr>
                <w:rFonts w:hint="eastAsia" w:ascii="仿宋" w:hAnsi="仿宋" w:eastAsia="仿宋"/>
                <w:sz w:val="28"/>
                <w:szCs w:val="28"/>
                <w:u w:val="single"/>
              </w:rPr>
              <w:t xml:space="preserve">  1  </w:t>
            </w:r>
            <w:r>
              <w:rPr>
                <w:rFonts w:hint="eastAsia" w:ascii="仿宋" w:hAnsi="仿宋" w:eastAsia="仿宋"/>
                <w:sz w:val="28"/>
                <w:szCs w:val="28"/>
              </w:rPr>
              <w:t>份；副本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w:t>
            </w:r>
            <w:r>
              <w:rPr>
                <w:rFonts w:hint="eastAsia" w:ascii="仿宋" w:hAnsi="仿宋" w:eastAsia="仿宋"/>
                <w:sz w:val="28"/>
                <w:szCs w:val="28"/>
                <w:u w:val="single"/>
              </w:rPr>
              <w:t xml:space="preserve">  </w:t>
            </w:r>
            <w:r>
              <w:rPr>
                <w:rFonts w:hint="eastAsia" w:ascii="仿宋" w:hAnsi="仿宋" w:eastAsia="仿宋"/>
                <w:sz w:val="28"/>
                <w:szCs w:val="28"/>
              </w:rPr>
              <w:t>份</w:t>
            </w:r>
          </w:p>
          <w:p w14:paraId="1DF422CC">
            <w:pPr>
              <w:spacing w:line="400" w:lineRule="exact"/>
              <w:rPr>
                <w:rFonts w:ascii="仿宋" w:hAnsi="仿宋" w:eastAsia="仿宋"/>
                <w:sz w:val="28"/>
                <w:szCs w:val="28"/>
              </w:rPr>
            </w:pPr>
            <w:r>
              <w:rPr>
                <w:rFonts w:hint="eastAsia" w:ascii="仿宋" w:hAnsi="仿宋" w:eastAsia="仿宋"/>
                <w:sz w:val="28"/>
                <w:szCs w:val="28"/>
              </w:rPr>
              <w:t>电子文档U盘：壹份（word/PDF/PPT格式）</w:t>
            </w:r>
          </w:p>
          <w:p w14:paraId="6B6C88B4">
            <w:pPr>
              <w:pStyle w:val="115"/>
              <w:spacing w:line="400" w:lineRule="exact"/>
              <w:ind w:firstLine="0" w:firstLineChars="0"/>
              <w:rPr>
                <w:rFonts w:ascii="仿宋" w:hAnsi="仿宋" w:eastAsia="仿宋"/>
                <w:sz w:val="28"/>
                <w:szCs w:val="28"/>
              </w:rPr>
            </w:pPr>
            <w:r>
              <w:rPr>
                <w:rFonts w:hint="eastAsia" w:ascii="仿宋" w:hAnsi="仿宋" w:eastAsia="仿宋"/>
                <w:sz w:val="28"/>
                <w:szCs w:val="28"/>
              </w:rPr>
              <w:t>注：如电子文件与纸质文件不符，以纸质文件为准。</w:t>
            </w:r>
          </w:p>
        </w:tc>
      </w:tr>
      <w:tr w14:paraId="42CDA0BE">
        <w:tblPrEx>
          <w:tblCellMar>
            <w:top w:w="0" w:type="dxa"/>
            <w:left w:w="108" w:type="dxa"/>
            <w:bottom w:w="0" w:type="dxa"/>
            <w:right w:w="108" w:type="dxa"/>
          </w:tblCellMar>
        </w:tblPrEx>
        <w:trPr>
          <w:trHeight w:val="1090"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D23C6">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956E">
            <w:pPr>
              <w:pStyle w:val="115"/>
              <w:spacing w:line="400" w:lineRule="exact"/>
              <w:ind w:firstLine="0" w:firstLineChars="0"/>
              <w:jc w:val="center"/>
              <w:rPr>
                <w:rFonts w:ascii="仿宋" w:hAnsi="仿宋" w:eastAsia="仿宋"/>
                <w:sz w:val="28"/>
                <w:szCs w:val="28"/>
              </w:rPr>
            </w:pPr>
            <w:r>
              <w:rPr>
                <w:rFonts w:hint="eastAsia" w:ascii="仿宋" w:hAnsi="仿宋" w:eastAsia="仿宋"/>
                <w:sz w:val="28"/>
                <w:szCs w:val="28"/>
              </w:rPr>
              <w:t>评标方法及标准</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3253D">
            <w:pPr>
              <w:pStyle w:val="21"/>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综合评审法（商务部分</w:t>
            </w:r>
            <w:r>
              <w:rPr>
                <w:rFonts w:ascii="仿宋" w:hAnsi="仿宋" w:eastAsia="仿宋"/>
                <w:sz w:val="28"/>
                <w:szCs w:val="28"/>
              </w:rPr>
              <w:t>60</w:t>
            </w:r>
            <w:r>
              <w:rPr>
                <w:rFonts w:hint="eastAsia" w:ascii="仿宋" w:hAnsi="仿宋" w:eastAsia="仿宋"/>
                <w:sz w:val="28"/>
                <w:szCs w:val="28"/>
              </w:rPr>
              <w:t>%，资信部分10%，技术部分</w:t>
            </w:r>
            <w:r>
              <w:rPr>
                <w:rFonts w:ascii="仿宋" w:hAnsi="仿宋" w:eastAsia="仿宋"/>
                <w:sz w:val="28"/>
                <w:szCs w:val="28"/>
              </w:rPr>
              <w:t>30</w:t>
            </w:r>
            <w:r>
              <w:rPr>
                <w:rFonts w:hint="eastAsia" w:ascii="仿宋" w:hAnsi="仿宋" w:eastAsia="仿宋"/>
                <w:sz w:val="28"/>
                <w:szCs w:val="28"/>
              </w:rPr>
              <w:t>%）</w:t>
            </w:r>
          </w:p>
        </w:tc>
      </w:tr>
      <w:tr w14:paraId="5B804967">
        <w:tblPrEx>
          <w:tblCellMar>
            <w:top w:w="0" w:type="dxa"/>
            <w:left w:w="108" w:type="dxa"/>
            <w:bottom w:w="0" w:type="dxa"/>
            <w:right w:w="108"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A145">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04340">
            <w:pPr>
              <w:pStyle w:val="115"/>
              <w:spacing w:line="400" w:lineRule="exact"/>
              <w:ind w:firstLine="0" w:firstLineChars="0"/>
              <w:jc w:val="center"/>
              <w:rPr>
                <w:rFonts w:ascii="仿宋" w:hAnsi="仿宋" w:eastAsia="仿宋"/>
                <w:sz w:val="28"/>
                <w:szCs w:val="28"/>
              </w:rPr>
            </w:pPr>
            <w:r>
              <w:rPr>
                <w:rFonts w:hint="eastAsia" w:ascii="仿宋" w:hAnsi="仿宋" w:eastAsia="仿宋" w:cs="宋体"/>
                <w:kern w:val="0"/>
                <w:sz w:val="28"/>
                <w:szCs w:val="28"/>
              </w:rPr>
              <w:t>评标委员会的人员组成</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BCF6">
            <w:pPr>
              <w:pStyle w:val="21"/>
              <w:spacing w:line="400" w:lineRule="exact"/>
              <w:rPr>
                <w:rFonts w:ascii="仿宋" w:hAnsi="仿宋" w:eastAsia="仿宋"/>
                <w:sz w:val="28"/>
                <w:szCs w:val="28"/>
              </w:rPr>
            </w:pPr>
            <w:r>
              <w:rPr>
                <w:rFonts w:hint="eastAsia" w:ascii="仿宋" w:hAnsi="仿宋" w:eastAsia="仿宋" w:cs="宋体"/>
                <w:sz w:val="28"/>
                <w:szCs w:val="28"/>
              </w:rPr>
              <w:t>由招标人依法组建</w:t>
            </w:r>
          </w:p>
        </w:tc>
      </w:tr>
      <w:tr w14:paraId="41C19CDA">
        <w:tblPrEx>
          <w:tblCellMar>
            <w:top w:w="0" w:type="dxa"/>
            <w:left w:w="108" w:type="dxa"/>
            <w:bottom w:w="0" w:type="dxa"/>
            <w:right w:w="108"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2A13F">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30C3">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中标人的确定方式</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0EE29">
            <w:pPr>
              <w:autoSpaceDE w:val="0"/>
              <w:autoSpaceDN w:val="0"/>
              <w:adjustRightInd w:val="0"/>
              <w:snapToGrid w:val="0"/>
              <w:spacing w:line="560" w:lineRule="exact"/>
              <w:rPr>
                <w:rFonts w:ascii="仿宋" w:hAnsi="仿宋" w:eastAsia="仿宋"/>
                <w:sz w:val="28"/>
                <w:szCs w:val="28"/>
              </w:rPr>
            </w:pPr>
            <w:r>
              <w:rPr>
                <w:rFonts w:hint="eastAsia" w:ascii="仿宋" w:hAnsi="仿宋" w:eastAsia="仿宋"/>
                <w:sz w:val="28"/>
                <w:szCs w:val="28"/>
              </w:rPr>
              <w:t>招标人授权开标小组或评标委员会直接确定中标人。</w:t>
            </w:r>
          </w:p>
        </w:tc>
      </w:tr>
      <w:tr w14:paraId="4FFE3059">
        <w:tblPrEx>
          <w:tblCellMar>
            <w:top w:w="0" w:type="dxa"/>
            <w:left w:w="108" w:type="dxa"/>
            <w:bottom w:w="0" w:type="dxa"/>
            <w:right w:w="108" w:type="dxa"/>
          </w:tblCellMar>
        </w:tblPrEx>
        <w:trPr>
          <w:trHeight w:val="2170"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23EC7">
            <w:pPr>
              <w:pStyle w:val="115"/>
              <w:spacing w:line="400" w:lineRule="exact"/>
              <w:ind w:left="357" w:hanging="357" w:firstLineChars="0"/>
              <w:jc w:val="center"/>
              <w:rPr>
                <w:rFonts w:ascii="仿宋" w:hAnsi="仿宋" w:eastAsia="仿宋"/>
                <w:sz w:val="28"/>
                <w:szCs w:val="28"/>
              </w:rPr>
            </w:pPr>
            <w:r>
              <w:rPr>
                <w:rFonts w:hint="eastAsia" w:ascii="仿宋" w:hAnsi="仿宋" w:eastAsia="仿宋"/>
                <w:sz w:val="28"/>
                <w:szCs w:val="28"/>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BC839">
            <w:pPr>
              <w:pStyle w:val="115"/>
              <w:spacing w:line="400" w:lineRule="exact"/>
              <w:ind w:firstLine="0" w:firstLineChars="0"/>
              <w:jc w:val="center"/>
              <w:rPr>
                <w:rFonts w:ascii="仿宋" w:hAnsi="仿宋" w:eastAsia="仿宋"/>
                <w:sz w:val="28"/>
                <w:szCs w:val="28"/>
              </w:rPr>
            </w:pPr>
            <w:r>
              <w:rPr>
                <w:rFonts w:hint="eastAsia" w:ascii="仿宋" w:hAnsi="仿宋" w:eastAsia="仿宋"/>
                <w:sz w:val="28"/>
                <w:szCs w:val="28"/>
              </w:rPr>
              <w:t>履约担保</w:t>
            </w:r>
          </w:p>
        </w:tc>
        <w:tc>
          <w:tcPr>
            <w:tcW w:w="6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3F5B">
            <w:pPr>
              <w:autoSpaceDE w:val="0"/>
              <w:autoSpaceDN w:val="0"/>
              <w:spacing w:line="560" w:lineRule="exact"/>
              <w:rPr>
                <w:rFonts w:ascii="仿宋" w:hAnsi="仿宋" w:eastAsia="仿宋"/>
                <w:kern w:val="0"/>
                <w:sz w:val="28"/>
                <w:szCs w:val="28"/>
                <w:highlight w:val="none"/>
              </w:rPr>
            </w:pPr>
            <w:r>
              <w:rPr>
                <w:rFonts w:hint="eastAsia" w:ascii="仿宋" w:hAnsi="仿宋" w:eastAsia="仿宋"/>
                <w:kern w:val="0"/>
                <w:sz w:val="28"/>
                <w:szCs w:val="28"/>
                <w:highlight w:val="none"/>
              </w:rPr>
              <w:t>履约担保的形式：</w:t>
            </w:r>
            <w:r>
              <w:rPr>
                <w:rFonts w:ascii="Segoe UI Symbol" w:hAnsi="Segoe UI Symbol" w:eastAsia="仿宋" w:cs="Segoe UI Symbol"/>
                <w:kern w:val="0"/>
                <w:sz w:val="28"/>
                <w:szCs w:val="28"/>
                <w:highlight w:val="none"/>
              </w:rPr>
              <w:t>☑</w:t>
            </w:r>
            <w:r>
              <w:rPr>
                <w:rFonts w:hint="eastAsia" w:ascii="仿宋" w:hAnsi="仿宋" w:eastAsia="仿宋" w:cs="仿宋"/>
                <w:kern w:val="0"/>
                <w:sz w:val="28"/>
                <w:szCs w:val="28"/>
                <w:highlight w:val="none"/>
              </w:rPr>
              <w:t>现金、转账</w:t>
            </w:r>
            <w:r>
              <w:rPr>
                <w:rFonts w:hint="eastAsia" w:ascii="仿宋" w:hAnsi="仿宋" w:eastAsia="仿宋"/>
                <w:kern w:val="0"/>
                <w:sz w:val="28"/>
                <w:szCs w:val="28"/>
                <w:highlight w:val="none"/>
              </w:rPr>
              <w:t xml:space="preserve">  □银行保函</w:t>
            </w:r>
          </w:p>
          <w:p w14:paraId="1EFA53FD">
            <w:pPr>
              <w:autoSpaceDE w:val="0"/>
              <w:autoSpaceDN w:val="0"/>
              <w:spacing w:line="560" w:lineRule="exact"/>
              <w:rPr>
                <w:rFonts w:ascii="仿宋" w:hAnsi="仿宋" w:eastAsia="仿宋"/>
                <w:sz w:val="28"/>
                <w:szCs w:val="28"/>
                <w:highlight w:val="yellow"/>
              </w:rPr>
            </w:pPr>
            <w:r>
              <w:rPr>
                <w:rFonts w:hint="eastAsia" w:ascii="仿宋" w:hAnsi="仿宋" w:eastAsia="仿宋"/>
                <w:sz w:val="28"/>
                <w:szCs w:val="28"/>
                <w:highlight w:val="none"/>
              </w:rPr>
              <w:t>履约担保的金额：</w:t>
            </w:r>
            <w:r>
              <w:rPr>
                <w:rFonts w:hint="eastAsia" w:ascii="仿宋" w:hAnsi="仿宋" w:eastAsia="仿宋"/>
                <w:sz w:val="28"/>
                <w:szCs w:val="28"/>
                <w:highlight w:val="none"/>
                <w:lang w:val="en-US" w:eastAsia="zh-CN"/>
              </w:rPr>
              <w:t>10000元人民币</w:t>
            </w:r>
            <w:r>
              <w:rPr>
                <w:rFonts w:hint="eastAsia" w:ascii="仿宋" w:hAnsi="仿宋" w:eastAsia="仿宋"/>
                <w:sz w:val="28"/>
                <w:szCs w:val="28"/>
                <w:highlight w:val="none"/>
              </w:rPr>
              <w:t>。</w:t>
            </w:r>
          </w:p>
        </w:tc>
      </w:tr>
    </w:tbl>
    <w:p w14:paraId="15E6D419">
      <w:pPr>
        <w:rPr>
          <w:color w:val="000000" w:themeColor="text1"/>
          <w:sz w:val="28"/>
          <w:szCs w:val="28"/>
          <w14:textFill>
            <w14:solidFill>
              <w14:schemeClr w14:val="tx1"/>
            </w14:solidFill>
          </w14:textFill>
        </w:rPr>
      </w:pPr>
      <w:bookmarkStart w:id="16" w:name="_Toc387313497"/>
      <w:bookmarkStart w:id="17" w:name="_Toc387313377"/>
      <w:bookmarkStart w:id="18" w:name="_Toc405384929"/>
    </w:p>
    <w:p w14:paraId="0E560CEA">
      <w:pPr>
        <w:rPr>
          <w:color w:val="000000" w:themeColor="text1"/>
          <w:sz w:val="28"/>
          <w:szCs w:val="28"/>
          <w14:textFill>
            <w14:solidFill>
              <w14:schemeClr w14:val="tx1"/>
            </w14:solidFill>
          </w14:textFill>
        </w:rPr>
      </w:pPr>
    </w:p>
    <w:p w14:paraId="4BF75C76">
      <w:pPr>
        <w:rPr>
          <w:color w:val="000000" w:themeColor="text1"/>
          <w:sz w:val="28"/>
          <w:szCs w:val="28"/>
          <w14:textFill>
            <w14:solidFill>
              <w14:schemeClr w14:val="tx1"/>
            </w14:solidFill>
          </w14:textFill>
        </w:rPr>
      </w:pPr>
    </w:p>
    <w:p w14:paraId="4F3C6210">
      <w:pPr>
        <w:rPr>
          <w:color w:val="000000" w:themeColor="text1"/>
          <w:sz w:val="28"/>
          <w:szCs w:val="28"/>
          <w14:textFill>
            <w14:solidFill>
              <w14:schemeClr w14:val="tx1"/>
            </w14:solidFill>
          </w14:textFill>
        </w:rPr>
      </w:pPr>
    </w:p>
    <w:p w14:paraId="29E8871C">
      <w:pPr>
        <w:rPr>
          <w:color w:val="000000" w:themeColor="text1"/>
          <w:sz w:val="28"/>
          <w:szCs w:val="28"/>
          <w14:textFill>
            <w14:solidFill>
              <w14:schemeClr w14:val="tx1"/>
            </w14:solidFill>
          </w14:textFill>
        </w:rPr>
      </w:pPr>
    </w:p>
    <w:p w14:paraId="338115C3">
      <w:pPr>
        <w:spacing w:line="360" w:lineRule="auto"/>
        <w:ind w:firstLine="480" w:firstLineChars="200"/>
        <w:rPr>
          <w:rFonts w:ascii="宋体" w:hAnsi="宋体" w:cs="宋体"/>
          <w:color w:val="000000" w:themeColor="text1"/>
          <w:sz w:val="24"/>
          <w:szCs w:val="20"/>
          <w14:textFill>
            <w14:solidFill>
              <w14:schemeClr w14:val="tx1"/>
            </w14:solidFill>
          </w14:textFill>
        </w:rPr>
      </w:pPr>
    </w:p>
    <w:p w14:paraId="1EA04EEB">
      <w:pPr>
        <w:pStyle w:val="115"/>
        <w:ind w:firstLine="562"/>
        <w:rPr>
          <w:rFonts w:ascii="宋体" w:hAnsi="宋体"/>
          <w:b/>
          <w:bCs/>
          <w:kern w:val="0"/>
          <w:sz w:val="28"/>
          <w:szCs w:val="28"/>
        </w:rPr>
      </w:pPr>
      <w:r>
        <w:rPr>
          <w:rFonts w:hint="eastAsia" w:ascii="宋体" w:hAnsi="宋体"/>
          <w:b/>
          <w:bCs/>
          <w:kern w:val="0"/>
          <w:sz w:val="28"/>
          <w:szCs w:val="28"/>
        </w:rPr>
        <w:br w:type="page"/>
      </w:r>
    </w:p>
    <w:p w14:paraId="1F72D27D">
      <w:pPr>
        <w:pStyle w:val="5"/>
        <w:spacing w:before="0" w:after="0" w:line="560" w:lineRule="exact"/>
        <w:jc w:val="center"/>
        <w:rPr>
          <w:rFonts w:ascii="黑体" w:hAnsi="黑体" w:eastAsia="黑体"/>
          <w:b/>
          <w:kern w:val="2"/>
          <w:szCs w:val="36"/>
        </w:rPr>
      </w:pPr>
      <w:bookmarkStart w:id="19" w:name="_Toc228364645"/>
      <w:r>
        <w:rPr>
          <w:rFonts w:hint="eastAsia" w:ascii="黑体" w:hAnsi="黑体" w:eastAsia="黑体"/>
          <w:b/>
          <w:szCs w:val="36"/>
        </w:rPr>
        <w:t>（二）投标须知前附表2</w:t>
      </w:r>
      <w:bookmarkEnd w:id="19"/>
    </w:p>
    <w:p w14:paraId="7D714EFC">
      <w:pPr>
        <w:rPr>
          <w:szCs w:val="20"/>
        </w:rPr>
      </w:pPr>
    </w:p>
    <w:tbl>
      <w:tblPr>
        <w:tblStyle w:val="38"/>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048"/>
        <w:gridCol w:w="5560"/>
      </w:tblGrid>
      <w:tr w14:paraId="5D1F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572EC868">
            <w:pPr>
              <w:adjustRightInd w:val="0"/>
              <w:snapToGrid w:val="0"/>
              <w:spacing w:line="400" w:lineRule="exact"/>
              <w:jc w:val="center"/>
              <w:rPr>
                <w:rFonts w:ascii="仿宋" w:hAnsi="仿宋" w:eastAsia="仿宋" w:cs="Courier New"/>
                <w:b/>
                <w:kern w:val="0"/>
                <w:sz w:val="28"/>
                <w:szCs w:val="28"/>
              </w:rPr>
            </w:pPr>
            <w:r>
              <w:rPr>
                <w:rFonts w:hint="eastAsia" w:ascii="仿宋" w:hAnsi="仿宋" w:eastAsia="仿宋" w:cs="Courier New"/>
                <w:b/>
                <w:kern w:val="0"/>
                <w:sz w:val="28"/>
                <w:szCs w:val="28"/>
              </w:rPr>
              <w:t>序号</w:t>
            </w:r>
          </w:p>
        </w:tc>
        <w:tc>
          <w:tcPr>
            <w:tcW w:w="1203" w:type="pct"/>
            <w:tcBorders>
              <w:top w:val="single" w:color="auto" w:sz="4" w:space="0"/>
              <w:left w:val="single" w:color="auto" w:sz="4" w:space="0"/>
              <w:bottom w:val="single" w:color="auto" w:sz="4" w:space="0"/>
              <w:right w:val="single" w:color="auto" w:sz="4" w:space="0"/>
            </w:tcBorders>
            <w:vAlign w:val="center"/>
          </w:tcPr>
          <w:p w14:paraId="747E83A0">
            <w:pPr>
              <w:adjustRightInd w:val="0"/>
              <w:snapToGrid w:val="0"/>
              <w:spacing w:line="400" w:lineRule="exact"/>
              <w:jc w:val="center"/>
              <w:rPr>
                <w:rFonts w:ascii="仿宋" w:hAnsi="仿宋" w:eastAsia="仿宋" w:cs="Courier New"/>
                <w:b/>
                <w:kern w:val="0"/>
                <w:sz w:val="28"/>
                <w:szCs w:val="28"/>
              </w:rPr>
            </w:pPr>
            <w:r>
              <w:rPr>
                <w:rFonts w:hint="eastAsia" w:ascii="仿宋" w:hAnsi="仿宋" w:eastAsia="仿宋" w:cs="Courier New"/>
                <w:b/>
                <w:kern w:val="0"/>
                <w:sz w:val="28"/>
                <w:szCs w:val="28"/>
              </w:rPr>
              <w:t>内容</w:t>
            </w:r>
          </w:p>
        </w:tc>
        <w:tc>
          <w:tcPr>
            <w:tcW w:w="3266" w:type="pct"/>
            <w:tcBorders>
              <w:top w:val="single" w:color="auto" w:sz="4" w:space="0"/>
              <w:left w:val="single" w:color="auto" w:sz="4" w:space="0"/>
              <w:bottom w:val="single" w:color="auto" w:sz="4" w:space="0"/>
              <w:right w:val="single" w:color="auto" w:sz="4" w:space="0"/>
            </w:tcBorders>
            <w:vAlign w:val="center"/>
          </w:tcPr>
          <w:p w14:paraId="52F2682A">
            <w:pPr>
              <w:adjustRightInd w:val="0"/>
              <w:snapToGrid w:val="0"/>
              <w:spacing w:line="400" w:lineRule="exact"/>
              <w:jc w:val="center"/>
              <w:rPr>
                <w:rFonts w:ascii="仿宋" w:hAnsi="仿宋" w:eastAsia="仿宋" w:cs="Courier New"/>
                <w:b/>
                <w:kern w:val="0"/>
                <w:sz w:val="28"/>
                <w:szCs w:val="28"/>
              </w:rPr>
            </w:pPr>
            <w:r>
              <w:rPr>
                <w:rFonts w:hint="eastAsia" w:ascii="仿宋" w:hAnsi="仿宋" w:eastAsia="仿宋" w:cs="Courier New"/>
                <w:b/>
                <w:kern w:val="0"/>
                <w:sz w:val="28"/>
                <w:szCs w:val="28"/>
              </w:rPr>
              <w:t>规定</w:t>
            </w:r>
          </w:p>
        </w:tc>
      </w:tr>
      <w:tr w14:paraId="0D71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4043179E">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1</w:t>
            </w:r>
          </w:p>
        </w:tc>
        <w:tc>
          <w:tcPr>
            <w:tcW w:w="1203" w:type="pct"/>
            <w:tcBorders>
              <w:top w:val="single" w:color="auto" w:sz="4" w:space="0"/>
              <w:left w:val="single" w:color="auto" w:sz="4" w:space="0"/>
              <w:bottom w:val="single" w:color="auto" w:sz="4" w:space="0"/>
              <w:right w:val="single" w:color="auto" w:sz="4" w:space="0"/>
            </w:tcBorders>
            <w:vAlign w:val="center"/>
          </w:tcPr>
          <w:p w14:paraId="63A09B2B">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sz w:val="28"/>
                <w:szCs w:val="28"/>
              </w:rPr>
              <w:t>招标文件的获取</w:t>
            </w:r>
          </w:p>
        </w:tc>
        <w:tc>
          <w:tcPr>
            <w:tcW w:w="3266" w:type="pct"/>
            <w:tcBorders>
              <w:top w:val="single" w:color="auto" w:sz="4" w:space="0"/>
              <w:left w:val="single" w:color="auto" w:sz="4" w:space="0"/>
              <w:bottom w:val="single" w:color="auto" w:sz="4" w:space="0"/>
              <w:right w:val="single" w:color="auto" w:sz="4" w:space="0"/>
            </w:tcBorders>
            <w:vAlign w:val="center"/>
          </w:tcPr>
          <w:p w14:paraId="0FA3E0BE">
            <w:pPr>
              <w:snapToGrid w:val="0"/>
              <w:spacing w:line="276" w:lineRule="auto"/>
              <w:rPr>
                <w:rFonts w:ascii="仿宋" w:hAnsi="仿宋" w:eastAsia="仿宋" w:cs="Courier New"/>
                <w:kern w:val="0"/>
                <w:sz w:val="28"/>
                <w:szCs w:val="28"/>
              </w:rPr>
            </w:pPr>
            <w:r>
              <w:rPr>
                <w:rFonts w:hint="eastAsia" w:ascii="仿宋" w:hAnsi="仿宋" w:eastAsia="仿宋" w:cs="Courier New"/>
                <w:kern w:val="0"/>
                <w:sz w:val="28"/>
                <w:szCs w:val="28"/>
              </w:rPr>
              <w:t>时间：</w:t>
            </w:r>
            <w:r>
              <w:rPr>
                <w:rFonts w:hint="eastAsia" w:ascii="仿宋" w:hAnsi="仿宋" w:eastAsia="仿宋"/>
                <w:sz w:val="28"/>
                <w:szCs w:val="28"/>
                <w:u w:val="single"/>
              </w:rPr>
              <w:t>2026年</w:t>
            </w:r>
            <w:r>
              <w:rPr>
                <w:rFonts w:hint="eastAsia" w:ascii="仿宋" w:hAnsi="仿宋" w:eastAsia="仿宋"/>
                <w:sz w:val="28"/>
                <w:szCs w:val="28"/>
                <w:u w:val="single"/>
                <w:lang w:val="en-US" w:eastAsia="zh-CN"/>
              </w:rPr>
              <w:t>6</w:t>
            </w:r>
            <w:r>
              <w:rPr>
                <w:rFonts w:hint="eastAsia" w:ascii="仿宋" w:hAnsi="仿宋" w:eastAsia="仿宋"/>
                <w:sz w:val="28"/>
                <w:szCs w:val="28"/>
                <w:u w:val="single"/>
              </w:rPr>
              <w:t>月</w:t>
            </w:r>
            <w:r>
              <w:rPr>
                <w:rFonts w:hint="eastAsia" w:ascii="仿宋" w:hAnsi="仿宋" w:eastAsia="仿宋"/>
                <w:sz w:val="28"/>
                <w:szCs w:val="28"/>
                <w:u w:val="single"/>
                <w:lang w:val="en-US" w:eastAsia="zh-CN"/>
              </w:rPr>
              <w:t>16</w:t>
            </w:r>
            <w:r>
              <w:rPr>
                <w:rFonts w:hint="eastAsia" w:ascii="仿宋" w:hAnsi="仿宋" w:eastAsia="仿宋"/>
                <w:sz w:val="28"/>
                <w:szCs w:val="28"/>
                <w:u w:val="single"/>
              </w:rPr>
              <w:t>日</w:t>
            </w:r>
          </w:p>
          <w:p w14:paraId="77DE0E9A">
            <w:pPr>
              <w:adjustRightInd w:val="0"/>
              <w:snapToGrid w:val="0"/>
              <w:spacing w:line="400" w:lineRule="exact"/>
              <w:rPr>
                <w:rFonts w:ascii="仿宋" w:hAnsi="仿宋" w:eastAsia="仿宋" w:cs="Courier New"/>
                <w:kern w:val="0"/>
                <w:sz w:val="28"/>
                <w:szCs w:val="28"/>
                <w:u w:val="single"/>
              </w:rPr>
            </w:pPr>
            <w:r>
              <w:rPr>
                <w:rFonts w:hint="eastAsia" w:ascii="仿宋" w:hAnsi="仿宋" w:eastAsia="仿宋" w:cs="Courier New"/>
                <w:kern w:val="0"/>
                <w:sz w:val="28"/>
                <w:szCs w:val="28"/>
              </w:rPr>
              <w:t>地点：</w:t>
            </w:r>
            <w:r>
              <w:rPr>
                <w:rFonts w:hint="eastAsia" w:ascii="仿宋" w:hAnsi="仿宋" w:eastAsia="仿宋"/>
                <w:iCs/>
                <w:color w:val="000000"/>
                <w:sz w:val="28"/>
                <w:szCs w:val="28"/>
              </w:rPr>
              <w:t>深圳市龙岗区平湖街道华南大道一号华南城总部行政楼3楼</w:t>
            </w:r>
          </w:p>
        </w:tc>
      </w:tr>
      <w:tr w14:paraId="4CF1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15B9B59A">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2</w:t>
            </w:r>
          </w:p>
        </w:tc>
        <w:tc>
          <w:tcPr>
            <w:tcW w:w="1203" w:type="pct"/>
            <w:tcBorders>
              <w:top w:val="single" w:color="auto" w:sz="4" w:space="0"/>
              <w:left w:val="single" w:color="auto" w:sz="4" w:space="0"/>
              <w:bottom w:val="single" w:color="auto" w:sz="4" w:space="0"/>
              <w:right w:val="single" w:color="auto" w:sz="4" w:space="0"/>
            </w:tcBorders>
            <w:vAlign w:val="center"/>
          </w:tcPr>
          <w:p w14:paraId="3A701DED">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投标文件递交</w:t>
            </w:r>
          </w:p>
        </w:tc>
        <w:tc>
          <w:tcPr>
            <w:tcW w:w="3266" w:type="pct"/>
            <w:tcBorders>
              <w:top w:val="single" w:color="auto" w:sz="4" w:space="0"/>
              <w:left w:val="single" w:color="auto" w:sz="4" w:space="0"/>
              <w:bottom w:val="single" w:color="auto" w:sz="4" w:space="0"/>
              <w:right w:val="single" w:color="auto" w:sz="4" w:space="0"/>
            </w:tcBorders>
            <w:vAlign w:val="center"/>
          </w:tcPr>
          <w:p w14:paraId="6290AEE9">
            <w:pPr>
              <w:adjustRightInd w:val="0"/>
              <w:snapToGrid w:val="0"/>
              <w:spacing w:line="400" w:lineRule="exact"/>
              <w:rPr>
                <w:rFonts w:hint="default" w:ascii="仿宋" w:hAnsi="仿宋" w:eastAsia="仿宋" w:cs="Courier New"/>
                <w:kern w:val="0"/>
                <w:sz w:val="28"/>
                <w:szCs w:val="28"/>
                <w:lang w:val="en-US" w:eastAsia="zh-CN"/>
              </w:rPr>
            </w:pPr>
            <w:r>
              <w:rPr>
                <w:rFonts w:hint="eastAsia" w:ascii="仿宋" w:hAnsi="仿宋" w:eastAsia="仿宋" w:cs="Courier New"/>
                <w:kern w:val="0"/>
                <w:sz w:val="28"/>
                <w:szCs w:val="28"/>
              </w:rPr>
              <w:t>截止时间：</w:t>
            </w:r>
            <w:r>
              <w:rPr>
                <w:rFonts w:hint="eastAsia" w:ascii="仿宋" w:hAnsi="仿宋" w:eastAsia="仿宋" w:cs="Courier New"/>
                <w:kern w:val="0"/>
                <w:sz w:val="28"/>
                <w:szCs w:val="28"/>
                <w:u w:val="single"/>
              </w:rPr>
              <w:t xml:space="preserve">2026年 </w:t>
            </w:r>
            <w:r>
              <w:rPr>
                <w:rFonts w:hint="eastAsia" w:ascii="仿宋" w:hAnsi="仿宋" w:eastAsia="仿宋" w:cs="Courier New"/>
                <w:kern w:val="0"/>
                <w:sz w:val="28"/>
                <w:szCs w:val="28"/>
                <w:u w:val="single"/>
                <w:lang w:val="en-US" w:eastAsia="zh-CN"/>
              </w:rPr>
              <w:t>6</w:t>
            </w:r>
            <w:r>
              <w:rPr>
                <w:rFonts w:hint="eastAsia" w:ascii="仿宋" w:hAnsi="仿宋" w:eastAsia="仿宋" w:cs="Courier New"/>
                <w:kern w:val="0"/>
                <w:sz w:val="28"/>
                <w:szCs w:val="28"/>
                <w:u w:val="single"/>
              </w:rPr>
              <w:t xml:space="preserve"> 月 </w:t>
            </w:r>
            <w:r>
              <w:rPr>
                <w:rFonts w:hint="eastAsia" w:ascii="仿宋" w:hAnsi="仿宋" w:eastAsia="仿宋" w:cs="Courier New"/>
                <w:kern w:val="0"/>
                <w:sz w:val="28"/>
                <w:szCs w:val="28"/>
                <w:u w:val="single"/>
                <w:lang w:val="en-US" w:eastAsia="zh-CN"/>
              </w:rPr>
              <w:t>22</w:t>
            </w:r>
            <w:r>
              <w:rPr>
                <w:rFonts w:hint="eastAsia" w:ascii="仿宋" w:hAnsi="仿宋" w:eastAsia="仿宋" w:cs="Courier New"/>
                <w:kern w:val="0"/>
                <w:sz w:val="28"/>
                <w:szCs w:val="28"/>
                <w:u w:val="single"/>
              </w:rPr>
              <w:t xml:space="preserve"> 日 </w:t>
            </w:r>
            <w:r>
              <w:rPr>
                <w:rFonts w:hint="eastAsia" w:ascii="仿宋" w:hAnsi="仿宋" w:eastAsia="仿宋" w:cs="Courier New"/>
                <w:kern w:val="0"/>
                <w:sz w:val="28"/>
                <w:szCs w:val="28"/>
                <w:u w:val="single"/>
                <w:lang w:val="en-US" w:eastAsia="zh-CN"/>
              </w:rPr>
              <w:t>14</w:t>
            </w:r>
            <w:r>
              <w:rPr>
                <w:rFonts w:hint="eastAsia" w:ascii="仿宋" w:hAnsi="仿宋" w:eastAsia="仿宋" w:cs="Courier New"/>
                <w:kern w:val="0"/>
                <w:sz w:val="28"/>
                <w:szCs w:val="28"/>
                <w:u w:val="single"/>
              </w:rPr>
              <w:t xml:space="preserve"> 时</w:t>
            </w:r>
            <w:r>
              <w:rPr>
                <w:rFonts w:hint="eastAsia" w:ascii="仿宋" w:hAnsi="仿宋" w:eastAsia="仿宋" w:cs="Courier New"/>
                <w:kern w:val="0"/>
                <w:sz w:val="28"/>
                <w:szCs w:val="28"/>
                <w:u w:val="single"/>
                <w:lang w:val="en-US" w:eastAsia="zh-CN"/>
              </w:rPr>
              <w:t>30分</w:t>
            </w:r>
          </w:p>
          <w:p w14:paraId="2ED31410">
            <w:pPr>
              <w:adjustRightInd w:val="0"/>
              <w:snapToGrid w:val="0"/>
              <w:spacing w:line="400" w:lineRule="exact"/>
              <w:rPr>
                <w:rFonts w:ascii="仿宋" w:hAnsi="仿宋" w:eastAsia="仿宋" w:cs="Courier New"/>
                <w:kern w:val="0"/>
                <w:sz w:val="28"/>
                <w:szCs w:val="28"/>
              </w:rPr>
            </w:pPr>
            <w:r>
              <w:rPr>
                <w:rFonts w:hint="eastAsia" w:ascii="仿宋" w:hAnsi="仿宋" w:eastAsia="仿宋" w:cs="Courier New"/>
                <w:kern w:val="0"/>
                <w:sz w:val="28"/>
                <w:szCs w:val="28"/>
              </w:rPr>
              <w:t>地    点：</w:t>
            </w:r>
            <w:r>
              <w:rPr>
                <w:rFonts w:hint="eastAsia" w:ascii="仿宋" w:hAnsi="仿宋" w:eastAsia="仿宋"/>
                <w:iCs/>
                <w:color w:val="000000"/>
                <w:sz w:val="28"/>
                <w:szCs w:val="28"/>
              </w:rPr>
              <w:t>深圳市龙岗区平湖街道华南大道一号华南城总部行政楼3楼</w:t>
            </w:r>
          </w:p>
        </w:tc>
      </w:tr>
      <w:tr w14:paraId="77BE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1F638061">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3</w:t>
            </w:r>
          </w:p>
        </w:tc>
        <w:tc>
          <w:tcPr>
            <w:tcW w:w="1203" w:type="pct"/>
            <w:tcBorders>
              <w:top w:val="single" w:color="auto" w:sz="4" w:space="0"/>
              <w:left w:val="single" w:color="auto" w:sz="4" w:space="0"/>
              <w:bottom w:val="single" w:color="auto" w:sz="4" w:space="0"/>
              <w:right w:val="single" w:color="auto" w:sz="4" w:space="0"/>
            </w:tcBorders>
            <w:vAlign w:val="center"/>
          </w:tcPr>
          <w:p w14:paraId="0130D5BF">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投标有效期</w:t>
            </w:r>
          </w:p>
        </w:tc>
        <w:tc>
          <w:tcPr>
            <w:tcW w:w="3266" w:type="pct"/>
            <w:tcBorders>
              <w:top w:val="single" w:color="auto" w:sz="4" w:space="0"/>
              <w:left w:val="single" w:color="auto" w:sz="4" w:space="0"/>
              <w:bottom w:val="single" w:color="auto" w:sz="4" w:space="0"/>
              <w:right w:val="single" w:color="auto" w:sz="4" w:space="0"/>
            </w:tcBorders>
            <w:vAlign w:val="center"/>
          </w:tcPr>
          <w:p w14:paraId="46B3C2BC">
            <w:pPr>
              <w:adjustRightInd w:val="0"/>
              <w:snapToGrid w:val="0"/>
              <w:spacing w:line="400" w:lineRule="exact"/>
              <w:rPr>
                <w:rFonts w:ascii="仿宋" w:hAnsi="仿宋" w:eastAsia="仿宋" w:cs="Courier New"/>
                <w:kern w:val="0"/>
                <w:sz w:val="28"/>
                <w:szCs w:val="28"/>
              </w:rPr>
            </w:pPr>
            <w:r>
              <w:rPr>
                <w:rFonts w:hint="eastAsia" w:ascii="仿宋" w:hAnsi="仿宋" w:eastAsia="仿宋" w:cs="Courier New"/>
                <w:kern w:val="0"/>
                <w:sz w:val="28"/>
                <w:szCs w:val="28"/>
                <w:u w:val="single"/>
              </w:rPr>
              <w:t xml:space="preserve">   </w:t>
            </w:r>
            <w:r>
              <w:rPr>
                <w:rFonts w:hint="eastAsia" w:ascii="仿宋" w:hAnsi="仿宋" w:eastAsia="仿宋" w:cs="Courier New"/>
                <w:kern w:val="0"/>
                <w:sz w:val="28"/>
                <w:szCs w:val="28"/>
                <w:u w:val="single"/>
                <w:lang w:val="en-US" w:eastAsia="zh-CN"/>
              </w:rPr>
              <w:t>6</w:t>
            </w:r>
            <w:r>
              <w:rPr>
                <w:rFonts w:hint="eastAsia" w:ascii="仿宋" w:hAnsi="仿宋" w:eastAsia="仿宋" w:cs="Courier New"/>
                <w:kern w:val="0"/>
                <w:sz w:val="28"/>
                <w:szCs w:val="28"/>
                <w:u w:val="single"/>
              </w:rPr>
              <w:t xml:space="preserve">0  </w:t>
            </w:r>
            <w:r>
              <w:rPr>
                <w:rFonts w:hint="eastAsia" w:ascii="仿宋" w:hAnsi="仿宋" w:eastAsia="仿宋" w:cs="Courier New"/>
                <w:kern w:val="0"/>
                <w:sz w:val="28"/>
                <w:szCs w:val="28"/>
              </w:rPr>
              <w:t>日历天（从投标截止之日算起）</w:t>
            </w:r>
          </w:p>
        </w:tc>
      </w:tr>
      <w:tr w14:paraId="7B9D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205A1601">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4</w:t>
            </w:r>
          </w:p>
        </w:tc>
        <w:tc>
          <w:tcPr>
            <w:tcW w:w="1203" w:type="pct"/>
            <w:tcBorders>
              <w:top w:val="single" w:color="auto" w:sz="4" w:space="0"/>
              <w:left w:val="single" w:color="auto" w:sz="4" w:space="0"/>
              <w:bottom w:val="single" w:color="auto" w:sz="4" w:space="0"/>
              <w:right w:val="single" w:color="auto" w:sz="4" w:space="0"/>
            </w:tcBorders>
            <w:vAlign w:val="center"/>
          </w:tcPr>
          <w:p w14:paraId="1BEB7634">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招标人对招标文件的澄清或修改、答疑的期限、方式</w:t>
            </w:r>
          </w:p>
        </w:tc>
        <w:tc>
          <w:tcPr>
            <w:tcW w:w="3266" w:type="pct"/>
            <w:tcBorders>
              <w:top w:val="single" w:color="auto" w:sz="4" w:space="0"/>
              <w:left w:val="single" w:color="auto" w:sz="4" w:space="0"/>
              <w:bottom w:val="single" w:color="auto" w:sz="4" w:space="0"/>
              <w:right w:val="single" w:color="auto" w:sz="4" w:space="0"/>
            </w:tcBorders>
            <w:vAlign w:val="center"/>
          </w:tcPr>
          <w:p w14:paraId="29C3ED4E">
            <w:pPr>
              <w:adjustRightInd w:val="0"/>
              <w:snapToGrid w:val="0"/>
              <w:spacing w:line="400" w:lineRule="exact"/>
              <w:jc w:val="left"/>
              <w:rPr>
                <w:rFonts w:ascii="仿宋" w:hAnsi="仿宋" w:eastAsia="仿宋" w:cs="Courier New"/>
                <w:kern w:val="0"/>
                <w:sz w:val="28"/>
                <w:szCs w:val="28"/>
              </w:rPr>
            </w:pPr>
            <w:r>
              <w:rPr>
                <w:rFonts w:hint="eastAsia" w:ascii="仿宋" w:hAnsi="仿宋" w:eastAsia="仿宋" w:cs="Courier New"/>
                <w:kern w:val="0"/>
                <w:sz w:val="28"/>
                <w:szCs w:val="28"/>
              </w:rPr>
              <w:t>投标人质疑期限：在投标截止日期前</w:t>
            </w:r>
            <w:r>
              <w:rPr>
                <w:rFonts w:hint="eastAsia" w:ascii="仿宋" w:hAnsi="仿宋" w:eastAsia="仿宋" w:cs="Courier New"/>
                <w:bCs/>
                <w:kern w:val="0"/>
                <w:sz w:val="28"/>
                <w:szCs w:val="28"/>
                <w:u w:val="single"/>
              </w:rPr>
              <w:t xml:space="preserve">  3  </w:t>
            </w:r>
            <w:r>
              <w:rPr>
                <w:rFonts w:hint="eastAsia" w:ascii="仿宋" w:hAnsi="仿宋" w:eastAsia="仿宋" w:cs="Courier New"/>
                <w:kern w:val="0"/>
                <w:sz w:val="28"/>
                <w:szCs w:val="28"/>
              </w:rPr>
              <w:t>日</w:t>
            </w:r>
          </w:p>
          <w:p w14:paraId="48894638">
            <w:pPr>
              <w:adjustRightInd w:val="0"/>
              <w:snapToGrid w:val="0"/>
              <w:spacing w:line="400" w:lineRule="exact"/>
              <w:jc w:val="left"/>
              <w:rPr>
                <w:rFonts w:ascii="仿宋" w:hAnsi="仿宋" w:eastAsia="仿宋" w:cs="Courier New"/>
                <w:kern w:val="0"/>
                <w:sz w:val="28"/>
                <w:szCs w:val="28"/>
              </w:rPr>
            </w:pPr>
            <w:r>
              <w:rPr>
                <w:rFonts w:hint="eastAsia" w:ascii="仿宋" w:hAnsi="仿宋" w:eastAsia="仿宋" w:cs="Courier New"/>
                <w:kern w:val="0"/>
                <w:sz w:val="28"/>
                <w:szCs w:val="28"/>
              </w:rPr>
              <w:t>招标人澄清或修补、答疑期限：在投标截止日期前</w:t>
            </w:r>
            <w:r>
              <w:rPr>
                <w:rFonts w:hint="eastAsia" w:ascii="仿宋" w:hAnsi="仿宋" w:eastAsia="仿宋" w:cs="Courier New"/>
                <w:kern w:val="0"/>
                <w:sz w:val="28"/>
                <w:szCs w:val="28"/>
                <w:u w:val="single"/>
              </w:rPr>
              <w:t xml:space="preserve">  2  </w:t>
            </w:r>
            <w:r>
              <w:rPr>
                <w:rFonts w:hint="eastAsia" w:ascii="仿宋" w:hAnsi="仿宋" w:eastAsia="仿宋" w:cs="Courier New"/>
                <w:kern w:val="0"/>
                <w:sz w:val="28"/>
                <w:szCs w:val="28"/>
              </w:rPr>
              <w:t>日</w:t>
            </w:r>
          </w:p>
          <w:p w14:paraId="2CEDCD1E">
            <w:pPr>
              <w:pStyle w:val="115"/>
              <w:spacing w:line="400" w:lineRule="exact"/>
              <w:ind w:firstLine="0" w:firstLineChars="0"/>
              <w:rPr>
                <w:rFonts w:ascii="仿宋" w:hAnsi="仿宋" w:eastAsia="仿宋"/>
                <w:sz w:val="28"/>
                <w:szCs w:val="28"/>
              </w:rPr>
            </w:pPr>
            <w:r>
              <w:rPr>
                <w:rFonts w:hint="eastAsia" w:ascii="仿宋" w:hAnsi="仿宋" w:eastAsia="仿宋"/>
                <w:sz w:val="28"/>
                <w:szCs w:val="28"/>
              </w:rPr>
              <w:t>投标人提交质疑问题的方式：以书面形式递交</w:t>
            </w:r>
          </w:p>
          <w:p w14:paraId="04A36A13">
            <w:pPr>
              <w:pStyle w:val="115"/>
              <w:spacing w:line="400" w:lineRule="exact"/>
              <w:ind w:firstLine="0" w:firstLineChars="0"/>
              <w:rPr>
                <w:rFonts w:ascii="仿宋" w:hAnsi="仿宋" w:eastAsia="仿宋" w:cs="Courier New"/>
                <w:kern w:val="0"/>
                <w:sz w:val="28"/>
                <w:szCs w:val="28"/>
              </w:rPr>
            </w:pPr>
            <w:r>
              <w:rPr>
                <w:rFonts w:hint="eastAsia" w:ascii="仿宋" w:hAnsi="仿宋" w:eastAsia="仿宋"/>
                <w:sz w:val="28"/>
                <w:szCs w:val="28"/>
              </w:rPr>
              <w:t xml:space="preserve">招标人发出答疑补遗的方式：书面形式发送 </w:t>
            </w:r>
          </w:p>
        </w:tc>
      </w:tr>
      <w:tr w14:paraId="268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285003EC">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5</w:t>
            </w:r>
          </w:p>
        </w:tc>
        <w:tc>
          <w:tcPr>
            <w:tcW w:w="1203" w:type="pct"/>
            <w:tcBorders>
              <w:top w:val="single" w:color="auto" w:sz="4" w:space="0"/>
              <w:left w:val="single" w:color="auto" w:sz="4" w:space="0"/>
              <w:bottom w:val="single" w:color="auto" w:sz="4" w:space="0"/>
              <w:right w:val="single" w:color="auto" w:sz="4" w:space="0"/>
            </w:tcBorders>
            <w:vAlign w:val="center"/>
          </w:tcPr>
          <w:p w14:paraId="13FF0F37">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sz w:val="28"/>
                <w:szCs w:val="28"/>
              </w:rPr>
              <w:t>开标会</w:t>
            </w:r>
          </w:p>
        </w:tc>
        <w:tc>
          <w:tcPr>
            <w:tcW w:w="3266" w:type="pct"/>
            <w:tcBorders>
              <w:top w:val="single" w:color="auto" w:sz="4" w:space="0"/>
              <w:left w:val="single" w:color="auto" w:sz="4" w:space="0"/>
              <w:bottom w:val="single" w:color="auto" w:sz="4" w:space="0"/>
              <w:right w:val="single" w:color="auto" w:sz="4" w:space="0"/>
            </w:tcBorders>
            <w:vAlign w:val="center"/>
          </w:tcPr>
          <w:p w14:paraId="6EC4FD66">
            <w:pPr>
              <w:snapToGrid w:val="0"/>
              <w:spacing w:line="276" w:lineRule="auto"/>
              <w:rPr>
                <w:rFonts w:ascii="仿宋" w:hAnsi="仿宋" w:eastAsia="仿宋" w:cs="Courier New"/>
                <w:kern w:val="0"/>
                <w:sz w:val="28"/>
                <w:szCs w:val="28"/>
              </w:rPr>
            </w:pPr>
            <w:r>
              <w:rPr>
                <w:rFonts w:hint="eastAsia" w:ascii="仿宋" w:hAnsi="仿宋" w:eastAsia="仿宋" w:cs="Courier New"/>
                <w:kern w:val="0"/>
                <w:sz w:val="28"/>
                <w:szCs w:val="28"/>
              </w:rPr>
              <w:t>时间：</w:t>
            </w:r>
            <w:r>
              <w:rPr>
                <w:rFonts w:hint="eastAsia" w:ascii="仿宋" w:hAnsi="仿宋" w:eastAsia="仿宋" w:cs="Courier New"/>
                <w:kern w:val="0"/>
                <w:sz w:val="28"/>
                <w:szCs w:val="28"/>
                <w:u w:val="single"/>
              </w:rPr>
              <w:t xml:space="preserve">2026年 </w:t>
            </w:r>
            <w:r>
              <w:rPr>
                <w:rFonts w:hint="eastAsia" w:ascii="仿宋" w:hAnsi="仿宋" w:eastAsia="仿宋" w:cs="Courier New"/>
                <w:kern w:val="0"/>
                <w:sz w:val="28"/>
                <w:szCs w:val="28"/>
                <w:u w:val="single"/>
                <w:lang w:val="en-US" w:eastAsia="zh-CN"/>
              </w:rPr>
              <w:t>6</w:t>
            </w:r>
            <w:r>
              <w:rPr>
                <w:rFonts w:hint="eastAsia" w:ascii="仿宋" w:hAnsi="仿宋" w:eastAsia="仿宋" w:cs="Courier New"/>
                <w:kern w:val="0"/>
                <w:sz w:val="28"/>
                <w:szCs w:val="28"/>
                <w:u w:val="single"/>
              </w:rPr>
              <w:t xml:space="preserve"> 月 </w:t>
            </w:r>
            <w:r>
              <w:rPr>
                <w:rFonts w:hint="eastAsia" w:ascii="仿宋" w:hAnsi="仿宋" w:eastAsia="仿宋" w:cs="Courier New"/>
                <w:kern w:val="0"/>
                <w:sz w:val="28"/>
                <w:szCs w:val="28"/>
                <w:u w:val="single"/>
                <w:lang w:val="en-US" w:eastAsia="zh-CN"/>
              </w:rPr>
              <w:t>22</w:t>
            </w:r>
            <w:r>
              <w:rPr>
                <w:rFonts w:hint="eastAsia" w:ascii="仿宋" w:hAnsi="仿宋" w:eastAsia="仿宋" w:cs="Courier New"/>
                <w:kern w:val="0"/>
                <w:sz w:val="28"/>
                <w:szCs w:val="28"/>
                <w:u w:val="single"/>
              </w:rPr>
              <w:t xml:space="preserve"> 日</w:t>
            </w:r>
          </w:p>
          <w:p w14:paraId="28213A8C">
            <w:pPr>
              <w:adjustRightInd w:val="0"/>
              <w:snapToGrid w:val="0"/>
              <w:spacing w:line="400" w:lineRule="exact"/>
              <w:rPr>
                <w:rFonts w:ascii="仿宋" w:hAnsi="仿宋" w:eastAsia="仿宋"/>
                <w:sz w:val="28"/>
                <w:szCs w:val="28"/>
              </w:rPr>
            </w:pPr>
            <w:r>
              <w:rPr>
                <w:rFonts w:hint="eastAsia" w:ascii="仿宋" w:hAnsi="仿宋" w:eastAsia="仿宋" w:cs="Courier New"/>
                <w:kern w:val="0"/>
                <w:sz w:val="28"/>
                <w:szCs w:val="28"/>
              </w:rPr>
              <w:t>地点：</w:t>
            </w:r>
            <w:r>
              <w:rPr>
                <w:rFonts w:hint="eastAsia" w:ascii="仿宋" w:hAnsi="仿宋" w:eastAsia="仿宋"/>
                <w:iCs/>
                <w:color w:val="000000"/>
                <w:sz w:val="28"/>
                <w:szCs w:val="28"/>
              </w:rPr>
              <w:t>深圳市龙岗区平湖街道华南大道一号华南城总部行政楼3楼</w:t>
            </w:r>
            <w:r>
              <w:rPr>
                <w:rFonts w:hint="eastAsia" w:ascii="仿宋" w:hAnsi="仿宋" w:eastAsia="仿宋" w:cs="Courier New"/>
                <w:kern w:val="0"/>
                <w:sz w:val="28"/>
                <w:szCs w:val="28"/>
              </w:rPr>
              <w:t>办公室</w:t>
            </w:r>
            <w:r>
              <w:rPr>
                <w:rFonts w:hint="eastAsia" w:ascii="仿宋" w:hAnsi="仿宋" w:eastAsia="仿宋"/>
                <w:kern w:val="0"/>
                <w:sz w:val="28"/>
                <w:szCs w:val="28"/>
              </w:rPr>
              <w:t>拟派项目负责人需进行述标答辩</w:t>
            </w:r>
            <w:r>
              <w:rPr>
                <w:rFonts w:hint="eastAsia" w:ascii="仿宋" w:hAnsi="仿宋" w:eastAsia="仿宋"/>
                <w:sz w:val="28"/>
                <w:szCs w:val="28"/>
              </w:rPr>
              <w:t>：</w:t>
            </w:r>
          </w:p>
          <w:p w14:paraId="3044A3D4">
            <w:pPr>
              <w:widowControl/>
              <w:numPr>
                <w:ilvl w:val="0"/>
                <w:numId w:val="5"/>
              </w:numPr>
              <w:adjustRightInd w:val="0"/>
              <w:snapToGrid w:val="0"/>
              <w:spacing w:line="400" w:lineRule="exact"/>
              <w:rPr>
                <w:rFonts w:ascii="仿宋" w:hAnsi="仿宋" w:eastAsia="仿宋"/>
                <w:kern w:val="0"/>
                <w:sz w:val="28"/>
                <w:szCs w:val="28"/>
                <w:u w:val="single"/>
              </w:rPr>
            </w:pPr>
            <w:r>
              <w:rPr>
                <w:rFonts w:hint="eastAsia" w:ascii="仿宋" w:hAnsi="仿宋" w:eastAsia="仿宋"/>
                <w:kern w:val="0"/>
                <w:sz w:val="28"/>
                <w:szCs w:val="28"/>
                <w:u w:val="single"/>
              </w:rPr>
              <w:t>述标答辩时间:</w:t>
            </w:r>
            <w:r>
              <w:rPr>
                <w:rFonts w:hint="eastAsia" w:ascii="仿宋" w:hAnsi="仿宋" w:eastAsia="仿宋" w:cs="Courier New"/>
                <w:kern w:val="0"/>
                <w:sz w:val="28"/>
                <w:szCs w:val="28"/>
                <w:u w:val="single"/>
              </w:rPr>
              <w:t xml:space="preserve">2026年 </w:t>
            </w:r>
            <w:r>
              <w:rPr>
                <w:rFonts w:hint="eastAsia" w:ascii="仿宋" w:hAnsi="仿宋" w:eastAsia="仿宋" w:cs="Courier New"/>
                <w:kern w:val="0"/>
                <w:sz w:val="28"/>
                <w:szCs w:val="28"/>
                <w:u w:val="single"/>
                <w:lang w:val="en-US" w:eastAsia="zh-CN"/>
              </w:rPr>
              <w:t>6</w:t>
            </w:r>
            <w:r>
              <w:rPr>
                <w:rFonts w:hint="eastAsia" w:ascii="仿宋" w:hAnsi="仿宋" w:eastAsia="仿宋" w:cs="Courier New"/>
                <w:kern w:val="0"/>
                <w:sz w:val="28"/>
                <w:szCs w:val="28"/>
                <w:u w:val="single"/>
              </w:rPr>
              <w:t xml:space="preserve"> 月 </w:t>
            </w:r>
            <w:r>
              <w:rPr>
                <w:rFonts w:hint="eastAsia" w:ascii="仿宋" w:hAnsi="仿宋" w:eastAsia="仿宋" w:cs="Courier New"/>
                <w:kern w:val="0"/>
                <w:sz w:val="28"/>
                <w:szCs w:val="28"/>
                <w:u w:val="single"/>
                <w:lang w:val="en-US" w:eastAsia="zh-CN"/>
              </w:rPr>
              <w:t>22</w:t>
            </w:r>
            <w:r>
              <w:rPr>
                <w:rFonts w:hint="eastAsia" w:ascii="仿宋" w:hAnsi="仿宋" w:eastAsia="仿宋" w:cs="Courier New"/>
                <w:kern w:val="0"/>
                <w:sz w:val="28"/>
                <w:szCs w:val="28"/>
                <w:u w:val="single"/>
              </w:rPr>
              <w:t xml:space="preserve"> 日</w:t>
            </w:r>
            <w:r>
              <w:rPr>
                <w:rFonts w:hint="eastAsia" w:ascii="仿宋" w:hAnsi="仿宋" w:eastAsia="仿宋"/>
                <w:kern w:val="0"/>
                <w:sz w:val="28"/>
                <w:szCs w:val="28"/>
                <w:u w:val="single"/>
              </w:rPr>
              <w:t>1</w:t>
            </w:r>
            <w:r>
              <w:rPr>
                <w:rFonts w:hint="eastAsia" w:ascii="仿宋" w:hAnsi="仿宋" w:eastAsia="仿宋"/>
                <w:kern w:val="0"/>
                <w:sz w:val="28"/>
                <w:szCs w:val="28"/>
                <w:u w:val="single"/>
                <w:lang w:val="en-US" w:eastAsia="zh-CN"/>
              </w:rPr>
              <w:t>5</w:t>
            </w:r>
            <w:r>
              <w:rPr>
                <w:rFonts w:hint="eastAsia" w:ascii="仿宋" w:hAnsi="仿宋" w:eastAsia="仿宋"/>
                <w:kern w:val="0"/>
                <w:sz w:val="28"/>
                <w:szCs w:val="28"/>
                <w:u w:val="single"/>
              </w:rPr>
              <w:t>：00（暂定，若有调整，以招标人通知为准。）</w:t>
            </w:r>
          </w:p>
          <w:p w14:paraId="32625EFC">
            <w:pPr>
              <w:widowControl/>
              <w:numPr>
                <w:ilvl w:val="0"/>
                <w:numId w:val="5"/>
              </w:numPr>
              <w:adjustRightInd w:val="0"/>
              <w:snapToGrid w:val="0"/>
              <w:spacing w:line="400" w:lineRule="exact"/>
              <w:rPr>
                <w:rFonts w:ascii="仿宋" w:hAnsi="仿宋" w:eastAsia="仿宋"/>
                <w:kern w:val="0"/>
                <w:sz w:val="28"/>
                <w:szCs w:val="28"/>
                <w:u w:val="single"/>
              </w:rPr>
            </w:pPr>
            <w:r>
              <w:rPr>
                <w:rFonts w:hint="eastAsia" w:ascii="仿宋" w:hAnsi="仿宋" w:eastAsia="仿宋"/>
                <w:kern w:val="0"/>
                <w:sz w:val="28"/>
                <w:szCs w:val="28"/>
                <w:u w:val="single"/>
              </w:rPr>
              <w:t>述标答辩地点：</w:t>
            </w:r>
            <w:r>
              <w:rPr>
                <w:rFonts w:hint="eastAsia" w:ascii="仿宋" w:hAnsi="仿宋" w:eastAsia="仿宋"/>
                <w:iCs/>
                <w:color w:val="000000"/>
                <w:sz w:val="28"/>
                <w:szCs w:val="28"/>
              </w:rPr>
              <w:t>深圳市龙岗区平湖街道华南大道一号华南城总部行政楼3楼</w:t>
            </w:r>
            <w:r>
              <w:rPr>
                <w:rFonts w:hint="eastAsia" w:ascii="仿宋" w:hAnsi="仿宋" w:eastAsia="仿宋" w:cs="Courier New"/>
                <w:kern w:val="0"/>
                <w:sz w:val="28"/>
                <w:szCs w:val="28"/>
              </w:rPr>
              <w:t>办公室</w:t>
            </w:r>
          </w:p>
          <w:p w14:paraId="5082C4D3">
            <w:pPr>
              <w:adjustRightInd w:val="0"/>
              <w:snapToGrid w:val="0"/>
              <w:spacing w:line="400" w:lineRule="exact"/>
              <w:rPr>
                <w:rFonts w:ascii="仿宋" w:hAnsi="仿宋" w:eastAsia="仿宋"/>
                <w:kern w:val="0"/>
                <w:sz w:val="28"/>
                <w:szCs w:val="28"/>
              </w:rPr>
            </w:pPr>
            <w:r>
              <w:rPr>
                <w:rFonts w:hint="eastAsia" w:ascii="仿宋" w:hAnsi="仿宋" w:eastAsia="仿宋"/>
                <w:kern w:val="0"/>
                <w:sz w:val="28"/>
                <w:szCs w:val="28"/>
              </w:rPr>
              <w:t>述标答辩要求：</w:t>
            </w:r>
          </w:p>
          <w:p w14:paraId="79EAC233">
            <w:pPr>
              <w:widowControl/>
              <w:numPr>
                <w:ilvl w:val="0"/>
                <w:numId w:val="5"/>
              </w:numPr>
              <w:adjustRightInd w:val="0"/>
              <w:snapToGrid w:val="0"/>
              <w:spacing w:line="400" w:lineRule="exact"/>
              <w:rPr>
                <w:rFonts w:ascii="仿宋" w:hAnsi="仿宋" w:eastAsia="仿宋"/>
                <w:kern w:val="0"/>
                <w:sz w:val="28"/>
                <w:szCs w:val="28"/>
                <w:u w:val="single"/>
              </w:rPr>
            </w:pPr>
            <w:r>
              <w:rPr>
                <w:rFonts w:hint="eastAsia" w:ascii="仿宋" w:hAnsi="仿宋" w:eastAsia="仿宋"/>
                <w:kern w:val="0"/>
                <w:sz w:val="28"/>
                <w:szCs w:val="28"/>
                <w:u w:val="single"/>
              </w:rPr>
              <w:t>述标答辩要求：（1）拟派项目负责人需持授权委托书、身份证原件、复印件等资料进行身份核验。（2）围绕技术标评审的要求进行述标，形式不限。</w:t>
            </w:r>
          </w:p>
        </w:tc>
      </w:tr>
      <w:tr w14:paraId="435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2870F474">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6</w:t>
            </w:r>
          </w:p>
        </w:tc>
        <w:tc>
          <w:tcPr>
            <w:tcW w:w="1203" w:type="pct"/>
            <w:tcBorders>
              <w:top w:val="single" w:color="auto" w:sz="4" w:space="0"/>
              <w:left w:val="single" w:color="auto" w:sz="4" w:space="0"/>
              <w:bottom w:val="single" w:color="auto" w:sz="4" w:space="0"/>
              <w:right w:val="single" w:color="auto" w:sz="4" w:space="0"/>
            </w:tcBorders>
            <w:vAlign w:val="center"/>
          </w:tcPr>
          <w:p w14:paraId="564A6BE2">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发出中标通知书</w:t>
            </w:r>
          </w:p>
        </w:tc>
        <w:tc>
          <w:tcPr>
            <w:tcW w:w="3266" w:type="pct"/>
            <w:tcBorders>
              <w:top w:val="single" w:color="auto" w:sz="4" w:space="0"/>
              <w:left w:val="single" w:color="auto" w:sz="4" w:space="0"/>
              <w:bottom w:val="single" w:color="auto" w:sz="4" w:space="0"/>
              <w:right w:val="single" w:color="auto" w:sz="4" w:space="0"/>
            </w:tcBorders>
            <w:vAlign w:val="center"/>
          </w:tcPr>
          <w:p w14:paraId="6299183B">
            <w:pPr>
              <w:adjustRightInd w:val="0"/>
              <w:snapToGrid w:val="0"/>
              <w:spacing w:line="400" w:lineRule="exact"/>
              <w:rPr>
                <w:rFonts w:ascii="仿宋" w:hAnsi="仿宋" w:eastAsia="仿宋" w:cs="Courier New"/>
                <w:kern w:val="0"/>
                <w:sz w:val="28"/>
                <w:szCs w:val="28"/>
              </w:rPr>
            </w:pPr>
            <w:r>
              <w:rPr>
                <w:rFonts w:hint="eastAsia" w:ascii="仿宋" w:hAnsi="仿宋" w:eastAsia="仿宋" w:cs="Courier New"/>
                <w:kern w:val="0"/>
                <w:sz w:val="28"/>
                <w:szCs w:val="28"/>
              </w:rPr>
              <w:t>投标有效期满30天前</w:t>
            </w:r>
          </w:p>
        </w:tc>
      </w:tr>
      <w:tr w14:paraId="7DE0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75C8FD16">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7</w:t>
            </w:r>
          </w:p>
        </w:tc>
        <w:tc>
          <w:tcPr>
            <w:tcW w:w="1203" w:type="pct"/>
            <w:tcBorders>
              <w:top w:val="single" w:color="auto" w:sz="4" w:space="0"/>
              <w:left w:val="single" w:color="auto" w:sz="4" w:space="0"/>
              <w:bottom w:val="single" w:color="auto" w:sz="4" w:space="0"/>
              <w:right w:val="single" w:color="auto" w:sz="4" w:space="0"/>
            </w:tcBorders>
            <w:vAlign w:val="center"/>
          </w:tcPr>
          <w:p w14:paraId="07CBCE26">
            <w:pPr>
              <w:adjustRightInd w:val="0"/>
              <w:snapToGrid w:val="0"/>
              <w:spacing w:line="400" w:lineRule="exact"/>
              <w:jc w:val="center"/>
              <w:rPr>
                <w:rFonts w:ascii="仿宋" w:hAnsi="仿宋" w:eastAsia="仿宋" w:cs="Courier New"/>
                <w:kern w:val="0"/>
                <w:sz w:val="28"/>
                <w:szCs w:val="28"/>
              </w:rPr>
            </w:pPr>
            <w:r>
              <w:rPr>
                <w:rFonts w:hint="eastAsia" w:ascii="仿宋" w:hAnsi="仿宋" w:eastAsia="仿宋" w:cs="Courier New"/>
                <w:kern w:val="0"/>
                <w:sz w:val="28"/>
                <w:szCs w:val="28"/>
              </w:rPr>
              <w:t>签订合同</w:t>
            </w:r>
          </w:p>
        </w:tc>
        <w:tc>
          <w:tcPr>
            <w:tcW w:w="3266" w:type="pct"/>
            <w:tcBorders>
              <w:top w:val="single" w:color="auto" w:sz="4" w:space="0"/>
              <w:left w:val="single" w:color="auto" w:sz="4" w:space="0"/>
              <w:bottom w:val="single" w:color="auto" w:sz="4" w:space="0"/>
              <w:right w:val="single" w:color="auto" w:sz="4" w:space="0"/>
            </w:tcBorders>
            <w:vAlign w:val="center"/>
          </w:tcPr>
          <w:p w14:paraId="550CB3C2">
            <w:pPr>
              <w:adjustRightInd w:val="0"/>
              <w:snapToGrid w:val="0"/>
              <w:spacing w:line="400" w:lineRule="exact"/>
              <w:rPr>
                <w:rFonts w:ascii="仿宋" w:hAnsi="仿宋" w:eastAsia="仿宋"/>
                <w:kern w:val="0"/>
                <w:sz w:val="28"/>
                <w:szCs w:val="28"/>
              </w:rPr>
            </w:pPr>
            <w:r>
              <w:rPr>
                <w:rFonts w:hint="eastAsia" w:ascii="仿宋" w:hAnsi="仿宋" w:eastAsia="仿宋"/>
                <w:kern w:val="0"/>
                <w:sz w:val="28"/>
                <w:szCs w:val="28"/>
              </w:rPr>
              <w:t>收到中标通知书30天内</w:t>
            </w:r>
          </w:p>
        </w:tc>
      </w:tr>
    </w:tbl>
    <w:p w14:paraId="6B4DD1F0">
      <w:pPr>
        <w:rPr>
          <w:szCs w:val="20"/>
        </w:rPr>
      </w:pPr>
    </w:p>
    <w:p w14:paraId="0F12A9EF">
      <w:pPr>
        <w:pStyle w:val="115"/>
        <w:ind w:firstLine="562"/>
        <w:rPr>
          <w:rFonts w:ascii="宋体" w:hAnsi="宋体"/>
          <w:b/>
          <w:bCs/>
          <w:kern w:val="0"/>
          <w:sz w:val="28"/>
          <w:szCs w:val="28"/>
        </w:rPr>
      </w:pPr>
      <w:r>
        <w:rPr>
          <w:rFonts w:hint="eastAsia" w:ascii="宋体" w:hAnsi="宋体"/>
          <w:b/>
          <w:bCs/>
          <w:kern w:val="0"/>
          <w:sz w:val="28"/>
          <w:szCs w:val="28"/>
        </w:rPr>
        <w:br w:type="page"/>
      </w:r>
    </w:p>
    <w:p w14:paraId="2B9385FF">
      <w:pPr>
        <w:pStyle w:val="5"/>
        <w:spacing w:before="0" w:after="0" w:line="560" w:lineRule="exact"/>
        <w:jc w:val="center"/>
        <w:rPr>
          <w:rFonts w:ascii="黑体" w:hAnsi="黑体" w:eastAsia="黑体"/>
          <w:b/>
          <w:kern w:val="2"/>
          <w:szCs w:val="36"/>
        </w:rPr>
      </w:pPr>
      <w:bookmarkStart w:id="20" w:name="_Toc228364646"/>
      <w:r>
        <w:rPr>
          <w:rFonts w:hint="eastAsia" w:ascii="黑体" w:hAnsi="黑体" w:eastAsia="黑体"/>
          <w:szCs w:val="36"/>
        </w:rPr>
        <w:t>（三）投标须知前附件</w:t>
      </w:r>
      <w:bookmarkEnd w:id="20"/>
    </w:p>
    <w:p w14:paraId="39CC907B">
      <w:pPr>
        <w:pStyle w:val="6"/>
        <w:spacing w:before="0" w:line="560" w:lineRule="exact"/>
        <w:rPr>
          <w:rFonts w:ascii="仿宋" w:hAnsi="仿宋" w:eastAsia="仿宋" w:cs="仿宋_GB2312"/>
          <w:kern w:val="0"/>
          <w:sz w:val="32"/>
          <w:szCs w:val="32"/>
        </w:rPr>
      </w:pPr>
      <w:bookmarkStart w:id="21" w:name="_Toc16134"/>
      <w:bookmarkStart w:id="22" w:name="_Toc87887964"/>
      <w:bookmarkStart w:id="23" w:name="_Toc32339"/>
      <w:r>
        <w:rPr>
          <w:rFonts w:hint="eastAsia" w:ascii="仿宋" w:hAnsi="仿宋" w:eastAsia="仿宋" w:cs="仿宋_GB2312"/>
          <w:kern w:val="0"/>
          <w:sz w:val="32"/>
          <w:szCs w:val="32"/>
        </w:rPr>
        <w:t>附件一：</w:t>
      </w:r>
      <w:bookmarkEnd w:id="21"/>
      <w:bookmarkEnd w:id="22"/>
      <w:bookmarkEnd w:id="23"/>
      <w:r>
        <w:rPr>
          <w:rFonts w:hint="eastAsia" w:ascii="仿宋" w:hAnsi="仿宋" w:eastAsia="仿宋" w:cs="仿宋_GB2312"/>
          <w:kern w:val="0"/>
          <w:sz w:val="32"/>
          <w:szCs w:val="32"/>
        </w:rPr>
        <w:t xml:space="preserve">招标公告 </w:t>
      </w:r>
    </w:p>
    <w:p w14:paraId="2CB07C74">
      <w:pPr>
        <w:spacing w:line="560" w:lineRule="exact"/>
        <w:ind w:firstLine="3534" w:firstLineChars="800"/>
        <w:jc w:val="left"/>
        <w:rPr>
          <w:rFonts w:ascii="仿宋" w:hAnsi="仿宋" w:eastAsia="仿宋" w:cs="黑体"/>
          <w:b/>
          <w:kern w:val="0"/>
          <w:sz w:val="44"/>
          <w:szCs w:val="44"/>
        </w:rPr>
      </w:pPr>
      <w:r>
        <w:rPr>
          <w:rFonts w:hint="eastAsia" w:ascii="仿宋" w:hAnsi="仿宋" w:eastAsia="仿宋" w:cs="黑体"/>
          <w:b/>
          <w:kern w:val="0"/>
          <w:sz w:val="44"/>
          <w:szCs w:val="44"/>
        </w:rPr>
        <w:t>招标公告</w:t>
      </w:r>
    </w:p>
    <w:p w14:paraId="4C88C9D5">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一、招标项目名称：</w:t>
      </w:r>
      <w:r>
        <w:rPr>
          <w:rFonts w:hint="eastAsia" w:ascii="仿宋" w:hAnsi="仿宋" w:eastAsia="仿宋"/>
          <w:sz w:val="28"/>
          <w:szCs w:val="28"/>
          <w:u w:val="single"/>
          <w:lang w:val="en-US" w:eastAsia="zh-CN"/>
        </w:rPr>
        <w:t>深圳华南城一期市场阳光棚维修工程</w:t>
      </w:r>
      <w:r>
        <w:rPr>
          <w:rFonts w:hint="eastAsia" w:ascii="仿宋" w:hAnsi="仿宋" w:eastAsia="仿宋" w:cs="仿宋_GB2312"/>
          <w:sz w:val="28"/>
          <w:szCs w:val="28"/>
          <w:u w:val="single"/>
        </w:rPr>
        <w:t xml:space="preserve">    </w:t>
      </w:r>
      <w:r>
        <w:rPr>
          <w:rFonts w:hint="eastAsia" w:ascii="仿宋" w:hAnsi="仿宋" w:eastAsia="仿宋" w:cs="仿宋_GB2312"/>
          <w:b/>
          <w:sz w:val="28"/>
          <w:szCs w:val="28"/>
          <w:u w:val="single"/>
        </w:rPr>
        <w:t xml:space="preserve">                                </w:t>
      </w:r>
    </w:p>
    <w:p w14:paraId="302856E1">
      <w:pPr>
        <w:spacing w:line="560" w:lineRule="exact"/>
        <w:ind w:firstLine="562" w:firstLineChars="200"/>
        <w:rPr>
          <w:rFonts w:ascii="仿宋" w:hAnsi="仿宋" w:eastAsia="仿宋" w:cs="仿宋_GB2312"/>
          <w:sz w:val="28"/>
          <w:szCs w:val="28"/>
        </w:rPr>
      </w:pPr>
      <w:r>
        <w:rPr>
          <w:rFonts w:hint="eastAsia" w:ascii="仿宋" w:hAnsi="仿宋" w:eastAsia="仿宋" w:cs="仿宋_GB2312"/>
          <w:b/>
          <w:sz w:val="28"/>
          <w:szCs w:val="28"/>
        </w:rPr>
        <w:t>二、招标方式：</w:t>
      </w:r>
      <w:r>
        <w:rPr>
          <w:rFonts w:hint="eastAsia" w:ascii="仿宋" w:hAnsi="仿宋" w:eastAsia="仿宋" w:cs="仿宋_GB2312"/>
          <w:sz w:val="28"/>
          <w:szCs w:val="28"/>
          <w:u w:val="single"/>
        </w:rPr>
        <w:t>公开招标</w:t>
      </w:r>
    </w:p>
    <w:p w14:paraId="788D1118">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三、项目地点：</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b/>
          <w:sz w:val="28"/>
          <w:szCs w:val="28"/>
          <w:u w:val="single"/>
        </w:rPr>
        <w:t xml:space="preserve">                                      </w:t>
      </w:r>
    </w:p>
    <w:p w14:paraId="14397F76">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四、投标上限价：</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1E2FE363">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五、招标范围及主要内容：</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p>
    <w:p w14:paraId="019EA00C">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六、服务周期要求：</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p>
    <w:p w14:paraId="78809E9A">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七、评标方法：</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p>
    <w:p w14:paraId="68959364">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八、中标人的确定方式：</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p>
    <w:p w14:paraId="6755474F">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九、投标申请人资格要求：</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p>
    <w:p w14:paraId="0D344E05">
      <w:pPr>
        <w:spacing w:line="560" w:lineRule="exac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十、拟派项目负责人资格要求：</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p>
    <w:p w14:paraId="139BC101">
      <w:pPr>
        <w:spacing w:line="560" w:lineRule="exact"/>
        <w:ind w:firstLine="562" w:firstLineChars="200"/>
        <w:rPr>
          <w:rFonts w:ascii="仿宋" w:hAnsi="仿宋" w:eastAsia="仿宋" w:cs="仿宋_GB2312"/>
          <w:b/>
          <w:sz w:val="28"/>
          <w:szCs w:val="28"/>
        </w:rPr>
      </w:pPr>
      <w:r>
        <w:rPr>
          <w:rFonts w:hint="eastAsia" w:ascii="仿宋" w:hAnsi="仿宋" w:eastAsia="仿宋" w:cs="仿宋_GB2312"/>
          <w:b/>
          <w:sz w:val="28"/>
          <w:szCs w:val="28"/>
        </w:rPr>
        <w:t>十一、招标文件的获取</w:t>
      </w:r>
    </w:p>
    <w:p w14:paraId="5485D89B">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（一）投标申请人资格条件符合招标公告要求的，招标人将向合格投标报名单位免费发放招标文件。</w:t>
      </w:r>
    </w:p>
    <w:p w14:paraId="1061EFB2">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招标文件领取时间：</w:t>
      </w:r>
      <w:r>
        <w:rPr>
          <w:rFonts w:hint="eastAsia" w:ascii="仿宋" w:hAnsi="仿宋" w:eastAsia="仿宋" w:cs="仿宋_GB2312"/>
          <w:sz w:val="28"/>
          <w:szCs w:val="28"/>
          <w:u w:val="single"/>
        </w:rPr>
        <w:t xml:space="preserve"> </w:t>
      </w:r>
      <w:r>
        <w:rPr>
          <w:rFonts w:hint="eastAsia" w:ascii="仿宋" w:hAnsi="仿宋" w:eastAsia="仿宋" w:cs="Courier New"/>
          <w:kern w:val="0"/>
          <w:sz w:val="28"/>
          <w:szCs w:val="28"/>
          <w:u w:val="single"/>
        </w:rPr>
        <w:t xml:space="preserve">2026年 </w:t>
      </w:r>
      <w:r>
        <w:rPr>
          <w:rFonts w:hint="eastAsia" w:ascii="仿宋" w:hAnsi="仿宋" w:eastAsia="仿宋" w:cs="Courier New"/>
          <w:kern w:val="0"/>
          <w:sz w:val="28"/>
          <w:szCs w:val="28"/>
          <w:u w:val="single"/>
          <w:lang w:val="en-US" w:eastAsia="zh-CN"/>
        </w:rPr>
        <w:t>6</w:t>
      </w:r>
      <w:r>
        <w:rPr>
          <w:rFonts w:hint="eastAsia" w:ascii="仿宋" w:hAnsi="仿宋" w:eastAsia="仿宋" w:cs="Courier New"/>
          <w:kern w:val="0"/>
          <w:sz w:val="28"/>
          <w:szCs w:val="28"/>
          <w:u w:val="single"/>
        </w:rPr>
        <w:t xml:space="preserve"> 月 </w:t>
      </w:r>
      <w:r>
        <w:rPr>
          <w:rFonts w:hint="eastAsia" w:ascii="仿宋" w:hAnsi="仿宋" w:eastAsia="仿宋" w:cs="Courier New"/>
          <w:kern w:val="0"/>
          <w:sz w:val="28"/>
          <w:szCs w:val="28"/>
          <w:u w:val="single"/>
          <w:lang w:val="en-US" w:eastAsia="zh-CN"/>
        </w:rPr>
        <w:t xml:space="preserve">16 </w:t>
      </w:r>
      <w:r>
        <w:rPr>
          <w:rFonts w:hint="eastAsia" w:ascii="仿宋" w:hAnsi="仿宋" w:eastAsia="仿宋" w:cs="Courier New"/>
          <w:kern w:val="0"/>
          <w:sz w:val="28"/>
          <w:szCs w:val="28"/>
          <w:u w:val="single"/>
        </w:rPr>
        <w:t>日</w:t>
      </w:r>
      <w:r>
        <w:rPr>
          <w:rFonts w:hint="eastAsia" w:ascii="仿宋" w:hAnsi="仿宋" w:eastAsia="仿宋" w:cs="仿宋_GB2312"/>
          <w:sz w:val="28"/>
          <w:szCs w:val="28"/>
          <w:u w:val="single"/>
        </w:rPr>
        <w:t xml:space="preserve">                                   </w:t>
      </w:r>
    </w:p>
    <w:p w14:paraId="0AE9DBBD">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（二）招标文件领取地点：</w:t>
      </w:r>
      <w:r>
        <w:rPr>
          <w:rFonts w:hint="eastAsia" w:ascii="仿宋" w:hAnsi="仿宋" w:eastAsia="仿宋" w:cs="仿宋_GB2312"/>
          <w:sz w:val="28"/>
          <w:szCs w:val="28"/>
          <w:u w:val="single"/>
        </w:rPr>
        <w:t>详见投标须知前附表1</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 xml:space="preserve">                                    </w:t>
      </w:r>
    </w:p>
    <w:p w14:paraId="5B15C0F0">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（三）需携带资料：</w:t>
      </w:r>
      <w:r>
        <w:rPr>
          <w:rFonts w:hint="eastAsia" w:ascii="仿宋" w:hAnsi="仿宋" w:eastAsia="仿宋" w:cs="仿宋_GB2312"/>
          <w:sz w:val="28"/>
          <w:szCs w:val="28"/>
          <w:u w:val="single"/>
        </w:rPr>
        <w:t>随带本人身份证，委托代理人还应随带“法定代表人证明书”和“法定代表人授权委托书”，以证明其身份。</w:t>
      </w:r>
    </w:p>
    <w:p w14:paraId="5764B9FD">
      <w:pPr>
        <w:spacing w:line="560" w:lineRule="exact"/>
        <w:ind w:firstLine="562" w:firstLineChars="200"/>
        <w:rPr>
          <w:rFonts w:ascii="仿宋" w:hAnsi="仿宋" w:eastAsia="仿宋" w:cs="仿宋_GB2312"/>
          <w:b/>
          <w:sz w:val="28"/>
          <w:szCs w:val="28"/>
        </w:rPr>
      </w:pPr>
      <w:r>
        <w:rPr>
          <w:rFonts w:hint="eastAsia" w:ascii="仿宋" w:hAnsi="仿宋" w:eastAsia="仿宋" w:cs="仿宋_GB2312"/>
          <w:b/>
          <w:sz w:val="28"/>
          <w:szCs w:val="28"/>
        </w:rPr>
        <w:t>十二、投标文件的递交</w:t>
      </w:r>
    </w:p>
    <w:p w14:paraId="5ADE692F">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（一）截标时间：</w:t>
      </w:r>
      <w:r>
        <w:rPr>
          <w:rFonts w:hint="eastAsia" w:ascii="仿宋" w:hAnsi="仿宋" w:eastAsia="仿宋" w:cs="仿宋_GB2312"/>
          <w:sz w:val="28"/>
          <w:szCs w:val="28"/>
          <w:u w:val="single"/>
        </w:rPr>
        <w:t xml:space="preserve"> </w:t>
      </w:r>
      <w:r>
        <w:rPr>
          <w:rFonts w:hint="eastAsia" w:ascii="仿宋" w:hAnsi="仿宋" w:eastAsia="仿宋" w:cs="Courier New"/>
          <w:kern w:val="0"/>
          <w:sz w:val="28"/>
          <w:szCs w:val="28"/>
          <w:u w:val="single"/>
        </w:rPr>
        <w:t xml:space="preserve">2026年 </w:t>
      </w:r>
      <w:r>
        <w:rPr>
          <w:rFonts w:hint="eastAsia" w:ascii="仿宋" w:hAnsi="仿宋" w:eastAsia="仿宋" w:cs="Courier New"/>
          <w:kern w:val="0"/>
          <w:sz w:val="28"/>
          <w:szCs w:val="28"/>
          <w:u w:val="single"/>
          <w:lang w:val="en-US" w:eastAsia="zh-CN"/>
        </w:rPr>
        <w:t>6</w:t>
      </w:r>
      <w:r>
        <w:rPr>
          <w:rFonts w:hint="eastAsia" w:ascii="仿宋" w:hAnsi="仿宋" w:eastAsia="仿宋" w:cs="Courier New"/>
          <w:kern w:val="0"/>
          <w:sz w:val="28"/>
          <w:szCs w:val="28"/>
          <w:u w:val="single"/>
        </w:rPr>
        <w:t xml:space="preserve"> 月 </w:t>
      </w:r>
      <w:r>
        <w:rPr>
          <w:rFonts w:hint="eastAsia" w:ascii="仿宋" w:hAnsi="仿宋" w:eastAsia="仿宋" w:cs="Courier New"/>
          <w:kern w:val="0"/>
          <w:sz w:val="28"/>
          <w:szCs w:val="28"/>
          <w:u w:val="single"/>
          <w:lang w:val="en-US" w:eastAsia="zh-CN"/>
        </w:rPr>
        <w:t>22</w:t>
      </w:r>
      <w:r>
        <w:rPr>
          <w:rFonts w:hint="eastAsia" w:ascii="仿宋" w:hAnsi="仿宋" w:eastAsia="仿宋" w:cs="Courier New"/>
          <w:kern w:val="0"/>
          <w:sz w:val="28"/>
          <w:szCs w:val="28"/>
          <w:u w:val="single"/>
        </w:rPr>
        <w:t xml:space="preserve"> 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0时</w:t>
      </w:r>
      <w:bookmarkStart w:id="37" w:name="_GoBack"/>
      <w:bookmarkEnd w:id="37"/>
      <w:r>
        <w:rPr>
          <w:rFonts w:hint="eastAsia" w:ascii="仿宋" w:hAnsi="仿宋" w:eastAsia="仿宋" w:cs="仿宋_GB2312"/>
          <w:kern w:val="0"/>
          <w:sz w:val="28"/>
          <w:szCs w:val="28"/>
        </w:rPr>
        <w:t>。</w:t>
      </w:r>
    </w:p>
    <w:p w14:paraId="47538C7C">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（二）截标地点：</w:t>
      </w:r>
      <w:r>
        <w:rPr>
          <w:rFonts w:hint="eastAsia" w:ascii="仿宋" w:hAnsi="仿宋" w:eastAsia="仿宋" w:cs="仿宋_GB2312"/>
          <w:sz w:val="28"/>
          <w:szCs w:val="28"/>
          <w:u w:val="single"/>
        </w:rPr>
        <w:t xml:space="preserve">详见投标须知前附表1 </w:t>
      </w:r>
      <w:r>
        <w:rPr>
          <w:rFonts w:hint="eastAsia" w:ascii="仿宋" w:hAnsi="仿宋" w:eastAsia="仿宋" w:cs="宋体"/>
          <w:sz w:val="28"/>
          <w:szCs w:val="28"/>
          <w:u w:val="single"/>
        </w:rPr>
        <w:t xml:space="preserve">                           </w:t>
      </w:r>
    </w:p>
    <w:p w14:paraId="551D76B2">
      <w:pPr>
        <w:spacing w:line="560" w:lineRule="exact"/>
        <w:ind w:firstLine="562" w:firstLineChars="200"/>
        <w:rPr>
          <w:rFonts w:ascii="仿宋" w:hAnsi="仿宋" w:eastAsia="仿宋"/>
          <w:b/>
          <w:sz w:val="28"/>
          <w:szCs w:val="28"/>
        </w:rPr>
      </w:pPr>
      <w:r>
        <w:rPr>
          <w:rFonts w:hint="eastAsia" w:ascii="仿宋" w:hAnsi="仿宋" w:eastAsia="仿宋"/>
          <w:b/>
          <w:sz w:val="28"/>
          <w:szCs w:val="28"/>
        </w:rPr>
        <w:t>十三、联系方式</w:t>
      </w:r>
    </w:p>
    <w:p w14:paraId="5654F209">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（一）联系人：</w:t>
      </w:r>
      <w:r>
        <w:rPr>
          <w:rFonts w:hint="eastAsia" w:ascii="仿宋" w:hAnsi="仿宋" w:eastAsia="仿宋"/>
          <w:sz w:val="28"/>
          <w:szCs w:val="28"/>
          <w:u w:val="single"/>
        </w:rPr>
        <w:t xml:space="preserve">      曾勇杰             </w:t>
      </w:r>
    </w:p>
    <w:p w14:paraId="3F355984">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（二）联系电话：</w:t>
      </w:r>
      <w:r>
        <w:rPr>
          <w:rFonts w:hint="eastAsia" w:ascii="仿宋" w:hAnsi="仿宋" w:eastAsia="仿宋"/>
          <w:sz w:val="28"/>
          <w:szCs w:val="28"/>
          <w:u w:val="single"/>
        </w:rPr>
        <w:t xml:space="preserve">  </w:t>
      </w:r>
      <w:r>
        <w:rPr>
          <w:rFonts w:hint="eastAsia" w:ascii="仿宋" w:hAnsi="仿宋" w:eastAsia="仿宋"/>
          <w:bCs/>
          <w:color w:val="000000"/>
          <w:sz w:val="28"/>
          <w:szCs w:val="28"/>
          <w:u w:val="single"/>
        </w:rPr>
        <w:t>17876751338</w:t>
      </w:r>
      <w:r>
        <w:rPr>
          <w:rFonts w:hAnsi="宋体"/>
          <w:bCs/>
          <w:color w:val="000000"/>
          <w:sz w:val="24"/>
          <w:u w:val="single"/>
        </w:rPr>
        <w:t xml:space="preserve"> </w:t>
      </w:r>
      <w:r>
        <w:rPr>
          <w:rFonts w:hint="eastAsia" w:ascii="仿宋" w:hAnsi="仿宋" w:eastAsia="仿宋"/>
          <w:sz w:val="28"/>
          <w:szCs w:val="28"/>
          <w:u w:val="single"/>
        </w:rPr>
        <w:t xml:space="preserve">          </w:t>
      </w:r>
    </w:p>
    <w:p w14:paraId="4D4EBE57">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（三）传真：</w:t>
      </w:r>
      <w:r>
        <w:rPr>
          <w:rFonts w:hint="eastAsia" w:ascii="仿宋" w:hAnsi="仿宋" w:eastAsia="仿宋"/>
          <w:sz w:val="28"/>
          <w:szCs w:val="28"/>
          <w:u w:val="single"/>
        </w:rPr>
        <w:t xml:space="preserve">           /               </w:t>
      </w:r>
    </w:p>
    <w:p w14:paraId="6136FD74">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（四）地址：</w:t>
      </w:r>
      <w:r>
        <w:rPr>
          <w:rFonts w:hint="eastAsia" w:ascii="仿宋" w:hAnsi="仿宋" w:eastAsia="仿宋"/>
          <w:iCs/>
          <w:color w:val="000000"/>
          <w:sz w:val="28"/>
          <w:szCs w:val="28"/>
          <w:u w:val="single"/>
        </w:rPr>
        <w:t>深圳市龙岗区平湖街道华南大道一号华南城总部行政楼3楼</w:t>
      </w:r>
      <w:r>
        <w:rPr>
          <w:rFonts w:hint="eastAsia" w:ascii="仿宋" w:hAnsi="仿宋" w:eastAsia="仿宋"/>
          <w:sz w:val="28"/>
          <w:szCs w:val="28"/>
          <w:u w:val="single"/>
        </w:rPr>
        <w:t>办公室</w:t>
      </w:r>
    </w:p>
    <w:p w14:paraId="67AF4F4A">
      <w:pPr>
        <w:spacing w:line="560" w:lineRule="exact"/>
        <w:jc w:val="left"/>
        <w:rPr>
          <w:rFonts w:ascii="仿宋" w:hAnsi="仿宋" w:eastAsia="仿宋"/>
          <w:sz w:val="28"/>
          <w:szCs w:val="28"/>
        </w:rPr>
      </w:pPr>
    </w:p>
    <w:p w14:paraId="027E41AD">
      <w:pPr>
        <w:spacing w:line="560" w:lineRule="exact"/>
        <w:ind w:left="4480" w:hanging="4480" w:hangingChars="1600"/>
        <w:jc w:val="left"/>
        <w:rPr>
          <w:rFonts w:ascii="仿宋" w:hAnsi="仿宋" w:eastAsia="仿宋"/>
          <w:sz w:val="28"/>
          <w:szCs w:val="28"/>
          <w:u w:val="single"/>
        </w:rPr>
      </w:pPr>
      <w:r>
        <w:rPr>
          <w:rFonts w:hint="eastAsia" w:ascii="仿宋" w:hAnsi="仿宋" w:eastAsia="仿宋"/>
          <w:sz w:val="28"/>
          <w:szCs w:val="28"/>
        </w:rPr>
        <w:t xml:space="preserve">                       招标人：</w:t>
      </w:r>
      <w:r>
        <w:rPr>
          <w:rFonts w:hint="eastAsia" w:ascii="仿宋" w:hAnsi="仿宋" w:eastAsia="仿宋"/>
          <w:sz w:val="28"/>
          <w:szCs w:val="28"/>
          <w:u w:val="single"/>
        </w:rPr>
        <w:t>深圳第一亚太物业管理有限公司深圳分公司</w:t>
      </w:r>
    </w:p>
    <w:p w14:paraId="75869BFC">
      <w:pPr>
        <w:spacing w:line="560" w:lineRule="exact"/>
        <w:ind w:firstLine="560" w:firstLineChars="200"/>
        <w:jc w:val="left"/>
        <w:rPr>
          <w:rFonts w:ascii="仿宋" w:hAnsi="仿宋" w:eastAsia="仿宋" w:cs="仿宋_GB2312"/>
          <w:kern w:val="0"/>
          <w:sz w:val="28"/>
          <w:szCs w:val="28"/>
        </w:rPr>
      </w:pPr>
      <w:r>
        <w:rPr>
          <w:rFonts w:hint="eastAsia" w:ascii="仿宋" w:hAnsi="仿宋" w:eastAsia="仿宋" w:cs="仿宋_GB2312"/>
          <w:kern w:val="0"/>
          <w:sz w:val="28"/>
          <w:szCs w:val="28"/>
        </w:rPr>
        <w:t xml:space="preserve">                                              </w:t>
      </w:r>
    </w:p>
    <w:p w14:paraId="21C3CCFF">
      <w:pPr>
        <w:spacing w:line="560" w:lineRule="exact"/>
        <w:ind w:firstLine="560" w:firstLineChars="200"/>
        <w:jc w:val="left"/>
        <w:rPr>
          <w:rFonts w:ascii="仿宋" w:hAnsi="仿宋" w:eastAsia="仿宋" w:cs="仿宋_GB2312"/>
          <w:kern w:val="0"/>
          <w:sz w:val="28"/>
          <w:szCs w:val="28"/>
        </w:rPr>
      </w:pPr>
      <w:r>
        <w:rPr>
          <w:rFonts w:hint="eastAsia" w:ascii="仿宋" w:hAnsi="仿宋" w:eastAsia="仿宋" w:cs="仿宋_GB2312"/>
          <w:kern w:val="0"/>
          <w:sz w:val="28"/>
          <w:szCs w:val="28"/>
        </w:rPr>
        <w:t xml:space="preserve">                                 2026年 </w:t>
      </w:r>
      <w:r>
        <w:rPr>
          <w:rFonts w:hint="eastAsia" w:ascii="仿宋" w:hAnsi="仿宋" w:eastAsia="仿宋" w:cs="仿宋_GB2312"/>
          <w:kern w:val="0"/>
          <w:sz w:val="28"/>
          <w:szCs w:val="28"/>
          <w:lang w:val="en-US" w:eastAsia="zh-CN"/>
        </w:rPr>
        <w:t xml:space="preserve">6 </w:t>
      </w:r>
      <w:r>
        <w:rPr>
          <w:rFonts w:hint="eastAsia" w:ascii="仿宋" w:hAnsi="仿宋" w:eastAsia="仿宋" w:cs="仿宋_GB2312"/>
          <w:kern w:val="0"/>
          <w:sz w:val="28"/>
          <w:szCs w:val="28"/>
        </w:rPr>
        <w:t>月</w:t>
      </w:r>
      <w:r>
        <w:rPr>
          <w:rFonts w:hint="eastAsia" w:ascii="仿宋" w:hAnsi="仿宋" w:eastAsia="仿宋" w:cs="仿宋_GB2312"/>
          <w:kern w:val="0"/>
          <w:sz w:val="28"/>
          <w:szCs w:val="28"/>
          <w:lang w:val="en-US" w:eastAsia="zh-CN"/>
        </w:rPr>
        <w:t xml:space="preserve"> 16</w:t>
      </w:r>
      <w:r>
        <w:rPr>
          <w:rFonts w:hint="eastAsia" w:ascii="仿宋" w:hAnsi="仿宋" w:eastAsia="仿宋" w:cs="仿宋_GB2312"/>
          <w:kern w:val="0"/>
          <w:sz w:val="28"/>
          <w:szCs w:val="28"/>
        </w:rPr>
        <w:t xml:space="preserve"> 日</w:t>
      </w:r>
    </w:p>
    <w:p w14:paraId="19BB123F">
      <w:pPr>
        <w:spacing w:line="560" w:lineRule="exact"/>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br w:type="page"/>
      </w:r>
    </w:p>
    <w:p w14:paraId="09AF7DA0">
      <w:pPr>
        <w:pStyle w:val="6"/>
        <w:spacing w:before="0" w:line="560" w:lineRule="exact"/>
        <w:rPr>
          <w:rFonts w:ascii="仿宋" w:hAnsi="仿宋" w:eastAsia="仿宋"/>
          <w:kern w:val="0"/>
          <w:sz w:val="32"/>
          <w:szCs w:val="32"/>
        </w:rPr>
      </w:pPr>
      <w:r>
        <w:rPr>
          <w:rFonts w:hint="eastAsia" w:ascii="仿宋" w:hAnsi="仿宋" w:eastAsia="仿宋"/>
          <w:kern w:val="0"/>
          <w:sz w:val="32"/>
          <w:szCs w:val="32"/>
        </w:rPr>
        <w:t>附件二：投标文件否决性条款摘要</w:t>
      </w:r>
    </w:p>
    <w:p w14:paraId="42D19077">
      <w:pPr>
        <w:adjustRightInd w:val="0"/>
        <w:snapToGrid w:val="0"/>
        <w:spacing w:line="360" w:lineRule="auto"/>
        <w:ind w:firstLine="643" w:firstLineChars="200"/>
        <w:jc w:val="center"/>
        <w:rPr>
          <w:rFonts w:ascii="仿宋_GB2312" w:eastAsia="仿宋_GB2312"/>
          <w:b/>
          <w:kern w:val="0"/>
          <w:sz w:val="32"/>
          <w:szCs w:val="32"/>
        </w:rPr>
      </w:pPr>
    </w:p>
    <w:p w14:paraId="7170F9AA">
      <w:pPr>
        <w:adjustRightInd w:val="0"/>
        <w:snapToGrid w:val="0"/>
        <w:spacing w:line="360" w:lineRule="auto"/>
        <w:ind w:firstLine="720" w:firstLineChars="200"/>
        <w:jc w:val="center"/>
        <w:rPr>
          <w:rFonts w:ascii="黑体" w:hAnsi="黑体" w:eastAsia="黑体"/>
          <w:kern w:val="0"/>
          <w:sz w:val="36"/>
          <w:szCs w:val="36"/>
        </w:rPr>
      </w:pPr>
      <w:r>
        <w:rPr>
          <w:rFonts w:hint="eastAsia" w:ascii="黑体" w:hAnsi="黑体" w:eastAsia="黑体"/>
          <w:kern w:val="0"/>
          <w:sz w:val="36"/>
          <w:szCs w:val="36"/>
        </w:rPr>
        <w:t>投标文件否决性条款摘要</w:t>
      </w:r>
    </w:p>
    <w:p w14:paraId="30251D3B">
      <w:pPr>
        <w:adjustRightInd w:val="0"/>
        <w:snapToGrid w:val="0"/>
        <w:spacing w:line="56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一、</w:t>
      </w:r>
      <w:r>
        <w:rPr>
          <w:rFonts w:hint="eastAsia" w:ascii="仿宋" w:hAnsi="仿宋" w:eastAsia="仿宋"/>
          <w:b/>
          <w:kern w:val="0"/>
          <w:sz w:val="28"/>
          <w:szCs w:val="28"/>
        </w:rPr>
        <w:t>开标阶段，投标文件不予受理的情形</w:t>
      </w:r>
      <w:r>
        <w:rPr>
          <w:rFonts w:hint="eastAsia" w:ascii="仿宋" w:hAnsi="仿宋" w:eastAsia="仿宋"/>
          <w:b/>
          <w:bCs/>
          <w:kern w:val="0"/>
          <w:sz w:val="28"/>
          <w:szCs w:val="28"/>
        </w:rPr>
        <w:t xml:space="preserve">： </w:t>
      </w:r>
    </w:p>
    <w:p w14:paraId="7CC98620">
      <w:pPr>
        <w:adjustRightInd w:val="0"/>
        <w:snapToGrid w:val="0"/>
        <w:spacing w:line="56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1、</w:t>
      </w:r>
      <w:r>
        <w:rPr>
          <w:rFonts w:hint="eastAsia" w:ascii="仿宋" w:hAnsi="仿宋" w:eastAsia="仿宋"/>
          <w:kern w:val="0"/>
          <w:sz w:val="28"/>
          <w:szCs w:val="28"/>
        </w:rPr>
        <w:t>在投标截止时间以后逾期送达的或者未送达指定地点的；</w:t>
      </w:r>
    </w:p>
    <w:p w14:paraId="19A0292E">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2、投标文件中的投标资格证明文件不合格的；</w:t>
      </w:r>
    </w:p>
    <w:p w14:paraId="713ADA33">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bCs/>
          <w:kern w:val="0"/>
          <w:sz w:val="28"/>
          <w:szCs w:val="28"/>
        </w:rPr>
        <w:t>3、</w:t>
      </w:r>
      <w:r>
        <w:rPr>
          <w:rFonts w:hint="eastAsia" w:ascii="仿宋" w:hAnsi="仿宋" w:eastAsia="仿宋"/>
          <w:kern w:val="0"/>
          <w:sz w:val="28"/>
          <w:szCs w:val="28"/>
        </w:rPr>
        <w:t>投标文件的投标报价高于投标报价上限的；</w:t>
      </w:r>
    </w:p>
    <w:p w14:paraId="7C0ED2BA">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4、</w:t>
      </w:r>
      <w:r>
        <w:rPr>
          <w:rFonts w:hint="eastAsia" w:ascii="仿宋" w:hAnsi="仿宋" w:eastAsia="仿宋"/>
          <w:bCs/>
          <w:sz w:val="28"/>
          <w:szCs w:val="28"/>
        </w:rPr>
        <w:t>投标文件承诺的服务周期超过招标文件要求的；</w:t>
      </w:r>
    </w:p>
    <w:p w14:paraId="3B024DAE">
      <w:pPr>
        <w:adjustRightInd w:val="0"/>
        <w:snapToGrid w:val="0"/>
        <w:spacing w:line="560" w:lineRule="exact"/>
        <w:ind w:firstLine="560" w:firstLineChars="200"/>
        <w:rPr>
          <w:rFonts w:ascii="仿宋" w:hAnsi="仿宋" w:eastAsia="仿宋"/>
          <w:bCs/>
          <w:kern w:val="0"/>
          <w:sz w:val="28"/>
          <w:szCs w:val="28"/>
        </w:rPr>
      </w:pPr>
      <w:r>
        <w:rPr>
          <w:rFonts w:hint="eastAsia" w:ascii="仿宋" w:hAnsi="仿宋" w:eastAsia="仿宋"/>
          <w:kern w:val="0"/>
          <w:sz w:val="28"/>
          <w:szCs w:val="28"/>
        </w:rPr>
        <w:t>5、未按招标文件要求提交投标保函原件的或资信标未提供投标保函复印件的(采用投标保函形式情形),投标人未按招标文件要求在资信标提供投标保证金转账凭证复印件的或截标后投标保证金未到账的(采用银行转账形式情形)，投标人在开标结束前未提交投标保函原件或在截标前投标保证金未到账的。；（需提供投标担保情形）；</w:t>
      </w:r>
    </w:p>
    <w:p w14:paraId="259A619C">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6、未按招标文件规定提交《投标函》的，且未按规定加盖投标人印章、或未经法定代表人或其委托代理人签字(或盖章)的；</w:t>
      </w:r>
    </w:p>
    <w:p w14:paraId="36CEDA92">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7、投标文件中存在投标人名称不统一、投标人名称与投标人公章不一致、投标文件中的招标人名称与招标文件不一致的；</w:t>
      </w:r>
    </w:p>
    <w:p w14:paraId="19EEC920">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8、投标文件的有关内容未按本须知规定加盖投标人印章、或未经法定代表人或其委托代理人签字(或盖章)、或由委托代理人签字(或盖章)但未随投标文件一起提供“投标文件签署授权委托书”原件的；</w:t>
      </w:r>
    </w:p>
    <w:p w14:paraId="02632407">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9、招标人要求提交投标文件电子文档，但投标人未提交或提交的电子文档不符合本须知要求的；</w:t>
      </w:r>
    </w:p>
    <w:p w14:paraId="402C353A">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10、组成联合体投标的，投标文件中未按规定提交联合体各方共同投标协议的；</w:t>
      </w:r>
    </w:p>
    <w:p w14:paraId="0DC3BF73">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11、参加联合体的各成员再以自己的名义单独投标的，或同时参加两个（含两个）以上的联合体投标的；</w:t>
      </w:r>
    </w:p>
    <w:p w14:paraId="0DB00343">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12、投标人没有实质性响应招标文件要求的。</w:t>
      </w:r>
    </w:p>
    <w:p w14:paraId="3FD3A252">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kern w:val="0"/>
          <w:sz w:val="28"/>
          <w:szCs w:val="28"/>
        </w:rPr>
        <w:t>二、评标阶段有关无效标的情形：</w:t>
      </w:r>
      <w:r>
        <w:rPr>
          <w:rFonts w:hint="eastAsia" w:ascii="仿宋" w:hAnsi="仿宋" w:eastAsia="仿宋"/>
          <w:kern w:val="0"/>
          <w:sz w:val="28"/>
          <w:szCs w:val="28"/>
        </w:rPr>
        <w:t xml:space="preserve"> </w:t>
      </w:r>
    </w:p>
    <w:p w14:paraId="75BA7CA9">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bCs/>
          <w:kern w:val="0"/>
          <w:sz w:val="28"/>
          <w:szCs w:val="28"/>
        </w:rPr>
        <w:t>1</w:t>
      </w:r>
      <w:r>
        <w:rPr>
          <w:rFonts w:hint="eastAsia" w:ascii="仿宋" w:hAnsi="仿宋" w:eastAsia="仿宋"/>
          <w:kern w:val="0"/>
          <w:sz w:val="28"/>
          <w:szCs w:val="28"/>
        </w:rPr>
        <w:t>、《投标函》未按招标文件规定填写、漏填或内容填写错误的；</w:t>
      </w:r>
    </w:p>
    <w:p w14:paraId="623D41FA">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2、投标人资格条件不符合国家有关规定和招标文件要求的；</w:t>
      </w:r>
    </w:p>
    <w:p w14:paraId="3177696E">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3、投标人以他人的名义投标或出现串通投标、弄虚作假情形的；</w:t>
      </w:r>
    </w:p>
    <w:p w14:paraId="052B7AFF">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4、投标文件中附有招标人不能接受的条件的。</w:t>
      </w:r>
    </w:p>
    <w:p w14:paraId="40013633">
      <w:pPr>
        <w:tabs>
          <w:tab w:val="left" w:pos="6285"/>
        </w:tabs>
        <w:adjustRightInd w:val="0"/>
        <w:snapToGrid w:val="0"/>
        <w:spacing w:line="560" w:lineRule="exact"/>
        <w:ind w:firstLine="562" w:firstLineChars="200"/>
        <w:rPr>
          <w:rFonts w:ascii="仿宋" w:hAnsi="仿宋" w:eastAsia="仿宋"/>
          <w:b/>
          <w:kern w:val="0"/>
          <w:sz w:val="28"/>
          <w:szCs w:val="28"/>
        </w:rPr>
      </w:pPr>
      <w:r>
        <w:rPr>
          <w:rFonts w:hint="eastAsia" w:ascii="仿宋" w:hAnsi="仿宋" w:eastAsia="仿宋"/>
          <w:b/>
          <w:kern w:val="0"/>
          <w:sz w:val="28"/>
          <w:szCs w:val="28"/>
        </w:rPr>
        <w:t>三、评标阶段有关废标的情形：</w:t>
      </w:r>
    </w:p>
    <w:p w14:paraId="5F3F2332">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1、评标委员会根据招标文件的规定对投标文件的投标价格进行调整，投标人不接受调整方式、调整后价格，或调整后价格超出招标控制价（投标上限价）的；</w:t>
      </w:r>
    </w:p>
    <w:p w14:paraId="789B68AC">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2、投标文件不满足招标文件规定的任何一项实质性要求的；</w:t>
      </w:r>
    </w:p>
    <w:p w14:paraId="589C5795">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3、</w:t>
      </w:r>
      <w:r>
        <w:rPr>
          <w:rFonts w:hint="eastAsia" w:ascii="仿宋" w:hAnsi="仿宋" w:eastAsia="仿宋"/>
          <w:snapToGrid w:val="0"/>
          <w:kern w:val="0"/>
          <w:sz w:val="28"/>
          <w:szCs w:val="28"/>
        </w:rPr>
        <w:t>评标委员会认定的其他串通投标、弄虚作假情形</w:t>
      </w:r>
      <w:r>
        <w:rPr>
          <w:rFonts w:hint="eastAsia" w:ascii="仿宋" w:hAnsi="仿宋" w:eastAsia="仿宋"/>
          <w:kern w:val="0"/>
          <w:sz w:val="28"/>
          <w:szCs w:val="28"/>
        </w:rPr>
        <w:t>。</w:t>
      </w:r>
    </w:p>
    <w:p w14:paraId="67223F01">
      <w:pPr>
        <w:adjustRightInd w:val="0"/>
        <w:snapToGrid w:val="0"/>
        <w:spacing w:line="560" w:lineRule="exact"/>
        <w:jc w:val="left"/>
        <w:rPr>
          <w:rFonts w:ascii="仿宋" w:hAnsi="仿宋" w:eastAsia="仿宋"/>
          <w:kern w:val="0"/>
          <w:sz w:val="28"/>
          <w:szCs w:val="28"/>
        </w:rPr>
      </w:pPr>
    </w:p>
    <w:p w14:paraId="2B99F8DC">
      <w:pPr>
        <w:pStyle w:val="37"/>
        <w:ind w:firstLine="560"/>
        <w:rPr>
          <w:rFonts w:ascii="仿宋" w:hAnsi="仿宋" w:eastAsia="仿宋"/>
          <w:kern w:val="0"/>
          <w:sz w:val="28"/>
          <w:szCs w:val="28"/>
        </w:rPr>
      </w:pPr>
    </w:p>
    <w:p w14:paraId="1FAC70CC">
      <w:pPr>
        <w:pStyle w:val="37"/>
        <w:ind w:firstLine="560"/>
        <w:rPr>
          <w:rFonts w:ascii="仿宋" w:hAnsi="仿宋" w:eastAsia="仿宋"/>
          <w:kern w:val="0"/>
          <w:sz w:val="28"/>
          <w:szCs w:val="28"/>
        </w:rPr>
      </w:pPr>
    </w:p>
    <w:p w14:paraId="3D6C2AF6">
      <w:pPr>
        <w:adjustRightInd w:val="0"/>
        <w:snapToGrid w:val="0"/>
        <w:spacing w:line="560" w:lineRule="exact"/>
        <w:jc w:val="left"/>
        <w:rPr>
          <w:rFonts w:ascii="仿宋" w:hAnsi="仿宋" w:eastAsia="仿宋"/>
          <w:kern w:val="0"/>
          <w:sz w:val="28"/>
          <w:szCs w:val="28"/>
        </w:rPr>
      </w:pPr>
    </w:p>
    <w:p w14:paraId="65F7F8F4">
      <w:pPr>
        <w:pStyle w:val="6"/>
        <w:spacing w:before="0" w:line="560" w:lineRule="exact"/>
        <w:rPr>
          <w:rFonts w:ascii="仿宋" w:hAnsi="仿宋" w:eastAsia="仿宋"/>
          <w:kern w:val="0"/>
          <w:sz w:val="32"/>
          <w:szCs w:val="32"/>
        </w:rPr>
      </w:pPr>
    </w:p>
    <w:p w14:paraId="4E78FDE8">
      <w:pPr>
        <w:rPr>
          <w:rFonts w:ascii="仿宋" w:hAnsi="仿宋" w:eastAsia="仿宋"/>
          <w:kern w:val="0"/>
          <w:sz w:val="32"/>
          <w:szCs w:val="32"/>
        </w:rPr>
      </w:pPr>
    </w:p>
    <w:p w14:paraId="4FE2BB3B">
      <w:pPr>
        <w:rPr>
          <w:rFonts w:ascii="仿宋" w:hAnsi="仿宋" w:eastAsia="仿宋"/>
          <w:kern w:val="0"/>
          <w:sz w:val="32"/>
          <w:szCs w:val="32"/>
        </w:rPr>
      </w:pPr>
    </w:p>
    <w:p w14:paraId="67F7A60C">
      <w:pPr>
        <w:pStyle w:val="18"/>
        <w:rPr>
          <w:rFonts w:eastAsia="宋体"/>
          <w:kern w:val="2"/>
          <w:sz w:val="21"/>
        </w:rPr>
      </w:pPr>
    </w:p>
    <w:p w14:paraId="79A294B6">
      <w:pPr>
        <w:pStyle w:val="6"/>
        <w:spacing w:before="0" w:line="560" w:lineRule="exact"/>
        <w:rPr>
          <w:rFonts w:ascii="仿宋" w:hAnsi="仿宋" w:eastAsia="仿宋"/>
          <w:kern w:val="0"/>
          <w:sz w:val="32"/>
          <w:szCs w:val="32"/>
        </w:rPr>
      </w:pPr>
      <w:r>
        <w:rPr>
          <w:rFonts w:hint="eastAsia" w:ascii="仿宋" w:hAnsi="仿宋" w:eastAsia="仿宋"/>
          <w:kern w:val="0"/>
          <w:sz w:val="32"/>
          <w:szCs w:val="32"/>
        </w:rPr>
        <w:t>附件三：评标程序和评标方法</w:t>
      </w:r>
    </w:p>
    <w:p w14:paraId="4F205FDD">
      <w:pPr>
        <w:rPr>
          <w:szCs w:val="20"/>
        </w:rPr>
      </w:pPr>
    </w:p>
    <w:p w14:paraId="18ADA083">
      <w:pPr>
        <w:pStyle w:val="8"/>
        <w:spacing w:before="0" w:after="0" w:line="480" w:lineRule="auto"/>
        <w:jc w:val="center"/>
        <w:rPr>
          <w:rFonts w:ascii="黑体" w:hAnsi="黑体" w:eastAsia="黑体"/>
          <w:sz w:val="32"/>
          <w:szCs w:val="32"/>
        </w:rPr>
      </w:pPr>
      <w:r>
        <w:rPr>
          <w:rFonts w:hint="eastAsia" w:ascii="黑体" w:hAnsi="黑体" w:eastAsia="黑体"/>
          <w:sz w:val="32"/>
          <w:szCs w:val="32"/>
        </w:rPr>
        <w:t>一、评标程序</w:t>
      </w:r>
    </w:p>
    <w:p w14:paraId="511F3940">
      <w:pPr>
        <w:spacing w:line="560" w:lineRule="exact"/>
        <w:ind w:firstLine="560" w:firstLineChars="200"/>
        <w:rPr>
          <w:rFonts w:ascii="仿宋" w:hAnsi="仿宋" w:eastAsia="仿宋"/>
          <w:sz w:val="28"/>
          <w:szCs w:val="28"/>
        </w:rPr>
      </w:pPr>
      <w:r>
        <w:rPr>
          <w:rFonts w:hint="eastAsia" w:ascii="仿宋" w:hAnsi="仿宋" w:eastAsia="仿宋"/>
          <w:sz w:val="28"/>
          <w:szCs w:val="28"/>
        </w:rPr>
        <w:t>1.评标委员会推选一名成员担任主任委员，负责协调、组织评标活动的实施。（主任委员与评标委员会的其他成员享有同等的表决权）</w:t>
      </w:r>
    </w:p>
    <w:p w14:paraId="59041361">
      <w:pPr>
        <w:spacing w:line="560" w:lineRule="exact"/>
        <w:ind w:firstLine="560" w:firstLineChars="200"/>
        <w:rPr>
          <w:rFonts w:ascii="仿宋" w:hAnsi="仿宋" w:eastAsia="仿宋"/>
          <w:sz w:val="28"/>
          <w:szCs w:val="28"/>
        </w:rPr>
      </w:pPr>
      <w:r>
        <w:rPr>
          <w:rFonts w:hint="eastAsia" w:ascii="仿宋" w:hAnsi="仿宋" w:eastAsia="仿宋"/>
          <w:sz w:val="28"/>
          <w:szCs w:val="28"/>
        </w:rPr>
        <w:t>2.评标委员会了解项目概况（包括项目的重点、难点）、评标内容、评标方法、招标文件中须注意的事项、以及建议评标的要点。</w:t>
      </w:r>
    </w:p>
    <w:p w14:paraId="4BE99C98">
      <w:pPr>
        <w:spacing w:line="560" w:lineRule="exact"/>
        <w:ind w:firstLine="560" w:firstLineChars="200"/>
        <w:rPr>
          <w:rFonts w:ascii="仿宋" w:hAnsi="仿宋" w:eastAsia="仿宋"/>
          <w:sz w:val="28"/>
          <w:szCs w:val="28"/>
        </w:rPr>
      </w:pPr>
      <w:r>
        <w:rPr>
          <w:rFonts w:hint="eastAsia" w:ascii="仿宋" w:hAnsi="仿宋" w:eastAsia="仿宋"/>
          <w:sz w:val="28"/>
          <w:szCs w:val="28"/>
        </w:rPr>
        <w:t>3.评标委员会成员熟悉招标文件、开标情况一览表，研究评标重点及具体分工。</w:t>
      </w:r>
    </w:p>
    <w:p w14:paraId="171C4E2F">
      <w:pPr>
        <w:spacing w:line="560" w:lineRule="exact"/>
        <w:ind w:firstLine="560" w:firstLineChars="200"/>
        <w:rPr>
          <w:rFonts w:ascii="仿宋" w:hAnsi="仿宋" w:eastAsia="仿宋"/>
          <w:sz w:val="28"/>
          <w:szCs w:val="28"/>
        </w:rPr>
      </w:pPr>
      <w:r>
        <w:rPr>
          <w:rFonts w:hint="eastAsia" w:ascii="仿宋" w:hAnsi="仿宋" w:eastAsia="仿宋"/>
          <w:sz w:val="28"/>
          <w:szCs w:val="28"/>
        </w:rPr>
        <w:t>4.评标过程中发现有评标资料不齐全的情况，评标委员会应向工作人员反映，要求补充。</w:t>
      </w:r>
    </w:p>
    <w:p w14:paraId="10B4E9A4">
      <w:pPr>
        <w:spacing w:line="560" w:lineRule="exact"/>
        <w:ind w:firstLine="560" w:firstLineChars="200"/>
        <w:rPr>
          <w:rFonts w:ascii="仿宋" w:hAnsi="仿宋" w:eastAsia="仿宋"/>
          <w:sz w:val="28"/>
          <w:szCs w:val="28"/>
        </w:rPr>
      </w:pPr>
      <w:r>
        <w:rPr>
          <w:rFonts w:hint="eastAsia" w:ascii="仿宋" w:hAnsi="仿宋" w:eastAsia="仿宋"/>
          <w:sz w:val="28"/>
          <w:szCs w:val="28"/>
        </w:rPr>
        <w:t>5.评标委员会成员按照各自分工，根据招标文件规定的评标标准和方法，对投标文件进行系统的评审和比较。评审分初步评审和详细评审。经初步评审合格的投标文件，评标委员会对其技术部分和商务部分作进一步评审、比较。</w:t>
      </w:r>
    </w:p>
    <w:p w14:paraId="550E8B04">
      <w:pPr>
        <w:spacing w:line="560" w:lineRule="exact"/>
        <w:ind w:firstLine="560" w:firstLineChars="200"/>
        <w:rPr>
          <w:rFonts w:ascii="仿宋" w:hAnsi="仿宋" w:eastAsia="仿宋"/>
          <w:sz w:val="28"/>
          <w:szCs w:val="28"/>
        </w:rPr>
      </w:pPr>
      <w:r>
        <w:rPr>
          <w:rFonts w:hint="eastAsia" w:ascii="仿宋" w:hAnsi="仿宋" w:eastAsia="仿宋"/>
          <w:sz w:val="28"/>
          <w:szCs w:val="28"/>
        </w:rPr>
        <w:t>6．填写有关评标记录。由一名评标专家负责汇总评标打分，并由评标委员会主任委员进行复核。</w:t>
      </w:r>
    </w:p>
    <w:p w14:paraId="593029C8">
      <w:pPr>
        <w:spacing w:line="560" w:lineRule="exact"/>
        <w:ind w:firstLine="560" w:firstLineChars="200"/>
        <w:rPr>
          <w:rFonts w:ascii="仿宋" w:hAnsi="仿宋" w:eastAsia="仿宋"/>
          <w:sz w:val="28"/>
          <w:szCs w:val="28"/>
        </w:rPr>
      </w:pPr>
      <w:r>
        <w:rPr>
          <w:rFonts w:hint="eastAsia" w:ascii="仿宋" w:hAnsi="仿宋" w:eastAsia="仿宋"/>
          <w:sz w:val="28"/>
          <w:szCs w:val="28"/>
        </w:rPr>
        <w:t>7.评标过程中出现的争议，应当提交评标委员会集体讨论形成一致意见，不能形成一致意见的应在充分讨论后予以表决。</w:t>
      </w:r>
    </w:p>
    <w:p w14:paraId="1A356D9F">
      <w:pPr>
        <w:spacing w:line="560" w:lineRule="exact"/>
        <w:ind w:firstLine="560" w:firstLineChars="200"/>
        <w:rPr>
          <w:rFonts w:ascii="仿宋" w:hAnsi="仿宋" w:eastAsia="仿宋"/>
          <w:sz w:val="28"/>
          <w:szCs w:val="28"/>
        </w:rPr>
      </w:pPr>
      <w:r>
        <w:rPr>
          <w:rFonts w:hint="eastAsia" w:ascii="仿宋" w:hAnsi="仿宋" w:eastAsia="仿宋"/>
          <w:sz w:val="28"/>
          <w:szCs w:val="28"/>
        </w:rPr>
        <w:t>8.对需要投标人澄清、说明、补正的，应当进行答辩，并作好记录。</w:t>
      </w:r>
    </w:p>
    <w:p w14:paraId="18BCD057">
      <w:pPr>
        <w:spacing w:line="560" w:lineRule="exact"/>
        <w:ind w:firstLine="560" w:firstLineChars="200"/>
        <w:rPr>
          <w:rFonts w:ascii="仿宋" w:hAnsi="仿宋" w:eastAsia="仿宋"/>
          <w:sz w:val="28"/>
          <w:szCs w:val="28"/>
        </w:rPr>
      </w:pPr>
      <w:r>
        <w:rPr>
          <w:rFonts w:hint="eastAsia" w:ascii="仿宋" w:hAnsi="仿宋" w:eastAsia="仿宋"/>
          <w:sz w:val="28"/>
          <w:szCs w:val="28"/>
        </w:rPr>
        <w:t>9.对评判为无效标或废标的情况进行详细的记录和说明，并告知相应的投标人，允许其进行解释，但不影响评判的最终结果。</w:t>
      </w:r>
    </w:p>
    <w:p w14:paraId="28E59113">
      <w:pPr>
        <w:spacing w:line="560" w:lineRule="exact"/>
        <w:ind w:firstLine="560" w:firstLineChars="200"/>
        <w:rPr>
          <w:rFonts w:ascii="仿宋" w:hAnsi="仿宋" w:eastAsia="仿宋"/>
          <w:sz w:val="28"/>
          <w:szCs w:val="28"/>
        </w:rPr>
      </w:pPr>
      <w:r>
        <w:rPr>
          <w:rFonts w:hint="eastAsia" w:ascii="仿宋" w:hAnsi="仿宋" w:eastAsia="仿宋"/>
          <w:sz w:val="28"/>
          <w:szCs w:val="28"/>
        </w:rPr>
        <w:t>10.对发现的违法、违规（嫌疑）行为，应当在评标报告中做出详细说明，做好取证工作。</w:t>
      </w:r>
    </w:p>
    <w:p w14:paraId="20C25434">
      <w:pPr>
        <w:pStyle w:val="34"/>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11.由评标委员会主任委员或其指定的其他评标委员会成员填写评标报告， 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2467C2FB">
      <w:pPr>
        <w:rPr>
          <w:szCs w:val="20"/>
        </w:rPr>
      </w:pPr>
    </w:p>
    <w:p w14:paraId="46700461">
      <w:pPr>
        <w:pStyle w:val="8"/>
        <w:spacing w:before="0" w:after="0" w:line="480" w:lineRule="auto"/>
        <w:jc w:val="center"/>
        <w:rPr>
          <w:rFonts w:ascii="黑体" w:hAnsi="黑体" w:eastAsia="黑体"/>
          <w:sz w:val="32"/>
          <w:szCs w:val="32"/>
        </w:rPr>
      </w:pPr>
      <w:r>
        <w:rPr>
          <w:rFonts w:hint="eastAsia" w:ascii="黑体" w:hAnsi="黑体" w:eastAsia="黑体"/>
          <w:sz w:val="32"/>
          <w:szCs w:val="32"/>
        </w:rPr>
        <w:t>二、评标方法</w:t>
      </w:r>
    </w:p>
    <w:p w14:paraId="3766694C">
      <w:pPr>
        <w:spacing w:line="360" w:lineRule="auto"/>
        <w:ind w:firstLine="562" w:firstLineChars="200"/>
        <w:rPr>
          <w:rFonts w:ascii="仿宋" w:hAnsi="仿宋" w:eastAsia="仿宋"/>
          <w:sz w:val="28"/>
          <w:szCs w:val="28"/>
        </w:rPr>
      </w:pPr>
      <w:r>
        <w:rPr>
          <w:rFonts w:hint="eastAsia" w:ascii="仿宋" w:hAnsi="仿宋" w:eastAsia="仿宋"/>
          <w:b/>
          <w:sz w:val="28"/>
          <w:szCs w:val="28"/>
        </w:rPr>
        <w:t>1.本招标项目的评标办法采用：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09"/>
        <w:gridCol w:w="2709"/>
      </w:tblGrid>
      <w:tr w14:paraId="77D3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2737A8C4">
            <w:pPr>
              <w:pStyle w:val="21"/>
              <w:spacing w:line="400" w:lineRule="exact"/>
              <w:jc w:val="center"/>
              <w:rPr>
                <w:rFonts w:ascii="仿宋" w:hAnsi="仿宋" w:eastAsia="仿宋"/>
                <w:b/>
                <w:sz w:val="28"/>
                <w:szCs w:val="28"/>
              </w:rPr>
            </w:pPr>
            <w:r>
              <w:rPr>
                <w:rFonts w:hint="eastAsia" w:ascii="仿宋" w:hAnsi="仿宋" w:eastAsia="仿宋"/>
                <w:b/>
                <w:sz w:val="28"/>
                <w:szCs w:val="28"/>
              </w:rPr>
              <w:t>评标方法</w:t>
            </w:r>
          </w:p>
        </w:tc>
        <w:tc>
          <w:tcPr>
            <w:tcW w:w="2709" w:type="dxa"/>
            <w:tcBorders>
              <w:top w:val="single" w:color="auto" w:sz="6" w:space="0"/>
              <w:left w:val="single" w:color="auto" w:sz="4" w:space="0"/>
              <w:bottom w:val="single" w:color="auto" w:sz="6" w:space="0"/>
              <w:right w:val="single" w:color="auto" w:sz="6" w:space="0"/>
            </w:tcBorders>
            <w:vAlign w:val="center"/>
          </w:tcPr>
          <w:p w14:paraId="72AA423D">
            <w:pPr>
              <w:pStyle w:val="21"/>
              <w:spacing w:line="400" w:lineRule="exact"/>
              <w:jc w:val="center"/>
              <w:rPr>
                <w:rFonts w:ascii="仿宋" w:hAnsi="仿宋" w:eastAsia="仿宋"/>
                <w:b/>
                <w:sz w:val="28"/>
                <w:szCs w:val="28"/>
              </w:rPr>
            </w:pPr>
            <w:r>
              <w:rPr>
                <w:rFonts w:hint="eastAsia" w:ascii="仿宋" w:hAnsi="仿宋" w:eastAsia="仿宋"/>
                <w:b/>
                <w:sz w:val="28"/>
                <w:szCs w:val="28"/>
              </w:rPr>
              <w:t>评审内容</w:t>
            </w:r>
          </w:p>
        </w:tc>
        <w:tc>
          <w:tcPr>
            <w:tcW w:w="2709" w:type="dxa"/>
            <w:tcBorders>
              <w:top w:val="single" w:color="auto" w:sz="6" w:space="0"/>
              <w:left w:val="single" w:color="auto" w:sz="4" w:space="0"/>
              <w:bottom w:val="single" w:color="auto" w:sz="6" w:space="0"/>
              <w:right w:val="single" w:color="auto" w:sz="6" w:space="0"/>
            </w:tcBorders>
          </w:tcPr>
          <w:p w14:paraId="59BFE98A">
            <w:pPr>
              <w:pStyle w:val="21"/>
              <w:spacing w:line="400" w:lineRule="exact"/>
              <w:jc w:val="center"/>
              <w:rPr>
                <w:rFonts w:ascii="仿宋" w:hAnsi="仿宋" w:eastAsia="仿宋"/>
                <w:b/>
                <w:sz w:val="28"/>
                <w:szCs w:val="28"/>
              </w:rPr>
            </w:pPr>
            <w:r>
              <w:rPr>
                <w:rFonts w:hint="eastAsia" w:ascii="仿宋" w:hAnsi="仿宋" w:eastAsia="仿宋"/>
                <w:b/>
                <w:sz w:val="28"/>
                <w:szCs w:val="28"/>
              </w:rPr>
              <w:t>备注</w:t>
            </w:r>
          </w:p>
        </w:tc>
      </w:tr>
      <w:tr w14:paraId="1FEE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674FCCA6">
            <w:pPr>
              <w:pStyle w:val="21"/>
              <w:spacing w:line="400" w:lineRule="exact"/>
              <w:jc w:val="center"/>
              <w:rPr>
                <w:rFonts w:ascii="仿宋" w:hAnsi="仿宋" w:eastAsia="仿宋"/>
                <w:sz w:val="28"/>
                <w:szCs w:val="28"/>
              </w:rPr>
            </w:pPr>
            <w:r>
              <w:rPr>
                <w:rFonts w:ascii="Segoe UI Symbol" w:hAnsi="Segoe UI Symbol" w:eastAsia="仿宋" w:cs="Segoe UI Symbol"/>
                <w:sz w:val="28"/>
                <w:szCs w:val="28"/>
              </w:rPr>
              <w:t>☑</w:t>
            </w:r>
            <w:r>
              <w:rPr>
                <w:rFonts w:hint="eastAsia" w:ascii="仿宋" w:hAnsi="仿宋" w:eastAsia="仿宋" w:cs="仿宋"/>
                <w:sz w:val="28"/>
                <w:szCs w:val="28"/>
              </w:rPr>
              <w:t>综合评分</w:t>
            </w:r>
            <w:r>
              <w:rPr>
                <w:rFonts w:hint="eastAsia" w:ascii="仿宋" w:hAnsi="仿宋" w:eastAsia="仿宋"/>
                <w:sz w:val="28"/>
                <w:szCs w:val="28"/>
              </w:rPr>
              <w:t>法</w:t>
            </w:r>
          </w:p>
        </w:tc>
        <w:tc>
          <w:tcPr>
            <w:tcW w:w="2709" w:type="dxa"/>
            <w:tcBorders>
              <w:top w:val="single" w:color="auto" w:sz="6" w:space="0"/>
              <w:left w:val="single" w:color="auto" w:sz="4" w:space="0"/>
              <w:bottom w:val="single" w:color="auto" w:sz="6" w:space="0"/>
              <w:right w:val="single" w:color="auto" w:sz="6" w:space="0"/>
            </w:tcBorders>
            <w:vAlign w:val="center"/>
          </w:tcPr>
          <w:p w14:paraId="4FE1A395">
            <w:pPr>
              <w:pStyle w:val="21"/>
              <w:spacing w:line="400" w:lineRule="exact"/>
              <w:jc w:val="left"/>
              <w:rPr>
                <w:rFonts w:ascii="仿宋" w:hAnsi="仿宋" w:eastAsia="仿宋"/>
                <w:sz w:val="28"/>
                <w:szCs w:val="28"/>
              </w:rPr>
            </w:pPr>
            <w:r>
              <w:rPr>
                <w:rFonts w:hint="eastAsia" w:ascii="仿宋" w:hAnsi="仿宋" w:eastAsia="仿宋"/>
                <w:sz w:val="28"/>
                <w:szCs w:val="28"/>
              </w:rPr>
              <w:t>资信、商务、技术</w:t>
            </w:r>
          </w:p>
        </w:tc>
        <w:tc>
          <w:tcPr>
            <w:tcW w:w="2709" w:type="dxa"/>
            <w:tcBorders>
              <w:top w:val="single" w:color="auto" w:sz="6" w:space="0"/>
              <w:left w:val="single" w:color="auto" w:sz="4" w:space="0"/>
              <w:bottom w:val="single" w:color="auto" w:sz="6" w:space="0"/>
              <w:right w:val="single" w:color="auto" w:sz="6" w:space="0"/>
            </w:tcBorders>
          </w:tcPr>
          <w:p w14:paraId="048BB309">
            <w:pPr>
              <w:pStyle w:val="21"/>
              <w:spacing w:line="400" w:lineRule="exact"/>
              <w:jc w:val="left"/>
              <w:rPr>
                <w:rFonts w:ascii="仿宋" w:hAnsi="仿宋" w:eastAsia="仿宋"/>
                <w:sz w:val="28"/>
                <w:szCs w:val="28"/>
              </w:rPr>
            </w:pPr>
          </w:p>
        </w:tc>
      </w:tr>
      <w:tr w14:paraId="09C1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420B1701">
            <w:pPr>
              <w:pStyle w:val="21"/>
              <w:spacing w:line="400" w:lineRule="exact"/>
              <w:jc w:val="center"/>
              <w:rPr>
                <w:rFonts w:ascii="仿宋" w:hAnsi="仿宋" w:eastAsia="仿宋"/>
                <w:sz w:val="28"/>
                <w:szCs w:val="28"/>
              </w:rPr>
            </w:pPr>
            <w:r>
              <w:rPr>
                <w:rFonts w:hint="eastAsia" w:ascii="仿宋" w:hAnsi="仿宋" w:eastAsia="仿宋"/>
                <w:sz w:val="28"/>
                <w:szCs w:val="28"/>
              </w:rPr>
              <w:t>□信用商务法</w:t>
            </w:r>
          </w:p>
        </w:tc>
        <w:tc>
          <w:tcPr>
            <w:tcW w:w="2709" w:type="dxa"/>
            <w:tcBorders>
              <w:top w:val="single" w:color="auto" w:sz="6" w:space="0"/>
              <w:left w:val="single" w:color="auto" w:sz="4" w:space="0"/>
              <w:bottom w:val="single" w:color="auto" w:sz="6" w:space="0"/>
              <w:right w:val="single" w:color="auto" w:sz="6" w:space="0"/>
            </w:tcBorders>
            <w:vAlign w:val="center"/>
          </w:tcPr>
          <w:p w14:paraId="277AF3CB">
            <w:pPr>
              <w:pStyle w:val="21"/>
              <w:spacing w:line="400" w:lineRule="exact"/>
              <w:jc w:val="left"/>
              <w:rPr>
                <w:rFonts w:ascii="仿宋" w:hAnsi="仿宋" w:eastAsia="仿宋"/>
                <w:sz w:val="28"/>
                <w:szCs w:val="28"/>
              </w:rPr>
            </w:pPr>
            <w:r>
              <w:rPr>
                <w:rFonts w:hint="eastAsia" w:ascii="仿宋" w:hAnsi="仿宋" w:eastAsia="仿宋"/>
                <w:sz w:val="28"/>
                <w:szCs w:val="28"/>
              </w:rPr>
              <w:t>资信、商务</w:t>
            </w:r>
          </w:p>
        </w:tc>
        <w:tc>
          <w:tcPr>
            <w:tcW w:w="2709" w:type="dxa"/>
            <w:tcBorders>
              <w:top w:val="single" w:color="auto" w:sz="6" w:space="0"/>
              <w:left w:val="single" w:color="auto" w:sz="4" w:space="0"/>
              <w:bottom w:val="single" w:color="auto" w:sz="6" w:space="0"/>
              <w:right w:val="single" w:color="auto" w:sz="6" w:space="0"/>
            </w:tcBorders>
          </w:tcPr>
          <w:p w14:paraId="0800BCF4">
            <w:pPr>
              <w:pStyle w:val="21"/>
              <w:spacing w:line="400" w:lineRule="exact"/>
              <w:jc w:val="left"/>
              <w:rPr>
                <w:rFonts w:ascii="仿宋" w:hAnsi="仿宋" w:eastAsia="仿宋"/>
                <w:sz w:val="28"/>
                <w:szCs w:val="28"/>
              </w:rPr>
            </w:pPr>
          </w:p>
        </w:tc>
      </w:tr>
      <w:tr w14:paraId="701A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6B590D0A">
            <w:pPr>
              <w:pStyle w:val="21"/>
              <w:spacing w:line="400" w:lineRule="exact"/>
              <w:jc w:val="center"/>
              <w:rPr>
                <w:rFonts w:ascii="仿宋" w:hAnsi="仿宋" w:eastAsia="仿宋"/>
                <w:sz w:val="28"/>
                <w:szCs w:val="28"/>
              </w:rPr>
            </w:pPr>
            <w:r>
              <w:rPr>
                <w:rFonts w:hint="eastAsia" w:ascii="仿宋" w:hAnsi="仿宋" w:eastAsia="仿宋"/>
                <w:sz w:val="28"/>
                <w:szCs w:val="28"/>
              </w:rPr>
              <w:t>□定性评审法</w:t>
            </w:r>
          </w:p>
        </w:tc>
        <w:tc>
          <w:tcPr>
            <w:tcW w:w="2709" w:type="dxa"/>
            <w:tcBorders>
              <w:top w:val="single" w:color="auto" w:sz="6" w:space="0"/>
              <w:left w:val="single" w:color="auto" w:sz="4" w:space="0"/>
              <w:bottom w:val="single" w:color="auto" w:sz="6" w:space="0"/>
              <w:right w:val="single" w:color="auto" w:sz="6" w:space="0"/>
            </w:tcBorders>
            <w:vAlign w:val="center"/>
          </w:tcPr>
          <w:p w14:paraId="2600519D">
            <w:pPr>
              <w:pStyle w:val="21"/>
              <w:spacing w:line="400" w:lineRule="exact"/>
              <w:jc w:val="left"/>
              <w:rPr>
                <w:rFonts w:ascii="仿宋" w:hAnsi="仿宋" w:eastAsia="仿宋"/>
                <w:sz w:val="28"/>
                <w:szCs w:val="28"/>
              </w:rPr>
            </w:pPr>
            <w:r>
              <w:rPr>
                <w:rFonts w:hint="eastAsia" w:ascii="仿宋" w:hAnsi="仿宋" w:eastAsia="仿宋"/>
                <w:sz w:val="28"/>
                <w:szCs w:val="28"/>
              </w:rPr>
              <w:t>商务、技术</w:t>
            </w:r>
          </w:p>
        </w:tc>
        <w:tc>
          <w:tcPr>
            <w:tcW w:w="2709" w:type="dxa"/>
            <w:tcBorders>
              <w:top w:val="single" w:color="auto" w:sz="6" w:space="0"/>
              <w:left w:val="single" w:color="auto" w:sz="4" w:space="0"/>
              <w:bottom w:val="single" w:color="auto" w:sz="6" w:space="0"/>
              <w:right w:val="single" w:color="auto" w:sz="6" w:space="0"/>
            </w:tcBorders>
          </w:tcPr>
          <w:p w14:paraId="10939F30">
            <w:pPr>
              <w:pStyle w:val="21"/>
              <w:spacing w:line="400" w:lineRule="exact"/>
              <w:jc w:val="left"/>
              <w:rPr>
                <w:rFonts w:ascii="仿宋" w:hAnsi="仿宋" w:eastAsia="仿宋"/>
                <w:sz w:val="28"/>
                <w:szCs w:val="28"/>
              </w:rPr>
            </w:pPr>
          </w:p>
        </w:tc>
      </w:tr>
    </w:tbl>
    <w:p w14:paraId="348A856F">
      <w:pPr>
        <w:spacing w:line="360" w:lineRule="auto"/>
        <w:ind w:firstLine="562" w:firstLineChars="200"/>
        <w:rPr>
          <w:rFonts w:ascii="仿宋" w:hAnsi="仿宋" w:eastAsia="仿宋"/>
          <w:b/>
          <w:sz w:val="28"/>
          <w:szCs w:val="28"/>
        </w:rPr>
      </w:pPr>
    </w:p>
    <w:p w14:paraId="0FEBAEC9">
      <w:pPr>
        <w:spacing w:line="360" w:lineRule="auto"/>
        <w:ind w:firstLine="562" w:firstLineChars="200"/>
        <w:rPr>
          <w:rFonts w:ascii="仿宋" w:hAnsi="仿宋" w:eastAsia="仿宋"/>
          <w:b/>
          <w:sz w:val="28"/>
          <w:szCs w:val="28"/>
        </w:rPr>
      </w:pPr>
      <w:r>
        <w:rPr>
          <w:rFonts w:hint="eastAsia" w:ascii="仿宋" w:hAnsi="仿宋" w:eastAsia="仿宋"/>
          <w:b/>
          <w:sz w:val="28"/>
          <w:szCs w:val="28"/>
        </w:rPr>
        <w:t>2.综合评分法</w:t>
      </w:r>
    </w:p>
    <w:p w14:paraId="7A68053B">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2.1招标人在开标会上根据招标文件中投标文件不予受理情形的规定，对资格审查合格的投标人的投标文件是否应当受理进行审查，然后将应当受理的投标文件提交评标委员会评审；</w:t>
      </w:r>
    </w:p>
    <w:p w14:paraId="44680051">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2.2评标委员会分别根据招标文件无效标情形的规定，对所有应当受理的投标文件进行初步评审；</w:t>
      </w:r>
    </w:p>
    <w:p w14:paraId="1DEF9F3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2.3评标委员会首先对通过初步评审的各投标人的技术标进行详细评审。即：各成员根据招标文件规定的技术标评分规则（见评标方法附件），对投标文件独立进行技术标评分。各成员的评分结果去掉最高、最低分后取算术平均值作为该投标人最后技术标评审得分。在后续评审中该得分不得更改；</w:t>
      </w:r>
    </w:p>
    <w:p w14:paraId="55AF8CFA">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2.4评标委员会在完成技术标评审后，接着对初步评审合格的各投标人商务标进行详细评审并打分；</w:t>
      </w:r>
    </w:p>
    <w:p w14:paraId="28E8C35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2.5评标委员会在完成商务标评审后，对初步评审合格的各投标人资信标进行详细评审并打分；</w:t>
      </w:r>
    </w:p>
    <w:p w14:paraId="5A84AB43">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2.6最后，评标委员会应当按照下列公式计算评审总得分：</w:t>
      </w:r>
    </w:p>
    <w:p w14:paraId="1EC27650">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position w:val="-12"/>
          <w:sz w:val="28"/>
          <w:szCs w:val="28"/>
        </w:rPr>
        <w:object>
          <v:shape id="_x0000_i1025" o:spt="75" type="#_x0000_t75" style="height:18pt;width:141.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0D867043">
      <w:pPr>
        <w:spacing w:line="360" w:lineRule="auto"/>
        <w:ind w:firstLine="560" w:firstLineChars="200"/>
        <w:rPr>
          <w:rFonts w:ascii="仿宋" w:hAnsi="仿宋" w:eastAsia="仿宋"/>
          <w:sz w:val="28"/>
          <w:szCs w:val="28"/>
        </w:rPr>
      </w:pPr>
      <w:r>
        <w:rPr>
          <w:rFonts w:hint="eastAsia" w:ascii="仿宋" w:hAnsi="仿宋" w:eastAsia="仿宋"/>
          <w:sz w:val="28"/>
          <w:szCs w:val="28"/>
        </w:rPr>
        <w:t>N—评审总得分（得分取值保留到小数点后两位）；</w:t>
      </w:r>
    </w:p>
    <w:p w14:paraId="6129A630">
      <w:pPr>
        <w:spacing w:line="360" w:lineRule="auto"/>
        <w:ind w:firstLine="560" w:firstLineChars="200"/>
        <w:rPr>
          <w:rFonts w:ascii="仿宋" w:hAnsi="仿宋" w:eastAsia="仿宋"/>
          <w:sz w:val="28"/>
          <w:szCs w:val="28"/>
        </w:rPr>
      </w:pPr>
      <w:r>
        <w:rPr>
          <w:rFonts w:hint="eastAsia" w:ascii="仿宋" w:hAnsi="仿宋" w:eastAsia="仿宋"/>
          <w:sz w:val="28"/>
          <w:szCs w:val="28"/>
        </w:rPr>
        <w:t>J—技术标评审得分（得分取值保留到小数点后两位）；</w:t>
      </w:r>
    </w:p>
    <w:p w14:paraId="627CCCFA">
      <w:pPr>
        <w:spacing w:line="360" w:lineRule="auto"/>
        <w:ind w:firstLine="560" w:firstLineChars="200"/>
        <w:rPr>
          <w:rFonts w:ascii="仿宋" w:hAnsi="仿宋" w:eastAsia="仿宋"/>
          <w:sz w:val="28"/>
          <w:szCs w:val="28"/>
        </w:rPr>
      </w:pPr>
      <w:r>
        <w:rPr>
          <w:rFonts w:hint="eastAsia" w:ascii="仿宋" w:hAnsi="仿宋" w:eastAsia="仿宋"/>
          <w:sz w:val="28"/>
          <w:szCs w:val="28"/>
        </w:rPr>
        <w:t>S—商务标评审得分（得分取值保留到小数点后两位）；</w:t>
      </w:r>
    </w:p>
    <w:p w14:paraId="23AFA25E">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X—资信标评审得分（得分取值保留到小数点后两位）； </w:t>
      </w:r>
    </w:p>
    <w:p w14:paraId="195F8C39">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A1—技术标评审得分权重，按</w:t>
      </w:r>
      <w:permStart w:id="0" w:edGrp="everyone"/>
      <w:r>
        <w:rPr>
          <w:rFonts w:hint="eastAsia" w:ascii="仿宋" w:hAnsi="仿宋" w:eastAsia="仿宋"/>
          <w:b/>
          <w:bCs/>
          <w:sz w:val="28"/>
          <w:szCs w:val="28"/>
          <w:highlight w:val="none"/>
          <w:u w:val="single"/>
        </w:rPr>
        <w:t xml:space="preserve">  </w:t>
      </w:r>
      <w:r>
        <w:rPr>
          <w:rFonts w:ascii="仿宋" w:hAnsi="仿宋" w:eastAsia="仿宋"/>
          <w:b/>
          <w:bCs/>
          <w:sz w:val="28"/>
          <w:szCs w:val="28"/>
          <w:highlight w:val="none"/>
          <w:u w:val="single"/>
        </w:rPr>
        <w:t>30</w:t>
      </w:r>
      <w:r>
        <w:rPr>
          <w:rFonts w:hint="eastAsia" w:ascii="仿宋" w:hAnsi="仿宋" w:eastAsia="仿宋"/>
          <w:b/>
          <w:bCs/>
          <w:sz w:val="28"/>
          <w:szCs w:val="28"/>
          <w:highlight w:val="none"/>
          <w:u w:val="single"/>
        </w:rPr>
        <w:t xml:space="preserve">  </w:t>
      </w:r>
      <w:permEnd w:id="0"/>
      <w:r>
        <w:rPr>
          <w:rFonts w:hint="eastAsia" w:ascii="仿宋" w:hAnsi="仿宋" w:eastAsia="仿宋"/>
          <w:sz w:val="28"/>
          <w:szCs w:val="28"/>
          <w:highlight w:val="none"/>
        </w:rPr>
        <w:t>%计；</w:t>
      </w:r>
    </w:p>
    <w:p w14:paraId="777D2F9F">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A2—商务标评审得分权重，按</w:t>
      </w:r>
      <w:permStart w:id="1" w:edGrp="everyone"/>
      <w:r>
        <w:rPr>
          <w:rFonts w:hint="eastAsia" w:ascii="仿宋" w:hAnsi="仿宋" w:eastAsia="仿宋"/>
          <w:b/>
          <w:bCs/>
          <w:sz w:val="28"/>
          <w:szCs w:val="28"/>
          <w:highlight w:val="none"/>
          <w:u w:val="single"/>
        </w:rPr>
        <w:t xml:space="preserve">  </w:t>
      </w:r>
      <w:r>
        <w:rPr>
          <w:rFonts w:ascii="仿宋" w:hAnsi="仿宋" w:eastAsia="仿宋"/>
          <w:b/>
          <w:bCs/>
          <w:sz w:val="28"/>
          <w:szCs w:val="28"/>
          <w:highlight w:val="none"/>
          <w:u w:val="single"/>
        </w:rPr>
        <w:t>60</w:t>
      </w:r>
      <w:r>
        <w:rPr>
          <w:rFonts w:hint="eastAsia" w:ascii="仿宋" w:hAnsi="仿宋" w:eastAsia="仿宋"/>
          <w:b/>
          <w:bCs/>
          <w:sz w:val="28"/>
          <w:szCs w:val="28"/>
          <w:highlight w:val="none"/>
          <w:u w:val="single"/>
        </w:rPr>
        <w:t xml:space="preserve">  </w:t>
      </w:r>
      <w:permEnd w:id="1"/>
      <w:r>
        <w:rPr>
          <w:rFonts w:hint="eastAsia" w:ascii="仿宋" w:hAnsi="仿宋" w:eastAsia="仿宋"/>
          <w:sz w:val="28"/>
          <w:szCs w:val="28"/>
          <w:highlight w:val="none"/>
        </w:rPr>
        <w:t>%计；</w:t>
      </w:r>
    </w:p>
    <w:p w14:paraId="061EEB1E">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A3—资信标评审得分权重，按</w:t>
      </w:r>
      <w:permStart w:id="2" w:edGrp="everyone"/>
      <w:r>
        <w:rPr>
          <w:rFonts w:hint="eastAsia" w:ascii="仿宋" w:hAnsi="仿宋" w:eastAsia="仿宋"/>
          <w:b/>
          <w:bCs/>
          <w:sz w:val="28"/>
          <w:szCs w:val="28"/>
          <w:highlight w:val="none"/>
          <w:u w:val="single"/>
        </w:rPr>
        <w:t xml:space="preserve">  10  </w:t>
      </w:r>
      <w:permEnd w:id="2"/>
      <w:r>
        <w:rPr>
          <w:rFonts w:hint="eastAsia" w:ascii="仿宋" w:hAnsi="仿宋" w:eastAsia="仿宋"/>
          <w:sz w:val="28"/>
          <w:szCs w:val="28"/>
          <w:highlight w:val="none"/>
        </w:rPr>
        <w:t>%计；</w:t>
      </w:r>
    </w:p>
    <w:p w14:paraId="4AB260AD">
      <w:pPr>
        <w:spacing w:line="360" w:lineRule="auto"/>
        <w:ind w:firstLine="560" w:firstLineChars="200"/>
        <w:rPr>
          <w:rFonts w:ascii="仿宋" w:hAnsi="仿宋" w:eastAsia="仿宋"/>
          <w:sz w:val="28"/>
          <w:szCs w:val="28"/>
        </w:rPr>
      </w:pPr>
      <w:r>
        <w:rPr>
          <w:rFonts w:hint="eastAsia" w:ascii="仿宋" w:hAnsi="仿宋" w:eastAsia="仿宋"/>
          <w:sz w:val="28"/>
          <w:szCs w:val="28"/>
        </w:rPr>
        <w:t>[A1+A2+A3=1，A2≥30%, A3≤10%]</w:t>
      </w:r>
    </w:p>
    <w:p w14:paraId="5D2A77D9">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2.7评标委员会应当按评审总得分从高至低的顺序，按照“投标前须知附表1”第18项约定推荐中标候选人，并形成评标报告；</w:t>
      </w:r>
    </w:p>
    <w:p w14:paraId="7F211384">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2.8若出现评审总得分相同且影响到推荐中标候选人时，按技术标得分从高至低的顺序推荐；若出现技术标得分也相同的情形，按商务标得分从高至低的顺序推荐；若出现商务标得分仍相同的情形，采用大号中签的抽签方式推荐；</w:t>
      </w:r>
    </w:p>
    <w:p w14:paraId="023DD6FC">
      <w:pPr>
        <w:spacing w:line="360" w:lineRule="auto"/>
        <w:ind w:firstLine="562" w:firstLineChars="200"/>
        <w:rPr>
          <w:rFonts w:ascii="仿宋" w:hAnsi="仿宋" w:eastAsia="仿宋"/>
          <w:b/>
          <w:sz w:val="28"/>
          <w:szCs w:val="28"/>
        </w:rPr>
      </w:pPr>
      <w:r>
        <w:rPr>
          <w:rFonts w:hint="eastAsia" w:ascii="仿宋" w:hAnsi="仿宋" w:eastAsia="仿宋"/>
          <w:b/>
          <w:sz w:val="28"/>
          <w:szCs w:val="28"/>
        </w:rPr>
        <w:t>3.信用商务评审法</w:t>
      </w:r>
    </w:p>
    <w:p w14:paraId="15917950">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3.1招标人在开标会上根据招标文件中投标文件不予受理情形的规定，对投标人的投标文件是否应当受理进行审查，然后将应当受理的投标文件提交评标委员会评审；</w:t>
      </w:r>
    </w:p>
    <w:p w14:paraId="417C34F1">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3.2评标委员会根据招标文件初步评审内容的规定，对所有应当受理的投标文件进行初步评审；</w:t>
      </w:r>
    </w:p>
    <w:p w14:paraId="45B8C855">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3.3评标委员会对所有初步评审合格的各投标人的商务标进行详细评审，并计算出商务标得分；</w:t>
      </w:r>
    </w:p>
    <w:p w14:paraId="1FF45351">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3.4评标委员会在完成商务标评审后，对初步评审合格的各投标人资信标进行详细评审并打分；</w:t>
      </w:r>
    </w:p>
    <w:p w14:paraId="686B27CB">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3.5最后，评标委员会应当按照下列公式计算评审总得分：</w:t>
      </w:r>
    </w:p>
    <w:p w14:paraId="2E9D9E5F">
      <w:pPr>
        <w:spacing w:line="360" w:lineRule="auto"/>
        <w:ind w:firstLine="560" w:firstLineChars="200"/>
        <w:rPr>
          <w:rFonts w:ascii="仿宋" w:hAnsi="仿宋" w:eastAsia="仿宋"/>
          <w:sz w:val="28"/>
          <w:szCs w:val="28"/>
        </w:rPr>
      </w:pPr>
      <w:r>
        <w:rPr>
          <w:rFonts w:hint="eastAsia" w:ascii="仿宋" w:hAnsi="仿宋" w:eastAsia="仿宋"/>
          <w:sz w:val="28"/>
          <w:szCs w:val="28"/>
        </w:rPr>
        <w:object>
          <v:shape id="_x0000_i1026" o:spt="75" type="#_x0000_t75" style="height:18pt;width:101.2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14:paraId="423747E9">
      <w:pPr>
        <w:spacing w:line="360" w:lineRule="auto"/>
        <w:ind w:firstLine="560" w:firstLineChars="200"/>
        <w:rPr>
          <w:rFonts w:ascii="仿宋" w:hAnsi="仿宋" w:eastAsia="仿宋"/>
          <w:sz w:val="28"/>
          <w:szCs w:val="28"/>
        </w:rPr>
      </w:pPr>
      <w:r>
        <w:rPr>
          <w:rFonts w:hint="eastAsia" w:ascii="仿宋" w:hAnsi="仿宋" w:eastAsia="仿宋"/>
          <w:sz w:val="28"/>
          <w:szCs w:val="28"/>
        </w:rPr>
        <w:t>N—评审总得分（得分取值保留到小数点后两位）；</w:t>
      </w:r>
    </w:p>
    <w:p w14:paraId="1AEB47FD">
      <w:pPr>
        <w:spacing w:line="360" w:lineRule="auto"/>
        <w:ind w:firstLine="560" w:firstLineChars="200"/>
        <w:rPr>
          <w:rFonts w:ascii="仿宋" w:hAnsi="仿宋" w:eastAsia="仿宋"/>
          <w:sz w:val="28"/>
          <w:szCs w:val="28"/>
        </w:rPr>
      </w:pPr>
      <w:r>
        <w:rPr>
          <w:rFonts w:hint="eastAsia" w:ascii="仿宋" w:hAnsi="仿宋" w:eastAsia="仿宋"/>
          <w:sz w:val="28"/>
          <w:szCs w:val="28"/>
        </w:rPr>
        <w:t>S—商务标评审得分（得分取值保留到小数点后两位）；</w:t>
      </w:r>
    </w:p>
    <w:p w14:paraId="692D009D">
      <w:pPr>
        <w:spacing w:line="360" w:lineRule="auto"/>
        <w:ind w:firstLine="560" w:firstLineChars="200"/>
        <w:rPr>
          <w:rFonts w:ascii="仿宋" w:hAnsi="仿宋" w:eastAsia="仿宋"/>
          <w:sz w:val="28"/>
          <w:szCs w:val="28"/>
        </w:rPr>
      </w:pPr>
      <w:r>
        <w:rPr>
          <w:rFonts w:hint="eastAsia" w:ascii="仿宋" w:hAnsi="仿宋" w:eastAsia="仿宋"/>
          <w:sz w:val="28"/>
          <w:szCs w:val="28"/>
        </w:rPr>
        <w:t>X—资信标评审得分（得分取值保留到小数点后两位）；</w:t>
      </w:r>
    </w:p>
    <w:p w14:paraId="0B90ADB8">
      <w:pPr>
        <w:spacing w:line="360" w:lineRule="auto"/>
        <w:ind w:firstLine="560" w:firstLineChars="200"/>
        <w:rPr>
          <w:rFonts w:ascii="仿宋" w:hAnsi="仿宋" w:eastAsia="仿宋"/>
          <w:sz w:val="28"/>
          <w:szCs w:val="28"/>
        </w:rPr>
      </w:pPr>
      <w:r>
        <w:rPr>
          <w:rFonts w:hint="eastAsia" w:ascii="仿宋" w:hAnsi="仿宋" w:eastAsia="仿宋"/>
          <w:sz w:val="28"/>
          <w:szCs w:val="28"/>
        </w:rPr>
        <w:t>A2—商务标评审得分权重，按</w:t>
      </w:r>
      <w:permStart w:id="3" w:edGrp="everyone"/>
      <w:r>
        <w:rPr>
          <w:rFonts w:hint="eastAsia" w:ascii="仿宋" w:hAnsi="仿宋" w:eastAsia="仿宋"/>
          <w:sz w:val="28"/>
          <w:szCs w:val="28"/>
          <w:u w:val="single"/>
        </w:rPr>
        <w:t xml:space="preserve">  / </w:t>
      </w:r>
      <w:permEnd w:id="3"/>
      <w:r>
        <w:rPr>
          <w:rFonts w:hint="eastAsia" w:ascii="仿宋" w:hAnsi="仿宋" w:eastAsia="仿宋"/>
          <w:sz w:val="28"/>
          <w:szCs w:val="28"/>
        </w:rPr>
        <w:t>%计；</w:t>
      </w:r>
    </w:p>
    <w:p w14:paraId="66FB44F2">
      <w:pPr>
        <w:spacing w:line="360" w:lineRule="auto"/>
        <w:ind w:firstLine="560" w:firstLineChars="200"/>
        <w:rPr>
          <w:rFonts w:ascii="仿宋" w:hAnsi="仿宋" w:eastAsia="仿宋"/>
          <w:sz w:val="28"/>
          <w:szCs w:val="28"/>
        </w:rPr>
      </w:pPr>
      <w:r>
        <w:rPr>
          <w:rFonts w:hint="eastAsia" w:ascii="仿宋" w:hAnsi="仿宋" w:eastAsia="仿宋"/>
          <w:sz w:val="28"/>
          <w:szCs w:val="28"/>
        </w:rPr>
        <w:t>A3—资信标评审得分权重，按</w:t>
      </w:r>
      <w:permStart w:id="4" w:edGrp="everyone"/>
      <w:r>
        <w:rPr>
          <w:rFonts w:hint="eastAsia" w:ascii="仿宋" w:hAnsi="仿宋" w:eastAsia="仿宋"/>
          <w:sz w:val="28"/>
          <w:szCs w:val="28"/>
          <w:u w:val="single"/>
        </w:rPr>
        <w:t xml:space="preserve"> /  </w:t>
      </w:r>
      <w:permEnd w:id="4"/>
      <w:r>
        <w:rPr>
          <w:rFonts w:hint="eastAsia" w:ascii="仿宋" w:hAnsi="仿宋" w:eastAsia="仿宋"/>
          <w:sz w:val="28"/>
          <w:szCs w:val="28"/>
        </w:rPr>
        <w:t>%计；</w:t>
      </w:r>
    </w:p>
    <w:p w14:paraId="758BD56D">
      <w:pPr>
        <w:spacing w:line="360" w:lineRule="auto"/>
        <w:ind w:firstLine="560" w:firstLineChars="200"/>
        <w:rPr>
          <w:rFonts w:ascii="仿宋" w:hAnsi="仿宋" w:eastAsia="仿宋"/>
          <w:sz w:val="28"/>
          <w:szCs w:val="28"/>
        </w:rPr>
      </w:pPr>
      <w:r>
        <w:rPr>
          <w:rFonts w:hint="eastAsia" w:ascii="仿宋" w:hAnsi="仿宋" w:eastAsia="仿宋"/>
          <w:sz w:val="28"/>
          <w:szCs w:val="28"/>
        </w:rPr>
        <w:t>[A2+A3=1，A3≤30%]</w:t>
      </w:r>
    </w:p>
    <w:p w14:paraId="4BB18A8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3.6评标委员会应当按评审总得分从高至低的顺序，按照“投标前须知附表1”第17项约定推荐中标候选人，并形成评标报告；</w:t>
      </w:r>
    </w:p>
    <w:p w14:paraId="1CAA8B2F">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3.7若出现评审总得分相同且影响到推荐中标候选人时，按商务标得分从高至低的顺序推荐；若出现商务标得分也相同的情形，按资信标得分从高至低的顺序推荐；若出现资信标得分仍相同的情形，采用大号中签的抽签方式推荐。</w:t>
      </w:r>
    </w:p>
    <w:p w14:paraId="3B0DF5FD">
      <w:pPr>
        <w:spacing w:line="360" w:lineRule="auto"/>
        <w:ind w:firstLine="562" w:firstLineChars="200"/>
        <w:rPr>
          <w:rFonts w:ascii="仿宋" w:hAnsi="仿宋" w:eastAsia="仿宋"/>
          <w:b/>
          <w:sz w:val="28"/>
          <w:szCs w:val="28"/>
        </w:rPr>
      </w:pPr>
      <w:r>
        <w:rPr>
          <w:rFonts w:hint="eastAsia" w:ascii="仿宋" w:hAnsi="仿宋" w:eastAsia="仿宋"/>
          <w:b/>
          <w:sz w:val="28"/>
          <w:szCs w:val="28"/>
        </w:rPr>
        <w:t>4.定性评审法</w:t>
      </w:r>
    </w:p>
    <w:p w14:paraId="2F7D59DE">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4.1招标人在开标会上根据招标文件中投标文件不予受理情形的规定，对投标人的投标文件是否应当受理进行审查，然后将应当受理的投标文件提交评标委员会评审；</w:t>
      </w:r>
    </w:p>
    <w:p w14:paraId="6C300641">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4.2评标委员会根据招标文件初步评审内容的规定，对所有应当受理的投标文件进行初步评审；</w:t>
      </w:r>
    </w:p>
    <w:p w14:paraId="0368E13C">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4.3评标委员会对通过初步评审的各投标人的技术标及商务标同时进行详细评审。即：各成员根据招标文件规定的技术标及商务标评审要素（见评标方法附件），各成员须对投标文件独立进行评审并提出评审意见，经讨论汇总后形成综合评审意见，内容主要包括：对各投标文件是否满足招标文件所有要求提出意见，指出各投标文件中存在的缺陷和问题，签订合同前应注意和澄清的事项,并推荐</w:t>
      </w:r>
      <w:r>
        <w:rPr>
          <w:rFonts w:hint="eastAsia" w:ascii="仿宋" w:hAnsi="仿宋" w:eastAsia="仿宋" w:cs="宋体"/>
          <w:kern w:val="0"/>
          <w:sz w:val="28"/>
          <w:szCs w:val="28"/>
          <w:u w:val="single"/>
        </w:rPr>
        <w:t xml:space="preserve">  /  </w:t>
      </w:r>
      <w:r>
        <w:rPr>
          <w:rFonts w:hint="eastAsia" w:ascii="仿宋" w:hAnsi="仿宋" w:eastAsia="仿宋" w:cs="宋体"/>
          <w:kern w:val="0"/>
          <w:sz w:val="28"/>
          <w:szCs w:val="28"/>
        </w:rPr>
        <w:t>名无排序的中标候选人；</w:t>
      </w:r>
    </w:p>
    <w:p w14:paraId="616E9AC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4.4评标委员会将综合评审意见整理成评标报告后，提交给招标人。</w:t>
      </w:r>
    </w:p>
    <w:p w14:paraId="274E5C90">
      <w:pPr>
        <w:spacing w:line="360" w:lineRule="auto"/>
        <w:jc w:val="left"/>
        <w:rPr>
          <w:rFonts w:ascii="仿宋" w:hAnsi="仿宋" w:eastAsia="仿宋" w:cs="宋体"/>
          <w:kern w:val="0"/>
          <w:sz w:val="28"/>
          <w:szCs w:val="28"/>
        </w:rPr>
        <w:sectPr>
          <w:pgSz w:w="12240" w:h="15840"/>
          <w:pgMar w:top="1440" w:right="1797" w:bottom="1440" w:left="1797" w:header="720" w:footer="720" w:gutter="0"/>
          <w:cols w:space="720" w:num="1"/>
        </w:sectPr>
      </w:pPr>
    </w:p>
    <w:p w14:paraId="4E9C30AF">
      <w:pPr>
        <w:spacing w:line="360" w:lineRule="auto"/>
        <w:ind w:firstLine="3200" w:firstLineChars="1000"/>
        <w:rPr>
          <w:rFonts w:ascii="黑体" w:hAnsi="黑体" w:eastAsia="黑体"/>
          <w:sz w:val="32"/>
          <w:szCs w:val="32"/>
        </w:rPr>
      </w:pPr>
      <w:r>
        <w:rPr>
          <w:rFonts w:hint="eastAsia" w:ascii="黑体" w:hAnsi="黑体" w:eastAsia="黑体"/>
          <w:sz w:val="32"/>
          <w:szCs w:val="32"/>
        </w:rPr>
        <w:t>三、评标方法附件</w:t>
      </w:r>
    </w:p>
    <w:p w14:paraId="35BB1314">
      <w:pPr>
        <w:pStyle w:val="9"/>
        <w:spacing w:line="317" w:lineRule="auto"/>
        <w:ind w:left="1452" w:firstLine="1606" w:firstLineChars="500"/>
        <w:rPr>
          <w:rFonts w:ascii="黑体" w:hAnsi="黑体"/>
          <w:sz w:val="32"/>
          <w:szCs w:val="32"/>
        </w:rPr>
      </w:pPr>
      <w:r>
        <w:rPr>
          <w:rFonts w:hint="eastAsia" w:ascii="黑体" w:hAnsi="黑体"/>
          <w:sz w:val="32"/>
          <w:szCs w:val="32"/>
        </w:rPr>
        <w:t>（一）技术标评审表</w:t>
      </w:r>
    </w:p>
    <w:p w14:paraId="06D86623">
      <w:pPr>
        <w:spacing w:line="360" w:lineRule="auto"/>
        <w:jc w:val="left"/>
        <w:rPr>
          <w:rFonts w:hint="default" w:ascii="黑体" w:hAnsi="黑体" w:eastAsia="黑体" w:cs="黑体"/>
          <w:b/>
          <w:sz w:val="24"/>
          <w:lang w:val="en-US" w:eastAsia="zh-CN"/>
        </w:rPr>
      </w:pPr>
      <w:r>
        <w:rPr>
          <w:rFonts w:hint="eastAsia" w:ascii="黑体" w:hAnsi="黑体" w:eastAsia="黑体" w:cs="黑体"/>
          <w:b/>
          <w:sz w:val="24"/>
        </w:rPr>
        <w:t>项目名称：</w:t>
      </w:r>
      <w:r>
        <w:rPr>
          <w:rFonts w:hint="eastAsia" w:ascii="黑体" w:hAnsi="黑体" w:eastAsia="黑体" w:cs="黑体"/>
          <w:b/>
          <w:sz w:val="24"/>
          <w:lang w:val="en-US" w:eastAsia="zh-CN"/>
        </w:rPr>
        <w:t>深圳华南城一期市场阳光棚维修工程</w:t>
      </w:r>
    </w:p>
    <w:tbl>
      <w:tblPr>
        <w:tblStyle w:val="38"/>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71"/>
        <w:gridCol w:w="4592"/>
        <w:gridCol w:w="1408"/>
      </w:tblGrid>
      <w:tr w14:paraId="3EDF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93" w:type="dxa"/>
            <w:tcBorders>
              <w:top w:val="single" w:color="auto" w:sz="4" w:space="0"/>
              <w:left w:val="single" w:color="auto" w:sz="4" w:space="0"/>
              <w:bottom w:val="single" w:color="auto" w:sz="4" w:space="0"/>
              <w:right w:val="single" w:color="auto" w:sz="4" w:space="0"/>
            </w:tcBorders>
            <w:vAlign w:val="center"/>
          </w:tcPr>
          <w:p w14:paraId="3E551606">
            <w:pPr>
              <w:spacing w:line="300" w:lineRule="exact"/>
              <w:jc w:val="center"/>
              <w:rPr>
                <w:rFonts w:ascii="仿宋" w:hAnsi="仿宋" w:eastAsia="仿宋" w:cs="仿宋"/>
                <w:b/>
                <w:szCs w:val="21"/>
              </w:rPr>
            </w:pPr>
            <w:r>
              <w:rPr>
                <w:rFonts w:hint="eastAsia" w:ascii="仿宋" w:hAnsi="仿宋" w:eastAsia="仿宋" w:cs="仿宋"/>
                <w:b/>
                <w:szCs w:val="21"/>
              </w:rPr>
              <w:t>序号</w:t>
            </w:r>
          </w:p>
        </w:tc>
        <w:tc>
          <w:tcPr>
            <w:tcW w:w="1911" w:type="dxa"/>
            <w:tcBorders>
              <w:top w:val="single" w:color="auto" w:sz="4" w:space="0"/>
              <w:left w:val="single" w:color="auto" w:sz="4" w:space="0"/>
              <w:bottom w:val="single" w:color="auto" w:sz="4" w:space="0"/>
              <w:right w:val="single" w:color="auto" w:sz="4" w:space="0"/>
            </w:tcBorders>
            <w:vAlign w:val="center"/>
          </w:tcPr>
          <w:p w14:paraId="3DBD6596">
            <w:pPr>
              <w:spacing w:line="300" w:lineRule="exact"/>
              <w:jc w:val="center"/>
              <w:rPr>
                <w:rFonts w:ascii="仿宋" w:hAnsi="仿宋" w:eastAsia="仿宋" w:cs="仿宋"/>
                <w:b/>
                <w:szCs w:val="21"/>
              </w:rPr>
            </w:pPr>
            <w:r>
              <w:rPr>
                <w:rFonts w:hint="eastAsia" w:ascii="仿宋" w:hAnsi="仿宋" w:eastAsia="仿宋" w:cs="仿宋"/>
                <w:b/>
                <w:szCs w:val="21"/>
              </w:rPr>
              <w:t>评审内容及要求</w:t>
            </w:r>
          </w:p>
        </w:tc>
        <w:tc>
          <w:tcPr>
            <w:tcW w:w="4451" w:type="dxa"/>
            <w:tcBorders>
              <w:top w:val="single" w:color="auto" w:sz="4" w:space="0"/>
              <w:left w:val="single" w:color="auto" w:sz="4" w:space="0"/>
              <w:bottom w:val="single" w:color="auto" w:sz="4" w:space="0"/>
              <w:right w:val="single" w:color="auto" w:sz="4" w:space="0"/>
            </w:tcBorders>
            <w:vAlign w:val="center"/>
          </w:tcPr>
          <w:p w14:paraId="67A80AE8">
            <w:pPr>
              <w:spacing w:line="300" w:lineRule="exact"/>
              <w:jc w:val="center"/>
              <w:rPr>
                <w:rFonts w:ascii="仿宋" w:hAnsi="仿宋" w:eastAsia="仿宋" w:cs="仿宋"/>
                <w:b/>
                <w:szCs w:val="21"/>
              </w:rPr>
            </w:pPr>
            <w:r>
              <w:rPr>
                <w:rFonts w:hint="eastAsia" w:ascii="仿宋" w:hAnsi="仿宋" w:eastAsia="仿宋" w:cs="仿宋"/>
                <w:b/>
                <w:szCs w:val="21"/>
              </w:rPr>
              <w:t>分值范围</w:t>
            </w:r>
          </w:p>
        </w:tc>
        <w:tc>
          <w:tcPr>
            <w:tcW w:w="1365" w:type="dxa"/>
            <w:tcBorders>
              <w:top w:val="single" w:color="auto" w:sz="4" w:space="0"/>
              <w:left w:val="single" w:color="auto" w:sz="4" w:space="0"/>
              <w:bottom w:val="single" w:color="auto" w:sz="4" w:space="0"/>
              <w:right w:val="single" w:color="auto" w:sz="4" w:space="0"/>
            </w:tcBorders>
            <w:vAlign w:val="center"/>
          </w:tcPr>
          <w:p w14:paraId="399BF557">
            <w:pPr>
              <w:jc w:val="center"/>
              <w:rPr>
                <w:rFonts w:ascii="仿宋" w:hAnsi="仿宋" w:eastAsia="仿宋" w:cs="仿宋"/>
                <w:b/>
                <w:szCs w:val="21"/>
              </w:rPr>
            </w:pPr>
            <w:r>
              <w:rPr>
                <w:rFonts w:hint="eastAsia" w:ascii="仿宋" w:hAnsi="仿宋" w:eastAsia="仿宋" w:cs="仿宋"/>
                <w:b/>
                <w:szCs w:val="21"/>
              </w:rPr>
              <w:t>投标人1</w:t>
            </w:r>
          </w:p>
        </w:tc>
      </w:tr>
      <w:tr w14:paraId="46F4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exact"/>
        </w:trPr>
        <w:tc>
          <w:tcPr>
            <w:tcW w:w="693" w:type="dxa"/>
            <w:tcBorders>
              <w:top w:val="single" w:color="auto" w:sz="4" w:space="0"/>
              <w:left w:val="single" w:color="auto" w:sz="4" w:space="0"/>
              <w:bottom w:val="single" w:color="auto" w:sz="4" w:space="0"/>
              <w:right w:val="single" w:color="auto" w:sz="4" w:space="0"/>
            </w:tcBorders>
            <w:vAlign w:val="center"/>
          </w:tcPr>
          <w:p w14:paraId="0F96D56C">
            <w:pPr>
              <w:spacing w:line="300" w:lineRule="exact"/>
              <w:jc w:val="center"/>
              <w:rPr>
                <w:rFonts w:ascii="仿宋" w:hAnsi="仿宋" w:eastAsia="仿宋" w:cs="仿宋"/>
                <w:szCs w:val="21"/>
              </w:rPr>
            </w:pPr>
            <w:r>
              <w:rPr>
                <w:rFonts w:hint="eastAsia" w:ascii="仿宋" w:hAnsi="仿宋" w:eastAsia="仿宋" w:cs="仿宋"/>
                <w:szCs w:val="21"/>
              </w:rPr>
              <w:t>1</w:t>
            </w:r>
          </w:p>
        </w:tc>
        <w:tc>
          <w:tcPr>
            <w:tcW w:w="1911" w:type="dxa"/>
            <w:tcBorders>
              <w:top w:val="single" w:color="auto" w:sz="4" w:space="0"/>
              <w:left w:val="single" w:color="auto" w:sz="4" w:space="0"/>
              <w:bottom w:val="single" w:color="auto" w:sz="4" w:space="0"/>
              <w:right w:val="single" w:color="auto" w:sz="4" w:space="0"/>
            </w:tcBorders>
            <w:vAlign w:val="center"/>
          </w:tcPr>
          <w:p w14:paraId="1426DDD6">
            <w:pPr>
              <w:pStyle w:val="18"/>
              <w:jc w:val="center"/>
              <w:rPr>
                <w:rFonts w:ascii="仿宋" w:hAnsi="仿宋" w:eastAsia="仿宋" w:cs="仿宋"/>
                <w:szCs w:val="21"/>
              </w:rPr>
            </w:pPr>
            <w:r>
              <w:rPr>
                <w:rFonts w:hint="eastAsia" w:ascii="仿宋" w:hAnsi="仿宋" w:eastAsia="仿宋" w:cs="仿宋"/>
                <w:szCs w:val="21"/>
              </w:rPr>
              <w:t>项目服务方案</w:t>
            </w:r>
          </w:p>
          <w:p w14:paraId="601A5278">
            <w:pPr>
              <w:pStyle w:val="18"/>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6</w:t>
            </w:r>
            <w:r>
              <w:rPr>
                <w:rFonts w:hint="eastAsia" w:ascii="仿宋" w:hAnsi="仿宋" w:eastAsia="仿宋" w:cs="仿宋"/>
                <w:szCs w:val="21"/>
              </w:rPr>
              <w:t>分）</w:t>
            </w:r>
          </w:p>
        </w:tc>
        <w:tc>
          <w:tcPr>
            <w:tcW w:w="4451" w:type="dxa"/>
            <w:tcBorders>
              <w:top w:val="single" w:color="auto" w:sz="4" w:space="0"/>
              <w:left w:val="single" w:color="auto" w:sz="4" w:space="0"/>
              <w:bottom w:val="single" w:color="auto" w:sz="4" w:space="0"/>
              <w:right w:val="single" w:color="auto" w:sz="4" w:space="0"/>
            </w:tcBorders>
          </w:tcPr>
          <w:p w14:paraId="03A85AEE">
            <w:pPr>
              <w:pStyle w:val="18"/>
              <w:numPr>
                <w:ilvl w:val="0"/>
                <w:numId w:val="6"/>
              </w:numPr>
              <w:spacing w:after="120"/>
              <w:jc w:val="both"/>
              <w:rPr>
                <w:rFonts w:ascii="仿宋" w:hAnsi="仿宋" w:eastAsia="仿宋" w:cs="仿宋"/>
                <w:color w:val="000000"/>
                <w:szCs w:val="21"/>
              </w:rPr>
            </w:pPr>
            <w:r>
              <w:rPr>
                <w:rFonts w:hint="eastAsia" w:ascii="仿宋" w:hAnsi="仿宋" w:eastAsia="仿宋" w:cs="仿宋"/>
                <w:color w:val="000000"/>
                <w:szCs w:val="21"/>
              </w:rPr>
              <w:t>方案内容完整、科学合理、清晰准确，得</w:t>
            </w:r>
            <w:r>
              <w:rPr>
                <w:rFonts w:ascii="仿宋" w:hAnsi="仿宋" w:eastAsia="仿宋" w:cs="仿宋"/>
                <w:color w:val="000000"/>
                <w:szCs w:val="21"/>
              </w:rPr>
              <w:t>5-6</w:t>
            </w:r>
            <w:r>
              <w:rPr>
                <w:rFonts w:hint="eastAsia" w:ascii="仿宋" w:hAnsi="仿宋" w:eastAsia="仿宋" w:cs="仿宋"/>
                <w:color w:val="000000"/>
                <w:szCs w:val="21"/>
              </w:rPr>
              <w:t>分。</w:t>
            </w:r>
          </w:p>
          <w:p w14:paraId="47C3E494">
            <w:pPr>
              <w:pStyle w:val="18"/>
              <w:numPr>
                <w:ilvl w:val="0"/>
                <w:numId w:val="6"/>
              </w:numPr>
              <w:spacing w:after="120"/>
              <w:jc w:val="both"/>
              <w:rPr>
                <w:rFonts w:ascii="仿宋" w:hAnsi="仿宋" w:eastAsia="仿宋" w:cs="仿宋"/>
                <w:color w:val="000000"/>
                <w:szCs w:val="21"/>
              </w:rPr>
            </w:pPr>
            <w:r>
              <w:rPr>
                <w:rFonts w:hint="eastAsia" w:ascii="仿宋" w:hAnsi="仿宋" w:eastAsia="仿宋" w:cs="仿宋"/>
                <w:color w:val="000000"/>
                <w:szCs w:val="21"/>
              </w:rPr>
              <w:t>方案内容较为完整、较为合理、较为清晰，得</w:t>
            </w:r>
            <w:r>
              <w:rPr>
                <w:rFonts w:ascii="仿宋" w:hAnsi="仿宋" w:eastAsia="仿宋" w:cs="仿宋"/>
                <w:color w:val="000000"/>
                <w:szCs w:val="21"/>
              </w:rPr>
              <w:t>3-4</w:t>
            </w:r>
            <w:r>
              <w:rPr>
                <w:rFonts w:hint="eastAsia" w:ascii="仿宋" w:hAnsi="仿宋" w:eastAsia="仿宋" w:cs="仿宋"/>
                <w:color w:val="000000"/>
                <w:szCs w:val="21"/>
              </w:rPr>
              <w:t>分。</w:t>
            </w:r>
          </w:p>
          <w:p w14:paraId="70C1C08C">
            <w:pPr>
              <w:pStyle w:val="18"/>
              <w:numPr>
                <w:ilvl w:val="0"/>
                <w:numId w:val="6"/>
              </w:numPr>
              <w:spacing w:after="120"/>
              <w:jc w:val="both"/>
              <w:rPr>
                <w:rFonts w:ascii="仿宋" w:hAnsi="仿宋" w:eastAsia="仿宋" w:cs="仿宋"/>
                <w:color w:val="000000"/>
                <w:szCs w:val="21"/>
              </w:rPr>
            </w:pPr>
            <w:r>
              <w:rPr>
                <w:rFonts w:hint="eastAsia" w:ascii="仿宋" w:hAnsi="仿宋" w:eastAsia="仿宋" w:cs="仿宋"/>
                <w:color w:val="000000"/>
                <w:szCs w:val="21"/>
              </w:rPr>
              <w:t>方案内容有部分缺少、基本合理、基本清晰，得</w:t>
            </w:r>
            <w:r>
              <w:rPr>
                <w:rFonts w:ascii="仿宋" w:hAnsi="仿宋" w:eastAsia="仿宋" w:cs="仿宋"/>
                <w:color w:val="000000"/>
                <w:szCs w:val="21"/>
              </w:rPr>
              <w:t>1-2</w:t>
            </w:r>
            <w:r>
              <w:rPr>
                <w:rFonts w:hint="eastAsia" w:ascii="仿宋" w:hAnsi="仿宋" w:eastAsia="仿宋" w:cs="仿宋"/>
                <w:color w:val="000000"/>
                <w:szCs w:val="21"/>
              </w:rPr>
              <w:t>分。</w:t>
            </w:r>
          </w:p>
          <w:p w14:paraId="165CB6EE">
            <w:pPr>
              <w:pStyle w:val="18"/>
              <w:numPr>
                <w:ilvl w:val="0"/>
                <w:numId w:val="6"/>
              </w:numPr>
              <w:spacing w:after="120"/>
              <w:jc w:val="both"/>
              <w:rPr>
                <w:rFonts w:ascii="仿宋" w:hAnsi="仿宋" w:eastAsia="仿宋" w:cs="仿宋"/>
                <w:color w:val="000000"/>
                <w:szCs w:val="21"/>
              </w:rPr>
            </w:pPr>
            <w:r>
              <w:rPr>
                <w:rFonts w:hint="eastAsia" w:ascii="仿宋" w:hAnsi="仿宋" w:eastAsia="仿宋" w:cs="仿宋"/>
                <w:color w:val="000000"/>
                <w:szCs w:val="21"/>
              </w:rPr>
              <w:t>方案存在内容严重缺失、不合理、不清晰任一情形的，不得分。</w:t>
            </w:r>
          </w:p>
          <w:p w14:paraId="44D65C03">
            <w:pPr>
              <w:pStyle w:val="18"/>
              <w:rPr>
                <w:rFonts w:ascii="仿宋" w:hAnsi="仿宋" w:eastAsia="仿宋" w:cs="仿宋"/>
                <w:color w:val="000000"/>
                <w:szCs w:val="21"/>
              </w:rPr>
            </w:pPr>
            <w:r>
              <w:rPr>
                <w:rFonts w:hint="eastAsia" w:ascii="仿宋" w:hAnsi="仿宋" w:eastAsia="仿宋" w:cs="仿宋"/>
                <w:color w:val="000000"/>
                <w:szCs w:val="21"/>
              </w:rPr>
              <w:t>5、不提供不得分。</w:t>
            </w:r>
          </w:p>
        </w:tc>
        <w:tc>
          <w:tcPr>
            <w:tcW w:w="1365" w:type="dxa"/>
            <w:tcBorders>
              <w:top w:val="single" w:color="auto" w:sz="4" w:space="0"/>
              <w:left w:val="single" w:color="auto" w:sz="4" w:space="0"/>
              <w:bottom w:val="single" w:color="auto" w:sz="4" w:space="0"/>
              <w:right w:val="single" w:color="auto" w:sz="4" w:space="0"/>
            </w:tcBorders>
            <w:vAlign w:val="center"/>
          </w:tcPr>
          <w:p w14:paraId="225612B5">
            <w:pPr>
              <w:jc w:val="center"/>
              <w:rPr>
                <w:rFonts w:ascii="仿宋" w:hAnsi="仿宋" w:eastAsia="仿宋" w:cs="仿宋"/>
                <w:szCs w:val="21"/>
              </w:rPr>
            </w:pPr>
          </w:p>
        </w:tc>
      </w:tr>
      <w:tr w14:paraId="4865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exact"/>
        </w:trPr>
        <w:tc>
          <w:tcPr>
            <w:tcW w:w="693" w:type="dxa"/>
            <w:tcBorders>
              <w:top w:val="single" w:color="auto" w:sz="4" w:space="0"/>
              <w:left w:val="single" w:color="auto" w:sz="4" w:space="0"/>
              <w:bottom w:val="single" w:color="auto" w:sz="4" w:space="0"/>
              <w:right w:val="single" w:color="auto" w:sz="4" w:space="0"/>
            </w:tcBorders>
            <w:vAlign w:val="center"/>
          </w:tcPr>
          <w:p w14:paraId="2994D657">
            <w:pPr>
              <w:jc w:val="center"/>
              <w:rPr>
                <w:rFonts w:ascii="仿宋" w:hAnsi="仿宋" w:eastAsia="仿宋" w:cs="仿宋"/>
                <w:szCs w:val="21"/>
              </w:rPr>
            </w:pPr>
            <w:r>
              <w:rPr>
                <w:rFonts w:hint="eastAsia" w:ascii="仿宋" w:hAnsi="仿宋" w:eastAsia="仿宋" w:cs="仿宋"/>
                <w:szCs w:val="21"/>
              </w:rPr>
              <w:t>2</w:t>
            </w:r>
          </w:p>
        </w:tc>
        <w:tc>
          <w:tcPr>
            <w:tcW w:w="1911" w:type="dxa"/>
            <w:tcBorders>
              <w:top w:val="single" w:color="auto" w:sz="4" w:space="0"/>
              <w:left w:val="single" w:color="auto" w:sz="4" w:space="0"/>
              <w:bottom w:val="single" w:color="auto" w:sz="4" w:space="0"/>
              <w:right w:val="single" w:color="auto" w:sz="4" w:space="0"/>
            </w:tcBorders>
            <w:vAlign w:val="center"/>
          </w:tcPr>
          <w:p w14:paraId="06F51C62">
            <w:pPr>
              <w:jc w:val="center"/>
              <w:textAlignment w:val="center"/>
              <w:rPr>
                <w:rFonts w:ascii="仿宋" w:hAnsi="仿宋" w:eastAsia="仿宋" w:cs="仿宋"/>
                <w:szCs w:val="21"/>
              </w:rPr>
            </w:pPr>
            <w:r>
              <w:rPr>
                <w:rFonts w:hint="eastAsia" w:ascii="仿宋" w:hAnsi="仿宋" w:eastAsia="仿宋" w:cs="仿宋"/>
                <w:szCs w:val="21"/>
              </w:rPr>
              <w:t>项目重点难点分析、应对措施及相关的合理化建议</w:t>
            </w:r>
          </w:p>
          <w:p w14:paraId="54D9A3B9">
            <w:pPr>
              <w:jc w:val="center"/>
              <w:textAlignment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6</w:t>
            </w:r>
            <w:r>
              <w:rPr>
                <w:rFonts w:hint="eastAsia" w:ascii="仿宋" w:hAnsi="仿宋" w:eastAsia="仿宋" w:cs="仿宋"/>
                <w:szCs w:val="21"/>
              </w:rPr>
              <w:t>分）</w:t>
            </w:r>
          </w:p>
        </w:tc>
        <w:tc>
          <w:tcPr>
            <w:tcW w:w="4451" w:type="dxa"/>
            <w:tcBorders>
              <w:top w:val="single" w:color="auto" w:sz="4" w:space="0"/>
              <w:left w:val="single" w:color="auto" w:sz="4" w:space="0"/>
              <w:bottom w:val="single" w:color="auto" w:sz="4" w:space="0"/>
              <w:right w:val="single" w:color="auto" w:sz="4" w:space="0"/>
            </w:tcBorders>
            <w:vAlign w:val="center"/>
          </w:tcPr>
          <w:p w14:paraId="22BD3E94">
            <w:pPr>
              <w:pStyle w:val="18"/>
              <w:numPr>
                <w:ilvl w:val="0"/>
                <w:numId w:val="7"/>
              </w:numPr>
              <w:spacing w:after="120"/>
              <w:jc w:val="both"/>
              <w:rPr>
                <w:rFonts w:ascii="仿宋" w:hAnsi="仿宋" w:eastAsia="仿宋" w:cs="仿宋"/>
                <w:color w:val="000000"/>
                <w:szCs w:val="21"/>
              </w:rPr>
            </w:pPr>
            <w:r>
              <w:rPr>
                <w:rFonts w:hint="eastAsia" w:ascii="仿宋" w:hAnsi="仿宋" w:eastAsia="仿宋" w:cs="仿宋"/>
                <w:color w:val="000000"/>
                <w:szCs w:val="21"/>
              </w:rPr>
              <w:t>内容完整、科学合理、清晰准确，得</w:t>
            </w:r>
            <w:r>
              <w:rPr>
                <w:rFonts w:ascii="仿宋" w:hAnsi="仿宋" w:eastAsia="仿宋" w:cs="仿宋"/>
                <w:color w:val="000000"/>
                <w:szCs w:val="21"/>
              </w:rPr>
              <w:t>5-6</w:t>
            </w:r>
            <w:r>
              <w:rPr>
                <w:rFonts w:hint="eastAsia" w:ascii="仿宋" w:hAnsi="仿宋" w:eastAsia="仿宋" w:cs="仿宋"/>
                <w:color w:val="000000"/>
                <w:szCs w:val="21"/>
              </w:rPr>
              <w:t>分。</w:t>
            </w:r>
          </w:p>
          <w:p w14:paraId="27F6E178">
            <w:pPr>
              <w:pStyle w:val="18"/>
              <w:numPr>
                <w:ilvl w:val="0"/>
                <w:numId w:val="7"/>
              </w:numPr>
              <w:spacing w:after="120"/>
              <w:jc w:val="both"/>
              <w:rPr>
                <w:rFonts w:ascii="仿宋" w:hAnsi="仿宋" w:eastAsia="仿宋" w:cs="仿宋"/>
                <w:color w:val="000000"/>
                <w:szCs w:val="21"/>
              </w:rPr>
            </w:pPr>
            <w:r>
              <w:rPr>
                <w:rFonts w:hint="eastAsia" w:ascii="仿宋" w:hAnsi="仿宋" w:eastAsia="仿宋" w:cs="仿宋"/>
                <w:color w:val="000000"/>
                <w:szCs w:val="21"/>
              </w:rPr>
              <w:t>内容较为完整、较为合理、较为清晰，得</w:t>
            </w:r>
            <w:r>
              <w:rPr>
                <w:rFonts w:ascii="仿宋" w:hAnsi="仿宋" w:eastAsia="仿宋" w:cs="仿宋"/>
                <w:color w:val="000000"/>
                <w:szCs w:val="21"/>
              </w:rPr>
              <w:t>3-4</w:t>
            </w:r>
            <w:r>
              <w:rPr>
                <w:rFonts w:hint="eastAsia" w:ascii="仿宋" w:hAnsi="仿宋" w:eastAsia="仿宋" w:cs="仿宋"/>
                <w:color w:val="000000"/>
                <w:szCs w:val="21"/>
              </w:rPr>
              <w:t>分。</w:t>
            </w:r>
          </w:p>
          <w:p w14:paraId="2432D377">
            <w:pPr>
              <w:pStyle w:val="18"/>
              <w:numPr>
                <w:ilvl w:val="0"/>
                <w:numId w:val="7"/>
              </w:numPr>
              <w:spacing w:after="120"/>
              <w:jc w:val="both"/>
              <w:rPr>
                <w:rFonts w:ascii="仿宋" w:hAnsi="仿宋" w:eastAsia="仿宋" w:cs="仿宋"/>
                <w:color w:val="000000"/>
                <w:szCs w:val="21"/>
              </w:rPr>
            </w:pPr>
            <w:r>
              <w:rPr>
                <w:rFonts w:hint="eastAsia" w:ascii="仿宋" w:hAnsi="仿宋" w:eastAsia="仿宋" w:cs="仿宋"/>
                <w:color w:val="000000"/>
                <w:szCs w:val="21"/>
              </w:rPr>
              <w:t>内容有部分缺少、基本合理、基本清晰，得</w:t>
            </w:r>
            <w:r>
              <w:rPr>
                <w:rFonts w:ascii="仿宋" w:hAnsi="仿宋" w:eastAsia="仿宋" w:cs="仿宋"/>
                <w:color w:val="000000"/>
                <w:szCs w:val="21"/>
              </w:rPr>
              <w:t>1-2</w:t>
            </w:r>
            <w:r>
              <w:rPr>
                <w:rFonts w:hint="eastAsia" w:ascii="仿宋" w:hAnsi="仿宋" w:eastAsia="仿宋" w:cs="仿宋"/>
                <w:color w:val="000000"/>
                <w:szCs w:val="21"/>
              </w:rPr>
              <w:t>分。</w:t>
            </w:r>
          </w:p>
          <w:p w14:paraId="7438D554">
            <w:pPr>
              <w:pStyle w:val="18"/>
              <w:numPr>
                <w:ilvl w:val="0"/>
                <w:numId w:val="7"/>
              </w:numPr>
              <w:spacing w:after="120"/>
              <w:jc w:val="both"/>
              <w:rPr>
                <w:rFonts w:ascii="仿宋" w:hAnsi="仿宋" w:eastAsia="仿宋" w:cs="仿宋"/>
                <w:color w:val="000000"/>
                <w:szCs w:val="21"/>
              </w:rPr>
            </w:pPr>
            <w:r>
              <w:rPr>
                <w:rFonts w:hint="eastAsia" w:ascii="仿宋" w:hAnsi="仿宋" w:eastAsia="仿宋" w:cs="仿宋"/>
                <w:color w:val="000000"/>
                <w:szCs w:val="21"/>
              </w:rPr>
              <w:t>存在内容严重缺失、不合理、不清晰任一情形的，不得分。</w:t>
            </w:r>
          </w:p>
          <w:p w14:paraId="794B170C">
            <w:pPr>
              <w:spacing w:line="300" w:lineRule="exact"/>
              <w:rPr>
                <w:rFonts w:ascii="仿宋" w:hAnsi="仿宋" w:eastAsia="仿宋" w:cs="仿宋"/>
                <w:b/>
                <w:szCs w:val="21"/>
              </w:rPr>
            </w:pPr>
            <w:r>
              <w:rPr>
                <w:rFonts w:hint="eastAsia" w:ascii="仿宋" w:hAnsi="仿宋" w:eastAsia="仿宋" w:cs="仿宋"/>
                <w:color w:val="000000"/>
                <w:szCs w:val="21"/>
              </w:rPr>
              <w:t>5、不提供不得分。</w:t>
            </w:r>
          </w:p>
        </w:tc>
        <w:tc>
          <w:tcPr>
            <w:tcW w:w="1365" w:type="dxa"/>
            <w:tcBorders>
              <w:top w:val="single" w:color="auto" w:sz="4" w:space="0"/>
              <w:left w:val="single" w:color="auto" w:sz="4" w:space="0"/>
              <w:bottom w:val="single" w:color="auto" w:sz="4" w:space="0"/>
              <w:right w:val="single" w:color="auto" w:sz="4" w:space="0"/>
            </w:tcBorders>
            <w:vAlign w:val="center"/>
          </w:tcPr>
          <w:p w14:paraId="680F7ADB">
            <w:pPr>
              <w:jc w:val="center"/>
              <w:rPr>
                <w:rFonts w:ascii="仿宋" w:hAnsi="仿宋" w:eastAsia="仿宋" w:cs="仿宋"/>
                <w:szCs w:val="21"/>
              </w:rPr>
            </w:pPr>
          </w:p>
        </w:tc>
      </w:tr>
      <w:tr w14:paraId="0C6D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exact"/>
        </w:trPr>
        <w:tc>
          <w:tcPr>
            <w:tcW w:w="693" w:type="dxa"/>
            <w:tcBorders>
              <w:top w:val="single" w:color="auto" w:sz="4" w:space="0"/>
              <w:left w:val="single" w:color="auto" w:sz="4" w:space="0"/>
              <w:bottom w:val="single" w:color="auto" w:sz="4" w:space="0"/>
              <w:right w:val="single" w:color="auto" w:sz="4" w:space="0"/>
            </w:tcBorders>
            <w:vAlign w:val="center"/>
          </w:tcPr>
          <w:p w14:paraId="2423B8C6">
            <w:pPr>
              <w:jc w:val="center"/>
              <w:rPr>
                <w:rFonts w:ascii="仿宋" w:hAnsi="仿宋" w:eastAsia="仿宋" w:cs="仿宋"/>
                <w:szCs w:val="21"/>
              </w:rPr>
            </w:pPr>
            <w:r>
              <w:rPr>
                <w:rFonts w:hint="eastAsia" w:ascii="仿宋" w:hAnsi="仿宋" w:eastAsia="仿宋" w:cs="仿宋"/>
                <w:szCs w:val="21"/>
              </w:rPr>
              <w:t>3</w:t>
            </w:r>
          </w:p>
        </w:tc>
        <w:tc>
          <w:tcPr>
            <w:tcW w:w="1911" w:type="dxa"/>
            <w:tcBorders>
              <w:top w:val="single" w:color="auto" w:sz="4" w:space="0"/>
              <w:left w:val="single" w:color="auto" w:sz="4" w:space="0"/>
              <w:bottom w:val="single" w:color="auto" w:sz="4" w:space="0"/>
              <w:right w:val="single" w:color="auto" w:sz="4" w:space="0"/>
            </w:tcBorders>
            <w:vAlign w:val="center"/>
          </w:tcPr>
          <w:p w14:paraId="3A6D2022">
            <w:pPr>
              <w:jc w:val="center"/>
              <w:textAlignment w:val="center"/>
              <w:rPr>
                <w:rFonts w:ascii="仿宋" w:hAnsi="仿宋" w:eastAsia="仿宋" w:cs="仿宋"/>
                <w:szCs w:val="21"/>
              </w:rPr>
            </w:pPr>
            <w:r>
              <w:rPr>
                <w:rFonts w:hint="eastAsia" w:ascii="仿宋" w:hAnsi="仿宋" w:eastAsia="仿宋" w:cs="仿宋"/>
                <w:szCs w:val="21"/>
              </w:rPr>
              <w:t>质量保障措施</w:t>
            </w:r>
          </w:p>
          <w:p w14:paraId="4F06B216">
            <w:pPr>
              <w:jc w:val="center"/>
              <w:textAlignment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6</w:t>
            </w:r>
            <w:r>
              <w:rPr>
                <w:rFonts w:hint="eastAsia" w:ascii="仿宋" w:hAnsi="仿宋" w:eastAsia="仿宋" w:cs="仿宋"/>
                <w:szCs w:val="21"/>
              </w:rPr>
              <w:t>分）</w:t>
            </w:r>
          </w:p>
        </w:tc>
        <w:tc>
          <w:tcPr>
            <w:tcW w:w="4451" w:type="dxa"/>
            <w:tcBorders>
              <w:top w:val="single" w:color="auto" w:sz="4" w:space="0"/>
              <w:left w:val="single" w:color="auto" w:sz="4" w:space="0"/>
              <w:bottom w:val="single" w:color="auto" w:sz="4" w:space="0"/>
              <w:right w:val="single" w:color="auto" w:sz="4" w:space="0"/>
            </w:tcBorders>
            <w:vAlign w:val="center"/>
          </w:tcPr>
          <w:p w14:paraId="360DFFEA">
            <w:pPr>
              <w:widowControl/>
              <w:numPr>
                <w:ilvl w:val="0"/>
                <w:numId w:val="8"/>
              </w:numPr>
              <w:spacing w:line="300" w:lineRule="exact"/>
              <w:rPr>
                <w:rFonts w:ascii="仿宋" w:hAnsi="仿宋" w:eastAsia="仿宋" w:cs="仿宋"/>
                <w:color w:val="000000"/>
                <w:szCs w:val="21"/>
              </w:rPr>
            </w:pPr>
            <w:r>
              <w:rPr>
                <w:rFonts w:hint="eastAsia" w:ascii="仿宋" w:hAnsi="仿宋" w:eastAsia="仿宋" w:cs="仿宋"/>
                <w:color w:val="000000"/>
                <w:szCs w:val="21"/>
              </w:rPr>
              <w:t>方案内容完整、科学合理、清晰准确，得</w:t>
            </w:r>
            <w:r>
              <w:rPr>
                <w:rFonts w:ascii="仿宋" w:hAnsi="仿宋" w:eastAsia="仿宋" w:cs="仿宋"/>
                <w:color w:val="000000"/>
                <w:szCs w:val="21"/>
              </w:rPr>
              <w:t>5-6</w:t>
            </w:r>
            <w:r>
              <w:rPr>
                <w:rFonts w:hint="eastAsia" w:ascii="仿宋" w:hAnsi="仿宋" w:eastAsia="仿宋" w:cs="仿宋"/>
                <w:color w:val="000000"/>
                <w:szCs w:val="21"/>
              </w:rPr>
              <w:t>分。</w:t>
            </w:r>
          </w:p>
          <w:p w14:paraId="78183945">
            <w:pPr>
              <w:widowControl/>
              <w:numPr>
                <w:ilvl w:val="0"/>
                <w:numId w:val="8"/>
              </w:numPr>
              <w:spacing w:line="300" w:lineRule="exact"/>
              <w:rPr>
                <w:rFonts w:ascii="仿宋" w:hAnsi="仿宋" w:eastAsia="仿宋" w:cs="仿宋"/>
                <w:color w:val="000000"/>
                <w:szCs w:val="21"/>
              </w:rPr>
            </w:pPr>
            <w:r>
              <w:rPr>
                <w:rFonts w:hint="eastAsia" w:ascii="仿宋" w:hAnsi="仿宋" w:eastAsia="仿宋" w:cs="仿宋"/>
                <w:color w:val="000000"/>
                <w:szCs w:val="21"/>
              </w:rPr>
              <w:t>方案内容较为完整、较为合理、较为清晰，得</w:t>
            </w:r>
            <w:r>
              <w:rPr>
                <w:rFonts w:ascii="仿宋" w:hAnsi="仿宋" w:eastAsia="仿宋" w:cs="仿宋"/>
                <w:color w:val="000000"/>
                <w:szCs w:val="21"/>
              </w:rPr>
              <w:t>3-4</w:t>
            </w:r>
            <w:r>
              <w:rPr>
                <w:rFonts w:hint="eastAsia" w:ascii="仿宋" w:hAnsi="仿宋" w:eastAsia="仿宋" w:cs="仿宋"/>
                <w:color w:val="000000"/>
                <w:szCs w:val="21"/>
              </w:rPr>
              <w:t>分。</w:t>
            </w:r>
          </w:p>
          <w:p w14:paraId="22968878">
            <w:pPr>
              <w:widowControl/>
              <w:numPr>
                <w:ilvl w:val="0"/>
                <w:numId w:val="8"/>
              </w:numPr>
              <w:spacing w:line="300" w:lineRule="exact"/>
              <w:rPr>
                <w:rFonts w:ascii="仿宋" w:hAnsi="仿宋" w:eastAsia="仿宋" w:cs="仿宋"/>
                <w:color w:val="000000"/>
                <w:szCs w:val="21"/>
              </w:rPr>
            </w:pPr>
            <w:r>
              <w:rPr>
                <w:rFonts w:hint="eastAsia" w:ascii="仿宋" w:hAnsi="仿宋" w:eastAsia="仿宋" w:cs="仿宋"/>
                <w:color w:val="000000"/>
                <w:szCs w:val="21"/>
              </w:rPr>
              <w:t>方案内容有部分缺少、基本合理、基本清晰，得</w:t>
            </w:r>
            <w:r>
              <w:rPr>
                <w:rFonts w:ascii="仿宋" w:hAnsi="仿宋" w:eastAsia="仿宋" w:cs="仿宋"/>
                <w:color w:val="000000"/>
                <w:szCs w:val="21"/>
              </w:rPr>
              <w:t>1-2</w:t>
            </w:r>
            <w:r>
              <w:rPr>
                <w:rFonts w:hint="eastAsia" w:ascii="仿宋" w:hAnsi="仿宋" w:eastAsia="仿宋" w:cs="仿宋"/>
                <w:color w:val="000000"/>
                <w:szCs w:val="21"/>
              </w:rPr>
              <w:t>分。</w:t>
            </w:r>
          </w:p>
          <w:p w14:paraId="6BE36DAA">
            <w:pPr>
              <w:widowControl/>
              <w:numPr>
                <w:ilvl w:val="0"/>
                <w:numId w:val="8"/>
              </w:numPr>
              <w:spacing w:line="300" w:lineRule="exact"/>
              <w:rPr>
                <w:rFonts w:ascii="仿宋" w:hAnsi="仿宋" w:eastAsia="仿宋" w:cs="仿宋"/>
                <w:color w:val="000000"/>
                <w:szCs w:val="21"/>
              </w:rPr>
            </w:pPr>
            <w:r>
              <w:rPr>
                <w:rFonts w:hint="eastAsia" w:ascii="仿宋" w:hAnsi="仿宋" w:eastAsia="仿宋" w:cs="仿宋"/>
                <w:color w:val="000000"/>
                <w:szCs w:val="21"/>
              </w:rPr>
              <w:t>方案存在内容严重缺失、不合理、不清晰任一情形的，不得分。</w:t>
            </w:r>
          </w:p>
          <w:p w14:paraId="1EA13021">
            <w:pPr>
              <w:widowControl/>
              <w:numPr>
                <w:ilvl w:val="0"/>
                <w:numId w:val="8"/>
              </w:numPr>
              <w:spacing w:line="300" w:lineRule="exact"/>
              <w:rPr>
                <w:rFonts w:ascii="仿宋" w:hAnsi="仿宋" w:eastAsia="仿宋" w:cs="仿宋"/>
                <w:color w:val="000000"/>
                <w:szCs w:val="21"/>
              </w:rPr>
            </w:pPr>
            <w:r>
              <w:rPr>
                <w:rFonts w:hint="eastAsia" w:ascii="仿宋" w:hAnsi="仿宋" w:eastAsia="仿宋" w:cs="仿宋"/>
                <w:color w:val="000000"/>
                <w:szCs w:val="21"/>
              </w:rPr>
              <w:t>不提供不得分。</w:t>
            </w:r>
          </w:p>
        </w:tc>
        <w:tc>
          <w:tcPr>
            <w:tcW w:w="1365" w:type="dxa"/>
            <w:tcBorders>
              <w:top w:val="single" w:color="auto" w:sz="4" w:space="0"/>
              <w:left w:val="single" w:color="auto" w:sz="4" w:space="0"/>
              <w:bottom w:val="single" w:color="auto" w:sz="4" w:space="0"/>
              <w:right w:val="single" w:color="auto" w:sz="4" w:space="0"/>
            </w:tcBorders>
            <w:vAlign w:val="center"/>
          </w:tcPr>
          <w:p w14:paraId="2C48DA2A">
            <w:pPr>
              <w:pStyle w:val="18"/>
              <w:jc w:val="center"/>
              <w:rPr>
                <w:rFonts w:ascii="仿宋" w:hAnsi="仿宋" w:eastAsia="仿宋" w:cs="仿宋"/>
                <w:color w:val="000000"/>
                <w:szCs w:val="21"/>
              </w:rPr>
            </w:pPr>
          </w:p>
        </w:tc>
      </w:tr>
      <w:tr w14:paraId="2072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693" w:type="dxa"/>
            <w:vMerge w:val="restart"/>
            <w:tcBorders>
              <w:top w:val="single" w:color="auto" w:sz="4" w:space="0"/>
              <w:left w:val="single" w:color="auto" w:sz="4" w:space="0"/>
              <w:bottom w:val="single" w:color="auto" w:sz="4" w:space="0"/>
              <w:right w:val="single" w:color="auto" w:sz="4" w:space="0"/>
            </w:tcBorders>
            <w:vAlign w:val="center"/>
          </w:tcPr>
          <w:p w14:paraId="7DDD7A68">
            <w:pPr>
              <w:jc w:val="center"/>
              <w:rPr>
                <w:rFonts w:ascii="仿宋" w:hAnsi="仿宋" w:eastAsia="仿宋" w:cs="仿宋"/>
                <w:szCs w:val="21"/>
              </w:rPr>
            </w:pPr>
            <w:r>
              <w:rPr>
                <w:rFonts w:hint="eastAsia" w:ascii="仿宋" w:hAnsi="仿宋" w:eastAsia="仿宋" w:cs="仿宋"/>
                <w:szCs w:val="21"/>
              </w:rPr>
              <w:t>4</w:t>
            </w:r>
          </w:p>
        </w:tc>
        <w:tc>
          <w:tcPr>
            <w:tcW w:w="1911" w:type="dxa"/>
            <w:vMerge w:val="restart"/>
            <w:tcBorders>
              <w:top w:val="single" w:color="auto" w:sz="4" w:space="0"/>
              <w:left w:val="single" w:color="auto" w:sz="4" w:space="0"/>
              <w:bottom w:val="single" w:color="auto" w:sz="4" w:space="0"/>
              <w:right w:val="single" w:color="auto" w:sz="4" w:space="0"/>
            </w:tcBorders>
            <w:vAlign w:val="center"/>
          </w:tcPr>
          <w:p w14:paraId="4318FD26">
            <w:pPr>
              <w:jc w:val="center"/>
              <w:rPr>
                <w:rFonts w:ascii="仿宋" w:hAnsi="仿宋" w:eastAsia="仿宋" w:cs="仿宋"/>
                <w:color w:val="000000"/>
                <w:kern w:val="0"/>
                <w:szCs w:val="21"/>
              </w:rPr>
            </w:pPr>
            <w:r>
              <w:rPr>
                <w:rFonts w:hint="eastAsia" w:ascii="仿宋" w:hAnsi="仿宋" w:eastAsia="仿宋" w:cs="仿宋"/>
                <w:color w:val="000000"/>
                <w:kern w:val="0"/>
                <w:szCs w:val="21"/>
              </w:rPr>
              <w:t>拟派项目负责人能力</w:t>
            </w:r>
          </w:p>
          <w:p w14:paraId="4CAF59BE">
            <w:pPr>
              <w:jc w:val="center"/>
              <w:textAlignment w:val="center"/>
              <w:rPr>
                <w:rFonts w:ascii="仿宋" w:hAnsi="仿宋" w:eastAsia="仿宋" w:cs="仿宋"/>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6</w:t>
            </w:r>
            <w:r>
              <w:rPr>
                <w:rFonts w:hint="eastAsia" w:ascii="仿宋" w:hAnsi="仿宋" w:eastAsia="仿宋" w:cs="仿宋"/>
                <w:color w:val="000000"/>
                <w:kern w:val="0"/>
                <w:szCs w:val="21"/>
              </w:rPr>
              <w:t>分）</w:t>
            </w:r>
          </w:p>
        </w:tc>
        <w:tc>
          <w:tcPr>
            <w:tcW w:w="4451" w:type="dxa"/>
            <w:tcBorders>
              <w:top w:val="single" w:color="auto" w:sz="4" w:space="0"/>
              <w:left w:val="single" w:color="auto" w:sz="4" w:space="0"/>
              <w:bottom w:val="single" w:color="auto" w:sz="4" w:space="0"/>
              <w:right w:val="single" w:color="auto" w:sz="4" w:space="0"/>
            </w:tcBorders>
            <w:vAlign w:val="center"/>
          </w:tcPr>
          <w:p w14:paraId="047EA354">
            <w:pPr>
              <w:rPr>
                <w:rFonts w:ascii="仿宋" w:hAnsi="仿宋" w:eastAsia="仿宋" w:cs="仿宋"/>
                <w:b/>
                <w:szCs w:val="21"/>
              </w:rPr>
            </w:pPr>
            <w:r>
              <w:rPr>
                <w:rFonts w:hint="eastAsia" w:ascii="仿宋" w:hAnsi="仿宋" w:eastAsia="仿宋" w:cs="仿宋"/>
                <w:b/>
                <w:bCs/>
                <w:color w:val="000000"/>
                <w:szCs w:val="21"/>
              </w:rPr>
              <w:t>拟派项目负责人综合素质，得0-</w:t>
            </w:r>
            <w:r>
              <w:rPr>
                <w:rFonts w:ascii="仿宋" w:hAnsi="仿宋" w:eastAsia="仿宋" w:cs="仿宋"/>
                <w:b/>
                <w:bCs/>
                <w:color w:val="000000"/>
                <w:szCs w:val="21"/>
              </w:rPr>
              <w:t>2</w:t>
            </w:r>
            <w:r>
              <w:rPr>
                <w:rFonts w:hint="eastAsia" w:ascii="仿宋" w:hAnsi="仿宋" w:eastAsia="仿宋" w:cs="仿宋"/>
                <w:b/>
                <w:bCs/>
                <w:color w:val="000000"/>
                <w:szCs w:val="21"/>
              </w:rPr>
              <w:t>分</w:t>
            </w:r>
          </w:p>
        </w:tc>
        <w:tc>
          <w:tcPr>
            <w:tcW w:w="1365" w:type="dxa"/>
            <w:tcBorders>
              <w:top w:val="single" w:color="auto" w:sz="4" w:space="0"/>
              <w:left w:val="single" w:color="auto" w:sz="4" w:space="0"/>
              <w:bottom w:val="single" w:color="auto" w:sz="4" w:space="0"/>
              <w:right w:val="single" w:color="auto" w:sz="4" w:space="0"/>
            </w:tcBorders>
            <w:vAlign w:val="center"/>
          </w:tcPr>
          <w:p w14:paraId="6B512AFF">
            <w:pPr>
              <w:pStyle w:val="18"/>
              <w:jc w:val="center"/>
              <w:rPr>
                <w:rFonts w:ascii="仿宋" w:hAnsi="仿宋" w:eastAsia="仿宋" w:cs="仿宋"/>
                <w:color w:val="000000"/>
                <w:szCs w:val="21"/>
              </w:rPr>
            </w:pPr>
          </w:p>
        </w:tc>
      </w:tr>
      <w:tr w14:paraId="702F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04" w:type="dxa"/>
            <w:vMerge w:val="continue"/>
            <w:tcBorders>
              <w:top w:val="single" w:color="auto" w:sz="4" w:space="0"/>
              <w:left w:val="single" w:color="auto" w:sz="4" w:space="0"/>
              <w:bottom w:val="single" w:color="auto" w:sz="4" w:space="0"/>
              <w:right w:val="single" w:color="auto" w:sz="4" w:space="0"/>
            </w:tcBorders>
            <w:vAlign w:val="center"/>
          </w:tcPr>
          <w:p w14:paraId="26E0F54C">
            <w:pPr>
              <w:jc w:val="left"/>
              <w:rPr>
                <w:rFonts w:ascii="仿宋" w:hAnsi="仿宋" w:eastAsia="仿宋" w:cs="仿宋"/>
                <w:szCs w:val="21"/>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14:paraId="0B3FF374">
            <w:pPr>
              <w:jc w:val="left"/>
              <w:rPr>
                <w:rFonts w:ascii="仿宋" w:hAnsi="仿宋" w:eastAsia="仿宋" w:cs="仿宋"/>
                <w:szCs w:val="21"/>
              </w:rPr>
            </w:pPr>
          </w:p>
        </w:tc>
        <w:tc>
          <w:tcPr>
            <w:tcW w:w="5816" w:type="dxa"/>
            <w:gridSpan w:val="2"/>
            <w:tcBorders>
              <w:top w:val="single" w:color="auto" w:sz="4" w:space="0"/>
              <w:left w:val="single" w:color="auto" w:sz="4" w:space="0"/>
              <w:bottom w:val="single" w:color="auto" w:sz="4" w:space="0"/>
              <w:right w:val="single" w:color="auto" w:sz="4" w:space="0"/>
            </w:tcBorders>
            <w:vAlign w:val="center"/>
          </w:tcPr>
          <w:p w14:paraId="4F4F47D1">
            <w:pPr>
              <w:pStyle w:val="18"/>
              <w:jc w:val="center"/>
              <w:rPr>
                <w:rFonts w:ascii="仿宋" w:hAnsi="仿宋" w:eastAsia="仿宋" w:cs="仿宋"/>
                <w:color w:val="000000"/>
                <w:szCs w:val="21"/>
              </w:rPr>
            </w:pPr>
            <w:r>
              <w:rPr>
                <w:rFonts w:hint="eastAsia" w:ascii="仿宋" w:hAnsi="仿宋" w:eastAsia="仿宋" w:cs="仿宋"/>
                <w:b/>
                <w:bCs/>
                <w:color w:val="000000"/>
                <w:szCs w:val="21"/>
              </w:rPr>
              <w:t>拟派项目负责人答辩</w:t>
            </w:r>
          </w:p>
        </w:tc>
      </w:tr>
      <w:tr w14:paraId="4B05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2604" w:type="dxa"/>
            <w:vMerge w:val="continue"/>
            <w:tcBorders>
              <w:top w:val="single" w:color="auto" w:sz="4" w:space="0"/>
              <w:left w:val="single" w:color="auto" w:sz="4" w:space="0"/>
              <w:bottom w:val="single" w:color="auto" w:sz="4" w:space="0"/>
              <w:right w:val="single" w:color="auto" w:sz="4" w:space="0"/>
            </w:tcBorders>
            <w:vAlign w:val="center"/>
          </w:tcPr>
          <w:p w14:paraId="0725A510">
            <w:pPr>
              <w:jc w:val="left"/>
              <w:rPr>
                <w:rFonts w:ascii="仿宋" w:hAnsi="仿宋" w:eastAsia="仿宋" w:cs="仿宋"/>
                <w:szCs w:val="21"/>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14:paraId="54ACEEFB">
            <w:pPr>
              <w:jc w:val="left"/>
              <w:rPr>
                <w:rFonts w:ascii="仿宋" w:hAnsi="仿宋" w:eastAsia="仿宋" w:cs="仿宋"/>
                <w:szCs w:val="21"/>
              </w:rPr>
            </w:pPr>
          </w:p>
        </w:tc>
        <w:tc>
          <w:tcPr>
            <w:tcW w:w="4451" w:type="dxa"/>
            <w:tcBorders>
              <w:top w:val="single" w:color="auto" w:sz="4" w:space="0"/>
              <w:left w:val="single" w:color="auto" w:sz="4" w:space="0"/>
              <w:bottom w:val="single" w:color="auto" w:sz="4" w:space="0"/>
              <w:right w:val="single" w:color="auto" w:sz="4" w:space="0"/>
            </w:tcBorders>
            <w:vAlign w:val="center"/>
          </w:tcPr>
          <w:p w14:paraId="4758EB40">
            <w:pPr>
              <w:pStyle w:val="18"/>
              <w:rPr>
                <w:rFonts w:ascii="仿宋" w:hAnsi="仿宋" w:eastAsia="仿宋" w:cs="仿宋"/>
                <w:color w:val="000000"/>
                <w:szCs w:val="21"/>
              </w:rPr>
            </w:pPr>
            <w:r>
              <w:rPr>
                <w:rFonts w:hint="eastAsia" w:ascii="仿宋" w:hAnsi="仿宋" w:eastAsia="仿宋" w:cs="仿宋"/>
                <w:color w:val="000000"/>
                <w:szCs w:val="21"/>
              </w:rPr>
              <w:t>1、拟派项目负责人对现场情况了解和掌握，得：1-</w:t>
            </w:r>
            <w:r>
              <w:rPr>
                <w:rFonts w:ascii="仿宋" w:hAnsi="仿宋" w:eastAsia="仿宋" w:cs="仿宋"/>
                <w:color w:val="000000"/>
                <w:szCs w:val="21"/>
              </w:rPr>
              <w:t>2</w:t>
            </w:r>
            <w:r>
              <w:rPr>
                <w:rFonts w:hint="eastAsia" w:ascii="仿宋" w:hAnsi="仿宋" w:eastAsia="仿宋" w:cs="仿宋"/>
                <w:color w:val="000000"/>
                <w:szCs w:val="21"/>
              </w:rPr>
              <w:t>分；不满足得0分。</w:t>
            </w:r>
          </w:p>
        </w:tc>
        <w:tc>
          <w:tcPr>
            <w:tcW w:w="1365" w:type="dxa"/>
            <w:tcBorders>
              <w:top w:val="single" w:color="auto" w:sz="4" w:space="0"/>
              <w:left w:val="single" w:color="auto" w:sz="4" w:space="0"/>
              <w:bottom w:val="single" w:color="auto" w:sz="4" w:space="0"/>
              <w:right w:val="single" w:color="auto" w:sz="4" w:space="0"/>
            </w:tcBorders>
            <w:vAlign w:val="center"/>
          </w:tcPr>
          <w:p w14:paraId="69B0F19C">
            <w:pPr>
              <w:pStyle w:val="18"/>
              <w:jc w:val="center"/>
              <w:rPr>
                <w:rFonts w:ascii="仿宋" w:hAnsi="仿宋" w:eastAsia="仿宋" w:cs="仿宋"/>
                <w:color w:val="000000"/>
                <w:szCs w:val="21"/>
              </w:rPr>
            </w:pPr>
          </w:p>
        </w:tc>
      </w:tr>
      <w:tr w14:paraId="5CCB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2604" w:type="dxa"/>
            <w:vMerge w:val="continue"/>
            <w:tcBorders>
              <w:top w:val="single" w:color="auto" w:sz="4" w:space="0"/>
              <w:left w:val="single" w:color="auto" w:sz="4" w:space="0"/>
              <w:bottom w:val="single" w:color="auto" w:sz="4" w:space="0"/>
              <w:right w:val="single" w:color="auto" w:sz="4" w:space="0"/>
            </w:tcBorders>
            <w:vAlign w:val="center"/>
          </w:tcPr>
          <w:p w14:paraId="7CD59BC4">
            <w:pPr>
              <w:jc w:val="left"/>
              <w:rPr>
                <w:rFonts w:ascii="仿宋" w:hAnsi="仿宋" w:eastAsia="仿宋" w:cs="仿宋"/>
                <w:szCs w:val="21"/>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14:paraId="041A9D74">
            <w:pPr>
              <w:jc w:val="left"/>
              <w:rPr>
                <w:rFonts w:ascii="仿宋" w:hAnsi="仿宋" w:eastAsia="仿宋" w:cs="仿宋"/>
                <w:szCs w:val="21"/>
              </w:rPr>
            </w:pPr>
          </w:p>
        </w:tc>
        <w:tc>
          <w:tcPr>
            <w:tcW w:w="4451" w:type="dxa"/>
            <w:tcBorders>
              <w:top w:val="single" w:color="auto" w:sz="4" w:space="0"/>
              <w:left w:val="single" w:color="auto" w:sz="4" w:space="0"/>
              <w:bottom w:val="single" w:color="auto" w:sz="4" w:space="0"/>
              <w:right w:val="single" w:color="auto" w:sz="4" w:space="0"/>
            </w:tcBorders>
            <w:vAlign w:val="center"/>
          </w:tcPr>
          <w:p w14:paraId="11C1B44E">
            <w:pPr>
              <w:pStyle w:val="18"/>
              <w:rPr>
                <w:rFonts w:ascii="仿宋" w:hAnsi="仿宋" w:eastAsia="仿宋" w:cs="仿宋"/>
                <w:color w:val="000000"/>
                <w:szCs w:val="21"/>
              </w:rPr>
            </w:pPr>
            <w:r>
              <w:rPr>
                <w:rFonts w:hint="eastAsia" w:ascii="仿宋" w:hAnsi="仿宋" w:eastAsia="仿宋" w:cs="仿宋"/>
                <w:color w:val="000000"/>
                <w:szCs w:val="21"/>
              </w:rPr>
              <w:t>2、拟派项目负责人基本服务能力强，且处理突发事件专业性较强，得1-</w:t>
            </w:r>
            <w:r>
              <w:rPr>
                <w:rFonts w:ascii="仿宋" w:hAnsi="仿宋" w:eastAsia="仿宋" w:cs="仿宋"/>
                <w:color w:val="000000"/>
                <w:szCs w:val="21"/>
              </w:rPr>
              <w:t>2</w:t>
            </w:r>
            <w:r>
              <w:rPr>
                <w:rFonts w:hint="eastAsia" w:ascii="仿宋" w:hAnsi="仿宋" w:eastAsia="仿宋" w:cs="仿宋"/>
                <w:color w:val="000000"/>
                <w:szCs w:val="21"/>
              </w:rPr>
              <w:t>分，不满足得0分。</w:t>
            </w:r>
          </w:p>
        </w:tc>
        <w:tc>
          <w:tcPr>
            <w:tcW w:w="1365" w:type="dxa"/>
            <w:tcBorders>
              <w:top w:val="single" w:color="auto" w:sz="4" w:space="0"/>
              <w:left w:val="single" w:color="auto" w:sz="4" w:space="0"/>
              <w:bottom w:val="single" w:color="auto" w:sz="4" w:space="0"/>
              <w:right w:val="single" w:color="auto" w:sz="4" w:space="0"/>
            </w:tcBorders>
            <w:vAlign w:val="center"/>
          </w:tcPr>
          <w:p w14:paraId="37165ED5">
            <w:pPr>
              <w:pStyle w:val="18"/>
              <w:jc w:val="center"/>
              <w:rPr>
                <w:rFonts w:ascii="仿宋" w:hAnsi="仿宋" w:eastAsia="仿宋" w:cs="仿宋"/>
                <w:color w:val="000000"/>
                <w:szCs w:val="21"/>
              </w:rPr>
            </w:pPr>
          </w:p>
        </w:tc>
      </w:tr>
      <w:tr w14:paraId="62AD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exact"/>
        </w:trPr>
        <w:tc>
          <w:tcPr>
            <w:tcW w:w="693" w:type="dxa"/>
            <w:tcBorders>
              <w:top w:val="single" w:color="auto" w:sz="4" w:space="0"/>
              <w:left w:val="single" w:color="auto" w:sz="4" w:space="0"/>
              <w:bottom w:val="single" w:color="auto" w:sz="4" w:space="0"/>
              <w:right w:val="single" w:color="auto" w:sz="4" w:space="0"/>
            </w:tcBorders>
            <w:vAlign w:val="center"/>
          </w:tcPr>
          <w:p w14:paraId="5957A8D3">
            <w:pPr>
              <w:jc w:val="center"/>
              <w:rPr>
                <w:rFonts w:ascii="仿宋" w:hAnsi="仿宋" w:eastAsia="仿宋" w:cs="仿宋"/>
                <w:szCs w:val="21"/>
              </w:rPr>
            </w:pPr>
            <w:r>
              <w:rPr>
                <w:rFonts w:hint="eastAsia" w:ascii="仿宋" w:hAnsi="仿宋" w:eastAsia="仿宋" w:cs="仿宋"/>
                <w:szCs w:val="21"/>
              </w:rPr>
              <w:t>5</w:t>
            </w:r>
          </w:p>
        </w:tc>
        <w:tc>
          <w:tcPr>
            <w:tcW w:w="1911" w:type="dxa"/>
            <w:tcBorders>
              <w:top w:val="single" w:color="auto" w:sz="4" w:space="0"/>
              <w:left w:val="single" w:color="auto" w:sz="4" w:space="0"/>
              <w:bottom w:val="single" w:color="auto" w:sz="4" w:space="0"/>
              <w:right w:val="single" w:color="auto" w:sz="4" w:space="0"/>
            </w:tcBorders>
            <w:vAlign w:val="center"/>
          </w:tcPr>
          <w:p w14:paraId="6C78A5EF">
            <w:pPr>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应急方案</w:t>
            </w:r>
          </w:p>
          <w:p w14:paraId="2D2A93C9">
            <w:pPr>
              <w:jc w:val="center"/>
              <w:textAlignment w:val="center"/>
              <w:rPr>
                <w:rFonts w:ascii="仿宋" w:hAnsi="仿宋" w:eastAsia="仿宋" w:cs="仿宋"/>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6</w:t>
            </w:r>
            <w:r>
              <w:rPr>
                <w:rFonts w:hint="eastAsia" w:ascii="仿宋" w:hAnsi="仿宋" w:eastAsia="仿宋" w:cs="仿宋"/>
                <w:color w:val="000000"/>
                <w:kern w:val="0"/>
                <w:szCs w:val="21"/>
              </w:rPr>
              <w:t>分）</w:t>
            </w:r>
          </w:p>
        </w:tc>
        <w:tc>
          <w:tcPr>
            <w:tcW w:w="4451" w:type="dxa"/>
            <w:tcBorders>
              <w:top w:val="single" w:color="auto" w:sz="4" w:space="0"/>
              <w:left w:val="single" w:color="auto" w:sz="4" w:space="0"/>
              <w:bottom w:val="single" w:color="auto" w:sz="4" w:space="0"/>
              <w:right w:val="single" w:color="auto" w:sz="4" w:space="0"/>
            </w:tcBorders>
            <w:vAlign w:val="center"/>
          </w:tcPr>
          <w:p w14:paraId="75C4E840">
            <w:pPr>
              <w:pStyle w:val="18"/>
              <w:numPr>
                <w:ilvl w:val="0"/>
                <w:numId w:val="9"/>
              </w:numPr>
              <w:jc w:val="both"/>
              <w:rPr>
                <w:rFonts w:ascii="仿宋" w:hAnsi="仿宋" w:eastAsia="仿宋" w:cs="仿宋"/>
                <w:color w:val="000000"/>
                <w:szCs w:val="21"/>
              </w:rPr>
            </w:pPr>
            <w:r>
              <w:rPr>
                <w:rFonts w:hint="eastAsia" w:ascii="仿宋" w:hAnsi="仿宋" w:eastAsia="仿宋" w:cs="仿宋"/>
                <w:color w:val="000000"/>
                <w:szCs w:val="21"/>
              </w:rPr>
              <w:t>方案全面、合理性、可操作性强，完全满足项目需求的，得：</w:t>
            </w:r>
            <w:r>
              <w:rPr>
                <w:rFonts w:ascii="仿宋" w:hAnsi="仿宋" w:eastAsia="仿宋" w:cs="仿宋"/>
                <w:color w:val="000000"/>
                <w:szCs w:val="21"/>
              </w:rPr>
              <w:t>4</w:t>
            </w:r>
            <w:r>
              <w:rPr>
                <w:rFonts w:hint="eastAsia" w:ascii="仿宋" w:hAnsi="仿宋" w:eastAsia="仿宋" w:cs="仿宋"/>
                <w:color w:val="000000"/>
                <w:szCs w:val="21"/>
              </w:rPr>
              <w:t>-</w:t>
            </w:r>
            <w:r>
              <w:rPr>
                <w:rFonts w:ascii="仿宋" w:hAnsi="仿宋" w:eastAsia="仿宋" w:cs="仿宋"/>
                <w:color w:val="000000"/>
                <w:szCs w:val="21"/>
              </w:rPr>
              <w:t>6</w:t>
            </w:r>
            <w:r>
              <w:rPr>
                <w:rFonts w:hint="eastAsia" w:ascii="仿宋" w:hAnsi="仿宋" w:eastAsia="仿宋" w:cs="仿宋"/>
                <w:color w:val="000000"/>
                <w:szCs w:val="21"/>
              </w:rPr>
              <w:t>分。</w:t>
            </w:r>
          </w:p>
          <w:p w14:paraId="7A3C946E">
            <w:pPr>
              <w:widowControl/>
              <w:numPr>
                <w:ilvl w:val="0"/>
                <w:numId w:val="9"/>
              </w:numPr>
              <w:rPr>
                <w:rFonts w:ascii="仿宋" w:hAnsi="仿宋" w:eastAsia="仿宋" w:cs="仿宋"/>
                <w:color w:val="000000"/>
                <w:szCs w:val="21"/>
              </w:rPr>
            </w:pPr>
            <w:r>
              <w:rPr>
                <w:rFonts w:hint="eastAsia" w:ascii="仿宋" w:hAnsi="仿宋" w:eastAsia="仿宋" w:cs="仿宋"/>
                <w:color w:val="000000"/>
                <w:szCs w:val="21"/>
              </w:rPr>
              <w:t>方案基本健全、具有一定的合理性，大部分能满足项目需求的，得：</w:t>
            </w:r>
            <w:r>
              <w:rPr>
                <w:rFonts w:ascii="仿宋" w:hAnsi="仿宋" w:eastAsia="仿宋" w:cs="仿宋"/>
                <w:color w:val="000000"/>
                <w:szCs w:val="21"/>
              </w:rPr>
              <w:t>1</w:t>
            </w:r>
            <w:r>
              <w:rPr>
                <w:rFonts w:hint="eastAsia" w:ascii="仿宋" w:hAnsi="仿宋" w:eastAsia="仿宋" w:cs="仿宋"/>
                <w:color w:val="000000"/>
                <w:szCs w:val="21"/>
              </w:rPr>
              <w:t>-</w:t>
            </w:r>
            <w:r>
              <w:rPr>
                <w:rFonts w:ascii="仿宋" w:hAnsi="仿宋" w:eastAsia="仿宋" w:cs="仿宋"/>
                <w:color w:val="000000"/>
                <w:szCs w:val="21"/>
              </w:rPr>
              <w:t>3</w:t>
            </w:r>
            <w:r>
              <w:rPr>
                <w:rFonts w:hint="eastAsia" w:ascii="仿宋" w:hAnsi="仿宋" w:eastAsia="仿宋" w:cs="仿宋"/>
                <w:color w:val="000000"/>
                <w:szCs w:val="21"/>
              </w:rPr>
              <w:t>分。</w:t>
            </w:r>
          </w:p>
          <w:p w14:paraId="26008749">
            <w:pPr>
              <w:widowControl/>
              <w:numPr>
                <w:ilvl w:val="0"/>
                <w:numId w:val="9"/>
              </w:numPr>
              <w:rPr>
                <w:rFonts w:ascii="仿宋" w:hAnsi="仿宋" w:eastAsia="仿宋" w:cs="仿宋"/>
                <w:color w:val="000000"/>
                <w:szCs w:val="21"/>
              </w:rPr>
            </w:pPr>
            <w:r>
              <w:rPr>
                <w:rFonts w:hint="eastAsia" w:ascii="仿宋" w:hAnsi="仿宋" w:eastAsia="仿宋" w:cs="仿宋"/>
                <w:color w:val="000000"/>
                <w:szCs w:val="21"/>
              </w:rPr>
              <w:t>不满足得0分。</w:t>
            </w:r>
          </w:p>
        </w:tc>
        <w:tc>
          <w:tcPr>
            <w:tcW w:w="1365" w:type="dxa"/>
            <w:tcBorders>
              <w:top w:val="single" w:color="auto" w:sz="4" w:space="0"/>
              <w:left w:val="single" w:color="auto" w:sz="4" w:space="0"/>
              <w:bottom w:val="single" w:color="auto" w:sz="4" w:space="0"/>
              <w:right w:val="single" w:color="auto" w:sz="4" w:space="0"/>
            </w:tcBorders>
            <w:vAlign w:val="center"/>
          </w:tcPr>
          <w:p w14:paraId="6DC1CD15">
            <w:pPr>
              <w:pStyle w:val="18"/>
              <w:jc w:val="center"/>
              <w:rPr>
                <w:rFonts w:ascii="仿宋" w:hAnsi="仿宋" w:eastAsia="仿宋" w:cs="仿宋"/>
                <w:color w:val="000000"/>
                <w:szCs w:val="21"/>
              </w:rPr>
            </w:pPr>
          </w:p>
        </w:tc>
      </w:tr>
      <w:tr w14:paraId="3DE0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04" w:type="dxa"/>
            <w:gridSpan w:val="2"/>
            <w:tcBorders>
              <w:top w:val="single" w:color="auto" w:sz="4" w:space="0"/>
              <w:left w:val="single" w:color="auto" w:sz="4" w:space="0"/>
              <w:bottom w:val="single" w:color="auto" w:sz="4" w:space="0"/>
              <w:right w:val="single" w:color="auto" w:sz="4" w:space="0"/>
            </w:tcBorders>
            <w:vAlign w:val="center"/>
          </w:tcPr>
          <w:p w14:paraId="2BBBD8A5">
            <w:pPr>
              <w:jc w:val="center"/>
              <w:rPr>
                <w:rFonts w:ascii="仿宋" w:hAnsi="仿宋" w:eastAsia="仿宋" w:cs="仿宋"/>
                <w:b/>
                <w:szCs w:val="21"/>
              </w:rPr>
            </w:pPr>
            <w:r>
              <w:rPr>
                <w:rFonts w:hint="eastAsia" w:ascii="仿宋" w:hAnsi="仿宋" w:eastAsia="仿宋" w:cs="仿宋"/>
                <w:b/>
                <w:szCs w:val="21"/>
              </w:rPr>
              <w:t>合  计  分</w:t>
            </w:r>
          </w:p>
        </w:tc>
        <w:tc>
          <w:tcPr>
            <w:tcW w:w="4451" w:type="dxa"/>
            <w:tcBorders>
              <w:top w:val="single" w:color="auto" w:sz="4" w:space="0"/>
              <w:left w:val="single" w:color="auto" w:sz="4" w:space="0"/>
              <w:bottom w:val="single" w:color="auto" w:sz="4" w:space="0"/>
              <w:right w:val="single" w:color="auto" w:sz="4" w:space="0"/>
            </w:tcBorders>
            <w:vAlign w:val="center"/>
          </w:tcPr>
          <w:p w14:paraId="0E260BCA">
            <w:pPr>
              <w:jc w:val="center"/>
              <w:rPr>
                <w:rStyle w:val="45"/>
                <w:i w:val="0"/>
              </w:rPr>
            </w:pPr>
            <w:r>
              <w:rPr>
                <w:rFonts w:ascii="仿宋" w:hAnsi="仿宋" w:eastAsia="仿宋" w:cs="仿宋"/>
                <w:b/>
                <w:szCs w:val="21"/>
              </w:rPr>
              <w:t>30</w:t>
            </w:r>
          </w:p>
        </w:tc>
        <w:tc>
          <w:tcPr>
            <w:tcW w:w="1365" w:type="dxa"/>
            <w:tcBorders>
              <w:top w:val="single" w:color="auto" w:sz="4" w:space="0"/>
              <w:left w:val="single" w:color="auto" w:sz="4" w:space="0"/>
              <w:bottom w:val="single" w:color="auto" w:sz="4" w:space="0"/>
              <w:right w:val="single" w:color="auto" w:sz="4" w:space="0"/>
            </w:tcBorders>
            <w:vAlign w:val="center"/>
          </w:tcPr>
          <w:p w14:paraId="5147BCCD">
            <w:pPr>
              <w:jc w:val="center"/>
            </w:pPr>
          </w:p>
        </w:tc>
      </w:tr>
    </w:tbl>
    <w:p w14:paraId="643464CF">
      <w:pPr>
        <w:ind w:firstLine="632"/>
        <w:rPr>
          <w:rFonts w:ascii="仿宋" w:hAnsi="仿宋" w:eastAsia="仿宋"/>
          <w:b/>
          <w:bCs/>
          <w:szCs w:val="21"/>
          <w:highlight w:val="yellow"/>
        </w:rPr>
      </w:pPr>
    </w:p>
    <w:p w14:paraId="580101FA">
      <w:pPr>
        <w:ind w:firstLine="632"/>
        <w:rPr>
          <w:rFonts w:ascii="仿宋" w:hAnsi="仿宋" w:eastAsia="仿宋"/>
          <w:b/>
          <w:bCs/>
          <w:szCs w:val="21"/>
        </w:rPr>
      </w:pPr>
      <w:r>
        <w:rPr>
          <w:rFonts w:hint="eastAsia" w:ascii="仿宋" w:hAnsi="仿宋" w:eastAsia="仿宋"/>
          <w:b/>
          <w:bCs/>
          <w:szCs w:val="21"/>
        </w:rPr>
        <w:t>备注：</w:t>
      </w:r>
    </w:p>
    <w:p w14:paraId="10D52BCB">
      <w:pPr>
        <w:ind w:firstLine="480" w:firstLineChars="200"/>
        <w:rPr>
          <w:rFonts w:ascii="仿宋" w:hAnsi="仿宋" w:eastAsia="仿宋"/>
          <w:b/>
          <w:bCs/>
          <w:szCs w:val="21"/>
        </w:rPr>
      </w:pPr>
      <w:r>
        <w:rPr>
          <w:rFonts w:hint="eastAsia" w:ascii="仿宋" w:hAnsi="仿宋" w:eastAsia="仿宋"/>
          <w:sz w:val="24"/>
        </w:rPr>
        <w:t>1.招标人必须明确每项评审内容、要求及分值范围，评标专家以此对每项评审内容进行打分。</w:t>
      </w:r>
    </w:p>
    <w:p w14:paraId="19F89FA7">
      <w:pPr>
        <w:ind w:firstLine="480" w:firstLineChars="200"/>
        <w:rPr>
          <w:rFonts w:ascii="仿宋" w:hAnsi="仿宋" w:eastAsia="仿宋"/>
          <w:sz w:val="24"/>
        </w:rPr>
      </w:pPr>
      <w:r>
        <w:rPr>
          <w:rFonts w:hint="eastAsia" w:ascii="仿宋" w:hAnsi="仿宋" w:eastAsia="仿宋"/>
          <w:sz w:val="24"/>
        </w:rPr>
        <w:t>2.本表适用于专家独立评审使用。</w:t>
      </w:r>
    </w:p>
    <w:p w14:paraId="4A8A0D57">
      <w:pPr>
        <w:ind w:firstLine="840"/>
        <w:rPr>
          <w:rFonts w:ascii="仿宋" w:hAnsi="仿宋" w:eastAsia="仿宋"/>
          <w:kern w:val="0"/>
          <w:sz w:val="28"/>
          <w:szCs w:val="28"/>
        </w:rPr>
      </w:pPr>
    </w:p>
    <w:p w14:paraId="3BA8505C">
      <w:pPr>
        <w:ind w:firstLine="840"/>
        <w:rPr>
          <w:rFonts w:ascii="仿宋" w:hAnsi="仿宋" w:eastAsia="仿宋"/>
          <w:b/>
          <w:bCs/>
          <w:sz w:val="28"/>
          <w:szCs w:val="28"/>
        </w:rPr>
      </w:pPr>
      <w:r>
        <w:rPr>
          <w:rFonts w:hint="eastAsia" w:ascii="仿宋" w:hAnsi="仿宋" w:eastAsia="仿宋"/>
          <w:kern w:val="0"/>
          <w:sz w:val="28"/>
          <w:szCs w:val="28"/>
        </w:rPr>
        <w:t>评标专家：</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      评标日期：</w:t>
      </w:r>
      <w:r>
        <w:rPr>
          <w:rFonts w:hint="eastAsia" w:ascii="仿宋" w:hAnsi="仿宋" w:eastAsia="仿宋"/>
          <w:kern w:val="0"/>
          <w:sz w:val="28"/>
          <w:szCs w:val="28"/>
          <w:u w:val="single"/>
        </w:rPr>
        <w:t xml:space="preserve">          </w:t>
      </w:r>
    </w:p>
    <w:p w14:paraId="59752474">
      <w:pPr>
        <w:ind w:firstLine="840"/>
        <w:rPr>
          <w:rFonts w:ascii="仿宋" w:hAnsi="仿宋" w:eastAsia="仿宋"/>
          <w:b/>
          <w:bCs/>
          <w:sz w:val="28"/>
          <w:szCs w:val="28"/>
        </w:rPr>
      </w:pPr>
      <w:r>
        <w:rPr>
          <w:rFonts w:hint="eastAsia" w:ascii="宋体" w:hAnsi="宋体"/>
          <w:b/>
          <w:sz w:val="24"/>
        </w:rPr>
        <w:br w:type="page"/>
      </w:r>
    </w:p>
    <w:p w14:paraId="6F3C4CED">
      <w:pPr>
        <w:spacing w:line="360" w:lineRule="auto"/>
        <w:jc w:val="left"/>
        <w:rPr>
          <w:rFonts w:ascii="宋体" w:hAnsi="宋体"/>
          <w:b/>
          <w:sz w:val="24"/>
        </w:rPr>
        <w:sectPr>
          <w:pgSz w:w="12240" w:h="15840"/>
          <w:pgMar w:top="1440" w:right="1797" w:bottom="1440" w:left="1797" w:header="720" w:footer="720" w:gutter="0"/>
          <w:cols w:space="720" w:num="1"/>
        </w:sectPr>
      </w:pPr>
    </w:p>
    <w:p w14:paraId="41EDFA8D">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t>技术标评审汇总表</w:t>
      </w:r>
    </w:p>
    <w:p w14:paraId="669E9760">
      <w:pPr>
        <w:spacing w:line="360" w:lineRule="auto"/>
        <w:jc w:val="left"/>
        <w:rPr>
          <w:rFonts w:ascii="黑体" w:hAnsi="黑体" w:eastAsia="黑体" w:cs="黑体"/>
          <w:b/>
          <w:sz w:val="24"/>
        </w:rPr>
      </w:pPr>
      <w:r>
        <w:rPr>
          <w:rFonts w:hint="eastAsia" w:ascii="黑体" w:hAnsi="黑体" w:eastAsia="黑体" w:cs="黑体"/>
          <w:b/>
          <w:sz w:val="24"/>
        </w:rPr>
        <w:t xml:space="preserve">项目名称： </w:t>
      </w:r>
      <w:r>
        <w:rPr>
          <w:rFonts w:hint="eastAsia" w:ascii="黑体" w:hAnsi="黑体" w:eastAsia="黑体" w:cs="黑体"/>
          <w:b/>
          <w:sz w:val="24"/>
          <w:lang w:val="en-US" w:eastAsia="zh-CN"/>
        </w:rPr>
        <w:t>深圳华南城一期市场阳光棚维修工程</w:t>
      </w:r>
      <w:r>
        <w:rPr>
          <w:rFonts w:hint="eastAsia" w:ascii="黑体" w:hAnsi="黑体" w:eastAsia="黑体" w:cs="黑体"/>
          <w:b/>
          <w:sz w:val="24"/>
        </w:rPr>
        <w:t xml:space="preserve"> </w:t>
      </w:r>
    </w:p>
    <w:tbl>
      <w:tblPr>
        <w:tblStyle w:val="38"/>
        <w:tblW w:w="13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536"/>
        <w:gridCol w:w="988"/>
        <w:gridCol w:w="1003"/>
        <w:gridCol w:w="963"/>
        <w:gridCol w:w="1034"/>
        <w:gridCol w:w="983"/>
        <w:gridCol w:w="983"/>
        <w:gridCol w:w="932"/>
        <w:gridCol w:w="1105"/>
      </w:tblGrid>
      <w:tr w14:paraId="6A72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8D9A245">
            <w:pPr>
              <w:jc w:val="center"/>
              <w:rPr>
                <w:rFonts w:ascii="宋体" w:hAnsi="宋体"/>
                <w:b/>
                <w:bCs/>
                <w:spacing w:val="30"/>
                <w:szCs w:val="21"/>
              </w:rPr>
            </w:pPr>
            <w:r>
              <w:rPr>
                <w:rFonts w:hint="eastAsia" w:ascii="宋体" w:hAnsi="宋体"/>
                <w:b/>
                <w:bCs/>
                <w:spacing w:val="30"/>
                <w:szCs w:val="21"/>
              </w:rPr>
              <w:t>序号</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14:paraId="1F5F91E3">
            <w:pPr>
              <w:jc w:val="center"/>
              <w:rPr>
                <w:rFonts w:ascii="宋体" w:hAnsi="宋体"/>
                <w:b/>
                <w:bCs/>
                <w:spacing w:val="30"/>
                <w:szCs w:val="21"/>
              </w:rPr>
            </w:pPr>
            <w:r>
              <w:rPr>
                <w:rFonts w:hint="eastAsia" w:ascii="宋体" w:hAnsi="宋体"/>
                <w:b/>
                <w:bCs/>
                <w:spacing w:val="30"/>
                <w:szCs w:val="21"/>
              </w:rPr>
              <w:t>投标人名称</w:t>
            </w:r>
          </w:p>
        </w:tc>
        <w:tc>
          <w:tcPr>
            <w:tcW w:w="7991" w:type="dxa"/>
            <w:gridSpan w:val="8"/>
            <w:tcBorders>
              <w:top w:val="single" w:color="auto" w:sz="4" w:space="0"/>
              <w:left w:val="single" w:color="auto" w:sz="4" w:space="0"/>
              <w:bottom w:val="single" w:color="auto" w:sz="4" w:space="0"/>
              <w:right w:val="single" w:color="auto" w:sz="4" w:space="0"/>
            </w:tcBorders>
            <w:vAlign w:val="center"/>
          </w:tcPr>
          <w:p w14:paraId="3A2E29C1">
            <w:pPr>
              <w:jc w:val="center"/>
              <w:rPr>
                <w:rFonts w:ascii="宋体" w:hAnsi="宋体"/>
                <w:b/>
                <w:bCs/>
                <w:spacing w:val="30"/>
                <w:szCs w:val="21"/>
              </w:rPr>
            </w:pPr>
            <w:r>
              <w:rPr>
                <w:rFonts w:hint="eastAsia" w:ascii="宋体" w:hAnsi="宋体"/>
                <w:b/>
                <w:bCs/>
                <w:spacing w:val="30"/>
                <w:szCs w:val="21"/>
              </w:rPr>
              <w:t>评委评定（分值）</w:t>
            </w:r>
          </w:p>
        </w:tc>
      </w:tr>
      <w:tr w14:paraId="6453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98894C">
            <w:pPr>
              <w:jc w:val="left"/>
              <w:rPr>
                <w:rFonts w:ascii="宋体" w:hAnsi="宋体"/>
                <w:b/>
                <w:bCs/>
                <w:spacing w:val="3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984870">
            <w:pPr>
              <w:jc w:val="left"/>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33D47E4E">
            <w:pPr>
              <w:jc w:val="center"/>
              <w:rPr>
                <w:rFonts w:ascii="宋体" w:hAnsi="宋体"/>
                <w:b/>
                <w:bCs/>
                <w:spacing w:val="30"/>
                <w:szCs w:val="21"/>
              </w:rPr>
            </w:pPr>
            <w:r>
              <w:rPr>
                <w:rFonts w:hint="eastAsia" w:ascii="宋体" w:hAnsi="宋体"/>
                <w:b/>
                <w:bCs/>
                <w:spacing w:val="30"/>
                <w:szCs w:val="21"/>
              </w:rPr>
              <w:t>评委1</w:t>
            </w:r>
          </w:p>
        </w:tc>
        <w:tc>
          <w:tcPr>
            <w:tcW w:w="1003" w:type="dxa"/>
            <w:tcBorders>
              <w:top w:val="single" w:color="auto" w:sz="4" w:space="0"/>
              <w:left w:val="single" w:color="auto" w:sz="4" w:space="0"/>
              <w:bottom w:val="single" w:color="auto" w:sz="4" w:space="0"/>
              <w:right w:val="single" w:color="auto" w:sz="4" w:space="0"/>
            </w:tcBorders>
            <w:vAlign w:val="center"/>
          </w:tcPr>
          <w:p w14:paraId="632ED473">
            <w:pPr>
              <w:jc w:val="center"/>
              <w:rPr>
                <w:rFonts w:ascii="宋体" w:hAnsi="宋体"/>
                <w:b/>
                <w:bCs/>
                <w:spacing w:val="30"/>
                <w:szCs w:val="21"/>
              </w:rPr>
            </w:pPr>
            <w:r>
              <w:rPr>
                <w:rFonts w:hint="eastAsia" w:ascii="宋体" w:hAnsi="宋体"/>
                <w:b/>
                <w:bCs/>
                <w:spacing w:val="30"/>
                <w:szCs w:val="21"/>
              </w:rPr>
              <w:t>评委2</w:t>
            </w:r>
          </w:p>
        </w:tc>
        <w:tc>
          <w:tcPr>
            <w:tcW w:w="963" w:type="dxa"/>
            <w:tcBorders>
              <w:top w:val="single" w:color="auto" w:sz="4" w:space="0"/>
              <w:left w:val="single" w:color="auto" w:sz="4" w:space="0"/>
              <w:bottom w:val="single" w:color="auto" w:sz="4" w:space="0"/>
              <w:right w:val="single" w:color="auto" w:sz="4" w:space="0"/>
            </w:tcBorders>
            <w:vAlign w:val="center"/>
          </w:tcPr>
          <w:p w14:paraId="3AFFE037">
            <w:pPr>
              <w:jc w:val="center"/>
              <w:rPr>
                <w:rFonts w:ascii="宋体" w:hAnsi="宋体"/>
                <w:b/>
                <w:bCs/>
                <w:spacing w:val="30"/>
                <w:szCs w:val="21"/>
              </w:rPr>
            </w:pPr>
            <w:r>
              <w:rPr>
                <w:rFonts w:hint="eastAsia" w:ascii="宋体" w:hAnsi="宋体"/>
                <w:b/>
                <w:bCs/>
                <w:spacing w:val="30"/>
                <w:szCs w:val="21"/>
              </w:rPr>
              <w:t>评委3</w:t>
            </w:r>
          </w:p>
        </w:tc>
        <w:tc>
          <w:tcPr>
            <w:tcW w:w="1034" w:type="dxa"/>
            <w:tcBorders>
              <w:top w:val="single" w:color="auto" w:sz="4" w:space="0"/>
              <w:left w:val="single" w:color="auto" w:sz="4" w:space="0"/>
              <w:bottom w:val="single" w:color="auto" w:sz="4" w:space="0"/>
              <w:right w:val="single" w:color="auto" w:sz="4" w:space="0"/>
            </w:tcBorders>
            <w:vAlign w:val="center"/>
          </w:tcPr>
          <w:p w14:paraId="5B8608EA">
            <w:pPr>
              <w:jc w:val="center"/>
              <w:rPr>
                <w:rFonts w:ascii="宋体" w:hAnsi="宋体"/>
                <w:b/>
                <w:bCs/>
                <w:spacing w:val="30"/>
                <w:szCs w:val="21"/>
              </w:rPr>
            </w:pPr>
            <w:r>
              <w:rPr>
                <w:rFonts w:hint="eastAsia" w:ascii="宋体" w:hAnsi="宋体"/>
                <w:b/>
                <w:bCs/>
                <w:spacing w:val="30"/>
                <w:szCs w:val="21"/>
              </w:rPr>
              <w:t>评委4</w:t>
            </w:r>
          </w:p>
        </w:tc>
        <w:tc>
          <w:tcPr>
            <w:tcW w:w="983" w:type="dxa"/>
            <w:tcBorders>
              <w:top w:val="single" w:color="auto" w:sz="4" w:space="0"/>
              <w:left w:val="single" w:color="auto" w:sz="4" w:space="0"/>
              <w:bottom w:val="single" w:color="auto" w:sz="4" w:space="0"/>
              <w:right w:val="single" w:color="auto" w:sz="4" w:space="0"/>
            </w:tcBorders>
            <w:vAlign w:val="center"/>
          </w:tcPr>
          <w:p w14:paraId="082E925C">
            <w:pPr>
              <w:jc w:val="center"/>
              <w:rPr>
                <w:rFonts w:ascii="宋体" w:hAnsi="宋体"/>
                <w:b/>
                <w:bCs/>
                <w:spacing w:val="30"/>
                <w:szCs w:val="21"/>
              </w:rPr>
            </w:pPr>
            <w:r>
              <w:rPr>
                <w:rFonts w:hint="eastAsia" w:ascii="宋体" w:hAnsi="宋体"/>
                <w:b/>
                <w:bCs/>
                <w:spacing w:val="30"/>
                <w:szCs w:val="21"/>
              </w:rPr>
              <w:t>评委5</w:t>
            </w:r>
          </w:p>
        </w:tc>
        <w:tc>
          <w:tcPr>
            <w:tcW w:w="983" w:type="dxa"/>
            <w:tcBorders>
              <w:top w:val="single" w:color="auto" w:sz="4" w:space="0"/>
              <w:left w:val="single" w:color="auto" w:sz="4" w:space="0"/>
              <w:bottom w:val="single" w:color="auto" w:sz="4" w:space="0"/>
              <w:right w:val="single" w:color="auto" w:sz="4" w:space="0"/>
            </w:tcBorders>
            <w:vAlign w:val="center"/>
          </w:tcPr>
          <w:p w14:paraId="35EB8917">
            <w:pPr>
              <w:jc w:val="center"/>
              <w:rPr>
                <w:rFonts w:ascii="宋体" w:hAnsi="宋体"/>
                <w:b/>
                <w:bCs/>
                <w:spacing w:val="30"/>
                <w:szCs w:val="21"/>
              </w:rPr>
            </w:pPr>
            <w:r>
              <w:rPr>
                <w:rFonts w:hint="eastAsia" w:ascii="宋体" w:hAnsi="宋体"/>
                <w:b/>
                <w:bCs/>
                <w:spacing w:val="30"/>
                <w:szCs w:val="21"/>
              </w:rPr>
              <w:t>评委6</w:t>
            </w:r>
          </w:p>
        </w:tc>
        <w:tc>
          <w:tcPr>
            <w:tcW w:w="932" w:type="dxa"/>
            <w:tcBorders>
              <w:top w:val="single" w:color="auto" w:sz="4" w:space="0"/>
              <w:left w:val="single" w:color="auto" w:sz="4" w:space="0"/>
              <w:bottom w:val="single" w:color="auto" w:sz="4" w:space="0"/>
              <w:right w:val="single" w:color="auto" w:sz="4" w:space="0"/>
            </w:tcBorders>
            <w:vAlign w:val="center"/>
          </w:tcPr>
          <w:p w14:paraId="7100D8A7">
            <w:pPr>
              <w:jc w:val="center"/>
              <w:rPr>
                <w:rFonts w:ascii="宋体" w:hAnsi="宋体"/>
                <w:b/>
                <w:bCs/>
                <w:spacing w:val="30"/>
                <w:szCs w:val="21"/>
              </w:rPr>
            </w:pPr>
            <w:r>
              <w:rPr>
                <w:rFonts w:hint="eastAsia" w:ascii="宋体" w:hAnsi="宋体"/>
                <w:b/>
                <w:bCs/>
                <w:spacing w:val="30"/>
                <w:szCs w:val="21"/>
              </w:rPr>
              <w:t>评委7</w:t>
            </w:r>
          </w:p>
        </w:tc>
        <w:tc>
          <w:tcPr>
            <w:tcW w:w="1105" w:type="dxa"/>
            <w:tcBorders>
              <w:top w:val="single" w:color="auto" w:sz="4" w:space="0"/>
              <w:left w:val="single" w:color="auto" w:sz="4" w:space="0"/>
              <w:bottom w:val="single" w:color="auto" w:sz="4" w:space="0"/>
              <w:right w:val="single" w:color="auto" w:sz="4" w:space="0"/>
            </w:tcBorders>
            <w:vAlign w:val="center"/>
          </w:tcPr>
          <w:p w14:paraId="46819482">
            <w:pPr>
              <w:jc w:val="center"/>
              <w:rPr>
                <w:rFonts w:ascii="宋体" w:hAnsi="宋体"/>
                <w:b/>
                <w:bCs/>
                <w:szCs w:val="21"/>
              </w:rPr>
            </w:pPr>
            <w:r>
              <w:rPr>
                <w:rFonts w:hint="eastAsia" w:ascii="宋体" w:hAnsi="宋体"/>
                <w:b/>
                <w:bCs/>
                <w:szCs w:val="21"/>
              </w:rPr>
              <w:t>最终评定</w:t>
            </w:r>
          </w:p>
        </w:tc>
      </w:tr>
      <w:tr w14:paraId="3E1B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36D906F4">
            <w:pPr>
              <w:jc w:val="center"/>
              <w:rPr>
                <w:rFonts w:ascii="宋体" w:hAnsi="宋体"/>
                <w:b/>
                <w:bCs/>
                <w:spacing w:val="30"/>
                <w:szCs w:val="21"/>
              </w:rPr>
            </w:pPr>
            <w:r>
              <w:rPr>
                <w:rFonts w:hint="eastAsia" w:ascii="宋体" w:hAnsi="宋体"/>
                <w:b/>
                <w:bCs/>
                <w:spacing w:val="30"/>
                <w:szCs w:val="21"/>
              </w:rPr>
              <w:t>1</w:t>
            </w:r>
          </w:p>
        </w:tc>
        <w:tc>
          <w:tcPr>
            <w:tcW w:w="4536" w:type="dxa"/>
            <w:tcBorders>
              <w:top w:val="single" w:color="auto" w:sz="4" w:space="0"/>
              <w:left w:val="single" w:color="auto" w:sz="4" w:space="0"/>
              <w:bottom w:val="single" w:color="auto" w:sz="4" w:space="0"/>
              <w:right w:val="single" w:color="auto" w:sz="4" w:space="0"/>
            </w:tcBorders>
            <w:vAlign w:val="center"/>
          </w:tcPr>
          <w:p w14:paraId="4A670355">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5C02D769">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7DEE6199">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2C1C9B16">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1C052061">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1D52FAF9">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4CB62413">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2C85C056">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DAF2DE3">
            <w:pPr>
              <w:rPr>
                <w:rFonts w:ascii="宋体" w:hAnsi="宋体"/>
                <w:b/>
                <w:bCs/>
                <w:spacing w:val="30"/>
                <w:szCs w:val="21"/>
              </w:rPr>
            </w:pPr>
          </w:p>
        </w:tc>
      </w:tr>
      <w:tr w14:paraId="07B5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64527214">
            <w:pPr>
              <w:jc w:val="center"/>
              <w:rPr>
                <w:rFonts w:ascii="宋体" w:hAnsi="宋体"/>
                <w:b/>
                <w:bCs/>
                <w:spacing w:val="30"/>
                <w:szCs w:val="21"/>
              </w:rPr>
            </w:pPr>
            <w:r>
              <w:rPr>
                <w:rFonts w:hint="eastAsia" w:ascii="宋体" w:hAnsi="宋体"/>
                <w:b/>
                <w:bCs/>
                <w:spacing w:val="30"/>
                <w:szCs w:val="21"/>
              </w:rPr>
              <w:t>2</w:t>
            </w:r>
          </w:p>
        </w:tc>
        <w:tc>
          <w:tcPr>
            <w:tcW w:w="4536" w:type="dxa"/>
            <w:tcBorders>
              <w:top w:val="single" w:color="auto" w:sz="4" w:space="0"/>
              <w:left w:val="single" w:color="auto" w:sz="4" w:space="0"/>
              <w:bottom w:val="single" w:color="auto" w:sz="4" w:space="0"/>
              <w:right w:val="single" w:color="auto" w:sz="4" w:space="0"/>
            </w:tcBorders>
            <w:vAlign w:val="center"/>
          </w:tcPr>
          <w:p w14:paraId="380E446E">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3CF295DF">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03F3AB8A">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22E886FC">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690B46E3">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1F2A3BB0">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18BCA140">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5214ABFC">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53C6FDD">
            <w:pPr>
              <w:rPr>
                <w:rFonts w:ascii="宋体" w:hAnsi="宋体"/>
                <w:b/>
                <w:bCs/>
                <w:spacing w:val="30"/>
                <w:szCs w:val="21"/>
              </w:rPr>
            </w:pPr>
          </w:p>
        </w:tc>
      </w:tr>
      <w:tr w14:paraId="6F02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4B739968">
            <w:pPr>
              <w:jc w:val="center"/>
              <w:rPr>
                <w:rFonts w:ascii="宋体" w:hAnsi="宋体"/>
                <w:b/>
                <w:bCs/>
                <w:spacing w:val="30"/>
                <w:szCs w:val="21"/>
              </w:rPr>
            </w:pPr>
            <w:r>
              <w:rPr>
                <w:rFonts w:hint="eastAsia" w:ascii="宋体" w:hAnsi="宋体"/>
                <w:b/>
                <w:bCs/>
                <w:spacing w:val="30"/>
                <w:szCs w:val="21"/>
              </w:rPr>
              <w:t>3</w:t>
            </w:r>
          </w:p>
        </w:tc>
        <w:tc>
          <w:tcPr>
            <w:tcW w:w="4536" w:type="dxa"/>
            <w:tcBorders>
              <w:top w:val="single" w:color="auto" w:sz="4" w:space="0"/>
              <w:left w:val="single" w:color="auto" w:sz="4" w:space="0"/>
              <w:bottom w:val="single" w:color="auto" w:sz="4" w:space="0"/>
              <w:right w:val="single" w:color="auto" w:sz="4" w:space="0"/>
            </w:tcBorders>
            <w:vAlign w:val="center"/>
          </w:tcPr>
          <w:p w14:paraId="45797963">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7476DF7B">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760166F8">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3364F77A">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6BBBB3C8">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286DFC0F">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40DF2673">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6A3BFEC9">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B0B4B43">
            <w:pPr>
              <w:rPr>
                <w:rFonts w:ascii="宋体" w:hAnsi="宋体"/>
                <w:b/>
                <w:bCs/>
                <w:spacing w:val="30"/>
                <w:szCs w:val="21"/>
              </w:rPr>
            </w:pPr>
          </w:p>
        </w:tc>
      </w:tr>
      <w:tr w14:paraId="66B9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7E7F3CCD">
            <w:pPr>
              <w:jc w:val="center"/>
              <w:rPr>
                <w:rFonts w:ascii="宋体" w:hAnsi="宋体"/>
                <w:b/>
                <w:bCs/>
                <w:spacing w:val="30"/>
                <w:szCs w:val="21"/>
              </w:rPr>
            </w:pPr>
            <w:r>
              <w:rPr>
                <w:rFonts w:hint="eastAsia" w:ascii="宋体" w:hAnsi="宋体"/>
                <w:b/>
                <w:bCs/>
                <w:spacing w:val="30"/>
                <w:szCs w:val="21"/>
              </w:rPr>
              <w:t>4</w:t>
            </w:r>
          </w:p>
        </w:tc>
        <w:tc>
          <w:tcPr>
            <w:tcW w:w="4536" w:type="dxa"/>
            <w:tcBorders>
              <w:top w:val="single" w:color="auto" w:sz="4" w:space="0"/>
              <w:left w:val="single" w:color="auto" w:sz="4" w:space="0"/>
              <w:bottom w:val="single" w:color="auto" w:sz="4" w:space="0"/>
              <w:right w:val="single" w:color="auto" w:sz="4" w:space="0"/>
            </w:tcBorders>
            <w:vAlign w:val="center"/>
          </w:tcPr>
          <w:p w14:paraId="3715AD00">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2A010858">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0586786A">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6EDACE3E">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0CB2B032">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1A459FAC">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3685CC7C">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32A7A949">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3D03B66">
            <w:pPr>
              <w:rPr>
                <w:rFonts w:ascii="宋体" w:hAnsi="宋体"/>
                <w:b/>
                <w:bCs/>
                <w:spacing w:val="30"/>
                <w:szCs w:val="21"/>
              </w:rPr>
            </w:pPr>
          </w:p>
        </w:tc>
      </w:tr>
      <w:tr w14:paraId="6F7B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42E3738D">
            <w:pPr>
              <w:jc w:val="center"/>
              <w:rPr>
                <w:rFonts w:ascii="宋体" w:hAnsi="宋体"/>
                <w:b/>
                <w:bCs/>
                <w:spacing w:val="30"/>
                <w:szCs w:val="21"/>
              </w:rPr>
            </w:pPr>
            <w:r>
              <w:rPr>
                <w:rFonts w:hint="eastAsia" w:ascii="宋体" w:hAnsi="宋体"/>
                <w:b/>
                <w:bCs/>
                <w:spacing w:val="30"/>
                <w:szCs w:val="21"/>
              </w:rPr>
              <w:t>5</w:t>
            </w:r>
          </w:p>
        </w:tc>
        <w:tc>
          <w:tcPr>
            <w:tcW w:w="4536" w:type="dxa"/>
            <w:tcBorders>
              <w:top w:val="single" w:color="auto" w:sz="4" w:space="0"/>
              <w:left w:val="single" w:color="auto" w:sz="4" w:space="0"/>
              <w:bottom w:val="single" w:color="auto" w:sz="4" w:space="0"/>
              <w:right w:val="single" w:color="auto" w:sz="4" w:space="0"/>
            </w:tcBorders>
            <w:vAlign w:val="center"/>
          </w:tcPr>
          <w:p w14:paraId="0B959C55">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1E25E161">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14D25034">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265B62C8">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7DC2794C">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62A23C51">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180ACDDE">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15D668EF">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E1D032C">
            <w:pPr>
              <w:rPr>
                <w:rFonts w:ascii="宋体" w:hAnsi="宋体"/>
                <w:b/>
                <w:bCs/>
                <w:spacing w:val="30"/>
                <w:szCs w:val="21"/>
              </w:rPr>
            </w:pPr>
          </w:p>
        </w:tc>
      </w:tr>
      <w:tr w14:paraId="1179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4FF9FE0D">
            <w:pPr>
              <w:jc w:val="center"/>
              <w:rPr>
                <w:rFonts w:ascii="宋体" w:hAnsi="宋体"/>
                <w:b/>
                <w:bCs/>
                <w:spacing w:val="30"/>
                <w:szCs w:val="21"/>
              </w:rPr>
            </w:pPr>
            <w:r>
              <w:rPr>
                <w:rFonts w:hint="eastAsia" w:ascii="宋体" w:hAnsi="宋体"/>
                <w:b/>
                <w:bCs/>
                <w:spacing w:val="30"/>
                <w:szCs w:val="21"/>
              </w:rPr>
              <w:t>6</w:t>
            </w:r>
          </w:p>
        </w:tc>
        <w:tc>
          <w:tcPr>
            <w:tcW w:w="4536" w:type="dxa"/>
            <w:tcBorders>
              <w:top w:val="single" w:color="auto" w:sz="4" w:space="0"/>
              <w:left w:val="single" w:color="auto" w:sz="4" w:space="0"/>
              <w:bottom w:val="single" w:color="auto" w:sz="4" w:space="0"/>
              <w:right w:val="single" w:color="auto" w:sz="4" w:space="0"/>
            </w:tcBorders>
            <w:vAlign w:val="center"/>
          </w:tcPr>
          <w:p w14:paraId="7DCB1366">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03204438">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0F9F2249">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6413C278">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7FB9BADE">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3A2BE0E5">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71543D54">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109F8058">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649E7E8">
            <w:pPr>
              <w:rPr>
                <w:rFonts w:ascii="宋体" w:hAnsi="宋体"/>
                <w:b/>
                <w:bCs/>
                <w:spacing w:val="30"/>
                <w:szCs w:val="21"/>
              </w:rPr>
            </w:pPr>
          </w:p>
        </w:tc>
      </w:tr>
      <w:tr w14:paraId="24FF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1185134A">
            <w:pPr>
              <w:jc w:val="center"/>
              <w:rPr>
                <w:rFonts w:ascii="宋体" w:hAnsi="宋体"/>
                <w:b/>
                <w:bCs/>
                <w:spacing w:val="30"/>
                <w:szCs w:val="21"/>
              </w:rPr>
            </w:pPr>
            <w:r>
              <w:rPr>
                <w:rFonts w:hint="eastAsia" w:ascii="宋体" w:hAnsi="宋体"/>
                <w:b/>
                <w:bCs/>
                <w:spacing w:val="30"/>
                <w:szCs w:val="21"/>
              </w:rPr>
              <w:t>7</w:t>
            </w:r>
          </w:p>
        </w:tc>
        <w:tc>
          <w:tcPr>
            <w:tcW w:w="4536" w:type="dxa"/>
            <w:tcBorders>
              <w:top w:val="single" w:color="auto" w:sz="4" w:space="0"/>
              <w:left w:val="single" w:color="auto" w:sz="4" w:space="0"/>
              <w:bottom w:val="single" w:color="auto" w:sz="4" w:space="0"/>
              <w:right w:val="single" w:color="auto" w:sz="4" w:space="0"/>
            </w:tcBorders>
            <w:vAlign w:val="center"/>
          </w:tcPr>
          <w:p w14:paraId="15F3C6BD">
            <w:pPr>
              <w:rPr>
                <w:rFonts w:ascii="宋体" w:hAnsi="宋体"/>
                <w:b/>
                <w:bCs/>
                <w:spacing w:val="3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4B75EB50">
            <w:pPr>
              <w:rPr>
                <w:rFonts w:ascii="宋体" w:hAnsi="宋体"/>
                <w:b/>
                <w:bCs/>
                <w:spacing w:val="30"/>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649B439F">
            <w:pPr>
              <w:rPr>
                <w:rFonts w:ascii="宋体" w:hAnsi="宋体"/>
                <w:b/>
                <w:bCs/>
                <w:spacing w:val="3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4EA069C3">
            <w:pPr>
              <w:rPr>
                <w:rFonts w:ascii="宋体" w:hAnsi="宋体"/>
                <w:b/>
                <w:bCs/>
                <w:spacing w:val="30"/>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4F85BF8B">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7C9E4109">
            <w:pPr>
              <w:rPr>
                <w:rFonts w:ascii="宋体" w:hAnsi="宋体"/>
                <w:b/>
                <w:bCs/>
                <w:spacing w:val="30"/>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12E588FC">
            <w:pPr>
              <w:rPr>
                <w:rFonts w:ascii="宋体" w:hAnsi="宋体"/>
                <w:b/>
                <w:bCs/>
                <w:spacing w:val="30"/>
                <w:szCs w:val="21"/>
              </w:rPr>
            </w:pPr>
          </w:p>
        </w:tc>
        <w:tc>
          <w:tcPr>
            <w:tcW w:w="932" w:type="dxa"/>
            <w:tcBorders>
              <w:top w:val="single" w:color="auto" w:sz="4" w:space="0"/>
              <w:left w:val="single" w:color="auto" w:sz="4" w:space="0"/>
              <w:bottom w:val="single" w:color="auto" w:sz="4" w:space="0"/>
              <w:right w:val="single" w:color="auto" w:sz="4" w:space="0"/>
            </w:tcBorders>
            <w:vAlign w:val="center"/>
          </w:tcPr>
          <w:p w14:paraId="5BB4A08C">
            <w:pPr>
              <w:rPr>
                <w:rFonts w:ascii="宋体" w:hAnsi="宋体"/>
                <w:b/>
                <w:bCs/>
                <w:spacing w:val="3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0328E25">
            <w:pPr>
              <w:rPr>
                <w:rFonts w:ascii="宋体" w:hAnsi="宋体"/>
                <w:b/>
                <w:bCs/>
                <w:spacing w:val="30"/>
                <w:szCs w:val="21"/>
              </w:rPr>
            </w:pPr>
          </w:p>
        </w:tc>
      </w:tr>
      <w:tr w14:paraId="7E02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3202" w:type="dxa"/>
            <w:gridSpan w:val="10"/>
            <w:tcBorders>
              <w:top w:val="single" w:color="auto" w:sz="4" w:space="0"/>
              <w:left w:val="single" w:color="auto" w:sz="4" w:space="0"/>
              <w:bottom w:val="single" w:color="auto" w:sz="4" w:space="0"/>
              <w:right w:val="single" w:color="auto" w:sz="4" w:space="0"/>
            </w:tcBorders>
          </w:tcPr>
          <w:p w14:paraId="1A622596">
            <w:pPr>
              <w:spacing w:line="360" w:lineRule="auto"/>
              <w:rPr>
                <w:rFonts w:ascii="黑体" w:hAnsi="Verdana" w:eastAsia="黑体"/>
                <w:szCs w:val="21"/>
              </w:rPr>
            </w:pPr>
            <w:r>
              <w:rPr>
                <w:rFonts w:hint="eastAsia" w:ascii="黑体" w:hAnsi="Verdana" w:eastAsia="黑体"/>
                <w:szCs w:val="21"/>
              </w:rPr>
              <w:t>评标委员会签名：</w:t>
            </w:r>
          </w:p>
          <w:p w14:paraId="0314A9AB">
            <w:pPr>
              <w:rPr>
                <w:rFonts w:ascii="黑体" w:hAnsi="Verdana" w:eastAsia="黑体"/>
                <w:szCs w:val="21"/>
              </w:rPr>
            </w:pPr>
            <w:r>
              <w:rPr>
                <w:rFonts w:hint="eastAsia" w:ascii="黑体" w:hAnsi="Verdana" w:eastAsia="黑体"/>
                <w:szCs w:val="21"/>
              </w:rPr>
              <w:t xml:space="preserve">      </w:t>
            </w:r>
          </w:p>
          <w:p w14:paraId="1274316A">
            <w:pPr>
              <w:rPr>
                <w:rFonts w:ascii="黑体" w:hAnsi="Verdana" w:eastAsia="黑体"/>
                <w:szCs w:val="21"/>
              </w:rPr>
            </w:pPr>
          </w:p>
          <w:p w14:paraId="3812CF90">
            <w:pPr>
              <w:jc w:val="right"/>
              <w:rPr>
                <w:rFonts w:ascii="宋体" w:hAnsi="宋体"/>
                <w:b/>
                <w:bCs/>
                <w:spacing w:val="30"/>
                <w:szCs w:val="21"/>
              </w:rPr>
            </w:pPr>
            <w:r>
              <w:rPr>
                <w:rFonts w:hint="eastAsia" w:ascii="黑体" w:hAnsi="Verdana" w:eastAsia="黑体"/>
                <w:szCs w:val="21"/>
              </w:rPr>
              <w:t>日期：     年   月  日</w:t>
            </w:r>
          </w:p>
        </w:tc>
      </w:tr>
    </w:tbl>
    <w:p w14:paraId="4B12233D">
      <w:pPr>
        <w:jc w:val="right"/>
        <w:rPr>
          <w:rFonts w:ascii="黑体" w:eastAsia="黑体"/>
          <w:szCs w:val="21"/>
        </w:rPr>
      </w:pPr>
    </w:p>
    <w:p w14:paraId="58373C34">
      <w:pPr>
        <w:rPr>
          <w:rFonts w:ascii="黑体" w:eastAsia="黑体"/>
          <w:szCs w:val="21"/>
        </w:rPr>
      </w:pPr>
      <w:r>
        <w:rPr>
          <w:rFonts w:hint="eastAsia" w:ascii="黑体" w:eastAsia="黑体"/>
          <w:szCs w:val="21"/>
        </w:rPr>
        <w:t>注：</w:t>
      </w:r>
    </w:p>
    <w:p w14:paraId="4AF45D94">
      <w:pPr>
        <w:spacing w:line="360" w:lineRule="auto"/>
        <w:ind w:firstLine="420" w:firstLineChars="200"/>
        <w:jc w:val="left"/>
        <w:rPr>
          <w:rFonts w:ascii="黑体" w:eastAsia="黑体"/>
          <w:szCs w:val="21"/>
        </w:rPr>
      </w:pPr>
      <w:r>
        <w:rPr>
          <w:rFonts w:hint="eastAsia" w:ascii="黑体" w:eastAsia="黑体"/>
          <w:szCs w:val="21"/>
        </w:rPr>
        <w:t>1.采用定量评审时最终评定得分为去掉评委最高分、最低分后的算术平均值。</w:t>
      </w:r>
    </w:p>
    <w:p w14:paraId="53F2DD84">
      <w:pPr>
        <w:spacing w:line="360" w:lineRule="auto"/>
        <w:ind w:firstLine="420" w:firstLineChars="200"/>
        <w:jc w:val="left"/>
        <w:rPr>
          <w:sz w:val="84"/>
          <w:szCs w:val="20"/>
        </w:rPr>
      </w:pPr>
      <w:r>
        <w:rPr>
          <w:rFonts w:hint="eastAsia" w:ascii="黑体" w:eastAsia="黑体"/>
          <w:szCs w:val="21"/>
        </w:rPr>
        <w:t>2.采用定性评审时超过半数的评委对某一投标单位的技术标判定不合格，则该投标人的技术标为不合格;若超过半数的评委对某一投标单位的技术标判定合格，则该投标单位的技术标为合格。</w:t>
      </w:r>
    </w:p>
    <w:p w14:paraId="26998565">
      <w:pPr>
        <w:spacing w:line="360" w:lineRule="auto"/>
        <w:jc w:val="left"/>
        <w:rPr>
          <w:rFonts w:ascii="宋体" w:hAnsi="宋体"/>
          <w:b/>
          <w:sz w:val="24"/>
        </w:rPr>
        <w:sectPr>
          <w:pgSz w:w="15840" w:h="12240" w:orient="landscape"/>
          <w:pgMar w:top="1797" w:right="1440" w:bottom="1797" w:left="1440" w:header="720" w:footer="720" w:gutter="0"/>
          <w:cols w:space="720" w:num="1"/>
        </w:sectPr>
      </w:pPr>
    </w:p>
    <w:p w14:paraId="75DFFDC1">
      <w:pPr>
        <w:spacing w:line="360" w:lineRule="auto"/>
        <w:ind w:firstLine="482" w:firstLineChars="200"/>
        <w:rPr>
          <w:rFonts w:ascii="宋体" w:hAnsi="宋体"/>
          <w:b/>
          <w:sz w:val="24"/>
        </w:rPr>
      </w:pPr>
    </w:p>
    <w:p w14:paraId="2695EB1B">
      <w:pPr>
        <w:pStyle w:val="9"/>
        <w:spacing w:line="317" w:lineRule="auto"/>
        <w:ind w:left="1452" w:firstLine="1285" w:firstLineChars="400"/>
        <w:rPr>
          <w:rFonts w:ascii="黑体" w:hAnsi="黑体"/>
          <w:sz w:val="32"/>
          <w:szCs w:val="32"/>
        </w:rPr>
      </w:pPr>
      <w:r>
        <w:rPr>
          <w:rFonts w:hint="eastAsia" w:ascii="黑体" w:hAnsi="黑体"/>
          <w:sz w:val="32"/>
          <w:szCs w:val="32"/>
        </w:rPr>
        <w:t>（二）商务标评审细则</w:t>
      </w:r>
    </w:p>
    <w:p w14:paraId="407EE6A8">
      <w:pPr>
        <w:spacing w:line="360" w:lineRule="auto"/>
        <w:ind w:firstLine="562" w:firstLineChars="200"/>
        <w:rPr>
          <w:rFonts w:ascii="仿宋" w:hAnsi="仿宋" w:eastAsia="仿宋" w:cs="宋体"/>
          <w:kern w:val="0"/>
          <w:sz w:val="28"/>
          <w:szCs w:val="28"/>
        </w:rPr>
      </w:pPr>
      <w:r>
        <w:rPr>
          <w:rFonts w:hint="eastAsia" w:ascii="仿宋" w:hAnsi="仿宋" w:eastAsia="仿宋"/>
          <w:b/>
          <w:color w:val="000000"/>
          <w:sz w:val="28"/>
          <w:szCs w:val="28"/>
        </w:rPr>
        <w:t>商务标定量评审细则：</w:t>
      </w:r>
    </w:p>
    <w:p w14:paraId="41E0ED14">
      <w:pPr>
        <w:spacing w:line="360" w:lineRule="auto"/>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评审细则</w:t>
      </w:r>
    </w:p>
    <w:p w14:paraId="1E089596">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（1）将通过初步评审的商务标报价按由低至高的顺序进行排序，去掉最低投标价以及最高投标价之后，再对剩余投标人的投标价取算术平均值，此算术平均值为评标基准值X1，并以X1作为评标基准价。</w:t>
      </w:r>
    </w:p>
    <w:p w14:paraId="59585EC7">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（2）投标报价等于评标基准价的得100分；投标人投标报价（Xn）每大于评标基准价1个百分点扣2分（不足1%的部分按1%计，下同）；投标人投标报价（Xn）每小于评标基准价1个百分点扣1分。</w:t>
      </w:r>
    </w:p>
    <w:p w14:paraId="415A99D7">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（3）设投标人的投标报价为Xn，得分S计算方法如下：</w:t>
      </w:r>
    </w:p>
    <w:p w14:paraId="55E1BCF5">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S=100-│Xn – X1│÷X1×100×2（或1）</w:t>
      </w:r>
    </w:p>
    <w:p w14:paraId="3E28C91F">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注：当价格分＜0时，取0。得分精确到小数点后二位。</w:t>
      </w:r>
    </w:p>
    <w:p w14:paraId="22B57780">
      <w:pPr>
        <w:spacing w:line="360" w:lineRule="auto"/>
        <w:jc w:val="center"/>
        <w:rPr>
          <w:rFonts w:ascii="黑体" w:hAnsi="黑体" w:eastAsia="黑体"/>
          <w:sz w:val="30"/>
          <w:szCs w:val="30"/>
        </w:rPr>
      </w:pPr>
      <w:r>
        <w:rPr>
          <w:rFonts w:hint="eastAsia" w:ascii="仿宋" w:hAnsi="仿宋" w:eastAsia="仿宋" w:cs="宋体"/>
          <w:kern w:val="0"/>
          <w:sz w:val="28"/>
          <w:szCs w:val="28"/>
        </w:rPr>
        <w:br w:type="page"/>
      </w:r>
      <w:r>
        <w:rPr>
          <w:rFonts w:hint="eastAsia" w:ascii="黑体" w:hAnsi="黑体" w:eastAsia="黑体"/>
          <w:sz w:val="30"/>
          <w:szCs w:val="30"/>
        </w:rPr>
        <w:t>商务标评分表</w:t>
      </w:r>
    </w:p>
    <w:tbl>
      <w:tblPr>
        <w:tblStyle w:val="38"/>
        <w:tblW w:w="8960" w:type="dxa"/>
        <w:tblInd w:w="93" w:type="dxa"/>
        <w:tblLayout w:type="autofit"/>
        <w:tblCellMar>
          <w:top w:w="0" w:type="dxa"/>
          <w:left w:w="108" w:type="dxa"/>
          <w:bottom w:w="0" w:type="dxa"/>
          <w:right w:w="108" w:type="dxa"/>
        </w:tblCellMar>
      </w:tblPr>
      <w:tblGrid>
        <w:gridCol w:w="780"/>
        <w:gridCol w:w="2240"/>
        <w:gridCol w:w="2605"/>
        <w:gridCol w:w="3335"/>
      </w:tblGrid>
      <w:tr w14:paraId="11685D08">
        <w:tblPrEx>
          <w:tblCellMar>
            <w:top w:w="0" w:type="dxa"/>
            <w:left w:w="108" w:type="dxa"/>
            <w:bottom w:w="0" w:type="dxa"/>
            <w:right w:w="108" w:type="dxa"/>
          </w:tblCellMar>
        </w:tblPrEx>
        <w:trPr>
          <w:trHeight w:val="499" w:hRule="atLeast"/>
        </w:trPr>
        <w:tc>
          <w:tcPr>
            <w:tcW w:w="8960" w:type="dxa"/>
            <w:gridSpan w:val="4"/>
            <w:tcBorders>
              <w:top w:val="single" w:color="auto" w:sz="4" w:space="0"/>
              <w:left w:val="single" w:color="auto" w:sz="4" w:space="0"/>
              <w:bottom w:val="single" w:color="auto" w:sz="4" w:space="0"/>
              <w:right w:val="single" w:color="auto" w:sz="4" w:space="0"/>
            </w:tcBorders>
            <w:noWrap/>
            <w:vAlign w:val="center"/>
          </w:tcPr>
          <w:p w14:paraId="3E6F0906">
            <w:pPr>
              <w:jc w:val="left"/>
              <w:rPr>
                <w:rFonts w:hint="default" w:ascii="黑体" w:hAnsi="黑体" w:eastAsia="黑体" w:cs="宋体"/>
                <w:color w:val="000000"/>
                <w:kern w:val="0"/>
                <w:sz w:val="24"/>
                <w:lang w:val="en-US" w:eastAsia="zh-CN"/>
              </w:rPr>
            </w:pPr>
            <w:r>
              <w:rPr>
                <w:rFonts w:hint="eastAsia" w:ascii="黑体" w:hAnsi="黑体" w:eastAsia="黑体" w:cs="宋体"/>
                <w:color w:val="000000"/>
                <w:kern w:val="0"/>
                <w:sz w:val="24"/>
              </w:rPr>
              <w:t>项目名称：</w:t>
            </w:r>
            <w:r>
              <w:rPr>
                <w:rFonts w:hint="eastAsia" w:ascii="黑体" w:hAnsi="黑体" w:eastAsia="黑体" w:cs="黑体"/>
                <w:b/>
                <w:sz w:val="24"/>
                <w:lang w:val="en-US" w:eastAsia="zh-CN"/>
              </w:rPr>
              <w:t>深圳华南城一期市场阳光棚维修工程</w:t>
            </w:r>
          </w:p>
        </w:tc>
      </w:tr>
      <w:tr w14:paraId="48AB37F6">
        <w:tblPrEx>
          <w:tblCellMar>
            <w:top w:w="0" w:type="dxa"/>
            <w:left w:w="108" w:type="dxa"/>
            <w:bottom w:w="0" w:type="dxa"/>
            <w:right w:w="108" w:type="dxa"/>
          </w:tblCellMar>
        </w:tblPrEx>
        <w:trPr>
          <w:trHeight w:val="499" w:hRule="atLeast"/>
        </w:trPr>
        <w:tc>
          <w:tcPr>
            <w:tcW w:w="5625" w:type="dxa"/>
            <w:gridSpan w:val="3"/>
            <w:tcBorders>
              <w:top w:val="single" w:color="auto" w:sz="4" w:space="0"/>
              <w:left w:val="single" w:color="auto" w:sz="4" w:space="0"/>
              <w:bottom w:val="single" w:color="auto" w:sz="4" w:space="0"/>
              <w:right w:val="single" w:color="auto" w:sz="4" w:space="0"/>
            </w:tcBorders>
            <w:noWrap/>
            <w:vAlign w:val="center"/>
          </w:tcPr>
          <w:p w14:paraId="07A5528E">
            <w:pPr>
              <w:jc w:val="left"/>
              <w:rPr>
                <w:rFonts w:ascii="黑体" w:hAnsi="黑体" w:eastAsia="黑体" w:cs="宋体"/>
                <w:b/>
                <w:bCs/>
                <w:color w:val="000000"/>
                <w:kern w:val="0"/>
                <w:sz w:val="24"/>
              </w:rPr>
            </w:pPr>
            <w:r>
              <w:rPr>
                <w:rFonts w:hint="eastAsia" w:ascii="黑体" w:hAnsi="黑体" w:eastAsia="黑体" w:cs="宋体"/>
                <w:b/>
                <w:bCs/>
                <w:color w:val="000000"/>
                <w:kern w:val="0"/>
                <w:sz w:val="24"/>
              </w:rPr>
              <w:t>投标报价上限（元）：</w:t>
            </w:r>
          </w:p>
        </w:tc>
        <w:tc>
          <w:tcPr>
            <w:tcW w:w="3335" w:type="dxa"/>
            <w:tcBorders>
              <w:top w:val="single" w:color="auto" w:sz="4" w:space="0"/>
              <w:left w:val="nil"/>
              <w:bottom w:val="single" w:color="auto" w:sz="4" w:space="0"/>
              <w:right w:val="single" w:color="auto" w:sz="4" w:space="0"/>
            </w:tcBorders>
            <w:noWrap/>
            <w:vAlign w:val="center"/>
          </w:tcPr>
          <w:p w14:paraId="11064437">
            <w:pPr>
              <w:jc w:val="left"/>
              <w:rPr>
                <w:rFonts w:ascii="黑体" w:hAnsi="黑体" w:eastAsia="黑体" w:cs="宋体"/>
                <w:b/>
                <w:bCs/>
                <w:color w:val="000000"/>
                <w:kern w:val="0"/>
                <w:sz w:val="24"/>
              </w:rPr>
            </w:pPr>
            <w:r>
              <w:rPr>
                <w:rFonts w:hint="eastAsia" w:ascii="黑体" w:hAnsi="黑体" w:eastAsia="黑体" w:cs="宋体"/>
                <w:b/>
                <w:bCs/>
                <w:color w:val="000000"/>
                <w:kern w:val="0"/>
                <w:sz w:val="24"/>
              </w:rPr>
              <w:t>抽取下浮率：/</w:t>
            </w:r>
          </w:p>
        </w:tc>
      </w:tr>
      <w:tr w14:paraId="49464ECF">
        <w:tblPrEx>
          <w:tblCellMar>
            <w:top w:w="0" w:type="dxa"/>
            <w:left w:w="108" w:type="dxa"/>
            <w:bottom w:w="0" w:type="dxa"/>
            <w:right w:w="108" w:type="dxa"/>
          </w:tblCellMar>
        </w:tblPrEx>
        <w:trPr>
          <w:trHeight w:val="1320" w:hRule="atLeast"/>
        </w:trPr>
        <w:tc>
          <w:tcPr>
            <w:tcW w:w="5625" w:type="dxa"/>
            <w:gridSpan w:val="3"/>
            <w:tcBorders>
              <w:top w:val="single" w:color="auto" w:sz="4" w:space="0"/>
              <w:left w:val="single" w:color="auto" w:sz="4" w:space="0"/>
              <w:bottom w:val="single" w:color="auto" w:sz="4" w:space="0"/>
              <w:right w:val="single" w:color="auto" w:sz="4" w:space="0"/>
            </w:tcBorders>
            <w:vAlign w:val="center"/>
          </w:tcPr>
          <w:p w14:paraId="62B4565E">
            <w:pPr>
              <w:jc w:val="left"/>
              <w:rPr>
                <w:rFonts w:ascii="黑体" w:hAnsi="黑体" w:eastAsia="黑体" w:cs="宋体"/>
                <w:color w:val="000000"/>
                <w:kern w:val="0"/>
                <w:sz w:val="24"/>
              </w:rPr>
            </w:pPr>
            <w:r>
              <w:rPr>
                <w:rFonts w:hint="eastAsia" w:ascii="黑体" w:hAnsi="黑体" w:eastAsia="黑体" w:cs="宋体"/>
                <w:b/>
                <w:bCs/>
                <w:color w:val="000000"/>
                <w:kern w:val="0"/>
                <w:sz w:val="24"/>
              </w:rPr>
              <w:t>评标基准价计算规则</w:t>
            </w:r>
            <w:r>
              <w:rPr>
                <w:rFonts w:hint="eastAsia" w:ascii="黑体" w:hAnsi="黑体" w:eastAsia="黑体" w:cs="宋体"/>
                <w:color w:val="000000"/>
                <w:kern w:val="0"/>
                <w:sz w:val="24"/>
              </w:rPr>
              <w:t>：</w:t>
            </w:r>
            <w:r>
              <w:rPr>
                <w:rFonts w:hint="eastAsia" w:ascii="仿宋" w:hAnsi="仿宋" w:eastAsia="仿宋" w:cs="宋体"/>
                <w:color w:val="000000"/>
                <w:kern w:val="0"/>
                <w:szCs w:val="21"/>
              </w:rPr>
              <w:t>将通过初步评审的商务标报价按由低至高的顺序进行排序，去掉最低投标价以及最高投标价之后，再对剩余投标人的投标价取算术平均值，此算术平均值为评标基准值X1，并以X1作为评标基准价。</w:t>
            </w:r>
          </w:p>
        </w:tc>
        <w:tc>
          <w:tcPr>
            <w:tcW w:w="3335" w:type="dxa"/>
            <w:tcBorders>
              <w:top w:val="single" w:color="auto" w:sz="4" w:space="0"/>
              <w:left w:val="nil"/>
              <w:bottom w:val="single" w:color="auto" w:sz="4" w:space="0"/>
              <w:right w:val="single" w:color="auto" w:sz="4" w:space="0"/>
            </w:tcBorders>
            <w:noWrap/>
            <w:vAlign w:val="center"/>
          </w:tcPr>
          <w:p w14:paraId="3EE31671">
            <w:pPr>
              <w:jc w:val="left"/>
              <w:rPr>
                <w:rFonts w:ascii="黑体" w:hAnsi="黑体" w:eastAsia="黑体" w:cs="宋体"/>
                <w:color w:val="000000"/>
                <w:kern w:val="0"/>
                <w:sz w:val="24"/>
              </w:rPr>
            </w:pPr>
            <w:r>
              <w:rPr>
                <w:rFonts w:hint="eastAsia" w:ascii="黑体" w:hAnsi="黑体" w:eastAsia="黑体" w:cs="宋体"/>
                <w:b/>
                <w:bCs/>
                <w:color w:val="000000"/>
                <w:kern w:val="0"/>
                <w:sz w:val="24"/>
              </w:rPr>
              <w:t>评标基准价X1（元）</w:t>
            </w:r>
            <w:r>
              <w:rPr>
                <w:rFonts w:hint="eastAsia" w:ascii="黑体" w:hAnsi="黑体" w:eastAsia="黑体" w:cs="宋体"/>
                <w:color w:val="000000"/>
                <w:kern w:val="0"/>
                <w:sz w:val="24"/>
              </w:rPr>
              <w:t>：</w:t>
            </w:r>
          </w:p>
        </w:tc>
      </w:tr>
      <w:tr w14:paraId="536CB1C3">
        <w:tblPrEx>
          <w:tblCellMar>
            <w:top w:w="0" w:type="dxa"/>
            <w:left w:w="108" w:type="dxa"/>
            <w:bottom w:w="0" w:type="dxa"/>
            <w:right w:w="108" w:type="dxa"/>
          </w:tblCellMar>
        </w:tblPrEx>
        <w:trPr>
          <w:trHeight w:val="1530" w:hRule="atLeast"/>
        </w:trPr>
        <w:tc>
          <w:tcPr>
            <w:tcW w:w="5625" w:type="dxa"/>
            <w:gridSpan w:val="3"/>
            <w:tcBorders>
              <w:top w:val="single" w:color="auto" w:sz="4" w:space="0"/>
              <w:left w:val="single" w:color="auto" w:sz="4" w:space="0"/>
              <w:bottom w:val="single" w:color="auto" w:sz="4" w:space="0"/>
              <w:right w:val="single" w:color="auto" w:sz="4" w:space="0"/>
            </w:tcBorders>
            <w:vAlign w:val="center"/>
          </w:tcPr>
          <w:p w14:paraId="13C4EF1A">
            <w:pPr>
              <w:rPr>
                <w:rFonts w:ascii="黑体" w:hAnsi="黑体" w:eastAsia="黑体" w:cs="宋体"/>
                <w:color w:val="000000"/>
                <w:kern w:val="0"/>
                <w:sz w:val="24"/>
              </w:rPr>
            </w:pPr>
            <w:r>
              <w:rPr>
                <w:rFonts w:hint="eastAsia" w:ascii="黑体" w:hAnsi="黑体" w:eastAsia="黑体" w:cs="宋体"/>
                <w:b/>
                <w:bCs/>
                <w:color w:val="000000"/>
                <w:kern w:val="0"/>
                <w:sz w:val="24"/>
              </w:rPr>
              <w:t>投标报价评分规则：</w:t>
            </w:r>
            <w:r>
              <w:rPr>
                <w:rFonts w:hint="eastAsia" w:ascii="仿宋" w:hAnsi="仿宋" w:eastAsia="仿宋" w:cs="宋体"/>
                <w:color w:val="000000"/>
                <w:kern w:val="0"/>
                <w:szCs w:val="21"/>
              </w:rPr>
              <w:t>投标报价等于评标基准价的得100分；投标人投标报价（Xn）每大于评标基准价1个百分点扣2分（不足1%的部分按1%计，下同）；投标人投标报价（Xn）每小于评标基准价1个百分点扣1分。</w:t>
            </w:r>
          </w:p>
        </w:tc>
        <w:tc>
          <w:tcPr>
            <w:tcW w:w="3335" w:type="dxa"/>
            <w:tcBorders>
              <w:top w:val="single" w:color="auto" w:sz="4" w:space="0"/>
              <w:left w:val="nil"/>
              <w:bottom w:val="single" w:color="auto" w:sz="4" w:space="0"/>
              <w:right w:val="single" w:color="auto" w:sz="4" w:space="0"/>
            </w:tcBorders>
            <w:vAlign w:val="center"/>
          </w:tcPr>
          <w:p w14:paraId="7A22676E">
            <w:pPr>
              <w:jc w:val="left"/>
              <w:rPr>
                <w:rFonts w:ascii="仿宋" w:hAnsi="仿宋" w:eastAsia="仿宋" w:cs="宋体"/>
                <w:color w:val="000000"/>
                <w:kern w:val="0"/>
                <w:szCs w:val="21"/>
              </w:rPr>
            </w:pPr>
            <w:r>
              <w:rPr>
                <w:rFonts w:hint="eastAsia" w:ascii="黑体" w:hAnsi="黑体" w:eastAsia="黑体" w:cs="宋体"/>
                <w:b/>
                <w:bCs/>
                <w:color w:val="000000"/>
                <w:kern w:val="0"/>
                <w:sz w:val="24"/>
              </w:rPr>
              <w:t>评分公式：</w:t>
            </w:r>
            <w:r>
              <w:rPr>
                <w:rFonts w:hint="eastAsia" w:ascii="仿宋" w:hAnsi="仿宋" w:eastAsia="仿宋" w:cs="宋体"/>
                <w:color w:val="000000"/>
                <w:kern w:val="0"/>
                <w:szCs w:val="21"/>
              </w:rPr>
              <w:t>S=100-│Xn – X1│÷X1×100×2（或1）</w:t>
            </w:r>
          </w:p>
          <w:p w14:paraId="6A5B779E">
            <w:pPr>
              <w:jc w:val="left"/>
              <w:rPr>
                <w:rFonts w:ascii="仿宋" w:hAnsi="仿宋" w:eastAsia="仿宋" w:cs="宋体"/>
                <w:color w:val="000000"/>
                <w:kern w:val="0"/>
                <w:szCs w:val="21"/>
              </w:rPr>
            </w:pPr>
            <w:r>
              <w:rPr>
                <w:rFonts w:hint="eastAsia" w:ascii="仿宋" w:hAnsi="仿宋" w:eastAsia="仿宋" w:cs="宋体"/>
                <w:color w:val="000000"/>
                <w:kern w:val="0"/>
                <w:szCs w:val="21"/>
              </w:rPr>
              <w:t>注：当价格分&lt;0时，取0。得分精确到小数点后二位。</w:t>
            </w:r>
          </w:p>
        </w:tc>
      </w:tr>
      <w:tr w14:paraId="1BCD9E31">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32A49598">
            <w:pPr>
              <w:jc w:val="left"/>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2240" w:type="dxa"/>
            <w:tcBorders>
              <w:top w:val="nil"/>
              <w:left w:val="nil"/>
              <w:bottom w:val="single" w:color="auto" w:sz="4" w:space="0"/>
              <w:right w:val="single" w:color="auto" w:sz="4" w:space="0"/>
            </w:tcBorders>
            <w:noWrap/>
            <w:vAlign w:val="center"/>
          </w:tcPr>
          <w:p w14:paraId="6BF33FD8">
            <w:pPr>
              <w:jc w:val="center"/>
              <w:rPr>
                <w:rFonts w:ascii="黑体" w:hAnsi="黑体" w:eastAsia="黑体" w:cs="宋体"/>
                <w:color w:val="000000"/>
                <w:kern w:val="0"/>
                <w:sz w:val="24"/>
              </w:rPr>
            </w:pPr>
            <w:r>
              <w:rPr>
                <w:rFonts w:hint="eastAsia" w:ascii="黑体" w:hAnsi="黑体" w:eastAsia="黑体" w:cs="宋体"/>
                <w:color w:val="000000"/>
                <w:kern w:val="0"/>
                <w:sz w:val="24"/>
              </w:rPr>
              <w:t>投标单位名称</w:t>
            </w:r>
          </w:p>
        </w:tc>
        <w:tc>
          <w:tcPr>
            <w:tcW w:w="2605" w:type="dxa"/>
            <w:tcBorders>
              <w:top w:val="nil"/>
              <w:left w:val="nil"/>
              <w:bottom w:val="single" w:color="auto" w:sz="4" w:space="0"/>
              <w:right w:val="single" w:color="auto" w:sz="4" w:space="0"/>
            </w:tcBorders>
            <w:noWrap/>
            <w:vAlign w:val="center"/>
          </w:tcPr>
          <w:p w14:paraId="6F41C98E">
            <w:pPr>
              <w:jc w:val="center"/>
              <w:rPr>
                <w:rFonts w:ascii="黑体" w:hAnsi="黑体" w:eastAsia="黑体" w:cs="宋体"/>
                <w:color w:val="000000"/>
                <w:kern w:val="0"/>
                <w:sz w:val="24"/>
              </w:rPr>
            </w:pPr>
            <w:r>
              <w:rPr>
                <w:rFonts w:hint="eastAsia" w:ascii="黑体" w:hAnsi="黑体" w:eastAsia="黑体" w:cs="宋体"/>
                <w:color w:val="000000"/>
                <w:kern w:val="0"/>
                <w:sz w:val="24"/>
              </w:rPr>
              <w:t>投标报价（元）</w:t>
            </w:r>
          </w:p>
        </w:tc>
        <w:tc>
          <w:tcPr>
            <w:tcW w:w="3335" w:type="dxa"/>
            <w:tcBorders>
              <w:top w:val="nil"/>
              <w:left w:val="nil"/>
              <w:bottom w:val="single" w:color="auto" w:sz="4" w:space="0"/>
              <w:right w:val="single" w:color="auto" w:sz="4" w:space="0"/>
            </w:tcBorders>
            <w:vAlign w:val="center"/>
          </w:tcPr>
          <w:p w14:paraId="3603AEDE">
            <w:pPr>
              <w:jc w:val="center"/>
              <w:rPr>
                <w:rFonts w:ascii="黑体" w:hAnsi="黑体" w:eastAsia="黑体" w:cs="宋体"/>
                <w:color w:val="000000"/>
                <w:kern w:val="0"/>
                <w:sz w:val="24"/>
              </w:rPr>
            </w:pPr>
            <w:r>
              <w:rPr>
                <w:rFonts w:hint="eastAsia" w:ascii="黑体" w:hAnsi="黑体" w:eastAsia="黑体" w:cs="宋体"/>
                <w:color w:val="000000"/>
                <w:kern w:val="0"/>
                <w:sz w:val="24"/>
              </w:rPr>
              <w:t>得分S</w:t>
            </w:r>
          </w:p>
        </w:tc>
      </w:tr>
      <w:tr w14:paraId="5E4B1445">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75F4F43A">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7B32F416">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7708F13A">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vAlign w:val="center"/>
          </w:tcPr>
          <w:p w14:paraId="05C4BCC2">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60421A42">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4345D3C2">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029E22E6">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46F94166">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noWrap/>
            <w:vAlign w:val="center"/>
          </w:tcPr>
          <w:p w14:paraId="19C3E867">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14A3E8D7">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0178672F">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72C8A285">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56B445C2">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noWrap/>
            <w:vAlign w:val="center"/>
          </w:tcPr>
          <w:p w14:paraId="27892BCA">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203989F9">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25EE5CCF">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7E301A45">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47A68736">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noWrap/>
            <w:vAlign w:val="center"/>
          </w:tcPr>
          <w:p w14:paraId="263035F4">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70CE171F">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45067C5D">
            <w:pPr>
              <w:jc w:val="left"/>
              <w:rPr>
                <w:rFonts w:ascii="黑体" w:hAnsi="黑体" w:eastAsia="黑体" w:cs="宋体"/>
                <w:color w:val="000000"/>
                <w:kern w:val="0"/>
                <w:sz w:val="24"/>
              </w:rPr>
            </w:pPr>
          </w:p>
        </w:tc>
        <w:tc>
          <w:tcPr>
            <w:tcW w:w="2240" w:type="dxa"/>
            <w:tcBorders>
              <w:top w:val="nil"/>
              <w:left w:val="nil"/>
              <w:bottom w:val="single" w:color="auto" w:sz="4" w:space="0"/>
              <w:right w:val="single" w:color="auto" w:sz="4" w:space="0"/>
            </w:tcBorders>
            <w:noWrap/>
            <w:vAlign w:val="center"/>
          </w:tcPr>
          <w:p w14:paraId="1A016DC0">
            <w:pPr>
              <w:jc w:val="center"/>
              <w:rPr>
                <w:rFonts w:ascii="黑体" w:hAnsi="黑体" w:eastAsia="黑体" w:cs="宋体"/>
                <w:color w:val="000000"/>
                <w:kern w:val="0"/>
                <w:sz w:val="24"/>
              </w:rPr>
            </w:pPr>
          </w:p>
        </w:tc>
        <w:tc>
          <w:tcPr>
            <w:tcW w:w="2605" w:type="dxa"/>
            <w:tcBorders>
              <w:top w:val="nil"/>
              <w:left w:val="nil"/>
              <w:bottom w:val="single" w:color="auto" w:sz="4" w:space="0"/>
              <w:right w:val="single" w:color="auto" w:sz="4" w:space="0"/>
            </w:tcBorders>
            <w:noWrap/>
            <w:vAlign w:val="center"/>
          </w:tcPr>
          <w:p w14:paraId="7D7CDE25">
            <w:pPr>
              <w:jc w:val="center"/>
              <w:rPr>
                <w:rFonts w:ascii="黑体" w:hAnsi="黑体" w:eastAsia="黑体" w:cs="宋体"/>
                <w:color w:val="000000"/>
                <w:kern w:val="0"/>
                <w:sz w:val="24"/>
              </w:rPr>
            </w:pPr>
          </w:p>
        </w:tc>
        <w:tc>
          <w:tcPr>
            <w:tcW w:w="3335" w:type="dxa"/>
            <w:tcBorders>
              <w:top w:val="nil"/>
              <w:left w:val="nil"/>
              <w:bottom w:val="single" w:color="auto" w:sz="4" w:space="0"/>
              <w:right w:val="single" w:color="auto" w:sz="4" w:space="0"/>
            </w:tcBorders>
            <w:noWrap/>
            <w:vAlign w:val="center"/>
          </w:tcPr>
          <w:p w14:paraId="5331649D">
            <w:pPr>
              <w:jc w:val="center"/>
              <w:rPr>
                <w:rFonts w:ascii="黑体" w:hAnsi="黑体" w:eastAsia="黑体" w:cs="宋体"/>
                <w:color w:val="000000"/>
                <w:kern w:val="0"/>
                <w:sz w:val="24"/>
              </w:rPr>
            </w:pPr>
          </w:p>
        </w:tc>
      </w:tr>
      <w:tr w14:paraId="5D9BACF8">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134ED162">
            <w:pPr>
              <w:jc w:val="left"/>
              <w:rPr>
                <w:rFonts w:ascii="黑体" w:hAnsi="黑体" w:eastAsia="黑体" w:cs="宋体"/>
                <w:color w:val="000000"/>
                <w:kern w:val="0"/>
                <w:sz w:val="24"/>
              </w:rPr>
            </w:pPr>
          </w:p>
        </w:tc>
        <w:tc>
          <w:tcPr>
            <w:tcW w:w="2240" w:type="dxa"/>
            <w:tcBorders>
              <w:top w:val="nil"/>
              <w:left w:val="nil"/>
              <w:bottom w:val="single" w:color="auto" w:sz="4" w:space="0"/>
              <w:right w:val="single" w:color="auto" w:sz="4" w:space="0"/>
            </w:tcBorders>
            <w:noWrap/>
            <w:vAlign w:val="center"/>
          </w:tcPr>
          <w:p w14:paraId="30B2032B">
            <w:pPr>
              <w:jc w:val="center"/>
              <w:rPr>
                <w:rFonts w:ascii="黑体" w:hAnsi="黑体" w:eastAsia="黑体" w:cs="宋体"/>
                <w:color w:val="000000"/>
                <w:kern w:val="0"/>
                <w:sz w:val="24"/>
              </w:rPr>
            </w:pPr>
          </w:p>
        </w:tc>
        <w:tc>
          <w:tcPr>
            <w:tcW w:w="2605" w:type="dxa"/>
            <w:tcBorders>
              <w:top w:val="nil"/>
              <w:left w:val="nil"/>
              <w:bottom w:val="single" w:color="auto" w:sz="4" w:space="0"/>
              <w:right w:val="single" w:color="auto" w:sz="4" w:space="0"/>
            </w:tcBorders>
            <w:noWrap/>
            <w:vAlign w:val="center"/>
          </w:tcPr>
          <w:p w14:paraId="5FE19881">
            <w:pPr>
              <w:jc w:val="center"/>
              <w:rPr>
                <w:rFonts w:ascii="黑体" w:hAnsi="黑体" w:eastAsia="黑体" w:cs="宋体"/>
                <w:color w:val="000000"/>
                <w:kern w:val="0"/>
                <w:sz w:val="24"/>
              </w:rPr>
            </w:pPr>
          </w:p>
        </w:tc>
        <w:tc>
          <w:tcPr>
            <w:tcW w:w="3335" w:type="dxa"/>
            <w:tcBorders>
              <w:top w:val="single" w:color="auto" w:sz="4" w:space="0"/>
              <w:left w:val="nil"/>
              <w:bottom w:val="single" w:color="auto" w:sz="4" w:space="0"/>
              <w:right w:val="single" w:color="auto" w:sz="4" w:space="0"/>
            </w:tcBorders>
            <w:noWrap/>
            <w:vAlign w:val="center"/>
          </w:tcPr>
          <w:p w14:paraId="666CE55D">
            <w:pPr>
              <w:jc w:val="center"/>
              <w:rPr>
                <w:rFonts w:ascii="黑体" w:hAnsi="黑体" w:eastAsia="黑体" w:cs="宋体"/>
                <w:color w:val="000000"/>
                <w:kern w:val="0"/>
                <w:sz w:val="24"/>
              </w:rPr>
            </w:pPr>
          </w:p>
        </w:tc>
      </w:tr>
      <w:tr w14:paraId="76FB05F3">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69475678">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700DCE7A">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60C5327B">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noWrap/>
            <w:vAlign w:val="center"/>
          </w:tcPr>
          <w:p w14:paraId="5C1138FA">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74B88943">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3CA0E689">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4CB0860B">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0F7EEA06">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noWrap/>
            <w:vAlign w:val="center"/>
          </w:tcPr>
          <w:p w14:paraId="14A74550">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5D3922C7">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1597C5AF">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c>
          <w:tcPr>
            <w:tcW w:w="2240" w:type="dxa"/>
            <w:tcBorders>
              <w:top w:val="nil"/>
              <w:left w:val="nil"/>
              <w:bottom w:val="single" w:color="auto" w:sz="4" w:space="0"/>
              <w:right w:val="single" w:color="auto" w:sz="4" w:space="0"/>
            </w:tcBorders>
            <w:noWrap/>
            <w:vAlign w:val="center"/>
          </w:tcPr>
          <w:p w14:paraId="60428C9A">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605" w:type="dxa"/>
            <w:tcBorders>
              <w:top w:val="nil"/>
              <w:left w:val="nil"/>
              <w:bottom w:val="single" w:color="auto" w:sz="4" w:space="0"/>
              <w:right w:val="single" w:color="auto" w:sz="4" w:space="0"/>
            </w:tcBorders>
            <w:noWrap/>
            <w:vAlign w:val="center"/>
          </w:tcPr>
          <w:p w14:paraId="7DF17CF1">
            <w:pPr>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3335" w:type="dxa"/>
            <w:tcBorders>
              <w:top w:val="nil"/>
              <w:left w:val="nil"/>
              <w:bottom w:val="single" w:color="auto" w:sz="4" w:space="0"/>
              <w:right w:val="single" w:color="auto" w:sz="4" w:space="0"/>
            </w:tcBorders>
            <w:noWrap/>
            <w:vAlign w:val="center"/>
          </w:tcPr>
          <w:p w14:paraId="6DBB9B9C">
            <w:pPr>
              <w:jc w:val="left"/>
              <w:rPr>
                <w:rFonts w:ascii="黑体" w:hAnsi="黑体" w:eastAsia="黑体" w:cs="宋体"/>
                <w:color w:val="000000"/>
                <w:kern w:val="0"/>
                <w:sz w:val="24"/>
              </w:rPr>
            </w:pPr>
            <w:r>
              <w:rPr>
                <w:rFonts w:hint="eastAsia" w:ascii="黑体" w:hAnsi="黑体" w:eastAsia="黑体" w:cs="宋体"/>
                <w:color w:val="000000"/>
                <w:kern w:val="0"/>
                <w:sz w:val="24"/>
              </w:rPr>
              <w:t>　　</w:t>
            </w:r>
          </w:p>
        </w:tc>
      </w:tr>
      <w:tr w14:paraId="0B5B4E8C">
        <w:tblPrEx>
          <w:tblCellMar>
            <w:top w:w="0" w:type="dxa"/>
            <w:left w:w="108" w:type="dxa"/>
            <w:bottom w:w="0" w:type="dxa"/>
            <w:right w:w="108" w:type="dxa"/>
          </w:tblCellMar>
        </w:tblPrEx>
        <w:trPr>
          <w:trHeight w:val="1646" w:hRule="atLeast"/>
        </w:trPr>
        <w:tc>
          <w:tcPr>
            <w:tcW w:w="8960" w:type="dxa"/>
            <w:gridSpan w:val="4"/>
            <w:tcBorders>
              <w:top w:val="single" w:color="auto" w:sz="4" w:space="0"/>
              <w:left w:val="single" w:color="auto" w:sz="4" w:space="0"/>
              <w:bottom w:val="single" w:color="auto" w:sz="4" w:space="0"/>
              <w:right w:val="single" w:color="auto" w:sz="4" w:space="0"/>
            </w:tcBorders>
            <w:noWrap/>
            <w:vAlign w:val="center"/>
          </w:tcPr>
          <w:p w14:paraId="6D7E44DE">
            <w:pPr>
              <w:spacing w:line="360" w:lineRule="auto"/>
              <w:rPr>
                <w:rFonts w:ascii="黑体" w:hAnsi="Verdana" w:eastAsia="黑体"/>
                <w:szCs w:val="21"/>
              </w:rPr>
            </w:pPr>
            <w:r>
              <w:rPr>
                <w:rFonts w:hint="eastAsia" w:ascii="黑体" w:hAnsi="Verdana" w:eastAsia="黑体"/>
                <w:szCs w:val="21"/>
              </w:rPr>
              <w:t>评标委员会签名：</w:t>
            </w:r>
          </w:p>
          <w:p w14:paraId="1734F78E">
            <w:pPr>
              <w:rPr>
                <w:rFonts w:ascii="黑体" w:hAnsi="Verdana" w:eastAsia="黑体"/>
                <w:szCs w:val="21"/>
              </w:rPr>
            </w:pPr>
            <w:r>
              <w:rPr>
                <w:rFonts w:hint="eastAsia" w:ascii="黑体" w:hAnsi="Verdana" w:eastAsia="黑体"/>
                <w:szCs w:val="21"/>
              </w:rPr>
              <w:t xml:space="preserve">      </w:t>
            </w:r>
          </w:p>
          <w:p w14:paraId="365B333E">
            <w:pPr>
              <w:rPr>
                <w:rFonts w:ascii="黑体" w:hAnsi="Verdana" w:eastAsia="黑体"/>
                <w:szCs w:val="21"/>
              </w:rPr>
            </w:pPr>
          </w:p>
          <w:p w14:paraId="21CD5E00">
            <w:pPr>
              <w:jc w:val="right"/>
              <w:rPr>
                <w:rFonts w:ascii="黑体" w:hAnsi="黑体" w:eastAsia="黑体" w:cs="宋体"/>
                <w:color w:val="000000"/>
                <w:kern w:val="0"/>
                <w:sz w:val="24"/>
              </w:rPr>
            </w:pPr>
            <w:r>
              <w:rPr>
                <w:rFonts w:hint="eastAsia" w:ascii="黑体" w:hAnsi="Verdana" w:eastAsia="黑体"/>
                <w:szCs w:val="21"/>
              </w:rPr>
              <w:t>日期：     年   月  日</w:t>
            </w:r>
          </w:p>
        </w:tc>
      </w:tr>
    </w:tbl>
    <w:p w14:paraId="0ADC0952">
      <w:pPr>
        <w:rPr>
          <w:rFonts w:ascii="黑体" w:hAnsi="黑体" w:eastAsia="黑体"/>
          <w:b/>
          <w:bCs/>
          <w:szCs w:val="21"/>
        </w:rPr>
      </w:pPr>
      <w:r>
        <w:rPr>
          <w:rFonts w:hint="eastAsia" w:ascii="黑体" w:hAnsi="黑体" w:eastAsia="黑体"/>
          <w:b/>
          <w:bCs/>
          <w:szCs w:val="21"/>
        </w:rPr>
        <w:t>备注：</w:t>
      </w:r>
    </w:p>
    <w:p w14:paraId="2D2330FC">
      <w:pPr>
        <w:spacing w:line="360" w:lineRule="auto"/>
        <w:ind w:firstLine="560" w:firstLineChars="200"/>
        <w:rPr>
          <w:rFonts w:ascii="仿宋" w:hAnsi="仿宋" w:eastAsia="仿宋" w:cs="宋体"/>
          <w:kern w:val="0"/>
          <w:sz w:val="28"/>
          <w:szCs w:val="28"/>
        </w:rPr>
      </w:pPr>
    </w:p>
    <w:p w14:paraId="26B2270D">
      <w:pPr>
        <w:pStyle w:val="9"/>
        <w:spacing w:line="317" w:lineRule="auto"/>
        <w:ind w:left="1452" w:firstLine="1285" w:firstLineChars="400"/>
        <w:rPr>
          <w:rFonts w:ascii="黑体" w:hAnsi="黑体"/>
          <w:sz w:val="32"/>
          <w:szCs w:val="32"/>
        </w:rPr>
      </w:pPr>
      <w:r>
        <w:rPr>
          <w:rFonts w:hint="eastAsia" w:ascii="黑体" w:hAnsi="黑体"/>
          <w:sz w:val="32"/>
          <w:szCs w:val="32"/>
        </w:rPr>
        <w:t>（三）资信标评审表</w:t>
      </w:r>
    </w:p>
    <w:p w14:paraId="2DBE3C4E">
      <w:pPr>
        <w:spacing w:line="360" w:lineRule="auto"/>
        <w:ind w:firstLine="3000" w:firstLineChars="1000"/>
        <w:rPr>
          <w:rFonts w:ascii="黑体" w:hAnsi="黑体" w:eastAsia="黑体"/>
          <w:sz w:val="30"/>
          <w:szCs w:val="30"/>
        </w:rPr>
      </w:pPr>
      <w:r>
        <w:rPr>
          <w:rFonts w:hint="eastAsia" w:ascii="黑体" w:hAnsi="黑体" w:eastAsia="黑体"/>
          <w:sz w:val="30"/>
          <w:szCs w:val="30"/>
        </w:rPr>
        <w:t>1.资信标定量评审表</w:t>
      </w:r>
    </w:p>
    <w:p w14:paraId="233254CA">
      <w:pPr>
        <w:spacing w:line="360" w:lineRule="auto"/>
        <w:jc w:val="left"/>
        <w:rPr>
          <w:rFonts w:hint="default" w:ascii="黑体" w:hAnsi="黑体" w:eastAsia="黑体" w:cs="黑体"/>
          <w:b/>
          <w:sz w:val="36"/>
          <w:szCs w:val="20"/>
          <w:lang w:val="en-US" w:eastAsia="zh-CN"/>
        </w:rPr>
      </w:pPr>
      <w:r>
        <w:rPr>
          <w:rFonts w:hint="eastAsia" w:ascii="黑体" w:hAnsi="黑体" w:eastAsia="黑体" w:cs="黑体"/>
          <w:b/>
          <w:sz w:val="24"/>
        </w:rPr>
        <w:t>项目名称：</w:t>
      </w:r>
      <w:r>
        <w:rPr>
          <w:rFonts w:hint="eastAsia" w:ascii="黑体" w:hAnsi="黑体" w:eastAsia="黑体" w:cs="黑体"/>
          <w:b/>
          <w:sz w:val="24"/>
          <w:lang w:val="en-US" w:eastAsia="zh-CN"/>
        </w:rPr>
        <w:t>深圳华南城一期市场阳光棚维修工程</w:t>
      </w:r>
    </w:p>
    <w:tbl>
      <w:tblPr>
        <w:tblStyle w:val="38"/>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635"/>
        <w:gridCol w:w="4374"/>
        <w:gridCol w:w="1500"/>
      </w:tblGrid>
      <w:tr w14:paraId="5DC4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14:paraId="7C0194D5">
            <w:pPr>
              <w:jc w:val="center"/>
              <w:rPr>
                <w:rFonts w:ascii="黑体" w:hAnsi="黑体" w:eastAsia="黑体"/>
                <w:b/>
                <w:sz w:val="24"/>
              </w:rPr>
            </w:pPr>
            <w:r>
              <w:rPr>
                <w:rFonts w:hint="eastAsia" w:ascii="黑体" w:hAnsi="黑体" w:eastAsia="黑体"/>
                <w:b/>
                <w:sz w:val="24"/>
              </w:rPr>
              <w:t>序号</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3949C912">
            <w:pPr>
              <w:jc w:val="center"/>
              <w:rPr>
                <w:rFonts w:ascii="黑体" w:hAnsi="黑体" w:eastAsia="黑体"/>
                <w:b/>
                <w:sz w:val="24"/>
              </w:rPr>
            </w:pPr>
            <w:r>
              <w:rPr>
                <w:rFonts w:hint="eastAsia" w:ascii="黑体" w:hAnsi="黑体" w:eastAsia="黑体"/>
                <w:b/>
                <w:sz w:val="24"/>
              </w:rPr>
              <w:t>评 审 内 容 及 要 求</w:t>
            </w:r>
          </w:p>
        </w:tc>
        <w:tc>
          <w:tcPr>
            <w:tcW w:w="4374" w:type="dxa"/>
            <w:vMerge w:val="restart"/>
            <w:tcBorders>
              <w:top w:val="single" w:color="auto" w:sz="4" w:space="0"/>
              <w:left w:val="single" w:color="auto" w:sz="4" w:space="0"/>
              <w:bottom w:val="single" w:color="auto" w:sz="4" w:space="0"/>
              <w:right w:val="single" w:color="auto" w:sz="4" w:space="0"/>
            </w:tcBorders>
            <w:vAlign w:val="center"/>
          </w:tcPr>
          <w:p w14:paraId="23CD8E96">
            <w:pPr>
              <w:jc w:val="center"/>
              <w:rPr>
                <w:rFonts w:ascii="黑体" w:hAnsi="黑体" w:eastAsia="黑体"/>
                <w:b/>
                <w:sz w:val="24"/>
              </w:rPr>
            </w:pPr>
            <w:r>
              <w:rPr>
                <w:rFonts w:hint="eastAsia" w:ascii="黑体" w:hAnsi="黑体" w:eastAsia="黑体"/>
                <w:b/>
                <w:sz w:val="24"/>
              </w:rPr>
              <w:t>分值范围</w:t>
            </w:r>
          </w:p>
        </w:tc>
        <w:tc>
          <w:tcPr>
            <w:tcW w:w="1500" w:type="dxa"/>
            <w:tcBorders>
              <w:top w:val="single" w:color="auto" w:sz="4" w:space="0"/>
              <w:left w:val="single" w:color="auto" w:sz="4" w:space="0"/>
              <w:bottom w:val="single" w:color="auto" w:sz="4" w:space="0"/>
              <w:right w:val="single" w:color="auto" w:sz="4" w:space="0"/>
            </w:tcBorders>
            <w:vAlign w:val="center"/>
          </w:tcPr>
          <w:p w14:paraId="7D992A1A">
            <w:pPr>
              <w:jc w:val="center"/>
              <w:rPr>
                <w:rFonts w:ascii="黑体" w:hAnsi="黑体" w:eastAsia="黑体"/>
                <w:b/>
                <w:sz w:val="24"/>
              </w:rPr>
            </w:pPr>
            <w:r>
              <w:rPr>
                <w:rFonts w:hint="eastAsia" w:ascii="黑体" w:hAnsi="黑体" w:eastAsia="黑体"/>
                <w:b/>
                <w:sz w:val="24"/>
              </w:rPr>
              <w:t>投标人1</w:t>
            </w:r>
          </w:p>
        </w:tc>
      </w:tr>
      <w:tr w14:paraId="7FD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62A910">
            <w:pPr>
              <w:jc w:val="left"/>
              <w:rPr>
                <w:rFonts w:ascii="黑体" w:hAnsi="黑体" w:eastAsia="黑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24AE6E">
            <w:pPr>
              <w:jc w:val="left"/>
              <w:rPr>
                <w:rFonts w:ascii="黑体" w:hAnsi="黑体" w:eastAsia="黑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E45DB6">
            <w:pPr>
              <w:jc w:val="left"/>
              <w:rPr>
                <w:rFonts w:ascii="黑体" w:hAnsi="黑体" w:eastAsia="黑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960DEDE">
            <w:pPr>
              <w:jc w:val="center"/>
              <w:rPr>
                <w:rFonts w:ascii="黑体" w:hAnsi="黑体" w:eastAsia="黑体"/>
                <w:b/>
                <w:sz w:val="24"/>
              </w:rPr>
            </w:pPr>
          </w:p>
        </w:tc>
      </w:tr>
      <w:tr w14:paraId="420A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14:paraId="24FBEF53">
            <w:pPr>
              <w:jc w:val="center"/>
              <w:rPr>
                <w:rFonts w:ascii="黑体" w:hAnsi="黑体" w:eastAsia="黑体"/>
                <w:sz w:val="24"/>
              </w:rPr>
            </w:pPr>
            <w:r>
              <w:rPr>
                <w:rFonts w:hint="eastAsia" w:ascii="黑体" w:hAnsi="黑体" w:eastAsia="黑体"/>
                <w:sz w:val="24"/>
              </w:rPr>
              <w:t>1</w:t>
            </w:r>
          </w:p>
        </w:tc>
        <w:tc>
          <w:tcPr>
            <w:tcW w:w="1635" w:type="dxa"/>
            <w:tcBorders>
              <w:top w:val="single" w:color="auto" w:sz="4" w:space="0"/>
              <w:left w:val="single" w:color="auto" w:sz="4" w:space="0"/>
              <w:bottom w:val="single" w:color="auto" w:sz="4" w:space="0"/>
              <w:right w:val="single" w:color="auto" w:sz="4" w:space="0"/>
            </w:tcBorders>
            <w:vAlign w:val="center"/>
          </w:tcPr>
          <w:p w14:paraId="3A665F0D">
            <w:pPr>
              <w:adjustRightInd w:val="0"/>
              <w:snapToGrid w:val="0"/>
              <w:jc w:val="center"/>
              <w:rPr>
                <w:rFonts w:ascii="仿宋" w:hAnsi="仿宋" w:eastAsia="仿宋" w:cs="仿宋"/>
                <w:szCs w:val="21"/>
              </w:rPr>
            </w:pPr>
            <w:r>
              <w:rPr>
                <w:rFonts w:hint="eastAsia" w:ascii="仿宋" w:hAnsi="仿宋" w:eastAsia="仿宋" w:cs="仿宋"/>
                <w:szCs w:val="21"/>
              </w:rPr>
              <w:t>注册</w:t>
            </w:r>
          </w:p>
          <w:p w14:paraId="6ACEAD83">
            <w:pPr>
              <w:adjustRightInd w:val="0"/>
              <w:snapToGrid w:val="0"/>
              <w:jc w:val="center"/>
              <w:rPr>
                <w:rFonts w:ascii="仿宋" w:hAnsi="仿宋" w:eastAsia="仿宋" w:cs="仿宋"/>
                <w:szCs w:val="21"/>
              </w:rPr>
            </w:pPr>
            <w:r>
              <w:rPr>
                <w:rFonts w:hint="eastAsia" w:ascii="仿宋" w:hAnsi="仿宋" w:eastAsia="仿宋" w:cs="仿宋"/>
                <w:szCs w:val="21"/>
              </w:rPr>
              <w:t>资金</w:t>
            </w:r>
          </w:p>
          <w:p w14:paraId="63E1C7D7">
            <w:pPr>
              <w:adjustRightInd w:val="0"/>
              <w:snapToGrid w:val="0"/>
              <w:jc w:val="center"/>
              <w:rPr>
                <w:rFonts w:ascii="黑体" w:hAnsi="黑体" w:eastAsia="黑体"/>
                <w:sz w:val="24"/>
              </w:rPr>
            </w:pPr>
            <w:r>
              <w:rPr>
                <w:rFonts w:hint="eastAsia" w:ascii="仿宋" w:hAnsi="仿宋" w:eastAsia="仿宋" w:cs="仿宋"/>
                <w:szCs w:val="21"/>
              </w:rPr>
              <w:t>（3分）</w:t>
            </w:r>
          </w:p>
        </w:tc>
        <w:tc>
          <w:tcPr>
            <w:tcW w:w="4374" w:type="dxa"/>
            <w:tcBorders>
              <w:top w:val="single" w:color="auto" w:sz="4" w:space="0"/>
              <w:left w:val="single" w:color="auto" w:sz="4" w:space="0"/>
              <w:bottom w:val="single" w:color="auto" w:sz="4" w:space="0"/>
              <w:right w:val="single" w:color="auto" w:sz="4" w:space="0"/>
            </w:tcBorders>
            <w:vAlign w:val="center"/>
          </w:tcPr>
          <w:p w14:paraId="62AF1B1B">
            <w:pPr>
              <w:adjustRightInd w:val="0"/>
              <w:snapToGrid w:val="0"/>
              <w:jc w:val="left"/>
              <w:rPr>
                <w:rFonts w:ascii="仿宋" w:hAnsi="仿宋" w:eastAsia="仿宋" w:cs="仿宋"/>
                <w:color w:val="000000"/>
                <w:szCs w:val="21"/>
              </w:rPr>
            </w:pPr>
            <w:r>
              <w:rPr>
                <w:rFonts w:hint="eastAsia" w:ascii="仿宋" w:hAnsi="仿宋" w:eastAsia="仿宋" w:cs="仿宋"/>
                <w:color w:val="000000"/>
                <w:szCs w:val="21"/>
              </w:rPr>
              <w:t>注册资金(投标单位必须提供营业执照复印件加盖公章，分支机构以总公司注册资金为准)：</w:t>
            </w:r>
          </w:p>
          <w:p w14:paraId="5082B1CB">
            <w:pPr>
              <w:adjustRightInd w:val="0"/>
              <w:snapToGrid w:val="0"/>
              <w:jc w:val="left"/>
              <w:rPr>
                <w:rFonts w:ascii="仿宋" w:hAnsi="仿宋" w:eastAsia="仿宋" w:cs="仿宋"/>
                <w:color w:val="000000"/>
                <w:szCs w:val="21"/>
              </w:rPr>
            </w:pPr>
            <w:r>
              <w:rPr>
                <w:rFonts w:ascii="仿宋" w:hAnsi="仿宋" w:eastAsia="仿宋" w:cs="仿宋"/>
                <w:color w:val="000000"/>
                <w:szCs w:val="21"/>
              </w:rPr>
              <w:t>1000</w:t>
            </w:r>
            <w:r>
              <w:rPr>
                <w:rFonts w:hint="eastAsia" w:ascii="仿宋" w:hAnsi="仿宋" w:eastAsia="仿宋" w:cs="仿宋"/>
                <w:color w:val="000000"/>
                <w:szCs w:val="21"/>
              </w:rPr>
              <w:t>万元（含）及以上得3分；</w:t>
            </w:r>
          </w:p>
          <w:p w14:paraId="24571C80">
            <w:pPr>
              <w:adjustRightInd w:val="0"/>
              <w:snapToGrid w:val="0"/>
              <w:jc w:val="left"/>
              <w:rPr>
                <w:rFonts w:ascii="仿宋" w:hAnsi="仿宋" w:eastAsia="仿宋" w:cs="仿宋"/>
                <w:color w:val="000000"/>
                <w:szCs w:val="21"/>
              </w:rPr>
            </w:pPr>
            <w:r>
              <w:rPr>
                <w:rFonts w:ascii="仿宋" w:hAnsi="仿宋" w:eastAsia="仿宋" w:cs="仿宋"/>
                <w:color w:val="000000"/>
                <w:szCs w:val="21"/>
              </w:rPr>
              <w:t>500</w:t>
            </w:r>
            <w:r>
              <w:rPr>
                <w:rFonts w:hint="eastAsia" w:ascii="仿宋" w:hAnsi="仿宋" w:eastAsia="仿宋" w:cs="仿宋"/>
                <w:color w:val="000000"/>
                <w:szCs w:val="21"/>
              </w:rPr>
              <w:t>万元（含）-</w:t>
            </w:r>
            <w:r>
              <w:rPr>
                <w:rFonts w:ascii="仿宋" w:hAnsi="仿宋" w:eastAsia="仿宋" w:cs="仿宋"/>
                <w:color w:val="000000"/>
                <w:szCs w:val="21"/>
              </w:rPr>
              <w:t>1000</w:t>
            </w:r>
            <w:r>
              <w:rPr>
                <w:rFonts w:hint="eastAsia" w:ascii="仿宋" w:hAnsi="仿宋" w:eastAsia="仿宋" w:cs="仿宋"/>
                <w:color w:val="000000"/>
                <w:szCs w:val="21"/>
              </w:rPr>
              <w:t>万元（不含）得2分；</w:t>
            </w:r>
          </w:p>
          <w:p w14:paraId="0315A524">
            <w:pPr>
              <w:adjustRightInd w:val="0"/>
              <w:snapToGrid w:val="0"/>
              <w:jc w:val="left"/>
              <w:rPr>
                <w:rFonts w:ascii="仿宋" w:hAnsi="仿宋" w:eastAsia="仿宋" w:cs="仿宋"/>
                <w:color w:val="000000"/>
                <w:szCs w:val="21"/>
              </w:rPr>
            </w:pPr>
            <w:r>
              <w:rPr>
                <w:rFonts w:ascii="仿宋" w:hAnsi="仿宋" w:eastAsia="仿宋" w:cs="仿宋"/>
                <w:color w:val="000000"/>
                <w:szCs w:val="21"/>
              </w:rPr>
              <w:t>300</w:t>
            </w:r>
            <w:r>
              <w:rPr>
                <w:rFonts w:hint="eastAsia" w:ascii="仿宋" w:hAnsi="仿宋" w:eastAsia="仿宋" w:cs="仿宋"/>
                <w:color w:val="000000"/>
                <w:szCs w:val="21"/>
              </w:rPr>
              <w:t>万元（含）-</w:t>
            </w:r>
            <w:r>
              <w:rPr>
                <w:rFonts w:ascii="仿宋" w:hAnsi="仿宋" w:eastAsia="仿宋" w:cs="仿宋"/>
                <w:color w:val="000000"/>
                <w:szCs w:val="21"/>
              </w:rPr>
              <w:t>500</w:t>
            </w:r>
            <w:r>
              <w:rPr>
                <w:rFonts w:hint="eastAsia" w:ascii="仿宋" w:hAnsi="仿宋" w:eastAsia="仿宋" w:cs="仿宋"/>
                <w:color w:val="000000"/>
                <w:szCs w:val="21"/>
              </w:rPr>
              <w:t>万元（不含）得1分；</w:t>
            </w:r>
          </w:p>
          <w:p w14:paraId="1974F143">
            <w:pPr>
              <w:adjustRightInd w:val="0"/>
              <w:snapToGrid w:val="0"/>
              <w:jc w:val="left"/>
              <w:rPr>
                <w:rFonts w:ascii="黑体" w:hAnsi="黑体" w:eastAsia="仿宋"/>
                <w:sz w:val="24"/>
              </w:rPr>
            </w:pPr>
            <w:r>
              <w:rPr>
                <w:rFonts w:ascii="仿宋" w:hAnsi="仿宋" w:eastAsia="仿宋" w:cs="仿宋"/>
                <w:color w:val="000000"/>
                <w:szCs w:val="21"/>
              </w:rPr>
              <w:t>300</w:t>
            </w:r>
            <w:r>
              <w:rPr>
                <w:rFonts w:hint="eastAsia" w:ascii="仿宋" w:hAnsi="仿宋" w:eastAsia="仿宋" w:cs="仿宋"/>
                <w:color w:val="000000"/>
                <w:szCs w:val="21"/>
              </w:rPr>
              <w:t>万元以下得0分。</w:t>
            </w:r>
          </w:p>
        </w:tc>
        <w:tc>
          <w:tcPr>
            <w:tcW w:w="1500" w:type="dxa"/>
            <w:tcBorders>
              <w:top w:val="single" w:color="auto" w:sz="4" w:space="0"/>
              <w:left w:val="single" w:color="auto" w:sz="4" w:space="0"/>
              <w:bottom w:val="single" w:color="auto" w:sz="4" w:space="0"/>
              <w:right w:val="single" w:color="auto" w:sz="4" w:space="0"/>
            </w:tcBorders>
            <w:vAlign w:val="center"/>
          </w:tcPr>
          <w:p w14:paraId="5CA5158F">
            <w:pPr>
              <w:jc w:val="center"/>
              <w:rPr>
                <w:rFonts w:ascii="黑体" w:hAnsi="黑体" w:eastAsia="黑体"/>
                <w:sz w:val="24"/>
              </w:rPr>
            </w:pPr>
          </w:p>
        </w:tc>
      </w:tr>
      <w:tr w14:paraId="2B7A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14:paraId="120DEFEF">
            <w:pPr>
              <w:jc w:val="center"/>
              <w:rPr>
                <w:rFonts w:ascii="黑体" w:hAnsi="黑体" w:eastAsia="黑体"/>
                <w:sz w:val="24"/>
              </w:rPr>
            </w:pPr>
            <w:r>
              <w:rPr>
                <w:rFonts w:hint="eastAsia" w:ascii="黑体" w:hAnsi="黑体" w:eastAsia="黑体"/>
                <w:sz w:val="24"/>
              </w:rPr>
              <w:t>2</w:t>
            </w:r>
          </w:p>
        </w:tc>
        <w:tc>
          <w:tcPr>
            <w:tcW w:w="1635" w:type="dxa"/>
            <w:tcBorders>
              <w:top w:val="single" w:color="auto" w:sz="4" w:space="0"/>
              <w:left w:val="single" w:color="auto" w:sz="4" w:space="0"/>
              <w:bottom w:val="single" w:color="auto" w:sz="4" w:space="0"/>
              <w:right w:val="single" w:color="auto" w:sz="4" w:space="0"/>
            </w:tcBorders>
            <w:vAlign w:val="center"/>
          </w:tcPr>
          <w:p w14:paraId="3A051B9C">
            <w:pPr>
              <w:adjustRightInd w:val="0"/>
              <w:snapToGrid w:val="0"/>
              <w:jc w:val="center"/>
              <w:rPr>
                <w:rFonts w:ascii="仿宋" w:hAnsi="仿宋" w:eastAsia="仿宋" w:cs="仿宋"/>
                <w:szCs w:val="21"/>
              </w:rPr>
            </w:pPr>
            <w:r>
              <w:rPr>
                <w:rFonts w:hint="eastAsia" w:ascii="仿宋" w:hAnsi="仿宋" w:eastAsia="仿宋" w:cs="仿宋"/>
                <w:szCs w:val="21"/>
              </w:rPr>
              <w:t>业绩证明</w:t>
            </w:r>
          </w:p>
          <w:p w14:paraId="39235860">
            <w:pPr>
              <w:adjustRightInd w:val="0"/>
              <w:snapToGrid w:val="0"/>
              <w:jc w:val="center"/>
              <w:rPr>
                <w:rFonts w:ascii="黑体" w:hAnsi="黑体" w:eastAsia="黑体"/>
                <w:sz w:val="24"/>
              </w:rPr>
            </w:pPr>
            <w:r>
              <w:rPr>
                <w:rFonts w:hint="eastAsia" w:ascii="仿宋" w:hAnsi="仿宋" w:eastAsia="仿宋" w:cs="仿宋"/>
                <w:szCs w:val="21"/>
              </w:rPr>
              <w:t>（4分）</w:t>
            </w:r>
          </w:p>
        </w:tc>
        <w:tc>
          <w:tcPr>
            <w:tcW w:w="4374" w:type="dxa"/>
            <w:tcBorders>
              <w:top w:val="single" w:color="auto" w:sz="4" w:space="0"/>
              <w:left w:val="single" w:color="auto" w:sz="4" w:space="0"/>
              <w:bottom w:val="single" w:color="auto" w:sz="4" w:space="0"/>
              <w:right w:val="single" w:color="auto" w:sz="4" w:space="0"/>
            </w:tcBorders>
            <w:vAlign w:val="center"/>
          </w:tcPr>
          <w:p w14:paraId="69A206E3">
            <w:pPr>
              <w:adjustRightInd w:val="0"/>
              <w:snapToGrid w:val="0"/>
              <w:jc w:val="left"/>
              <w:rPr>
                <w:rFonts w:ascii="仿宋" w:hAnsi="仿宋" w:eastAsia="仿宋" w:cs="仿宋"/>
                <w:color w:val="000000"/>
                <w:szCs w:val="21"/>
              </w:rPr>
            </w:pPr>
            <w:r>
              <w:rPr>
                <w:rFonts w:hint="eastAsia" w:ascii="仿宋" w:hAnsi="仿宋" w:eastAsia="仿宋" w:cs="仿宋"/>
                <w:color w:val="000000"/>
                <w:szCs w:val="21"/>
              </w:rPr>
              <w:t>合同有效期内，年度合同金额在30万元（含）以上购物商业/写字楼/产业园/住宅的维修工程项目或房地产装修、新建工程，每个项目得1分；满分4分。</w:t>
            </w:r>
          </w:p>
        </w:tc>
        <w:tc>
          <w:tcPr>
            <w:tcW w:w="1500" w:type="dxa"/>
            <w:tcBorders>
              <w:top w:val="single" w:color="auto" w:sz="4" w:space="0"/>
              <w:left w:val="single" w:color="auto" w:sz="4" w:space="0"/>
              <w:bottom w:val="single" w:color="auto" w:sz="4" w:space="0"/>
              <w:right w:val="single" w:color="auto" w:sz="4" w:space="0"/>
            </w:tcBorders>
            <w:vAlign w:val="center"/>
          </w:tcPr>
          <w:p w14:paraId="4A8FE32B">
            <w:pPr>
              <w:jc w:val="center"/>
              <w:rPr>
                <w:rFonts w:ascii="黑体" w:hAnsi="黑体" w:eastAsia="黑体"/>
                <w:sz w:val="24"/>
              </w:rPr>
            </w:pPr>
          </w:p>
        </w:tc>
      </w:tr>
      <w:tr w14:paraId="2928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14:paraId="699237C1">
            <w:pPr>
              <w:jc w:val="center"/>
              <w:rPr>
                <w:rFonts w:ascii="黑体" w:hAnsi="黑体" w:eastAsia="黑体"/>
                <w:sz w:val="24"/>
              </w:rPr>
            </w:pPr>
            <w:r>
              <w:rPr>
                <w:rFonts w:hint="eastAsia" w:ascii="黑体" w:hAnsi="黑体" w:eastAsia="黑体"/>
                <w:sz w:val="24"/>
              </w:rPr>
              <w:t>3</w:t>
            </w:r>
          </w:p>
        </w:tc>
        <w:tc>
          <w:tcPr>
            <w:tcW w:w="1635" w:type="dxa"/>
            <w:tcBorders>
              <w:top w:val="single" w:color="auto" w:sz="4" w:space="0"/>
              <w:left w:val="single" w:color="auto" w:sz="4" w:space="0"/>
              <w:bottom w:val="single" w:color="auto" w:sz="4" w:space="0"/>
              <w:right w:val="single" w:color="auto" w:sz="4" w:space="0"/>
            </w:tcBorders>
            <w:vAlign w:val="center"/>
          </w:tcPr>
          <w:p w14:paraId="1F3A02EA">
            <w:pPr>
              <w:pStyle w:val="18"/>
              <w:jc w:val="center"/>
              <w:rPr>
                <w:rFonts w:ascii="仿宋" w:hAnsi="仿宋" w:eastAsia="仿宋" w:cs="仿宋"/>
                <w:sz w:val="21"/>
                <w:szCs w:val="21"/>
              </w:rPr>
            </w:pPr>
            <w:r>
              <w:rPr>
                <w:rFonts w:hint="eastAsia" w:ascii="仿宋" w:hAnsi="仿宋" w:eastAsia="仿宋" w:cs="仿宋"/>
                <w:szCs w:val="21"/>
              </w:rPr>
              <w:t>履约评价及资质</w:t>
            </w:r>
          </w:p>
          <w:p w14:paraId="2B71A907">
            <w:pPr>
              <w:pStyle w:val="18"/>
              <w:jc w:val="center"/>
              <w:rPr>
                <w:rFonts w:ascii="黑体" w:hAnsi="黑体" w:eastAsia="黑体"/>
                <w:szCs w:val="24"/>
              </w:rPr>
            </w:pPr>
            <w:r>
              <w:rPr>
                <w:rFonts w:hint="eastAsia" w:ascii="仿宋" w:hAnsi="仿宋" w:eastAsia="仿宋" w:cs="仿宋"/>
                <w:szCs w:val="21"/>
              </w:rPr>
              <w:t>（3分）</w:t>
            </w:r>
          </w:p>
        </w:tc>
        <w:tc>
          <w:tcPr>
            <w:tcW w:w="4374" w:type="dxa"/>
            <w:tcBorders>
              <w:top w:val="single" w:color="auto" w:sz="4" w:space="0"/>
              <w:left w:val="single" w:color="auto" w:sz="4" w:space="0"/>
              <w:bottom w:val="single" w:color="auto" w:sz="4" w:space="0"/>
              <w:right w:val="single" w:color="auto" w:sz="4" w:space="0"/>
            </w:tcBorders>
            <w:vAlign w:val="center"/>
          </w:tcPr>
          <w:p w14:paraId="44E9E6B1">
            <w:pPr>
              <w:adjustRightInd w:val="0"/>
              <w:snapToGrid w:val="0"/>
              <w:jc w:val="left"/>
              <w:rPr>
                <w:rFonts w:ascii="仿宋" w:hAnsi="仿宋" w:eastAsia="仿宋" w:cs="仿宋"/>
                <w:color w:val="000000"/>
                <w:szCs w:val="21"/>
              </w:rPr>
            </w:pPr>
            <w:r>
              <w:rPr>
                <w:rFonts w:hint="eastAsia" w:ascii="仿宋" w:hAnsi="仿宋" w:eastAsia="仿宋" w:cs="仿宋"/>
                <w:color w:val="000000"/>
                <w:szCs w:val="21"/>
              </w:rPr>
              <w:t>1、投标人在上述“业绩证明”评审项中参加评审的业绩，能够提供用户出具的履约评价文件，且评价为“优”或“满意”的。每提供1个得0.5分，满分2分，未提供的不得分。</w:t>
            </w:r>
          </w:p>
          <w:p w14:paraId="4F05A796">
            <w:pPr>
              <w:adjustRightInd w:val="0"/>
              <w:snapToGrid w:val="0"/>
              <w:jc w:val="left"/>
              <w:rPr>
                <w:rFonts w:ascii="仿宋" w:hAnsi="仿宋" w:eastAsia="仿宋" w:cs="仿宋"/>
                <w:color w:val="000000"/>
                <w:szCs w:val="21"/>
              </w:rPr>
            </w:pPr>
            <w:r>
              <w:rPr>
                <w:rFonts w:hint="eastAsia" w:ascii="仿宋" w:hAnsi="仿宋" w:eastAsia="仿宋" w:cs="仿宋"/>
                <w:color w:val="000000"/>
                <w:szCs w:val="21"/>
              </w:rPr>
              <w:t>2、通过质量管理体系认证、环境管理体系认证、职业健康安全管理体系认证，满足2个及以上，得：1分。</w:t>
            </w:r>
          </w:p>
        </w:tc>
        <w:tc>
          <w:tcPr>
            <w:tcW w:w="1500" w:type="dxa"/>
            <w:tcBorders>
              <w:top w:val="single" w:color="auto" w:sz="4" w:space="0"/>
              <w:left w:val="single" w:color="auto" w:sz="4" w:space="0"/>
              <w:bottom w:val="single" w:color="auto" w:sz="4" w:space="0"/>
              <w:right w:val="single" w:color="auto" w:sz="4" w:space="0"/>
            </w:tcBorders>
            <w:vAlign w:val="center"/>
          </w:tcPr>
          <w:p w14:paraId="5C447D78">
            <w:pPr>
              <w:jc w:val="center"/>
              <w:rPr>
                <w:rFonts w:ascii="黑体" w:hAnsi="黑体" w:eastAsia="黑体"/>
                <w:sz w:val="24"/>
              </w:rPr>
            </w:pPr>
          </w:p>
        </w:tc>
      </w:tr>
      <w:tr w14:paraId="1773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5D134FA7">
            <w:pPr>
              <w:jc w:val="center"/>
              <w:rPr>
                <w:rFonts w:ascii="黑体" w:hAnsi="黑体" w:eastAsia="黑体"/>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14:paraId="6F2DA700">
            <w:pPr>
              <w:jc w:val="center"/>
              <w:rPr>
                <w:rFonts w:ascii="黑体" w:hAnsi="黑体" w:eastAsia="黑体"/>
                <w:b/>
                <w:sz w:val="24"/>
              </w:rPr>
            </w:pPr>
            <w:r>
              <w:rPr>
                <w:rFonts w:hint="eastAsia" w:ascii="黑体" w:hAnsi="黑体" w:eastAsia="黑体"/>
                <w:b/>
                <w:sz w:val="24"/>
              </w:rPr>
              <w:t>合  计  分</w:t>
            </w:r>
          </w:p>
        </w:tc>
        <w:tc>
          <w:tcPr>
            <w:tcW w:w="4374" w:type="dxa"/>
            <w:tcBorders>
              <w:top w:val="single" w:color="auto" w:sz="4" w:space="0"/>
              <w:left w:val="single" w:color="auto" w:sz="4" w:space="0"/>
              <w:bottom w:val="single" w:color="auto" w:sz="4" w:space="0"/>
              <w:right w:val="single" w:color="auto" w:sz="4" w:space="0"/>
            </w:tcBorders>
            <w:vAlign w:val="center"/>
          </w:tcPr>
          <w:p w14:paraId="7817D6D3">
            <w:pPr>
              <w:jc w:val="center"/>
              <w:rPr>
                <w:rStyle w:val="45"/>
                <w:i w:val="0"/>
                <w:szCs w:val="20"/>
              </w:rPr>
            </w:pPr>
            <w:r>
              <w:rPr>
                <w:rFonts w:hint="eastAsia" w:ascii="黑体" w:hAnsi="黑体" w:eastAsia="黑体"/>
                <w:b/>
                <w:sz w:val="24"/>
              </w:rPr>
              <w:t>10</w:t>
            </w:r>
          </w:p>
        </w:tc>
        <w:tc>
          <w:tcPr>
            <w:tcW w:w="1500" w:type="dxa"/>
            <w:tcBorders>
              <w:top w:val="single" w:color="auto" w:sz="4" w:space="0"/>
              <w:left w:val="single" w:color="auto" w:sz="4" w:space="0"/>
              <w:bottom w:val="single" w:color="auto" w:sz="4" w:space="0"/>
              <w:right w:val="single" w:color="auto" w:sz="4" w:space="0"/>
            </w:tcBorders>
            <w:vAlign w:val="center"/>
          </w:tcPr>
          <w:p w14:paraId="691EE704">
            <w:pPr>
              <w:jc w:val="center"/>
              <w:rPr>
                <w:sz w:val="28"/>
                <w:szCs w:val="28"/>
              </w:rPr>
            </w:pPr>
          </w:p>
        </w:tc>
      </w:tr>
      <w:tr w14:paraId="30AE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597" w:type="dxa"/>
            <w:gridSpan w:val="3"/>
            <w:tcBorders>
              <w:top w:val="single" w:color="auto" w:sz="4" w:space="0"/>
              <w:left w:val="single" w:color="auto" w:sz="4" w:space="0"/>
              <w:bottom w:val="single" w:color="auto" w:sz="4" w:space="0"/>
              <w:right w:val="single" w:color="auto" w:sz="4" w:space="0"/>
            </w:tcBorders>
            <w:vAlign w:val="center"/>
          </w:tcPr>
          <w:p w14:paraId="172F62EB">
            <w:pPr>
              <w:jc w:val="center"/>
              <w:rPr>
                <w:rFonts w:ascii="黑体" w:hAnsi="黑体" w:eastAsia="黑体"/>
                <w:b/>
                <w:sz w:val="24"/>
              </w:rPr>
            </w:pPr>
            <w:r>
              <w:rPr>
                <w:rFonts w:hint="eastAsia" w:ascii="黑体" w:hAnsi="黑体" w:eastAsia="黑体"/>
                <w:b/>
                <w:sz w:val="24"/>
              </w:rPr>
              <w:t>综合得分：</w:t>
            </w:r>
          </w:p>
        </w:tc>
        <w:tc>
          <w:tcPr>
            <w:tcW w:w="1500" w:type="dxa"/>
            <w:tcBorders>
              <w:top w:val="single" w:color="auto" w:sz="4" w:space="0"/>
              <w:left w:val="single" w:color="auto" w:sz="4" w:space="0"/>
              <w:bottom w:val="single" w:color="auto" w:sz="4" w:space="0"/>
              <w:right w:val="single" w:color="auto" w:sz="4" w:space="0"/>
            </w:tcBorders>
            <w:vAlign w:val="center"/>
          </w:tcPr>
          <w:p w14:paraId="2401FEB5">
            <w:pPr>
              <w:jc w:val="center"/>
              <w:rPr>
                <w:rFonts w:ascii="黑体" w:hAnsi="黑体" w:eastAsia="黑体"/>
                <w:sz w:val="28"/>
                <w:szCs w:val="28"/>
              </w:rPr>
            </w:pPr>
          </w:p>
        </w:tc>
      </w:tr>
      <w:tr w14:paraId="01AE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8097" w:type="dxa"/>
            <w:gridSpan w:val="4"/>
            <w:tcBorders>
              <w:top w:val="single" w:color="auto" w:sz="4" w:space="0"/>
              <w:left w:val="single" w:color="auto" w:sz="4" w:space="0"/>
              <w:bottom w:val="single" w:color="auto" w:sz="4" w:space="0"/>
              <w:right w:val="single" w:color="auto" w:sz="4" w:space="0"/>
            </w:tcBorders>
            <w:vAlign w:val="center"/>
          </w:tcPr>
          <w:p w14:paraId="6871F365">
            <w:pPr>
              <w:spacing w:line="360" w:lineRule="auto"/>
              <w:rPr>
                <w:rFonts w:ascii="黑体" w:hAnsi="黑体" w:eastAsia="黑体"/>
                <w:sz w:val="24"/>
              </w:rPr>
            </w:pPr>
            <w:r>
              <w:rPr>
                <w:rFonts w:hint="eastAsia" w:ascii="黑体" w:hAnsi="黑体" w:eastAsia="黑体"/>
                <w:sz w:val="24"/>
              </w:rPr>
              <w:t>评标委员会签名：</w:t>
            </w:r>
          </w:p>
          <w:p w14:paraId="2DF15449">
            <w:pPr>
              <w:jc w:val="center"/>
              <w:rPr>
                <w:rFonts w:ascii="黑体" w:hAnsi="黑体" w:eastAsia="黑体"/>
                <w:b/>
                <w:sz w:val="24"/>
              </w:rPr>
            </w:pPr>
          </w:p>
          <w:p w14:paraId="590ABC12">
            <w:pPr>
              <w:jc w:val="right"/>
              <w:rPr>
                <w:rFonts w:ascii="黑体" w:hAnsi="黑体" w:eastAsia="黑体"/>
                <w:sz w:val="24"/>
              </w:rPr>
            </w:pPr>
            <w:r>
              <w:rPr>
                <w:rFonts w:hint="eastAsia" w:ascii="黑体" w:hAnsi="黑体" w:eastAsia="黑体"/>
                <w:sz w:val="24"/>
              </w:rPr>
              <w:t>日期：     年   月  日</w:t>
            </w:r>
          </w:p>
        </w:tc>
      </w:tr>
    </w:tbl>
    <w:p w14:paraId="17EE7089">
      <w:pPr>
        <w:rPr>
          <w:rFonts w:ascii="黑体" w:hAnsi="黑体" w:eastAsia="黑体"/>
          <w:b/>
          <w:bCs/>
          <w:szCs w:val="21"/>
        </w:rPr>
      </w:pPr>
    </w:p>
    <w:p w14:paraId="02C21D3B">
      <w:pPr>
        <w:rPr>
          <w:rFonts w:ascii="黑体" w:hAnsi="黑体" w:eastAsia="黑体"/>
          <w:b/>
          <w:bCs/>
          <w:szCs w:val="21"/>
        </w:rPr>
      </w:pPr>
      <w:r>
        <w:rPr>
          <w:rFonts w:hint="eastAsia" w:ascii="黑体" w:hAnsi="黑体" w:eastAsia="黑体"/>
          <w:b/>
          <w:bCs/>
          <w:szCs w:val="21"/>
        </w:rPr>
        <w:t>备注：</w:t>
      </w:r>
    </w:p>
    <w:p w14:paraId="7A4FAC0E">
      <w:pPr>
        <w:adjustRightInd w:val="0"/>
        <w:snapToGrid w:val="0"/>
        <w:spacing w:line="360" w:lineRule="auto"/>
        <w:ind w:firstLine="420" w:firstLineChars="200"/>
        <w:rPr>
          <w:rFonts w:ascii="黑体" w:eastAsia="黑体"/>
          <w:szCs w:val="21"/>
        </w:rPr>
      </w:pPr>
      <w:r>
        <w:rPr>
          <w:rFonts w:hint="eastAsia" w:ascii="黑体" w:eastAsia="黑体"/>
          <w:szCs w:val="21"/>
        </w:rPr>
        <w:t>1.招标人必须明确评审项目的评分标准。</w:t>
      </w:r>
    </w:p>
    <w:p w14:paraId="05204604">
      <w:pPr>
        <w:spacing w:line="360" w:lineRule="auto"/>
        <w:jc w:val="left"/>
        <w:rPr>
          <w:rFonts w:ascii="宋体"/>
          <w:szCs w:val="21"/>
        </w:rPr>
        <w:sectPr>
          <w:pgSz w:w="12240" w:h="15840"/>
          <w:pgMar w:top="1440" w:right="1797" w:bottom="1440" w:left="1797" w:header="720" w:footer="720" w:gutter="0"/>
          <w:cols w:space="720" w:num="1"/>
        </w:sectPr>
      </w:pPr>
    </w:p>
    <w:p w14:paraId="4AB872C9">
      <w:pPr>
        <w:pStyle w:val="9"/>
        <w:ind w:firstLine="640"/>
        <w:jc w:val="center"/>
        <w:rPr>
          <w:rFonts w:ascii="黑体" w:hAnsi="黑体"/>
          <w:sz w:val="32"/>
          <w:szCs w:val="32"/>
        </w:rPr>
      </w:pPr>
      <w:r>
        <w:rPr>
          <w:rFonts w:hint="eastAsia" w:ascii="黑体" w:hAnsi="黑体"/>
          <w:sz w:val="32"/>
          <w:szCs w:val="32"/>
        </w:rPr>
        <w:t>（四）评分汇总表</w:t>
      </w:r>
    </w:p>
    <w:p w14:paraId="6016F45E">
      <w:pPr>
        <w:spacing w:line="360" w:lineRule="auto"/>
        <w:ind w:firstLine="482" w:firstLineChars="200"/>
        <w:jc w:val="left"/>
        <w:rPr>
          <w:rFonts w:hint="default" w:ascii="黑体" w:hAnsi="黑体" w:eastAsia="黑体"/>
          <w:b/>
          <w:sz w:val="24"/>
          <w:lang w:val="en-US" w:eastAsia="zh-CN"/>
        </w:rPr>
      </w:pPr>
      <w:r>
        <w:rPr>
          <w:rFonts w:hint="eastAsia" w:ascii="黑体" w:hAnsi="黑体" w:eastAsia="黑体"/>
          <w:b/>
          <w:sz w:val="24"/>
        </w:rPr>
        <w:t>项目名称：</w:t>
      </w:r>
      <w:r>
        <w:rPr>
          <w:rFonts w:hint="eastAsia" w:ascii="黑体" w:hAnsi="黑体" w:eastAsia="黑体"/>
          <w:b/>
          <w:sz w:val="24"/>
          <w:lang w:val="en-US" w:eastAsia="zh-CN"/>
        </w:rPr>
        <w:t>深圳华南城一期市场阳光棚维修工程</w:t>
      </w:r>
    </w:p>
    <w:tbl>
      <w:tblPr>
        <w:tblStyle w:val="38"/>
        <w:tblW w:w="1304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544"/>
        <w:gridCol w:w="1134"/>
        <w:gridCol w:w="1134"/>
        <w:gridCol w:w="1134"/>
        <w:gridCol w:w="1134"/>
        <w:gridCol w:w="1134"/>
        <w:gridCol w:w="1276"/>
        <w:gridCol w:w="1843"/>
      </w:tblGrid>
      <w:tr w14:paraId="5C8B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256B39C">
            <w:pPr>
              <w:jc w:val="center"/>
              <w:rPr>
                <w:rFonts w:ascii="黑体" w:hAnsi="黑体" w:eastAsia="黑体"/>
                <w:b/>
                <w:sz w:val="24"/>
              </w:rPr>
            </w:pPr>
            <w:r>
              <w:rPr>
                <w:rFonts w:hint="eastAsia" w:ascii="黑体" w:hAnsi="黑体" w:eastAsia="黑体"/>
                <w:b/>
                <w:sz w:val="24"/>
              </w:rPr>
              <w:t>序号</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14:paraId="36352C0D">
            <w:pPr>
              <w:jc w:val="center"/>
              <w:rPr>
                <w:rFonts w:ascii="黑体" w:hAnsi="黑体" w:eastAsia="黑体"/>
                <w:b/>
                <w:sz w:val="24"/>
              </w:rPr>
            </w:pPr>
            <w:r>
              <w:rPr>
                <w:rFonts w:hint="eastAsia" w:ascii="黑体" w:hAnsi="黑体" w:eastAsia="黑体"/>
                <w:b/>
                <w:sz w:val="24"/>
              </w:rPr>
              <w:t>投标人名称</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CC233F">
            <w:pPr>
              <w:jc w:val="center"/>
              <w:rPr>
                <w:rFonts w:ascii="黑体" w:hAnsi="黑体" w:eastAsia="黑体"/>
                <w:b/>
                <w:sz w:val="24"/>
              </w:rPr>
            </w:pPr>
            <w:r>
              <w:rPr>
                <w:rFonts w:hint="eastAsia" w:ascii="黑体" w:hAnsi="黑体" w:eastAsia="黑体"/>
                <w:b/>
                <w:sz w:val="24"/>
              </w:rPr>
              <w:t>技术标</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73EB97A">
            <w:pPr>
              <w:jc w:val="center"/>
              <w:rPr>
                <w:rFonts w:ascii="黑体" w:hAnsi="黑体" w:eastAsia="黑体"/>
                <w:b/>
                <w:sz w:val="24"/>
              </w:rPr>
            </w:pPr>
            <w:r>
              <w:rPr>
                <w:rFonts w:hint="eastAsia" w:ascii="黑体" w:hAnsi="黑体" w:eastAsia="黑体"/>
                <w:b/>
                <w:sz w:val="24"/>
              </w:rPr>
              <w:t>商务标</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D927CE0">
            <w:pPr>
              <w:jc w:val="center"/>
              <w:rPr>
                <w:rFonts w:ascii="黑体" w:hAnsi="黑体" w:eastAsia="黑体"/>
                <w:b/>
                <w:sz w:val="24"/>
              </w:rPr>
            </w:pPr>
            <w:r>
              <w:rPr>
                <w:rFonts w:hint="eastAsia" w:ascii="黑体" w:hAnsi="黑体" w:eastAsia="黑体"/>
                <w:b/>
                <w:sz w:val="24"/>
              </w:rPr>
              <w:t>资信标</w:t>
            </w:r>
          </w:p>
        </w:tc>
        <w:tc>
          <w:tcPr>
            <w:tcW w:w="1843" w:type="dxa"/>
            <w:tcBorders>
              <w:top w:val="single" w:color="auto" w:sz="4" w:space="0"/>
              <w:left w:val="single" w:color="auto" w:sz="4" w:space="0"/>
              <w:bottom w:val="single" w:color="auto" w:sz="4" w:space="0"/>
              <w:right w:val="single" w:color="auto" w:sz="4" w:space="0"/>
            </w:tcBorders>
            <w:vAlign w:val="center"/>
          </w:tcPr>
          <w:p w14:paraId="34617E1B">
            <w:pPr>
              <w:jc w:val="center"/>
              <w:rPr>
                <w:rFonts w:ascii="黑体" w:hAnsi="黑体" w:eastAsia="黑体"/>
                <w:b/>
                <w:sz w:val="24"/>
              </w:rPr>
            </w:pPr>
            <w:r>
              <w:rPr>
                <w:rFonts w:hint="eastAsia" w:ascii="黑体" w:hAnsi="黑体" w:eastAsia="黑体"/>
                <w:b/>
                <w:sz w:val="24"/>
              </w:rPr>
              <w:t>综合得分</w:t>
            </w:r>
          </w:p>
        </w:tc>
      </w:tr>
      <w:tr w14:paraId="2DE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55008F">
            <w:pPr>
              <w:jc w:val="left"/>
              <w:rPr>
                <w:rFonts w:ascii="黑体" w:hAnsi="黑体" w:eastAsia="黑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FD89F6">
            <w:pPr>
              <w:jc w:val="left"/>
              <w:rPr>
                <w:rFonts w:ascii="黑体" w:hAnsi="黑体" w:eastAsia="黑体"/>
                <w:b/>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14E7456">
            <w:pPr>
              <w:jc w:val="center"/>
              <w:rPr>
                <w:rFonts w:ascii="黑体" w:hAnsi="黑体" w:eastAsia="黑体"/>
                <w:b/>
                <w:sz w:val="24"/>
              </w:rPr>
            </w:pPr>
            <w:r>
              <w:rPr>
                <w:rFonts w:hint="eastAsia" w:ascii="黑体" w:hAnsi="黑体" w:eastAsia="黑体"/>
                <w:b/>
                <w:sz w:val="24"/>
              </w:rPr>
              <w:t>得分J</w:t>
            </w:r>
          </w:p>
        </w:tc>
        <w:tc>
          <w:tcPr>
            <w:tcW w:w="1134" w:type="dxa"/>
            <w:tcBorders>
              <w:top w:val="single" w:color="auto" w:sz="4" w:space="0"/>
              <w:left w:val="single" w:color="auto" w:sz="4" w:space="0"/>
              <w:bottom w:val="single" w:color="auto" w:sz="4" w:space="0"/>
              <w:right w:val="single" w:color="auto" w:sz="4" w:space="0"/>
            </w:tcBorders>
            <w:vAlign w:val="center"/>
          </w:tcPr>
          <w:p w14:paraId="5FE03F2A">
            <w:pPr>
              <w:jc w:val="center"/>
              <w:rPr>
                <w:rFonts w:ascii="黑体" w:hAnsi="黑体" w:eastAsia="黑体"/>
                <w:b/>
                <w:sz w:val="24"/>
              </w:rPr>
            </w:pPr>
            <w:r>
              <w:rPr>
                <w:rFonts w:hint="eastAsia" w:ascii="黑体" w:hAnsi="黑体" w:eastAsia="黑体"/>
                <w:b/>
                <w:sz w:val="24"/>
              </w:rPr>
              <w:t>权重A</w:t>
            </w:r>
            <w:r>
              <w:rPr>
                <w:rFonts w:hint="eastAsia" w:ascii="黑体" w:hAnsi="黑体" w:eastAsia="黑体"/>
                <w:b/>
                <w:sz w:val="24"/>
                <w:vertAlign w:val="subscript"/>
              </w:rPr>
              <w:t>1</w:t>
            </w:r>
          </w:p>
        </w:tc>
        <w:tc>
          <w:tcPr>
            <w:tcW w:w="1134" w:type="dxa"/>
            <w:tcBorders>
              <w:top w:val="single" w:color="auto" w:sz="4" w:space="0"/>
              <w:left w:val="single" w:color="auto" w:sz="4" w:space="0"/>
              <w:bottom w:val="single" w:color="auto" w:sz="4" w:space="0"/>
              <w:right w:val="single" w:color="auto" w:sz="4" w:space="0"/>
            </w:tcBorders>
            <w:vAlign w:val="center"/>
          </w:tcPr>
          <w:p w14:paraId="78BC1A65">
            <w:pPr>
              <w:jc w:val="center"/>
              <w:rPr>
                <w:rFonts w:ascii="黑体" w:hAnsi="黑体" w:eastAsia="黑体"/>
                <w:b/>
                <w:sz w:val="24"/>
              </w:rPr>
            </w:pPr>
            <w:r>
              <w:rPr>
                <w:rFonts w:hint="eastAsia" w:ascii="黑体" w:hAnsi="黑体" w:eastAsia="黑体"/>
                <w:b/>
                <w:sz w:val="24"/>
              </w:rPr>
              <w:t>得分S</w:t>
            </w:r>
          </w:p>
        </w:tc>
        <w:tc>
          <w:tcPr>
            <w:tcW w:w="1134" w:type="dxa"/>
            <w:tcBorders>
              <w:top w:val="single" w:color="auto" w:sz="4" w:space="0"/>
              <w:left w:val="single" w:color="auto" w:sz="4" w:space="0"/>
              <w:bottom w:val="single" w:color="auto" w:sz="4" w:space="0"/>
              <w:right w:val="single" w:color="auto" w:sz="4" w:space="0"/>
            </w:tcBorders>
            <w:vAlign w:val="center"/>
          </w:tcPr>
          <w:p w14:paraId="7BCD941E">
            <w:pPr>
              <w:jc w:val="center"/>
              <w:rPr>
                <w:rFonts w:ascii="黑体" w:hAnsi="黑体" w:eastAsia="黑体"/>
                <w:b/>
                <w:sz w:val="24"/>
              </w:rPr>
            </w:pPr>
            <w:r>
              <w:rPr>
                <w:rFonts w:hint="eastAsia" w:ascii="黑体" w:hAnsi="黑体" w:eastAsia="黑体"/>
                <w:b/>
                <w:sz w:val="24"/>
              </w:rPr>
              <w:t>权重A</w:t>
            </w:r>
            <w:r>
              <w:rPr>
                <w:rFonts w:hint="eastAsia" w:ascii="黑体" w:hAnsi="黑体" w:eastAsia="黑体"/>
                <w:b/>
                <w:sz w:val="24"/>
                <w:vertAlign w:val="subscript"/>
              </w:rPr>
              <w:t>2</w:t>
            </w:r>
          </w:p>
        </w:tc>
        <w:tc>
          <w:tcPr>
            <w:tcW w:w="1134" w:type="dxa"/>
            <w:tcBorders>
              <w:top w:val="single" w:color="auto" w:sz="4" w:space="0"/>
              <w:left w:val="single" w:color="auto" w:sz="4" w:space="0"/>
              <w:bottom w:val="single" w:color="auto" w:sz="4" w:space="0"/>
              <w:right w:val="single" w:color="auto" w:sz="4" w:space="0"/>
            </w:tcBorders>
            <w:vAlign w:val="center"/>
          </w:tcPr>
          <w:p w14:paraId="57D73664">
            <w:pPr>
              <w:jc w:val="center"/>
              <w:rPr>
                <w:rFonts w:ascii="黑体" w:hAnsi="黑体" w:eastAsia="黑体"/>
                <w:b/>
                <w:sz w:val="24"/>
              </w:rPr>
            </w:pPr>
            <w:r>
              <w:rPr>
                <w:rFonts w:hint="eastAsia" w:ascii="黑体" w:hAnsi="黑体" w:eastAsia="黑体"/>
                <w:b/>
                <w:sz w:val="24"/>
              </w:rPr>
              <w:t>得分Z</w:t>
            </w:r>
          </w:p>
        </w:tc>
        <w:tc>
          <w:tcPr>
            <w:tcW w:w="1276" w:type="dxa"/>
            <w:tcBorders>
              <w:top w:val="single" w:color="auto" w:sz="4" w:space="0"/>
              <w:left w:val="single" w:color="auto" w:sz="4" w:space="0"/>
              <w:bottom w:val="single" w:color="auto" w:sz="4" w:space="0"/>
              <w:right w:val="single" w:color="auto" w:sz="4" w:space="0"/>
            </w:tcBorders>
            <w:vAlign w:val="center"/>
          </w:tcPr>
          <w:p w14:paraId="1F7ED9A3">
            <w:pPr>
              <w:jc w:val="center"/>
              <w:rPr>
                <w:rFonts w:ascii="黑体" w:hAnsi="黑体" w:eastAsia="黑体"/>
                <w:b/>
                <w:sz w:val="24"/>
              </w:rPr>
            </w:pPr>
            <w:r>
              <w:rPr>
                <w:rFonts w:hint="eastAsia" w:ascii="黑体" w:hAnsi="黑体" w:eastAsia="黑体"/>
                <w:b/>
                <w:sz w:val="24"/>
              </w:rPr>
              <w:t>权重A</w:t>
            </w:r>
            <w:r>
              <w:rPr>
                <w:rFonts w:hint="eastAsia" w:ascii="黑体" w:hAnsi="黑体" w:eastAsia="黑体"/>
                <w:b/>
                <w:sz w:val="24"/>
                <w:vertAlign w:val="subscript"/>
              </w:rPr>
              <w:t>3</w:t>
            </w:r>
          </w:p>
        </w:tc>
        <w:tc>
          <w:tcPr>
            <w:tcW w:w="1843" w:type="dxa"/>
            <w:tcBorders>
              <w:top w:val="single" w:color="auto" w:sz="4" w:space="0"/>
              <w:left w:val="single" w:color="auto" w:sz="4" w:space="0"/>
              <w:bottom w:val="single" w:color="auto" w:sz="4" w:space="0"/>
              <w:right w:val="single" w:color="auto" w:sz="4" w:space="0"/>
            </w:tcBorders>
            <w:vAlign w:val="center"/>
          </w:tcPr>
          <w:p w14:paraId="3F4B7DC6">
            <w:pPr>
              <w:jc w:val="center"/>
              <w:rPr>
                <w:rFonts w:ascii="黑体" w:hAnsi="黑体" w:eastAsia="黑体"/>
                <w:b/>
                <w:sz w:val="24"/>
              </w:rPr>
            </w:pPr>
            <w:r>
              <w:rPr>
                <w:rFonts w:hint="eastAsia" w:ascii="黑体" w:hAnsi="黑体" w:eastAsia="黑体"/>
                <w:b/>
                <w:sz w:val="24"/>
              </w:rPr>
              <w:t>N</w:t>
            </w:r>
          </w:p>
        </w:tc>
      </w:tr>
      <w:tr w14:paraId="25FD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tcBorders>
              <w:top w:val="single" w:color="auto" w:sz="4" w:space="0"/>
              <w:left w:val="single" w:color="auto" w:sz="4" w:space="0"/>
              <w:bottom w:val="single" w:color="auto" w:sz="4" w:space="0"/>
              <w:right w:val="single" w:color="auto" w:sz="4" w:space="0"/>
            </w:tcBorders>
            <w:vAlign w:val="center"/>
          </w:tcPr>
          <w:p w14:paraId="0A9E67E7">
            <w:pPr>
              <w:jc w:val="center"/>
              <w:rPr>
                <w:rFonts w:ascii="黑体" w:hAnsi="黑体" w:eastAsia="黑体"/>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45692140">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0D2DE9FE">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2C9456FE">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5640D359">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6EC7523">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15B301B9">
            <w:pPr>
              <w:jc w:val="center"/>
              <w:rPr>
                <w:rFonts w:ascii="黑体" w:hAnsi="黑体" w:eastAsia="黑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BED8136">
            <w:pPr>
              <w:jc w:val="center"/>
              <w:rPr>
                <w:rFonts w:ascii="黑体" w:hAnsi="黑体" w:eastAsia="黑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6336249">
            <w:pPr>
              <w:jc w:val="center"/>
              <w:rPr>
                <w:rFonts w:ascii="黑体" w:hAnsi="黑体" w:eastAsia="黑体"/>
                <w:sz w:val="24"/>
              </w:rPr>
            </w:pPr>
          </w:p>
        </w:tc>
      </w:tr>
      <w:tr w14:paraId="3048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tcBorders>
              <w:top w:val="single" w:color="auto" w:sz="4" w:space="0"/>
              <w:left w:val="single" w:color="auto" w:sz="4" w:space="0"/>
              <w:bottom w:val="single" w:color="auto" w:sz="4" w:space="0"/>
              <w:right w:val="single" w:color="auto" w:sz="4" w:space="0"/>
            </w:tcBorders>
            <w:vAlign w:val="center"/>
          </w:tcPr>
          <w:p w14:paraId="0924C308">
            <w:pPr>
              <w:jc w:val="center"/>
              <w:rPr>
                <w:rFonts w:ascii="黑体" w:hAnsi="黑体" w:eastAsia="黑体"/>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51CFCF9F">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347E752E">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6F047B6E">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63F62BED">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0EEFB10">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5F844C76">
            <w:pPr>
              <w:jc w:val="center"/>
              <w:rPr>
                <w:rFonts w:ascii="黑体" w:hAnsi="黑体" w:eastAsia="黑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83779B8">
            <w:pPr>
              <w:jc w:val="center"/>
              <w:rPr>
                <w:rFonts w:ascii="黑体" w:hAnsi="黑体" w:eastAsia="黑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F8D37D3">
            <w:pPr>
              <w:jc w:val="center"/>
              <w:rPr>
                <w:rFonts w:ascii="黑体" w:hAnsi="黑体" w:eastAsia="黑体"/>
                <w:sz w:val="24"/>
              </w:rPr>
            </w:pPr>
          </w:p>
        </w:tc>
      </w:tr>
      <w:tr w14:paraId="575F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tcBorders>
              <w:top w:val="single" w:color="auto" w:sz="4" w:space="0"/>
              <w:left w:val="single" w:color="auto" w:sz="4" w:space="0"/>
              <w:bottom w:val="single" w:color="auto" w:sz="4" w:space="0"/>
              <w:right w:val="single" w:color="auto" w:sz="4" w:space="0"/>
            </w:tcBorders>
            <w:vAlign w:val="center"/>
          </w:tcPr>
          <w:p w14:paraId="6C55F53B">
            <w:pPr>
              <w:jc w:val="center"/>
              <w:rPr>
                <w:rFonts w:ascii="黑体" w:hAnsi="黑体" w:eastAsia="黑体"/>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6B4D4897">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618454F4">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47D1A854">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32590924">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708490A">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05D600FC">
            <w:pPr>
              <w:jc w:val="center"/>
              <w:rPr>
                <w:rFonts w:ascii="黑体" w:hAnsi="黑体" w:eastAsia="黑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7149C73">
            <w:pPr>
              <w:jc w:val="center"/>
              <w:rPr>
                <w:rFonts w:ascii="黑体" w:hAnsi="黑体" w:eastAsia="黑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24FF0CC">
            <w:pPr>
              <w:jc w:val="center"/>
              <w:rPr>
                <w:rFonts w:ascii="黑体" w:hAnsi="黑体" w:eastAsia="黑体"/>
                <w:sz w:val="24"/>
              </w:rPr>
            </w:pPr>
          </w:p>
        </w:tc>
      </w:tr>
      <w:tr w14:paraId="05B3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tcBorders>
              <w:top w:val="single" w:color="auto" w:sz="4" w:space="0"/>
              <w:left w:val="single" w:color="auto" w:sz="4" w:space="0"/>
              <w:bottom w:val="single" w:color="auto" w:sz="4" w:space="0"/>
              <w:right w:val="single" w:color="auto" w:sz="4" w:space="0"/>
            </w:tcBorders>
            <w:vAlign w:val="center"/>
          </w:tcPr>
          <w:p w14:paraId="00D12A0C">
            <w:pPr>
              <w:jc w:val="center"/>
              <w:rPr>
                <w:rFonts w:ascii="黑体" w:hAnsi="黑体" w:eastAsia="黑体"/>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56C778C7">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5B7EDE1D">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03298131">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41FD1A3D">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2FF3454">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59D58152">
            <w:pPr>
              <w:jc w:val="center"/>
              <w:rPr>
                <w:rFonts w:ascii="黑体" w:hAnsi="黑体" w:eastAsia="黑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15403DE">
            <w:pPr>
              <w:jc w:val="center"/>
              <w:rPr>
                <w:rFonts w:ascii="黑体" w:hAnsi="黑体" w:eastAsia="黑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CC35B24">
            <w:pPr>
              <w:jc w:val="center"/>
              <w:rPr>
                <w:rFonts w:ascii="黑体" w:hAnsi="黑体" w:eastAsia="黑体"/>
                <w:sz w:val="24"/>
              </w:rPr>
            </w:pPr>
          </w:p>
        </w:tc>
      </w:tr>
      <w:tr w14:paraId="0F28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tcBorders>
              <w:top w:val="single" w:color="auto" w:sz="4" w:space="0"/>
              <w:left w:val="single" w:color="auto" w:sz="4" w:space="0"/>
              <w:bottom w:val="single" w:color="auto" w:sz="4" w:space="0"/>
              <w:right w:val="single" w:color="auto" w:sz="4" w:space="0"/>
            </w:tcBorders>
            <w:vAlign w:val="center"/>
          </w:tcPr>
          <w:p w14:paraId="2215F874">
            <w:pPr>
              <w:jc w:val="center"/>
              <w:rPr>
                <w:rFonts w:ascii="黑体" w:hAnsi="黑体" w:eastAsia="黑体"/>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36EBD30">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3FFE0ECE">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52AFFFD1">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13550262">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CFE6908">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402E6706">
            <w:pPr>
              <w:jc w:val="center"/>
              <w:rPr>
                <w:rFonts w:ascii="黑体" w:hAnsi="黑体" w:eastAsia="黑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C6EA803">
            <w:pPr>
              <w:jc w:val="center"/>
              <w:rPr>
                <w:rFonts w:ascii="黑体" w:hAnsi="黑体" w:eastAsia="黑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EA6BE6D">
            <w:pPr>
              <w:jc w:val="center"/>
              <w:rPr>
                <w:rFonts w:ascii="黑体" w:hAnsi="黑体" w:eastAsia="黑体"/>
                <w:sz w:val="24"/>
              </w:rPr>
            </w:pPr>
          </w:p>
        </w:tc>
      </w:tr>
      <w:tr w14:paraId="0E4F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tcBorders>
              <w:top w:val="single" w:color="auto" w:sz="4" w:space="0"/>
              <w:left w:val="single" w:color="auto" w:sz="4" w:space="0"/>
              <w:bottom w:val="single" w:color="auto" w:sz="4" w:space="0"/>
              <w:right w:val="single" w:color="auto" w:sz="4" w:space="0"/>
            </w:tcBorders>
            <w:vAlign w:val="center"/>
          </w:tcPr>
          <w:p w14:paraId="709C2150">
            <w:pPr>
              <w:jc w:val="center"/>
              <w:rPr>
                <w:rFonts w:ascii="黑体" w:hAnsi="黑体" w:eastAsia="黑体"/>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6DC31769">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43236814">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215A41AC">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539317DF">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BCD2B15">
            <w:pPr>
              <w:jc w:val="center"/>
              <w:rPr>
                <w:rFonts w:ascii="黑体" w:hAnsi="黑体" w:eastAsia="黑体"/>
                <w:sz w:val="24"/>
              </w:rPr>
            </w:pPr>
          </w:p>
        </w:tc>
        <w:tc>
          <w:tcPr>
            <w:tcW w:w="1134" w:type="dxa"/>
            <w:tcBorders>
              <w:top w:val="single" w:color="auto" w:sz="4" w:space="0"/>
              <w:left w:val="single" w:color="auto" w:sz="4" w:space="0"/>
              <w:bottom w:val="single" w:color="auto" w:sz="4" w:space="0"/>
              <w:right w:val="single" w:color="auto" w:sz="4" w:space="0"/>
            </w:tcBorders>
          </w:tcPr>
          <w:p w14:paraId="4B4871B1">
            <w:pPr>
              <w:jc w:val="center"/>
              <w:rPr>
                <w:rFonts w:ascii="黑体" w:hAnsi="黑体" w:eastAsia="黑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AB1697D">
            <w:pPr>
              <w:jc w:val="center"/>
              <w:rPr>
                <w:rFonts w:ascii="黑体" w:hAnsi="黑体" w:eastAsia="黑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AEDAD78">
            <w:pPr>
              <w:jc w:val="center"/>
              <w:rPr>
                <w:rFonts w:ascii="黑体" w:hAnsi="黑体" w:eastAsia="黑体"/>
                <w:sz w:val="24"/>
              </w:rPr>
            </w:pPr>
          </w:p>
        </w:tc>
      </w:tr>
      <w:tr w14:paraId="1F9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3042" w:type="dxa"/>
            <w:gridSpan w:val="9"/>
            <w:tcBorders>
              <w:top w:val="single" w:color="auto" w:sz="4" w:space="0"/>
              <w:left w:val="single" w:color="auto" w:sz="4" w:space="0"/>
              <w:bottom w:val="single" w:color="auto" w:sz="4" w:space="0"/>
              <w:right w:val="single" w:color="auto" w:sz="4" w:space="0"/>
            </w:tcBorders>
            <w:vAlign w:val="center"/>
          </w:tcPr>
          <w:p w14:paraId="4CD5935B">
            <w:pPr>
              <w:spacing w:line="360" w:lineRule="auto"/>
              <w:jc w:val="left"/>
              <w:rPr>
                <w:rFonts w:ascii="黑体" w:hAnsi="黑体" w:eastAsia="黑体"/>
                <w:b/>
                <w:sz w:val="24"/>
              </w:rPr>
            </w:pPr>
            <w:r>
              <w:rPr>
                <w:rFonts w:hint="eastAsia" w:ascii="黑体" w:hAnsi="黑体" w:eastAsia="黑体"/>
                <w:sz w:val="24"/>
              </w:rPr>
              <w:t>评标委员会签名：</w:t>
            </w:r>
          </w:p>
          <w:p w14:paraId="11A32B55">
            <w:pPr>
              <w:jc w:val="right"/>
              <w:rPr>
                <w:rFonts w:ascii="黑体" w:hAnsi="黑体" w:eastAsia="黑体"/>
                <w:sz w:val="24"/>
              </w:rPr>
            </w:pPr>
            <w:r>
              <w:rPr>
                <w:rFonts w:hint="eastAsia" w:ascii="黑体" w:hAnsi="黑体" w:eastAsia="黑体"/>
                <w:sz w:val="24"/>
              </w:rPr>
              <w:t>日期：     年   月  日</w:t>
            </w:r>
          </w:p>
        </w:tc>
      </w:tr>
    </w:tbl>
    <w:p w14:paraId="4CBAE6CC">
      <w:pPr>
        <w:adjustRightInd w:val="0"/>
        <w:snapToGrid w:val="0"/>
        <w:spacing w:line="360" w:lineRule="auto"/>
        <w:ind w:firstLine="482" w:firstLineChars="200"/>
        <w:rPr>
          <w:rFonts w:ascii="黑体" w:hAnsi="黑体" w:eastAsia="黑体"/>
          <w:b/>
          <w:kern w:val="0"/>
          <w:sz w:val="24"/>
        </w:rPr>
      </w:pPr>
      <w:r>
        <w:rPr>
          <w:rFonts w:hint="eastAsia" w:ascii="黑体" w:hAnsi="黑体" w:eastAsia="黑体"/>
          <w:b/>
          <w:kern w:val="0"/>
          <w:sz w:val="24"/>
        </w:rPr>
        <w:t>备注：</w:t>
      </w:r>
    </w:p>
    <w:p w14:paraId="1BD97FF6">
      <w:pPr>
        <w:adjustRightInd w:val="0"/>
        <w:snapToGrid w:val="0"/>
        <w:spacing w:line="360" w:lineRule="auto"/>
        <w:ind w:firstLine="420" w:firstLineChars="200"/>
        <w:rPr>
          <w:rFonts w:ascii="黑体" w:eastAsia="黑体"/>
          <w:szCs w:val="21"/>
        </w:rPr>
      </w:pPr>
      <w:r>
        <w:rPr>
          <w:rFonts w:hint="eastAsia" w:ascii="黑体" w:eastAsia="黑体"/>
          <w:szCs w:val="21"/>
        </w:rPr>
        <w:t>1.本项目采用的评标方法为：</w:t>
      </w:r>
      <w:r>
        <w:rPr>
          <w:rFonts w:hint="eastAsia" w:ascii="黑体" w:eastAsia="黑体"/>
          <w:szCs w:val="21"/>
          <w:u w:val="single"/>
        </w:rPr>
        <w:t xml:space="preserve">   综合评审法  </w:t>
      </w:r>
      <w:r>
        <w:rPr>
          <w:rFonts w:hint="eastAsia" w:ascii="黑体" w:eastAsia="黑体"/>
          <w:szCs w:val="21"/>
        </w:rPr>
        <w:t>。</w:t>
      </w:r>
    </w:p>
    <w:p w14:paraId="73D4D7E3">
      <w:pPr>
        <w:adjustRightInd w:val="0"/>
        <w:snapToGrid w:val="0"/>
        <w:spacing w:line="360" w:lineRule="auto"/>
        <w:ind w:firstLine="420" w:firstLineChars="200"/>
        <w:rPr>
          <w:rFonts w:ascii="宋体" w:hAnsi="宋体"/>
          <w:b/>
          <w:sz w:val="24"/>
          <w:szCs w:val="20"/>
        </w:rPr>
      </w:pPr>
      <w:r>
        <w:rPr>
          <w:rFonts w:hint="eastAsia" w:ascii="黑体" w:eastAsia="黑体"/>
          <w:szCs w:val="21"/>
        </w:rPr>
        <w:t>2.综合得分N=</w:t>
      </w:r>
      <w:r>
        <w:rPr>
          <w:rFonts w:hint="eastAsia" w:ascii="黑体" w:eastAsia="黑体"/>
          <w:szCs w:val="21"/>
          <w:u w:val="single"/>
        </w:rPr>
        <w:t xml:space="preserve">   10</w:t>
      </w:r>
      <w:r>
        <w:rPr>
          <w:rFonts w:ascii="黑体" w:eastAsia="黑体"/>
          <w:szCs w:val="21"/>
          <w:u w:val="single"/>
        </w:rPr>
        <w:t>0</w:t>
      </w:r>
      <w:r>
        <w:rPr>
          <w:rFonts w:hint="eastAsia" w:ascii="黑体" w:eastAsia="黑体"/>
          <w:szCs w:val="21"/>
          <w:u w:val="single"/>
        </w:rPr>
        <w:t xml:space="preserve">       </w:t>
      </w:r>
      <w:r>
        <w:rPr>
          <w:rFonts w:hint="eastAsia" w:ascii="黑体" w:eastAsia="黑体"/>
          <w:szCs w:val="21"/>
        </w:rPr>
        <w:t>。</w:t>
      </w:r>
    </w:p>
    <w:p w14:paraId="36B7FA51">
      <w:pPr>
        <w:spacing w:line="360" w:lineRule="auto"/>
        <w:jc w:val="left"/>
        <w:rPr>
          <w:rFonts w:ascii="宋体" w:hAnsi="宋体"/>
          <w:b/>
          <w:sz w:val="24"/>
        </w:rPr>
        <w:sectPr>
          <w:pgSz w:w="15840" w:h="12240" w:orient="landscape"/>
          <w:pgMar w:top="1797" w:right="1440" w:bottom="1797" w:left="1440" w:header="720" w:footer="720" w:gutter="0"/>
          <w:cols w:space="720" w:num="1"/>
        </w:sectPr>
      </w:pPr>
    </w:p>
    <w:p w14:paraId="38E5DC55">
      <w:pPr>
        <w:pStyle w:val="9"/>
        <w:ind w:firstLine="964" w:firstLineChars="300"/>
        <w:rPr>
          <w:rFonts w:ascii="黑体" w:hAnsi="黑体"/>
          <w:sz w:val="32"/>
          <w:szCs w:val="32"/>
        </w:rPr>
      </w:pPr>
      <w:r>
        <w:rPr>
          <w:rFonts w:hint="eastAsia" w:ascii="黑体" w:hAnsi="黑体"/>
          <w:sz w:val="32"/>
          <w:szCs w:val="32"/>
        </w:rPr>
        <w:t>（五）其他开评标表格</w:t>
      </w:r>
    </w:p>
    <w:p w14:paraId="5A4E906D">
      <w:pPr>
        <w:spacing w:line="360" w:lineRule="auto"/>
        <w:ind w:firstLine="3000" w:firstLineChars="1000"/>
        <w:rPr>
          <w:rFonts w:ascii="黑体" w:hAnsi="黑体" w:eastAsia="黑体"/>
          <w:sz w:val="30"/>
          <w:szCs w:val="30"/>
        </w:rPr>
      </w:pPr>
      <w:r>
        <w:rPr>
          <w:rFonts w:hint="eastAsia" w:ascii="黑体" w:hAnsi="黑体" w:eastAsia="黑体"/>
          <w:sz w:val="30"/>
          <w:szCs w:val="30"/>
        </w:rPr>
        <w:t>1.开标情况记录表</w:t>
      </w:r>
    </w:p>
    <w:p w14:paraId="5ED86641">
      <w:pPr>
        <w:spacing w:line="360" w:lineRule="auto"/>
        <w:jc w:val="left"/>
        <w:rPr>
          <w:rFonts w:hint="default" w:ascii="黑体" w:hAnsi="黑体" w:eastAsia="黑体" w:cs="黑体"/>
          <w:b/>
          <w:bCs/>
          <w:sz w:val="24"/>
          <w:lang w:val="en-US" w:eastAsia="zh-CN"/>
        </w:rPr>
      </w:pPr>
      <w:r>
        <w:rPr>
          <w:rFonts w:hint="eastAsia" w:ascii="黑体" w:hAnsi="黑体" w:eastAsia="黑体"/>
          <w:sz w:val="24"/>
        </w:rPr>
        <w:t>项目名称：</w:t>
      </w:r>
      <w:r>
        <w:rPr>
          <w:rFonts w:hint="eastAsia" w:ascii="黑体" w:hAnsi="黑体" w:eastAsia="黑体" w:cs="黑体"/>
          <w:b/>
          <w:sz w:val="24"/>
          <w:lang w:val="en-US" w:eastAsia="zh-CN"/>
        </w:rPr>
        <w:t>深圳华南城一期市场阳光棚维修工程</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95"/>
        <w:gridCol w:w="1477"/>
        <w:gridCol w:w="1477"/>
        <w:gridCol w:w="1477"/>
        <w:gridCol w:w="1477"/>
      </w:tblGrid>
      <w:tr w14:paraId="761F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1A9051E7">
            <w:pPr>
              <w:jc w:val="center"/>
              <w:rPr>
                <w:rFonts w:ascii="黑体" w:hAnsi="黑体" w:eastAsia="黑体"/>
                <w:sz w:val="24"/>
              </w:rPr>
            </w:pPr>
            <w:r>
              <w:rPr>
                <w:rFonts w:hint="eastAsia" w:ascii="黑体" w:hAnsi="黑体" w:eastAsia="黑体"/>
                <w:sz w:val="24"/>
              </w:rPr>
              <w:t>序号</w:t>
            </w:r>
          </w:p>
        </w:tc>
        <w:tc>
          <w:tcPr>
            <w:tcW w:w="1995" w:type="dxa"/>
            <w:tcBorders>
              <w:top w:val="single" w:color="auto" w:sz="4" w:space="0"/>
              <w:left w:val="single" w:color="auto" w:sz="4" w:space="0"/>
              <w:bottom w:val="single" w:color="auto" w:sz="4" w:space="0"/>
              <w:right w:val="single" w:color="auto" w:sz="4" w:space="0"/>
            </w:tcBorders>
            <w:vAlign w:val="center"/>
          </w:tcPr>
          <w:p w14:paraId="131505DE">
            <w:pPr>
              <w:jc w:val="center"/>
              <w:rPr>
                <w:rFonts w:ascii="黑体" w:hAnsi="黑体" w:eastAsia="黑体"/>
                <w:sz w:val="24"/>
              </w:rPr>
            </w:pPr>
            <w:r>
              <w:rPr>
                <w:rFonts w:hint="eastAsia" w:ascii="黑体" w:hAnsi="黑体" w:eastAsia="黑体"/>
                <w:sz w:val="24"/>
              </w:rPr>
              <w:t>投标人名称</w:t>
            </w:r>
          </w:p>
        </w:tc>
        <w:tc>
          <w:tcPr>
            <w:tcW w:w="1477" w:type="dxa"/>
            <w:tcBorders>
              <w:top w:val="single" w:color="auto" w:sz="4" w:space="0"/>
              <w:left w:val="single" w:color="auto" w:sz="4" w:space="0"/>
              <w:bottom w:val="single" w:color="auto" w:sz="4" w:space="0"/>
              <w:right w:val="single" w:color="auto" w:sz="4" w:space="0"/>
            </w:tcBorders>
            <w:vAlign w:val="center"/>
          </w:tcPr>
          <w:p w14:paraId="0E738189">
            <w:pPr>
              <w:jc w:val="center"/>
              <w:rPr>
                <w:rFonts w:ascii="黑体" w:hAnsi="黑体" w:eastAsia="黑体"/>
                <w:sz w:val="24"/>
              </w:rPr>
            </w:pPr>
            <w:r>
              <w:rPr>
                <w:rFonts w:hint="eastAsia" w:ascii="黑体" w:hAnsi="黑体" w:eastAsia="黑体"/>
                <w:sz w:val="24"/>
              </w:rPr>
              <w:t>投标报价（元）</w:t>
            </w:r>
          </w:p>
        </w:tc>
        <w:tc>
          <w:tcPr>
            <w:tcW w:w="1477" w:type="dxa"/>
            <w:tcBorders>
              <w:top w:val="single" w:color="auto" w:sz="4" w:space="0"/>
              <w:left w:val="single" w:color="auto" w:sz="4" w:space="0"/>
              <w:bottom w:val="single" w:color="auto" w:sz="4" w:space="0"/>
              <w:right w:val="single" w:color="auto" w:sz="4" w:space="0"/>
            </w:tcBorders>
            <w:vAlign w:val="center"/>
          </w:tcPr>
          <w:p w14:paraId="4951E7D7">
            <w:pPr>
              <w:jc w:val="center"/>
              <w:rPr>
                <w:rFonts w:ascii="黑体" w:hAnsi="黑体" w:eastAsia="黑体"/>
                <w:sz w:val="24"/>
              </w:rPr>
            </w:pPr>
            <w:r>
              <w:rPr>
                <w:rFonts w:hint="eastAsia" w:ascii="黑体" w:hAnsi="黑体" w:eastAsia="黑体"/>
                <w:sz w:val="24"/>
              </w:rPr>
              <w:t>服务期限</w:t>
            </w:r>
          </w:p>
        </w:tc>
        <w:tc>
          <w:tcPr>
            <w:tcW w:w="1477" w:type="dxa"/>
            <w:tcBorders>
              <w:top w:val="single" w:color="auto" w:sz="4" w:space="0"/>
              <w:left w:val="single" w:color="auto" w:sz="4" w:space="0"/>
              <w:bottom w:val="single" w:color="auto" w:sz="4" w:space="0"/>
              <w:right w:val="single" w:color="auto" w:sz="4" w:space="0"/>
            </w:tcBorders>
            <w:vAlign w:val="center"/>
          </w:tcPr>
          <w:p w14:paraId="34477CD1">
            <w:pPr>
              <w:jc w:val="center"/>
              <w:rPr>
                <w:rFonts w:ascii="黑体" w:hAnsi="黑体" w:eastAsia="黑体"/>
                <w:sz w:val="24"/>
              </w:rPr>
            </w:pPr>
            <w:r>
              <w:rPr>
                <w:rFonts w:hint="eastAsia" w:ascii="黑体" w:hAnsi="黑体" w:eastAsia="黑体"/>
                <w:sz w:val="24"/>
              </w:rPr>
              <w:t>投标人确认</w:t>
            </w:r>
          </w:p>
        </w:tc>
        <w:tc>
          <w:tcPr>
            <w:tcW w:w="1477" w:type="dxa"/>
            <w:tcBorders>
              <w:top w:val="single" w:color="auto" w:sz="4" w:space="0"/>
              <w:left w:val="single" w:color="auto" w:sz="4" w:space="0"/>
              <w:bottom w:val="single" w:color="auto" w:sz="4" w:space="0"/>
              <w:right w:val="single" w:color="auto" w:sz="4" w:space="0"/>
            </w:tcBorders>
            <w:vAlign w:val="center"/>
          </w:tcPr>
          <w:p w14:paraId="3CC69845">
            <w:pPr>
              <w:jc w:val="center"/>
              <w:rPr>
                <w:rFonts w:ascii="黑体" w:hAnsi="黑体" w:eastAsia="黑体"/>
                <w:sz w:val="24"/>
              </w:rPr>
            </w:pPr>
            <w:r>
              <w:rPr>
                <w:rFonts w:hint="eastAsia" w:ascii="黑体" w:hAnsi="黑体" w:eastAsia="黑体"/>
                <w:sz w:val="24"/>
              </w:rPr>
              <w:t>备注</w:t>
            </w:r>
          </w:p>
        </w:tc>
      </w:tr>
      <w:tr w14:paraId="2C25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6BBC8217">
            <w:pPr>
              <w:spacing w:line="360" w:lineRule="auto"/>
              <w:jc w:val="center"/>
              <w:rPr>
                <w:rFonts w:ascii="黑体" w:hAnsi="黑体" w:eastAsia="黑体"/>
                <w:b/>
                <w:color w:val="000000"/>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5F1AC871">
            <w:pPr>
              <w:spacing w:line="360" w:lineRule="auto"/>
              <w:jc w:val="center"/>
              <w:rPr>
                <w:rFonts w:ascii="黑体" w:hAnsi="黑体" w:eastAsia="黑体"/>
                <w:b/>
                <w:color w:val="000000"/>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7CFBE06A">
            <w:pPr>
              <w:spacing w:line="360" w:lineRule="auto"/>
              <w:jc w:val="center"/>
              <w:rPr>
                <w:rFonts w:ascii="黑体" w:hAnsi="黑体" w:eastAsia="黑体"/>
                <w:b/>
                <w:color w:val="000000"/>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D4192BB">
            <w:pPr>
              <w:spacing w:line="360" w:lineRule="auto"/>
              <w:jc w:val="center"/>
              <w:rPr>
                <w:rFonts w:ascii="黑体" w:hAnsi="黑体" w:eastAsia="黑体"/>
                <w:b/>
                <w:color w:val="000000"/>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72DDA0DD">
            <w:pPr>
              <w:spacing w:line="360" w:lineRule="auto"/>
              <w:jc w:val="center"/>
              <w:rPr>
                <w:rFonts w:ascii="黑体" w:hAnsi="黑体" w:eastAsia="黑体"/>
                <w:b/>
                <w:color w:val="000000"/>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2E7F0DCE">
            <w:pPr>
              <w:spacing w:line="360" w:lineRule="auto"/>
              <w:jc w:val="center"/>
              <w:rPr>
                <w:rFonts w:ascii="黑体" w:hAnsi="黑体" w:eastAsia="黑体"/>
                <w:b/>
                <w:color w:val="000000"/>
                <w:sz w:val="24"/>
              </w:rPr>
            </w:pPr>
          </w:p>
        </w:tc>
      </w:tr>
      <w:tr w14:paraId="3AE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74BF31C0">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4316F7F4">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1000D191">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85B17B8">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E8BC5F4">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7FE24962">
            <w:pPr>
              <w:spacing w:line="360" w:lineRule="auto"/>
              <w:jc w:val="center"/>
              <w:rPr>
                <w:rFonts w:ascii="黑体" w:hAnsi="黑体" w:eastAsia="黑体"/>
                <w:b/>
                <w:sz w:val="24"/>
              </w:rPr>
            </w:pPr>
          </w:p>
        </w:tc>
      </w:tr>
      <w:tr w14:paraId="23A2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64D871E4">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48538977">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88FF291">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17D12C5B">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8CC3D55">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EB363D1">
            <w:pPr>
              <w:spacing w:line="360" w:lineRule="auto"/>
              <w:jc w:val="center"/>
              <w:rPr>
                <w:rFonts w:ascii="黑体" w:hAnsi="黑体" w:eastAsia="黑体"/>
                <w:b/>
                <w:sz w:val="24"/>
              </w:rPr>
            </w:pPr>
          </w:p>
        </w:tc>
      </w:tr>
      <w:tr w14:paraId="674F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4FC5D7C6">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3BC46C6D">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22175F3">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69C764B">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CA6D6C0">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B92D6FF">
            <w:pPr>
              <w:spacing w:line="360" w:lineRule="auto"/>
              <w:jc w:val="center"/>
              <w:rPr>
                <w:rFonts w:ascii="黑体" w:hAnsi="黑体" w:eastAsia="黑体"/>
                <w:b/>
                <w:sz w:val="24"/>
              </w:rPr>
            </w:pPr>
          </w:p>
        </w:tc>
      </w:tr>
      <w:tr w14:paraId="5FE8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10511179">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486ECDCB">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74EA146B">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B33FF11">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E2C3437">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1094310A">
            <w:pPr>
              <w:spacing w:line="360" w:lineRule="auto"/>
              <w:jc w:val="center"/>
              <w:rPr>
                <w:rFonts w:ascii="黑体" w:hAnsi="黑体" w:eastAsia="黑体"/>
                <w:b/>
                <w:sz w:val="24"/>
              </w:rPr>
            </w:pPr>
          </w:p>
        </w:tc>
      </w:tr>
      <w:tr w14:paraId="06D3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2F42597B">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1A051674">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7C06BC6">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7673AB9">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2CC2A5E9">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FD26620">
            <w:pPr>
              <w:spacing w:line="360" w:lineRule="auto"/>
              <w:jc w:val="center"/>
              <w:rPr>
                <w:rFonts w:ascii="黑体" w:hAnsi="黑体" w:eastAsia="黑体"/>
                <w:b/>
                <w:sz w:val="24"/>
              </w:rPr>
            </w:pPr>
          </w:p>
        </w:tc>
      </w:tr>
      <w:tr w14:paraId="0EC1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5F524CF5">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101CDC55">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35979C6">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4E60C2BD">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1D59B631">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0A9A0C0">
            <w:pPr>
              <w:spacing w:line="360" w:lineRule="auto"/>
              <w:jc w:val="center"/>
              <w:rPr>
                <w:rFonts w:ascii="黑体" w:hAnsi="黑体" w:eastAsia="黑体"/>
                <w:b/>
                <w:sz w:val="24"/>
              </w:rPr>
            </w:pPr>
          </w:p>
        </w:tc>
      </w:tr>
      <w:tr w14:paraId="2B98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6DACAF3D">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061B1099">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49D25443">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B12FD71">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376DB44">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DDFFDEA">
            <w:pPr>
              <w:spacing w:line="360" w:lineRule="auto"/>
              <w:jc w:val="center"/>
              <w:rPr>
                <w:rFonts w:ascii="黑体" w:hAnsi="黑体" w:eastAsia="黑体"/>
                <w:b/>
                <w:sz w:val="24"/>
              </w:rPr>
            </w:pPr>
          </w:p>
        </w:tc>
      </w:tr>
      <w:tr w14:paraId="207D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tcBorders>
              <w:top w:val="single" w:color="auto" w:sz="4" w:space="0"/>
              <w:left w:val="single" w:color="auto" w:sz="4" w:space="0"/>
              <w:bottom w:val="single" w:color="auto" w:sz="4" w:space="0"/>
              <w:right w:val="single" w:color="auto" w:sz="4" w:space="0"/>
            </w:tcBorders>
            <w:vAlign w:val="center"/>
          </w:tcPr>
          <w:p w14:paraId="27E0CE55">
            <w:pPr>
              <w:spacing w:line="360" w:lineRule="auto"/>
              <w:jc w:val="center"/>
              <w:rPr>
                <w:rFonts w:ascii="黑体" w:hAnsi="黑体" w:eastAsia="黑体"/>
                <w:b/>
                <w:sz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3DB6562A">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4D778A35">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E36AF85">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43D8D63F">
            <w:pPr>
              <w:spacing w:line="360" w:lineRule="auto"/>
              <w:jc w:val="center"/>
              <w:rPr>
                <w:rFonts w:ascii="黑体" w:hAnsi="黑体" w:eastAsia="黑体"/>
                <w:b/>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0148515">
            <w:pPr>
              <w:spacing w:line="360" w:lineRule="auto"/>
              <w:jc w:val="center"/>
              <w:rPr>
                <w:rFonts w:ascii="黑体" w:hAnsi="黑体" w:eastAsia="黑体"/>
                <w:b/>
                <w:sz w:val="24"/>
              </w:rPr>
            </w:pPr>
          </w:p>
        </w:tc>
      </w:tr>
    </w:tbl>
    <w:p w14:paraId="32CB0401">
      <w:pPr>
        <w:spacing w:line="480" w:lineRule="auto"/>
        <w:rPr>
          <w:rFonts w:ascii="黑体" w:hAnsi="黑体" w:eastAsia="黑体"/>
          <w:sz w:val="24"/>
          <w:szCs w:val="20"/>
        </w:rPr>
      </w:pPr>
    </w:p>
    <w:p w14:paraId="76E97E4D">
      <w:pPr>
        <w:spacing w:line="480" w:lineRule="auto"/>
        <w:ind w:firstLine="480" w:firstLineChars="200"/>
        <w:rPr>
          <w:rFonts w:ascii="黑体" w:hAnsi="黑体" w:eastAsia="黑体"/>
          <w:sz w:val="24"/>
          <w:u w:val="single"/>
        </w:rPr>
      </w:pPr>
      <w:r>
        <w:rPr>
          <w:rFonts w:hint="eastAsia" w:ascii="黑体" w:hAnsi="黑体" w:eastAsia="黑体"/>
          <w:sz w:val="24"/>
        </w:rPr>
        <w:t>招标工作人员签字：</w:t>
      </w:r>
      <w:r>
        <w:rPr>
          <w:rFonts w:hint="eastAsia" w:ascii="黑体" w:hAnsi="黑体" w:eastAsia="黑体"/>
          <w:sz w:val="24"/>
          <w:u w:val="single"/>
        </w:rPr>
        <w:t xml:space="preserve">                                 </w:t>
      </w:r>
    </w:p>
    <w:p w14:paraId="214E2D4A">
      <w:pPr>
        <w:spacing w:line="480" w:lineRule="auto"/>
        <w:ind w:firstLine="480" w:firstLineChars="200"/>
        <w:rPr>
          <w:rFonts w:ascii="黑体" w:hAnsi="黑体" w:eastAsia="黑体"/>
          <w:sz w:val="24"/>
          <w:u w:val="single"/>
        </w:rPr>
      </w:pPr>
      <w:r>
        <w:rPr>
          <w:rFonts w:hint="eastAsia" w:ascii="黑体" w:hAnsi="黑体" w:eastAsia="黑体"/>
          <w:sz w:val="24"/>
        </w:rPr>
        <w:t>监督人员签字：</w:t>
      </w:r>
      <w:r>
        <w:rPr>
          <w:rFonts w:hint="eastAsia" w:ascii="黑体" w:hAnsi="黑体" w:eastAsia="黑体"/>
          <w:sz w:val="24"/>
          <w:u w:val="single"/>
        </w:rPr>
        <w:t xml:space="preserve">                                     </w:t>
      </w:r>
    </w:p>
    <w:p w14:paraId="56F0A604">
      <w:pPr>
        <w:spacing w:line="480" w:lineRule="auto"/>
        <w:ind w:firstLine="480" w:firstLineChars="200"/>
        <w:rPr>
          <w:rFonts w:ascii="黑体" w:hAnsi="黑体" w:eastAsia="黑体"/>
          <w:sz w:val="24"/>
          <w:u w:val="single"/>
        </w:rPr>
      </w:pPr>
      <w:r>
        <w:rPr>
          <w:rFonts w:hint="eastAsia" w:ascii="黑体" w:hAnsi="黑体" w:eastAsia="黑体"/>
          <w:sz w:val="24"/>
        </w:rPr>
        <w:t>开标日期：</w:t>
      </w:r>
      <w:r>
        <w:rPr>
          <w:rFonts w:hint="eastAsia" w:ascii="黑体" w:hAnsi="黑体" w:eastAsia="黑体"/>
          <w:sz w:val="24"/>
          <w:u w:val="single"/>
        </w:rPr>
        <w:t xml:space="preserve">                                         </w:t>
      </w:r>
    </w:p>
    <w:p w14:paraId="6850FA94">
      <w:pPr>
        <w:pStyle w:val="115"/>
        <w:spacing w:line="560" w:lineRule="exact"/>
        <w:ind w:firstLine="422" w:firstLineChars="0"/>
        <w:jc w:val="center"/>
        <w:outlineLvl w:val="1"/>
        <w:rPr>
          <w:rFonts w:ascii="黑体" w:hAnsi="黑体" w:eastAsia="黑体"/>
          <w:b/>
          <w:bCs/>
          <w:kern w:val="0"/>
          <w:sz w:val="44"/>
          <w:szCs w:val="44"/>
        </w:rPr>
      </w:pPr>
      <w:r>
        <w:rPr>
          <w:rFonts w:hint="eastAsia" w:ascii="宋体" w:hAnsi="宋体"/>
          <w:b/>
          <w:sz w:val="24"/>
          <w:szCs w:val="24"/>
        </w:rPr>
        <w:br w:type="page"/>
      </w:r>
      <w:bookmarkStart w:id="24" w:name="_Toc228364647"/>
      <w:r>
        <w:rPr>
          <w:rFonts w:hint="eastAsia" w:ascii="黑体" w:hAnsi="黑体" w:eastAsia="黑体"/>
          <w:b/>
          <w:bCs/>
          <w:kern w:val="0"/>
          <w:sz w:val="44"/>
          <w:szCs w:val="44"/>
        </w:rPr>
        <w:t>二、投标须知</w:t>
      </w:r>
      <w:bookmarkEnd w:id="24"/>
    </w:p>
    <w:p w14:paraId="335671AB">
      <w:pPr>
        <w:pStyle w:val="115"/>
        <w:spacing w:line="560" w:lineRule="exact"/>
        <w:ind w:firstLine="560"/>
        <w:rPr>
          <w:rFonts w:ascii="仿宋_GB2312" w:hAnsi="宋体" w:eastAsia="仿宋_GB2312"/>
          <w:bCs/>
          <w:kern w:val="0"/>
          <w:sz w:val="28"/>
          <w:szCs w:val="28"/>
        </w:rPr>
      </w:pPr>
    </w:p>
    <w:p w14:paraId="3F3CC805">
      <w:pPr>
        <w:pStyle w:val="6"/>
        <w:spacing w:before="0" w:line="400" w:lineRule="exact"/>
        <w:ind w:left="1083" w:hanging="1077"/>
        <w:jc w:val="center"/>
        <w:rPr>
          <w:rFonts w:ascii="黑体" w:hAnsi="黑体" w:eastAsia="黑体"/>
          <w:b w:val="0"/>
          <w:bCs/>
          <w:kern w:val="0"/>
          <w:sz w:val="36"/>
          <w:szCs w:val="36"/>
        </w:rPr>
      </w:pPr>
      <w:r>
        <w:rPr>
          <w:rFonts w:hint="eastAsia" w:ascii="黑体" w:hAnsi="黑体" w:eastAsia="黑体"/>
          <w:b w:val="0"/>
          <w:kern w:val="0"/>
          <w:sz w:val="36"/>
          <w:szCs w:val="36"/>
        </w:rPr>
        <w:t>（一）总则</w:t>
      </w:r>
    </w:p>
    <w:p w14:paraId="05D272EA">
      <w:pPr>
        <w:pStyle w:val="115"/>
        <w:spacing w:line="560" w:lineRule="exact"/>
        <w:ind w:firstLine="560"/>
        <w:rPr>
          <w:rFonts w:ascii="仿宋_GB2312" w:hAnsi="宋体" w:eastAsia="仿宋_GB2312"/>
          <w:bCs/>
          <w:kern w:val="0"/>
          <w:sz w:val="28"/>
          <w:szCs w:val="28"/>
        </w:rPr>
      </w:pPr>
    </w:p>
    <w:p w14:paraId="5D7F9599">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1.项目说明</w:t>
      </w:r>
    </w:p>
    <w:p w14:paraId="5341423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1.1项目名称见前附表1第2项所述。</w:t>
      </w:r>
    </w:p>
    <w:p w14:paraId="18482EE7">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1.2项目地点见前附表1第3项所述。</w:t>
      </w:r>
    </w:p>
    <w:p w14:paraId="7391DC36">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2.资金来源</w:t>
      </w:r>
    </w:p>
    <w:p w14:paraId="70B8136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2.1本项目已完成审批手续，项目资金通过前附表1第4项所述的方式获得。</w:t>
      </w:r>
    </w:p>
    <w:p w14:paraId="465C2E20">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3.招标范围：</w:t>
      </w:r>
    </w:p>
    <w:p w14:paraId="1D00204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3.1 本次招标范围及内容见前附表1第6项所述。</w:t>
      </w:r>
    </w:p>
    <w:p w14:paraId="51AA3D24">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4.服务周期要求</w:t>
      </w:r>
    </w:p>
    <w:p w14:paraId="287AF4B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4.1本项目服务周期要求见前附表1第13项所述。</w:t>
      </w:r>
    </w:p>
    <w:p w14:paraId="1E1DB185">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5.合格的投标人</w:t>
      </w:r>
    </w:p>
    <w:p w14:paraId="5F24CFA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5.1投标人资质、投标人项目负责人要求见前附表1第8项、第9项所述。</w:t>
      </w:r>
    </w:p>
    <w:p w14:paraId="1974A8F6">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5.2本次招标资格审查方式见前附表1第10项。</w:t>
      </w:r>
    </w:p>
    <w:p w14:paraId="0770A50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5.3由两个或两个以上法人组成一个联合体以一个投标人的身份共同投标时，除符合5.1、5.2款的要求外，还应符合以下要求：</w:t>
      </w:r>
    </w:p>
    <w:p w14:paraId="1B8654B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5.3.1投标人的投标文件及中标后签署的合同协议书对联合体每一成员均具法律约束力；</w:t>
      </w:r>
    </w:p>
    <w:p w14:paraId="0500AE3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5.3.2联合体的各成员应当签订共同投标协议，明确约定各方拟承担的工作和责任，并将该共同投标协议随投标文件一并递交给招标人；</w:t>
      </w:r>
    </w:p>
    <w:p w14:paraId="091C812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5.3.3联合体中标后，联合体各方应当共同与招标人签订合同，为履行合同向招标人承担连带责任；</w:t>
      </w:r>
    </w:p>
    <w:p w14:paraId="5CB2C03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5.3.4由联合体的各成员提交一份授权书，证明联合体代表资格，该授权书作为投标文件的组成部分一并提交给招标人；</w:t>
      </w:r>
    </w:p>
    <w:p w14:paraId="12401AD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5.3.5联合体代表应被授权作为联合体所有成员的代表承担责任和接受指令，并负责整个合同的全面履行；</w:t>
      </w:r>
    </w:p>
    <w:p w14:paraId="485EC3A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5.3.6参加联合体的各成员不得再以自己的名义单独投标，也不得同时参加两个或两个以上的联合体投标。出现上述情况者，其投标和与其有关的联合体的投标均做无效标处理；</w:t>
      </w:r>
    </w:p>
    <w:p w14:paraId="5E60303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5.3.7除非另有规定或说明，本须知中“投标人”一词亦指联合体各成员。</w:t>
      </w:r>
    </w:p>
    <w:p w14:paraId="600CAD3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5.4投标人应当具备承担本招标项目的能力；具备国家有关规定或者招标文件规定的资格条件；且通过合法途径取得招标文件。</w:t>
      </w:r>
    </w:p>
    <w:p w14:paraId="5E3F6644">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6.投标费用</w:t>
      </w:r>
    </w:p>
    <w:p w14:paraId="715D1747">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6.1投标人应自行承担所有准备及参加投标相关的费用。不论投标的结果如何，招标人均无承担的义务和责任。</w:t>
      </w:r>
    </w:p>
    <w:p w14:paraId="28AFBF52">
      <w:pPr>
        <w:pStyle w:val="115"/>
        <w:spacing w:line="560" w:lineRule="exact"/>
        <w:ind w:firstLine="560"/>
        <w:rPr>
          <w:rFonts w:ascii="仿宋_GB2312" w:hAnsi="宋体" w:eastAsia="仿宋_GB2312"/>
          <w:bCs/>
          <w:kern w:val="0"/>
          <w:sz w:val="28"/>
          <w:szCs w:val="28"/>
        </w:rPr>
      </w:pPr>
    </w:p>
    <w:p w14:paraId="26038730">
      <w:pPr>
        <w:pStyle w:val="6"/>
        <w:spacing w:before="0" w:line="400" w:lineRule="exact"/>
        <w:jc w:val="center"/>
        <w:rPr>
          <w:rFonts w:ascii="黑体" w:hAnsi="黑体" w:eastAsia="黑体"/>
          <w:b w:val="0"/>
          <w:bCs/>
          <w:kern w:val="0"/>
          <w:sz w:val="36"/>
          <w:szCs w:val="36"/>
        </w:rPr>
      </w:pPr>
      <w:r>
        <w:rPr>
          <w:rFonts w:hint="eastAsia" w:ascii="黑体" w:hAnsi="黑体" w:eastAsia="黑体"/>
          <w:b w:val="0"/>
          <w:kern w:val="0"/>
          <w:sz w:val="36"/>
          <w:szCs w:val="36"/>
        </w:rPr>
        <w:t>（二）招标文件</w:t>
      </w:r>
      <w:bookmarkEnd w:id="16"/>
      <w:bookmarkEnd w:id="17"/>
      <w:bookmarkEnd w:id="18"/>
    </w:p>
    <w:p w14:paraId="4A51F41F">
      <w:pPr>
        <w:pStyle w:val="115"/>
        <w:spacing w:line="560" w:lineRule="exact"/>
        <w:ind w:firstLine="560"/>
        <w:rPr>
          <w:rFonts w:ascii="仿宋_GB2312" w:hAnsi="宋体" w:eastAsia="仿宋_GB2312"/>
          <w:bCs/>
          <w:kern w:val="0"/>
          <w:sz w:val="28"/>
          <w:szCs w:val="28"/>
        </w:rPr>
      </w:pPr>
    </w:p>
    <w:p w14:paraId="1608944E">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7.招标文件的组成</w:t>
      </w:r>
    </w:p>
    <w:p w14:paraId="47FA4B7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7.1招标文件包括下列内容：</w:t>
      </w:r>
    </w:p>
    <w:p w14:paraId="44BF677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第一章 致投标人</w:t>
      </w:r>
    </w:p>
    <w:p w14:paraId="6789BD9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第二章 投标须知</w:t>
      </w:r>
    </w:p>
    <w:p w14:paraId="7FE0482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 一、投标须知前附件</w:t>
      </w:r>
    </w:p>
    <w:p w14:paraId="318634E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 二、投标须知</w:t>
      </w:r>
    </w:p>
    <w:p w14:paraId="13232EF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第三章 合同条款</w:t>
      </w:r>
    </w:p>
    <w:p w14:paraId="307B8661">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第四章 需求任务书</w:t>
      </w:r>
    </w:p>
    <w:p w14:paraId="6F898BD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一、项目需求标准</w:t>
      </w:r>
    </w:p>
    <w:p w14:paraId="330916B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二、项目需求清单</w:t>
      </w:r>
    </w:p>
    <w:p w14:paraId="0FFF191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第五章 投标文件格式</w:t>
      </w:r>
    </w:p>
    <w:p w14:paraId="6D1BAA0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一、资格审查文件</w:t>
      </w:r>
    </w:p>
    <w:p w14:paraId="64C737F6">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二、投标函部分</w:t>
      </w:r>
    </w:p>
    <w:p w14:paraId="7C5953F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三、资信标部分</w:t>
      </w:r>
    </w:p>
    <w:p w14:paraId="1A0B68E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四、商务标部分</w:t>
      </w:r>
    </w:p>
    <w:p w14:paraId="28DE696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五、技术标部分</w:t>
      </w:r>
    </w:p>
    <w:p w14:paraId="62D0FC7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第六章 中标通知书</w:t>
      </w:r>
    </w:p>
    <w:p w14:paraId="34670CE1">
      <w:pPr>
        <w:pStyle w:val="26"/>
        <w:spacing w:line="560" w:lineRule="exact"/>
        <w:ind w:firstLine="490"/>
        <w:rPr>
          <w:rFonts w:ascii="仿宋" w:hAnsi="仿宋" w:eastAsia="仿宋"/>
          <w:bCs/>
          <w:kern w:val="0"/>
          <w:sz w:val="28"/>
          <w:szCs w:val="28"/>
        </w:rPr>
      </w:pPr>
      <w:r>
        <w:rPr>
          <w:rFonts w:hint="eastAsia" w:ascii="仿宋" w:hAnsi="仿宋" w:eastAsia="仿宋"/>
          <w:bCs/>
          <w:kern w:val="0"/>
          <w:sz w:val="28"/>
          <w:szCs w:val="28"/>
        </w:rPr>
        <w:t>7.2除7.1款内容外，招标人在投标截止日期前</w:t>
      </w:r>
      <w:r>
        <w:rPr>
          <w:rFonts w:hint="eastAsia" w:ascii="仿宋" w:hAnsi="仿宋" w:eastAsia="仿宋"/>
          <w:bCs/>
          <w:kern w:val="0"/>
          <w:sz w:val="28"/>
          <w:szCs w:val="28"/>
          <w:u w:val="single"/>
        </w:rPr>
        <w:t xml:space="preserve"> 2 </w:t>
      </w:r>
      <w:r>
        <w:rPr>
          <w:rFonts w:hint="eastAsia" w:ascii="仿宋" w:hAnsi="仿宋" w:eastAsia="仿宋"/>
          <w:bCs/>
          <w:kern w:val="0"/>
          <w:sz w:val="28"/>
          <w:szCs w:val="28"/>
        </w:rPr>
        <w:t>日前以书面形式发出的招标文件的澄清(答疑)纪要、修改(补充)函件，均是招标文件的组成部分，对招标人投标人起约束作用。</w:t>
      </w:r>
    </w:p>
    <w:p w14:paraId="467C014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7.3投标人购取招标文件后，应仔细检查招标文件的所有内容，如有残缺应在领到招标文件后</w:t>
      </w:r>
      <w:r>
        <w:rPr>
          <w:rFonts w:hint="eastAsia" w:ascii="仿宋" w:hAnsi="仿宋" w:eastAsia="仿宋"/>
          <w:bCs/>
          <w:kern w:val="0"/>
          <w:sz w:val="28"/>
          <w:szCs w:val="28"/>
          <w:u w:val="single"/>
        </w:rPr>
        <w:t xml:space="preserve"> 2</w:t>
      </w:r>
      <w:r>
        <w:rPr>
          <w:rFonts w:hint="eastAsia" w:ascii="仿宋" w:hAnsi="仿宋" w:eastAsia="仿宋"/>
          <w:bCs/>
          <w:kern w:val="0"/>
          <w:sz w:val="28"/>
          <w:szCs w:val="28"/>
        </w:rPr>
        <w:t>日内向招标人提出，否则，由此引起的投标损失自负。投标人同时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14:paraId="146618CB">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8.招标文件的澄清</w:t>
      </w:r>
    </w:p>
    <w:p w14:paraId="21046E72">
      <w:pPr>
        <w:pStyle w:val="26"/>
        <w:spacing w:line="560" w:lineRule="exact"/>
        <w:ind w:firstLine="557"/>
        <w:rPr>
          <w:rFonts w:ascii="仿宋" w:hAnsi="仿宋" w:eastAsia="仿宋"/>
          <w:bCs/>
          <w:kern w:val="0"/>
          <w:sz w:val="28"/>
          <w:szCs w:val="28"/>
        </w:rPr>
      </w:pPr>
      <w:r>
        <w:rPr>
          <w:rFonts w:hint="eastAsia" w:ascii="仿宋" w:hAnsi="仿宋" w:eastAsia="仿宋"/>
          <w:bCs/>
          <w:kern w:val="0"/>
          <w:sz w:val="28"/>
          <w:szCs w:val="28"/>
        </w:rPr>
        <w:t>8.1 投标人若对招标文件有疑问，需要招标人予以澄清，应于投标截止日期之前</w:t>
      </w:r>
      <w:r>
        <w:rPr>
          <w:rFonts w:hint="eastAsia" w:ascii="仿宋" w:hAnsi="仿宋" w:eastAsia="仿宋"/>
          <w:bCs/>
          <w:kern w:val="0"/>
          <w:sz w:val="28"/>
          <w:szCs w:val="28"/>
          <w:u w:val="single"/>
        </w:rPr>
        <w:t xml:space="preserve"> 3 </w:t>
      </w:r>
      <w:r>
        <w:rPr>
          <w:rFonts w:hint="eastAsia" w:ascii="仿宋" w:hAnsi="仿宋" w:eastAsia="仿宋"/>
          <w:bCs/>
          <w:kern w:val="0"/>
          <w:sz w:val="28"/>
          <w:szCs w:val="28"/>
        </w:rPr>
        <w:t xml:space="preserve">日以书面形式向招标人提出，送至招标公告中的招标人地址。不论是招标人根据需要主动对招标文件进行必要的澄清或是根据投标人的要求对招标文件做出澄清，招标人都将在投标截止日期前 </w:t>
      </w:r>
      <w:r>
        <w:rPr>
          <w:rFonts w:hint="eastAsia" w:ascii="仿宋" w:hAnsi="仿宋" w:eastAsia="仿宋"/>
          <w:bCs/>
          <w:kern w:val="0"/>
          <w:sz w:val="28"/>
          <w:szCs w:val="28"/>
          <w:u w:val="single"/>
        </w:rPr>
        <w:t xml:space="preserve"> 2 </w:t>
      </w:r>
      <w:r>
        <w:rPr>
          <w:rFonts w:hint="eastAsia" w:ascii="仿宋" w:hAnsi="仿宋" w:eastAsia="仿宋"/>
          <w:bCs/>
          <w:kern w:val="0"/>
          <w:sz w:val="28"/>
          <w:szCs w:val="28"/>
        </w:rPr>
        <w:t>日前以书面形式发出澄清纪要，同时将澄清纪要寄送给所有投标人。投标人收到招标人书面答复时，应办理签收手续。招标文件的澄清作为招标文件的组成部分，具有约束力。</w:t>
      </w:r>
    </w:p>
    <w:p w14:paraId="163404A6">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9.招标文件的修改</w:t>
      </w:r>
    </w:p>
    <w:p w14:paraId="401F2DC1">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9.1 招标文件发出后，在投标截止日期前</w:t>
      </w:r>
      <w:r>
        <w:rPr>
          <w:rFonts w:hint="eastAsia" w:ascii="仿宋" w:hAnsi="仿宋" w:eastAsia="仿宋"/>
          <w:bCs/>
          <w:kern w:val="0"/>
          <w:sz w:val="28"/>
          <w:szCs w:val="28"/>
          <w:u w:val="single"/>
        </w:rPr>
        <w:t xml:space="preserve"> 2</w:t>
      </w:r>
      <w:r>
        <w:rPr>
          <w:rFonts w:hint="eastAsia" w:ascii="仿宋" w:hAnsi="仿宋" w:eastAsia="仿宋"/>
          <w:bCs/>
          <w:kern w:val="0"/>
          <w:sz w:val="28"/>
          <w:szCs w:val="28"/>
        </w:rPr>
        <w:t>日的任何时候，确需要变更招标内容的，招标人可主动或在解答投标人提出的澄清问题时对招标文件进行修改。</w:t>
      </w:r>
    </w:p>
    <w:p w14:paraId="7B88CBFF">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9.2 招标文件的修改将以书面形式寄送给所有投标人，招标文件的修改作为招标文件的组成部分，并具有约束力。投标人收到招标人的修改函件时，应办理签收手续。</w:t>
      </w:r>
    </w:p>
    <w:p w14:paraId="5D4C284C">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9.3 招标文件、招标文件澄清(答疑)纪要、招标文件修改(补充)函件内容均以书面明确的内容为准。当招标文件、澄清(答疑)纪要、修改(补充)函件内容相互矛盾时，以最后发出的为准。</w:t>
      </w:r>
    </w:p>
    <w:p w14:paraId="2003EB92">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9.4 招标人保证招标文件澄清(答疑)纪要、招标文件修改(补充)函件在投标截止时间至少</w:t>
      </w:r>
      <w:r>
        <w:rPr>
          <w:rFonts w:hint="eastAsia" w:ascii="仿宋" w:hAnsi="仿宋" w:eastAsia="仿宋"/>
          <w:bCs/>
          <w:kern w:val="0"/>
          <w:sz w:val="28"/>
          <w:szCs w:val="28"/>
          <w:u w:val="single"/>
        </w:rPr>
        <w:t>2</w:t>
      </w:r>
      <w:r>
        <w:rPr>
          <w:rFonts w:hint="eastAsia" w:ascii="仿宋" w:hAnsi="仿宋" w:eastAsia="仿宋"/>
          <w:bCs/>
          <w:kern w:val="0"/>
          <w:sz w:val="28"/>
          <w:szCs w:val="28"/>
        </w:rPr>
        <w:t>日前以书面形式发给所有投标人。为使投标人在编写投标文件时有充分时间对招标文件的修改(补充)部分进行研究，招标人可以酌情延长递交投标文件的截止日期，具体时间将在修改(补充)函件中明确。</w:t>
      </w:r>
    </w:p>
    <w:p w14:paraId="76CC4788">
      <w:pPr>
        <w:pStyle w:val="6"/>
        <w:spacing w:before="0" w:line="400" w:lineRule="exact"/>
        <w:jc w:val="center"/>
        <w:rPr>
          <w:rFonts w:ascii="黑体" w:hAnsi="黑体" w:eastAsia="黑体"/>
          <w:b w:val="0"/>
          <w:kern w:val="0"/>
          <w:sz w:val="36"/>
          <w:szCs w:val="36"/>
        </w:rPr>
      </w:pPr>
    </w:p>
    <w:p w14:paraId="60F85501">
      <w:pPr>
        <w:pStyle w:val="6"/>
        <w:spacing w:before="0" w:line="400" w:lineRule="exact"/>
        <w:jc w:val="center"/>
        <w:rPr>
          <w:rFonts w:ascii="黑体" w:hAnsi="黑体" w:eastAsia="黑体"/>
          <w:b w:val="0"/>
          <w:bCs/>
          <w:kern w:val="0"/>
          <w:sz w:val="36"/>
          <w:szCs w:val="36"/>
        </w:rPr>
      </w:pPr>
      <w:r>
        <w:rPr>
          <w:rFonts w:hint="eastAsia" w:ascii="黑体" w:hAnsi="黑体" w:eastAsia="黑体"/>
          <w:b w:val="0"/>
          <w:kern w:val="0"/>
          <w:sz w:val="36"/>
          <w:szCs w:val="36"/>
        </w:rPr>
        <w:t>（三）投标文件的编制</w:t>
      </w:r>
    </w:p>
    <w:p w14:paraId="10DDBB87">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10.投标文件的语言及度量单位</w:t>
      </w:r>
    </w:p>
    <w:p w14:paraId="297DF2DA">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10.1 投标人与招标人之间与投标有关的所有往来通知、函件和投标文件均应使用中文。投标人随投标文件提供的证明文件和资料可以为其它语言，但必须附中文译文，并且，为了解释投标文件，应以中文为准。</w:t>
      </w:r>
    </w:p>
    <w:p w14:paraId="51417D5B">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10.2 除另有规定外，投标文件使用的度量单位，均采用中华人民共和国法定计量单位。</w:t>
      </w:r>
    </w:p>
    <w:p w14:paraId="41F2F3FA">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11.投标文件的组成</w:t>
      </w:r>
    </w:p>
    <w:p w14:paraId="14B0DC4D">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11.1 投标文件由</w:t>
      </w:r>
      <w:r>
        <w:rPr>
          <w:rFonts w:ascii="Segoe UI Symbol" w:hAnsi="Segoe UI Symbol" w:eastAsia="仿宋" w:cs="Segoe UI Symbol"/>
          <w:sz w:val="28"/>
          <w:szCs w:val="28"/>
        </w:rPr>
        <w:t>☑</w:t>
      </w:r>
      <w:r>
        <w:rPr>
          <w:rFonts w:hint="eastAsia" w:ascii="仿宋" w:hAnsi="仿宋" w:eastAsia="仿宋"/>
          <w:bCs/>
          <w:kern w:val="0"/>
          <w:sz w:val="28"/>
          <w:szCs w:val="28"/>
        </w:rPr>
        <w:t>投标函部分</w:t>
      </w:r>
      <w:r>
        <w:rPr>
          <w:rFonts w:ascii="Segoe UI Symbol" w:hAnsi="Segoe UI Symbol" w:eastAsia="仿宋" w:cs="Segoe UI Symbol"/>
          <w:sz w:val="28"/>
          <w:szCs w:val="28"/>
        </w:rPr>
        <w:t>☑</w:t>
      </w:r>
      <w:r>
        <w:rPr>
          <w:rFonts w:hint="eastAsia" w:ascii="仿宋" w:hAnsi="仿宋" w:eastAsia="仿宋"/>
          <w:bCs/>
          <w:kern w:val="0"/>
          <w:sz w:val="28"/>
          <w:szCs w:val="28"/>
        </w:rPr>
        <w:t>资信标部分</w:t>
      </w:r>
      <w:r>
        <w:rPr>
          <w:rFonts w:ascii="Segoe UI Symbol" w:hAnsi="Segoe UI Symbol" w:eastAsia="仿宋" w:cs="Segoe UI Symbol"/>
          <w:sz w:val="28"/>
          <w:szCs w:val="28"/>
        </w:rPr>
        <w:t>☑</w:t>
      </w:r>
      <w:r>
        <w:rPr>
          <w:rFonts w:hint="eastAsia" w:ascii="仿宋" w:hAnsi="仿宋" w:eastAsia="仿宋"/>
          <w:bCs/>
          <w:kern w:val="0"/>
          <w:sz w:val="28"/>
          <w:szCs w:val="28"/>
        </w:rPr>
        <w:t>商务标部分</w:t>
      </w:r>
      <w:bookmarkStart w:id="25" w:name="投标文件包括技术标"/>
      <w:r>
        <w:rPr>
          <w:rFonts w:ascii="Segoe UI Symbol" w:hAnsi="Segoe UI Symbol" w:eastAsia="仿宋" w:cs="Segoe UI Symbol"/>
          <w:sz w:val="28"/>
          <w:szCs w:val="28"/>
        </w:rPr>
        <w:t>☑</w:t>
      </w:r>
      <w:r>
        <w:rPr>
          <w:rFonts w:hint="eastAsia" w:ascii="仿宋" w:hAnsi="仿宋" w:eastAsia="仿宋"/>
          <w:bCs/>
          <w:kern w:val="0"/>
          <w:sz w:val="28"/>
          <w:szCs w:val="28"/>
        </w:rPr>
        <w:t>技术标部分</w:t>
      </w:r>
      <w:bookmarkEnd w:id="25"/>
      <w:r>
        <w:rPr>
          <w:rFonts w:ascii="Segoe UI Symbol" w:hAnsi="Segoe UI Symbol" w:eastAsia="仿宋" w:cs="Segoe UI Symbol"/>
          <w:sz w:val="28"/>
          <w:szCs w:val="28"/>
        </w:rPr>
        <w:t>☑</w:t>
      </w:r>
      <w:r>
        <w:rPr>
          <w:rFonts w:hint="eastAsia" w:ascii="仿宋" w:hAnsi="仿宋" w:eastAsia="仿宋" w:cs="仿宋"/>
          <w:sz w:val="28"/>
          <w:szCs w:val="28"/>
        </w:rPr>
        <w:t>资格审查文件</w:t>
      </w:r>
      <w:r>
        <w:rPr>
          <w:rFonts w:hint="eastAsia" w:ascii="仿宋" w:hAnsi="仿宋" w:eastAsia="仿宋"/>
          <w:bCs/>
          <w:kern w:val="0"/>
          <w:sz w:val="28"/>
          <w:szCs w:val="28"/>
        </w:rPr>
        <w:t>。</w:t>
      </w:r>
    </w:p>
    <w:p w14:paraId="4A65198C">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 投标函部分主要包括下列内容：</w:t>
      </w:r>
    </w:p>
    <w:p w14:paraId="23377001">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11.2.1法定代表人身份证明书原件；</w:t>
      </w:r>
    </w:p>
    <w:p w14:paraId="363B118C">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11.2.2投标文件签署授权委托书；</w:t>
      </w:r>
    </w:p>
    <w:p w14:paraId="7DBB4E3D">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11.2.3投标函；</w:t>
      </w:r>
    </w:p>
    <w:p w14:paraId="5871A5C6">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11.2.4投标保函或投标保证金收讫证明文件；</w:t>
      </w:r>
    </w:p>
    <w:p w14:paraId="6376069E">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11.2.5招标文件要求投标人提交的其他投标资料。</w:t>
      </w:r>
    </w:p>
    <w:p w14:paraId="0905FCD9">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11.3资信标部分主要包括下列内容：</w:t>
      </w:r>
    </w:p>
    <w:p w14:paraId="6EAF86D3">
      <w:pPr>
        <w:pStyle w:val="115"/>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11.3.1投标人资质情况；</w:t>
      </w:r>
    </w:p>
    <w:p w14:paraId="2C542341">
      <w:pPr>
        <w:pStyle w:val="115"/>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11.3.2投标人注册资金、办公场地、员工数量、机械设备等规模情况；</w:t>
      </w:r>
    </w:p>
    <w:p w14:paraId="378FAB7D">
      <w:pPr>
        <w:pStyle w:val="115"/>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11.3.3投标人营业收入等财务状况；</w:t>
      </w:r>
    </w:p>
    <w:p w14:paraId="27FA6A90">
      <w:pPr>
        <w:pStyle w:val="115"/>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11.3.4投标人纳税情况；</w:t>
      </w:r>
    </w:p>
    <w:p w14:paraId="1A187D6A">
      <w:pPr>
        <w:pStyle w:val="115"/>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11.3.5投标人业绩情况；</w:t>
      </w:r>
    </w:p>
    <w:p w14:paraId="01A12BE0">
      <w:pPr>
        <w:pStyle w:val="115"/>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11.3.6投标人获奖情况；</w:t>
      </w:r>
    </w:p>
    <w:p w14:paraId="05BE5A2F">
      <w:pPr>
        <w:pStyle w:val="115"/>
        <w:spacing w:line="560" w:lineRule="exact"/>
        <w:ind w:firstLine="560"/>
        <w:jc w:val="left"/>
        <w:rPr>
          <w:rFonts w:ascii="仿宋" w:hAnsi="仿宋" w:eastAsia="仿宋"/>
          <w:bCs/>
          <w:kern w:val="0"/>
          <w:sz w:val="28"/>
          <w:szCs w:val="28"/>
        </w:rPr>
      </w:pPr>
      <w:r>
        <w:rPr>
          <w:rFonts w:hint="eastAsia" w:ascii="仿宋" w:hAnsi="仿宋" w:eastAsia="仿宋"/>
          <w:kern w:val="0"/>
          <w:sz w:val="28"/>
          <w:szCs w:val="28"/>
        </w:rPr>
        <w:t>11.3.7</w:t>
      </w:r>
      <w:r>
        <w:rPr>
          <w:rFonts w:hint="eastAsia" w:ascii="仿宋" w:hAnsi="仿宋" w:eastAsia="仿宋"/>
          <w:bCs/>
          <w:kern w:val="0"/>
          <w:sz w:val="28"/>
          <w:szCs w:val="28"/>
        </w:rPr>
        <w:t>招标人要求提供的与投标人资信评审有关的其他材料.</w:t>
      </w:r>
    </w:p>
    <w:p w14:paraId="1EDBEB74">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11.4 商务标部分主要包括下列内容：</w:t>
      </w:r>
    </w:p>
    <w:p w14:paraId="06A951EA">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11.4.1报价表； </w:t>
      </w:r>
    </w:p>
    <w:p w14:paraId="60C95730">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11.4.2招标文件要求投标人提交的其他投标资料。</w:t>
      </w:r>
    </w:p>
    <w:p w14:paraId="680109CF">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11.5技术标部分要求：</w:t>
      </w:r>
    </w:p>
    <w:p w14:paraId="53ED73D9">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技术标格式由投标人自拟,内容应满足技术标评审要求。</w:t>
      </w:r>
    </w:p>
    <w:p w14:paraId="3AC4212C">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11.6资格审查方式为资格后审的，投标人还应提交资格审查文件：</w:t>
      </w:r>
    </w:p>
    <w:p w14:paraId="1DC96D87">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11.6.1投标人营业执照；</w:t>
      </w:r>
    </w:p>
    <w:p w14:paraId="246CFEB2">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11.6.2投标人资质证书；</w:t>
      </w:r>
    </w:p>
    <w:p w14:paraId="7DCAE8A3">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11.6.3投标人拟派出的项目负责人资格证书；</w:t>
      </w:r>
    </w:p>
    <w:p w14:paraId="7C616193">
      <w:pPr>
        <w:pStyle w:val="115"/>
        <w:spacing w:line="560" w:lineRule="exact"/>
        <w:ind w:firstLine="560"/>
        <w:jc w:val="left"/>
        <w:rPr>
          <w:rFonts w:ascii="仿宋" w:hAnsi="仿宋" w:eastAsia="仿宋"/>
          <w:bCs/>
          <w:kern w:val="0"/>
          <w:sz w:val="28"/>
          <w:szCs w:val="28"/>
        </w:rPr>
      </w:pPr>
      <w:r>
        <w:rPr>
          <w:rFonts w:hint="eastAsia" w:ascii="仿宋" w:hAnsi="仿宋" w:eastAsia="仿宋"/>
          <w:kern w:val="0"/>
          <w:sz w:val="28"/>
          <w:szCs w:val="28"/>
        </w:rPr>
        <w:t>11.6.4投标人业绩情况；</w:t>
      </w:r>
    </w:p>
    <w:p w14:paraId="3C4020A8">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11.6.5招标人要求提供的与投标人条件审查有关的其他资格证明材料。 </w:t>
      </w:r>
    </w:p>
    <w:p w14:paraId="770BC909">
      <w:pPr>
        <w:pStyle w:val="26"/>
        <w:spacing w:line="560" w:lineRule="exact"/>
        <w:ind w:firstLine="560"/>
        <w:rPr>
          <w:rFonts w:ascii="仿宋" w:hAnsi="仿宋" w:eastAsia="仿宋"/>
          <w:b/>
          <w:bCs/>
          <w:kern w:val="0"/>
          <w:sz w:val="28"/>
          <w:szCs w:val="28"/>
        </w:rPr>
      </w:pPr>
      <w:r>
        <w:rPr>
          <w:rFonts w:hint="eastAsia" w:ascii="仿宋" w:hAnsi="仿宋" w:eastAsia="仿宋"/>
          <w:b/>
          <w:bCs/>
          <w:kern w:val="0"/>
          <w:sz w:val="28"/>
          <w:szCs w:val="28"/>
        </w:rPr>
        <w:t>12.投标文件电子文档的提交及要求</w:t>
      </w:r>
    </w:p>
    <w:p w14:paraId="2F791B12">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12.1 投标人在提交书面投标文件的同时，应提交该投标文件的电子文档。</w:t>
      </w:r>
    </w:p>
    <w:p w14:paraId="52639E03">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12.2 电子文档的格式要求： 采用word/Excel/PDF形式。</w:t>
      </w:r>
    </w:p>
    <w:p w14:paraId="63C918E8">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12.3投标文件的电子文档，必须提供一份U盘，并在U盘上注明投标人名称、招标项目名称。</w:t>
      </w:r>
    </w:p>
    <w:p w14:paraId="171F52CC">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12.4 投标人提交的书面投标文件的实质内容应与提交的电子文档的实质内容完全一致。如果评标委员会发现两者的实质内容不一致，将按不利于投标人的原则予以处置。因此产生的一切责任均由投标人承担。</w:t>
      </w:r>
    </w:p>
    <w:p w14:paraId="3F1C37EB">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13.投标文件的格式要求</w:t>
      </w:r>
    </w:p>
    <w:p w14:paraId="617E3904">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13.1投标文件包括本须知第16条中规定的内容，投标人提交的投标文件必须毫无例外地使用招标文件所提供的投标文件格式，详见招标文件第五章—投标文件格式(表格可以按同样格式扩展)。</w:t>
      </w:r>
    </w:p>
    <w:p w14:paraId="423FCCFE">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13.2投标文件的正本和副本均需打印或使用不褪色的墨水笔书写，字迹应清晰易于辨认，并在投标文件封面的右上角清楚地注明“正本”或“副本”。正本和副本如有不一致之处，以正本为准。</w:t>
      </w:r>
    </w:p>
    <w:p w14:paraId="46C4D9FB">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14.投标文件的数量要求</w:t>
      </w:r>
    </w:p>
    <w:p w14:paraId="7ADDFB75">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14.1 投标人应按前附表1第15项规定份数提交投标文件。</w:t>
      </w:r>
    </w:p>
    <w:p w14:paraId="53A9A71E">
      <w:pPr>
        <w:pStyle w:val="26"/>
        <w:spacing w:line="560" w:lineRule="exact"/>
        <w:ind w:firstLine="551"/>
        <w:rPr>
          <w:rFonts w:ascii="仿宋" w:hAnsi="仿宋" w:eastAsia="仿宋"/>
          <w:b/>
          <w:bCs/>
          <w:kern w:val="0"/>
          <w:sz w:val="28"/>
          <w:szCs w:val="28"/>
        </w:rPr>
      </w:pPr>
      <w:r>
        <w:rPr>
          <w:rFonts w:hint="eastAsia" w:ascii="仿宋" w:hAnsi="仿宋" w:eastAsia="仿宋"/>
          <w:b/>
          <w:bCs/>
          <w:kern w:val="0"/>
          <w:sz w:val="28"/>
          <w:szCs w:val="28"/>
        </w:rPr>
        <w:t>15.投标文件的签署</w:t>
      </w:r>
    </w:p>
    <w:p w14:paraId="19B8A90F">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15.1 投标文件应根据第五章—投标文件格式要求加盖投标人印章并经法定代表人或其委托代理人签字或盖章。由委托代理人签字或盖章的在投标文件中须同时提交投标文件签署授权委托书。投标文件签署授权委托书应符合第五章—投标文件格式投标函部分的要求。</w:t>
      </w:r>
    </w:p>
    <w:p w14:paraId="1B2DB542">
      <w:pPr>
        <w:pStyle w:val="26"/>
        <w:spacing w:line="56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15.2除投标人对错误处须修改外，全套投标文件应无涂改或增删，如有修改，修改处应由投标人加盖投标人的印章或由投标文件签字人签字或盖章。</w:t>
      </w:r>
    </w:p>
    <w:p w14:paraId="32061AB5">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16.投标报价</w:t>
      </w:r>
    </w:p>
    <w:p w14:paraId="7C508CAE">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16.1投标报价是投标人的投标文件中提出的各项支付费用的金额总和。投标人的投标报价应保证在投标有效期内有效，在合同执行期内是固定不变。</w:t>
      </w:r>
    </w:p>
    <w:p w14:paraId="3DE3B739">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16.2投标人的投标报价应是合同上所列的各项内容的全部。</w:t>
      </w:r>
    </w:p>
    <w:p w14:paraId="7ABBA185">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16.2.1投标人若是提供了可变动价格或包含价格调整要求投标，其投标将会被拒绝。</w:t>
      </w:r>
    </w:p>
    <w:p w14:paraId="6F08C062">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16.2.2投标人若是提供了两个（含两个）以上报价，且未明确哪个是有效报价，其投标将会被拒绝（除允许提供备选方案的）。</w:t>
      </w:r>
    </w:p>
    <w:p w14:paraId="56549D53">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16.3投标报价的招标上限价见“投标须知前附表”。</w:t>
      </w:r>
    </w:p>
    <w:p w14:paraId="6FECF120">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16.4招标人不接受任何免费赠送的货物或服务。如有，将按缺漏项处理。</w:t>
      </w:r>
    </w:p>
    <w:p w14:paraId="0E7C6801">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16.5最低投标报价不得低于成本。</w:t>
      </w:r>
    </w:p>
    <w:p w14:paraId="1062A554">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17.投标货币</w:t>
      </w:r>
    </w:p>
    <w:p w14:paraId="7FE3BB49">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17.1 本项目投标报价采用的币种见前附表1第12项。</w:t>
      </w:r>
    </w:p>
    <w:p w14:paraId="6DF553EE">
      <w:pPr>
        <w:pStyle w:val="26"/>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18.投标有效期</w:t>
      </w:r>
    </w:p>
    <w:p w14:paraId="06D15651">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18.1 投标有效期见前附表2第3项所规定的期限，在此期限内，所有投标文件均保持有效。</w:t>
      </w:r>
    </w:p>
    <w:p w14:paraId="43B8AA7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18.2特殊的情况下，在原定投标有效期满之前，招标人可以根据需要以书面形式向投标人提出延长投标有效期的要求，对此要求投标人须以书面形式予以答复，投标人可以拒绝招标人这种要求，而不被没收投标保证金或投标保函。同意延长投标有效期的投标人不能要求也不允许修改其投标文件，但需要相应延长投标担保的有效期，在延长的投标有效期内本须知第19条关于投标保证金或投标保函的退还与没收的规定仍然适用。</w:t>
      </w:r>
    </w:p>
    <w:p w14:paraId="0A68DF57">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19．投标担保、履约担保</w:t>
      </w:r>
    </w:p>
    <w:p w14:paraId="5C1608E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19.1投标人应按前附表1规定要求提交投标担保。</w:t>
      </w:r>
    </w:p>
    <w:p w14:paraId="7E0D58C6">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19.2本项目投标担保： </w:t>
      </w:r>
    </w:p>
    <w:p w14:paraId="1796AE0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19.2.1投标担保是为了避免招标人因投标人的行为而蒙受损失，招标人可根据19.2.4规定的条件没收投标保证金或投标保函。</w:t>
      </w:r>
    </w:p>
    <w:p w14:paraId="5248A60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19.2.2未中标的投标人的投标担保将按照本须知规定的投标有效期或经投标人同意的延长的投标有效期期满后7天内予以退还（不计利息）。</w:t>
      </w:r>
    </w:p>
    <w:p w14:paraId="41FCAF8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19.2.3出现下列情形之一时，招标人应当在7天内退还投标人的投标担保：</w:t>
      </w:r>
    </w:p>
    <w:p w14:paraId="5B73332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19.2.3.1中标通知书发出，中标人签订了合同；</w:t>
      </w:r>
    </w:p>
    <w:p w14:paraId="1D0C6FD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19.2.3.2招标过程中招标活动因正当理由被招标人宣布终止；</w:t>
      </w:r>
    </w:p>
    <w:p w14:paraId="6A03016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19.2.3.3招标失败需重新组织招标；</w:t>
      </w:r>
    </w:p>
    <w:p w14:paraId="34E1F0D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19.2.3.4投标有效期满而投标人不同意作出延长。</w:t>
      </w:r>
    </w:p>
    <w:p w14:paraId="40FB4F4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19.2.4投标人有下列任何情况发生时，投标担保将被没收。给招标人造成的损失超过投标担保金额的，投标人还应当对超过部分给予赔偿。</w:t>
      </w:r>
    </w:p>
    <w:p w14:paraId="097BA87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19.2.4.1投标人有弄虚作假或串通投标等违法违规行为；</w:t>
      </w:r>
    </w:p>
    <w:p w14:paraId="6971CBB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19.2.4.2投标人在投标有效期内撤回其投标文件；</w:t>
      </w:r>
    </w:p>
    <w:p w14:paraId="5D37982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19.2.4.3在规定期限内中标人拒绝与招标人签订合同或不提交履约担保的；</w:t>
      </w:r>
    </w:p>
    <w:p w14:paraId="1182453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19.2.4.4投标人资质证书被暂扣或吊销，但仍参与投标的。</w:t>
      </w:r>
    </w:p>
    <w:p w14:paraId="6632E991">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20.投标人的替代方案</w:t>
      </w:r>
    </w:p>
    <w:p w14:paraId="4AFAEE6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20.1 本项目不接受替代方案。</w:t>
      </w:r>
    </w:p>
    <w:p w14:paraId="0C5B8EBE">
      <w:pPr>
        <w:pStyle w:val="115"/>
        <w:spacing w:line="560" w:lineRule="exact"/>
        <w:ind w:firstLine="560"/>
        <w:rPr>
          <w:rFonts w:ascii="仿宋_GB2312" w:hAnsi="宋体" w:eastAsia="仿宋_GB2312"/>
          <w:bCs/>
          <w:kern w:val="0"/>
          <w:sz w:val="28"/>
          <w:szCs w:val="28"/>
        </w:rPr>
      </w:pPr>
    </w:p>
    <w:p w14:paraId="6CB75DF9">
      <w:pPr>
        <w:pStyle w:val="6"/>
        <w:spacing w:before="0" w:line="400" w:lineRule="exact"/>
        <w:jc w:val="center"/>
        <w:rPr>
          <w:rFonts w:ascii="黑体" w:hAnsi="黑体" w:eastAsia="黑体"/>
          <w:b w:val="0"/>
          <w:kern w:val="0"/>
          <w:sz w:val="36"/>
          <w:szCs w:val="36"/>
        </w:rPr>
      </w:pPr>
    </w:p>
    <w:p w14:paraId="5DC841CB">
      <w:pPr>
        <w:pStyle w:val="6"/>
        <w:spacing w:before="0" w:line="400" w:lineRule="exact"/>
        <w:jc w:val="center"/>
        <w:rPr>
          <w:rFonts w:ascii="黑体" w:hAnsi="黑体" w:eastAsia="黑体"/>
          <w:b w:val="0"/>
          <w:kern w:val="0"/>
          <w:sz w:val="36"/>
          <w:szCs w:val="36"/>
        </w:rPr>
      </w:pPr>
    </w:p>
    <w:p w14:paraId="4750C3E6">
      <w:pPr>
        <w:pStyle w:val="6"/>
        <w:spacing w:before="0" w:line="400" w:lineRule="exact"/>
        <w:jc w:val="center"/>
        <w:rPr>
          <w:rFonts w:ascii="黑体" w:hAnsi="黑体" w:eastAsia="黑体"/>
          <w:b w:val="0"/>
          <w:bCs/>
          <w:kern w:val="0"/>
          <w:sz w:val="36"/>
          <w:szCs w:val="36"/>
        </w:rPr>
      </w:pPr>
      <w:r>
        <w:rPr>
          <w:rFonts w:hint="eastAsia" w:ascii="黑体" w:hAnsi="黑体" w:eastAsia="黑体"/>
          <w:b w:val="0"/>
          <w:kern w:val="0"/>
          <w:sz w:val="36"/>
          <w:szCs w:val="36"/>
        </w:rPr>
        <w:t>（四）投标文件的提交</w:t>
      </w:r>
    </w:p>
    <w:p w14:paraId="1F1551DC">
      <w:pPr>
        <w:pStyle w:val="115"/>
        <w:spacing w:line="560" w:lineRule="exact"/>
        <w:ind w:firstLine="560"/>
        <w:rPr>
          <w:rFonts w:ascii="仿宋" w:hAnsi="仿宋" w:eastAsia="仿宋"/>
          <w:bCs/>
          <w:kern w:val="0"/>
          <w:sz w:val="28"/>
          <w:szCs w:val="28"/>
        </w:rPr>
      </w:pPr>
    </w:p>
    <w:p w14:paraId="6CB0D99F">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21.投标文件的密封和标记</w:t>
      </w:r>
    </w:p>
    <w:p w14:paraId="769BCB7E">
      <w:pPr>
        <w:pStyle w:val="115"/>
        <w:spacing w:line="560" w:lineRule="exact"/>
        <w:ind w:firstLine="560"/>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21.1投标文件须以正规文件袋密封，投标文件中的资格审查部分、投标函部分、资信标部分、商务标部分、技术标部分应装订成册。</w:t>
      </w:r>
    </w:p>
    <w:p w14:paraId="5DBCE20F">
      <w:pPr>
        <w:pStyle w:val="115"/>
        <w:spacing w:line="560" w:lineRule="exact"/>
        <w:ind w:firstLine="560"/>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21.2投标文件中的资格审查部分、投标函部分、资信标部分、商务标部分、技术标部分、电子标书应分别密封包装在六个密封袋中，在密封袋上相应注明“资格审查文件”、“投标函部分”、“资信标部分”“商务标部分”、“技术标部分”、“电子标书”，并分别注明项目名称、投标人名称。</w:t>
      </w:r>
    </w:p>
    <w:p w14:paraId="6508E022">
      <w:pPr>
        <w:pStyle w:val="115"/>
        <w:spacing w:line="560" w:lineRule="exact"/>
        <w:ind w:firstLine="560"/>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21.3将密封包装好的资格审查部分、投标函部分、资信标部分、商务标部分、技术标部分、电子标书统一密封包装在一个外密封袋中，并在外密封袋上注明“投标文件”、项目名称、投标人名称，并按前附表2第2项的规定注明开标时间以及“在此（开标时间）之前不得开封”字样。</w:t>
      </w:r>
    </w:p>
    <w:p w14:paraId="495CF257">
      <w:pPr>
        <w:pStyle w:val="115"/>
        <w:spacing w:line="560" w:lineRule="exact"/>
        <w:ind w:firstLine="560"/>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21.4所有密封袋的封口处均应贴封条并骑缝加盖投标人公章。</w:t>
      </w:r>
    </w:p>
    <w:p w14:paraId="5DD44224">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22.投标截止时间</w:t>
      </w:r>
    </w:p>
    <w:p w14:paraId="2E89F10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22.1 投标人应根据前附表2第2项的规定，在投标截止时间前将投标文件送达指定地点。</w:t>
      </w:r>
    </w:p>
    <w:p w14:paraId="4227B73B">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23.投标文件的补充修改与撤回</w:t>
      </w:r>
    </w:p>
    <w:p w14:paraId="72C0BD0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23.1 投标人在递交投标文件以后，在规定的投标截止时间之前，可以书面形式补充、修改或撤回已提交的投标文件，并通知招标人。补充、修改的内容为投标文件的组成部分。</w:t>
      </w:r>
    </w:p>
    <w:p w14:paraId="6E2136E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23.2 投标人的补充、修改或撤回通知，应按本须知第26条有关规定编制、密封、标记和递交，并在密封袋上清楚注明“补充”、“修改”或“撤回”字样。</w:t>
      </w:r>
    </w:p>
    <w:p w14:paraId="64DEC37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23.3 根据本须知第22条规定，在投标截止时间以后，不得补充、修改投标文件。</w:t>
      </w:r>
    </w:p>
    <w:p w14:paraId="3982AE44">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24.截标时投标文件的数量要求</w:t>
      </w:r>
    </w:p>
    <w:p w14:paraId="0356D51F">
      <w:pPr>
        <w:pStyle w:val="115"/>
        <w:spacing w:line="560" w:lineRule="exact"/>
        <w:ind w:firstLine="560"/>
        <w:rPr>
          <w:rFonts w:ascii="仿宋_GB2312" w:hAnsi="宋体" w:eastAsia="仿宋_GB2312"/>
          <w:bCs/>
          <w:kern w:val="0"/>
          <w:sz w:val="28"/>
          <w:szCs w:val="28"/>
        </w:rPr>
      </w:pPr>
      <w:r>
        <w:rPr>
          <w:rFonts w:hint="eastAsia" w:ascii="仿宋" w:hAnsi="仿宋" w:eastAsia="仿宋"/>
          <w:bCs/>
          <w:kern w:val="0"/>
          <w:sz w:val="28"/>
          <w:szCs w:val="28"/>
        </w:rPr>
        <w:t>24.1截标时投标文件递交数量不足，则可能推迟招标或重新招标。如导致招标失败，招标人将不负担因此给投标人造成的损失。</w:t>
      </w:r>
    </w:p>
    <w:p w14:paraId="2E5CF78F">
      <w:pPr>
        <w:pStyle w:val="6"/>
        <w:spacing w:line="400" w:lineRule="exact"/>
        <w:jc w:val="center"/>
        <w:rPr>
          <w:rFonts w:ascii="黑体" w:hAnsi="黑体" w:eastAsia="黑体"/>
          <w:b w:val="0"/>
          <w:kern w:val="0"/>
          <w:sz w:val="36"/>
          <w:szCs w:val="36"/>
        </w:rPr>
      </w:pPr>
    </w:p>
    <w:p w14:paraId="06CD137E">
      <w:pPr>
        <w:pStyle w:val="6"/>
        <w:spacing w:line="400" w:lineRule="exact"/>
        <w:jc w:val="center"/>
        <w:rPr>
          <w:rFonts w:ascii="仿宋_GB2312" w:hAnsi="宋体" w:eastAsia="仿宋_GB2312"/>
          <w:bCs/>
          <w:kern w:val="0"/>
          <w:sz w:val="28"/>
          <w:szCs w:val="28"/>
        </w:rPr>
      </w:pPr>
      <w:r>
        <w:rPr>
          <w:rFonts w:hint="eastAsia" w:ascii="黑体" w:hAnsi="黑体" w:eastAsia="黑体"/>
          <w:b w:val="0"/>
          <w:kern w:val="0"/>
          <w:sz w:val="36"/>
          <w:szCs w:val="36"/>
        </w:rPr>
        <w:t>（五）资格后审</w:t>
      </w:r>
    </w:p>
    <w:p w14:paraId="0396790F">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25.资格后审</w:t>
      </w:r>
    </w:p>
    <w:p w14:paraId="7DB9758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资格审查方式为资格后审的，其资格审查活动按以下规定进行：</w:t>
      </w:r>
    </w:p>
    <w:p w14:paraId="5FCABF5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25.1资格审查由招标人组成的开标小组负责，在截标后对各投标人资格进行审查。</w:t>
      </w:r>
    </w:p>
    <w:p w14:paraId="694147D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25.2开标小组开启资格审查文件，严格对照招标公告中要求的投标人资格条件，逐个审查投标人递交的资格证明文件，审核判断投标人是否满足该资格条件。</w:t>
      </w:r>
    </w:p>
    <w:p w14:paraId="156D5AB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25.3审查过程中如出现疑问，开标小组可要求投标人进行澄清说明，并根据招标公告设置的条件要求进行判断；如出现投标人资格不符合招标公告设置条件的，应当向投标人说明情况，并允许投标人答辩，记录有关情况。</w:t>
      </w:r>
    </w:p>
    <w:p w14:paraId="5B28DEA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25.4投标人应准备相关原件以备查验。</w:t>
      </w:r>
    </w:p>
    <w:p w14:paraId="772067C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25.5拟进行资格后审澄清、答辩的代表由招标人核对身份。</w:t>
      </w:r>
    </w:p>
    <w:p w14:paraId="748F3AE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25.6开标小组要求投标人进行澄清、答辩，但投标人在招标人规定时间内未派出人员及时作出澄清、答辩的，开标小组会将可能作出不利于投标人的判定。</w:t>
      </w:r>
    </w:p>
    <w:p w14:paraId="14258AE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25.7资格审查合格投标人少于3家的，不再进行后续招标投标程序。</w:t>
      </w:r>
    </w:p>
    <w:p w14:paraId="415F2B88">
      <w:pPr>
        <w:pStyle w:val="115"/>
        <w:spacing w:line="560" w:lineRule="exact"/>
        <w:ind w:firstLine="560"/>
        <w:rPr>
          <w:rFonts w:ascii="仿宋_GB2312" w:hAnsi="宋体" w:eastAsia="仿宋_GB2312"/>
          <w:bCs/>
          <w:kern w:val="0"/>
          <w:sz w:val="28"/>
          <w:szCs w:val="28"/>
        </w:rPr>
      </w:pPr>
    </w:p>
    <w:p w14:paraId="4B8776B4">
      <w:pPr>
        <w:pStyle w:val="6"/>
        <w:spacing w:line="400" w:lineRule="exact"/>
        <w:ind w:firstLine="2520" w:firstLineChars="700"/>
        <w:rPr>
          <w:rFonts w:ascii="仿宋_GB2312" w:hAnsi="宋体" w:eastAsia="仿宋_GB2312"/>
          <w:bCs/>
          <w:kern w:val="0"/>
          <w:sz w:val="28"/>
          <w:szCs w:val="28"/>
        </w:rPr>
      </w:pPr>
      <w:r>
        <w:rPr>
          <w:rFonts w:hint="eastAsia" w:ascii="黑体" w:hAnsi="黑体" w:eastAsia="黑体"/>
          <w:b w:val="0"/>
          <w:kern w:val="0"/>
          <w:sz w:val="36"/>
          <w:szCs w:val="36"/>
        </w:rPr>
        <w:t>（六）开标</w:t>
      </w:r>
    </w:p>
    <w:p w14:paraId="3A79C94D">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26.开标</w:t>
      </w:r>
    </w:p>
    <w:p w14:paraId="5F028DA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26.1 本招标项目招标人将于前附表2第5项所规定的时间和地点公开举行开标会议，并邀请所有投标人代表（资格后审不合格单位除外）参加。</w:t>
      </w:r>
    </w:p>
    <w:p w14:paraId="64033AD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26.2 参加开标会议的投标人的法定代表人或其委托代理人应随带本人身份证，委托代理人还应随带“法定代表人证明书”和“法定代表人授权委托书”，以证明其身份。</w:t>
      </w:r>
    </w:p>
    <w:p w14:paraId="55DB2A7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26.3 开标会议由招标人主持。</w:t>
      </w:r>
    </w:p>
    <w:p w14:paraId="12A9053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(1)由投标人或投标人代表检查投标文件的密封和标记情况；</w:t>
      </w:r>
    </w:p>
    <w:p w14:paraId="45BE8C21">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(2)经确认无误后，由招标人当众拆封，宣读投标人名称、投标价格以及投标文件中的其他主要内容。</w:t>
      </w:r>
    </w:p>
    <w:p w14:paraId="41F7F1C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26.4 招标人在投标截止时间前收到的所有投标文件，开标时都应当众拆封、宣读。但按规定提交合格的撤回通知的投标文件不予开封，并退给投标人。</w:t>
      </w:r>
    </w:p>
    <w:p w14:paraId="02F64C4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26.5按本须知第27条规定宣布为不予受理的投标文件，不予送交评审；其它不属于本须知第27条情形的投标文件均送交评标委员会。</w:t>
      </w:r>
    </w:p>
    <w:p w14:paraId="69ACD53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26.6招标人应对开标过程进行记录，以存档备查。</w:t>
      </w:r>
    </w:p>
    <w:p w14:paraId="18415F09">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27.投标文件的受理</w:t>
      </w:r>
    </w:p>
    <w:p w14:paraId="7966E0C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 投标文件有下列情形之一的，招标人将不予受理：</w:t>
      </w:r>
    </w:p>
    <w:p w14:paraId="51CA83C7">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27.1.1 在规定投标截止时间以后逾期送达的或者未送达指定地点的；</w:t>
      </w:r>
    </w:p>
    <w:p w14:paraId="7B523BF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27.1.2 未按规定密封和骑缝加盖投标人公章的；</w:t>
      </w:r>
    </w:p>
    <w:p w14:paraId="275DD2B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27.1.3 投标文件的投标报价高于招标控制价或投标报价上限的；</w:t>
      </w:r>
    </w:p>
    <w:p w14:paraId="4A24207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27.1.4 投标文件承诺的服务周期超过招标文件要求的；</w:t>
      </w:r>
    </w:p>
    <w:p w14:paraId="546E095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27.2 如果招标人根据招标文件的规定难以准确判断某投标人的投标文件是否应予受理的，或有投标人在开标会上对审查程序与结果提出异议的，招标人将记录有关情况提交评标委员会讨论决定。</w:t>
      </w:r>
    </w:p>
    <w:p w14:paraId="64C60B7B">
      <w:pPr>
        <w:topLinePunct/>
        <w:adjustRightInd w:val="0"/>
        <w:snapToGrid w:val="0"/>
        <w:spacing w:line="360" w:lineRule="auto"/>
        <w:jc w:val="left"/>
        <w:rPr>
          <w:rFonts w:ascii="宋体" w:hAnsi="宋体"/>
          <w:kern w:val="0"/>
          <w:sz w:val="24"/>
        </w:rPr>
      </w:pPr>
    </w:p>
    <w:p w14:paraId="1659FBB4">
      <w:pPr>
        <w:pStyle w:val="6"/>
        <w:spacing w:before="0" w:line="400" w:lineRule="exact"/>
        <w:ind w:firstLine="2160" w:firstLineChars="600"/>
        <w:rPr>
          <w:rFonts w:ascii="仿宋_GB2312" w:hAnsi="宋体" w:eastAsia="仿宋_GB2312"/>
          <w:bCs/>
          <w:kern w:val="0"/>
          <w:sz w:val="28"/>
          <w:szCs w:val="28"/>
        </w:rPr>
      </w:pPr>
      <w:r>
        <w:rPr>
          <w:rFonts w:hint="eastAsia" w:ascii="黑体" w:hAnsi="黑体" w:eastAsia="黑体"/>
          <w:b w:val="0"/>
          <w:kern w:val="0"/>
          <w:sz w:val="36"/>
          <w:szCs w:val="36"/>
        </w:rPr>
        <w:t>（七）评  标</w:t>
      </w:r>
    </w:p>
    <w:p w14:paraId="58398471">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28.评标委员会和评标</w:t>
      </w:r>
    </w:p>
    <w:p w14:paraId="0C7AB4D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28.1 评标委员会由招标人依法组建，负责评标活动。</w:t>
      </w:r>
    </w:p>
    <w:p w14:paraId="5ACA580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28.2 开标结束后，开始评标，评标采用保密方式进行。</w:t>
      </w:r>
    </w:p>
    <w:p w14:paraId="5CADC9F3">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29. 招标人将向评标委员会提供以下资料，供评标使用：</w:t>
      </w:r>
    </w:p>
    <w:p w14:paraId="0BB3843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29.1 招标文件，包括补遗文件、答疑文件等；</w:t>
      </w:r>
    </w:p>
    <w:p w14:paraId="7B14241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29.2 供评标使用的主要技术资料；</w:t>
      </w:r>
    </w:p>
    <w:p w14:paraId="4EE055A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29.3 项目概况和评标重点的书面介绍。</w:t>
      </w:r>
    </w:p>
    <w:p w14:paraId="2A7C8C2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29.4 其他评标必须的资料。</w:t>
      </w:r>
    </w:p>
    <w:p w14:paraId="270AF054">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30.投标文件的初步评审</w:t>
      </w:r>
    </w:p>
    <w:p w14:paraId="4ABA5EF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30.1由评标委员会进行投标文件的初步评审；</w:t>
      </w:r>
    </w:p>
    <w:p w14:paraId="0B4BAEF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30.2投标文件有下列情形之一的，初步评审不通过，应作无效标处理：</w:t>
      </w:r>
    </w:p>
    <w:p w14:paraId="12D6286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30.2.1 投标文件的有关内容未按规定加盖投标人印章、或未经法定代表人或其委托代理人签字(或盖章)、或由委托代理人签字(或盖章)但未随投标文件一起提供“投标文件签署授权委托书”原件的；</w:t>
      </w:r>
    </w:p>
    <w:p w14:paraId="396DF23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30.2.2投标函按招标文件规定应当填写而未填写的；</w:t>
      </w:r>
    </w:p>
    <w:p w14:paraId="4E480BC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30.2.3招标人要求提交投标文件电子文档，但投标人未提交或提交的电子文档不符合要求的。</w:t>
      </w:r>
    </w:p>
    <w:p w14:paraId="0311A4A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30.2.4投标人组成联合体投标，但投标文件未按规定附有联合体各方共同投标协议的；</w:t>
      </w:r>
    </w:p>
    <w:p w14:paraId="0A52B98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30.2.5参加联合体的各成员再以自己的名义单独投标的，或同时参加两个或两个以上的联合体投标的；</w:t>
      </w:r>
    </w:p>
    <w:p w14:paraId="7BEE7F5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30.2.6投标人资格条件不符合国家有关规定和招标文件要求的。</w:t>
      </w:r>
    </w:p>
    <w:p w14:paraId="1039AB5F">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31.投标文件的详细评审</w:t>
      </w:r>
    </w:p>
    <w:p w14:paraId="0C3A347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31.1评标委员会根据前附表1第16项规定的评标方法和标准，对投标文件进行系统的评审和比较，招标文件中没有规定的标准和方法不得作为评标的依据。</w:t>
      </w:r>
    </w:p>
    <w:p w14:paraId="14DADB8B">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32.投标文件的重大偏差</w:t>
      </w:r>
    </w:p>
    <w:p w14:paraId="4648D13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32.1投标文件存在重大偏差的，应作废标处理。下列情况属于重大偏差：</w:t>
      </w:r>
    </w:p>
    <w:p w14:paraId="7282D1B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32.1.1投标人以他人的名义投标或出现下列串通投标、弄虚作假投标嫌疑的：</w:t>
      </w:r>
    </w:p>
    <w:p w14:paraId="4B078E7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32.1.2投标人资质条件不符合国家有关规定和招标文件要求；</w:t>
      </w:r>
    </w:p>
    <w:p w14:paraId="50916DB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32.1.3投标人拒不按照要求对投标文件进行澄清、说明、补正的或评标委员会根据本须知第35.1条规定对投标文件的计算错误进行修正后，投标人不接受修正后的投标报价的； </w:t>
      </w:r>
    </w:p>
    <w:p w14:paraId="0C85F8E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32.1.4投标文件附有招标人不能接受的条件；</w:t>
      </w:r>
    </w:p>
    <w:p w14:paraId="781467A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32.1.5投标文件不满足招标文件规定的任何一项实质性要求的；</w:t>
      </w:r>
    </w:p>
    <w:p w14:paraId="22AE8F10">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33.投标文件的细微偏差</w:t>
      </w:r>
    </w:p>
    <w:p w14:paraId="0BBCCB2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33.1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08B2EC0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33.2评标委员会应当书面要求存在细微偏差的投标人在评标结束前予以补正。拒不补正的，在详细评审时可以对细微偏差作不利于该投标人的量化，量化标准以招标文件规定为准。</w:t>
      </w:r>
    </w:p>
    <w:p w14:paraId="10F2D281">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33.3 在评审过程中，评标委员会可以以书面形式要求投标人就投标文件中含义不明确的内容进行说明并提供相关材料。</w:t>
      </w:r>
    </w:p>
    <w:p w14:paraId="0DDC342B">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34.投标文件的澄清和对答辩人的要求</w:t>
      </w:r>
    </w:p>
    <w:p w14:paraId="00898CF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34.1为有助于投标文件的审查、评价和比较，评标委员会可以要求投标人对投标文件含义不明确的内容作必要的澄清或说明，投标人应当进行澄清或说明，但不得超出投标文件的范围或改变投标报价和其他实质性内容。根据本须知第35条规定，凡属于评标委员会在评标中发现的计算错误并进行核实的修改不在此列。</w:t>
      </w:r>
    </w:p>
    <w:p w14:paraId="00165A0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34.2 评标过程中对各投标单位的答辩人要求如下：</w:t>
      </w:r>
    </w:p>
    <w:p w14:paraId="4CF58596">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34.2.1拟进行投标答辩的，投标人法定代表人或其授权委托人。</w:t>
      </w:r>
    </w:p>
    <w:p w14:paraId="2A45490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34.3评标委员会要求投标人进行答辩，但投标人在规定时间内未派出答辩人及时作出答辩的，评标委员会将根据招标文件规定作出不利于投标人的判定。</w:t>
      </w:r>
    </w:p>
    <w:p w14:paraId="3ADACA7C">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35.投标文件计算错误的修正</w:t>
      </w:r>
    </w:p>
    <w:p w14:paraId="4414776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35.1投标人的投标报价中如出现算术错误，将按以下方法进行调整：</w:t>
      </w:r>
    </w:p>
    <w:p w14:paraId="35E07C7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35.1.1投标文件中大写金额与小写金额不一致的，以大写金额为准；</w:t>
      </w:r>
    </w:p>
    <w:p w14:paraId="0E8324C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35.1.2总价金额与按单价计算的总金额不一致的，以单价计算的总金额为准。除非评标委员会认为单价有明显的小数点错误，此时应以合价金额为准，调整单价；</w:t>
      </w:r>
    </w:p>
    <w:p w14:paraId="106BE327">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35.2投标人的投标报价如果出现缺项、漏项或是修改了本招标项目列明项目的数量情况的，评标委员会应根据具体评标方法和评审标准，按照不利于该投标人的原则进行调整，且投标人不得因此提出任何异议。</w:t>
      </w:r>
    </w:p>
    <w:p w14:paraId="63C4C6E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35.3按照本节第35.1条、第35.2条规定的调整方法确定的调整后报价，须取得投标人同意并书面签字确认。如果投标人拒不接受调整方法以及调整后的报价的，其投标将被拒绝。</w:t>
      </w:r>
    </w:p>
    <w:p w14:paraId="6EFD0C2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35.4如果出现多报或超出本招标项目列明项目的数量情况的，评标委员会应根据具体评标方法和评审标准，按照不利于该投标人的原则进行调整，且投标人不得因此提出任何异议。</w:t>
      </w:r>
    </w:p>
    <w:p w14:paraId="0A2835E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35.5中标人的投标报价是按照本节第35.1条、第35.2条、第35.3条规定的进行了调整的，其中标价按就低不就高的原则确定。如果投标人拒不接受的，其投标将被拒绝。</w:t>
      </w:r>
    </w:p>
    <w:p w14:paraId="723FC5D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35.5.1投标人的投标报价的总价小于调整后的报价，中标价即为投标人的投标报价的总价；投标报价的总价大于调整后的报价，中标价即为调整后的报价。</w:t>
      </w:r>
    </w:p>
    <w:p w14:paraId="59377538">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36.无效标和废标的处理</w:t>
      </w:r>
    </w:p>
    <w:p w14:paraId="15ED9406">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36.1除本须知第30.2条和第32.1条明确规定的无效标和废标情形外，评标委员会对投标文件应坚持谨慎确定无效标和废标的原则。</w:t>
      </w:r>
    </w:p>
    <w:p w14:paraId="21244E1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36.2评标委员会在作出任何一项无效标和废标决定前，都应当严格遵循以下程序：</w:t>
      </w:r>
    </w:p>
    <w:p w14:paraId="739D4458">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36.2.1 要求当事投标人作相应的答辩；</w:t>
      </w:r>
    </w:p>
    <w:p w14:paraId="5DC7BAD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36.2.2 将答辩记录送当事投标人法定代表人或其授权委托人签字确认；</w:t>
      </w:r>
    </w:p>
    <w:p w14:paraId="20B0A4C1">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36.2.3 在充分讨论的基础上集体表决；</w:t>
      </w:r>
    </w:p>
    <w:p w14:paraId="17ED46E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36.2.4 若表决通过无效标或废标决定，告知投标当事人，并在评标报告中详细载明无效标或废标的理由、依据、答辩的情况和集体表决的情况(同意无效标或废标和不同意无效标或废标的评标委员会成员均应当注明)。</w:t>
      </w:r>
    </w:p>
    <w:p w14:paraId="31554547">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37.中标候选人的推荐或确定</w:t>
      </w:r>
    </w:p>
    <w:p w14:paraId="089279DD">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37.1 评标委员会实行少数服从多数的原则，评标结果经评标委员会全体成员过半数通过有效。</w:t>
      </w:r>
    </w:p>
    <w:p w14:paraId="40B008F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37.2 评标委员会经过对投标文件进行评审和比较后，向招标人提出书面评标报告，并推荐中标候选人。</w:t>
      </w:r>
    </w:p>
    <w:p w14:paraId="0BBD9646">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37.3 招标人根据评标委员会提出的书面评标报告和推荐的中标候选人确定中标人，也可以授权评标委员会直接确定中标人。</w:t>
      </w:r>
    </w:p>
    <w:p w14:paraId="3497CF37">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38.评标过程的保密</w:t>
      </w:r>
    </w:p>
    <w:p w14:paraId="65EA66D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38.1 开标后，直到授予中标人合同为止，凡属于对投标文件的审查、澄清、评价和比较有关的资料以及中标侯选人的推荐情况，与评标有关的其他任何情况均严格保密。</w:t>
      </w:r>
    </w:p>
    <w:p w14:paraId="7D85847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38.2 在投标文件的评审和比较、中标候选人推荐以及授予合同的过程中，投标人不得有向招标人和评标委员会施加影响的任何行为。</w:t>
      </w:r>
    </w:p>
    <w:p w14:paraId="2081FEAF">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38.3 中标人确定后，招标人不对未中标人就评标过程以及未能中标原因作出任何解释。未中标人不得向评标委员会组成人员或其他有关人员索问评标过程的情况和材料。</w:t>
      </w:r>
    </w:p>
    <w:p w14:paraId="5436A454">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39.其它规定</w:t>
      </w:r>
    </w:p>
    <w:p w14:paraId="3EA0EDA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39.1评标过程中，若评标委员会认为本次招标缺乏竞争性，可以不推荐中标候选人，由招标人重新组织招标。</w:t>
      </w:r>
    </w:p>
    <w:p w14:paraId="0871DDAF">
      <w:pPr>
        <w:pStyle w:val="115"/>
        <w:spacing w:line="560" w:lineRule="exact"/>
        <w:ind w:firstLine="560"/>
        <w:rPr>
          <w:rFonts w:ascii="仿宋_GB2312" w:hAnsi="宋体" w:eastAsia="仿宋_GB2312"/>
          <w:bCs/>
          <w:kern w:val="0"/>
          <w:sz w:val="28"/>
          <w:szCs w:val="28"/>
        </w:rPr>
      </w:pPr>
    </w:p>
    <w:p w14:paraId="528592AF">
      <w:pPr>
        <w:pStyle w:val="6"/>
        <w:spacing w:before="0" w:line="400" w:lineRule="exact"/>
        <w:ind w:firstLine="2520" w:firstLineChars="700"/>
        <w:rPr>
          <w:rFonts w:ascii="黑体" w:hAnsi="黑体" w:eastAsia="黑体"/>
          <w:b w:val="0"/>
          <w:bCs/>
          <w:kern w:val="0"/>
          <w:sz w:val="36"/>
          <w:szCs w:val="36"/>
        </w:rPr>
      </w:pPr>
      <w:r>
        <w:rPr>
          <w:rFonts w:hint="eastAsia" w:ascii="黑体" w:hAnsi="黑体" w:eastAsia="黑体"/>
          <w:b w:val="0"/>
          <w:kern w:val="0"/>
          <w:sz w:val="36"/>
          <w:szCs w:val="36"/>
        </w:rPr>
        <w:t>（八）定标</w:t>
      </w:r>
    </w:p>
    <w:p w14:paraId="776B47C0">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40.中标人确定方式</w:t>
      </w:r>
    </w:p>
    <w:p w14:paraId="2B3294A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40.1招标人根据评标委员会推荐的中标候选人确定中标人，也可以授权评标委员会直接确定中标人。</w:t>
      </w:r>
    </w:p>
    <w:p w14:paraId="06B8E98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40.2招标人授权评标委员会确定中标人的：评标委员会根据招标文件中的评审内容和评审指引，对各投标人的投标文件进行评审，推荐有排序的</w:t>
      </w:r>
      <w:r>
        <w:rPr>
          <w:rFonts w:hint="eastAsia" w:ascii="仿宋" w:hAnsi="仿宋" w:eastAsia="仿宋"/>
          <w:bCs/>
          <w:kern w:val="0"/>
          <w:sz w:val="28"/>
          <w:szCs w:val="28"/>
          <w:u w:val="single"/>
        </w:rPr>
        <w:t xml:space="preserve">  1 </w:t>
      </w:r>
      <w:r>
        <w:rPr>
          <w:rFonts w:hint="eastAsia" w:ascii="仿宋" w:hAnsi="仿宋" w:eastAsia="仿宋"/>
          <w:bCs/>
          <w:kern w:val="0"/>
          <w:sz w:val="28"/>
          <w:szCs w:val="28"/>
        </w:rPr>
        <w:t>名中标候选人，评标报告通过招标人审批后，第一中标候选人即为中标人。</w:t>
      </w:r>
    </w:p>
    <w:p w14:paraId="1E33EE8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40.3采用评定分离，招标人根据评标委员会评标报告在推荐的中标候选人确定中标人的：评标委员会根据招标文件中的评审内容和评审指引，对各投标人的投标文件进行评审，推荐不超过</w:t>
      </w:r>
      <w:r>
        <w:rPr>
          <w:rFonts w:hint="eastAsia" w:ascii="仿宋" w:hAnsi="仿宋" w:eastAsia="仿宋"/>
          <w:bCs/>
          <w:kern w:val="0"/>
          <w:sz w:val="28"/>
          <w:szCs w:val="28"/>
          <w:u w:val="single"/>
        </w:rPr>
        <w:t xml:space="preserve">   </w:t>
      </w:r>
      <w:r>
        <w:rPr>
          <w:rFonts w:hint="eastAsia" w:ascii="仿宋" w:hAnsi="仿宋" w:eastAsia="仿宋"/>
          <w:bCs/>
          <w:kern w:val="0"/>
          <w:sz w:val="28"/>
          <w:szCs w:val="28"/>
        </w:rPr>
        <w:t xml:space="preserve">名无排序中标候选人，后由招标人的招标领导小组通过民主决策在评标委员会推荐的中标候选人中确定 </w:t>
      </w:r>
      <w:r>
        <w:rPr>
          <w:rFonts w:hint="eastAsia" w:ascii="仿宋" w:hAnsi="仿宋" w:eastAsia="仿宋"/>
          <w:bCs/>
          <w:kern w:val="0"/>
          <w:sz w:val="28"/>
          <w:szCs w:val="28"/>
          <w:u w:val="single"/>
        </w:rPr>
        <w:t xml:space="preserve">   </w:t>
      </w:r>
      <w:r>
        <w:rPr>
          <w:rFonts w:hint="eastAsia" w:ascii="仿宋" w:hAnsi="仿宋" w:eastAsia="仿宋"/>
          <w:bCs/>
          <w:kern w:val="0"/>
          <w:sz w:val="28"/>
          <w:szCs w:val="28"/>
        </w:rPr>
        <w:t>名中标人。</w:t>
      </w:r>
    </w:p>
    <w:p w14:paraId="2B85C562">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40.4本次招标，评标委员会评标得分仅作为招标人确定中标人的参考，招标人有权确定任一中标候选人为中标人。</w:t>
      </w:r>
    </w:p>
    <w:p w14:paraId="58CFABD4">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40.5如出现中标人放弃中标的情形，招标人可按上述程序在剩余中标候选人中重新确定中标人，也可重新组织招标。</w:t>
      </w:r>
    </w:p>
    <w:p w14:paraId="618DBC04">
      <w:pPr>
        <w:pStyle w:val="115"/>
        <w:spacing w:line="560" w:lineRule="exact"/>
        <w:ind w:firstLine="560"/>
        <w:rPr>
          <w:rFonts w:ascii="仿宋" w:hAnsi="仿宋" w:eastAsia="仿宋"/>
          <w:bCs/>
          <w:kern w:val="0"/>
          <w:sz w:val="28"/>
          <w:szCs w:val="28"/>
        </w:rPr>
      </w:pPr>
    </w:p>
    <w:p w14:paraId="6CB6F659">
      <w:pPr>
        <w:pStyle w:val="6"/>
        <w:spacing w:before="0" w:line="400" w:lineRule="exact"/>
        <w:ind w:firstLine="2520" w:firstLineChars="700"/>
        <w:rPr>
          <w:rFonts w:ascii="黑体" w:hAnsi="黑体" w:eastAsia="黑体"/>
          <w:b w:val="0"/>
          <w:kern w:val="0"/>
          <w:sz w:val="36"/>
          <w:szCs w:val="36"/>
        </w:rPr>
      </w:pPr>
    </w:p>
    <w:p w14:paraId="7FE72650">
      <w:pPr>
        <w:pStyle w:val="6"/>
        <w:spacing w:before="0" w:line="400" w:lineRule="exact"/>
        <w:ind w:left="630" w:leftChars="300" w:firstLine="2520" w:firstLineChars="700"/>
        <w:rPr>
          <w:rFonts w:ascii="黑体" w:hAnsi="黑体" w:eastAsia="黑体"/>
          <w:b w:val="0"/>
          <w:bCs/>
          <w:kern w:val="0"/>
          <w:sz w:val="36"/>
          <w:szCs w:val="36"/>
        </w:rPr>
      </w:pPr>
      <w:r>
        <w:rPr>
          <w:rFonts w:hint="eastAsia" w:ascii="黑体" w:hAnsi="黑体" w:eastAsia="黑体"/>
          <w:b w:val="0"/>
          <w:kern w:val="0"/>
          <w:sz w:val="36"/>
          <w:szCs w:val="36"/>
        </w:rPr>
        <w:t>（九）中标通知书</w:t>
      </w:r>
    </w:p>
    <w:p w14:paraId="6001D05B">
      <w:pPr>
        <w:pStyle w:val="115"/>
        <w:spacing w:line="560" w:lineRule="exact"/>
        <w:ind w:firstLine="560"/>
        <w:rPr>
          <w:rFonts w:ascii="仿宋_GB2312" w:hAnsi="宋体" w:eastAsia="仿宋_GB2312"/>
          <w:bCs/>
          <w:kern w:val="0"/>
          <w:sz w:val="28"/>
          <w:szCs w:val="28"/>
        </w:rPr>
      </w:pPr>
    </w:p>
    <w:p w14:paraId="15A35FCF">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41．中标通知书</w:t>
      </w:r>
    </w:p>
    <w:p w14:paraId="6981663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41.1招标人应在确定中标人后，将以邮件形式通知中标人。</w:t>
      </w:r>
    </w:p>
    <w:p w14:paraId="1306A4AB">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41.2招标人将发出中标通知书。中标通知书是本招标项目合同的组成部分。</w:t>
      </w:r>
    </w:p>
    <w:p w14:paraId="3E8EE970">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41.3招标人将以《中标通知书》通知中标人中标。未收到《中标通知书》投标者为落标，招标人不解释落标原因，不退回投标书。</w:t>
      </w:r>
    </w:p>
    <w:p w14:paraId="78860329">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42．招标人的权利</w:t>
      </w:r>
    </w:p>
    <w:p w14:paraId="698B6FB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42.1招标人在发出中标通知书之前因正当理由，经公司相关部门批准，有权根据评标委员会评审意见接受或拒绝投标、宣布投标程序无效或拒绝所有投标。对受影响的投标人不承担任何责任。</w:t>
      </w:r>
    </w:p>
    <w:p w14:paraId="23FEF8AC">
      <w:pPr>
        <w:spacing w:line="560" w:lineRule="exact"/>
        <w:ind w:firstLine="420" w:firstLineChars="150"/>
        <w:rPr>
          <w:rFonts w:ascii="仿宋_GB2312" w:hAnsi="宋体" w:eastAsia="仿宋_GB2312"/>
          <w:bCs/>
          <w:kern w:val="0"/>
          <w:sz w:val="28"/>
          <w:szCs w:val="28"/>
        </w:rPr>
      </w:pPr>
    </w:p>
    <w:p w14:paraId="6B95E6BF">
      <w:pPr>
        <w:pStyle w:val="6"/>
        <w:spacing w:before="0" w:line="400" w:lineRule="exact"/>
        <w:ind w:firstLine="2160" w:firstLineChars="600"/>
        <w:rPr>
          <w:rFonts w:ascii="黑体" w:hAnsi="黑体" w:eastAsia="黑体"/>
          <w:b w:val="0"/>
          <w:bCs/>
          <w:kern w:val="0"/>
          <w:sz w:val="36"/>
          <w:szCs w:val="36"/>
        </w:rPr>
      </w:pPr>
      <w:r>
        <w:rPr>
          <w:rFonts w:hint="eastAsia" w:ascii="黑体" w:hAnsi="黑体" w:eastAsia="黑体"/>
          <w:b w:val="0"/>
          <w:kern w:val="0"/>
          <w:sz w:val="36"/>
          <w:szCs w:val="36"/>
        </w:rPr>
        <w:t>（十）合同授予</w:t>
      </w:r>
    </w:p>
    <w:p w14:paraId="20D72967">
      <w:pPr>
        <w:pStyle w:val="115"/>
        <w:spacing w:line="560" w:lineRule="exact"/>
        <w:ind w:firstLine="560"/>
        <w:rPr>
          <w:rFonts w:ascii="仿宋_GB2312" w:hAnsi="宋体" w:eastAsia="仿宋_GB2312"/>
          <w:bCs/>
          <w:kern w:val="0"/>
          <w:sz w:val="28"/>
          <w:szCs w:val="28"/>
        </w:rPr>
      </w:pPr>
    </w:p>
    <w:p w14:paraId="064DB171">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43．签订合同</w:t>
      </w:r>
    </w:p>
    <w:p w14:paraId="3E387F25">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43.1招标人和中标人应当按“投标须知前附表”的规定，依据招标文件和中标人的投标文件订立书面合同。</w:t>
      </w:r>
    </w:p>
    <w:p w14:paraId="1D6F90BC">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43.2中标人无正当理由拒签合同的，或者在签订合同时向招标人提出附加条件或者更改合同实质性内容的，招标人可取消其中标资格，并没收其投标担保；给招标人的损失超过其投标担保数额的，中标人应当对超过部分予以赔偿；没有提交投标担保的，应当对招标人的损失承担赔偿责任。</w:t>
      </w:r>
    </w:p>
    <w:p w14:paraId="32E778E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43.3招标人无正当理由拒签合同的，或者在签订合同时向中标人提出附加条件或者更改合同实质性内容的，有关行政监督部门将给予警告，责令改正；给中标人造成损失的，还应当赔偿损失。</w:t>
      </w:r>
    </w:p>
    <w:p w14:paraId="095C4F6A">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43.4招标人与中标人签订的合同必须遵守本招标文件的合同条件，并且不得更改合同条件。</w:t>
      </w:r>
    </w:p>
    <w:p w14:paraId="531CCBE7">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43.5中标人应当按照合同约定履行义务，完成合同标的，不得将合同标的转让(转包)给他人实施。</w:t>
      </w:r>
    </w:p>
    <w:p w14:paraId="4A40061A">
      <w:pPr>
        <w:pStyle w:val="115"/>
        <w:spacing w:line="560" w:lineRule="exact"/>
        <w:ind w:firstLine="560"/>
        <w:rPr>
          <w:rFonts w:ascii="仿宋_GB2312" w:hAnsi="宋体" w:eastAsia="仿宋_GB2312"/>
          <w:bCs/>
          <w:kern w:val="0"/>
          <w:sz w:val="28"/>
          <w:szCs w:val="28"/>
        </w:rPr>
      </w:pPr>
    </w:p>
    <w:p w14:paraId="2D76E5E0">
      <w:pPr>
        <w:pStyle w:val="6"/>
        <w:spacing w:before="0" w:line="400" w:lineRule="exact"/>
        <w:ind w:firstLine="2520" w:firstLineChars="700"/>
        <w:rPr>
          <w:rFonts w:ascii="黑体" w:hAnsi="黑体" w:eastAsia="黑体"/>
          <w:b w:val="0"/>
          <w:bCs/>
          <w:kern w:val="0"/>
          <w:sz w:val="36"/>
          <w:szCs w:val="36"/>
        </w:rPr>
      </w:pPr>
      <w:r>
        <w:rPr>
          <w:rFonts w:hint="eastAsia" w:ascii="黑体" w:hAnsi="黑体" w:eastAsia="黑体"/>
          <w:b w:val="0"/>
          <w:kern w:val="0"/>
          <w:sz w:val="36"/>
          <w:szCs w:val="36"/>
        </w:rPr>
        <w:t>（十一）其他</w:t>
      </w:r>
    </w:p>
    <w:p w14:paraId="04332C49">
      <w:pPr>
        <w:pStyle w:val="115"/>
        <w:spacing w:line="560" w:lineRule="exact"/>
        <w:ind w:firstLine="560"/>
        <w:rPr>
          <w:rFonts w:ascii="仿宋_GB2312" w:hAnsi="宋体" w:eastAsia="仿宋_GB2312"/>
          <w:bCs/>
          <w:kern w:val="0"/>
          <w:sz w:val="28"/>
          <w:szCs w:val="28"/>
        </w:rPr>
      </w:pPr>
    </w:p>
    <w:p w14:paraId="0841BD41">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44．招标投标投诉的处理</w:t>
      </w:r>
    </w:p>
    <w:p w14:paraId="2EFB1429">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44.1本招标项目实行分段限时投诉制度，即在每个招标投标阶段，投标人均应对所存异议及时投诉。凡超出被投诉阶段投诉时限的，其投诉将不予受理。</w:t>
      </w:r>
    </w:p>
    <w:p w14:paraId="548A62BC">
      <w:pPr>
        <w:pStyle w:val="115"/>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45．其他</w:t>
      </w:r>
    </w:p>
    <w:p w14:paraId="6414FC72">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45.1本招标文件的解释权归招标人所有，招标人有权在法律允许范围内调整本次招标活动的细节及保留最终解释权。</w:t>
      </w:r>
    </w:p>
    <w:p w14:paraId="71A50983">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45.2评标委员会经评审，认为所有投标都不符合招标文件要求的，可以否决所有投标。所有投标被否决的，招标人应重新招标。招标人不负担因招标失败给投标人造成的损失。</w:t>
      </w:r>
    </w:p>
    <w:p w14:paraId="691BB93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45.3招标人向投标人提供的资料和数据，是招标人现有的能使投标人利用的资料，招标人对投标人由此而做出的推论、理解和结论概不负责。</w:t>
      </w:r>
    </w:p>
    <w:p w14:paraId="17010AB1">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45.4如果投标人实质上不符合投标资格，即使参加投标并缴纳各种费用，招标人可以随时取消其投标或中标资格，招标人对该投标人的一切损失概不责任。</w:t>
      </w:r>
    </w:p>
    <w:p w14:paraId="652B8ADE">
      <w:pPr>
        <w:pStyle w:val="115"/>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45.5中标无效的，发出的中标通知书和签订的合同自始没有法律约束力，但不影响合同中存在的有关解决争议方法的条款的效力。</w:t>
      </w:r>
    </w:p>
    <w:p w14:paraId="7D60DAD4">
      <w:pPr>
        <w:pStyle w:val="115"/>
        <w:spacing w:line="560" w:lineRule="exact"/>
        <w:ind w:firstLine="560"/>
        <w:rPr>
          <w:rFonts w:hint="eastAsia" w:ascii="仿宋" w:hAnsi="仿宋" w:eastAsia="仿宋"/>
          <w:bCs/>
          <w:kern w:val="0"/>
          <w:sz w:val="28"/>
          <w:szCs w:val="28"/>
        </w:rPr>
      </w:pPr>
      <w:r>
        <w:rPr>
          <w:rFonts w:hint="eastAsia" w:ascii="仿宋" w:hAnsi="仿宋" w:eastAsia="仿宋"/>
          <w:bCs/>
          <w:kern w:val="0"/>
          <w:sz w:val="28"/>
          <w:szCs w:val="28"/>
        </w:rPr>
        <w:t>45.6本招标文件所有的附件与本招标文件具有同等效力。</w:t>
      </w:r>
    </w:p>
    <w:p w14:paraId="098CC727">
      <w:pPr>
        <w:pStyle w:val="115"/>
        <w:spacing w:line="560" w:lineRule="exact"/>
        <w:ind w:firstLine="560"/>
        <w:rPr>
          <w:rFonts w:hint="eastAsia" w:ascii="仿宋" w:hAnsi="仿宋" w:eastAsia="仿宋"/>
          <w:bCs/>
          <w:kern w:val="0"/>
          <w:sz w:val="28"/>
          <w:szCs w:val="28"/>
        </w:rPr>
      </w:pPr>
    </w:p>
    <w:p w14:paraId="5D33F41B">
      <w:pPr>
        <w:pStyle w:val="115"/>
        <w:spacing w:line="560" w:lineRule="exact"/>
        <w:ind w:firstLine="560"/>
        <w:rPr>
          <w:rFonts w:hint="eastAsia" w:ascii="仿宋" w:hAnsi="仿宋" w:eastAsia="仿宋"/>
          <w:bCs/>
          <w:kern w:val="0"/>
          <w:sz w:val="28"/>
          <w:szCs w:val="28"/>
        </w:rPr>
      </w:pPr>
    </w:p>
    <w:p w14:paraId="4783C9FE">
      <w:pPr>
        <w:pStyle w:val="115"/>
        <w:spacing w:line="560" w:lineRule="exact"/>
        <w:ind w:firstLine="560"/>
        <w:rPr>
          <w:rFonts w:hint="eastAsia" w:ascii="仿宋" w:hAnsi="仿宋" w:eastAsia="仿宋"/>
          <w:bCs/>
          <w:kern w:val="0"/>
          <w:sz w:val="28"/>
          <w:szCs w:val="28"/>
        </w:rPr>
      </w:pPr>
    </w:p>
    <w:p w14:paraId="1B18BE52">
      <w:pPr>
        <w:pStyle w:val="115"/>
        <w:spacing w:line="560" w:lineRule="exact"/>
        <w:ind w:firstLine="560"/>
        <w:rPr>
          <w:rFonts w:hint="eastAsia" w:ascii="仿宋" w:hAnsi="仿宋" w:eastAsia="仿宋"/>
          <w:bCs/>
          <w:kern w:val="0"/>
          <w:sz w:val="28"/>
          <w:szCs w:val="28"/>
        </w:rPr>
      </w:pPr>
    </w:p>
    <w:p w14:paraId="7F7BB320">
      <w:pPr>
        <w:pStyle w:val="115"/>
        <w:spacing w:line="560" w:lineRule="exact"/>
        <w:ind w:firstLine="560"/>
        <w:rPr>
          <w:rFonts w:hint="eastAsia" w:ascii="仿宋" w:hAnsi="仿宋" w:eastAsia="仿宋"/>
          <w:bCs/>
          <w:kern w:val="0"/>
          <w:sz w:val="28"/>
          <w:szCs w:val="28"/>
        </w:rPr>
      </w:pPr>
    </w:p>
    <w:p w14:paraId="5197A43A">
      <w:pPr>
        <w:pStyle w:val="115"/>
        <w:spacing w:line="560" w:lineRule="exact"/>
        <w:ind w:firstLine="560"/>
        <w:rPr>
          <w:rFonts w:hint="eastAsia" w:ascii="仿宋" w:hAnsi="仿宋" w:eastAsia="仿宋"/>
          <w:bCs/>
          <w:kern w:val="0"/>
          <w:sz w:val="28"/>
          <w:szCs w:val="28"/>
        </w:rPr>
      </w:pPr>
    </w:p>
    <w:p w14:paraId="6B5834A9">
      <w:pPr>
        <w:pStyle w:val="115"/>
        <w:spacing w:line="560" w:lineRule="exact"/>
        <w:ind w:firstLine="560"/>
        <w:rPr>
          <w:rFonts w:hint="eastAsia" w:ascii="仿宋" w:hAnsi="仿宋" w:eastAsia="仿宋"/>
          <w:bCs/>
          <w:kern w:val="0"/>
          <w:sz w:val="28"/>
          <w:szCs w:val="28"/>
        </w:rPr>
      </w:pPr>
    </w:p>
    <w:p w14:paraId="1E605E93">
      <w:pPr>
        <w:pStyle w:val="115"/>
        <w:spacing w:line="560" w:lineRule="exact"/>
        <w:ind w:firstLine="560"/>
        <w:rPr>
          <w:rFonts w:hint="eastAsia" w:ascii="仿宋" w:hAnsi="仿宋" w:eastAsia="仿宋"/>
          <w:bCs/>
          <w:kern w:val="0"/>
          <w:sz w:val="28"/>
          <w:szCs w:val="28"/>
        </w:rPr>
      </w:pPr>
    </w:p>
    <w:p w14:paraId="6D0D003E">
      <w:pPr>
        <w:pStyle w:val="115"/>
        <w:spacing w:line="560" w:lineRule="exact"/>
        <w:ind w:firstLine="560"/>
        <w:rPr>
          <w:rFonts w:hint="eastAsia" w:ascii="仿宋" w:hAnsi="仿宋" w:eastAsia="仿宋"/>
          <w:bCs/>
          <w:kern w:val="0"/>
          <w:sz w:val="28"/>
          <w:szCs w:val="28"/>
        </w:rPr>
      </w:pPr>
    </w:p>
    <w:p w14:paraId="20E446E8">
      <w:pPr>
        <w:pStyle w:val="115"/>
        <w:spacing w:line="560" w:lineRule="exact"/>
        <w:ind w:firstLine="560"/>
        <w:rPr>
          <w:rFonts w:hint="eastAsia" w:ascii="仿宋" w:hAnsi="仿宋" w:eastAsia="仿宋"/>
          <w:bCs/>
          <w:kern w:val="0"/>
          <w:sz w:val="28"/>
          <w:szCs w:val="28"/>
        </w:rPr>
      </w:pPr>
    </w:p>
    <w:p w14:paraId="3E59181A">
      <w:pPr>
        <w:pStyle w:val="115"/>
        <w:spacing w:line="560" w:lineRule="exact"/>
        <w:ind w:firstLine="560"/>
        <w:rPr>
          <w:rFonts w:hint="eastAsia" w:ascii="仿宋" w:hAnsi="仿宋" w:eastAsia="仿宋"/>
          <w:bCs/>
          <w:kern w:val="0"/>
          <w:sz w:val="28"/>
          <w:szCs w:val="28"/>
        </w:rPr>
      </w:pPr>
    </w:p>
    <w:p w14:paraId="021C484A">
      <w:pPr>
        <w:snapToGrid w:val="0"/>
        <w:spacing w:line="360" w:lineRule="auto"/>
        <w:ind w:firstLine="2650" w:firstLineChars="600"/>
        <w:outlineLvl w:val="0"/>
        <w:rPr>
          <w:rFonts w:hAnsi="宋体"/>
          <w:b/>
          <w:color w:val="000000"/>
          <w:sz w:val="44"/>
          <w:szCs w:val="44"/>
        </w:rPr>
      </w:pPr>
      <w:bookmarkStart w:id="26" w:name="_Toc228364648"/>
      <w:bookmarkStart w:id="27" w:name="_Toc26901"/>
      <w:r>
        <w:rPr>
          <w:rFonts w:hint="eastAsia" w:hAnsi="宋体"/>
          <w:b/>
          <w:color w:val="000000"/>
          <w:sz w:val="44"/>
          <w:szCs w:val="44"/>
        </w:rPr>
        <w:t>第三章  合同文件</w:t>
      </w:r>
      <w:bookmarkEnd w:id="26"/>
    </w:p>
    <w:p w14:paraId="1632DEE7">
      <w:pPr>
        <w:snapToGrid w:val="0"/>
        <w:spacing w:line="360" w:lineRule="auto"/>
        <w:ind w:firstLine="2891" w:firstLineChars="900"/>
        <w:rPr>
          <w:rFonts w:hAnsi="宋体"/>
          <w:b/>
          <w:color w:val="000000"/>
          <w:sz w:val="32"/>
          <w:szCs w:val="32"/>
        </w:rPr>
      </w:pPr>
      <w:r>
        <w:rPr>
          <w:rFonts w:hint="eastAsia" w:hAnsi="宋体"/>
          <w:b/>
          <w:color w:val="000000"/>
          <w:sz w:val="32"/>
          <w:szCs w:val="32"/>
        </w:rPr>
        <w:t>（</w:t>
      </w:r>
      <w:r>
        <w:rPr>
          <w:rFonts w:hint="eastAsia" w:hAnsi="宋体"/>
          <w:b/>
          <w:color w:val="000000"/>
          <w:szCs w:val="21"/>
        </w:rPr>
        <w:t>样本，以最终签订版本为准</w:t>
      </w:r>
      <w:r>
        <w:rPr>
          <w:rFonts w:hint="eastAsia" w:hAnsi="宋体"/>
          <w:b/>
          <w:color w:val="000000"/>
          <w:sz w:val="32"/>
          <w:szCs w:val="32"/>
        </w:rPr>
        <w:t>）</w:t>
      </w:r>
    </w:p>
    <w:bookmarkEnd w:id="27"/>
    <w:p w14:paraId="002CEBA1">
      <w:pPr>
        <w:tabs>
          <w:tab w:val="left" w:pos="360"/>
          <w:tab w:val="left" w:pos="720"/>
        </w:tabs>
        <w:adjustRightInd w:val="0"/>
        <w:snapToGrid w:val="0"/>
        <w:spacing w:line="560" w:lineRule="exact"/>
        <w:jc w:val="center"/>
        <w:rPr>
          <w:rFonts w:ascii="方正小标宋简体" w:hAnsi="宋体" w:eastAsia="方正小标宋简体" w:cs="Times New Roman"/>
          <w:sz w:val="44"/>
          <w:szCs w:val="28"/>
        </w:rPr>
      </w:pPr>
      <w:bookmarkStart w:id="28" w:name="_Toc2313"/>
      <w:r>
        <w:rPr>
          <w:rFonts w:hint="eastAsia" w:ascii="方正小标宋简体" w:hAnsi="宋体" w:eastAsia="方正小标宋简体" w:cs="Times New Roman"/>
          <w:sz w:val="44"/>
          <w:szCs w:val="28"/>
        </w:rPr>
        <w:t>零星维修工程合同</w:t>
      </w:r>
    </w:p>
    <w:p w14:paraId="103DA9C7">
      <w:pPr>
        <w:widowControl/>
        <w:tabs>
          <w:tab w:val="left" w:pos="360"/>
          <w:tab w:val="left" w:pos="720"/>
        </w:tabs>
        <w:adjustRightInd w:val="0"/>
        <w:snapToGrid w:val="0"/>
        <w:spacing w:line="560" w:lineRule="exact"/>
        <w:jc w:val="center"/>
        <w:rPr>
          <w:rFonts w:ascii="方正小标宋简体" w:hAnsi="宋体" w:eastAsia="方正小标宋简体" w:cs="Times New Roman"/>
          <w:sz w:val="44"/>
          <w:szCs w:val="28"/>
        </w:rPr>
      </w:pPr>
      <w:r>
        <w:rPr>
          <w:rFonts w:hint="eastAsia" w:ascii="方正小标宋简体" w:hAnsi="宋体" w:eastAsia="方正小标宋简体" w:cs="Times New Roman"/>
          <w:sz w:val="44"/>
          <w:szCs w:val="28"/>
          <w:lang w:bidi="ar"/>
        </w:rPr>
        <w:t>（</w:t>
      </w:r>
      <w:r>
        <w:rPr>
          <w:rFonts w:hint="eastAsia" w:ascii="方正小标宋简体" w:hAnsi="宋体" w:eastAsia="方正小标宋简体" w:cs="Times New Roman"/>
          <w:sz w:val="44"/>
          <w:szCs w:val="28"/>
          <w:lang w:val="en-US" w:eastAsia="zh-CN" w:bidi="ar"/>
        </w:rPr>
        <w:t>深圳华南城一期市场阳光棚</w:t>
      </w:r>
      <w:r>
        <w:rPr>
          <w:rFonts w:hint="eastAsia" w:ascii="方正小标宋简体" w:hAnsi="宋体" w:eastAsia="方正小标宋简体" w:cs="Times New Roman"/>
          <w:sz w:val="44"/>
          <w:szCs w:val="28"/>
          <w:lang w:bidi="ar"/>
        </w:rPr>
        <w:t>维修工程）</w:t>
      </w:r>
    </w:p>
    <w:p w14:paraId="6D685F1A">
      <w:pPr>
        <w:tabs>
          <w:tab w:val="left" w:pos="360"/>
          <w:tab w:val="left" w:pos="720"/>
        </w:tabs>
        <w:adjustRightInd w:val="0"/>
        <w:snapToGrid w:val="0"/>
        <w:spacing w:line="560" w:lineRule="exact"/>
        <w:jc w:val="left"/>
        <w:rPr>
          <w:rFonts w:ascii="仿宋_GB2312" w:hAnsi="宋体" w:eastAsia="仿宋_GB2312" w:cs="Times New Roman"/>
          <w:b/>
          <w:sz w:val="28"/>
          <w:szCs w:val="28"/>
        </w:rPr>
      </w:pPr>
    </w:p>
    <w:p w14:paraId="5BB29EF5">
      <w:pPr>
        <w:tabs>
          <w:tab w:val="left" w:pos="360"/>
          <w:tab w:val="left" w:pos="720"/>
        </w:tabs>
        <w:adjustRightInd w:val="0"/>
        <w:snapToGrid w:val="0"/>
        <w:spacing w:line="560" w:lineRule="exact"/>
        <w:jc w:val="left"/>
        <w:rPr>
          <w:rFonts w:ascii="仿宋_GB2312" w:hAnsi="宋体" w:eastAsia="仿宋_GB2312" w:cs="Times New Roman"/>
          <w:sz w:val="28"/>
          <w:szCs w:val="28"/>
        </w:rPr>
      </w:pPr>
    </w:p>
    <w:p w14:paraId="1BD5367D">
      <w:pPr>
        <w:tabs>
          <w:tab w:val="left" w:pos="360"/>
        </w:tabs>
        <w:adjustRightInd w:val="0"/>
        <w:snapToGrid w:val="0"/>
        <w:spacing w:line="56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甲方（发包人）：</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b/>
          <w:sz w:val="28"/>
          <w:szCs w:val="28"/>
        </w:rPr>
        <w:t xml:space="preserve">       </w:t>
      </w:r>
    </w:p>
    <w:p w14:paraId="1FCA1396">
      <w:pPr>
        <w:adjustRightInd w:val="0"/>
        <w:snapToGrid w:val="0"/>
        <w:spacing w:line="560" w:lineRule="exact"/>
        <w:ind w:firstLine="560" w:firstLineChars="200"/>
        <w:jc w:val="left"/>
        <w:rPr>
          <w:rFonts w:ascii="仿宋_GB2312" w:hAnsi="宋体" w:eastAsia="仿宋_GB2312" w:cs="Times New Roman"/>
          <w:sz w:val="28"/>
          <w:szCs w:val="28"/>
          <w:u w:val="single"/>
        </w:rPr>
      </w:pPr>
      <w:r>
        <w:rPr>
          <w:rFonts w:hint="eastAsia" w:ascii="仿宋_GB2312" w:hAnsi="宋体" w:eastAsia="仿宋_GB2312" w:cs="Times New Roman"/>
          <w:sz w:val="28"/>
          <w:szCs w:val="28"/>
        </w:rPr>
        <w:t>地址：</w:t>
      </w:r>
      <w:r>
        <w:rPr>
          <w:rFonts w:hint="eastAsia" w:ascii="仿宋_GB2312" w:hAnsi="宋体" w:eastAsia="仿宋_GB2312" w:cs="Times New Roman"/>
          <w:sz w:val="28"/>
          <w:szCs w:val="28"/>
          <w:u w:val="single"/>
        </w:rPr>
        <w:t xml:space="preserve">                                                      </w:t>
      </w:r>
    </w:p>
    <w:p w14:paraId="0E2C4F0C">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法定代表人/负责人：</w:t>
      </w:r>
      <w:r>
        <w:rPr>
          <w:rFonts w:hint="eastAsia" w:ascii="仿宋_GB2312" w:hAnsi="宋体" w:eastAsia="仿宋_GB2312" w:cs="Times New Roman"/>
          <w:sz w:val="28"/>
          <w:szCs w:val="28"/>
          <w:u w:val="single"/>
        </w:rPr>
        <w:t xml:space="preserve">                                         </w:t>
      </w:r>
    </w:p>
    <w:p w14:paraId="6D2C05AF">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联系人：</w:t>
      </w:r>
      <w:r>
        <w:rPr>
          <w:rFonts w:hint="eastAsia" w:ascii="仿宋_GB2312" w:hAnsi="宋体" w:eastAsia="仿宋_GB2312" w:cs="Times New Roman"/>
          <w:sz w:val="28"/>
          <w:szCs w:val="28"/>
          <w:u w:val="single"/>
        </w:rPr>
        <w:t xml:space="preserve">                                                    </w:t>
      </w:r>
    </w:p>
    <w:p w14:paraId="535B9DC4">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联系电话：</w:t>
      </w:r>
      <w:r>
        <w:rPr>
          <w:rFonts w:hint="eastAsia" w:ascii="仿宋_GB2312" w:hAnsi="宋体" w:eastAsia="仿宋_GB2312" w:cs="Times New Roman"/>
          <w:sz w:val="28"/>
          <w:szCs w:val="28"/>
          <w:u w:val="single"/>
        </w:rPr>
        <w:t xml:space="preserve">                                                  </w:t>
      </w:r>
    </w:p>
    <w:p w14:paraId="42698872">
      <w:pPr>
        <w:tabs>
          <w:tab w:val="left" w:pos="360"/>
        </w:tabs>
        <w:adjustRightInd w:val="0"/>
        <w:snapToGrid w:val="0"/>
        <w:spacing w:line="560" w:lineRule="exact"/>
        <w:ind w:firstLine="560" w:firstLineChars="200"/>
        <w:jc w:val="left"/>
        <w:rPr>
          <w:rFonts w:ascii="仿宋_GB2312" w:hAnsi="宋体" w:eastAsia="仿宋_GB2312" w:cs="Times New Roman"/>
          <w:sz w:val="28"/>
          <w:szCs w:val="28"/>
          <w:u w:val="single"/>
        </w:rPr>
      </w:pPr>
      <w:r>
        <w:rPr>
          <w:rFonts w:hint="eastAsia" w:ascii="仿宋_GB2312" w:hAnsi="宋体" w:eastAsia="仿宋_GB2312" w:cs="Times New Roman"/>
          <w:sz w:val="28"/>
          <w:szCs w:val="28"/>
        </w:rPr>
        <w:t>联系邮箱：</w:t>
      </w:r>
      <w:r>
        <w:rPr>
          <w:rFonts w:hint="eastAsia" w:ascii="仿宋_GB2312" w:hAnsi="宋体" w:eastAsia="仿宋_GB2312" w:cs="Times New Roman"/>
          <w:sz w:val="28"/>
          <w:szCs w:val="28"/>
          <w:u w:val="single"/>
        </w:rPr>
        <w:t xml:space="preserve">                                                  </w:t>
      </w:r>
    </w:p>
    <w:p w14:paraId="4241A52A">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p>
    <w:p w14:paraId="0B91D187">
      <w:pPr>
        <w:tabs>
          <w:tab w:val="left" w:pos="360"/>
        </w:tabs>
        <w:adjustRightInd w:val="0"/>
        <w:snapToGrid w:val="0"/>
        <w:spacing w:line="56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乙方（承包人）：</w:t>
      </w:r>
      <w:r>
        <w:rPr>
          <w:rFonts w:hint="eastAsia" w:ascii="仿宋_GB2312" w:hAnsi="宋体" w:eastAsia="仿宋_GB2312" w:cs="Times New Roman"/>
          <w:sz w:val="28"/>
          <w:szCs w:val="28"/>
          <w:u w:val="single"/>
        </w:rPr>
        <w:t xml:space="preserve">                                             </w:t>
      </w:r>
    </w:p>
    <w:p w14:paraId="22AFD05A">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地址：</w:t>
      </w:r>
      <w:r>
        <w:rPr>
          <w:rFonts w:hint="eastAsia" w:ascii="仿宋_GB2312" w:hAnsi="宋体" w:eastAsia="仿宋_GB2312" w:cs="Times New Roman"/>
          <w:sz w:val="28"/>
          <w:szCs w:val="28"/>
          <w:u w:val="single"/>
        </w:rPr>
        <w:t xml:space="preserve">                                                      </w:t>
      </w:r>
    </w:p>
    <w:p w14:paraId="721BF9AF">
      <w:pPr>
        <w:adjustRightInd w:val="0"/>
        <w:snapToGrid w:val="0"/>
        <w:spacing w:line="560" w:lineRule="exact"/>
        <w:ind w:firstLine="560" w:firstLineChars="200"/>
        <w:jc w:val="left"/>
        <w:rPr>
          <w:rFonts w:ascii="仿宋_GB2312" w:hAnsi="宋体" w:eastAsia="仿宋_GB2312" w:cs="Times New Roman"/>
          <w:spacing w:val="10"/>
          <w:sz w:val="28"/>
          <w:szCs w:val="28"/>
        </w:rPr>
      </w:pPr>
      <w:r>
        <w:rPr>
          <w:rFonts w:hint="eastAsia" w:ascii="仿宋_GB2312" w:hAnsi="宋体" w:eastAsia="仿宋_GB2312" w:cs="Times New Roman"/>
          <w:sz w:val="28"/>
          <w:szCs w:val="28"/>
        </w:rPr>
        <w:t>法定代表人/负责人：</w:t>
      </w:r>
      <w:r>
        <w:rPr>
          <w:rFonts w:hint="eastAsia" w:ascii="仿宋_GB2312" w:hAnsi="宋体" w:eastAsia="仿宋_GB2312" w:cs="Times New Roman"/>
          <w:sz w:val="28"/>
          <w:szCs w:val="28"/>
          <w:u w:val="single"/>
        </w:rPr>
        <w:t xml:space="preserve">                                         </w:t>
      </w:r>
    </w:p>
    <w:p w14:paraId="6236DAB9">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联系人：</w:t>
      </w:r>
      <w:r>
        <w:rPr>
          <w:rFonts w:hint="eastAsia" w:ascii="仿宋_GB2312" w:hAnsi="宋体" w:eastAsia="仿宋_GB2312" w:cs="Times New Roman"/>
          <w:sz w:val="28"/>
          <w:szCs w:val="28"/>
          <w:u w:val="single"/>
        </w:rPr>
        <w:t xml:space="preserve">                                                    </w:t>
      </w:r>
    </w:p>
    <w:p w14:paraId="483BC32C">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联系电话：</w:t>
      </w:r>
      <w:r>
        <w:rPr>
          <w:rFonts w:hint="eastAsia" w:ascii="仿宋_GB2312" w:hAnsi="宋体" w:eastAsia="仿宋_GB2312" w:cs="Times New Roman"/>
          <w:sz w:val="28"/>
          <w:szCs w:val="28"/>
          <w:u w:val="single"/>
        </w:rPr>
        <w:t xml:space="preserve">                                                  </w:t>
      </w:r>
    </w:p>
    <w:p w14:paraId="6B17AF50">
      <w:pPr>
        <w:tabs>
          <w:tab w:val="left" w:pos="36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联系邮箱：</w:t>
      </w:r>
      <w:r>
        <w:rPr>
          <w:rFonts w:hint="eastAsia" w:ascii="仿宋_GB2312" w:hAnsi="宋体" w:eastAsia="仿宋_GB2312" w:cs="Times New Roman"/>
          <w:sz w:val="28"/>
          <w:szCs w:val="28"/>
          <w:u w:val="single"/>
        </w:rPr>
        <w:t xml:space="preserve">                                                  </w:t>
      </w:r>
    </w:p>
    <w:p w14:paraId="71786D74">
      <w:pPr>
        <w:adjustRightInd w:val="0"/>
        <w:snapToGrid w:val="0"/>
        <w:spacing w:line="560" w:lineRule="exact"/>
        <w:jc w:val="left"/>
        <w:rPr>
          <w:rFonts w:ascii="仿宋_GB2312" w:hAnsi="Times New Roman" w:eastAsia="仿宋_GB2312" w:cs="Times New Roman"/>
          <w:sz w:val="28"/>
          <w:szCs w:val="28"/>
        </w:rPr>
      </w:pPr>
    </w:p>
    <w:p w14:paraId="7A41F9B0">
      <w:pPr>
        <w:tabs>
          <w:tab w:val="left" w:pos="360"/>
          <w:tab w:val="left" w:pos="720"/>
        </w:tabs>
        <w:adjustRightInd w:val="0"/>
        <w:snapToGrid w:val="0"/>
        <w:spacing w:line="560" w:lineRule="exact"/>
        <w:ind w:firstLine="560" w:firstLineChars="200"/>
        <w:jc w:val="left"/>
        <w:rPr>
          <w:rFonts w:ascii="仿宋_GB2312" w:hAnsi="Times New Roman" w:eastAsia="仿宋_GB2312" w:cs="Times New Roman"/>
          <w:bCs/>
          <w:sz w:val="28"/>
          <w:szCs w:val="28"/>
        </w:rPr>
      </w:pPr>
      <w:r>
        <w:rPr>
          <w:rFonts w:hint="eastAsia" w:ascii="仿宋_GB2312" w:hAnsi="宋体" w:eastAsia="仿宋_GB2312" w:cs="Times New Roman"/>
          <w:bCs/>
          <w:sz w:val="28"/>
          <w:szCs w:val="28"/>
        </w:rPr>
        <w:t>根据《中华人民共和国民法典》、《中华人民共和国建筑法》及有关法律规定，遵循平等、自愿、公平和诚实信用的原则，双方就工程施工及有关事项协商一致，共同达成如下协议。</w:t>
      </w:r>
    </w:p>
    <w:p w14:paraId="60E4B155">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第一条 工程概况</w:t>
      </w:r>
    </w:p>
    <w:p w14:paraId="15C5A55C">
      <w:pPr>
        <w:adjustRightInd w:val="0"/>
        <w:snapToGrid w:val="0"/>
        <w:spacing w:line="560" w:lineRule="exact"/>
        <w:ind w:firstLine="560" w:firstLineChars="200"/>
        <w:jc w:val="left"/>
        <w:rPr>
          <w:rFonts w:ascii="仿宋_GB2312" w:hAnsi="Times New Roman" w:eastAsia="仿宋_GB2312" w:cs="Times New Roman"/>
          <w:sz w:val="28"/>
          <w:szCs w:val="28"/>
          <w:u w:val="single"/>
        </w:rPr>
      </w:pPr>
      <w:r>
        <w:rPr>
          <w:rFonts w:hint="eastAsia" w:ascii="仿宋_GB2312" w:hAnsi="宋体" w:eastAsia="仿宋_GB2312" w:cs="Times New Roman"/>
          <w:sz w:val="28"/>
          <w:szCs w:val="28"/>
        </w:rPr>
        <w:t>1.1工程名称：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lang w:val="en-US" w:eastAsia="zh-CN"/>
        </w:rPr>
        <w:t>深圳华南城一期市场阳光棚</w:t>
      </w:r>
      <w:r>
        <w:rPr>
          <w:rFonts w:hint="eastAsia" w:ascii="仿宋_GB2312" w:hAnsi="宋体" w:eastAsia="仿宋_GB2312" w:cs="Times New Roman"/>
          <w:sz w:val="28"/>
          <w:szCs w:val="28"/>
          <w:u w:val="single"/>
        </w:rPr>
        <w:t>维修工程（以下简称“本工程”）</w:t>
      </w:r>
    </w:p>
    <w:p w14:paraId="0FA715FA">
      <w:pPr>
        <w:adjustRightInd w:val="0"/>
        <w:snapToGrid w:val="0"/>
        <w:spacing w:line="560" w:lineRule="exact"/>
        <w:ind w:firstLine="560" w:firstLineChars="200"/>
        <w:jc w:val="left"/>
        <w:rPr>
          <w:rFonts w:ascii="仿宋_GB2312" w:hAnsi="Times New Roman" w:eastAsia="仿宋_GB2312" w:cs="Times New Roman"/>
          <w:sz w:val="28"/>
          <w:szCs w:val="28"/>
          <w:u w:val="single"/>
        </w:rPr>
      </w:pPr>
      <w:r>
        <w:rPr>
          <w:rFonts w:hint="eastAsia" w:ascii="仿宋_GB2312" w:hAnsi="宋体" w:eastAsia="仿宋_GB2312" w:cs="Times New Roman"/>
          <w:sz w:val="28"/>
          <w:szCs w:val="28"/>
        </w:rPr>
        <w:t>1.2工程地点：</w:t>
      </w:r>
    </w:p>
    <w:p w14:paraId="2045DE7B">
      <w:pPr>
        <w:tabs>
          <w:tab w:val="left" w:pos="1620"/>
        </w:tabs>
        <w:spacing w:line="560" w:lineRule="exact"/>
        <w:ind w:firstLine="551" w:firstLineChars="197"/>
        <w:jc w:val="left"/>
        <w:rPr>
          <w:rFonts w:ascii="仿宋_GB2312" w:hAnsi="Times New Roman" w:eastAsia="仿宋_GB2312" w:cs="Times New Roman"/>
          <w:sz w:val="28"/>
          <w:szCs w:val="28"/>
          <w:u w:val="single"/>
        </w:rPr>
      </w:pPr>
      <w:r>
        <w:rPr>
          <w:rFonts w:hint="eastAsia" w:ascii="仿宋_GB2312" w:hAnsi="宋体" w:eastAsia="仿宋_GB2312" w:cs="Times New Roman"/>
          <w:sz w:val="28"/>
          <w:szCs w:val="28"/>
        </w:rPr>
        <w:t>1.3工程规模及特征：</w:t>
      </w:r>
    </w:p>
    <w:p w14:paraId="0E160859">
      <w:pPr>
        <w:adjustRightInd w:val="0"/>
        <w:snapToGrid w:val="0"/>
        <w:spacing w:line="560" w:lineRule="exact"/>
        <w:ind w:firstLine="560" w:firstLineChars="200"/>
        <w:jc w:val="left"/>
        <w:rPr>
          <w:rFonts w:ascii="仿宋_GB2312" w:hAnsi="Times New Roman" w:eastAsia="仿宋_GB2312" w:cs="宋体"/>
          <w:bCs/>
          <w:sz w:val="28"/>
          <w:szCs w:val="28"/>
        </w:rPr>
      </w:pPr>
      <w:r>
        <w:rPr>
          <w:rFonts w:hint="eastAsia" w:ascii="仿宋_GB2312" w:hAnsi="宋体" w:eastAsia="仿宋_GB2312" w:cs="宋体"/>
          <w:bCs/>
          <w:sz w:val="28"/>
          <w:szCs w:val="28"/>
        </w:rPr>
        <w:t>具体维修工程量及位置清单：</w:t>
      </w:r>
    </w:p>
    <w:p w14:paraId="74A94435">
      <w:pPr>
        <w:tabs>
          <w:tab w:val="left" w:pos="1620"/>
        </w:tabs>
        <w:spacing w:line="560" w:lineRule="exact"/>
        <w:ind w:firstLine="551" w:firstLineChars="197"/>
        <w:jc w:val="left"/>
        <w:rPr>
          <w:rFonts w:ascii="仿宋_GB2312" w:hAnsi="Times New Roman" w:eastAsia="仿宋_GB2312" w:cs="Times New Roman"/>
          <w:sz w:val="28"/>
          <w:szCs w:val="28"/>
        </w:rPr>
      </w:pPr>
      <w:r>
        <w:rPr>
          <w:rFonts w:hint="eastAsia" w:ascii="仿宋_GB2312" w:hAnsi="宋体" w:eastAsia="仿宋_GB2312" w:cs="宋体"/>
          <w:bCs/>
          <w:sz w:val="28"/>
          <w:szCs w:val="28"/>
        </w:rPr>
        <w:t>项目内容：</w:t>
      </w:r>
    </w:p>
    <w:p w14:paraId="7ACED2B0">
      <w:pPr>
        <w:tabs>
          <w:tab w:val="left" w:pos="1620"/>
        </w:tabs>
        <w:spacing w:line="560" w:lineRule="exact"/>
        <w:ind w:firstLine="551" w:firstLineChars="197"/>
        <w:jc w:val="left"/>
        <w:rPr>
          <w:rFonts w:ascii="仿宋_GB2312" w:hAnsi="宋体" w:eastAsia="仿宋_GB2312" w:cs="Times New Roman"/>
          <w:sz w:val="28"/>
          <w:szCs w:val="28"/>
        </w:rPr>
      </w:pPr>
      <w:r>
        <w:rPr>
          <w:rFonts w:hint="eastAsia" w:ascii="仿宋_GB2312" w:hAnsi="宋体" w:eastAsia="仿宋_GB2312" w:cs="Times New Roman"/>
          <w:sz w:val="28"/>
          <w:szCs w:val="28"/>
        </w:rPr>
        <w:t xml:space="preserve">1.4 </w:t>
      </w:r>
      <w:r>
        <w:rPr>
          <w:rFonts w:hint="eastAsia" w:ascii="仿宋_GB2312" w:hAnsi="Times New Roman" w:eastAsia="仿宋_GB2312" w:cs="Times New Roman"/>
          <w:sz w:val="28"/>
          <w:szCs w:val="28"/>
        </w:rPr>
        <w:t>维修</w:t>
      </w:r>
      <w:r>
        <w:rPr>
          <w:rFonts w:hint="eastAsia" w:ascii="仿宋_GB2312" w:hAnsi="宋体" w:eastAsia="仿宋_GB2312" w:cs="Times New Roman"/>
          <w:sz w:val="28"/>
          <w:szCs w:val="28"/>
        </w:rPr>
        <w:t>工程量清单：（详见附件3）</w:t>
      </w:r>
    </w:p>
    <w:tbl>
      <w:tblPr>
        <w:tblStyle w:val="38"/>
        <w:tblpPr w:leftFromText="180" w:rightFromText="180" w:vertAnchor="text" w:horzAnchor="page" w:tblpX="866" w:tblpY="595"/>
        <w:tblOverlap w:val="never"/>
        <w:tblW w:w="10916" w:type="dxa"/>
        <w:tblInd w:w="0" w:type="dxa"/>
        <w:tblLayout w:type="fixed"/>
        <w:tblCellMar>
          <w:top w:w="0" w:type="dxa"/>
          <w:left w:w="108" w:type="dxa"/>
          <w:bottom w:w="0" w:type="dxa"/>
          <w:right w:w="108" w:type="dxa"/>
        </w:tblCellMar>
      </w:tblPr>
      <w:tblGrid>
        <w:gridCol w:w="831"/>
        <w:gridCol w:w="1775"/>
        <w:gridCol w:w="4175"/>
        <w:gridCol w:w="1530"/>
        <w:gridCol w:w="1395"/>
        <w:gridCol w:w="1210"/>
      </w:tblGrid>
      <w:tr w14:paraId="627E0600">
        <w:tblPrEx>
          <w:tblCellMar>
            <w:top w:w="0" w:type="dxa"/>
            <w:left w:w="108" w:type="dxa"/>
            <w:bottom w:w="0" w:type="dxa"/>
            <w:right w:w="108" w:type="dxa"/>
          </w:tblCellMar>
        </w:tblPrEx>
        <w:trPr>
          <w:trHeight w:val="525" w:hRule="atLeast"/>
        </w:trPr>
        <w:tc>
          <w:tcPr>
            <w:tcW w:w="831" w:type="dxa"/>
            <w:tcBorders>
              <w:top w:val="single" w:color="auto" w:sz="4" w:space="0"/>
              <w:left w:val="single" w:color="auto" w:sz="4" w:space="0"/>
              <w:bottom w:val="single" w:color="auto" w:sz="4" w:space="0"/>
              <w:right w:val="single" w:color="auto" w:sz="4" w:space="0"/>
            </w:tcBorders>
            <w:vAlign w:val="center"/>
          </w:tcPr>
          <w:p w14:paraId="4991D3D6">
            <w:pPr>
              <w:widowControl/>
              <w:spacing w:line="560" w:lineRule="exact"/>
              <w:jc w:val="center"/>
              <w:rPr>
                <w:rFonts w:ascii="仿宋_GB2312" w:hAnsi="Times New Roman" w:eastAsia="仿宋_GB2312" w:cs="宋体"/>
                <w:bCs/>
                <w:kern w:val="0"/>
                <w:sz w:val="28"/>
                <w:szCs w:val="28"/>
              </w:rPr>
            </w:pPr>
            <w:r>
              <w:rPr>
                <w:rFonts w:hint="eastAsia" w:ascii="仿宋_GB2312" w:hAnsi="宋体" w:eastAsia="仿宋_GB2312" w:cs="宋体"/>
                <w:bCs/>
                <w:kern w:val="0"/>
                <w:sz w:val="28"/>
                <w:szCs w:val="28"/>
              </w:rPr>
              <w:t>序号</w:t>
            </w:r>
          </w:p>
        </w:tc>
        <w:tc>
          <w:tcPr>
            <w:tcW w:w="1775" w:type="dxa"/>
            <w:tcBorders>
              <w:top w:val="single" w:color="auto" w:sz="4" w:space="0"/>
              <w:left w:val="nil"/>
              <w:bottom w:val="single" w:color="auto" w:sz="4" w:space="0"/>
              <w:right w:val="single" w:color="auto" w:sz="4" w:space="0"/>
            </w:tcBorders>
            <w:vAlign w:val="center"/>
          </w:tcPr>
          <w:p w14:paraId="7A788C0F">
            <w:pPr>
              <w:widowControl/>
              <w:spacing w:line="560" w:lineRule="exact"/>
              <w:jc w:val="center"/>
              <w:rPr>
                <w:rFonts w:hint="eastAsia" w:ascii="仿宋_GB2312" w:eastAsia="仿宋_GB2312" w:cs="宋体"/>
                <w:bCs/>
                <w:kern w:val="0"/>
                <w:sz w:val="28"/>
                <w:szCs w:val="28"/>
                <w:lang w:val="en-US" w:eastAsia="zh-CN"/>
              </w:rPr>
            </w:pPr>
            <w:r>
              <w:rPr>
                <w:rFonts w:hint="eastAsia" w:ascii="仿宋_GB2312" w:eastAsia="仿宋_GB2312" w:cs="宋体"/>
                <w:bCs/>
                <w:kern w:val="0"/>
                <w:sz w:val="28"/>
                <w:szCs w:val="28"/>
                <w:lang w:val="en-US" w:eastAsia="zh-CN"/>
              </w:rPr>
              <w:t>项目名称</w:t>
            </w:r>
          </w:p>
        </w:tc>
        <w:tc>
          <w:tcPr>
            <w:tcW w:w="4175" w:type="dxa"/>
            <w:tcBorders>
              <w:top w:val="single" w:color="auto" w:sz="4" w:space="0"/>
              <w:left w:val="nil"/>
              <w:bottom w:val="single" w:color="auto" w:sz="4" w:space="0"/>
              <w:right w:val="single" w:color="auto" w:sz="4" w:space="0"/>
            </w:tcBorders>
            <w:vAlign w:val="center"/>
          </w:tcPr>
          <w:p w14:paraId="7DA21B0C">
            <w:pPr>
              <w:widowControl/>
              <w:spacing w:line="560" w:lineRule="exact"/>
              <w:jc w:val="center"/>
              <w:rPr>
                <w:rFonts w:hint="eastAsia" w:ascii="仿宋_GB2312" w:eastAsia="仿宋_GB2312" w:cs="宋体"/>
                <w:bCs/>
                <w:kern w:val="0"/>
                <w:sz w:val="28"/>
                <w:szCs w:val="28"/>
                <w:lang w:val="en-US" w:eastAsia="zh-CN"/>
              </w:rPr>
            </w:pPr>
            <w:r>
              <w:rPr>
                <w:rFonts w:hint="eastAsia" w:ascii="仿宋_GB2312" w:eastAsia="仿宋_GB2312" w:cs="宋体"/>
                <w:bCs/>
                <w:kern w:val="0"/>
                <w:sz w:val="28"/>
                <w:szCs w:val="28"/>
                <w:lang w:val="en-US" w:eastAsia="zh-CN"/>
              </w:rPr>
              <w:t>项目特征</w:t>
            </w:r>
          </w:p>
        </w:tc>
        <w:tc>
          <w:tcPr>
            <w:tcW w:w="1530" w:type="dxa"/>
            <w:tcBorders>
              <w:top w:val="single" w:color="auto" w:sz="4" w:space="0"/>
              <w:left w:val="nil"/>
              <w:bottom w:val="single" w:color="auto" w:sz="4" w:space="0"/>
              <w:right w:val="single" w:color="auto" w:sz="4" w:space="0"/>
            </w:tcBorders>
            <w:vAlign w:val="center"/>
          </w:tcPr>
          <w:p w14:paraId="4EF4A873">
            <w:pPr>
              <w:widowControl/>
              <w:spacing w:line="560" w:lineRule="exact"/>
              <w:jc w:val="center"/>
              <w:rPr>
                <w:rFonts w:hint="default" w:ascii="仿宋_GB2312" w:hAnsi="Times New Roman" w:eastAsia="仿宋_GB2312" w:cs="宋体"/>
                <w:bCs/>
                <w:kern w:val="0"/>
                <w:sz w:val="28"/>
                <w:szCs w:val="28"/>
                <w:lang w:val="en-US" w:eastAsia="zh-CN"/>
              </w:rPr>
            </w:pPr>
            <w:r>
              <w:rPr>
                <w:rFonts w:hint="eastAsia" w:ascii="仿宋_GB2312" w:eastAsia="仿宋_GB2312" w:cs="宋体"/>
                <w:bCs/>
                <w:kern w:val="0"/>
                <w:sz w:val="28"/>
                <w:szCs w:val="28"/>
                <w:lang w:val="en-US" w:eastAsia="zh-CN"/>
              </w:rPr>
              <w:t>计量单位</w:t>
            </w:r>
          </w:p>
        </w:tc>
        <w:tc>
          <w:tcPr>
            <w:tcW w:w="1395" w:type="dxa"/>
            <w:tcBorders>
              <w:top w:val="single" w:color="auto" w:sz="4" w:space="0"/>
              <w:left w:val="nil"/>
              <w:bottom w:val="single" w:color="auto" w:sz="4" w:space="0"/>
              <w:right w:val="single" w:color="auto" w:sz="4" w:space="0"/>
            </w:tcBorders>
            <w:vAlign w:val="center"/>
          </w:tcPr>
          <w:p w14:paraId="691A8863">
            <w:pPr>
              <w:widowControl/>
              <w:spacing w:line="560" w:lineRule="exact"/>
              <w:jc w:val="center"/>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数量</w:t>
            </w:r>
          </w:p>
        </w:tc>
        <w:tc>
          <w:tcPr>
            <w:tcW w:w="1210" w:type="dxa"/>
            <w:tcBorders>
              <w:top w:val="single" w:color="auto" w:sz="4" w:space="0"/>
              <w:left w:val="nil"/>
              <w:bottom w:val="single" w:color="auto" w:sz="4" w:space="0"/>
              <w:right w:val="single" w:color="auto" w:sz="4" w:space="0"/>
            </w:tcBorders>
            <w:vAlign w:val="center"/>
          </w:tcPr>
          <w:p w14:paraId="1AEF1ED1">
            <w:pPr>
              <w:widowControl/>
              <w:spacing w:line="560" w:lineRule="exact"/>
              <w:jc w:val="center"/>
              <w:rPr>
                <w:rFonts w:ascii="仿宋_GB2312" w:hAnsi="Times New Roman" w:eastAsia="仿宋_GB2312" w:cs="宋体"/>
                <w:bCs/>
                <w:kern w:val="0"/>
                <w:sz w:val="28"/>
                <w:szCs w:val="28"/>
              </w:rPr>
            </w:pPr>
            <w:r>
              <w:rPr>
                <w:rFonts w:hint="eastAsia" w:ascii="仿宋_GB2312" w:hAnsi="宋体" w:eastAsia="仿宋_GB2312" w:cs="宋体"/>
                <w:bCs/>
                <w:kern w:val="0"/>
                <w:sz w:val="28"/>
                <w:szCs w:val="28"/>
              </w:rPr>
              <w:t>备注</w:t>
            </w:r>
          </w:p>
        </w:tc>
      </w:tr>
      <w:tr w14:paraId="27AC2C23">
        <w:tblPrEx>
          <w:tblCellMar>
            <w:top w:w="0" w:type="dxa"/>
            <w:left w:w="108" w:type="dxa"/>
            <w:bottom w:w="0" w:type="dxa"/>
            <w:right w:w="108" w:type="dxa"/>
          </w:tblCellMar>
        </w:tblPrEx>
        <w:trPr>
          <w:trHeight w:val="452" w:hRule="atLeast"/>
        </w:trPr>
        <w:tc>
          <w:tcPr>
            <w:tcW w:w="831" w:type="dxa"/>
            <w:tcBorders>
              <w:top w:val="single" w:color="auto" w:sz="4" w:space="0"/>
              <w:left w:val="single" w:color="auto" w:sz="4" w:space="0"/>
              <w:bottom w:val="single" w:color="auto" w:sz="4" w:space="0"/>
              <w:right w:val="single" w:color="auto" w:sz="4" w:space="0"/>
            </w:tcBorders>
            <w:vAlign w:val="center"/>
          </w:tcPr>
          <w:p w14:paraId="17B9122F">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1</w:t>
            </w:r>
          </w:p>
        </w:tc>
        <w:tc>
          <w:tcPr>
            <w:tcW w:w="1775" w:type="dxa"/>
            <w:tcBorders>
              <w:top w:val="single" w:color="auto" w:sz="4" w:space="0"/>
              <w:left w:val="nil"/>
              <w:bottom w:val="single" w:color="auto" w:sz="4" w:space="0"/>
              <w:right w:val="nil"/>
            </w:tcBorders>
            <w:vAlign w:val="center"/>
          </w:tcPr>
          <w:p w14:paraId="31FB42EE">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一期市场阳光板更换</w:t>
            </w:r>
          </w:p>
        </w:tc>
        <w:tc>
          <w:tcPr>
            <w:tcW w:w="4175" w:type="dxa"/>
            <w:tcBorders>
              <w:top w:val="single" w:color="auto" w:sz="4" w:space="0"/>
              <w:left w:val="single" w:color="auto" w:sz="4" w:space="0"/>
              <w:bottom w:val="single" w:color="auto" w:sz="4" w:space="0"/>
              <w:right w:val="single" w:color="auto" w:sz="4" w:space="0"/>
            </w:tcBorders>
            <w:vAlign w:val="center"/>
          </w:tcPr>
          <w:p w14:paraId="0F438499">
            <w:pPr>
              <w:adjustRightInd w:val="0"/>
              <w:snapToGrid w:val="0"/>
              <w:spacing w:line="560" w:lineRule="exact"/>
              <w:ind w:firstLine="420" w:firstLineChars="200"/>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(1)雨棚阳光板品种、规格：2100*13100mm,厚度10mm 三层阳光板，每平方米重量不少于1.6kg.</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(2)防火性能：不低于难燃B1等级。</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(3)质保年限：10年。</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(4)含铝压条、铝收口件、胶条、专用螺丝、密封胶等所有紧固、收口、密封辅材；</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（5）含旧阳光板拆除、清理及垃圾外运，新阳光板安装、固定、密封、收口等全部工序；</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(6)所有材料性能、技术参数符合现行国家、行业及地方相关标准、规范及设计要求。</w:t>
            </w:r>
          </w:p>
        </w:tc>
        <w:tc>
          <w:tcPr>
            <w:tcW w:w="1530" w:type="dxa"/>
            <w:tcBorders>
              <w:top w:val="single" w:color="auto" w:sz="4" w:space="0"/>
              <w:left w:val="nil"/>
              <w:bottom w:val="single" w:color="auto" w:sz="4" w:space="0"/>
              <w:right w:val="single" w:color="auto" w:sz="4" w:space="0"/>
            </w:tcBorders>
            <w:vAlign w:val="center"/>
          </w:tcPr>
          <w:p w14:paraId="2C4296C8">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块</w:t>
            </w:r>
          </w:p>
        </w:tc>
        <w:tc>
          <w:tcPr>
            <w:tcW w:w="1395" w:type="dxa"/>
            <w:tcBorders>
              <w:top w:val="single" w:color="auto" w:sz="4" w:space="0"/>
              <w:left w:val="nil"/>
              <w:bottom w:val="single" w:color="auto" w:sz="4" w:space="0"/>
              <w:right w:val="single" w:color="auto" w:sz="4" w:space="0"/>
            </w:tcBorders>
            <w:vAlign w:val="center"/>
          </w:tcPr>
          <w:p w14:paraId="119F4F26">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707.00</w:t>
            </w:r>
          </w:p>
        </w:tc>
        <w:tc>
          <w:tcPr>
            <w:tcW w:w="1210" w:type="dxa"/>
            <w:tcBorders>
              <w:top w:val="single" w:color="auto" w:sz="4" w:space="0"/>
              <w:left w:val="nil"/>
              <w:bottom w:val="single" w:color="auto" w:sz="4" w:space="0"/>
              <w:right w:val="single" w:color="auto" w:sz="4" w:space="0"/>
            </w:tcBorders>
            <w:vAlign w:val="center"/>
          </w:tcPr>
          <w:p w14:paraId="18C808B6">
            <w:pPr>
              <w:adjustRightInd w:val="0"/>
              <w:snapToGrid w:val="0"/>
              <w:spacing w:line="560" w:lineRule="exact"/>
              <w:ind w:firstLine="420" w:firstLineChars="200"/>
              <w:jc w:val="center"/>
              <w:rPr>
                <w:rFonts w:hint="eastAsia" w:ascii="仿宋_GB2312" w:hAnsi="宋体" w:eastAsia="仿宋_GB2312" w:cs="宋体"/>
                <w:bCs/>
                <w:sz w:val="21"/>
                <w:szCs w:val="21"/>
              </w:rPr>
            </w:pPr>
          </w:p>
        </w:tc>
      </w:tr>
      <w:tr w14:paraId="453ED035">
        <w:tblPrEx>
          <w:tblCellMar>
            <w:top w:w="0" w:type="dxa"/>
            <w:left w:w="108" w:type="dxa"/>
            <w:bottom w:w="0" w:type="dxa"/>
            <w:right w:w="108" w:type="dxa"/>
          </w:tblCellMar>
        </w:tblPrEx>
        <w:trPr>
          <w:trHeight w:val="452" w:hRule="atLeast"/>
        </w:trPr>
        <w:tc>
          <w:tcPr>
            <w:tcW w:w="831" w:type="dxa"/>
            <w:tcBorders>
              <w:top w:val="single" w:color="auto" w:sz="4" w:space="0"/>
              <w:left w:val="single" w:color="auto" w:sz="4" w:space="0"/>
              <w:bottom w:val="single" w:color="auto" w:sz="4" w:space="0"/>
              <w:right w:val="single" w:color="auto" w:sz="4" w:space="0"/>
            </w:tcBorders>
            <w:vAlign w:val="center"/>
          </w:tcPr>
          <w:p w14:paraId="1326118F">
            <w:pPr>
              <w:adjustRightInd w:val="0"/>
              <w:snapToGrid w:val="0"/>
              <w:spacing w:line="560" w:lineRule="exact"/>
              <w:jc w:val="center"/>
              <w:rPr>
                <w:rFonts w:hint="eastAsia" w:ascii="仿宋_GB2312" w:hAnsi="宋体" w:eastAsia="仿宋_GB2312" w:cs="宋体"/>
                <w:bCs/>
                <w:sz w:val="21"/>
                <w:szCs w:val="21"/>
                <w:lang w:val="en-US" w:eastAsia="zh-CN"/>
              </w:rPr>
            </w:pPr>
            <w:r>
              <w:rPr>
                <w:rFonts w:hint="eastAsia" w:ascii="仿宋_GB2312" w:hAnsi="宋体" w:eastAsia="仿宋_GB2312" w:cs="宋体"/>
                <w:bCs/>
                <w:sz w:val="21"/>
                <w:szCs w:val="21"/>
                <w:lang w:val="en-US" w:eastAsia="zh-CN"/>
              </w:rPr>
              <w:t>2</w:t>
            </w:r>
          </w:p>
        </w:tc>
        <w:tc>
          <w:tcPr>
            <w:tcW w:w="1775" w:type="dxa"/>
            <w:tcBorders>
              <w:top w:val="single" w:color="auto" w:sz="4" w:space="0"/>
              <w:left w:val="nil"/>
              <w:bottom w:val="single" w:color="auto" w:sz="4" w:space="0"/>
              <w:right w:val="nil"/>
            </w:tcBorders>
            <w:vAlign w:val="center"/>
          </w:tcPr>
          <w:p w14:paraId="367C626F">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一期市场钢结构加固</w:t>
            </w:r>
          </w:p>
        </w:tc>
        <w:tc>
          <w:tcPr>
            <w:tcW w:w="4175" w:type="dxa"/>
            <w:tcBorders>
              <w:top w:val="single" w:color="auto" w:sz="4" w:space="0"/>
              <w:left w:val="single" w:color="auto" w:sz="4" w:space="0"/>
              <w:bottom w:val="single" w:color="auto" w:sz="4" w:space="0"/>
              <w:right w:val="single" w:color="auto" w:sz="4" w:space="0"/>
            </w:tcBorders>
            <w:vAlign w:val="center"/>
          </w:tcPr>
          <w:p w14:paraId="5CD8FABD">
            <w:pPr>
              <w:adjustRightInd w:val="0"/>
              <w:snapToGrid w:val="0"/>
              <w:spacing w:line="560" w:lineRule="exact"/>
              <w:ind w:firstLine="420" w:firstLineChars="200"/>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1、矩形管、圆管等各型号钢结构材料，包含旧钢管拆除</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2、焊缝及钢管面层涂刷防腐防锈漆及面漆</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满足设计、规范、施工、验收要求</w:t>
            </w:r>
          </w:p>
        </w:tc>
        <w:tc>
          <w:tcPr>
            <w:tcW w:w="1530" w:type="dxa"/>
            <w:tcBorders>
              <w:top w:val="single" w:color="auto" w:sz="4" w:space="0"/>
              <w:left w:val="nil"/>
              <w:bottom w:val="single" w:color="auto" w:sz="4" w:space="0"/>
              <w:right w:val="single" w:color="auto" w:sz="4" w:space="0"/>
            </w:tcBorders>
            <w:vAlign w:val="center"/>
          </w:tcPr>
          <w:p w14:paraId="0B180A44">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t</w:t>
            </w:r>
          </w:p>
        </w:tc>
        <w:tc>
          <w:tcPr>
            <w:tcW w:w="1395" w:type="dxa"/>
            <w:tcBorders>
              <w:top w:val="single" w:color="auto" w:sz="4" w:space="0"/>
              <w:left w:val="nil"/>
              <w:bottom w:val="single" w:color="auto" w:sz="4" w:space="0"/>
              <w:right w:val="single" w:color="auto" w:sz="4" w:space="0"/>
            </w:tcBorders>
            <w:vAlign w:val="center"/>
          </w:tcPr>
          <w:p w14:paraId="344E91DE">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5.78</w:t>
            </w:r>
          </w:p>
        </w:tc>
        <w:tc>
          <w:tcPr>
            <w:tcW w:w="1210" w:type="dxa"/>
            <w:tcBorders>
              <w:top w:val="single" w:color="auto" w:sz="4" w:space="0"/>
              <w:left w:val="nil"/>
              <w:bottom w:val="single" w:color="auto" w:sz="4" w:space="0"/>
              <w:right w:val="single" w:color="auto" w:sz="4" w:space="0"/>
            </w:tcBorders>
            <w:vAlign w:val="center"/>
          </w:tcPr>
          <w:p w14:paraId="5F72A5AC">
            <w:pPr>
              <w:adjustRightInd w:val="0"/>
              <w:snapToGrid w:val="0"/>
              <w:spacing w:line="560" w:lineRule="exact"/>
              <w:ind w:firstLine="420" w:firstLineChars="200"/>
              <w:jc w:val="center"/>
              <w:rPr>
                <w:rFonts w:hint="eastAsia" w:ascii="仿宋_GB2312" w:hAnsi="宋体" w:eastAsia="仿宋_GB2312" w:cs="宋体"/>
                <w:bCs/>
                <w:sz w:val="21"/>
                <w:szCs w:val="21"/>
              </w:rPr>
            </w:pPr>
          </w:p>
        </w:tc>
      </w:tr>
      <w:tr w14:paraId="453F6073">
        <w:tblPrEx>
          <w:tblCellMar>
            <w:top w:w="0" w:type="dxa"/>
            <w:left w:w="108" w:type="dxa"/>
            <w:bottom w:w="0" w:type="dxa"/>
            <w:right w:w="108" w:type="dxa"/>
          </w:tblCellMar>
        </w:tblPrEx>
        <w:trPr>
          <w:trHeight w:val="452" w:hRule="atLeast"/>
        </w:trPr>
        <w:tc>
          <w:tcPr>
            <w:tcW w:w="831" w:type="dxa"/>
            <w:tcBorders>
              <w:top w:val="single" w:color="auto" w:sz="4" w:space="0"/>
              <w:left w:val="single" w:color="auto" w:sz="4" w:space="0"/>
              <w:bottom w:val="single" w:color="auto" w:sz="4" w:space="0"/>
              <w:right w:val="single" w:color="auto" w:sz="4" w:space="0"/>
            </w:tcBorders>
            <w:vAlign w:val="center"/>
          </w:tcPr>
          <w:p w14:paraId="4EBBA08F">
            <w:pPr>
              <w:adjustRightInd w:val="0"/>
              <w:snapToGrid w:val="0"/>
              <w:spacing w:line="560" w:lineRule="exact"/>
              <w:jc w:val="center"/>
              <w:rPr>
                <w:rFonts w:hint="eastAsia" w:ascii="仿宋_GB2312" w:hAnsi="宋体" w:eastAsia="仿宋_GB2312" w:cs="宋体"/>
                <w:bCs/>
                <w:sz w:val="21"/>
                <w:szCs w:val="21"/>
                <w:lang w:val="en-US" w:eastAsia="zh-CN"/>
              </w:rPr>
            </w:pPr>
            <w:r>
              <w:rPr>
                <w:rFonts w:hint="eastAsia" w:ascii="仿宋_GB2312" w:hAnsi="宋体" w:eastAsia="仿宋_GB2312" w:cs="宋体"/>
                <w:bCs/>
                <w:sz w:val="21"/>
                <w:szCs w:val="21"/>
                <w:lang w:val="en-US" w:eastAsia="zh-CN"/>
              </w:rPr>
              <w:t>3</w:t>
            </w:r>
          </w:p>
        </w:tc>
        <w:tc>
          <w:tcPr>
            <w:tcW w:w="1775" w:type="dxa"/>
            <w:tcBorders>
              <w:top w:val="single" w:color="auto" w:sz="4" w:space="0"/>
              <w:left w:val="nil"/>
              <w:bottom w:val="single" w:color="auto" w:sz="4" w:space="0"/>
              <w:right w:val="nil"/>
            </w:tcBorders>
            <w:vAlign w:val="center"/>
          </w:tcPr>
          <w:p w14:paraId="49747A4C">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一期市场钢结构修复</w:t>
            </w:r>
          </w:p>
        </w:tc>
        <w:tc>
          <w:tcPr>
            <w:tcW w:w="4175" w:type="dxa"/>
            <w:tcBorders>
              <w:top w:val="single" w:color="auto" w:sz="4" w:space="0"/>
              <w:left w:val="single" w:color="auto" w:sz="4" w:space="0"/>
              <w:bottom w:val="single" w:color="auto" w:sz="4" w:space="0"/>
              <w:right w:val="single" w:color="auto" w:sz="4" w:space="0"/>
            </w:tcBorders>
            <w:vAlign w:val="top"/>
          </w:tcPr>
          <w:p w14:paraId="3CAB7AE9">
            <w:pPr>
              <w:adjustRightInd w:val="0"/>
              <w:snapToGrid w:val="0"/>
              <w:spacing w:line="560" w:lineRule="exact"/>
              <w:ind w:firstLine="420" w:firstLineChars="200"/>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(1)旧涂层与锈蚀清除。</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(2)刷涂防腐防锈涂料,底漆面漆各两面。</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(3)所有材料性能、技术参数符合现行国家、行业及地方相关标准、规范及设计要求。</w:t>
            </w:r>
          </w:p>
        </w:tc>
        <w:tc>
          <w:tcPr>
            <w:tcW w:w="1530" w:type="dxa"/>
            <w:tcBorders>
              <w:top w:val="single" w:color="auto" w:sz="4" w:space="0"/>
              <w:left w:val="nil"/>
              <w:bottom w:val="single" w:color="auto" w:sz="4" w:space="0"/>
              <w:right w:val="single" w:color="auto" w:sz="4" w:space="0"/>
            </w:tcBorders>
            <w:vAlign w:val="center"/>
          </w:tcPr>
          <w:p w14:paraId="3B50D417">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w:t>
            </w:r>
          </w:p>
        </w:tc>
        <w:tc>
          <w:tcPr>
            <w:tcW w:w="1395" w:type="dxa"/>
            <w:tcBorders>
              <w:top w:val="single" w:color="auto" w:sz="4" w:space="0"/>
              <w:left w:val="nil"/>
              <w:bottom w:val="single" w:color="auto" w:sz="4" w:space="0"/>
              <w:right w:val="single" w:color="auto" w:sz="4" w:space="0"/>
            </w:tcBorders>
            <w:vAlign w:val="center"/>
          </w:tcPr>
          <w:p w14:paraId="79E1D954">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1925.00</w:t>
            </w:r>
          </w:p>
        </w:tc>
        <w:tc>
          <w:tcPr>
            <w:tcW w:w="1210" w:type="dxa"/>
            <w:tcBorders>
              <w:top w:val="single" w:color="auto" w:sz="4" w:space="0"/>
              <w:left w:val="nil"/>
              <w:bottom w:val="single" w:color="auto" w:sz="4" w:space="0"/>
              <w:right w:val="single" w:color="auto" w:sz="4" w:space="0"/>
            </w:tcBorders>
            <w:vAlign w:val="center"/>
          </w:tcPr>
          <w:p w14:paraId="3F6EFEAA">
            <w:pPr>
              <w:adjustRightInd w:val="0"/>
              <w:snapToGrid w:val="0"/>
              <w:spacing w:line="560" w:lineRule="exact"/>
              <w:ind w:firstLine="420" w:firstLineChars="200"/>
              <w:jc w:val="center"/>
              <w:rPr>
                <w:rFonts w:hint="eastAsia" w:ascii="仿宋_GB2312" w:hAnsi="宋体" w:eastAsia="仿宋_GB2312" w:cs="宋体"/>
                <w:bCs/>
                <w:sz w:val="21"/>
                <w:szCs w:val="21"/>
              </w:rPr>
            </w:pPr>
          </w:p>
        </w:tc>
      </w:tr>
      <w:tr w14:paraId="5F1F0E65">
        <w:tblPrEx>
          <w:tblCellMar>
            <w:top w:w="0" w:type="dxa"/>
            <w:left w:w="108" w:type="dxa"/>
            <w:bottom w:w="0" w:type="dxa"/>
            <w:right w:w="108" w:type="dxa"/>
          </w:tblCellMar>
        </w:tblPrEx>
        <w:trPr>
          <w:trHeight w:val="452" w:hRule="atLeast"/>
        </w:trPr>
        <w:tc>
          <w:tcPr>
            <w:tcW w:w="831" w:type="dxa"/>
            <w:tcBorders>
              <w:top w:val="single" w:color="auto" w:sz="4" w:space="0"/>
              <w:left w:val="single" w:color="auto" w:sz="4" w:space="0"/>
              <w:bottom w:val="single" w:color="auto" w:sz="4" w:space="0"/>
              <w:right w:val="single" w:color="auto" w:sz="4" w:space="0"/>
            </w:tcBorders>
            <w:vAlign w:val="center"/>
          </w:tcPr>
          <w:p w14:paraId="5AAF951D">
            <w:pPr>
              <w:adjustRightInd w:val="0"/>
              <w:snapToGrid w:val="0"/>
              <w:spacing w:line="560" w:lineRule="exact"/>
              <w:jc w:val="center"/>
              <w:rPr>
                <w:rFonts w:hint="eastAsia" w:ascii="仿宋_GB2312" w:hAnsi="宋体" w:eastAsia="仿宋_GB2312" w:cs="宋体"/>
                <w:bCs/>
                <w:sz w:val="21"/>
                <w:szCs w:val="21"/>
                <w:lang w:val="en-US" w:eastAsia="zh-CN"/>
              </w:rPr>
            </w:pPr>
            <w:r>
              <w:rPr>
                <w:rFonts w:hint="eastAsia" w:ascii="仿宋_GB2312" w:hAnsi="宋体" w:eastAsia="仿宋_GB2312" w:cs="宋体"/>
                <w:bCs/>
                <w:sz w:val="21"/>
                <w:szCs w:val="21"/>
                <w:lang w:val="en-US" w:eastAsia="zh-CN"/>
              </w:rPr>
              <w:t>4</w:t>
            </w:r>
          </w:p>
        </w:tc>
        <w:tc>
          <w:tcPr>
            <w:tcW w:w="1775" w:type="dxa"/>
            <w:tcBorders>
              <w:top w:val="single" w:color="auto" w:sz="4" w:space="0"/>
              <w:left w:val="nil"/>
              <w:bottom w:val="single" w:color="auto" w:sz="4" w:space="0"/>
              <w:right w:val="nil"/>
            </w:tcBorders>
            <w:vAlign w:val="center"/>
          </w:tcPr>
          <w:p w14:paraId="56F40471">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施工围挡</w:t>
            </w:r>
          </w:p>
        </w:tc>
        <w:tc>
          <w:tcPr>
            <w:tcW w:w="4175" w:type="dxa"/>
            <w:tcBorders>
              <w:top w:val="single" w:color="auto" w:sz="4" w:space="0"/>
              <w:left w:val="single" w:color="auto" w:sz="4" w:space="0"/>
              <w:bottom w:val="single" w:color="auto" w:sz="4" w:space="0"/>
              <w:right w:val="single" w:color="auto" w:sz="4" w:space="0"/>
            </w:tcBorders>
            <w:vAlign w:val="center"/>
          </w:tcPr>
          <w:p w14:paraId="08A3F9B6">
            <w:pPr>
              <w:adjustRightInd w:val="0"/>
              <w:snapToGrid w:val="0"/>
              <w:spacing w:line="560" w:lineRule="exact"/>
              <w:ind w:firstLine="420" w:firstLineChars="200"/>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1、夹心泡沫彩钢板围挡</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2、背侧角钢支撑</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3、高度1.8m-2.5m</w:t>
            </w:r>
            <w:r>
              <w:rPr>
                <w:rFonts w:hint="eastAsia" w:ascii="仿宋_GB2312" w:hAnsi="宋体" w:eastAsia="仿宋_GB2312" w:cs="宋体"/>
                <w:bCs/>
                <w:sz w:val="21"/>
                <w:szCs w:val="21"/>
                <w:lang w:val="en-US" w:eastAsia="zh-CN"/>
              </w:rPr>
              <w:br w:type="textWrapping"/>
            </w:r>
            <w:r>
              <w:rPr>
                <w:rFonts w:hint="eastAsia" w:ascii="仿宋_GB2312" w:hAnsi="宋体" w:eastAsia="仿宋_GB2312" w:cs="宋体"/>
                <w:bCs/>
                <w:sz w:val="21"/>
                <w:szCs w:val="21"/>
                <w:lang w:val="en-US" w:eastAsia="zh-CN"/>
              </w:rPr>
              <w:t>满足设计、规范、施工、验收要求</w:t>
            </w:r>
          </w:p>
        </w:tc>
        <w:tc>
          <w:tcPr>
            <w:tcW w:w="1530" w:type="dxa"/>
            <w:tcBorders>
              <w:top w:val="single" w:color="auto" w:sz="4" w:space="0"/>
              <w:left w:val="nil"/>
              <w:bottom w:val="single" w:color="auto" w:sz="4" w:space="0"/>
              <w:right w:val="single" w:color="auto" w:sz="4" w:space="0"/>
            </w:tcBorders>
            <w:vAlign w:val="center"/>
          </w:tcPr>
          <w:p w14:paraId="08832F8F">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m</w:t>
            </w:r>
          </w:p>
        </w:tc>
        <w:tc>
          <w:tcPr>
            <w:tcW w:w="1395" w:type="dxa"/>
            <w:tcBorders>
              <w:top w:val="single" w:color="auto" w:sz="4" w:space="0"/>
              <w:left w:val="nil"/>
              <w:bottom w:val="single" w:color="auto" w:sz="4" w:space="0"/>
              <w:right w:val="single" w:color="auto" w:sz="4" w:space="0"/>
            </w:tcBorders>
            <w:vAlign w:val="center"/>
          </w:tcPr>
          <w:p w14:paraId="2BF0E26E">
            <w:pPr>
              <w:adjustRightInd w:val="0"/>
              <w:snapToGrid w:val="0"/>
              <w:spacing w:line="560" w:lineRule="exact"/>
              <w:jc w:val="center"/>
              <w:rPr>
                <w:rFonts w:hint="eastAsia" w:ascii="仿宋_GB2312" w:hAnsi="宋体" w:eastAsia="仿宋_GB2312" w:cs="宋体"/>
                <w:bCs/>
                <w:sz w:val="21"/>
                <w:szCs w:val="21"/>
              </w:rPr>
            </w:pPr>
            <w:r>
              <w:rPr>
                <w:rFonts w:hint="eastAsia" w:ascii="仿宋_GB2312" w:hAnsi="宋体" w:eastAsia="仿宋_GB2312" w:cs="宋体"/>
                <w:bCs/>
                <w:sz w:val="21"/>
                <w:szCs w:val="21"/>
                <w:lang w:val="en-US" w:eastAsia="zh-CN"/>
              </w:rPr>
              <w:t>18.00</w:t>
            </w:r>
          </w:p>
        </w:tc>
        <w:tc>
          <w:tcPr>
            <w:tcW w:w="1210" w:type="dxa"/>
            <w:tcBorders>
              <w:top w:val="single" w:color="auto" w:sz="4" w:space="0"/>
              <w:left w:val="nil"/>
              <w:bottom w:val="single" w:color="auto" w:sz="4" w:space="0"/>
              <w:right w:val="single" w:color="auto" w:sz="4" w:space="0"/>
            </w:tcBorders>
            <w:vAlign w:val="center"/>
          </w:tcPr>
          <w:p w14:paraId="6933EE47">
            <w:pPr>
              <w:adjustRightInd w:val="0"/>
              <w:snapToGrid w:val="0"/>
              <w:spacing w:line="560" w:lineRule="exact"/>
              <w:ind w:firstLine="420" w:firstLineChars="200"/>
              <w:jc w:val="center"/>
              <w:rPr>
                <w:rFonts w:hint="eastAsia" w:ascii="仿宋_GB2312" w:hAnsi="宋体" w:eastAsia="仿宋_GB2312" w:cs="宋体"/>
                <w:bCs/>
                <w:sz w:val="21"/>
                <w:szCs w:val="21"/>
              </w:rPr>
            </w:pPr>
          </w:p>
        </w:tc>
      </w:tr>
    </w:tbl>
    <w:p w14:paraId="58762B63">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第二条 承包范围</w:t>
      </w:r>
    </w:p>
    <w:p w14:paraId="6967845E">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2.1甲方提供的点位规划示意图以及其他书面文件确定的承包范围。</w:t>
      </w:r>
    </w:p>
    <w:p w14:paraId="00F29078">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2.2 乙方应根据工程情况可以要求甲方提供相关的技术性资料，具体如下（包含但不限于以下）：</w:t>
      </w:r>
    </w:p>
    <w:p w14:paraId="6D1D44A2">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2.2.1施工范围内局部原施工竣工图；</w:t>
      </w:r>
    </w:p>
    <w:p w14:paraId="799FBA91">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2.2.2原安装设施设备技术参数为施工维修提供依据；</w:t>
      </w:r>
    </w:p>
    <w:p w14:paraId="6A854582">
      <w:pPr>
        <w:adjustRightInd w:val="0"/>
        <w:snapToGrid w:val="0"/>
        <w:spacing w:line="560" w:lineRule="exact"/>
        <w:ind w:firstLine="560" w:firstLineChars="200"/>
        <w:jc w:val="left"/>
        <w:rPr>
          <w:rFonts w:ascii="仿宋_GB2312" w:hAnsi="宋体" w:eastAsia="仿宋_GB2312" w:cs="Times New Roman"/>
          <w:b/>
          <w:bCs/>
          <w:sz w:val="28"/>
          <w:szCs w:val="28"/>
        </w:rPr>
      </w:pPr>
      <w:r>
        <w:rPr>
          <w:rFonts w:hint="eastAsia" w:ascii="仿宋_GB2312" w:hAnsi="宋体" w:eastAsia="仿宋_GB2312" w:cs="Times New Roman"/>
          <w:sz w:val="28"/>
          <w:szCs w:val="28"/>
        </w:rPr>
        <w:t>2.3甲方有权根据零星工程项目维修过程中的实际情况调整乙方工程承包维修范围，最终的维修工程量以验收合格签字认可的工程量为准，并据此结算，乙方不得以任何理由拒绝。</w:t>
      </w:r>
    </w:p>
    <w:p w14:paraId="307694C1">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第三条 合同价款及承包方式</w:t>
      </w:r>
    </w:p>
    <w:p w14:paraId="04B3BDD0">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本项目实行以下</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款计价方式：</w:t>
      </w:r>
    </w:p>
    <w:p w14:paraId="33F958AF">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3.1总价包干</w:t>
      </w:r>
    </w:p>
    <w:p w14:paraId="2157F249">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3.1.1本工程采用总价包干，包干总价为人民币：大写</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，小写￥</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。其中：税率</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，不含税价款</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元，增值税税额 </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元。</w:t>
      </w:r>
    </w:p>
    <w:p w14:paraId="447525A6">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3.1.2合同包干总价已充分考虑各种风险，其他任何原因（但因甲方提出的变更除外）合同总价均不予调整。</w:t>
      </w:r>
    </w:p>
    <w:p w14:paraId="4C1FF601">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3.1.3乙方在报价时已充分了解维修项目及熟悉维修施工工艺和质量要求，维修施工不合理或不明确及乙方理解错误视为甲乙双方在招标过程中已澄清和明确，由此而产生的报价偏差责任均由乙方承担。</w:t>
      </w:r>
    </w:p>
    <w:p w14:paraId="35E8E30C">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3.1.4乙方应对报价书中全费用综合单价及合价的准确性负责，若报价书中出现报价错误，乙方无权向甲方索赔，投标报价书中缺漏的工程内容视为已包含在其他项目内，不再另行计价。</w:t>
      </w:r>
    </w:p>
    <w:p w14:paraId="7E930D93">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3.1.5任何因忽视或误解工程现场情况而导致的费用增加或工期延长由乙方自行承担。</w:t>
      </w:r>
    </w:p>
    <w:p w14:paraId="41324F6F">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3.1.6本工程为专项工程承包，实行包工包料承包方式。即包工包料、包质量、包安全、包工期、包文明施工、包施工措施、包赶工、包调试、包竣工验收、包保险、包保修。</w:t>
      </w:r>
    </w:p>
    <w:p w14:paraId="5736B26C">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3.1.7本合同价款为在本合同明确的工期内、按照本合同约定的质量、完成本合同委托施工范围内所有工程项目的人工费、材料费、机械费、各项措施费、文明施工费、管理费、利润、税金等所有相关费用。除本合同约定的价款外，甲方无须为实现本合同项下权益再向乙方或第三方支付其它任何款项。</w:t>
      </w:r>
    </w:p>
    <w:p w14:paraId="37191FA4">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3.1.8无论何种原因引起的本工程的人工、主要材料及机械使用等价格发生波动时，合同价款不作调整。</w:t>
      </w:r>
    </w:p>
    <w:p w14:paraId="11F1CF4A">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 单价包干</w:t>
      </w:r>
    </w:p>
    <w:p w14:paraId="72438730">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3.2.1本项目实行全费用综合单价包干。合同暂定总价为人民币：大写</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，小写￥</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。其中：税率</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，不含税价款</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元，增值税税额</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元。</w:t>
      </w:r>
    </w:p>
    <w:p w14:paraId="0FE91BA7">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包干单价及暂定工程量详见附件 3 。</w:t>
      </w:r>
    </w:p>
    <w:p w14:paraId="5CB0A332">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3.2.2该包干单价包括但不限于：人工费、材料费、辅料费、机械费、运输费、安装费、原材料检测费、各种措施费、规费、利润、各种税费及风险费等乙方为完成合同约定承包范围所需的全部费用。在合同履行期间，各项费用的价格（本合同另有约定的除外）不因任何因素而调整。</w:t>
      </w:r>
    </w:p>
    <w:p w14:paraId="15058C0D">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3.2.3 设计变更、现场签证不再另外计取措施费。</w:t>
      </w:r>
    </w:p>
    <w:p w14:paraId="0A381FF9">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3.2.4 在合同履行期间，包干单价及包干措施费不因以下任何因素而调整：</w:t>
      </w:r>
    </w:p>
    <w:p w14:paraId="5C81159E">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3.2.4.1 市场材料价格、人工价格、机械设备购置或租赁价格、政府收费等各种因素造成的价格增减变动的；</w:t>
      </w:r>
    </w:p>
    <w:p w14:paraId="5880E481">
      <w:pPr>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3.2.4.2 本工程施工中遇到或克服各种困难和风险引起的费用增减变动的。</w:t>
      </w:r>
    </w:p>
    <w:p w14:paraId="343A0ACD">
      <w:pPr>
        <w:adjustRightInd w:val="0"/>
        <w:snapToGrid w:val="0"/>
        <w:spacing w:line="560" w:lineRule="exact"/>
        <w:ind w:firstLine="560" w:firstLineChars="200"/>
        <w:jc w:val="left"/>
        <w:rPr>
          <w:rFonts w:ascii="仿宋_GB2312" w:hAnsi="宋体" w:eastAsia="仿宋_GB2312" w:cs="Times New Roman"/>
          <w:b/>
          <w:sz w:val="28"/>
          <w:szCs w:val="28"/>
        </w:rPr>
      </w:pPr>
      <w:r>
        <w:rPr>
          <w:rFonts w:hint="eastAsia" w:ascii="仿宋_GB2312" w:hAnsi="宋体" w:eastAsia="仿宋_GB2312" w:cs="Times New Roman"/>
          <w:sz w:val="28"/>
          <w:szCs w:val="28"/>
        </w:rPr>
        <w:t>3.2.5在合同履行期间，如国家调整增值税税率的，则自调整后的增值税税率正式实行之日起，剩余应付工程款中不含税价保持不变，含税价随着增值税税率的调整而调整，调整公式为：实际结算单价=报价书中各项单价/(1+合同约定的增值税税率)×(1+国家调整后的增值税税率)。</w:t>
      </w:r>
    </w:p>
    <w:p w14:paraId="3C022A6B">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第四条 工程质量要求</w:t>
      </w:r>
    </w:p>
    <w:p w14:paraId="2D558355">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4.1乙方必须严格按国家、行业和地方现行的质量标准及规范(以现行最高标准、最新规范为准)组织施工及验收，并保证承包范围内的工程质量达到上述标准及规范规定的工程质量合格标准。</w:t>
      </w:r>
    </w:p>
    <w:p w14:paraId="46BFA170">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4.2乙方对本工程的质量向甲方负责，其职责包括但不限于：</w:t>
      </w:r>
    </w:p>
    <w:p w14:paraId="5FDC6A40">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4.2.1编制施工技术方案，确定施工技术措施；</w:t>
      </w:r>
    </w:p>
    <w:p w14:paraId="5739523B">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4.2.2提供和组织足够的项目技术人员，检查和控制工程施工质量；</w:t>
      </w:r>
    </w:p>
    <w:p w14:paraId="6FC59505">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4.2.3控制施工所用的材料和工程设备，使其符合标准与规范、设计要求及合同约定的标准；</w:t>
      </w:r>
    </w:p>
    <w:p w14:paraId="2E1DF8AA">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4.2.4负责施工中出现质量问题或竣工验收不合格的返修工作；</w:t>
      </w:r>
    </w:p>
    <w:p w14:paraId="696041AB">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4.2.5参加工程的所有验收工作，包括隐蔽验收、中间验收、竣工验收；</w:t>
      </w:r>
    </w:p>
    <w:p w14:paraId="31F99F8E">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4.2.6承担质量保修期的工程保修责任；</w:t>
      </w:r>
    </w:p>
    <w:p w14:paraId="6047B033">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4.2.7其它工程质量责任。</w:t>
      </w:r>
    </w:p>
    <w:p w14:paraId="21E8137B">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4.3 因工程质量发生争议的，甲方有权单方委托有资质的工程质量检测机构进行鉴定，工程质量鉴定合格的，鉴定费用由甲方承担。工程质量鉴定不合格的，鉴定费用由乙方承担。</w:t>
      </w:r>
    </w:p>
    <w:p w14:paraId="53A8E580">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4.4 甲方有权对工程质量进行检查和检验，但不免除乙方按本合同约定应负的责任。</w:t>
      </w:r>
    </w:p>
    <w:p w14:paraId="366C15F4">
      <w:pPr>
        <w:adjustRightInd w:val="0"/>
        <w:snapToGrid w:val="0"/>
        <w:spacing w:line="560" w:lineRule="exact"/>
        <w:ind w:firstLine="480"/>
        <w:jc w:val="left"/>
        <w:rPr>
          <w:rFonts w:ascii="仿宋_GB2312" w:hAnsi="宋体" w:eastAsia="仿宋_GB2312" w:cs="Times New Roman"/>
          <w:sz w:val="28"/>
          <w:szCs w:val="28"/>
        </w:rPr>
      </w:pPr>
      <w:r>
        <w:rPr>
          <w:rFonts w:hint="eastAsia" w:ascii="仿宋_GB2312" w:hAnsi="宋体" w:eastAsia="仿宋_GB2312" w:cs="Times New Roman"/>
          <w:sz w:val="28"/>
          <w:szCs w:val="28"/>
        </w:rPr>
        <w:t>4.5维修工程的质量应达到施工装修的标准，施工单位的维修材料在维修前应及时报送材料合格证以及样品至甲方指定部门核查保存，对维修后外观质量不达标的以及维修本身质量不合格的项目不予验收通过，责令施工单位返工达到装修标准后予以验收，返工产生的所有费用均由乙方承担。</w:t>
      </w:r>
    </w:p>
    <w:p w14:paraId="26C0ADA8">
      <w:pPr>
        <w:adjustRightInd w:val="0"/>
        <w:snapToGrid w:val="0"/>
        <w:spacing w:line="560" w:lineRule="exact"/>
        <w:ind w:firstLine="48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4.6乙方应对施工质量严格把控，保证维修及时质量合格。如出现3次验收工程质量不合格情况即视为达不到合同约定的质量要求，甲方有权单方解除合同并拒绝支付工程款，以及要求乙方支付因此造成的额外损失费用乙方不得有任何异议。</w:t>
      </w:r>
    </w:p>
    <w:p w14:paraId="00353FE1">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第五条 合同工期</w:t>
      </w:r>
    </w:p>
    <w:p w14:paraId="134C56D4">
      <w:pPr>
        <w:adjustRightInd w:val="0"/>
        <w:snapToGrid w:val="0"/>
        <w:spacing w:line="560" w:lineRule="exact"/>
        <w:ind w:firstLine="560" w:firstLineChars="200"/>
        <w:jc w:val="left"/>
        <w:rPr>
          <w:rFonts w:ascii="仿宋_GB2312" w:hAnsi="Times New Roman" w:eastAsia="仿宋_GB2312" w:cs="Times New Roman"/>
          <w:sz w:val="28"/>
          <w:szCs w:val="28"/>
          <w:u w:val="single"/>
        </w:rPr>
      </w:pPr>
      <w:r>
        <w:rPr>
          <w:rFonts w:hint="eastAsia" w:ascii="仿宋_GB2312" w:hAnsi="宋体" w:eastAsia="仿宋_GB2312" w:cs="Times New Roman"/>
          <w:sz w:val="28"/>
          <w:szCs w:val="28"/>
        </w:rPr>
        <w:t>5.1开工日期：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14:paraId="0C0AEE81">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实际开工日期与合同约定开工日期不一致的，以甲方的开工令为准。</w:t>
      </w:r>
    </w:p>
    <w:p w14:paraId="7EA23111">
      <w:pPr>
        <w:adjustRightInd w:val="0"/>
        <w:snapToGrid w:val="0"/>
        <w:spacing w:line="560" w:lineRule="exact"/>
        <w:ind w:firstLine="560" w:firstLineChars="200"/>
        <w:jc w:val="left"/>
        <w:rPr>
          <w:rFonts w:ascii="仿宋_GB2312" w:hAnsi="Times New Roman" w:eastAsia="仿宋_GB2312" w:cs="Times New Roman"/>
          <w:sz w:val="28"/>
          <w:szCs w:val="28"/>
          <w:u w:val="single"/>
        </w:rPr>
      </w:pPr>
      <w:r>
        <w:rPr>
          <w:rFonts w:hint="eastAsia" w:ascii="仿宋_GB2312" w:hAnsi="宋体" w:eastAsia="仿宋_GB2312" w:cs="Times New Roman"/>
          <w:sz w:val="28"/>
          <w:szCs w:val="28"/>
        </w:rPr>
        <w:t>5.2竣工日期：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年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14:paraId="62D95C13">
      <w:pPr>
        <w:adjustRightInd w:val="0"/>
        <w:snapToGrid w:val="0"/>
        <w:spacing w:line="560" w:lineRule="exact"/>
        <w:ind w:firstLine="560" w:firstLineChars="200"/>
        <w:jc w:val="left"/>
        <w:rPr>
          <w:rFonts w:ascii="仿宋_GB2312" w:hAnsi="Times New Roman" w:eastAsia="仿宋_GB2312" w:cs="Times New Roman"/>
          <w:sz w:val="28"/>
          <w:szCs w:val="28"/>
          <w:u w:val="single"/>
        </w:rPr>
      </w:pPr>
      <w:r>
        <w:rPr>
          <w:rFonts w:hint="eastAsia" w:ascii="仿宋_GB2312" w:hAnsi="宋体" w:eastAsia="仿宋_GB2312" w:cs="Times New Roman"/>
          <w:sz w:val="28"/>
          <w:szCs w:val="28"/>
        </w:rPr>
        <w:t>5.3合同工期总日历天数：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日历天。本工程的所有工期均指日历天数，包括所有法定假期、休息日、冬雨季、暴风雨雾、高温等天气、各种分包工程工序配合所需时间及甲方指定分包单位延误的工作时间在内。</w:t>
      </w:r>
    </w:p>
    <w:p w14:paraId="41FC38DB">
      <w:pPr>
        <w:adjustRightInd w:val="0"/>
        <w:snapToGrid w:val="0"/>
        <w:spacing w:line="560" w:lineRule="exact"/>
        <w:ind w:firstLine="560" w:firstLineChars="200"/>
        <w:jc w:val="left"/>
        <w:rPr>
          <w:rFonts w:ascii="仿宋_GB2312" w:hAnsi="Times New Roman" w:eastAsia="仿宋_GB2312" w:cs="Times New Roman"/>
          <w:bCs/>
          <w:sz w:val="28"/>
          <w:szCs w:val="28"/>
        </w:rPr>
      </w:pPr>
      <w:r>
        <w:rPr>
          <w:rFonts w:hint="eastAsia" w:ascii="仿宋_GB2312" w:hAnsi="宋体" w:eastAsia="仿宋_GB2312" w:cs="Times New Roman"/>
          <w:bCs/>
          <w:sz w:val="28"/>
          <w:szCs w:val="28"/>
        </w:rPr>
        <w:t>5.4施工方案和进度计划</w:t>
      </w:r>
    </w:p>
    <w:p w14:paraId="3EEDC13A">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5.4.1乙方须在收到中标通知书或甲方确认维修函件之日起</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天内向甲方提交本工程最终确定的施工方案、施工进度计划（一式</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份），并经甲方书面审核批准后方可实施。甲方收到施工方案、施工进度计划后</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天内审核完毕或提出建议、要求和补充要求。甲方的建议和要求，不减轻、不免除乙方按照合同约定应承担的任何责任和应履行的任何义务。</w:t>
      </w:r>
    </w:p>
    <w:p w14:paraId="48E8A616">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5.4.2甲方按书面审核批准的进度计划、节点工期检查乙方的实际进度。若乙方未达到进度计划或甲方要求，乙方必须按甲方要求调整下一工序的进度计划，提出赶工措施，并报送甲方批准后严格执行，且甲方不向乙方支付赶工措施费。</w:t>
      </w:r>
    </w:p>
    <w:p w14:paraId="2BE624F1">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5.5工期承诺：本工程不计任何停工、窝工、误工及机械设备停置费用。乙方不得以任何原因或借口推卸延误工期的责任，也不能要求顺延工期，因甲方原因导致工程暂停的除外。</w:t>
      </w:r>
    </w:p>
    <w:p w14:paraId="1421969B">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第六条 材料和设备</w:t>
      </w:r>
    </w:p>
    <w:p w14:paraId="4B09B3F8">
      <w:pPr>
        <w:tabs>
          <w:tab w:val="left" w:pos="360"/>
          <w:tab w:val="left" w:pos="720"/>
        </w:tabs>
        <w:adjustRightInd w:val="0"/>
        <w:snapToGrid w:val="0"/>
        <w:spacing w:line="560" w:lineRule="exact"/>
        <w:ind w:firstLine="560" w:firstLineChars="200"/>
        <w:jc w:val="left"/>
        <w:outlineLvl w:val="0"/>
        <w:rPr>
          <w:rFonts w:ascii="仿宋_GB2312" w:hAnsi="Times New Roman" w:eastAsia="仿宋_GB2312" w:cs="Times New Roman"/>
          <w:bCs/>
          <w:sz w:val="28"/>
          <w:szCs w:val="28"/>
        </w:rPr>
      </w:pPr>
      <w:r>
        <w:rPr>
          <w:rFonts w:hint="eastAsia" w:ascii="仿宋_GB2312" w:hAnsi="宋体" w:eastAsia="仿宋_GB2312" w:cs="Times New Roman"/>
          <w:bCs/>
          <w:sz w:val="28"/>
          <w:szCs w:val="28"/>
        </w:rPr>
        <w:t>6.1甲方供应的材料和设备为无，由乙方负责施工和安装。</w:t>
      </w:r>
    </w:p>
    <w:p w14:paraId="6689AF62">
      <w:pPr>
        <w:tabs>
          <w:tab w:val="left" w:pos="360"/>
          <w:tab w:val="left" w:pos="720"/>
        </w:tabs>
        <w:adjustRightInd w:val="0"/>
        <w:snapToGrid w:val="0"/>
        <w:spacing w:line="560" w:lineRule="exact"/>
        <w:ind w:firstLine="560" w:firstLineChars="200"/>
        <w:jc w:val="left"/>
        <w:outlineLvl w:val="0"/>
        <w:rPr>
          <w:rFonts w:ascii="仿宋_GB2312" w:hAnsi="Times New Roman" w:eastAsia="仿宋_GB2312" w:cs="Times New Roman"/>
          <w:bCs/>
          <w:sz w:val="28"/>
          <w:szCs w:val="28"/>
        </w:rPr>
      </w:pPr>
      <w:r>
        <w:rPr>
          <w:rFonts w:hint="eastAsia" w:ascii="仿宋_GB2312" w:hAnsi="宋体" w:eastAsia="仿宋_GB2312" w:cs="Times New Roman"/>
          <w:bCs/>
          <w:sz w:val="28"/>
          <w:szCs w:val="28"/>
        </w:rPr>
        <w:t>6.2乙方采购的材料和设备详见附件4</w:t>
      </w:r>
    </w:p>
    <w:p w14:paraId="7E7F8E8E">
      <w:pPr>
        <w:tabs>
          <w:tab w:val="left" w:pos="900"/>
          <w:tab w:val="left" w:pos="108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6.2.1乙方采购的所有材料的各项性能指标必须符合国家标准与规范、设计要求和合同约定。乙方在采购的材料设备运到施工现场后</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小时内书面通知甲方，甲方有权对该材料设备的数量、外包装等进行初步验收，该等验收不免除乙方应承担的产品质量责任。</w:t>
      </w:r>
    </w:p>
    <w:p w14:paraId="42DEBE11">
      <w:pPr>
        <w:tabs>
          <w:tab w:val="left" w:pos="900"/>
          <w:tab w:val="left" w:pos="108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6.2.2乙方自行采购的材料、设备必须符合甲方审核确认的乙方施工图预算书中选定的品牌、品质、规格、型号、质量和技术规范等要求，必须向甲方提供厂家批号、出厂合格证、质量检验书等证明资料。否则，一经发现，不论何时，乙方必须在甲方规定的限期内把相关材料、设备清运出施工现场；已经使用的，应当拆除，并重新采购符合要求的产品，因此而产生的费用和损失由乙方承担，工期不予顺延。若材料、设备无法拆除更换的，乙方应按不符合合同约定的材料、设备的实际金额双倍向甲方支付违约金。</w:t>
      </w:r>
    </w:p>
    <w:p w14:paraId="48B96BB6">
      <w:pPr>
        <w:tabs>
          <w:tab w:val="left" w:pos="900"/>
          <w:tab w:val="left" w:pos="108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如果确因市场供应的原因，乙方需变更本合同约定的材料、设备品牌、品质、规格、型号的，须事先书面报请甲方批准，变更的原则是同等级、同质量、同价格代换，否则视同乙方选用不合格的材料、设备。若代换的材料设备价格确需调整，则价格高的不调增，价格低的相应调减。</w:t>
      </w:r>
    </w:p>
    <w:p w14:paraId="204E0D7F">
      <w:pPr>
        <w:tabs>
          <w:tab w:val="left" w:pos="900"/>
          <w:tab w:val="left" w:pos="108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（2）如果乙方采购的材料、设备存在与国家强制性标准相冲突的质量缺陷，或存在有可能给甲方或第三方造成人身财产损害的其它质量问题，即使乙方所交付的材料、设备与所封存的样板相一致, 相关材料、设备仍属不合格，甲方有权要求修复或更换。</w:t>
      </w:r>
    </w:p>
    <w:p w14:paraId="49031F44">
      <w:pPr>
        <w:tabs>
          <w:tab w:val="left" w:pos="900"/>
          <w:tab w:val="left" w:pos="108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6.2.3甲方有权根据工程具体情况，变更材料设备的品牌，乙方应全力配合。变更品牌后的材料设备的结算价格由甲方书面确认，在合同结算款中进行相应的调整。乙方不得以任何借口拒绝接受甲方确定的品牌、价格而拖延订货，否则乙方应向甲方支付该批次材料设备价款的30%的违约金。如因此引起工期延误和材料价格变化的，乙方还须承担工期延误和市场价格变化导致费用增加的责任，并按合同约定向甲方支付工期延误违约金。</w:t>
      </w:r>
    </w:p>
    <w:p w14:paraId="3E2CFF4B">
      <w:pPr>
        <w:tabs>
          <w:tab w:val="left" w:pos="900"/>
          <w:tab w:val="left" w:pos="1080"/>
        </w:tabs>
        <w:adjustRightInd w:val="0"/>
        <w:snapToGrid w:val="0"/>
        <w:spacing w:line="56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6.2.4乙方购买的设备涉及监控系统的设备要兼容性强，不设置技术保护，后期服务到位（更换零配件便利，价格合理），系统的安全性高（设防远程窃取录像资料及存储资料的安全保护），视频录像存储设备保留视频时间至少1个月。</w:t>
      </w:r>
    </w:p>
    <w:p w14:paraId="2ED49354">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第七条 工程结算</w:t>
      </w:r>
    </w:p>
    <w:p w14:paraId="0BCB959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7.1工程量的确认</w:t>
      </w:r>
    </w:p>
    <w:p w14:paraId="3A8F95A4">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7.1.1本工程原则上不允许签证，施工过程中确因</w:t>
      </w:r>
      <w:r>
        <w:rPr>
          <w:rFonts w:hint="eastAsia" w:ascii="仿宋_GB2312" w:hAnsi="宋体" w:eastAsia="仿宋_GB2312" w:cs="宋体"/>
          <w:sz w:val="28"/>
          <w:szCs w:val="28"/>
        </w:rPr>
        <w:t>甲方合同清单漏项原因而引起的工程项目签证</w:t>
      </w:r>
      <w:r>
        <w:rPr>
          <w:rFonts w:hint="eastAsia" w:ascii="仿宋_GB2312" w:hAnsi="宋体" w:eastAsia="仿宋_GB2312" w:cs="Times New Roman"/>
          <w:spacing w:val="2"/>
          <w:sz w:val="28"/>
          <w:szCs w:val="28"/>
        </w:rPr>
        <w:t>，须有甲方书面签字确认文件并加盖印章，乙方方可进行签证，否则视为无签证。</w:t>
      </w:r>
    </w:p>
    <w:p w14:paraId="6D09D97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7.1.2签证部分结算工程量以乙方提交的经甲方确认的文件为计算依据，工程量单价以甲方认可的单价为准。</w:t>
      </w:r>
    </w:p>
    <w:p w14:paraId="1940D2B7">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7.2 结算原则</w:t>
      </w:r>
    </w:p>
    <w:p w14:paraId="19FD14F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7.2.1合同总价：</w:t>
      </w:r>
    </w:p>
    <w:p w14:paraId="3EE1A1B3">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（1）如采用总价包干方式，合同总价为3.1.1约定的合同包干总价或甲乙双方核对完成并以补充协议形式确认的包干总价（但实际未实施部分需扣除）；</w:t>
      </w:r>
    </w:p>
    <w:p w14:paraId="75E01BC4">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（2）如采用单价包干，合同总价为3.2条约定的固定全费用综合单价*实际完成项目及工程量，且不得超过3.2.1确定的合同暂定总价；</w:t>
      </w:r>
    </w:p>
    <w:p w14:paraId="62F4D6C1">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（3）因甲方主动提出的维修签证或者乙方提出签证，经甲方书面签字确认的除外。</w:t>
      </w:r>
    </w:p>
    <w:p w14:paraId="1C0E4F9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7.2.2 维修签证项目计价原则：</w:t>
      </w:r>
    </w:p>
    <w:p w14:paraId="7EB10F83">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施工过程中因甲方原因而提出的维修项目签证单价的确定按如下原则处理：</w:t>
      </w:r>
    </w:p>
    <w:p w14:paraId="199449E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（1）本合同投标报价书中已有单价的项目，按投标报价项目单价执行；</w:t>
      </w:r>
    </w:p>
    <w:p w14:paraId="395AEE69">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（2）投标报价书有类似项目的按类似项目综合单价调整；</w:t>
      </w:r>
    </w:p>
    <w:p w14:paraId="39CC4089">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（3）投标报价书中没有相同或类似综合单价的项目，参考本合同投标报价书的清单项目单价，经甲方审核确认签字后作为结算单价。</w:t>
      </w:r>
    </w:p>
    <w:p w14:paraId="2C89CE5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7.3 竣工结算</w:t>
      </w:r>
    </w:p>
    <w:p w14:paraId="5808F09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7.3.1乙方应在竣工验收合格之日后三天内将完整的竣工结算资料报送给甲方，因资料不全导致无法结算的乙方应承担相应责任。</w:t>
      </w:r>
    </w:p>
    <w:p w14:paraId="5E2A4BC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7.3.2乙方应按甲方的要求提交完整的竣工结算资料（包含但不限于施工合同复件，验收单，签字确认的工程量清单等）。</w:t>
      </w:r>
    </w:p>
    <w:p w14:paraId="5D09E70A">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7.3.3乙方未在规定时间内上报结算资料，甲方不进行维修项目的结算，若乙方既不能在规定时间内上报结算资料也不派员及时进行核对与确认，超过规定时间甲方将按有效资料进行结算并作为支付维修费用依据，乙方不得有异议。</w:t>
      </w:r>
    </w:p>
    <w:p w14:paraId="7A0A77D5">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第八条 合同价款支付</w:t>
      </w:r>
    </w:p>
    <w:p w14:paraId="618CA5AF">
      <w:pPr>
        <w:adjustRightInd w:val="0"/>
        <w:snapToGrid w:val="0"/>
        <w:spacing w:line="560" w:lineRule="exact"/>
        <w:ind w:firstLine="568" w:firstLineChars="200"/>
        <w:jc w:val="left"/>
        <w:rPr>
          <w:rFonts w:ascii="仿宋_GB2312" w:hAnsi="宋体" w:eastAsia="仿宋_GB2312"/>
          <w:color w:val="000000" w:themeColor="text1"/>
          <w:spacing w:val="2"/>
          <w:sz w:val="28"/>
          <w:szCs w:val="28"/>
          <w14:textFill>
            <w14:solidFill>
              <w14:schemeClr w14:val="tx1"/>
            </w14:solidFill>
          </w14:textFill>
        </w:rPr>
      </w:pPr>
      <w:r>
        <w:rPr>
          <w:rFonts w:hint="eastAsia" w:ascii="仿宋_GB2312" w:hAnsi="宋体" w:eastAsia="仿宋_GB2312" w:cs="Times New Roman"/>
          <w:spacing w:val="2"/>
          <w:sz w:val="28"/>
          <w:szCs w:val="28"/>
        </w:rPr>
        <w:t>8.1</w:t>
      </w:r>
      <w:r>
        <w:rPr>
          <w:rFonts w:hint="eastAsia" w:ascii="仿宋_GB2312" w:hAnsi="宋体" w:eastAsia="仿宋_GB2312"/>
          <w:color w:val="000000" w:themeColor="text1"/>
          <w:spacing w:val="2"/>
          <w:sz w:val="28"/>
          <w:szCs w:val="28"/>
          <w14:textFill>
            <w14:solidFill>
              <w14:schemeClr w14:val="tx1"/>
            </w14:solidFill>
          </w14:textFill>
        </w:rPr>
        <w:t>本合同生效后5个工作日内，乙方应向甲方开具金额为合同暂定总价3</w:t>
      </w:r>
      <w:r>
        <w:rPr>
          <w:rFonts w:ascii="仿宋_GB2312" w:hAnsi="宋体" w:eastAsia="仿宋_GB2312"/>
          <w:color w:val="000000" w:themeColor="text1"/>
          <w:spacing w:val="2"/>
          <w:sz w:val="28"/>
          <w:szCs w:val="28"/>
          <w14:textFill>
            <w14:solidFill>
              <w14:schemeClr w14:val="tx1"/>
            </w14:solidFill>
          </w14:textFill>
        </w:rPr>
        <w:t>0%的增值税专用发票（税率</w:t>
      </w:r>
      <w:r>
        <w:rPr>
          <w:rFonts w:hint="eastAsia" w:ascii="仿宋_GB2312" w:hAnsi="宋体" w:eastAsia="仿宋_GB2312"/>
          <w:color w:val="000000" w:themeColor="text1"/>
          <w:spacing w:val="2"/>
          <w:sz w:val="28"/>
          <w:szCs w:val="28"/>
          <w14:textFill>
            <w14:solidFill>
              <w14:schemeClr w14:val="tx1"/>
            </w14:solidFill>
          </w14:textFill>
        </w:rPr>
        <w:t>9</w:t>
      </w:r>
      <w:r>
        <w:rPr>
          <w:rFonts w:ascii="仿宋_GB2312" w:hAnsi="宋体" w:eastAsia="仿宋_GB2312"/>
          <w:color w:val="000000" w:themeColor="text1"/>
          <w:spacing w:val="2"/>
          <w:sz w:val="28"/>
          <w:szCs w:val="28"/>
          <w14:textFill>
            <w14:solidFill>
              <w14:schemeClr w14:val="tx1"/>
            </w14:solidFill>
          </w14:textFill>
        </w:rPr>
        <w:t>%）。甲方在收到乙方开具的符合要求的上述发票后</w:t>
      </w:r>
      <w:r>
        <w:rPr>
          <w:rFonts w:hint="eastAsia" w:ascii="仿宋_GB2312" w:hAnsi="宋体" w:eastAsia="仿宋_GB2312"/>
          <w:color w:val="000000" w:themeColor="text1"/>
          <w:spacing w:val="2"/>
          <w:sz w:val="28"/>
          <w:szCs w:val="28"/>
          <w14:textFill>
            <w14:solidFill>
              <w14:schemeClr w14:val="tx1"/>
            </w14:solidFill>
          </w14:textFill>
        </w:rPr>
        <w:t>2</w:t>
      </w:r>
      <w:r>
        <w:rPr>
          <w:rFonts w:ascii="仿宋_GB2312" w:hAnsi="宋体" w:eastAsia="仿宋_GB2312"/>
          <w:color w:val="000000" w:themeColor="text1"/>
          <w:spacing w:val="2"/>
          <w:sz w:val="28"/>
          <w:szCs w:val="28"/>
          <w14:textFill>
            <w14:solidFill>
              <w14:schemeClr w14:val="tx1"/>
            </w14:solidFill>
          </w14:textFill>
        </w:rPr>
        <w:t>0个工作日内，向乙方支付合同暂定总价</w:t>
      </w:r>
      <w:r>
        <w:rPr>
          <w:rFonts w:hint="eastAsia" w:ascii="仿宋_GB2312" w:hAnsi="宋体" w:eastAsia="仿宋_GB2312"/>
          <w:color w:val="000000" w:themeColor="text1"/>
          <w:spacing w:val="2"/>
          <w:sz w:val="28"/>
          <w:szCs w:val="28"/>
          <w14:textFill>
            <w14:solidFill>
              <w14:schemeClr w14:val="tx1"/>
            </w14:solidFill>
          </w14:textFill>
        </w:rPr>
        <w:t>3</w:t>
      </w:r>
      <w:r>
        <w:rPr>
          <w:rFonts w:ascii="仿宋_GB2312" w:hAnsi="宋体" w:eastAsia="仿宋_GB2312"/>
          <w:color w:val="000000" w:themeColor="text1"/>
          <w:spacing w:val="2"/>
          <w:sz w:val="28"/>
          <w:szCs w:val="28"/>
          <w14:textFill>
            <w14:solidFill>
              <w14:schemeClr w14:val="tx1"/>
            </w14:solidFill>
          </w14:textFill>
        </w:rPr>
        <w:t>0%的首期款，即人民币</w:t>
      </w:r>
      <w:r>
        <w:rPr>
          <w:rFonts w:hint="eastAsia" w:ascii="仿宋_GB2312" w:hAnsi="宋体" w:eastAsia="仿宋_GB2312"/>
          <w:color w:val="000000" w:themeColor="text1"/>
          <w:spacing w:val="2"/>
          <w:sz w:val="28"/>
          <w:szCs w:val="28"/>
          <w14:textFill>
            <w14:solidFill>
              <w14:schemeClr w14:val="tx1"/>
            </w14:solidFill>
          </w14:textFill>
        </w:rPr>
        <w:t xml:space="preserve">： </w:t>
      </w:r>
      <w:r>
        <w:rPr>
          <w:rFonts w:hint="eastAsia" w:ascii="仿宋_GB2312" w:hAnsi="宋体" w:eastAsia="仿宋_GB2312"/>
          <w:color w:val="000000" w:themeColor="text1"/>
          <w:spacing w:val="2"/>
          <w:sz w:val="28"/>
          <w:szCs w:val="28"/>
          <w:u w:val="single"/>
          <w:lang w:val="en-US" w:eastAsia="zh-CN"/>
          <w14:textFill>
            <w14:solidFill>
              <w14:schemeClr w14:val="tx1"/>
            </w14:solidFill>
          </w14:textFill>
        </w:rPr>
        <w:t xml:space="preserve">       </w:t>
      </w:r>
      <w:r>
        <w:rPr>
          <w:rFonts w:ascii="仿宋_GB2312" w:hAnsi="宋体" w:eastAsia="仿宋_GB2312"/>
          <w:color w:val="000000" w:themeColor="text1"/>
          <w:spacing w:val="2"/>
          <w:sz w:val="28"/>
          <w:szCs w:val="28"/>
          <w14:textFill>
            <w14:solidFill>
              <w14:schemeClr w14:val="tx1"/>
            </w14:solidFill>
          </w14:textFill>
        </w:rPr>
        <w:t xml:space="preserve"> 元（大写：人民币</w:t>
      </w:r>
      <w:r>
        <w:rPr>
          <w:rFonts w:hint="eastAsia" w:ascii="仿宋_GB2312" w:hAnsi="宋体" w:eastAsia="仿宋_GB2312"/>
          <w:color w:val="000000" w:themeColor="text1"/>
          <w:spacing w:val="2"/>
          <w:sz w:val="28"/>
          <w:szCs w:val="28"/>
          <w14:textFill>
            <w14:solidFill>
              <w14:schemeClr w14:val="tx1"/>
            </w14:solidFill>
          </w14:textFill>
        </w:rPr>
        <w:t xml:space="preserve"> </w:t>
      </w:r>
      <w:r>
        <w:rPr>
          <w:rFonts w:hint="eastAsia" w:ascii="仿宋_GB2312" w:hAnsi="宋体" w:eastAsia="仿宋_GB2312"/>
          <w:color w:val="000000" w:themeColor="text1"/>
          <w:spacing w:val="2"/>
          <w:sz w:val="28"/>
          <w:szCs w:val="28"/>
          <w:u w:val="single"/>
          <w:lang w:val="en-US" w:eastAsia="zh-CN"/>
          <w14:textFill>
            <w14:solidFill>
              <w14:schemeClr w14:val="tx1"/>
            </w14:solidFill>
          </w14:textFill>
        </w:rPr>
        <w:t xml:space="preserve">       </w:t>
      </w:r>
      <w:r>
        <w:rPr>
          <w:rFonts w:ascii="仿宋_GB2312" w:hAnsi="宋体" w:eastAsia="仿宋_GB2312"/>
          <w:color w:val="000000" w:themeColor="text1"/>
          <w:spacing w:val="2"/>
          <w:sz w:val="28"/>
          <w:szCs w:val="28"/>
          <w14:textFill>
            <w14:solidFill>
              <w14:schemeClr w14:val="tx1"/>
            </w14:solidFill>
          </w14:textFill>
        </w:rPr>
        <w:t xml:space="preserve"> ）。</w:t>
      </w:r>
    </w:p>
    <w:p w14:paraId="131480D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olor w:val="000000" w:themeColor="text1"/>
          <w:spacing w:val="2"/>
          <w:sz w:val="28"/>
          <w:szCs w:val="28"/>
          <w:lang w:val="en-US" w:eastAsia="zh-CN"/>
          <w14:textFill>
            <w14:solidFill>
              <w14:schemeClr w14:val="tx1"/>
            </w14:solidFill>
          </w14:textFill>
        </w:rPr>
        <w:t>8</w:t>
      </w:r>
      <w:r>
        <w:rPr>
          <w:rFonts w:ascii="仿宋_GB2312" w:hAnsi="宋体" w:eastAsia="仿宋_GB2312"/>
          <w:color w:val="000000" w:themeColor="text1"/>
          <w:spacing w:val="2"/>
          <w:sz w:val="28"/>
          <w:szCs w:val="28"/>
          <w14:textFill>
            <w14:solidFill>
              <w14:schemeClr w14:val="tx1"/>
            </w14:solidFill>
          </w14:textFill>
        </w:rPr>
        <w:t>.2当工程实际进度达到</w:t>
      </w:r>
      <w:r>
        <w:rPr>
          <w:rFonts w:hint="eastAsia" w:ascii="仿宋_GB2312" w:hAnsi="宋体" w:eastAsia="仿宋_GB2312"/>
          <w:color w:val="000000" w:themeColor="text1"/>
          <w:spacing w:val="2"/>
          <w:sz w:val="28"/>
          <w:szCs w:val="28"/>
          <w14:textFill>
            <w14:solidFill>
              <w14:schemeClr w14:val="tx1"/>
            </w14:solidFill>
          </w14:textFill>
        </w:rPr>
        <w:t>5</w:t>
      </w:r>
      <w:r>
        <w:rPr>
          <w:rFonts w:ascii="仿宋_GB2312" w:hAnsi="宋体" w:eastAsia="仿宋_GB2312"/>
          <w:color w:val="000000" w:themeColor="text1"/>
          <w:spacing w:val="2"/>
          <w:sz w:val="28"/>
          <w:szCs w:val="28"/>
          <w14:textFill>
            <w14:solidFill>
              <w14:schemeClr w14:val="tx1"/>
            </w14:solidFill>
          </w14:textFill>
        </w:rPr>
        <w:t>0%并经甲方书面验收合格后，乙方应在满足上述进度条件后</w:t>
      </w:r>
      <w:r>
        <w:rPr>
          <w:rFonts w:hint="eastAsia" w:ascii="仿宋_GB2312" w:hAnsi="宋体" w:eastAsia="仿宋_GB2312"/>
          <w:color w:val="000000" w:themeColor="text1"/>
          <w:spacing w:val="2"/>
          <w:sz w:val="28"/>
          <w:szCs w:val="28"/>
          <w14:textFill>
            <w14:solidFill>
              <w14:schemeClr w14:val="tx1"/>
            </w14:solidFill>
          </w14:textFill>
        </w:rPr>
        <w:t>5个工作日内，向甲方开具金额为合同暂定总价</w:t>
      </w:r>
      <w:r>
        <w:rPr>
          <w:rFonts w:ascii="仿宋_GB2312" w:hAnsi="宋体" w:eastAsia="仿宋_GB2312"/>
          <w:color w:val="000000" w:themeColor="text1"/>
          <w:spacing w:val="2"/>
          <w:sz w:val="28"/>
          <w:szCs w:val="28"/>
          <w14:textFill>
            <w14:solidFill>
              <w14:schemeClr w14:val="tx1"/>
            </w14:solidFill>
          </w14:textFill>
        </w:rPr>
        <w:t>20%的增值税专用发票（税率</w:t>
      </w:r>
      <w:r>
        <w:rPr>
          <w:rFonts w:hint="eastAsia" w:ascii="仿宋_GB2312" w:hAnsi="宋体" w:eastAsia="仿宋_GB2312"/>
          <w:color w:val="000000" w:themeColor="text1"/>
          <w:spacing w:val="2"/>
          <w:sz w:val="28"/>
          <w:szCs w:val="28"/>
          <w14:textFill>
            <w14:solidFill>
              <w14:schemeClr w14:val="tx1"/>
            </w14:solidFill>
          </w14:textFill>
        </w:rPr>
        <w:t>9</w:t>
      </w:r>
      <w:r>
        <w:rPr>
          <w:rFonts w:ascii="仿宋_GB2312" w:hAnsi="宋体" w:eastAsia="仿宋_GB2312"/>
          <w:color w:val="000000" w:themeColor="text1"/>
          <w:spacing w:val="2"/>
          <w:sz w:val="28"/>
          <w:szCs w:val="28"/>
          <w14:textFill>
            <w14:solidFill>
              <w14:schemeClr w14:val="tx1"/>
            </w14:solidFill>
          </w14:textFill>
        </w:rPr>
        <w:t>%）。甲方在收到乙方开具的符合要求的上述发票后</w:t>
      </w:r>
      <w:r>
        <w:rPr>
          <w:rFonts w:hint="eastAsia" w:ascii="仿宋_GB2312" w:hAnsi="宋体" w:eastAsia="仿宋_GB2312"/>
          <w:color w:val="000000" w:themeColor="text1"/>
          <w:spacing w:val="2"/>
          <w:sz w:val="28"/>
          <w:szCs w:val="28"/>
          <w14:textFill>
            <w14:solidFill>
              <w14:schemeClr w14:val="tx1"/>
            </w14:solidFill>
          </w14:textFill>
        </w:rPr>
        <w:t>2</w:t>
      </w:r>
      <w:r>
        <w:rPr>
          <w:rFonts w:ascii="仿宋_GB2312" w:hAnsi="宋体" w:eastAsia="仿宋_GB2312"/>
          <w:color w:val="000000" w:themeColor="text1"/>
          <w:spacing w:val="2"/>
          <w:sz w:val="28"/>
          <w:szCs w:val="28"/>
          <w14:textFill>
            <w14:solidFill>
              <w14:schemeClr w14:val="tx1"/>
            </w14:solidFill>
          </w14:textFill>
        </w:rPr>
        <w:t>0个工作日内，向乙方支付合同暂定总价20%的</w:t>
      </w:r>
      <w:r>
        <w:rPr>
          <w:rFonts w:hint="eastAsia" w:ascii="仿宋_GB2312" w:hAnsi="宋体" w:eastAsia="仿宋_GB2312"/>
          <w:color w:val="000000" w:themeColor="text1"/>
          <w:spacing w:val="2"/>
          <w:sz w:val="28"/>
          <w:szCs w:val="28"/>
          <w14:textFill>
            <w14:solidFill>
              <w14:schemeClr w14:val="tx1"/>
            </w14:solidFill>
          </w14:textFill>
        </w:rPr>
        <w:t>进度</w:t>
      </w:r>
      <w:r>
        <w:rPr>
          <w:rFonts w:ascii="仿宋_GB2312" w:hAnsi="宋体" w:eastAsia="仿宋_GB2312"/>
          <w:color w:val="000000" w:themeColor="text1"/>
          <w:spacing w:val="2"/>
          <w:sz w:val="28"/>
          <w:szCs w:val="28"/>
          <w14:textFill>
            <w14:solidFill>
              <w14:schemeClr w14:val="tx1"/>
            </w14:solidFill>
          </w14:textFill>
        </w:rPr>
        <w:t>款，即人民币</w:t>
      </w:r>
      <w:r>
        <w:rPr>
          <w:rFonts w:hint="eastAsia" w:ascii="仿宋_GB2312" w:hAnsi="宋体" w:eastAsia="仿宋_GB2312"/>
          <w:color w:val="000000" w:themeColor="text1"/>
          <w:spacing w:val="2"/>
          <w:sz w:val="28"/>
          <w:szCs w:val="28"/>
          <w14:textFill>
            <w14:solidFill>
              <w14:schemeClr w14:val="tx1"/>
            </w14:solidFill>
          </w14:textFill>
        </w:rPr>
        <w:t xml:space="preserve"> </w:t>
      </w:r>
      <w:r>
        <w:rPr>
          <w:rFonts w:hint="eastAsia" w:ascii="仿宋_GB2312" w:hAnsi="宋体" w:eastAsia="仿宋_GB2312"/>
          <w:color w:val="000000" w:themeColor="text1"/>
          <w:spacing w:val="2"/>
          <w:sz w:val="28"/>
          <w:szCs w:val="28"/>
          <w:u w:val="single"/>
          <w:lang w:val="en-US" w:eastAsia="zh-CN"/>
          <w14:textFill>
            <w14:solidFill>
              <w14:schemeClr w14:val="tx1"/>
            </w14:solidFill>
          </w14:textFill>
        </w:rPr>
        <w:t xml:space="preserve">       </w:t>
      </w:r>
      <w:r>
        <w:rPr>
          <w:rFonts w:ascii="仿宋_GB2312" w:hAnsi="宋体" w:eastAsia="仿宋_GB2312"/>
          <w:color w:val="000000" w:themeColor="text1"/>
          <w:spacing w:val="2"/>
          <w:sz w:val="28"/>
          <w:szCs w:val="28"/>
          <w14:textFill>
            <w14:solidFill>
              <w14:schemeClr w14:val="tx1"/>
            </w14:solidFill>
          </w14:textFill>
        </w:rPr>
        <w:t xml:space="preserve"> 元（大写：人民币</w:t>
      </w:r>
      <w:r>
        <w:rPr>
          <w:rFonts w:hint="eastAsia" w:ascii="仿宋_GB2312" w:hAnsi="宋体" w:eastAsia="仿宋_GB2312"/>
          <w:color w:val="000000" w:themeColor="text1"/>
          <w:spacing w:val="2"/>
          <w:sz w:val="28"/>
          <w:szCs w:val="28"/>
          <w14:textFill>
            <w14:solidFill>
              <w14:schemeClr w14:val="tx1"/>
            </w14:solidFill>
          </w14:textFill>
        </w:rPr>
        <w:t xml:space="preserve"> </w:t>
      </w:r>
      <w:r>
        <w:rPr>
          <w:rFonts w:hint="eastAsia" w:ascii="仿宋_GB2312" w:hAnsi="宋体" w:eastAsia="仿宋_GB2312"/>
          <w:color w:val="000000" w:themeColor="text1"/>
          <w:spacing w:val="2"/>
          <w:sz w:val="28"/>
          <w:szCs w:val="28"/>
          <w:u w:val="single"/>
          <w:lang w:val="en-US" w:eastAsia="zh-CN"/>
          <w14:textFill>
            <w14:solidFill>
              <w14:schemeClr w14:val="tx1"/>
            </w14:solidFill>
          </w14:textFill>
        </w:rPr>
        <w:t xml:space="preserve">          </w:t>
      </w:r>
      <w:r>
        <w:rPr>
          <w:rFonts w:ascii="仿宋_GB2312" w:hAnsi="宋体" w:eastAsia="仿宋_GB2312"/>
          <w:color w:val="000000" w:themeColor="text1"/>
          <w:spacing w:val="2"/>
          <w:sz w:val="28"/>
          <w:szCs w:val="28"/>
          <w14:textFill>
            <w14:solidFill>
              <w14:schemeClr w14:val="tx1"/>
            </w14:solidFill>
          </w14:textFill>
        </w:rPr>
        <w:t>）。</w:t>
      </w:r>
    </w:p>
    <w:p w14:paraId="63AB153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8.</w:t>
      </w:r>
      <w:r>
        <w:rPr>
          <w:rFonts w:hint="eastAsia" w:ascii="仿宋_GB2312" w:hAnsi="宋体" w:eastAsia="仿宋_GB2312" w:cs="Times New Roman"/>
          <w:spacing w:val="2"/>
          <w:sz w:val="28"/>
          <w:szCs w:val="28"/>
          <w:lang w:val="en-US" w:eastAsia="zh-CN"/>
        </w:rPr>
        <w:t>3</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全部维修工程完工并经甲方验收合格后，乙方向甲方提交维修工程竣工所有资料并经甲方审核完成20个工作日内，甲方书面确认最终维修金额。</w:t>
      </w:r>
    </w:p>
    <w:p w14:paraId="36C4DDA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8.</w:t>
      </w:r>
      <w:r>
        <w:rPr>
          <w:rFonts w:hint="eastAsia" w:ascii="仿宋_GB2312" w:hAnsi="宋体" w:eastAsia="仿宋_GB2312" w:cs="Times New Roman"/>
          <w:spacing w:val="2"/>
          <w:sz w:val="28"/>
          <w:szCs w:val="28"/>
          <w:lang w:val="en-US" w:eastAsia="zh-CN"/>
        </w:rPr>
        <w:t>4</w:t>
      </w:r>
      <w:r>
        <w:rPr>
          <w:rFonts w:hint="eastAsia" w:ascii="仿宋_GB2312" w:hAnsi="宋体" w:eastAsia="仿宋_GB2312" w:cs="Times New Roman"/>
          <w:spacing w:val="2"/>
          <w:sz w:val="28"/>
          <w:szCs w:val="28"/>
        </w:rPr>
        <w:t>在乙方对甲方书面确认的维修项目费用无异议后，应于3日内书面通知甲方。甲方应在收到书面通知书后的1个月内发起公司内部付款流程审批，甲方应不迟于该付款流程全部审批通过后的15个工作日内向乙方支付至维修工程结算价的95%，剩余款项为保修金。此时乙方需开具发票金额至结算总造价的100%。</w:t>
      </w:r>
    </w:p>
    <w:p w14:paraId="6D150099">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8.</w:t>
      </w:r>
      <w:r>
        <w:rPr>
          <w:rFonts w:hint="eastAsia" w:ascii="仿宋_GB2312" w:hAnsi="宋体" w:eastAsia="仿宋_GB2312" w:cs="Times New Roman"/>
          <w:spacing w:val="2"/>
          <w:sz w:val="28"/>
          <w:szCs w:val="28"/>
          <w:lang w:val="en-US" w:eastAsia="zh-CN"/>
        </w:rPr>
        <w:t>5</w:t>
      </w:r>
      <w:r>
        <w:rPr>
          <w:rFonts w:hint="eastAsia" w:ascii="仿宋_GB2312" w:hAnsi="宋体" w:eastAsia="仿宋_GB2312" w:cs="Times New Roman"/>
          <w:spacing w:val="2"/>
          <w:sz w:val="28"/>
          <w:szCs w:val="28"/>
        </w:rPr>
        <w:t>工程质量保修期，自全部工程竣工验收合格之日起算，在质保期内甲方有权先行扣除乙方因不及时维修维护所导致的费用及质量损失赔偿金等款项后，再将相应部分的工程质量保修金余额（如有）无息支付给乙方。</w:t>
      </w:r>
    </w:p>
    <w:p w14:paraId="04F3FCE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8.</w:t>
      </w:r>
      <w:r>
        <w:rPr>
          <w:rFonts w:hint="eastAsia" w:ascii="仿宋_GB2312" w:hAnsi="宋体" w:eastAsia="仿宋_GB2312" w:cs="Times New Roman"/>
          <w:spacing w:val="2"/>
          <w:sz w:val="28"/>
          <w:szCs w:val="28"/>
          <w:lang w:val="en-US" w:eastAsia="zh-CN"/>
        </w:rPr>
        <w:t>6</w:t>
      </w:r>
      <w:r>
        <w:rPr>
          <w:rFonts w:hint="eastAsia" w:ascii="仿宋_GB2312" w:hAnsi="宋体" w:eastAsia="仿宋_GB2312" w:cs="Times New Roman"/>
          <w:spacing w:val="2"/>
          <w:sz w:val="28"/>
          <w:szCs w:val="28"/>
        </w:rPr>
        <w:t>乙方迟延开具发票、无法开具发票或开具的发票金额低于约定金额的，甲方有权相应地迟延付款、暂不付款或按低于约定金额的发票金额来付款，并对此不承担任何责任。</w:t>
      </w:r>
    </w:p>
    <w:p w14:paraId="6FBDFBA3">
      <w:pPr>
        <w:adjustRightInd w:val="0"/>
        <w:snapToGrid w:val="0"/>
        <w:spacing w:line="560" w:lineRule="exact"/>
        <w:ind w:firstLine="568" w:firstLineChars="200"/>
        <w:jc w:val="left"/>
        <w:rPr>
          <w:rFonts w:ascii="仿宋_GB2312" w:hAnsi="宋体" w:eastAsia="仿宋_GB2312" w:cs="宋体"/>
          <w:sz w:val="28"/>
          <w:szCs w:val="28"/>
          <w:lang w:bidi="ar"/>
        </w:rPr>
      </w:pPr>
      <w:r>
        <w:rPr>
          <w:rFonts w:hint="eastAsia" w:ascii="仿宋_GB2312" w:hAnsi="宋体" w:eastAsia="仿宋_GB2312" w:cs="Times New Roman"/>
          <w:spacing w:val="2"/>
          <w:sz w:val="28"/>
          <w:szCs w:val="28"/>
        </w:rPr>
        <w:t>8.</w:t>
      </w:r>
      <w:r>
        <w:rPr>
          <w:rFonts w:hint="eastAsia" w:ascii="仿宋_GB2312" w:hAnsi="宋体" w:eastAsia="仿宋_GB2312" w:cs="Times New Roman"/>
          <w:spacing w:val="2"/>
          <w:sz w:val="28"/>
          <w:szCs w:val="28"/>
          <w:lang w:val="en-US" w:eastAsia="zh-CN"/>
        </w:rPr>
        <w:t>7</w:t>
      </w:r>
      <w:r>
        <w:rPr>
          <w:rFonts w:hint="eastAsia" w:ascii="仿宋_GB2312" w:hAnsi="宋体" w:eastAsia="仿宋_GB2312" w:cs="Times New Roman"/>
          <w:spacing w:val="2"/>
          <w:sz w:val="28"/>
          <w:szCs w:val="28"/>
        </w:rPr>
        <w:t>甲方在根据本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约定支付各期款项前，有权先行抵扣乙方于相应各期内应承担的违约金、赔偿金、保险费、水电费及其它费用，再支付抵扣后的余额。</w:t>
      </w:r>
      <w:r>
        <w:rPr>
          <w:rFonts w:hint="eastAsia" w:ascii="仿宋_GB2312" w:hAnsi="宋体" w:eastAsia="仿宋_GB2312" w:cs="宋体"/>
          <w:sz w:val="28"/>
          <w:szCs w:val="28"/>
          <w:lang w:bidi="ar"/>
        </w:rPr>
        <w:t>乙方按抵扣后的实际支付金额开具发票。</w:t>
      </w:r>
    </w:p>
    <w:p w14:paraId="55A52301">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8.</w:t>
      </w:r>
      <w:r>
        <w:rPr>
          <w:rFonts w:hint="eastAsia" w:ascii="仿宋_GB2312" w:hAnsi="宋体" w:eastAsia="仿宋_GB2312" w:cs="Times New Roman"/>
          <w:spacing w:val="2"/>
          <w:sz w:val="28"/>
          <w:szCs w:val="28"/>
          <w:lang w:val="en-US" w:eastAsia="zh-CN"/>
        </w:rPr>
        <w:t>8</w:t>
      </w:r>
      <w:r>
        <w:rPr>
          <w:rFonts w:hint="eastAsia" w:ascii="仿宋_GB2312" w:hAnsi="宋体" w:eastAsia="仿宋_GB2312" w:cs="Times New Roman"/>
          <w:spacing w:val="2"/>
          <w:sz w:val="28"/>
          <w:szCs w:val="28"/>
        </w:rPr>
        <w:t>甲方可将本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项下的所有款项支付至乙方以下银行账户，乙方应对该收款账户的真实性、合法性和一致性负责：</w:t>
      </w:r>
    </w:p>
    <w:p w14:paraId="2E11E1D3">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户名：</w:t>
      </w:r>
    </w:p>
    <w:p w14:paraId="399996D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开户银行：</w:t>
      </w:r>
    </w:p>
    <w:p w14:paraId="0979EE36">
      <w:pPr>
        <w:adjustRightInd w:val="0"/>
        <w:snapToGrid w:val="0"/>
        <w:spacing w:line="560" w:lineRule="exact"/>
        <w:ind w:firstLine="568" w:firstLineChars="200"/>
        <w:jc w:val="left"/>
        <w:rPr>
          <w:rFonts w:ascii="仿宋_GB2312" w:hAnsi="宋体" w:eastAsia="仿宋_GB2312" w:cs="Times New Roman"/>
          <w:sz w:val="28"/>
          <w:szCs w:val="28"/>
          <w:u w:val="single"/>
        </w:rPr>
      </w:pPr>
      <w:r>
        <w:rPr>
          <w:rFonts w:hint="eastAsia" w:ascii="仿宋_GB2312" w:hAnsi="宋体" w:eastAsia="仿宋_GB2312" w:cs="Times New Roman"/>
          <w:spacing w:val="2"/>
          <w:sz w:val="28"/>
          <w:szCs w:val="28"/>
        </w:rPr>
        <w:t>银行账号：</w:t>
      </w:r>
    </w:p>
    <w:p w14:paraId="78600AD7">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乙方保证提供的上述收款账户资料准确无误，且与甲方往来账款均通过此指定账号进行，如需变更，须提前五日书面形式通知甲方。否则</w:t>
      </w:r>
      <w:r>
        <w:rPr>
          <w:rFonts w:hint="eastAsia" w:ascii="仿宋_GB2312" w:hAnsi="Times New Roman" w:eastAsia="仿宋_GB2312" w:cs="Times New Roman"/>
          <w:sz w:val="28"/>
          <w:szCs w:val="28"/>
        </w:rPr>
        <w:t>,</w:t>
      </w:r>
      <w:r>
        <w:rPr>
          <w:rFonts w:hint="eastAsia" w:ascii="仿宋_GB2312" w:hAnsi="宋体" w:eastAsia="仿宋_GB2312" w:cs="Times New Roman"/>
          <w:sz w:val="28"/>
          <w:szCs w:val="28"/>
        </w:rPr>
        <w:t>由此产生的一切责任由乙方自行承担。</w:t>
      </w:r>
    </w:p>
    <w:p w14:paraId="3AD1CB2B">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第九条 转包、分包规定</w:t>
      </w:r>
    </w:p>
    <w:p w14:paraId="68E11A31">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9.1本工程不得转包。</w:t>
      </w:r>
    </w:p>
    <w:p w14:paraId="5695E40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9.2乙方直接分包：乙方承包范围内的项目，事先未经甲方书面同意，乙方不得将部分工程以任何方式分包给第三方。若事先未经甲方同意的第三方进入现场施工，甲方有权要求乙方终止与第三方的合同，由此造成的一切经济损失与法律责任均由乙方承担。在事先征得甲方书面同意后，乙方可将承包范围内部分专业工程分包给具有相应施工资质的第三方，但必须将第三方的资质、施工能力等情况提供给甲方审核同意后方可执行。乙方与分包单位签订分包合同后，必须于该合同签订之日起3日内将分包合同送甲方审查备案。</w:t>
      </w:r>
    </w:p>
    <w:p w14:paraId="1E3CAE5D">
      <w:pPr>
        <w:tabs>
          <w:tab w:val="left" w:pos="360"/>
          <w:tab w:val="left" w:pos="720"/>
        </w:tabs>
        <w:adjustRightInd w:val="0"/>
        <w:snapToGrid w:val="0"/>
        <w:spacing w:line="560" w:lineRule="exact"/>
        <w:ind w:firstLine="640" w:firstLineChars="200"/>
        <w:jc w:val="left"/>
        <w:rPr>
          <w:rFonts w:ascii="仿宋_GB2312" w:hAnsi="宋体" w:eastAsia="仿宋_GB2312" w:cs="Times New Roman"/>
          <w:b/>
          <w:spacing w:val="2"/>
          <w:sz w:val="28"/>
          <w:szCs w:val="28"/>
        </w:rPr>
      </w:pPr>
      <w:r>
        <w:rPr>
          <w:rFonts w:hint="eastAsia" w:ascii="黑体" w:hAnsi="黑体" w:eastAsia="黑体" w:cs="Times New Roman"/>
          <w:bCs/>
          <w:sz w:val="32"/>
          <w:szCs w:val="28"/>
        </w:rPr>
        <w:t>第十条 施工过程管理</w:t>
      </w:r>
    </w:p>
    <w:p w14:paraId="243BE298">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10.1施工中乙方应根据甲方的要求随时提供关于工程质量的技术资料，如材料出厂合格证、试验报告、报关单、商检证明等文件的原件，随时接受甲方的检查并为此类检查提供方便。</w:t>
      </w:r>
    </w:p>
    <w:p w14:paraId="0143431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10.2乙方必须健全质量检查制度，在施工现场设专职质量安全检查员，做好自检记录。</w:t>
      </w:r>
    </w:p>
    <w:p w14:paraId="2EC33E5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10.3凡隐蔽工程和中间验收，经乙方自检后，应填制确切的自检记录（包括范围、数量、质量情况等），并提前48小时通知甲方检查，甲方接通知后</w:t>
      </w:r>
      <w:r>
        <w:rPr>
          <w:rFonts w:hint="eastAsia" w:ascii="仿宋_GB2312" w:hAnsi="宋体" w:eastAsia="仿宋_GB2312" w:cs="Times New Roman"/>
          <w:spacing w:val="2"/>
          <w:sz w:val="28"/>
          <w:szCs w:val="28"/>
          <w:u w:val="single"/>
        </w:rPr>
        <w:t xml:space="preserve">      </w:t>
      </w:r>
      <w:r>
        <w:rPr>
          <w:rFonts w:hint="eastAsia" w:ascii="仿宋_GB2312" w:hAnsi="宋体" w:eastAsia="仿宋_GB2312" w:cs="Times New Roman"/>
          <w:spacing w:val="2"/>
          <w:sz w:val="28"/>
          <w:szCs w:val="28"/>
        </w:rPr>
        <w:t>小时内组织检验，经检查合格并符合设计以及</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要求，双方签字后方能进行下一个工序的施工。没有甲方书面批准，工程的任何部分均不得覆盖或掩蔽，乙方应保证甲方有充分的机会对将予以覆盖或掩蔽工程的任何部分进行检查和验收。如甲方不能按时验收，可在验收前</w:t>
      </w:r>
      <w:r>
        <w:rPr>
          <w:rFonts w:hint="eastAsia" w:ascii="仿宋_GB2312" w:hAnsi="宋体" w:eastAsia="仿宋_GB2312" w:cs="Times New Roman"/>
          <w:spacing w:val="2"/>
          <w:sz w:val="28"/>
          <w:szCs w:val="28"/>
          <w:u w:val="single"/>
        </w:rPr>
        <w:t xml:space="preserve">        </w:t>
      </w:r>
      <w:r>
        <w:rPr>
          <w:rFonts w:hint="eastAsia" w:ascii="仿宋_GB2312" w:hAnsi="宋体" w:eastAsia="仿宋_GB2312" w:cs="Times New Roman"/>
          <w:spacing w:val="2"/>
          <w:sz w:val="28"/>
          <w:szCs w:val="28"/>
        </w:rPr>
        <w:t>小时向乙方提出延期要求。</w:t>
      </w:r>
    </w:p>
    <w:p w14:paraId="27E84163">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10.4甲方在任何合理时间内均可进入乙方的项目现场，以及材料或设备的制造、加工或制配的所有车间和场所进行检查或检验。乙方应为甲方人员进入上述场所提供一切便利和协助，并为此类检查检验提供一切正常需要的手段或条件。</w:t>
      </w:r>
    </w:p>
    <w:p w14:paraId="54DB710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10.5尽管有甲方上述检查或检验，也并不能因此而免除乙方按照合同约定对</w:t>
      </w:r>
      <w:r>
        <w:rPr>
          <w:rFonts w:hint="eastAsia" w:ascii="仿宋_GB2312" w:hAnsi="宋体" w:eastAsia="仿宋_GB2312" w:cs="Times New Roman"/>
          <w:sz w:val="28"/>
          <w:szCs w:val="28"/>
        </w:rPr>
        <w:t>本工程</w:t>
      </w:r>
      <w:r>
        <w:rPr>
          <w:rFonts w:hint="eastAsia" w:ascii="仿宋_GB2312" w:hAnsi="宋体" w:eastAsia="仿宋_GB2312" w:cs="Times New Roman"/>
          <w:spacing w:val="2"/>
          <w:sz w:val="28"/>
          <w:szCs w:val="28"/>
        </w:rPr>
        <w:t>所承担的任何责任。</w:t>
      </w:r>
    </w:p>
    <w:p w14:paraId="741F6B2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10.6如确需对按约定已经隐蔽的项目复查时，其复查结果不符合设计或</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要求的，复查费用由乙方承担。若符合设计和</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要求的，复查费用由甲方承担。</w:t>
      </w:r>
    </w:p>
    <w:p w14:paraId="4D00CA6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10.7施工质量不符合设计要求或施工规范要求，甲方可要求乙方整改或返工重做，乙方必须立即整改或返工重做，整改、返工的费用由乙方负担，且本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约定的工期不予延长。由于施工质量原因给本项目或甲方造成损失或永久性缺陷的，均由乙方承担全部法律责任（包括但不限于赔偿全部损失）。乙方返工后，工程质量仍然达不到合同约定的质量标准的，甲方有权单方解除本合同，乙方应向甲方支付合同总价款30%作为违约金，甲方有权抵扣未支付乙方的工程维修款项，并应赔偿甲方的全部损失，乙方不得有任何异议。</w:t>
      </w:r>
    </w:p>
    <w:p w14:paraId="66B422C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10.8如乙方在甲方指令规定的时间内不执行甲方的整改指令，则甲方有权安排他人执行该项指令，并向其支付有关费用。所有由此造成的或伴随产生的费用，由乙方承担，甲方从项目进度款中扣除。</w:t>
      </w:r>
    </w:p>
    <w:p w14:paraId="7F57DB51">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第十一条 竣工验收及移交</w:t>
      </w:r>
    </w:p>
    <w:p w14:paraId="16DAB65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11.1工程竣工验收标准：国家规定的建设工程质量合格标准，每项工程的维修在施工完成后五个工作日内完成验收，乙方必须协助工程管理部门保存好施工维修前、维修过程中、验收时的所有照片记录及验收有关资料。</w:t>
      </w:r>
    </w:p>
    <w:p w14:paraId="7F64F974">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11.2乙方负责向有关政府部门办理本合同范围内项目维修所需报批的手续，相关费用已包含在合同总价内，甲方协助报批所需证明资料。甲方除政府文件规定由甲方支付的费用外不需要再向乙方或者第三方支付任何费用。</w:t>
      </w:r>
    </w:p>
    <w:p w14:paraId="61F22AEA">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11.3甲方工程部收到乙方竣工验收申请后组织甲方成本、运营、财务、行政等部门协助监管验收工作，验收结果各部门签字确认，并在验收后提出整改意见，乙方须按甲方整改意见无条件整改，并承担整改费用及工期延误的责任。</w:t>
      </w:r>
    </w:p>
    <w:p w14:paraId="375C8A5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11.4竣工日期的认定：由乙方递交竣工验收申请，竣工日期以甲方织竣工验收并出具合格报告的日期为准。若需整改后才能达到竣工要求的，应以整改后重新办理验收并以甲方签字认可的竣工验收合格报告日期为准。</w:t>
      </w:r>
    </w:p>
    <w:p w14:paraId="7F867319">
      <w:pPr>
        <w:adjustRightInd w:val="0"/>
        <w:snapToGrid w:val="0"/>
        <w:spacing w:line="560" w:lineRule="exact"/>
        <w:ind w:firstLine="568" w:firstLineChars="200"/>
        <w:jc w:val="left"/>
        <w:rPr>
          <w:rFonts w:ascii="仿宋_GB2312" w:hAnsi="宋体" w:eastAsia="仿宋_GB2312" w:cs="Times New Roman"/>
          <w:b/>
          <w:bCs/>
          <w:spacing w:val="2"/>
          <w:sz w:val="28"/>
          <w:szCs w:val="28"/>
        </w:rPr>
      </w:pPr>
      <w:r>
        <w:rPr>
          <w:rFonts w:hint="eastAsia" w:ascii="仿宋_GB2312" w:hAnsi="宋体" w:eastAsia="仿宋_GB2312" w:cs="Times New Roman"/>
          <w:spacing w:val="2"/>
          <w:sz w:val="28"/>
          <w:szCs w:val="28"/>
        </w:rPr>
        <w:t>11.5乙方自竣工验收合格之日起5天内在施工现场搭建的生产、生活临时设施应全部撤离，做到工完场清。</w:t>
      </w:r>
    </w:p>
    <w:p w14:paraId="5B9E5E59">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第十二条 保修</w:t>
      </w:r>
    </w:p>
    <w:p w14:paraId="73B42C6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详见附件《工程质量保修书》。</w:t>
      </w:r>
    </w:p>
    <w:p w14:paraId="3B86CDEB">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第十三条 双方权利义务</w:t>
      </w:r>
    </w:p>
    <w:p w14:paraId="2C8E22D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13.1甲方权利义务：</w:t>
      </w:r>
    </w:p>
    <w:p w14:paraId="345288EF">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13.1.1甲方向乙方提供施工图纸</w:t>
      </w:r>
      <w:r>
        <w:rPr>
          <w:rFonts w:hint="eastAsia" w:ascii="仿宋_GB2312" w:hAnsi="宋体" w:eastAsia="仿宋_GB2312" w:cs="Times New Roman"/>
          <w:spacing w:val="2"/>
          <w:sz w:val="28"/>
          <w:szCs w:val="28"/>
          <w:u w:val="single"/>
        </w:rPr>
        <w:t xml:space="preserve">  </w:t>
      </w:r>
      <w:r>
        <w:rPr>
          <w:rFonts w:hint="eastAsia" w:ascii="仿宋_GB2312" w:hAnsi="宋体" w:eastAsia="仿宋_GB2312" w:cs="Times New Roman"/>
          <w:spacing w:val="2"/>
          <w:sz w:val="28"/>
          <w:szCs w:val="28"/>
        </w:rPr>
        <w:t>套及有关技术资料。不足部分，乙方可申请加晒，但费用由乙方自行承担。</w:t>
      </w:r>
    </w:p>
    <w:p w14:paraId="2EE5FE37">
      <w:pPr>
        <w:widowControl/>
        <w:tabs>
          <w:tab w:val="left" w:pos="938"/>
        </w:tabs>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13.1.2甲方提供现场施工用的水源、电源接驳口, 但乙方承包范围内所产生的所有水电费用由乙方自行承担，</w:t>
      </w:r>
      <w:r>
        <w:rPr>
          <w:rFonts w:hint="eastAsia" w:ascii="仿宋_GB2312" w:hAnsi="宋体" w:eastAsia="仿宋_GB2312" w:cs="宋体"/>
          <w:sz w:val="28"/>
          <w:szCs w:val="28"/>
          <w:lang w:bidi="ar"/>
        </w:rPr>
        <w:t>按零星维修工程结算价的1%在当期工程款中扣除</w:t>
      </w:r>
      <w:r>
        <w:rPr>
          <w:rFonts w:hint="eastAsia" w:ascii="仿宋_GB2312" w:hAnsi="宋体" w:eastAsia="仿宋_GB2312" w:cs="Times New Roman"/>
          <w:spacing w:val="2"/>
          <w:sz w:val="28"/>
          <w:szCs w:val="28"/>
          <w:lang w:bidi="ar"/>
        </w:rPr>
        <w:t>。</w:t>
      </w:r>
    </w:p>
    <w:p w14:paraId="003FA287">
      <w:pPr>
        <w:adjustRightInd w:val="0"/>
        <w:snapToGrid w:val="0"/>
        <w:spacing w:line="560" w:lineRule="exact"/>
        <w:ind w:firstLine="568" w:firstLineChars="200"/>
        <w:jc w:val="left"/>
        <w:rPr>
          <w:rFonts w:ascii="仿宋_GB2312" w:hAnsi="宋体" w:eastAsia="仿宋_GB2312" w:cs="Times New Roman"/>
          <w:spacing w:val="2"/>
          <w:sz w:val="28"/>
          <w:szCs w:val="28"/>
          <w:u w:val="single"/>
        </w:rPr>
      </w:pPr>
      <w:r>
        <w:rPr>
          <w:rFonts w:hint="eastAsia" w:ascii="仿宋_GB2312" w:hAnsi="宋体" w:eastAsia="仿宋_GB2312" w:cs="Times New Roman"/>
          <w:spacing w:val="2"/>
          <w:sz w:val="28"/>
          <w:szCs w:val="28"/>
        </w:rPr>
        <w:t>13.1.3甲方有权不定期检查乙方管理人员到位情况。</w:t>
      </w:r>
    </w:p>
    <w:p w14:paraId="657568A7">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13.1.4甲方有权对乙方的工程质量、进度、安全、文明施工、材料采购、进场人数、主要材料供应商、生产厂商、规格型号等进行监督检查，办理验收、设计变更等事宜。</w:t>
      </w:r>
    </w:p>
    <w:p w14:paraId="25A12F5D">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13.1.5</w:t>
      </w:r>
      <w:r>
        <w:rPr>
          <w:rFonts w:hint="eastAsia" w:ascii="仿宋_GB2312" w:hAnsi="宋体" w:eastAsia="仿宋_GB2312" w:cs="Times New Roman"/>
          <w:bCs/>
          <w:spacing w:val="2"/>
          <w:sz w:val="28"/>
          <w:szCs w:val="28"/>
        </w:rPr>
        <w:t>除非甲方给予乙方顺延工期签证，否则，甲方无论以何种形式对乙方在履行合同上的时间宽限，或对乙方所提出的进度计划、延期完工、竣工方案的认可等，不影响或限制甲方所享有的依据合同追究乙方延误工期或进度滞后违约责任的权利。若甲方给予乙方顺延工期签证，</w:t>
      </w:r>
      <w:r>
        <w:rPr>
          <w:rFonts w:hint="eastAsia" w:ascii="仿宋_GB2312" w:hAnsi="宋体" w:eastAsia="仿宋_GB2312" w:cs="Times New Roman"/>
          <w:spacing w:val="2"/>
          <w:sz w:val="28"/>
          <w:szCs w:val="28"/>
        </w:rPr>
        <w:t>只对工期进行延期，乙方承诺放弃索赔与工期延误有关的任何费用。</w:t>
      </w:r>
    </w:p>
    <w:p w14:paraId="2D839A91">
      <w:pPr>
        <w:tabs>
          <w:tab w:val="left" w:pos="900"/>
          <w:tab w:val="left" w:pos="1080"/>
        </w:tabs>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13.1.6乙方必须保证维修启动响应时间不超过3天，维修工期不得超过维修方案内规定工期。维修响应时间及维修工期出现3次超时即可认为达不到我司要求，甲方有权单方解除合同，乙方不得有任何异议。</w:t>
      </w:r>
    </w:p>
    <w:p w14:paraId="1A471C09">
      <w:pPr>
        <w:tabs>
          <w:tab w:val="left" w:pos="900"/>
          <w:tab w:val="left" w:pos="1080"/>
        </w:tabs>
        <w:adjustRightInd w:val="0"/>
        <w:snapToGrid w:val="0"/>
        <w:spacing w:line="560" w:lineRule="exact"/>
        <w:ind w:firstLine="568" w:firstLineChars="200"/>
        <w:jc w:val="left"/>
        <w:rPr>
          <w:rFonts w:ascii="仿宋_GB2312" w:hAnsi="宋体" w:eastAsia="仿宋_GB2312" w:cs="Times New Roman"/>
          <w:spacing w:val="2"/>
          <w:sz w:val="28"/>
          <w:szCs w:val="28"/>
          <w:u w:val="single"/>
        </w:rPr>
      </w:pPr>
      <w:r>
        <w:rPr>
          <w:rFonts w:hint="eastAsia" w:ascii="仿宋_GB2312" w:hAnsi="宋体" w:eastAsia="仿宋_GB2312" w:cs="Times New Roman"/>
          <w:spacing w:val="2"/>
          <w:sz w:val="28"/>
          <w:szCs w:val="28"/>
        </w:rPr>
        <w:t>13.1.7甲方项目负责人：</w:t>
      </w:r>
      <w:r>
        <w:rPr>
          <w:rFonts w:hint="eastAsia" w:ascii="仿宋_GB2312" w:hAnsi="宋体" w:eastAsia="仿宋_GB2312" w:cs="Times New Roman"/>
          <w:spacing w:val="2"/>
          <w:sz w:val="28"/>
          <w:szCs w:val="28"/>
          <w:u w:val="single"/>
        </w:rPr>
        <w:t xml:space="preserve">          </w:t>
      </w:r>
      <w:r>
        <w:rPr>
          <w:rFonts w:hint="eastAsia" w:ascii="仿宋_GB2312" w:hAnsi="宋体" w:eastAsia="仿宋_GB2312" w:cs="Times New Roman"/>
          <w:spacing w:val="2"/>
          <w:sz w:val="28"/>
          <w:szCs w:val="28"/>
        </w:rPr>
        <w:t>联系电话</w:t>
      </w:r>
      <w:r>
        <w:rPr>
          <w:rFonts w:hint="eastAsia" w:ascii="仿宋_GB2312" w:hAnsi="宋体" w:eastAsia="仿宋_GB2312" w:cs="Times New Roman"/>
          <w:spacing w:val="2"/>
          <w:sz w:val="28"/>
          <w:szCs w:val="28"/>
          <w:u w:val="single"/>
        </w:rPr>
        <w:t xml:space="preserve">：             </w:t>
      </w:r>
    </w:p>
    <w:p w14:paraId="04E462DA">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13.2乙方权利义务：</w:t>
      </w:r>
    </w:p>
    <w:p w14:paraId="75236E68">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13.2.1乙方应按本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规定按时、按质、按量完成该项工程。</w:t>
      </w:r>
    </w:p>
    <w:p w14:paraId="41CCDD8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13.2.2</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乙方已仔细审查并接受甲方提供的相关文件，并确认维修项目的合理性、安全性及可实施性。乙方对维修项目提出的合理化建议，须报甲方书面审核同意后方可施工。</w:t>
      </w:r>
    </w:p>
    <w:p w14:paraId="6941E291">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13.2.3</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乙方必须按照投标文件中的承诺建立以项目经理为主的现场管理机构。项目经理及现场管理机构主要部门负责人的名单、相关证书等作为本合同附件。</w:t>
      </w:r>
    </w:p>
    <w:p w14:paraId="29546D1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13.2.4</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按政府有关规定，做好进驻现场施工人员暂住登记及安全管理等工作,并承担相关费用。制定并实施防火、防盗措施。</w:t>
      </w:r>
    </w:p>
    <w:p w14:paraId="59C8421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13.2.5</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要严格按照国家及当地政府部门有关法律、法规及规范性文件的要求组织施工。乙方对施工期间的安全管理负全面责任，施工过程中产生的人身、财产损失及对甲方、第三方的损害，由乙方承担相关责任。</w:t>
      </w:r>
    </w:p>
    <w:p w14:paraId="4E2E48A3">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13.2.6</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在全部工程验收合格移交甲方之前, 必须对项目成品、半成品、现场的材料设施进行保管、保护。如有损坏、缺失的，由乙方无条件免费进行修复、补充。</w:t>
      </w:r>
    </w:p>
    <w:p w14:paraId="6ACC316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13.2.7</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乙方自行或委托专业运输单位按照国家及地方的相关规定组织完成本项目的余泥渣土运输任务。乙方或乙方委托的专业运输单位及其营运的余泥渣土运输车辆应当具备本项目所在地相关职能部门核发的相关证件。本条所述的承担项目余泥渣土运输任务的车辆应当向有关保险公司投保，并取得车辆保险单。如因未投保的余泥渣土运输车辆造成第三人财产损失和（或）人身伤亡，乙方和余泥渣土运输车辆所属专业运输单位应承担连带责任。若乙方违反上述约定的，应向甲方支付本合同总价0.3%（若低于一万元的，以一万元为准）的违约金，并赔偿甲方全部损失。</w:t>
      </w:r>
    </w:p>
    <w:p w14:paraId="7E0B9B4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13.2.8</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乙方须严格按当地政府部门有关规定，做好文明、卫生、安全施工，解决好工人薪金、福利等问题。乙方在收到甲方的项目款时，应优先、按时、足额发放乙方人员工资及支付供应商货款。</w:t>
      </w:r>
    </w:p>
    <w:p w14:paraId="1A79E25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13.2.9扰民问题与民扰问题由乙方自行解决。</w:t>
      </w:r>
    </w:p>
    <w:p w14:paraId="3A7CF7D7">
      <w:pPr>
        <w:adjustRightInd w:val="0"/>
        <w:snapToGrid w:val="0"/>
        <w:spacing w:line="560" w:lineRule="exact"/>
        <w:ind w:firstLine="568" w:firstLineChars="200"/>
        <w:jc w:val="left"/>
        <w:rPr>
          <w:rFonts w:ascii="仿宋_GB2312" w:hAnsi="宋体" w:eastAsia="仿宋_GB2312" w:cs="Times New Roman"/>
          <w:bCs/>
          <w:spacing w:val="2"/>
          <w:sz w:val="28"/>
          <w:szCs w:val="28"/>
        </w:rPr>
      </w:pPr>
      <w:r>
        <w:rPr>
          <w:rFonts w:hint="eastAsia" w:ascii="仿宋_GB2312" w:hAnsi="宋体" w:eastAsia="仿宋_GB2312" w:cs="Times New Roman"/>
          <w:bCs/>
          <w:spacing w:val="2"/>
          <w:sz w:val="28"/>
          <w:szCs w:val="28"/>
        </w:rPr>
        <w:t>13.2.10乙方应建立文件资料收发台账，乙方任何发往甲方的文件资料需以甲方的签收作为乙方送达依据。</w:t>
      </w:r>
    </w:p>
    <w:p w14:paraId="27EF3455">
      <w:pPr>
        <w:adjustRightInd w:val="0"/>
        <w:snapToGrid w:val="0"/>
        <w:spacing w:line="560" w:lineRule="exact"/>
        <w:ind w:firstLine="568" w:firstLineChars="200"/>
        <w:jc w:val="left"/>
        <w:outlineLvl w:val="0"/>
        <w:rPr>
          <w:rFonts w:ascii="仿宋_GB2312" w:hAnsi="宋体" w:eastAsia="仿宋_GB2312" w:cs="Times New Roman"/>
          <w:bCs/>
          <w:spacing w:val="2"/>
          <w:sz w:val="28"/>
          <w:szCs w:val="28"/>
          <w:u w:val="single"/>
        </w:rPr>
      </w:pPr>
      <w:r>
        <w:rPr>
          <w:rFonts w:hint="eastAsia" w:ascii="仿宋_GB2312" w:hAnsi="宋体" w:eastAsia="仿宋_GB2312" w:cs="Times New Roman"/>
          <w:bCs/>
          <w:spacing w:val="2"/>
          <w:sz w:val="28"/>
          <w:szCs w:val="28"/>
        </w:rPr>
        <w:t>13.2.11乙方项目负责人</w:t>
      </w:r>
      <w:r>
        <w:rPr>
          <w:rFonts w:hint="eastAsia" w:ascii="仿宋_GB2312" w:hAnsi="宋体" w:eastAsia="仿宋_GB2312" w:cs="Times New Roman"/>
          <w:bCs/>
          <w:spacing w:val="2"/>
          <w:sz w:val="28"/>
          <w:szCs w:val="28"/>
          <w:u w:val="single"/>
        </w:rPr>
        <w:t xml:space="preserve">：      </w:t>
      </w:r>
      <w:r>
        <w:rPr>
          <w:rFonts w:hint="eastAsia" w:ascii="仿宋_GB2312" w:hAnsi="宋体" w:eastAsia="仿宋_GB2312" w:cs="Times New Roman"/>
          <w:bCs/>
          <w:spacing w:val="2"/>
          <w:sz w:val="28"/>
          <w:szCs w:val="28"/>
        </w:rPr>
        <w:t xml:space="preserve"> ；联系电话：</w:t>
      </w:r>
    </w:p>
    <w:p w14:paraId="6C0D4A94">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第十四条 违约责任</w:t>
      </w:r>
    </w:p>
    <w:p w14:paraId="0FEAAB64">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乙方所投入的项目管理、技术人员应报予甲方审批并与本合同中的约定保持一致，未经甲方书面同意不得更换。上述所有主要管理、技术人员必须在开工前全部到位，接受甲方的查验，否则乙方应按未到位人数2000元/人/天支付违约金，并且甲方有权直接从工程款中扣除。以上人员不得擅自离开工地或更换，离开工地现场一天及以上应向甲方请假批准，每人每月累计不得超过五天。施工期间累计超过五天的，乙方应按人数2000元/人/天支付违约金，且甲方有权直接从工程款中扣除（未经甲方批准更换人员，在甲方同意更换之日前离开的同样按此条扣除工程款）。未经批准，乙方派驻的人员擅自离开或更换，乙方须按下表约定支付违约金：</w:t>
      </w:r>
    </w:p>
    <w:tbl>
      <w:tblPr>
        <w:tblStyle w:val="3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5528"/>
      </w:tblGrid>
      <w:tr w14:paraId="4D1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8815947">
            <w:pPr>
              <w:adjustRightInd w:val="0"/>
              <w:snapToGrid w:val="0"/>
              <w:spacing w:line="560" w:lineRule="exact"/>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序号</w:t>
            </w:r>
          </w:p>
        </w:tc>
        <w:tc>
          <w:tcPr>
            <w:tcW w:w="3260" w:type="dxa"/>
            <w:vAlign w:val="center"/>
          </w:tcPr>
          <w:p w14:paraId="0203FFE4">
            <w:pPr>
              <w:adjustRightInd w:val="0"/>
              <w:snapToGrid w:val="0"/>
              <w:spacing w:line="560" w:lineRule="exact"/>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被更换的项目主要人员</w:t>
            </w:r>
          </w:p>
        </w:tc>
        <w:tc>
          <w:tcPr>
            <w:tcW w:w="5528" w:type="dxa"/>
            <w:vAlign w:val="center"/>
          </w:tcPr>
          <w:p w14:paraId="6314C16A">
            <w:pPr>
              <w:adjustRightInd w:val="0"/>
              <w:snapToGrid w:val="0"/>
              <w:spacing w:line="560" w:lineRule="exact"/>
              <w:ind w:firstLine="25" w:firstLineChars="9"/>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需向甲方支付的违约金（人民币）</w:t>
            </w:r>
          </w:p>
        </w:tc>
      </w:tr>
      <w:tr w14:paraId="3B8B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B9BE0BE">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w:t>
            </w:r>
          </w:p>
        </w:tc>
        <w:tc>
          <w:tcPr>
            <w:tcW w:w="3260" w:type="dxa"/>
            <w:vAlign w:val="center"/>
          </w:tcPr>
          <w:p w14:paraId="6C73A886">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z w:val="28"/>
                <w:szCs w:val="28"/>
              </w:rPr>
              <w:t>项目经理</w:t>
            </w:r>
          </w:p>
        </w:tc>
        <w:tc>
          <w:tcPr>
            <w:tcW w:w="5528" w:type="dxa"/>
            <w:vAlign w:val="center"/>
          </w:tcPr>
          <w:p w14:paraId="75227E84">
            <w:pPr>
              <w:adjustRightInd w:val="0"/>
              <w:snapToGrid w:val="0"/>
              <w:spacing w:line="560" w:lineRule="exact"/>
              <w:jc w:val="left"/>
              <w:rPr>
                <w:rFonts w:ascii="仿宋_GB2312" w:hAnsi="宋体" w:eastAsia="仿宋_GB2312" w:cs="Times New Roman"/>
                <w:spacing w:val="2"/>
                <w:sz w:val="28"/>
                <w:szCs w:val="28"/>
              </w:rPr>
            </w:pPr>
            <w:r>
              <w:rPr>
                <w:rFonts w:hint="eastAsia" w:ascii="仿宋_GB2312" w:hAnsi="宋体" w:eastAsia="仿宋_GB2312" w:cs="Times New Roman"/>
                <w:sz w:val="28"/>
                <w:szCs w:val="28"/>
              </w:rPr>
              <w:t>本合同总价的0.1%，最低不少于5000元</w:t>
            </w:r>
          </w:p>
        </w:tc>
      </w:tr>
      <w:tr w14:paraId="6BD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1DE7AA0">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2</w:t>
            </w:r>
          </w:p>
        </w:tc>
        <w:tc>
          <w:tcPr>
            <w:tcW w:w="3260" w:type="dxa"/>
            <w:vAlign w:val="center"/>
          </w:tcPr>
          <w:p w14:paraId="57B30F85">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z w:val="28"/>
                <w:szCs w:val="28"/>
              </w:rPr>
              <w:t>项目副经理</w:t>
            </w:r>
          </w:p>
        </w:tc>
        <w:tc>
          <w:tcPr>
            <w:tcW w:w="5528" w:type="dxa"/>
            <w:vAlign w:val="center"/>
          </w:tcPr>
          <w:p w14:paraId="4690402E">
            <w:pPr>
              <w:adjustRightInd w:val="0"/>
              <w:snapToGrid w:val="0"/>
              <w:spacing w:line="560" w:lineRule="exact"/>
              <w:jc w:val="left"/>
              <w:rPr>
                <w:rFonts w:ascii="仿宋_GB2312" w:hAnsi="宋体" w:eastAsia="仿宋_GB2312" w:cs="Times New Roman"/>
                <w:spacing w:val="2"/>
                <w:sz w:val="28"/>
                <w:szCs w:val="28"/>
              </w:rPr>
            </w:pPr>
            <w:r>
              <w:rPr>
                <w:rFonts w:hint="eastAsia" w:ascii="仿宋_GB2312" w:hAnsi="宋体" w:eastAsia="仿宋_GB2312" w:cs="Times New Roman"/>
                <w:sz w:val="28"/>
                <w:szCs w:val="28"/>
              </w:rPr>
              <w:t>本合同总价的0.05%，最低不少于5000元</w:t>
            </w:r>
          </w:p>
        </w:tc>
      </w:tr>
      <w:tr w14:paraId="627B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E0E20EA">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3</w:t>
            </w:r>
          </w:p>
        </w:tc>
        <w:tc>
          <w:tcPr>
            <w:tcW w:w="3260" w:type="dxa"/>
            <w:vAlign w:val="center"/>
          </w:tcPr>
          <w:p w14:paraId="463B66E9">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z w:val="28"/>
                <w:szCs w:val="28"/>
              </w:rPr>
              <w:t>项目工程师</w:t>
            </w:r>
          </w:p>
        </w:tc>
        <w:tc>
          <w:tcPr>
            <w:tcW w:w="5528" w:type="dxa"/>
            <w:vAlign w:val="center"/>
          </w:tcPr>
          <w:p w14:paraId="46825C82">
            <w:pPr>
              <w:adjustRightInd w:val="0"/>
              <w:snapToGrid w:val="0"/>
              <w:spacing w:line="560" w:lineRule="exact"/>
              <w:jc w:val="left"/>
              <w:rPr>
                <w:rFonts w:ascii="仿宋_GB2312" w:hAnsi="宋体" w:eastAsia="仿宋_GB2312" w:cs="Times New Roman"/>
                <w:spacing w:val="2"/>
                <w:sz w:val="28"/>
                <w:szCs w:val="28"/>
              </w:rPr>
            </w:pPr>
            <w:r>
              <w:rPr>
                <w:rFonts w:hint="eastAsia" w:ascii="仿宋_GB2312" w:hAnsi="宋体" w:eastAsia="仿宋_GB2312" w:cs="Times New Roman"/>
                <w:sz w:val="28"/>
                <w:szCs w:val="28"/>
              </w:rPr>
              <w:t>本合同总价的0.05%，最低不少于5000元</w:t>
            </w:r>
          </w:p>
        </w:tc>
      </w:tr>
      <w:tr w14:paraId="278D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641A8FE">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4</w:t>
            </w:r>
          </w:p>
        </w:tc>
        <w:tc>
          <w:tcPr>
            <w:tcW w:w="3260" w:type="dxa"/>
            <w:vAlign w:val="center"/>
          </w:tcPr>
          <w:p w14:paraId="7EE48434">
            <w:pPr>
              <w:adjustRightInd w:val="0"/>
              <w:snapToGrid w:val="0"/>
              <w:spacing w:line="560" w:lineRule="exact"/>
              <w:jc w:val="center"/>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项目技术负责人</w:t>
            </w:r>
          </w:p>
        </w:tc>
        <w:tc>
          <w:tcPr>
            <w:tcW w:w="5528" w:type="dxa"/>
            <w:vAlign w:val="center"/>
          </w:tcPr>
          <w:p w14:paraId="626EA284">
            <w:pPr>
              <w:adjustRightInd w:val="0"/>
              <w:snapToGrid w:val="0"/>
              <w:spacing w:line="560" w:lineRule="exact"/>
              <w:jc w:val="left"/>
              <w:rPr>
                <w:rFonts w:ascii="仿宋_GB2312" w:hAnsi="宋体" w:eastAsia="仿宋_GB2312" w:cs="Times New Roman"/>
                <w:spacing w:val="2"/>
                <w:sz w:val="28"/>
                <w:szCs w:val="28"/>
              </w:rPr>
            </w:pPr>
            <w:r>
              <w:rPr>
                <w:rFonts w:hint="eastAsia" w:ascii="仿宋_GB2312" w:hAnsi="宋体" w:eastAsia="仿宋_GB2312" w:cs="Times New Roman"/>
                <w:sz w:val="28"/>
                <w:szCs w:val="28"/>
              </w:rPr>
              <w:t>本合同总价的0.025%，最低不少于5000元</w:t>
            </w:r>
          </w:p>
        </w:tc>
      </w:tr>
    </w:tbl>
    <w:p w14:paraId="4467DAB7">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14.2因特殊原因需要更换人员的，乙方应至少提前14天以书面形式向甲方提出申请（乙方承诺后任人员的资质、资历、业绩、实际工作能力不低于投标承诺要求），经甲方书面批准后方可更换，交接时间不少于14天。</w:t>
      </w:r>
    </w:p>
    <w:p w14:paraId="25D590B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14.3如乙方派驻人员的实际工作能力和工作表现达不到招标文件明确要求或投标文件的承诺，不适应现场工作的需要，甲方有权要求乙方撤换。乙方可提出整改意见，如甲方不予接受或认为整改效果不明显的，乙方必须在甲方发出通知之日起7天内无条件撤换。乙方承诺后任人员的资质、资历、业绩、实际工作能力不低于投标承诺要求。</w:t>
      </w:r>
    </w:p>
    <w:p w14:paraId="06D43B0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14.4乙方项目经理或技术负责人不得缺席现场工程例会，每缺席1次，乙方按人民币2000元/人/次支付违约金，甲方可直接从应支付的工程款中扣除。</w:t>
      </w:r>
    </w:p>
    <w:p w14:paraId="2EE9B4A4">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14.5乙方若未在合同约定的时间内向甲方移交已维修验收完毕的项目，按逾期完工处理，乙方须承担相应的违约责任。无论发生任何事由（包括但不限于双方是否发生争议或争议程度等），均不能成为乙方行使工程移交、工程验收、配合工程备案以及移交工程资料等事项的抗辩理由。</w:t>
      </w:r>
    </w:p>
    <w:p w14:paraId="453DB393">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14.6若工完不清场，乙方按每日1万元向甲方交纳场地租金，此费用从工程款中扣除。</w:t>
      </w:r>
    </w:p>
    <w:p w14:paraId="0AFA93B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14.7如乙方在本工程施工范围内擅自倾倒余泥渣土或违反本项目所在地有关规定倾倒余泥渣土的，乙方须向甲方支付委托他人清除并运走垃圾、废料发生的费用及甲方管理费、并承担相关罚款（如有），并于甲方规定的期限内改正。乙方向甲方支付相关费用（该等费用可从工程款中扣除）后并不免除乙方应承担的由此而产生的所有责任。</w:t>
      </w:r>
    </w:p>
    <w:p w14:paraId="3D1DFBC1">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14.8乙方如发生拖欠工资或供应商及分包商货款而造成社会不安定事件（包括但不限于：聚众围堵索要工资、以声称将自残自杀等来索要工资或货款等）的，乙方必须及时妥善处理并负全责。甲方有权直接扣除乙方工程款用于垫付拖欠的乙方人员工资和供应商货款，并且乙方须按甲方已垫付款项的30%向甲方支付违约金，并赔偿甲方的损失。</w:t>
      </w:r>
    </w:p>
    <w:p w14:paraId="6FCB3B5B">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14.9无论何时，因乙方拖欠设备款、材料款、劳务费、工资、分包工程款或其它应付费用，或因乙方的违约行为或违法行为，导致甲方被牵涉到相关纠纷中的，或导致甲方遭受损失的，乙方应承担因此给甲方造成的一切损失（包括但不限于甲方对第三方的赔款、罚款、诉讼费、仲裁费、执行费、滞纳金和甲方因应诉或抗辩而支出的律师费、差旅费、交通费及其它费用），并在收到甲方通知书之日起3日内一次性赔付给甲方，乙方亦同意由甲方在应付给乙方的工程款中直接抵扣。乙方同意不以任何理由拒付，否则，乙方应以上述应赔付费用为基数和每日5‰的标准，向甲方支付逾期付款违约金。</w:t>
      </w:r>
    </w:p>
    <w:p w14:paraId="3D382C3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14.10如乙方未经甲方事先确认分包项目或不服从甲方对项目分包范围及内容的调整，则视为乙方违约，甲方有权取消乙方承包资格并单方解除本合同，不再支付本工程项目维修款项并限令乙方10日内按本合同约定无条件退场并且乙方需支付按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总价20%的金额承担违约责任。</w:t>
      </w:r>
    </w:p>
    <w:p w14:paraId="6DA9BC8D">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14.11</w:t>
      </w:r>
      <w:r>
        <w:rPr>
          <w:rFonts w:hint="eastAsia" w:ascii="仿宋_GB2312" w:hAnsi="宋体" w:eastAsia="仿宋_GB2312" w:cs="Times New Roman"/>
          <w:spacing w:val="2"/>
          <w:sz w:val="28"/>
          <w:szCs w:val="28"/>
        </w:rPr>
        <w:tab/>
      </w:r>
      <w:r>
        <w:rPr>
          <w:rFonts w:hint="eastAsia" w:ascii="仿宋_GB2312" w:hAnsi="宋体" w:eastAsia="仿宋_GB2312" w:cs="Times New Roman"/>
          <w:spacing w:val="2"/>
          <w:sz w:val="28"/>
          <w:szCs w:val="28"/>
        </w:rPr>
        <w:t>如乙方未在合同约定的时间内交齐全部竣工资料（甲方原因除外），按延期竣工处理，承担相应的违约责任。</w:t>
      </w:r>
    </w:p>
    <w:p w14:paraId="0319092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14.12乙方应按本合同规定按时、按质、按量完成该项工程。在施工过程中，除不可抗力、甲方书面通知外，乙方不得以任何理由停工。如因乙方原因，停工累计达3天且甲方书面通知后没有按甲方要求改进的，甲方有权解除本合同，不予返还乙方已运用到项目上的任何材料，同时责令乙方5个工作日之内无条件完全退场并交清所有项目资料，暂不结算乙方已完成工程量（已完工程量验收合格的部分予以结算）。乙方应赔偿给甲方造成的一切直接、间接损失和向第三方承担的赔偿损失，包括但不限于另行发包后的项目造价超过原项目造价的部分，且甲方可直接从未结工程款中抵扣乙方应赔偿的损失，不足部分由乙方即时全数补付甲方。</w:t>
      </w:r>
    </w:p>
    <w:p w14:paraId="33EE2FA8">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14.13 乙方应严格按照经甲方审核确认的关键工期节点工期进度计划按时、按质、按量完成施工。如乙方不能按甲方审核的工期进度计划实施，造成工期延误的（以甲方确认为准），甲方有权每天暂扣维修项目结算价的1%（最低不少于一万元人民币）。如乙方在甲方规定的工期内赶回进度计划，甲方按本合同约定实际情况予以支付。如乙方进度计划节点工期进度无法实现，且甲方书面通知后，措施不力或没有按甲方要求改进，造成连续2个关键节点工期进度滞后，并且延误工期累计达5天以上（含5天）的，乙方应向甲方支付本合同总价20%的违约金，且甲方保留解除合同的权利。</w:t>
      </w:r>
    </w:p>
    <w:p w14:paraId="54A8303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14.14延误违约金、损失赔偿费约定：若本项目不能在本合同工期内全部竣工并验收合格，每逾期1 天，乙方应按</w:t>
      </w:r>
      <w:r>
        <w:rPr>
          <w:rFonts w:hint="eastAsia" w:ascii="仿宋_GB2312" w:hAnsi="宋体" w:eastAsia="仿宋_GB2312" w:cs="Times New Roman"/>
          <w:spacing w:val="2"/>
          <w:sz w:val="28"/>
          <w:szCs w:val="28"/>
          <w:u w:val="single"/>
        </w:rPr>
        <w:t>5000</w:t>
      </w:r>
      <w:r>
        <w:rPr>
          <w:rFonts w:hint="eastAsia" w:ascii="仿宋_GB2312" w:hAnsi="宋体" w:eastAsia="仿宋_GB2312" w:cs="Times New Roman"/>
          <w:spacing w:val="2"/>
          <w:sz w:val="28"/>
          <w:szCs w:val="28"/>
        </w:rPr>
        <w:t>元/天的标准向甲方支付违约金，逾期达10天（包括10天）的，甲方有权解除合同，乙方应当支付本合同总价20%的违约金。</w:t>
      </w:r>
    </w:p>
    <w:p w14:paraId="0F2F7041">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14.15乙方的施工安全管理须符合国家或省、市等的有关规定，且须保证安全文明施工措施费专款专用，否则甲方有权不予支付安全文明施工措施费；因乙方未履行上述约定而造成的任何损失和责任，概由乙方承担。甲方有权就乙方违反安全文明施工的情况发出限期整改通知，乙方未在期限内整改达标的，甲方有权按每违反一次扣款2000元的标准追究乙方的违约责任。</w:t>
      </w:r>
    </w:p>
    <w:p w14:paraId="67E2F41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14.16乙方必须按照施工规范和方案进行施工，甲方有权就乙方不按规范施工的行为发出限期整改通知，乙方未在期限内整改达标的，甲方有权按每违反一次扣款5000元的标准追究乙方的违约责任，且不免除乙方按本合同其他条款承担违约责任。</w:t>
      </w:r>
    </w:p>
    <w:p w14:paraId="583BC0F8">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14.17乙方须按本合同的约定承接甲方委托的本项目周边类似配套零星项目及临时项目，对该类项目乙方必须按甲方的要求时间5天内开工，否则，甲方有权代乙方按上述计价方式上浮20%委托其他队伍施工，同时甲方收取30%的项目管理费，乙方须负责此正常发包价50%的上浮费用。</w:t>
      </w:r>
    </w:p>
    <w:p w14:paraId="54CBBB9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14.18合同履行过程中出现以下情况的，甲方有权直接减少乙方的承包范围直至解除合同，乙方应按合同暂定总价的20%承担违约责任：</w:t>
      </w:r>
    </w:p>
    <w:p w14:paraId="25E76CCF">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14.18.1超过合同规定或甲方指定的开工日期5天，乙方仍未进场的；</w:t>
      </w:r>
    </w:p>
    <w:p w14:paraId="0F6BEF6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14.18.2乙方虽已进场，但乙方未按合同约定或甲方指定时间开始实际施工，并且在甲方给定的宽限期内乙方仍未开始实际施工的；</w:t>
      </w:r>
    </w:p>
    <w:p w14:paraId="3C91E14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14.18.3乙方实际施工进度，与合同约定的工期、节点工期或乙方提交并经甲方审核认可的进度计划相比，延迟5天以上, 且乙方没有采取切实可行赶工措施的；</w:t>
      </w:r>
    </w:p>
    <w:p w14:paraId="6997322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14.18.4乙方无合同依据且未经甲方同意中途退场的；</w:t>
      </w:r>
    </w:p>
    <w:p w14:paraId="7DED03F7">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14.18.5在验收过程中(含中间验收)，乙方的工程施工质量被判定为不合格，乙方未在甲方指定的时间内开始整改，或者超过甲方规定的期限仍未整改合格的；</w:t>
      </w:r>
    </w:p>
    <w:p w14:paraId="5A58A29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14.18.6发生重大安全事故。对甲方或政府主管部门提出的安全文明施工整改要求，在指定期限内未予落实的；</w:t>
      </w:r>
    </w:p>
    <w:p w14:paraId="25A943C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14.18.7乙方未经甲方同意擅自分包、转包的；</w:t>
      </w:r>
    </w:p>
    <w:p w14:paraId="11092C3F">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14.18.8乙方伪造、虚报企业资质的；</w:t>
      </w:r>
    </w:p>
    <w:p w14:paraId="26AA3B0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14.18.9乙方在合同的竞争和实施过程中有商业腐败和欺诈行为的；</w:t>
      </w:r>
    </w:p>
    <w:p w14:paraId="3BD6977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14.18.10有证据证明乙方组织民工向甲方示威、聚众闹事等影响到甲方正常工作的；</w:t>
      </w:r>
    </w:p>
    <w:p w14:paraId="70A0BA2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14.18.11合同规定的甲方有权解除合同的其他情形。</w:t>
      </w:r>
    </w:p>
    <w:p w14:paraId="38E62B0B">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14.19 甲方单方解约后，乙方无条件退场的约定：</w:t>
      </w:r>
    </w:p>
    <w:p w14:paraId="42290911">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14.19.1乙方违反合同约定，达到本合同解约条件时，甲方有权单方面发出解约通知解除合同，解约通知到达乙方后生效，并根据合同约定赔偿甲方所有损失。</w:t>
      </w:r>
    </w:p>
    <w:p w14:paraId="1B390525">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14.19.2合同解除后，乙方应妥善做好已完项目和已购材料、设备的保护和移交工作，按甲方要求将乙方装备和人员撤出施工场地。乙方应在甲方通知的退场截止日前无条件完成退场。甲方通知中未明确退场截止日的，以通知日起的第7天为退场截止日。</w:t>
      </w:r>
    </w:p>
    <w:p w14:paraId="719E632F">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14.19.3在不影响人员、财产安全的前提下，所有工作全部暂停，进入完成工程量确认工作阶段。工程量确认工作（包括影像资料）由甲、乙双方一起进行，并在甲方通知后5天内完成。乙方拒不配合的，完成工程量以甲方确认的为准。</w:t>
      </w:r>
    </w:p>
    <w:p w14:paraId="64E081C0">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14.19.4乙方承诺不破坏和撤离已投入到项目上的所有建筑材料、设备、周转材，否则，甲方可全数扣除应付未付之款项，同时向履约担保单位要求索赔。对于已在项目上使用的周转材和机械设备，甲方如继续沿用，可按照市场上的租金计算费用；对于尚未用到项目上所有周转材、机械设备，甲方如需要使用，乙方同意可供甲方使用到竣工验收合格而仅支付租金。如甲方不需沿用上述周转材和机械设备，乙方应在退场截止日前全部退场。</w:t>
      </w:r>
    </w:p>
    <w:p w14:paraId="180F9075">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14.19.5如甲方继续沿用乙方聘用的工人班组、分包人、供应商，乙方不得以任何方式、手段对上述人员、单位施加压力，阻挠工程项目的进行。如有发现，则按延迟退场论，甲方可按本合同进行处理。如甲方不需沿用上述工人班组、分包人、供应商，乙方应在退场截止日前全部退场。</w:t>
      </w:r>
    </w:p>
    <w:p w14:paraId="4C33371F">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14.19.6乙方在甲方通知退场之日起5天之内无条件交清所有项目相关资料，20天内交清所有已完成项目的工程量清单，否则按延迟退场论。</w:t>
      </w:r>
    </w:p>
    <w:p w14:paraId="1919BF74">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14.19.7乙方每推迟1天退场，应支付甲方违约金人民币</w:t>
      </w:r>
      <w:r>
        <w:rPr>
          <w:rFonts w:hint="eastAsia" w:ascii="仿宋_GB2312" w:hAnsi="宋体" w:eastAsia="仿宋_GB2312" w:cs="Times New Roman"/>
          <w:sz w:val="28"/>
          <w:szCs w:val="28"/>
          <w:u w:val="single"/>
        </w:rPr>
        <w:t>1</w:t>
      </w:r>
      <w:r>
        <w:rPr>
          <w:rFonts w:hint="eastAsia" w:ascii="仿宋_GB2312" w:hAnsi="宋体" w:eastAsia="仿宋_GB2312" w:cs="Times New Roman"/>
          <w:sz w:val="28"/>
          <w:szCs w:val="28"/>
        </w:rPr>
        <w:t>万元，甲方不对乙方退场的损失作任何补偿或赔偿，并且甲方有权采取措施将乙方的人员和设备搬离施工现场，因此造成的全部损失由乙方承担。对于乙方已完成的项目，如果乙方完全接受以上的安排，并按照以上安排完成了全部退场，工程款可支付至乙方完成工程价款（以甲方书面确认为准)的60%；在乙方的全力配合下工程竣工验收合格后60个工作日内办理结算，结算结束后支付至乙方完成工程价款(以甲方书面确认为准)的90%；乙方同意甲方不再支付余款10%。对于乙方完成的工程项目，乙方的退场，不免除乙方对项目质量缺陷应承担责任。</w:t>
      </w:r>
    </w:p>
    <w:p w14:paraId="2734F689">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14.19.8乙方的退场，不免除乙方因工期延误对甲方造成的损失赔偿责任，同时乙方应按照第十四条14.14条承担相应的工期延误违约责任，延误工期的计算时间为工期延误时间加上从甲方通知退场日到乙方完成退场之日的时间。</w:t>
      </w:r>
    </w:p>
    <w:p w14:paraId="5DA87E3B">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14.20乙方在本工程使用的材料、设备、技术等不得侵犯他人的知识产权，否则引起的一切法律责任该由乙方承担，并赔偿因此给甲方造成的损失。</w:t>
      </w:r>
    </w:p>
    <w:p w14:paraId="0A7E3707">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14.21乙方违反本合同约定的承诺、保证或其他为实现本合同目的所需的作为或不作为行为的，如上文未约定相应违约责任的，则应按照合同总价款20%向甲方支付违约金并赔偿甲方相应损失；如属于乙方及其工作人员欠缺相应资质的，甲方同时有权解除合同。</w:t>
      </w:r>
    </w:p>
    <w:p w14:paraId="70095184">
      <w:pPr>
        <w:spacing w:line="560" w:lineRule="exact"/>
        <w:ind w:firstLine="420" w:firstLineChars="150"/>
        <w:jc w:val="left"/>
        <w:rPr>
          <w:rFonts w:hint="eastAsia" w:ascii="仿宋_GB2312" w:hAnsi="宋体" w:eastAsia="仿宋_GB2312" w:cs="Times New Roman"/>
          <w:kern w:val="0"/>
          <w:sz w:val="28"/>
          <w:szCs w:val="28"/>
        </w:rPr>
      </w:pPr>
      <w:r>
        <w:rPr>
          <w:rFonts w:hint="eastAsia" w:ascii="仿宋_GB2312" w:hAnsi="宋体" w:eastAsia="仿宋_GB2312" w:cs="Times New Roman"/>
          <w:kern w:val="0"/>
          <w:sz w:val="28"/>
          <w:szCs w:val="28"/>
        </w:rPr>
        <w:t>14.22因乙方原因提前解除合同的，甲方有权依照《供应商黑名单管理办法》（附件8）中的相关情形，追究乙方相关违约责任，还应向甲方赔偿所有损失。</w:t>
      </w:r>
    </w:p>
    <w:p w14:paraId="1C7355FC">
      <w:pPr>
        <w:keepNext w:val="0"/>
        <w:keepLines w:val="0"/>
        <w:pageBreakBefore w:val="0"/>
        <w:widowControl/>
        <w:numPr>
          <w:ilvl w:val="0"/>
          <w:numId w:val="0"/>
        </w:numPr>
        <w:tabs>
          <w:tab w:val="left" w:pos="360"/>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宋体" w:eastAsia="仿宋_GB2312" w:cs="Times New Roman"/>
          <w:b w:val="0"/>
          <w:bCs w:val="0"/>
          <w:color w:val="auto"/>
          <w:kern w:val="0"/>
          <w:sz w:val="28"/>
          <w:szCs w:val="28"/>
          <w:highlight w:val="none"/>
          <w:lang w:val="en-US" w:eastAsia="zh-CN"/>
        </w:rPr>
        <w:t>14.23因</w:t>
      </w:r>
      <w:r>
        <w:rPr>
          <w:rFonts w:hint="eastAsia" w:ascii="仿宋_GB2312" w:hAnsi="仿宋_GB2312" w:eastAsia="仿宋_GB2312" w:cs="仿宋_GB2312"/>
          <w:b w:val="0"/>
          <w:bCs w:val="0"/>
          <w:color w:val="auto"/>
          <w:sz w:val="28"/>
          <w:szCs w:val="28"/>
          <w:highlight w:val="none"/>
          <w:lang w:val="en-US" w:eastAsia="zh-CN"/>
        </w:rPr>
        <w:t>甲方丧失本合同全部项目（或部分项目）的物业管理权，导致本合同全部项目（或部分项目）无法继续履行的，按以下约定处理：</w:t>
      </w:r>
    </w:p>
    <w:p w14:paraId="21F00B97">
      <w:pPr>
        <w:keepNext w:val="0"/>
        <w:keepLines w:val="0"/>
        <w:pageBreakBefore w:val="0"/>
        <w:widowControl/>
        <w:numPr>
          <w:ilvl w:val="0"/>
          <w:numId w:val="0"/>
        </w:numPr>
        <w:tabs>
          <w:tab w:val="left" w:pos="360"/>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若为全部项目，甲方可提前书面通知乙方解除本合同，不视为违约。甲方按本合同约定据实结算乙方已完成工程量的相关费用，无需承担其他任何赔偿或补偿责任。</w:t>
      </w:r>
    </w:p>
    <w:p w14:paraId="0A21D5C0">
      <w:pPr>
        <w:widowControl/>
        <w:tabs>
          <w:tab w:val="left" w:pos="360"/>
        </w:tabs>
        <w:adjustRightInd w:val="0"/>
        <w:snapToGrid w:val="0"/>
        <w:spacing w:line="560" w:lineRule="exact"/>
        <w:ind w:firstLine="560" w:firstLineChars="200"/>
        <w:jc w:val="left"/>
        <w:rPr>
          <w:rFonts w:hint="eastAsia" w:ascii="仿宋_GB2312" w:hAnsi="宋体" w:eastAsia="仿宋_GB2312" w:cs="Times New Roman"/>
          <w:kern w:val="0"/>
          <w:sz w:val="28"/>
          <w:szCs w:val="28"/>
        </w:rPr>
      </w:pPr>
      <w:r>
        <w:rPr>
          <w:rFonts w:hint="eastAsia" w:ascii="仿宋_GB2312" w:hAnsi="仿宋_GB2312" w:eastAsia="仿宋_GB2312" w:cs="仿宋_GB2312"/>
          <w:b w:val="0"/>
          <w:bCs w:val="0"/>
          <w:color w:val="auto"/>
          <w:sz w:val="28"/>
          <w:szCs w:val="28"/>
          <w:highlight w:val="none"/>
          <w:lang w:val="en-US" w:eastAsia="zh-CN"/>
        </w:rPr>
        <w:t>若为部分项目，甲方可书面通知乙方就丧失物业管理权的项目暂停服务并撤场，不视为违约。未受影响部分仍按本合同约定继续履行。甲方仅须就丧失物业管理权部分已完成的工程量据实结算，不承担其他任何赔偿或补偿责任。</w:t>
      </w:r>
    </w:p>
    <w:p w14:paraId="7EA5C0A9">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第十五条 反商业贿赂条款</w:t>
      </w:r>
    </w:p>
    <w:p w14:paraId="75E95548">
      <w:pPr>
        <w:spacing w:line="560" w:lineRule="exact"/>
        <w:ind w:firstLine="420" w:firstLineChars="150"/>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15.1基本定义</w:t>
      </w:r>
    </w:p>
    <w:p w14:paraId="28E1AA79">
      <w:pPr>
        <w:spacing w:line="560" w:lineRule="exact"/>
        <w:ind w:firstLine="420" w:firstLineChars="150"/>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15.1.1本条（协议）所指的商业贿赂是指：乙方为获取与甲方（含甲方关联公司及机构，下文中“甲方”均指此范围）的合作及合作的利益，乙方或乙方工作人员给予甲方工作人员或其指定关系人的一切直接或间接的不正当利益。</w:t>
      </w:r>
    </w:p>
    <w:p w14:paraId="01169BE1">
      <w:pPr>
        <w:spacing w:line="560" w:lineRule="exact"/>
        <w:ind w:firstLine="420" w:firstLineChars="150"/>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15.1.2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宋体" w:hAnsi="宋体" w:eastAsia="宋体" w:cs="宋体"/>
          <w:kern w:val="0"/>
          <w:sz w:val="28"/>
          <w:szCs w:val="28"/>
        </w:rPr>
        <w:t>劵</w:t>
      </w:r>
      <w:r>
        <w:rPr>
          <w:rFonts w:hint="eastAsia" w:ascii="仿宋_GB2312" w:hAnsi="仿宋_GB2312" w:eastAsia="仿宋_GB2312" w:cs="仿宋_GB2312"/>
          <w:kern w:val="0"/>
          <w:sz w:val="28"/>
          <w:szCs w:val="28"/>
        </w:rPr>
        <w:t>）、旅游、考察、房屋装修等；</w:t>
      </w:r>
      <w:r>
        <w:rPr>
          <w:rFonts w:hint="eastAsia" w:ascii="仿宋_GB2312" w:hAnsi="宋体" w:eastAsia="仿宋_GB2312" w:cs="Times New Roman"/>
          <w:kern w:val="0"/>
          <w:sz w:val="28"/>
          <w:szCs w:val="28"/>
        </w:rPr>
        <w:t>2)借款、融资担保、商品赊销、回扣、购物折扣、置业、礼品（如纪念品、节日礼品等）、馈赠、娱乐、招待等；3）提供或介绍就业、就学、参股或参与经营机会等；4）通过分包、转包等形式对甲方工作人员或其指定关系人进行利益输送。</w:t>
      </w:r>
    </w:p>
    <w:p w14:paraId="60B78BF3">
      <w:pPr>
        <w:spacing w:line="560" w:lineRule="exact"/>
        <w:ind w:firstLine="420" w:firstLineChars="150"/>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15.2协助义务与违约责任</w:t>
      </w:r>
    </w:p>
    <w:p w14:paraId="63CE4FCE">
      <w:pPr>
        <w:spacing w:line="560" w:lineRule="exact"/>
        <w:ind w:firstLine="420" w:firstLineChars="150"/>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15.2.1乙方理解并同意，甲方任何工作人员、部门不得以任何名义向乙方或乙方工作人员索取或收受商业贿赂；乙方或乙方工作人员不得以任何名义向甲方工作人员或其指定关系人进行商业贿赂。若甲方工作人员要求乙方或乙方工作人员给予任何形式的商业贿赂，乙方必须拒绝，并及时通过电话或邮件形式向深圳第一亚太物业管理有限公司进行投诉举报，监督电话：4007891668；监督邮箱：</w:t>
      </w:r>
      <w:r>
        <w:fldChar w:fldCharType="begin"/>
      </w:r>
      <w:r>
        <w:instrText xml:space="preserve"> HYPERLINK "mailto:ytzbzhglb@csc-sz.com" </w:instrText>
      </w:r>
      <w:r>
        <w:fldChar w:fldCharType="separate"/>
      </w:r>
      <w:r>
        <w:rPr>
          <w:rFonts w:hint="eastAsia" w:ascii="仿宋_GB2312" w:hAnsi="宋体" w:eastAsia="仿宋_GB2312" w:cs="Times New Roman"/>
          <w:kern w:val="0"/>
          <w:sz w:val="28"/>
          <w:szCs w:val="28"/>
        </w:rPr>
        <w:t>ytzbzhglb@csc-sz.com</w:t>
      </w:r>
      <w:r>
        <w:rPr>
          <w:rFonts w:hint="eastAsia" w:ascii="仿宋_GB2312" w:hAnsi="宋体" w:eastAsia="仿宋_GB2312" w:cs="Times New Roman"/>
          <w:kern w:val="0"/>
          <w:sz w:val="28"/>
          <w:szCs w:val="28"/>
        </w:rPr>
        <w:fldChar w:fldCharType="end"/>
      </w:r>
      <w:r>
        <w:rPr>
          <w:rFonts w:hint="eastAsia" w:ascii="仿宋_GB2312" w:hAnsi="宋体" w:eastAsia="仿宋_GB2312" w:cs="Times New Roman"/>
          <w:kern w:val="0"/>
          <w:sz w:val="28"/>
          <w:szCs w:val="28"/>
        </w:rPr>
        <w:t>。</w:t>
      </w:r>
    </w:p>
    <w:p w14:paraId="18A9EF09">
      <w:pPr>
        <w:spacing w:line="560" w:lineRule="exact"/>
        <w:ind w:firstLine="420" w:firstLineChars="150"/>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15.2.2乙方理解并同意，如违反约定向甲方工作人员或其指定关系人实施商业贿赂的，将构成乙方重大违约，无论是否造成损害结果，甲方有权采取下列一项或多项措施：1）解除双方签订的合作协议，终止合作；2）冻结应付款项、履约保证金等直至甲方相关案件调查结束，且无需承担任何违约责任；3）要求乙方向甲方支付10万元违约金或者支付所涉合同金额的30%作为违约金，以两者中较高者为准。同时，乙方应于甲方发现违约行为之日起5个工作日内支付违约金，如未及时支付，甲方有权从合同款项或履约保证金中直接扣除。</w:t>
      </w:r>
    </w:p>
    <w:p w14:paraId="249E2786">
      <w:pPr>
        <w:spacing w:line="560" w:lineRule="exact"/>
        <w:ind w:firstLine="420" w:firstLineChars="150"/>
        <w:jc w:val="left"/>
        <w:rPr>
          <w:rFonts w:ascii="仿宋_GB2312" w:hAnsi="Times New Roman" w:eastAsia="仿宋_GB2312" w:cs="Times New Roman"/>
          <w:sz w:val="28"/>
          <w:szCs w:val="28"/>
        </w:rPr>
      </w:pPr>
      <w:r>
        <w:rPr>
          <w:rFonts w:hint="eastAsia" w:ascii="仿宋_GB2312" w:hAnsi="宋体" w:eastAsia="仿宋_GB2312" w:cs="Times New Roman"/>
          <w:kern w:val="0"/>
          <w:sz w:val="28"/>
          <w:szCs w:val="28"/>
        </w:rPr>
        <w:t>15.2.3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或减免上述违约责任，对于上述情形的处理甲方有完全的判断权和自主权。</w:t>
      </w:r>
    </w:p>
    <w:p w14:paraId="0F7CC94C">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第十六条 不可抗力</w:t>
      </w:r>
    </w:p>
    <w:p w14:paraId="508E2496">
      <w:pPr>
        <w:adjustRightInd w:val="0"/>
        <w:snapToGrid w:val="0"/>
        <w:spacing w:line="560" w:lineRule="exact"/>
        <w:ind w:firstLine="568" w:firstLineChars="200"/>
        <w:jc w:val="left"/>
        <w:rPr>
          <w:rFonts w:ascii="仿宋_GB2312" w:hAnsi="宋体" w:eastAsia="仿宋_GB2312" w:cs="Times New Roman"/>
          <w:bCs/>
          <w:spacing w:val="2"/>
          <w:sz w:val="28"/>
          <w:szCs w:val="28"/>
        </w:rPr>
      </w:pPr>
      <w:r>
        <w:rPr>
          <w:rFonts w:hint="eastAsia" w:ascii="仿宋_GB2312" w:hAnsi="宋体" w:eastAsia="仿宋_GB2312" w:cs="Times New Roman"/>
          <w:bCs/>
          <w:spacing w:val="2"/>
          <w:sz w:val="28"/>
          <w:szCs w:val="28"/>
        </w:rPr>
        <w:t>16.1本工程乙方需充分考虑各种常规自然现象带来的对工期的不利影响，不可抗力仅是指战争、动乱、空中飞行物体坠落或非乙方、甲方所造成的爆炸、火灾及以下自然灾害等导致本项目无法正常进行：</w:t>
      </w:r>
    </w:p>
    <w:p w14:paraId="0A5DC869">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16.1.1地震烈度在7度以上；</w:t>
      </w:r>
    </w:p>
    <w:p w14:paraId="4DFFF498">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16.1.2 八级以上大风持续一天以上；</w:t>
      </w:r>
    </w:p>
    <w:p w14:paraId="57D87A9A">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16.1.3持续降雨24小时且雨量在300mm以上。</w:t>
      </w:r>
    </w:p>
    <w:p w14:paraId="5744EECB">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16.2乙方延迟履行合同后发生不可抗力事件的，不能免除其对因不可抗力造成的损失的赔偿责任。</w:t>
      </w:r>
    </w:p>
    <w:p w14:paraId="73333D56">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16.3不可抗力事件发生后，乙方应采取措施尽量避免和减少由此产生的损失，否则损失扩大部分由乙方自行承担。</w:t>
      </w:r>
    </w:p>
    <w:p w14:paraId="7C3F4F35">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第十七条 保险</w:t>
      </w:r>
    </w:p>
    <w:p w14:paraId="1C29048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17.1本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项下的工程在未正式移交甲方之前，由乙方自行承担本项目的全部风险，包括但不限于意外事故、自然灾害、乙方行为、第三方行为或其它非甲方行为造成本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项下项目全部或部分毁损、灭失或无法使用的，所有损失均由乙方承担，与甲方无关，且乙方仍应继续履行本</w:t>
      </w:r>
      <w:r>
        <w:rPr>
          <w:rFonts w:hint="eastAsia" w:ascii="仿宋_GB2312" w:hAnsi="宋体" w:eastAsia="仿宋_GB2312" w:cs="Times New Roman"/>
          <w:sz w:val="28"/>
          <w:szCs w:val="28"/>
        </w:rPr>
        <w:t>合同</w:t>
      </w:r>
      <w:r>
        <w:rPr>
          <w:rFonts w:hint="eastAsia" w:ascii="仿宋_GB2312" w:hAnsi="宋体" w:eastAsia="仿宋_GB2312" w:cs="Times New Roman"/>
          <w:spacing w:val="2"/>
          <w:sz w:val="28"/>
          <w:szCs w:val="28"/>
        </w:rPr>
        <w:t>全部义务及责任（包括但不限于按时竣工及移交项目的责任），已毁损、灭失或无法使用的部分视为乙方未完成的项目（乙方应另行包干包料施工，甲方不给予任何补偿或赔偿）。</w:t>
      </w:r>
    </w:p>
    <w:p w14:paraId="11B9B91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17.2乙方应为在现场使用的机械、设备、材料和施工人员的办理保险，并支付足额保险费用。</w:t>
      </w:r>
    </w:p>
    <w:p w14:paraId="0066D2DB">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17.3乙方应为从事危险作业的职工办理意外伤害保险，支付足额保险费用。乙方因施工所产生的人员伤亡等事故或因第三方的索赔产生的责任，概由乙方承担。</w:t>
      </w:r>
    </w:p>
    <w:p w14:paraId="55D6701F">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17.4意外事故发生时，甲、乙各方均有责任采取必要的措施，防止事态扩大，减少损失。</w:t>
      </w:r>
    </w:p>
    <w:p w14:paraId="119824FA">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第十八条 通知及联系</w:t>
      </w:r>
    </w:p>
    <w:p w14:paraId="36B6CF4C">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18.1双方的联系地址、电话、传真、电子邮箱均以本合同列明的联系地址或营业执照注册地为准，除双方另有约定。如果有变更的，应于变更前的十日内书面通知对方，否则由此引起的后果及责任由变更方承担。</w:t>
      </w:r>
    </w:p>
    <w:p w14:paraId="04F88B7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18.2任何一方采用邮寄方式给对方发送通知的（送达内容包括但不限于有关履行本合同的所有通知，亦包括因本合同纠纷提起的诉讼、仲裁、执行等文书的送达），邮寄之日起满五日则视为送达。因“地址不详”、“查无此人”、“电话不通”、“对方拒收”或其他原因，导致邮件被退回的，均视为已经送达。</w:t>
      </w:r>
    </w:p>
    <w:p w14:paraId="29B90350">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18.3 任何一方依据本合同列明的电子邮箱、手机号码分别以电子邮件、微信或短信的形式发送通知的，以到达乙方特定系统之时，视为已经送达。</w:t>
      </w:r>
    </w:p>
    <w:p w14:paraId="2675EC57">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第十九条 其他</w:t>
      </w:r>
    </w:p>
    <w:p w14:paraId="49E1834F">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19.1本合同中个别条款如在履行过程中被证实无效、不合法或无法执行，不影响其它条款的效力。</w:t>
      </w:r>
    </w:p>
    <w:p w14:paraId="329C556B">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19.2双方任何一方未行使任何合同赋予的权利，并不构成对该权利的放弃，亦不影响日后对该权利的行使。</w:t>
      </w:r>
    </w:p>
    <w:p w14:paraId="5AA039F0">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19.3未经合同双方书面同意，本合同项下权利义务不得转让。</w:t>
      </w:r>
    </w:p>
    <w:p w14:paraId="07F62BB7">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19.4本合同未尽事宜，由甲、乙双方友好协商解决。</w:t>
      </w:r>
    </w:p>
    <w:p w14:paraId="0F1BAC67">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第二十条 争议解决</w:t>
      </w:r>
    </w:p>
    <w:p w14:paraId="6C14804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如本合同履行过程中发生争议，双方应及时协商解决，也可由当地建设行政主管部门调解。协商或调解不成时，提交工程所在地法院诉讼解决。</w:t>
      </w:r>
    </w:p>
    <w:p w14:paraId="238A179C">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第二十一条 合同效力及份数</w:t>
      </w:r>
    </w:p>
    <w:p w14:paraId="2C154DA1">
      <w:pPr>
        <w:adjustRightInd w:val="0"/>
        <w:snapToGrid w:val="0"/>
        <w:spacing w:line="560" w:lineRule="exact"/>
        <w:ind w:firstLine="560" w:firstLineChars="200"/>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本合同自双方签字盖章之日起生效。本合同连同附件壹式</w:t>
      </w:r>
      <w:r>
        <w:rPr>
          <w:rFonts w:hint="eastAsia" w:ascii="仿宋_GB2312" w:hAnsi="宋体" w:eastAsia="仿宋_GB2312" w:cs="Times New Roman"/>
          <w:sz w:val="28"/>
          <w:szCs w:val="28"/>
          <w:u w:val="single"/>
        </w:rPr>
        <w:t>肆</w:t>
      </w:r>
      <w:r>
        <w:rPr>
          <w:rFonts w:hint="eastAsia" w:ascii="仿宋_GB2312" w:hAnsi="宋体" w:eastAsia="仿宋_GB2312" w:cs="Times New Roman"/>
          <w:sz w:val="28"/>
          <w:szCs w:val="28"/>
        </w:rPr>
        <w:t>份，甲方执</w:t>
      </w:r>
      <w:r>
        <w:rPr>
          <w:rFonts w:hint="eastAsia" w:ascii="仿宋_GB2312" w:hAnsi="宋体" w:eastAsia="仿宋_GB2312" w:cs="Times New Roman"/>
          <w:sz w:val="28"/>
          <w:szCs w:val="28"/>
          <w:u w:val="single"/>
        </w:rPr>
        <w:t>贰</w:t>
      </w:r>
      <w:r>
        <w:rPr>
          <w:rFonts w:hint="eastAsia" w:ascii="仿宋_GB2312" w:hAnsi="宋体" w:eastAsia="仿宋_GB2312" w:cs="Times New Roman"/>
          <w:sz w:val="28"/>
          <w:szCs w:val="28"/>
        </w:rPr>
        <w:t>份，乙方执</w:t>
      </w:r>
      <w:r>
        <w:rPr>
          <w:rFonts w:hint="eastAsia" w:ascii="仿宋_GB2312" w:hAnsi="宋体" w:eastAsia="仿宋_GB2312" w:cs="Times New Roman"/>
          <w:sz w:val="28"/>
          <w:szCs w:val="28"/>
          <w:u w:val="single"/>
        </w:rPr>
        <w:t>贰</w:t>
      </w:r>
      <w:r>
        <w:rPr>
          <w:rFonts w:hint="eastAsia" w:ascii="仿宋_GB2312" w:hAnsi="宋体" w:eastAsia="仿宋_GB2312" w:cs="Times New Roman"/>
          <w:sz w:val="28"/>
          <w:szCs w:val="28"/>
        </w:rPr>
        <w:t>份，均具有同等法律效力。</w:t>
      </w:r>
    </w:p>
    <w:p w14:paraId="45910371">
      <w:pPr>
        <w:tabs>
          <w:tab w:val="left" w:pos="360"/>
          <w:tab w:val="left" w:pos="720"/>
        </w:tabs>
        <w:adjustRightInd w:val="0"/>
        <w:snapToGrid w:val="0"/>
        <w:spacing w:line="560" w:lineRule="exact"/>
        <w:ind w:firstLine="640" w:firstLineChars="200"/>
        <w:jc w:val="left"/>
        <w:rPr>
          <w:rFonts w:ascii="黑体" w:hAnsi="黑体" w:eastAsia="黑体" w:cs="Times New Roman"/>
          <w:bCs/>
          <w:sz w:val="32"/>
          <w:szCs w:val="28"/>
        </w:rPr>
      </w:pPr>
      <w:r>
        <w:rPr>
          <w:rFonts w:hint="eastAsia" w:ascii="黑体" w:hAnsi="黑体" w:eastAsia="黑体" w:cs="Times New Roman"/>
          <w:bCs/>
          <w:sz w:val="32"/>
          <w:szCs w:val="28"/>
        </w:rPr>
        <w:t>第二十二条 附件</w:t>
      </w:r>
    </w:p>
    <w:p w14:paraId="23D0F8EF">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附件1：《工程质量保修书》</w:t>
      </w:r>
    </w:p>
    <w:p w14:paraId="485948D4">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附件2：《货品供应商、服务商及工程单位承诺书》</w:t>
      </w:r>
    </w:p>
    <w:p w14:paraId="2B53FF1E">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附件3：《经甲方确认的乙方报价单》</w:t>
      </w:r>
    </w:p>
    <w:p w14:paraId="62ABA0AB">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lang w:bidi="ar"/>
        </w:rPr>
        <w:t>附件4：</w:t>
      </w:r>
      <w:r>
        <w:rPr>
          <w:rFonts w:hint="eastAsia" w:ascii="仿宋_GB2312" w:hAnsi="宋体" w:eastAsia="仿宋_GB2312" w:cs="Times New Roman"/>
          <w:spacing w:val="2"/>
          <w:sz w:val="28"/>
          <w:szCs w:val="28"/>
        </w:rPr>
        <w:t>《</w:t>
      </w:r>
      <w:r>
        <w:rPr>
          <w:rFonts w:hint="eastAsia" w:ascii="仿宋_GB2312" w:hAnsi="宋体" w:eastAsia="仿宋_GB2312" w:cs="Times New Roman"/>
          <w:spacing w:val="2"/>
          <w:sz w:val="28"/>
          <w:szCs w:val="28"/>
          <w:lang w:bidi="ar"/>
        </w:rPr>
        <w:t>货物一览表及技术规格</w:t>
      </w:r>
      <w:r>
        <w:rPr>
          <w:rFonts w:hint="eastAsia" w:ascii="仿宋_GB2312" w:hAnsi="宋体" w:eastAsia="仿宋_GB2312" w:cs="Times New Roman"/>
          <w:spacing w:val="2"/>
          <w:sz w:val="28"/>
          <w:szCs w:val="28"/>
        </w:rPr>
        <w:t>》</w:t>
      </w:r>
    </w:p>
    <w:p w14:paraId="2912BE75">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附件5：《乙方营业执照、资质证书复印件、项目负责人授权委托书（复印件均须加盖公章）》</w:t>
      </w:r>
    </w:p>
    <w:p w14:paraId="7C7D6178">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附件6：</w:t>
      </w:r>
      <w:r>
        <w:rPr>
          <w:rFonts w:hint="eastAsia" w:ascii="仿宋_GB2312" w:hAnsi="宋体" w:eastAsia="仿宋_GB2312"/>
          <w:sz w:val="28"/>
          <w:szCs w:val="28"/>
        </w:rPr>
        <w:t>《</w:t>
      </w:r>
      <w:r>
        <w:rPr>
          <w:rFonts w:hint="eastAsia" w:ascii="仿宋_GB2312" w:hAnsi="宋体" w:eastAsia="仿宋_GB2312" w:cs="Times New Roman"/>
          <w:bCs/>
          <w:sz w:val="28"/>
          <w:szCs w:val="28"/>
        </w:rPr>
        <w:t>零星工程验收单</w:t>
      </w:r>
      <w:r>
        <w:rPr>
          <w:rFonts w:hint="eastAsia" w:ascii="仿宋_GB2312" w:hAnsi="宋体" w:eastAsia="仿宋_GB2312"/>
          <w:sz w:val="28"/>
          <w:szCs w:val="28"/>
        </w:rPr>
        <w:t>》</w:t>
      </w:r>
    </w:p>
    <w:p w14:paraId="563019D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附件7：《安全生产协议书（施工类）》</w:t>
      </w:r>
    </w:p>
    <w:p w14:paraId="6A749452">
      <w:pPr>
        <w:adjustRightInd w:val="0"/>
        <w:snapToGrid w:val="0"/>
        <w:spacing w:line="560" w:lineRule="exact"/>
        <w:ind w:firstLine="568" w:firstLineChars="200"/>
        <w:jc w:val="left"/>
        <w:rPr>
          <w:rFonts w:ascii="仿宋_GB2312" w:hAnsi="宋体" w:eastAsia="仿宋_GB2312" w:cs="Times New Roman"/>
          <w:spacing w:val="2"/>
          <w:sz w:val="28"/>
          <w:szCs w:val="28"/>
        </w:rPr>
      </w:pPr>
      <w:r>
        <w:rPr>
          <w:rFonts w:hint="eastAsia" w:ascii="仿宋_GB2312" w:hAnsi="宋体" w:eastAsia="仿宋_GB2312" w:cs="Times New Roman"/>
          <w:spacing w:val="2"/>
          <w:sz w:val="28"/>
          <w:szCs w:val="28"/>
        </w:rPr>
        <w:t>附件8：《供应商黑名单管理办法》</w:t>
      </w:r>
    </w:p>
    <w:p w14:paraId="3CCD1A04">
      <w:pPr>
        <w:adjustRightInd w:val="0"/>
        <w:snapToGrid w:val="0"/>
        <w:spacing w:line="560" w:lineRule="exact"/>
        <w:ind w:firstLine="568" w:firstLineChars="200"/>
        <w:jc w:val="left"/>
        <w:rPr>
          <w:rFonts w:ascii="仿宋_GB2312" w:hAnsi="宋体" w:eastAsia="仿宋_GB2312" w:cs="Times New Roman"/>
          <w:bCs/>
          <w:spacing w:val="2"/>
          <w:sz w:val="28"/>
          <w:szCs w:val="28"/>
        </w:rPr>
      </w:pPr>
      <w:r>
        <w:rPr>
          <w:rFonts w:hint="eastAsia" w:ascii="仿宋_GB2312" w:hAnsi="宋体" w:eastAsia="仿宋_GB2312" w:cs="Times New Roman"/>
          <w:spacing w:val="2"/>
          <w:sz w:val="28"/>
          <w:szCs w:val="28"/>
        </w:rPr>
        <w:t>以上附件为本合同不可分割的组成部分，如附件内容与本合同</w:t>
      </w:r>
      <w:r>
        <w:rPr>
          <w:rFonts w:hint="eastAsia" w:ascii="仿宋_GB2312" w:hAnsi="宋体" w:eastAsia="仿宋_GB2312" w:cs="Times New Roman"/>
          <w:spacing w:val="2"/>
          <w:kern w:val="0"/>
          <w:sz w:val="28"/>
          <w:szCs w:val="28"/>
        </w:rPr>
        <w:t>正文</w:t>
      </w:r>
      <w:r>
        <w:rPr>
          <w:rFonts w:hint="eastAsia" w:ascii="仿宋_GB2312" w:hAnsi="宋体" w:eastAsia="仿宋_GB2312" w:cs="Times New Roman"/>
          <w:spacing w:val="2"/>
          <w:sz w:val="28"/>
          <w:szCs w:val="28"/>
        </w:rPr>
        <w:t>内容不一致的，双方同意以本合同</w:t>
      </w:r>
      <w:r>
        <w:rPr>
          <w:rFonts w:hint="eastAsia" w:ascii="仿宋_GB2312" w:hAnsi="宋体" w:eastAsia="仿宋_GB2312" w:cs="Times New Roman"/>
          <w:spacing w:val="2"/>
          <w:kern w:val="0"/>
          <w:sz w:val="28"/>
          <w:szCs w:val="28"/>
        </w:rPr>
        <w:t>正文</w:t>
      </w:r>
      <w:r>
        <w:rPr>
          <w:rFonts w:hint="eastAsia" w:ascii="仿宋_GB2312" w:hAnsi="宋体" w:eastAsia="仿宋_GB2312" w:cs="Times New Roman"/>
          <w:spacing w:val="2"/>
          <w:sz w:val="28"/>
          <w:szCs w:val="28"/>
        </w:rPr>
        <w:t>内容为准（《工程质量保修书》除外）。</w:t>
      </w:r>
    </w:p>
    <w:p w14:paraId="7F3AFE49">
      <w:pPr>
        <w:adjustRightInd w:val="0"/>
        <w:snapToGrid w:val="0"/>
        <w:spacing w:line="560" w:lineRule="exact"/>
        <w:jc w:val="left"/>
        <w:rPr>
          <w:rFonts w:ascii="仿宋_GB2312" w:hAnsi="宋体" w:eastAsia="仿宋_GB2312" w:cs="Times New Roman"/>
          <w:bCs/>
          <w:spacing w:val="2"/>
          <w:sz w:val="28"/>
          <w:szCs w:val="28"/>
        </w:rPr>
      </w:pPr>
      <w:r>
        <w:rPr>
          <w:rFonts w:hint="eastAsia" w:ascii="仿宋_GB2312" w:hAnsi="宋体" w:eastAsia="仿宋_GB2312" w:cs="Times New Roman"/>
          <w:bCs/>
          <w:spacing w:val="2"/>
          <w:sz w:val="28"/>
          <w:szCs w:val="28"/>
        </w:rPr>
        <w:t>（以下无正文）</w:t>
      </w:r>
    </w:p>
    <w:p w14:paraId="34CAADCB">
      <w:pPr>
        <w:adjustRightInd w:val="0"/>
        <w:snapToGrid w:val="0"/>
        <w:spacing w:line="560" w:lineRule="exact"/>
        <w:ind w:firstLine="568" w:firstLineChars="200"/>
        <w:jc w:val="left"/>
        <w:rPr>
          <w:rFonts w:ascii="仿宋_GB2312" w:hAnsi="宋体" w:eastAsia="仿宋_GB2312" w:cs="Times New Roman"/>
          <w:bCs/>
          <w:spacing w:val="2"/>
          <w:sz w:val="28"/>
          <w:szCs w:val="28"/>
        </w:rPr>
      </w:pPr>
    </w:p>
    <w:p w14:paraId="47480759">
      <w:pPr>
        <w:adjustRightInd w:val="0"/>
        <w:snapToGrid w:val="0"/>
        <w:spacing w:line="560" w:lineRule="exact"/>
        <w:ind w:firstLine="568" w:firstLineChars="200"/>
        <w:jc w:val="left"/>
        <w:rPr>
          <w:rFonts w:ascii="仿宋_GB2312" w:hAnsi="宋体" w:eastAsia="仿宋_GB2312" w:cs="Times New Roman"/>
          <w:bCs/>
          <w:spacing w:val="2"/>
          <w:sz w:val="28"/>
          <w:szCs w:val="28"/>
        </w:rPr>
      </w:pPr>
    </w:p>
    <w:p w14:paraId="7D93DAD9">
      <w:pPr>
        <w:autoSpaceDE w:val="0"/>
        <w:autoSpaceDN w:val="0"/>
        <w:adjustRightInd w:val="0"/>
        <w:snapToGrid w:val="0"/>
        <w:spacing w:line="560" w:lineRule="exact"/>
        <w:jc w:val="left"/>
        <w:textAlignment w:val="center"/>
        <w:rPr>
          <w:rFonts w:ascii="仿宋_GB2312" w:hAnsi="宋体" w:eastAsia="仿宋_GB2312" w:cs="Times New Roman"/>
          <w:sz w:val="28"/>
          <w:szCs w:val="28"/>
        </w:rPr>
      </w:pPr>
      <w:r>
        <w:rPr>
          <w:rFonts w:hint="eastAsia" w:ascii="仿宋_GB2312" w:hAnsi="宋体" w:eastAsia="仿宋_GB2312" w:cs="Times New Roman"/>
          <w:sz w:val="28"/>
          <w:szCs w:val="28"/>
        </w:rPr>
        <w:t>甲方（盖章）:                           乙方（盖章）:</w:t>
      </w:r>
    </w:p>
    <w:p w14:paraId="7AC49377">
      <w:pPr>
        <w:tabs>
          <w:tab w:val="left" w:pos="900"/>
        </w:tabs>
        <w:autoSpaceDE w:val="0"/>
        <w:autoSpaceDN w:val="0"/>
        <w:adjustRightInd w:val="0"/>
        <w:snapToGrid w:val="0"/>
        <w:spacing w:line="560" w:lineRule="exact"/>
        <w:ind w:firstLine="560" w:firstLineChars="200"/>
        <w:jc w:val="left"/>
        <w:textAlignment w:val="center"/>
        <w:rPr>
          <w:rFonts w:ascii="仿宋_GB2312" w:hAnsi="Times New Roman" w:eastAsia="仿宋_GB2312" w:cs="Times New Roman"/>
          <w:sz w:val="28"/>
          <w:szCs w:val="28"/>
        </w:rPr>
      </w:pPr>
    </w:p>
    <w:p w14:paraId="3CEBEC7E">
      <w:pPr>
        <w:autoSpaceDE w:val="0"/>
        <w:autoSpaceDN w:val="0"/>
        <w:adjustRightInd w:val="0"/>
        <w:snapToGrid w:val="0"/>
        <w:spacing w:line="560" w:lineRule="exact"/>
        <w:jc w:val="left"/>
        <w:textAlignment w:val="center"/>
        <w:rPr>
          <w:rFonts w:ascii="仿宋_GB2312" w:hAnsi="Times New Roman" w:eastAsia="仿宋_GB2312" w:cs="Times New Roman"/>
          <w:sz w:val="28"/>
          <w:szCs w:val="28"/>
        </w:rPr>
      </w:pPr>
      <w:r>
        <w:rPr>
          <w:rFonts w:hint="eastAsia" w:ascii="仿宋_GB2312" w:hAnsi="宋体" w:eastAsia="仿宋_GB2312" w:cs="Times New Roman"/>
          <w:bCs/>
          <w:sz w:val="28"/>
          <w:szCs w:val="28"/>
        </w:rPr>
        <w:t>法定代表人或授权代表（签字）：          法定</w:t>
      </w:r>
      <w:r>
        <w:rPr>
          <w:rFonts w:hint="eastAsia" w:ascii="仿宋_GB2312" w:hAnsi="宋体" w:eastAsia="仿宋_GB2312" w:cs="Times New Roman"/>
          <w:sz w:val="28"/>
          <w:szCs w:val="28"/>
        </w:rPr>
        <w:t>代表人或授权代表</w:t>
      </w:r>
      <w:r>
        <w:rPr>
          <w:rFonts w:hint="eastAsia" w:ascii="仿宋_GB2312" w:hAnsi="宋体" w:eastAsia="仿宋_GB2312" w:cs="Times New Roman"/>
          <w:bCs/>
          <w:sz w:val="28"/>
          <w:szCs w:val="28"/>
        </w:rPr>
        <w:t>（签字）</w:t>
      </w:r>
      <w:r>
        <w:rPr>
          <w:rFonts w:hint="eastAsia" w:ascii="仿宋_GB2312" w:hAnsi="宋体" w:eastAsia="仿宋_GB2312" w:cs="Times New Roman"/>
          <w:sz w:val="28"/>
          <w:szCs w:val="28"/>
        </w:rPr>
        <w:t>：</w:t>
      </w:r>
    </w:p>
    <w:p w14:paraId="3298A6C8">
      <w:pPr>
        <w:autoSpaceDE w:val="0"/>
        <w:autoSpaceDN w:val="0"/>
        <w:adjustRightInd w:val="0"/>
        <w:snapToGrid w:val="0"/>
        <w:spacing w:line="560" w:lineRule="exact"/>
        <w:ind w:firstLine="560" w:firstLineChars="200"/>
        <w:jc w:val="left"/>
        <w:textAlignment w:val="center"/>
        <w:rPr>
          <w:rFonts w:ascii="仿宋_GB2312" w:hAnsi="Times New Roman" w:eastAsia="仿宋_GB2312" w:cs="Times New Roman"/>
          <w:sz w:val="28"/>
          <w:szCs w:val="28"/>
        </w:rPr>
      </w:pPr>
    </w:p>
    <w:p w14:paraId="4142611D">
      <w:pPr>
        <w:adjustRightInd w:val="0"/>
        <w:snapToGrid w:val="0"/>
        <w:spacing w:line="560" w:lineRule="exact"/>
        <w:jc w:val="left"/>
        <w:rPr>
          <w:rFonts w:ascii="仿宋_GB2312" w:hAnsi="Times New Roman" w:eastAsia="仿宋_GB2312" w:cs="Times New Roman"/>
          <w:sz w:val="28"/>
          <w:szCs w:val="28"/>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                   日期：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14:paraId="0EFA5204">
      <w:pPr>
        <w:adjustRightInd w:val="0"/>
        <w:snapToGrid w:val="0"/>
        <w:spacing w:line="560" w:lineRule="exact"/>
        <w:jc w:val="left"/>
        <w:rPr>
          <w:rFonts w:ascii="仿宋_GB2312" w:hAnsi="宋体" w:eastAsia="仿宋_GB2312" w:cs="宋体"/>
          <w:bCs/>
          <w:sz w:val="28"/>
          <w:szCs w:val="28"/>
          <w:lang w:bidi="ar"/>
        </w:rPr>
      </w:pPr>
    </w:p>
    <w:p w14:paraId="32B26A83">
      <w:pPr>
        <w:adjustRightInd w:val="0"/>
        <w:snapToGrid w:val="0"/>
        <w:spacing w:line="560" w:lineRule="exact"/>
        <w:jc w:val="left"/>
        <w:rPr>
          <w:rFonts w:ascii="仿宋_GB2312" w:hAnsi="宋体" w:eastAsia="仿宋_GB2312" w:cs="宋体"/>
          <w:bCs/>
          <w:sz w:val="28"/>
          <w:szCs w:val="28"/>
          <w:lang w:bidi="ar"/>
        </w:rPr>
      </w:pPr>
    </w:p>
    <w:p w14:paraId="62C5B92F">
      <w:pPr>
        <w:adjustRightInd w:val="0"/>
        <w:snapToGrid w:val="0"/>
        <w:spacing w:line="560" w:lineRule="exact"/>
        <w:jc w:val="left"/>
        <w:rPr>
          <w:rFonts w:ascii="仿宋_GB2312" w:hAnsi="宋体" w:eastAsia="仿宋_GB2312" w:cs="宋体"/>
          <w:bCs/>
          <w:sz w:val="28"/>
          <w:szCs w:val="28"/>
          <w:lang w:bidi="ar"/>
        </w:rPr>
      </w:pPr>
    </w:p>
    <w:p w14:paraId="43FE9027">
      <w:pPr>
        <w:adjustRightInd w:val="0"/>
        <w:snapToGrid w:val="0"/>
        <w:spacing w:line="560" w:lineRule="exact"/>
        <w:jc w:val="left"/>
        <w:rPr>
          <w:rFonts w:ascii="仿宋_GB2312" w:hAnsi="宋体" w:eastAsia="仿宋_GB2312" w:cs="宋体"/>
          <w:bCs/>
          <w:sz w:val="28"/>
          <w:szCs w:val="28"/>
          <w:lang w:bidi="ar"/>
        </w:rPr>
      </w:pPr>
    </w:p>
    <w:p w14:paraId="1A0E1498">
      <w:pPr>
        <w:adjustRightInd w:val="0"/>
        <w:snapToGrid w:val="0"/>
        <w:spacing w:line="560" w:lineRule="exact"/>
        <w:jc w:val="left"/>
        <w:rPr>
          <w:rFonts w:ascii="仿宋_GB2312" w:hAnsi="宋体" w:eastAsia="仿宋_GB2312" w:cs="宋体"/>
          <w:bCs/>
          <w:sz w:val="28"/>
          <w:szCs w:val="28"/>
          <w:lang w:bidi="ar"/>
        </w:rPr>
      </w:pPr>
    </w:p>
    <w:p w14:paraId="1044E6A1">
      <w:pPr>
        <w:adjustRightInd w:val="0"/>
        <w:snapToGrid w:val="0"/>
        <w:spacing w:line="560" w:lineRule="exact"/>
        <w:jc w:val="left"/>
        <w:rPr>
          <w:rFonts w:ascii="仿宋_GB2312" w:hAnsi="宋体" w:eastAsia="仿宋_GB2312" w:cs="宋体"/>
          <w:bCs/>
          <w:sz w:val="28"/>
          <w:szCs w:val="28"/>
          <w:lang w:bidi="ar"/>
        </w:rPr>
      </w:pPr>
    </w:p>
    <w:p w14:paraId="272A8F09">
      <w:pPr>
        <w:adjustRightInd w:val="0"/>
        <w:snapToGrid w:val="0"/>
        <w:spacing w:line="560" w:lineRule="exact"/>
        <w:jc w:val="left"/>
        <w:rPr>
          <w:rFonts w:ascii="仿宋_GB2312" w:hAnsi="宋体" w:eastAsia="仿宋_GB2312" w:cs="宋体"/>
          <w:bCs/>
          <w:sz w:val="28"/>
          <w:szCs w:val="28"/>
          <w:lang w:bidi="ar"/>
        </w:rPr>
      </w:pPr>
    </w:p>
    <w:p w14:paraId="4597A33D">
      <w:pPr>
        <w:adjustRightInd w:val="0"/>
        <w:snapToGrid w:val="0"/>
        <w:spacing w:line="560" w:lineRule="exact"/>
        <w:jc w:val="left"/>
        <w:rPr>
          <w:rFonts w:ascii="仿宋_GB2312" w:hAnsi="宋体" w:eastAsia="仿宋_GB2312" w:cs="宋体"/>
          <w:bCs/>
          <w:sz w:val="28"/>
          <w:szCs w:val="28"/>
          <w:lang w:bidi="ar"/>
        </w:rPr>
      </w:pPr>
    </w:p>
    <w:p w14:paraId="5313B465">
      <w:pPr>
        <w:adjustRightInd w:val="0"/>
        <w:snapToGrid w:val="0"/>
        <w:spacing w:line="560" w:lineRule="exact"/>
        <w:jc w:val="left"/>
        <w:rPr>
          <w:rFonts w:ascii="仿宋_GB2312" w:hAnsi="宋体" w:eastAsia="仿宋_GB2312" w:cs="宋体"/>
          <w:bCs/>
          <w:sz w:val="28"/>
          <w:szCs w:val="28"/>
          <w:lang w:bidi="ar"/>
        </w:rPr>
      </w:pPr>
    </w:p>
    <w:p w14:paraId="0838E7D8">
      <w:pPr>
        <w:adjustRightInd w:val="0"/>
        <w:snapToGrid w:val="0"/>
        <w:spacing w:line="560" w:lineRule="exact"/>
        <w:jc w:val="left"/>
        <w:rPr>
          <w:rFonts w:ascii="仿宋_GB2312" w:hAnsi="宋体" w:eastAsia="仿宋_GB2312" w:cs="宋体"/>
          <w:bCs/>
          <w:sz w:val="28"/>
          <w:szCs w:val="28"/>
          <w:lang w:bidi="ar"/>
        </w:rPr>
      </w:pPr>
    </w:p>
    <w:p w14:paraId="285B929F">
      <w:pPr>
        <w:adjustRightInd w:val="0"/>
        <w:snapToGrid w:val="0"/>
        <w:spacing w:line="560" w:lineRule="exact"/>
        <w:jc w:val="left"/>
        <w:rPr>
          <w:rFonts w:ascii="仿宋_GB2312" w:hAnsi="宋体" w:eastAsia="仿宋_GB2312" w:cs="宋体"/>
          <w:bCs/>
          <w:sz w:val="28"/>
          <w:szCs w:val="28"/>
          <w:lang w:bidi="ar"/>
        </w:rPr>
      </w:pPr>
    </w:p>
    <w:p w14:paraId="250FFBF9">
      <w:pPr>
        <w:adjustRightInd w:val="0"/>
        <w:snapToGrid w:val="0"/>
        <w:spacing w:line="560" w:lineRule="exact"/>
        <w:jc w:val="left"/>
        <w:rPr>
          <w:rFonts w:ascii="仿宋_GB2312" w:hAnsi="宋体" w:eastAsia="仿宋_GB2312" w:cs="宋体"/>
          <w:bCs/>
          <w:sz w:val="28"/>
          <w:szCs w:val="28"/>
          <w:lang w:bidi="ar"/>
        </w:rPr>
      </w:pPr>
    </w:p>
    <w:p w14:paraId="44B4B29A">
      <w:pPr>
        <w:adjustRightInd w:val="0"/>
        <w:snapToGrid w:val="0"/>
        <w:spacing w:line="560" w:lineRule="exact"/>
        <w:jc w:val="left"/>
        <w:rPr>
          <w:rFonts w:ascii="仿宋_GB2312" w:hAnsi="宋体" w:eastAsia="仿宋_GB2312" w:cs="宋体"/>
          <w:bCs/>
          <w:sz w:val="24"/>
          <w:szCs w:val="24"/>
          <w:lang w:bidi="ar"/>
        </w:rPr>
      </w:pPr>
      <w:r>
        <w:rPr>
          <w:rFonts w:hint="eastAsia" w:ascii="仿宋_GB2312" w:hAnsi="宋体" w:eastAsia="仿宋_GB2312" w:cs="宋体"/>
          <w:bCs/>
          <w:sz w:val="24"/>
          <w:szCs w:val="24"/>
          <w:lang w:bidi="ar"/>
        </w:rPr>
        <w:t>附件1：工程质量保修书</w:t>
      </w:r>
    </w:p>
    <w:p w14:paraId="3B28797A">
      <w:pPr>
        <w:spacing w:line="560" w:lineRule="exact"/>
        <w:jc w:val="center"/>
        <w:rPr>
          <w:rFonts w:ascii="方正小标宋简体" w:hAnsi="宋体" w:eastAsia="方正小标宋简体" w:cs="Times New Roman"/>
          <w:sz w:val="36"/>
          <w:szCs w:val="28"/>
          <w:lang w:bidi="ar"/>
        </w:rPr>
      </w:pPr>
      <w:r>
        <w:rPr>
          <w:rFonts w:hint="eastAsia" w:ascii="方正小标宋简体" w:hAnsi="宋体" w:eastAsia="方正小标宋简体" w:cs="Times New Roman"/>
          <w:sz w:val="36"/>
          <w:szCs w:val="28"/>
          <w:lang w:bidi="ar"/>
        </w:rPr>
        <w:t>工程质量保修书</w:t>
      </w:r>
    </w:p>
    <w:p w14:paraId="0042D983">
      <w:pPr>
        <w:adjustRightInd w:val="0"/>
        <w:snapToGrid w:val="0"/>
        <w:spacing w:line="560" w:lineRule="exact"/>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甲方（发包方）：</w:t>
      </w:r>
    </w:p>
    <w:p w14:paraId="05156173">
      <w:pPr>
        <w:tabs>
          <w:tab w:val="left" w:pos="360"/>
        </w:tabs>
        <w:adjustRightInd w:val="0"/>
        <w:snapToGrid w:val="0"/>
        <w:spacing w:line="5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乙方（承包人）：</w:t>
      </w:r>
    </w:p>
    <w:p w14:paraId="360DFA08">
      <w:pPr>
        <w:tabs>
          <w:tab w:val="left" w:pos="360"/>
          <w:tab w:val="left" w:pos="720"/>
        </w:tabs>
        <w:adjustRightInd w:val="0"/>
        <w:snapToGrid w:val="0"/>
        <w:spacing w:line="560" w:lineRule="exact"/>
        <w:ind w:firstLine="488" w:firstLineChars="200"/>
        <w:jc w:val="left"/>
        <w:rPr>
          <w:rFonts w:ascii="仿宋_GB2312" w:hAnsi="Times New Roman" w:eastAsia="仿宋_GB2312" w:cs="Times New Roman"/>
          <w:spacing w:val="2"/>
          <w:sz w:val="24"/>
          <w:szCs w:val="24"/>
        </w:rPr>
      </w:pPr>
      <w:r>
        <w:rPr>
          <w:rFonts w:hint="eastAsia" w:ascii="仿宋_GB2312" w:hAnsi="宋体" w:eastAsia="仿宋_GB2312" w:cs="Times New Roman"/>
          <w:spacing w:val="2"/>
          <w:sz w:val="24"/>
          <w:szCs w:val="24"/>
        </w:rPr>
        <w:t>根据双方签订的《零星维修工程合同</w:t>
      </w:r>
      <w:r>
        <w:rPr>
          <w:rFonts w:hint="eastAsia" w:ascii="仿宋_GB2312" w:hAnsi="宋体" w:eastAsia="仿宋_GB2312" w:cs="Times New Roman"/>
          <w:spacing w:val="2"/>
          <w:sz w:val="24"/>
          <w:szCs w:val="24"/>
          <w:lang w:bidi="ar"/>
        </w:rPr>
        <w:t>(XXX维修工程)</w:t>
      </w:r>
      <w:r>
        <w:rPr>
          <w:rFonts w:hint="eastAsia" w:ascii="仿宋_GB2312" w:hAnsi="宋体" w:eastAsia="仿宋_GB2312" w:cs="Times New Roman"/>
          <w:spacing w:val="2"/>
          <w:sz w:val="24"/>
          <w:szCs w:val="24"/>
        </w:rPr>
        <w:t>》（以下简称合同），为保证工程在合理使用期限内的正常使用，特签订本工程质量保修书，以进一步明确乙方对所承建工程应负的保修责任。</w:t>
      </w:r>
    </w:p>
    <w:p w14:paraId="4FE2234A">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 xml:space="preserve"> 保修期限</w:t>
      </w:r>
      <w:r>
        <w:rPr>
          <w:rFonts w:ascii="黑体" w:hAnsi="黑体" w:eastAsia="黑体" w:cs="Times New Roman"/>
          <w:bCs/>
          <w:sz w:val="24"/>
          <w:szCs w:val="24"/>
        </w:rPr>
        <w:t>：</w:t>
      </w:r>
      <w:r>
        <w:rPr>
          <w:rFonts w:hint="eastAsia" w:ascii="仿宋_GB2312" w:hAnsi="宋体" w:eastAsia="仿宋_GB2312" w:cs="Times New Roman"/>
          <w:sz w:val="24"/>
          <w:szCs w:val="24"/>
        </w:rPr>
        <w:t>自全部工程竣工验收合格并交付甲方之日起：需做防水、堵漏处理的工程保修期为5年，LED灯具5年，其他工程保修期为2年。</w:t>
      </w:r>
    </w:p>
    <w:p w14:paraId="79B0001C">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保修范围</w:t>
      </w:r>
    </w:p>
    <w:p w14:paraId="379C1379">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2.1 乙方所承包的工程, 包括合同约定的所有工程项目、设计变更、按甲方程序签订的有效的现场签证、甲方书面通知的内容(包括工程联系函)及双方会议纪要约定的全部内容。保修期内</w:t>
      </w:r>
      <w:r>
        <w:rPr>
          <w:rFonts w:hint="eastAsia" w:ascii="仿宋_GB2312" w:hAnsi="Times New Roman" w:eastAsia="仿宋_GB2312" w:cs="Times New Roman"/>
          <w:sz w:val="24"/>
          <w:szCs w:val="24"/>
        </w:rPr>
        <w:t>,</w:t>
      </w:r>
      <w:r>
        <w:rPr>
          <w:rFonts w:hint="eastAsia" w:ascii="仿宋_GB2312" w:hAnsi="宋体" w:eastAsia="仿宋_GB2312" w:cs="Times New Roman"/>
          <w:sz w:val="24"/>
          <w:szCs w:val="24"/>
        </w:rPr>
        <w:t>由于乙方原因出现任何故障、损坏, 均由乙方包工包料保修。</w:t>
      </w:r>
    </w:p>
    <w:p w14:paraId="4C13D6D9">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2.2 乙方所承包的工程，因为质量等原因造成甲方或第三方损失的，由乙方承担全部的赔偿责任，甲方先行对外承担的质量等赔偿责任，乙方须全部赔偿给甲方，甲方可直接从保修金中予以扣除，保修金不足以赔偿甲方已承担的责任的，乙方须即时全数补付给甲方。</w:t>
      </w:r>
    </w:p>
    <w:p w14:paraId="559D3DBA">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保修的时间性</w:t>
      </w:r>
    </w:p>
    <w:p w14:paraId="734B2C12">
      <w:pPr>
        <w:adjustRightInd w:val="0"/>
        <w:snapToGrid w:val="0"/>
        <w:spacing w:after="120"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3.1无论是否属于乙方质量责任或保修范围内的报修事宜，乙方在接到书面通知（包括但不限于邮递、传真、电话、短信、微信等）后2小时内必须前来查勘确定责任，属于保修范围和内容的项目，乙方应承担保修责任。若即时能够修复的，乙方应即时修复。若当场不能修复的，乙方应在接到上述通知8个小时内修复。如因特殊情况，乙方难以在该时间内修复的，乙方应在该期限内向甲方或甲方委托的物业管理单位书面提出修复所需时间及理由，并由甲方或甲方委托的物业管理单位审批确定修复时间。乙方未书面提出的，视为乙方认可上述的修复期限。</w:t>
      </w:r>
    </w:p>
    <w:p w14:paraId="4BC187D8">
      <w:pPr>
        <w:adjustRightInd w:val="0"/>
        <w:snapToGrid w:val="0"/>
        <w:spacing w:after="120"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3.2每个维修项目完成后，经甲方或甲方委托的物业管理单位验收合格并签字确认后，方视为该维修项目本次维修完毕。</w:t>
      </w:r>
    </w:p>
    <w:p w14:paraId="5CA88B9D">
      <w:pPr>
        <w:adjustRightInd w:val="0"/>
        <w:snapToGrid w:val="0"/>
        <w:spacing w:after="120"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3.3如乙方不按时（超过2小时）前来查勘责任、未按甲方规定时间维修或逾期仍不能修复的，每发生一次，乙方应向甲方支付</w:t>
      </w:r>
      <w:r>
        <w:rPr>
          <w:rFonts w:hint="eastAsia" w:ascii="仿宋_GB2312" w:hAnsi="宋体" w:eastAsia="仿宋_GB2312" w:cs="Times New Roman"/>
          <w:sz w:val="24"/>
          <w:szCs w:val="24"/>
          <w:u w:val="single"/>
        </w:rPr>
        <w:t>10000</w:t>
      </w:r>
      <w:r>
        <w:rPr>
          <w:rFonts w:hint="eastAsia" w:ascii="仿宋_GB2312" w:hAnsi="宋体" w:eastAsia="仿宋_GB2312" w:cs="Times New Roman"/>
          <w:sz w:val="24"/>
          <w:szCs w:val="24"/>
        </w:rPr>
        <w:t>元的违约金，且甲方有权自行维修或委托第三方维修，所产生的维修费用及因此而增加的甲方管理等费用、因修复延迟给甲方或他人造成的损失等等全部由乙方承担（具体金额由甲方全权决定，乙方无异议），甲方可直接在乙方保修金中扣除，并且保修期及应付乙方保修金的支付时间按所耽误的时间顺延；保修期内发现的质量等问题在按本保修书的约定解决之前，甲方有权拒绝支付保修金给乙方。</w:t>
      </w:r>
    </w:p>
    <w:p w14:paraId="1DB0BB45">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 xml:space="preserve"> 维修的质量</w:t>
      </w:r>
    </w:p>
    <w:p w14:paraId="4E57943D">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4.1乙方负责维修的质量等要求要符合合同有关规定及国家地方等现行规范要求，经甲方或甲方委托的物业管理单位验收合格方可。所维修项目应保证在应保证在六个月内（自甲方或甲方委托的物业管理单位对维修项目验收合格之日起算）不再出现相同问题及类似问题，否则，即使保修期满，乙方仍须继续保修。</w:t>
      </w:r>
    </w:p>
    <w:p w14:paraId="7C16F638">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4.2保修期间，乙方应派出足够的维修和管理人员负责维修工作，认真履行保修，做到服务周到，保证保修的质量及效果。</w:t>
      </w:r>
    </w:p>
    <w:p w14:paraId="436A1E17">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4.3因质量等问题乙方或第三方维修二次后，再出现相同或类似问题，甲方有权另行聘请第三方进行维修，由此引起的一切费用、损失（包括但不限于造成整体工程或其它关联工程延误的损失及相关第三方的索赔）和责任由乙方承担。</w:t>
      </w:r>
    </w:p>
    <w:p w14:paraId="3B815E3C">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4.4每次维修工作完成后，乙方负责将维修现场清理干净，否则甲方有权自行或委托第三方清理 (包括卫生清理、运输费等),所产生的费用由乙方承担。维修过程中给甲方、第三方造成损失的，由乙方赔偿。</w:t>
      </w:r>
    </w:p>
    <w:p w14:paraId="7F69EBF6">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保修金</w:t>
      </w:r>
    </w:p>
    <w:p w14:paraId="0D8CA003">
      <w:pPr>
        <w:adjustRightInd w:val="0"/>
        <w:snapToGrid w:val="0"/>
        <w:spacing w:line="560" w:lineRule="exact"/>
        <w:ind w:firstLine="480" w:firstLineChars="200"/>
        <w:jc w:val="left"/>
        <w:rPr>
          <w:rFonts w:ascii="仿宋_GB2312" w:hAnsi="宋体" w:eastAsia="仿宋_GB2312"/>
          <w:sz w:val="24"/>
          <w:szCs w:val="24"/>
        </w:rPr>
      </w:pPr>
      <w:r>
        <w:rPr>
          <w:rFonts w:hint="eastAsia" w:ascii="仿宋_GB2312" w:hAnsi="宋体" w:eastAsia="仿宋_GB2312" w:cs="Times New Roman"/>
          <w:sz w:val="24"/>
          <w:szCs w:val="24"/>
        </w:rPr>
        <w:t>5.1双方同意从乙方工程结算款中留</w:t>
      </w:r>
      <w:r>
        <w:rPr>
          <w:rFonts w:hint="eastAsia" w:ascii="仿宋_GB2312" w:hAnsi="宋体" w:eastAsia="仿宋_GB2312" w:cs="Times New Roman"/>
          <w:sz w:val="24"/>
          <w:szCs w:val="24"/>
          <w:u w:val="single"/>
        </w:rPr>
        <w:t>5%</w:t>
      </w:r>
      <w:r>
        <w:rPr>
          <w:rFonts w:hint="eastAsia" w:ascii="仿宋_GB2312" w:hAnsi="宋体" w:eastAsia="仿宋_GB2312" w:cs="Times New Roman"/>
          <w:sz w:val="24"/>
          <w:szCs w:val="24"/>
        </w:rPr>
        <w:t>作为保修金。自全部工程竣工验收合格并交付给甲方之日起，由乙方出具申请报告，甲方在接到报告后15天内组织相关人员进行检查，并在乙方整改合格后出具保修合格证明书，</w:t>
      </w:r>
      <w:r>
        <w:rPr>
          <w:rFonts w:hint="eastAsia" w:ascii="仿宋_GB2312" w:hAnsi="宋体" w:eastAsia="仿宋_GB2312"/>
          <w:sz w:val="24"/>
          <w:szCs w:val="24"/>
        </w:rPr>
        <w:t>甲方在扣除乙方应承担的维护维修费、违约金、损失赔偿款等费用后，将剩余保修金无息支付给乙方，各方办理保修金结算手续。</w:t>
      </w:r>
    </w:p>
    <w:p w14:paraId="42791103">
      <w:pPr>
        <w:adjustRightInd w:val="0"/>
        <w:snapToGrid w:val="0"/>
        <w:spacing w:line="5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5.2甲方自行维修及委派他人维修所发生的费用、损失超出保修金的，超出部分由乙方即时全数支付给甲方。</w:t>
      </w:r>
    </w:p>
    <w:p w14:paraId="0EE1D977">
      <w:pPr>
        <w:adjustRightInd w:val="0"/>
        <w:snapToGrid w:val="0"/>
        <w:spacing w:line="5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5.3所有保修金在结算时均不计利息。</w:t>
      </w:r>
    </w:p>
    <w:p w14:paraId="6123D3B1">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 xml:space="preserve"> 维修安排</w:t>
      </w:r>
    </w:p>
    <w:p w14:paraId="3DA0B908">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工程竣工验收合格移交后，乙方必须委派保修负责人作为乙方的全权代表处理本工程的维修工作。乙方保修负责人：</w:t>
      </w:r>
      <w:r>
        <w:rPr>
          <w:rFonts w:hint="eastAsia" w:ascii="仿宋_GB2312" w:hAnsi="宋体" w:eastAsia="仿宋_GB2312" w:cs="Times New Roman"/>
          <w:sz w:val="24"/>
          <w:szCs w:val="24"/>
          <w:u w:val="single"/>
        </w:rPr>
        <w:t xml:space="preserve">       </w:t>
      </w:r>
      <w:r>
        <w:rPr>
          <w:rFonts w:hint="eastAsia" w:ascii="仿宋_GB2312" w:hAnsi="Times New Roman" w:eastAsia="仿宋_GB2312" w:cs="Times New Roman"/>
          <w:sz w:val="24"/>
          <w:szCs w:val="24"/>
        </w:rPr>
        <w:t>,</w:t>
      </w:r>
      <w:r>
        <w:rPr>
          <w:rFonts w:hint="eastAsia" w:ascii="仿宋_GB2312" w:hAnsi="宋体" w:eastAsia="仿宋_GB2312" w:cs="Times New Roman"/>
          <w:sz w:val="24"/>
          <w:szCs w:val="24"/>
        </w:rPr>
        <w:t>电话：</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r>
        <w:rPr>
          <w:rFonts w:hint="eastAsia" w:ascii="仿宋_GB2312" w:hAnsi="Times New Roman" w:eastAsia="仿宋_GB2312" w:cs="Times New Roman"/>
          <w:sz w:val="24"/>
          <w:szCs w:val="24"/>
        </w:rPr>
        <w:t>,</w:t>
      </w:r>
      <w:r>
        <w:rPr>
          <w:rFonts w:hint="eastAsia" w:ascii="仿宋_GB2312" w:hAnsi="宋体" w:eastAsia="仿宋_GB2312" w:cs="Times New Roman"/>
          <w:sz w:val="24"/>
          <w:szCs w:val="24"/>
        </w:rPr>
        <w:t>邮箱：</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。该负责人若有变动需及时书面通知甲方及甲方委托的物业管理单位，否则无法联系时，视为乙方已收到甲方传达之信息。</w:t>
      </w:r>
    </w:p>
    <w:p w14:paraId="2C7FFD4D">
      <w:pPr>
        <w:numPr>
          <w:ilvl w:val="0"/>
          <w:numId w:val="10"/>
        </w:numPr>
        <w:adjustRightInd w:val="0"/>
        <w:snapToGrid w:val="0"/>
        <w:spacing w:line="560" w:lineRule="exact"/>
        <w:ind w:left="0"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 xml:space="preserve"> 其他</w:t>
      </w:r>
    </w:p>
    <w:p w14:paraId="3ED5B0BF">
      <w:pPr>
        <w:adjustRightInd w:val="0"/>
        <w:snapToGrid w:val="0"/>
        <w:spacing w:line="560" w:lineRule="exact"/>
        <w:ind w:firstLine="480" w:firstLineChars="200"/>
        <w:jc w:val="left"/>
        <w:outlineLvl w:val="0"/>
        <w:rPr>
          <w:rFonts w:ascii="仿宋_GB2312" w:hAnsi="Times New Roman" w:eastAsia="仿宋_GB2312" w:cs="Times New Roman"/>
          <w:sz w:val="24"/>
          <w:szCs w:val="24"/>
        </w:rPr>
      </w:pPr>
      <w:r>
        <w:rPr>
          <w:rFonts w:hint="eastAsia" w:ascii="仿宋_GB2312" w:hAnsi="宋体" w:eastAsia="仿宋_GB2312" w:cs="Times New Roman"/>
          <w:sz w:val="24"/>
          <w:szCs w:val="24"/>
        </w:rPr>
        <w:t>7.1本保修书作为合同的附件。本保修书与合同条款不一致的，以本保修书为准；本保修书未约定的，执行合同及相关协议的约定。</w:t>
      </w:r>
    </w:p>
    <w:p w14:paraId="6A5B7398">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7.2邮递地址以本保修书或合同所列地址为准。一方如需变动地址的，应及时书面通知对方，否则，对方按上述地址邮寄信函后即视为已经送达通知。</w:t>
      </w:r>
    </w:p>
    <w:p w14:paraId="491D78B8">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7.3 本保修书壹式</w:t>
      </w:r>
      <w:r>
        <w:rPr>
          <w:rFonts w:hint="eastAsia" w:ascii="仿宋_GB2312" w:hAnsi="宋体" w:eastAsia="仿宋_GB2312" w:cs="Times New Roman"/>
          <w:sz w:val="24"/>
          <w:szCs w:val="24"/>
          <w:u w:val="single"/>
        </w:rPr>
        <w:t>肆</w:t>
      </w:r>
      <w:r>
        <w:rPr>
          <w:rFonts w:hint="eastAsia" w:ascii="仿宋_GB2312" w:hAnsi="宋体" w:eastAsia="仿宋_GB2312" w:cs="Times New Roman"/>
          <w:sz w:val="24"/>
          <w:szCs w:val="24"/>
        </w:rPr>
        <w:t>份，双方各执</w:t>
      </w:r>
      <w:r>
        <w:rPr>
          <w:rFonts w:hint="eastAsia" w:ascii="仿宋_GB2312" w:hAnsi="宋体" w:eastAsia="仿宋_GB2312" w:cs="Times New Roman"/>
          <w:sz w:val="24"/>
          <w:szCs w:val="24"/>
          <w:u w:val="single"/>
        </w:rPr>
        <w:t>贰</w:t>
      </w:r>
      <w:r>
        <w:rPr>
          <w:rFonts w:hint="eastAsia" w:ascii="仿宋_GB2312" w:hAnsi="宋体" w:eastAsia="仿宋_GB2312" w:cs="Times New Roman"/>
          <w:sz w:val="24"/>
          <w:szCs w:val="24"/>
        </w:rPr>
        <w:t>份，自双方签字盖章之日起生效。</w:t>
      </w:r>
    </w:p>
    <w:p w14:paraId="33CCDBE4">
      <w:pPr>
        <w:adjustRightInd w:val="0"/>
        <w:snapToGrid w:val="0"/>
        <w:spacing w:line="560" w:lineRule="exact"/>
        <w:ind w:firstLine="480" w:firstLineChars="2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（以下无正文）</w:t>
      </w:r>
    </w:p>
    <w:p w14:paraId="6EA02123">
      <w:pPr>
        <w:adjustRightInd w:val="0"/>
        <w:snapToGrid w:val="0"/>
        <w:spacing w:line="560" w:lineRule="exact"/>
        <w:ind w:left="1440" w:hanging="1440" w:hangingChars="600"/>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甲方(盖章)：                                 乙方(盖章)：</w:t>
      </w:r>
    </w:p>
    <w:p w14:paraId="5A6D142D">
      <w:pPr>
        <w:adjustRightInd w:val="0"/>
        <w:snapToGrid w:val="0"/>
        <w:spacing w:line="560" w:lineRule="exact"/>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负责人或授权代表(签字)：             法定代表人或授权代表(签字)：</w:t>
      </w:r>
    </w:p>
    <w:p w14:paraId="12C5D22C">
      <w:pPr>
        <w:adjustRightInd w:val="0"/>
        <w:snapToGrid w:val="0"/>
        <w:spacing w:line="560" w:lineRule="exact"/>
        <w:jc w:val="left"/>
        <w:rPr>
          <w:rFonts w:ascii="仿宋_GB2312" w:hAnsi="Times New Roman" w:eastAsia="仿宋_GB2312" w:cs="Times New Roman"/>
          <w:sz w:val="24"/>
          <w:szCs w:val="24"/>
        </w:rPr>
      </w:pPr>
      <w:r>
        <w:rPr>
          <w:rFonts w:hint="eastAsia" w:ascii="仿宋_GB2312" w:hAnsi="宋体" w:eastAsia="仿宋_GB2312" w:cs="Times New Roman"/>
          <w:sz w:val="24"/>
          <w:szCs w:val="24"/>
        </w:rPr>
        <w:t>日期：   年  月  日                          日期：   年  月  日</w:t>
      </w:r>
    </w:p>
    <w:p w14:paraId="075D4DD0">
      <w:pPr>
        <w:adjustRightInd w:val="0"/>
        <w:snapToGrid w:val="0"/>
        <w:spacing w:line="560" w:lineRule="exact"/>
        <w:jc w:val="left"/>
        <w:rPr>
          <w:rFonts w:ascii="仿宋_GB2312" w:hAnsi="宋体" w:eastAsia="仿宋_GB2312" w:cs="Times New Roman"/>
          <w:b/>
          <w:sz w:val="28"/>
          <w:szCs w:val="28"/>
        </w:rPr>
      </w:pPr>
      <w:r>
        <w:rPr>
          <w:rFonts w:hint="eastAsia" w:ascii="仿宋_GB2312" w:hAnsi="宋体" w:eastAsia="仿宋_GB2312" w:cs="Times New Roman"/>
          <w:sz w:val="24"/>
          <w:szCs w:val="24"/>
        </w:rPr>
        <w:br w:type="page"/>
      </w:r>
      <w:r>
        <w:rPr>
          <w:rFonts w:hint="eastAsia" w:ascii="仿宋_GB2312" w:hAnsi="宋体" w:eastAsia="仿宋_GB2312" w:cs="Times New Roman"/>
          <w:bCs/>
          <w:sz w:val="24"/>
          <w:szCs w:val="28"/>
          <w:lang w:bidi="ar"/>
        </w:rPr>
        <w:t>附件</w:t>
      </w:r>
      <w:r>
        <w:rPr>
          <w:rFonts w:hint="eastAsia" w:ascii="仿宋_GB2312" w:hAnsi="宋体" w:eastAsia="仿宋_GB2312" w:cs="宋体"/>
          <w:bCs/>
          <w:sz w:val="24"/>
          <w:szCs w:val="28"/>
          <w:lang w:bidi="ar"/>
        </w:rPr>
        <w:t>2：货品供应商及工程单位承诺书</w:t>
      </w:r>
    </w:p>
    <w:p w14:paraId="33F8E6DE">
      <w:pPr>
        <w:spacing w:line="560" w:lineRule="exact"/>
        <w:jc w:val="center"/>
        <w:rPr>
          <w:rFonts w:ascii="仿宋_GB2312" w:hAnsi="宋体" w:eastAsia="仿宋_GB2312" w:cs="宋体"/>
          <w:sz w:val="28"/>
          <w:szCs w:val="28"/>
        </w:rPr>
      </w:pPr>
      <w:r>
        <w:rPr>
          <w:rFonts w:hint="eastAsia" w:ascii="方正小标宋简体" w:hAnsi="宋体" w:eastAsia="方正小标宋简体" w:cs="Times New Roman"/>
          <w:sz w:val="36"/>
          <w:szCs w:val="36"/>
          <w:lang w:bidi="ar"/>
        </w:rPr>
        <w:t>货品供应商、服务商及工程单位承诺书</w:t>
      </w:r>
    </w:p>
    <w:p w14:paraId="476EFBED">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本公司知悉深圳第一亚太物业管理有限公司及其所有子公司、分公司、及其他联营公司（以下统称“第一亚太”）以廉洁、公平、公正为宗旨，遵守中华人民共和国及其他海外地区之防止贿赂条例或同等意义的法律、法规，严格禁止任何职员收受私人利益（包括礼物、回佣或任何形式之报酬），因此，本公司将会严格遵守本承诺书，不会利诱或试图利诱第一亚太公司的任何职员。</w:t>
      </w:r>
    </w:p>
    <w:p w14:paraId="34DB22D8">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本公司承诺与第一亚太公司之一切交易往来，除受有关合约监管外，亦受本承诺书的约束。如有关之合约与本承诺书之条款有任何歧义或冲突之处，则以本承诺书为准。</w:t>
      </w:r>
    </w:p>
    <w:p w14:paraId="1EB84A9C">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本公司对第一亚太公司承诺如下：</w:t>
      </w:r>
    </w:p>
    <w:p w14:paraId="751A3E0D">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1、本公司及职员不向第一亚太公司职员给予任何利益，包括金钱、礼物、 回佣、利是、饭餐或同等意义之金钱或非金钱之优惠。</w:t>
      </w:r>
    </w:p>
    <w:p w14:paraId="3CB30E93">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2、本公司及职员和第一亚太公司职员在酒楼或其他娱乐场所进行之应酬，应各自按比例付账。</w:t>
      </w:r>
    </w:p>
    <w:p w14:paraId="11DEA79B">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3、本公司及职员不与第一亚太公司职员进行任何私人交易，包括借贷、任何商业上之合作、合伙或订立任何形式合约，同时亦不与第一亚太公司职员无论以个人身份或其代理人或以合伙人或以个人/公司名义构成合资、合作或有偿/无偿或义务代理人之商业关系。若本公司拟与第一亚太公司职员开展上述业务，必须通知第一亚太公司，并经第一亚太公司书面同意后，方可进行。</w:t>
      </w:r>
    </w:p>
    <w:p w14:paraId="12B2D787">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4、本公司若获知第一亚太公司其股东、董事、独资经营者、合伙人或职员与本公司任何职员有亲属或利益关系，将会于五个工作日内通知第一亚太公司。第一亚太公司有权按利益冲突严重性决定是否终止交易。</w:t>
      </w:r>
    </w:p>
    <w:p w14:paraId="2E8AE593">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5、本公司及职员如违反本承诺书之任何条款，本公司同意第一亚太公司可立即单方终止与此有关联的买卖合同、服务合同、工程合同及其他有关联之业务（且不视为违约），并永久终止日后的一切业务往来，包括但不限于买卖、服务、工程及其他交易，同时，本公司同意第一亚太公司有权单方面终止到期未付或未到期待付之一切款项，除此之外，本公司愿意赔偿第一亚太公司的有关一切损失，同时亦同意第一亚太公司将相关事宜呈交有关执法机关查办。</w:t>
      </w:r>
    </w:p>
    <w:p w14:paraId="0DCEA611">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6、本公司及职员若发现第一亚太公司职员索取任何私人报酬或利益，应立即通知第一亚太公司。</w:t>
      </w:r>
    </w:p>
    <w:p w14:paraId="7F8140C8">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7、本承诺书的任何条款不影响第一亚太公司在任何情况下一切有关法律赋予之权益。</w:t>
      </w:r>
    </w:p>
    <w:p w14:paraId="4907D057">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8、本公司同意第一亚太公司对本承诺书内容有保留增减或修改之权利，有关之增减或修改应以书面形式通知本公司。</w:t>
      </w:r>
    </w:p>
    <w:p w14:paraId="1C2ED11D">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9、本公司及授权代表已详细阅读本承诺书之所有内容，同时也完全明白、理解并自愿遵守本承诺书之所有内容。</w:t>
      </w:r>
    </w:p>
    <w:p w14:paraId="54306215">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rPr>
      </w:pPr>
    </w:p>
    <w:p w14:paraId="5F853A94">
      <w:pPr>
        <w:widowControl/>
        <w:tabs>
          <w:tab w:val="left" w:pos="0"/>
        </w:tabs>
        <w:adjustRightInd w:val="0"/>
        <w:snapToGrid w:val="0"/>
        <w:jc w:val="left"/>
        <w:rPr>
          <w:rFonts w:ascii="仿宋_GB2312" w:hAnsi="宋体" w:eastAsia="仿宋_GB2312" w:cs="宋体"/>
          <w:sz w:val="24"/>
          <w:szCs w:val="24"/>
        </w:rPr>
      </w:pPr>
    </w:p>
    <w:p w14:paraId="7569CDF3">
      <w:pPr>
        <w:widowControl/>
        <w:tabs>
          <w:tab w:val="left" w:pos="0"/>
        </w:tabs>
        <w:adjustRightInd w:val="0"/>
        <w:snapToGrid w:val="0"/>
        <w:jc w:val="left"/>
        <w:rPr>
          <w:rFonts w:ascii="仿宋_GB2312" w:hAnsi="宋体" w:eastAsia="仿宋_GB2312" w:cs="宋体"/>
          <w:sz w:val="24"/>
          <w:szCs w:val="24"/>
        </w:rPr>
      </w:pPr>
      <w:r>
        <w:rPr>
          <w:rFonts w:hint="eastAsia" w:ascii="仿宋_GB2312" w:hAnsi="宋体" w:eastAsia="仿宋_GB2312" w:cs="宋体"/>
          <w:sz w:val="24"/>
          <w:szCs w:val="24"/>
          <w:lang w:bidi="ar"/>
        </w:rPr>
        <w:t>承诺人（名称、盖章）：</w:t>
      </w:r>
    </w:p>
    <w:p w14:paraId="09D0FB7C">
      <w:pPr>
        <w:widowControl/>
        <w:tabs>
          <w:tab w:val="left" w:pos="0"/>
        </w:tabs>
        <w:adjustRightInd w:val="0"/>
        <w:snapToGrid w:val="0"/>
        <w:jc w:val="left"/>
        <w:rPr>
          <w:rFonts w:ascii="仿宋_GB2312" w:hAnsi="宋体" w:eastAsia="仿宋_GB2312" w:cs="宋体"/>
          <w:sz w:val="24"/>
          <w:szCs w:val="24"/>
        </w:rPr>
      </w:pPr>
    </w:p>
    <w:p w14:paraId="2E23CCB4">
      <w:pPr>
        <w:widowControl/>
        <w:tabs>
          <w:tab w:val="left" w:pos="0"/>
        </w:tabs>
        <w:adjustRightInd w:val="0"/>
        <w:snapToGrid w:val="0"/>
        <w:jc w:val="left"/>
        <w:rPr>
          <w:rFonts w:ascii="仿宋_GB2312" w:hAnsi="宋体" w:eastAsia="仿宋_GB2312" w:cs="宋体"/>
          <w:sz w:val="24"/>
          <w:szCs w:val="24"/>
        </w:rPr>
      </w:pPr>
      <w:r>
        <w:rPr>
          <w:rFonts w:hint="eastAsia" w:ascii="仿宋_GB2312" w:hAnsi="宋体" w:eastAsia="仿宋_GB2312" w:cs="宋体"/>
          <w:sz w:val="24"/>
          <w:szCs w:val="24"/>
          <w:lang w:bidi="ar"/>
        </w:rPr>
        <w:t>法定代表人或授权代表人（签字）：</w:t>
      </w:r>
    </w:p>
    <w:p w14:paraId="631A8BE0">
      <w:pPr>
        <w:widowControl/>
        <w:tabs>
          <w:tab w:val="left" w:pos="0"/>
        </w:tabs>
        <w:adjustRightInd w:val="0"/>
        <w:snapToGrid w:val="0"/>
        <w:jc w:val="left"/>
        <w:rPr>
          <w:rFonts w:ascii="仿宋_GB2312" w:hAnsi="宋体" w:eastAsia="仿宋_GB2312" w:cs="宋体"/>
          <w:sz w:val="24"/>
          <w:szCs w:val="24"/>
        </w:rPr>
      </w:pPr>
    </w:p>
    <w:p w14:paraId="68F3491B">
      <w:pPr>
        <w:widowControl/>
        <w:tabs>
          <w:tab w:val="left" w:pos="0"/>
        </w:tabs>
        <w:adjustRightInd w:val="0"/>
        <w:snapToGrid w:val="0"/>
        <w:jc w:val="left"/>
        <w:rPr>
          <w:rFonts w:ascii="仿宋_GB2312" w:hAnsi="宋体" w:eastAsia="仿宋_GB2312" w:cs="宋体"/>
          <w:sz w:val="24"/>
          <w:szCs w:val="24"/>
        </w:rPr>
      </w:pPr>
      <w:r>
        <w:rPr>
          <w:rFonts w:hint="eastAsia" w:ascii="仿宋_GB2312" w:hAnsi="宋体" w:eastAsia="仿宋_GB2312" w:cs="宋体"/>
          <w:sz w:val="24"/>
          <w:szCs w:val="24"/>
          <w:lang w:bidi="ar"/>
        </w:rPr>
        <w:t>联系人：            联系电话：                   年     月    日</w:t>
      </w:r>
    </w:p>
    <w:p w14:paraId="529785FC">
      <w:pPr>
        <w:widowControl/>
        <w:tabs>
          <w:tab w:val="left" w:pos="0"/>
        </w:tabs>
        <w:adjustRightInd w:val="0"/>
        <w:snapToGrid w:val="0"/>
        <w:spacing w:line="560" w:lineRule="exact"/>
        <w:jc w:val="left"/>
        <w:rPr>
          <w:rFonts w:ascii="仿宋_GB2312" w:hAnsi="宋体" w:eastAsia="仿宋_GB2312" w:cs="宋体"/>
          <w:sz w:val="24"/>
          <w:szCs w:val="24"/>
        </w:rPr>
      </w:pPr>
    </w:p>
    <w:p w14:paraId="0D74CD19">
      <w:pPr>
        <w:widowControl/>
        <w:tabs>
          <w:tab w:val="left" w:pos="0"/>
        </w:tabs>
        <w:adjustRightInd w:val="0"/>
        <w:snapToGrid w:val="0"/>
        <w:spacing w:line="560" w:lineRule="exact"/>
        <w:jc w:val="left"/>
        <w:rPr>
          <w:rFonts w:ascii="仿宋_GB2312" w:hAnsi="宋体" w:eastAsia="仿宋_GB2312" w:cs="Times New Roman"/>
          <w:b/>
          <w:sz w:val="24"/>
          <w:szCs w:val="24"/>
        </w:rPr>
      </w:pPr>
      <w:r>
        <w:rPr>
          <w:rFonts w:hint="eastAsia" w:ascii="仿宋_GB2312" w:hAnsi="宋体" w:eastAsia="仿宋_GB2312" w:cs="宋体"/>
          <w:sz w:val="24"/>
          <w:szCs w:val="24"/>
          <w:lang w:bidi="ar"/>
        </w:rPr>
        <w:t>第一亚太公司监督热线：4007891668     监督邮箱： ytzbzhglb@csc-sz.com</w:t>
      </w:r>
    </w:p>
    <w:p w14:paraId="32EFA21B">
      <w:pPr>
        <w:adjustRightInd w:val="0"/>
        <w:snapToGrid w:val="0"/>
        <w:spacing w:line="560" w:lineRule="exact"/>
        <w:jc w:val="left"/>
        <w:rPr>
          <w:rFonts w:ascii="仿宋_GB2312" w:hAnsi="宋体" w:eastAsia="仿宋_GB2312" w:cs="Times New Roman"/>
          <w:spacing w:val="2"/>
          <w:sz w:val="28"/>
          <w:szCs w:val="28"/>
        </w:rPr>
      </w:pPr>
    </w:p>
    <w:p w14:paraId="5181E61E">
      <w:pPr>
        <w:adjustRightInd w:val="0"/>
        <w:snapToGrid w:val="0"/>
        <w:spacing w:line="560" w:lineRule="exact"/>
        <w:jc w:val="left"/>
        <w:rPr>
          <w:rFonts w:ascii="仿宋_GB2312" w:hAnsi="宋体" w:eastAsia="仿宋_GB2312" w:cs="Times New Roman"/>
          <w:spacing w:val="2"/>
          <w:sz w:val="28"/>
          <w:szCs w:val="28"/>
        </w:rPr>
      </w:pPr>
    </w:p>
    <w:p w14:paraId="7029056C">
      <w:pPr>
        <w:adjustRightInd w:val="0"/>
        <w:snapToGrid w:val="0"/>
        <w:spacing w:line="560" w:lineRule="exact"/>
        <w:jc w:val="left"/>
        <w:rPr>
          <w:rFonts w:ascii="仿宋_GB2312" w:hAnsi="宋体" w:eastAsia="仿宋_GB2312" w:cs="Times New Roman"/>
          <w:spacing w:val="2"/>
          <w:sz w:val="24"/>
          <w:szCs w:val="24"/>
        </w:rPr>
      </w:pPr>
      <w:r>
        <w:rPr>
          <w:rFonts w:hint="eastAsia" w:ascii="仿宋_GB2312" w:hAnsi="宋体" w:eastAsia="仿宋_GB2312" w:cs="Times New Roman"/>
          <w:spacing w:val="2"/>
          <w:sz w:val="24"/>
          <w:szCs w:val="24"/>
        </w:rPr>
        <w:t>附件3：经甲方确认的乙方报价单</w:t>
      </w:r>
    </w:p>
    <w:p w14:paraId="373378AD">
      <w:pPr>
        <w:adjustRightInd w:val="0"/>
        <w:snapToGrid w:val="0"/>
        <w:spacing w:line="560" w:lineRule="exact"/>
        <w:jc w:val="left"/>
        <w:rPr>
          <w:rFonts w:ascii="仿宋_GB2312" w:hAnsi="宋体" w:eastAsia="仿宋_GB2312" w:cs="Times New Roman"/>
          <w:spacing w:val="2"/>
          <w:sz w:val="24"/>
          <w:szCs w:val="24"/>
        </w:rPr>
      </w:pPr>
      <w:r>
        <w:rPr>
          <w:rFonts w:hint="eastAsia" w:ascii="仿宋_GB2312" w:hAnsi="宋体" w:eastAsia="仿宋_GB2312" w:cs="Times New Roman"/>
          <w:spacing w:val="2"/>
          <w:sz w:val="24"/>
          <w:szCs w:val="24"/>
        </w:rPr>
        <w:t>附件4：货物一览表及技术规格</w:t>
      </w:r>
    </w:p>
    <w:p w14:paraId="4E2870F6">
      <w:pPr>
        <w:adjustRightInd w:val="0"/>
        <w:snapToGrid w:val="0"/>
        <w:spacing w:line="560" w:lineRule="exact"/>
        <w:jc w:val="left"/>
        <w:rPr>
          <w:rFonts w:ascii="仿宋_GB2312" w:hAnsi="宋体" w:eastAsia="仿宋_GB2312" w:cs="Times New Roman"/>
          <w:spacing w:val="2"/>
          <w:sz w:val="24"/>
          <w:szCs w:val="24"/>
        </w:rPr>
      </w:pPr>
      <w:r>
        <w:rPr>
          <w:rFonts w:hint="eastAsia" w:ascii="仿宋_GB2312" w:hAnsi="宋体" w:eastAsia="仿宋_GB2312" w:cs="Times New Roman"/>
          <w:spacing w:val="2"/>
          <w:sz w:val="24"/>
          <w:szCs w:val="24"/>
        </w:rPr>
        <w:t>附件5：乙方营业执照、资质证书复印件、项目负责人授权委托书（复印件均须加盖公章）</w:t>
      </w:r>
    </w:p>
    <w:p w14:paraId="1B04F9BE">
      <w:pPr>
        <w:spacing w:line="560" w:lineRule="exact"/>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项目负责人授权委托书</w:t>
      </w:r>
    </w:p>
    <w:p w14:paraId="10D6865D">
      <w:pPr>
        <w:widowControl/>
        <w:tabs>
          <w:tab w:val="left" w:pos="0"/>
        </w:tabs>
        <w:adjustRightInd w:val="0"/>
        <w:snapToGrid w:val="0"/>
        <w:spacing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委托人：(乙方)</w:t>
      </w:r>
    </w:p>
    <w:p w14:paraId="77A80A0A">
      <w:pPr>
        <w:widowControl/>
        <w:tabs>
          <w:tab w:val="left" w:pos="0"/>
        </w:tabs>
        <w:adjustRightInd w:val="0"/>
        <w:snapToGrid w:val="0"/>
        <w:spacing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统一社会信用代码：</w:t>
      </w:r>
    </w:p>
    <w:p w14:paraId="2F1FF58B">
      <w:pPr>
        <w:widowControl/>
        <w:tabs>
          <w:tab w:val="left" w:pos="0"/>
        </w:tabs>
        <w:adjustRightInd w:val="0"/>
        <w:snapToGrid w:val="0"/>
        <w:spacing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法定代表人/负责人：</w:t>
      </w:r>
    </w:p>
    <w:p w14:paraId="4B63B153">
      <w:pPr>
        <w:widowControl/>
        <w:tabs>
          <w:tab w:val="left" w:pos="0"/>
        </w:tabs>
        <w:adjustRightInd w:val="0"/>
        <w:snapToGrid w:val="0"/>
        <w:spacing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受托人：     ， 身份证号：           性别：       ，</w:t>
      </w:r>
    </w:p>
    <w:p w14:paraId="781CEC24">
      <w:pPr>
        <w:widowControl/>
        <w:tabs>
          <w:tab w:val="left" w:pos="0"/>
        </w:tabs>
        <w:adjustRightInd w:val="0"/>
        <w:snapToGrid w:val="0"/>
        <w:spacing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工作单位：      ，职务：     ；联系方式：</w:t>
      </w:r>
    </w:p>
    <w:p w14:paraId="5A9BD0BE">
      <w:pPr>
        <w:widowControl/>
        <w:tabs>
          <w:tab w:val="left" w:pos="0"/>
        </w:tabs>
        <w:adjustRightInd w:val="0"/>
        <w:snapToGrid w:val="0"/>
        <w:spacing w:line="560" w:lineRule="exact"/>
        <w:jc w:val="left"/>
        <w:rPr>
          <w:rFonts w:ascii="仿宋_GB2312" w:hAnsi="宋体" w:eastAsia="仿宋_GB2312" w:cs="宋体"/>
          <w:sz w:val="24"/>
          <w:szCs w:val="24"/>
          <w:lang w:bidi="ar"/>
        </w:rPr>
      </w:pPr>
    </w:p>
    <w:p w14:paraId="7D23288E">
      <w:pPr>
        <w:widowControl/>
        <w:tabs>
          <w:tab w:val="left" w:pos="0"/>
        </w:tabs>
        <w:adjustRightInd w:val="0"/>
        <w:snapToGrid w:val="0"/>
        <w:spacing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委托事项：</w:t>
      </w:r>
    </w:p>
    <w:p w14:paraId="58AF5D65">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现委托受托人在XXX工程维修项目中，作为我单位的项目负责人。负责项目现场工人管理及工程维修进度、质量、安全、验收、移交、结算等经济权限及现场一切事务。</w:t>
      </w:r>
    </w:p>
    <w:p w14:paraId="07758697">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代理期限：自本委托书签署之日起至本合同履行完毕之日止。</w:t>
      </w:r>
    </w:p>
    <w:p w14:paraId="67C5A1FE">
      <w:pPr>
        <w:widowControl/>
        <w:tabs>
          <w:tab w:val="left" w:pos="0"/>
        </w:tabs>
        <w:adjustRightInd w:val="0"/>
        <w:snapToGrid w:val="0"/>
        <w:spacing w:line="560" w:lineRule="exact"/>
        <w:ind w:firstLine="480" w:firstLineChars="200"/>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附受托人身份证复印件</w:t>
      </w:r>
    </w:p>
    <w:p w14:paraId="02CAF5C4">
      <w:pPr>
        <w:widowControl/>
        <w:tabs>
          <w:tab w:val="left" w:pos="0"/>
        </w:tabs>
        <w:adjustRightInd w:val="0"/>
        <w:snapToGrid w:val="0"/>
        <w:spacing w:line="560" w:lineRule="exact"/>
        <w:ind w:firstLine="6720" w:firstLineChars="2800"/>
        <w:jc w:val="left"/>
        <w:rPr>
          <w:rFonts w:ascii="仿宋_GB2312" w:hAnsi="宋体" w:eastAsia="仿宋_GB2312" w:cs="宋体"/>
          <w:sz w:val="24"/>
          <w:szCs w:val="24"/>
          <w:lang w:bidi="ar"/>
        </w:rPr>
      </w:pPr>
    </w:p>
    <w:p w14:paraId="17DA7C1B">
      <w:pPr>
        <w:widowControl/>
        <w:tabs>
          <w:tab w:val="left" w:pos="0"/>
        </w:tabs>
        <w:adjustRightInd w:val="0"/>
        <w:snapToGrid w:val="0"/>
        <w:spacing w:line="560" w:lineRule="exact"/>
        <w:jc w:val="right"/>
        <w:rPr>
          <w:rFonts w:ascii="仿宋_GB2312" w:hAnsi="宋体" w:eastAsia="仿宋_GB2312" w:cs="宋体"/>
          <w:sz w:val="24"/>
          <w:szCs w:val="24"/>
          <w:lang w:bidi="ar"/>
        </w:rPr>
      </w:pPr>
      <w:r>
        <w:rPr>
          <w:rFonts w:hint="eastAsia" w:ascii="仿宋_GB2312" w:hAnsi="宋体" w:eastAsia="仿宋_GB2312" w:cs="宋体"/>
          <w:sz w:val="24"/>
          <w:szCs w:val="24"/>
          <w:lang w:bidi="ar"/>
        </w:rPr>
        <w:t>委托人：</w:t>
      </w:r>
    </w:p>
    <w:p w14:paraId="3C0BFEBF">
      <w:pPr>
        <w:widowControl/>
        <w:tabs>
          <w:tab w:val="left" w:pos="0"/>
        </w:tabs>
        <w:adjustRightInd w:val="0"/>
        <w:snapToGrid w:val="0"/>
        <w:spacing w:line="560" w:lineRule="exact"/>
        <w:jc w:val="right"/>
        <w:rPr>
          <w:rFonts w:ascii="仿宋_GB2312" w:hAnsi="宋体" w:eastAsia="仿宋_GB2312" w:cs="宋体"/>
          <w:sz w:val="24"/>
          <w:szCs w:val="24"/>
          <w:lang w:bidi="ar"/>
        </w:rPr>
      </w:pPr>
      <w:r>
        <w:rPr>
          <w:rFonts w:hint="eastAsia" w:ascii="仿宋_GB2312" w:hAnsi="宋体" w:eastAsia="仿宋_GB2312" w:cs="宋体"/>
          <w:sz w:val="24"/>
          <w:szCs w:val="24"/>
          <w:lang w:bidi="ar"/>
        </w:rPr>
        <w:t>年  月  日</w:t>
      </w:r>
    </w:p>
    <w:p w14:paraId="1928BBD0">
      <w:pPr>
        <w:widowControl/>
        <w:tabs>
          <w:tab w:val="left" w:pos="0"/>
        </w:tabs>
        <w:adjustRightInd w:val="0"/>
        <w:snapToGrid w:val="0"/>
        <w:spacing w:line="560" w:lineRule="exact"/>
        <w:jc w:val="left"/>
        <w:rPr>
          <w:rFonts w:ascii="仿宋_GB2312" w:hAnsi="宋体" w:eastAsia="仿宋_GB2312" w:cs="宋体"/>
          <w:sz w:val="24"/>
          <w:szCs w:val="24"/>
          <w:lang w:bidi="ar"/>
        </w:rPr>
      </w:pPr>
    </w:p>
    <w:p w14:paraId="279E1033">
      <w:pPr>
        <w:spacing w:line="560" w:lineRule="exact"/>
        <w:jc w:val="left"/>
        <w:rPr>
          <w:rFonts w:ascii="仿宋_GB2312" w:hAnsi="宋体" w:eastAsia="仿宋_GB2312" w:cs="Times New Roman"/>
          <w:sz w:val="24"/>
          <w:szCs w:val="24"/>
          <w:lang w:bidi="ar"/>
        </w:rPr>
      </w:pPr>
    </w:p>
    <w:p w14:paraId="47F921B5">
      <w:pPr>
        <w:spacing w:line="560" w:lineRule="exact"/>
        <w:jc w:val="left"/>
        <w:rPr>
          <w:rFonts w:ascii="仿宋_GB2312" w:hAnsi="宋体" w:eastAsia="仿宋_GB2312" w:cs="Times New Roman"/>
          <w:sz w:val="24"/>
          <w:szCs w:val="24"/>
          <w:lang w:bidi="ar"/>
        </w:rPr>
      </w:pPr>
    </w:p>
    <w:p w14:paraId="23E77E27">
      <w:pPr>
        <w:spacing w:line="560" w:lineRule="exact"/>
        <w:jc w:val="left"/>
        <w:rPr>
          <w:rFonts w:ascii="仿宋_GB2312" w:hAnsi="宋体" w:eastAsia="仿宋_GB2312" w:cs="Times New Roman"/>
          <w:sz w:val="24"/>
          <w:szCs w:val="24"/>
          <w:lang w:bidi="ar"/>
        </w:rPr>
      </w:pPr>
    </w:p>
    <w:p w14:paraId="021A6D6F">
      <w:pPr>
        <w:adjustRightInd w:val="0"/>
        <w:snapToGrid w:val="0"/>
        <w:spacing w:line="560" w:lineRule="exact"/>
        <w:jc w:val="left"/>
        <w:rPr>
          <w:rFonts w:ascii="仿宋_GB2312" w:hAnsi="宋体" w:eastAsia="仿宋_GB2312" w:cs="Times New Roman"/>
          <w:spacing w:val="2"/>
          <w:sz w:val="24"/>
          <w:szCs w:val="28"/>
        </w:rPr>
      </w:pPr>
      <w:r>
        <w:rPr>
          <w:rFonts w:hint="eastAsia" w:ascii="仿宋_GB2312" w:hAnsi="宋体" w:eastAsia="仿宋_GB2312" w:cs="Times New Roman"/>
          <w:spacing w:val="2"/>
          <w:sz w:val="24"/>
          <w:szCs w:val="28"/>
        </w:rPr>
        <w:t>附件6零星工程验收单</w:t>
      </w:r>
    </w:p>
    <w:p w14:paraId="432B77B2">
      <w:pPr>
        <w:spacing w:line="560" w:lineRule="exac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零星工程项目竣工验收单</w:t>
      </w:r>
    </w:p>
    <w:p w14:paraId="332B9586">
      <w:pPr>
        <w:spacing w:line="560" w:lineRule="exact"/>
        <w:jc w:val="left"/>
        <w:rPr>
          <w:rFonts w:ascii="仿宋_GB2312" w:hAnsi="宋体" w:eastAsia="仿宋_GB2312" w:cs="Times New Roman"/>
          <w:b/>
          <w:sz w:val="28"/>
          <w:szCs w:val="28"/>
        </w:rPr>
      </w:pPr>
    </w:p>
    <w:tbl>
      <w:tblPr>
        <w:tblStyle w:val="38"/>
        <w:tblpPr w:leftFromText="180" w:rightFromText="180" w:vertAnchor="text" w:horzAnchor="margin" w:tblpY="-5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15"/>
        <w:gridCol w:w="435"/>
        <w:gridCol w:w="900"/>
        <w:gridCol w:w="1520"/>
      </w:tblGrid>
      <w:tr w14:paraId="167A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60" w:type="dxa"/>
            <w:vAlign w:val="center"/>
          </w:tcPr>
          <w:p w14:paraId="2065626E">
            <w:pPr>
              <w:jc w:val="left"/>
              <w:rPr>
                <w:rFonts w:ascii="仿宋_GB2312" w:hAnsi="Times New Roman" w:eastAsia="仿宋_GB2312" w:cs="Times New Roman"/>
                <w:szCs w:val="21"/>
              </w:rPr>
            </w:pPr>
            <w:r>
              <w:rPr>
                <w:rFonts w:hint="eastAsia" w:ascii="仿宋_GB2312" w:hAnsi="Times New Roman" w:eastAsia="仿宋_GB2312" w:cs="Times New Roman"/>
                <w:szCs w:val="21"/>
              </w:rPr>
              <w:t>区域名称</w:t>
            </w:r>
          </w:p>
        </w:tc>
        <w:tc>
          <w:tcPr>
            <w:tcW w:w="4650" w:type="dxa"/>
            <w:gridSpan w:val="2"/>
            <w:vAlign w:val="center"/>
          </w:tcPr>
          <w:p w14:paraId="01F92E6A">
            <w:pPr>
              <w:jc w:val="left"/>
              <w:rPr>
                <w:rFonts w:ascii="仿宋_GB2312" w:hAnsi="Times New Roman" w:eastAsia="仿宋_GB2312" w:cs="Times New Roman"/>
                <w:szCs w:val="21"/>
              </w:rPr>
            </w:pPr>
          </w:p>
        </w:tc>
        <w:tc>
          <w:tcPr>
            <w:tcW w:w="900" w:type="dxa"/>
            <w:vAlign w:val="center"/>
          </w:tcPr>
          <w:p w14:paraId="1F9A2A3F">
            <w:pPr>
              <w:jc w:val="left"/>
              <w:rPr>
                <w:rFonts w:ascii="仿宋_GB2312" w:hAnsi="Times New Roman" w:eastAsia="仿宋_GB2312" w:cs="Times New Roman"/>
                <w:szCs w:val="21"/>
              </w:rPr>
            </w:pPr>
            <w:r>
              <w:rPr>
                <w:rFonts w:hint="eastAsia" w:ascii="仿宋_GB2312" w:hAnsi="Times New Roman" w:eastAsia="仿宋_GB2312" w:cs="Times New Roman"/>
                <w:szCs w:val="21"/>
              </w:rPr>
              <w:t>日期</w:t>
            </w:r>
          </w:p>
        </w:tc>
        <w:tc>
          <w:tcPr>
            <w:tcW w:w="1520" w:type="dxa"/>
            <w:vAlign w:val="center"/>
          </w:tcPr>
          <w:p w14:paraId="7164E4BC">
            <w:pPr>
              <w:jc w:val="left"/>
              <w:rPr>
                <w:rFonts w:ascii="仿宋_GB2312" w:hAnsi="Times New Roman" w:eastAsia="仿宋_GB2312" w:cs="Times New Roman"/>
                <w:szCs w:val="21"/>
              </w:rPr>
            </w:pPr>
          </w:p>
        </w:tc>
      </w:tr>
      <w:tr w14:paraId="7981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60" w:type="dxa"/>
            <w:vAlign w:val="center"/>
          </w:tcPr>
          <w:p w14:paraId="1535D700">
            <w:pPr>
              <w:jc w:val="left"/>
              <w:rPr>
                <w:rFonts w:ascii="仿宋_GB2312" w:hAnsi="Times New Roman" w:eastAsia="仿宋_GB2312" w:cs="Times New Roman"/>
                <w:szCs w:val="21"/>
              </w:rPr>
            </w:pPr>
            <w:r>
              <w:rPr>
                <w:rFonts w:hint="eastAsia" w:ascii="仿宋_GB2312" w:hAnsi="Times New Roman" w:eastAsia="仿宋_GB2312" w:cs="Times New Roman"/>
                <w:szCs w:val="21"/>
              </w:rPr>
              <w:t>施工单位</w:t>
            </w:r>
          </w:p>
        </w:tc>
        <w:tc>
          <w:tcPr>
            <w:tcW w:w="7070" w:type="dxa"/>
            <w:gridSpan w:val="4"/>
            <w:vAlign w:val="center"/>
          </w:tcPr>
          <w:p w14:paraId="43280CDC">
            <w:pPr>
              <w:jc w:val="left"/>
              <w:rPr>
                <w:rFonts w:ascii="仿宋_GB2312" w:hAnsi="Times New Roman" w:eastAsia="仿宋_GB2312" w:cs="Times New Roman"/>
                <w:szCs w:val="21"/>
              </w:rPr>
            </w:pPr>
          </w:p>
        </w:tc>
      </w:tr>
      <w:tr w14:paraId="3753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260" w:type="dxa"/>
            <w:vAlign w:val="center"/>
          </w:tcPr>
          <w:p w14:paraId="6CA68ED1">
            <w:pPr>
              <w:jc w:val="left"/>
              <w:rPr>
                <w:rFonts w:ascii="仿宋_GB2312" w:hAnsi="Times New Roman" w:eastAsia="仿宋_GB2312" w:cs="Times New Roman"/>
                <w:szCs w:val="21"/>
              </w:rPr>
            </w:pPr>
            <w:r>
              <w:rPr>
                <w:rFonts w:hint="eastAsia" w:ascii="仿宋_GB2312" w:hAnsi="Times New Roman" w:eastAsia="仿宋_GB2312" w:cs="Times New Roman"/>
                <w:szCs w:val="21"/>
              </w:rPr>
              <w:t>单项工程验收情况</w:t>
            </w:r>
          </w:p>
          <w:p w14:paraId="0C8F5B39">
            <w:pPr>
              <w:jc w:val="left"/>
              <w:rPr>
                <w:rFonts w:ascii="仿宋_GB2312" w:hAnsi="Times New Roman" w:eastAsia="仿宋_GB2312" w:cs="Times New Roman"/>
                <w:szCs w:val="21"/>
              </w:rPr>
            </w:pPr>
            <w:r>
              <w:rPr>
                <w:rFonts w:hint="eastAsia" w:ascii="仿宋_GB2312" w:hAnsi="Times New Roman" w:eastAsia="仿宋_GB2312" w:cs="Times New Roman"/>
                <w:szCs w:val="21"/>
              </w:rPr>
              <w:t>说明，质量是否合格（专业工程师、工程主管填写）</w:t>
            </w:r>
          </w:p>
        </w:tc>
        <w:tc>
          <w:tcPr>
            <w:tcW w:w="7070" w:type="dxa"/>
            <w:gridSpan w:val="4"/>
            <w:vAlign w:val="center"/>
          </w:tcPr>
          <w:p w14:paraId="3AA21917">
            <w:pPr>
              <w:jc w:val="left"/>
              <w:rPr>
                <w:rFonts w:ascii="仿宋_GB2312" w:hAnsi="Times New Roman" w:eastAsia="仿宋_GB2312" w:cs="Times New Roman"/>
                <w:szCs w:val="21"/>
              </w:rPr>
            </w:pPr>
          </w:p>
          <w:p w14:paraId="0DDD6E19">
            <w:pPr>
              <w:jc w:val="left"/>
              <w:rPr>
                <w:rFonts w:ascii="仿宋_GB2312" w:hAnsi="Times New Roman" w:eastAsia="仿宋_GB2312" w:cs="Times New Roman"/>
                <w:szCs w:val="21"/>
              </w:rPr>
            </w:pPr>
          </w:p>
          <w:p w14:paraId="0621247D">
            <w:pPr>
              <w:jc w:val="left"/>
              <w:rPr>
                <w:rFonts w:ascii="仿宋_GB2312" w:hAnsi="Times New Roman" w:eastAsia="仿宋_GB2312" w:cs="Times New Roman"/>
                <w:szCs w:val="21"/>
              </w:rPr>
            </w:pPr>
          </w:p>
          <w:p w14:paraId="52971F6D">
            <w:pPr>
              <w:jc w:val="left"/>
              <w:rPr>
                <w:rFonts w:ascii="仿宋_GB2312" w:hAnsi="Times New Roman" w:eastAsia="仿宋_GB2312" w:cs="Times New Roman"/>
                <w:szCs w:val="21"/>
              </w:rPr>
            </w:pPr>
          </w:p>
          <w:p w14:paraId="541D30A3">
            <w:pPr>
              <w:jc w:val="left"/>
              <w:rPr>
                <w:rFonts w:ascii="仿宋_GB2312" w:hAnsi="Times New Roman" w:eastAsia="仿宋_GB2312" w:cs="Times New Roman"/>
                <w:szCs w:val="21"/>
              </w:rPr>
            </w:pPr>
          </w:p>
          <w:p w14:paraId="76A49C5F">
            <w:pPr>
              <w:jc w:val="left"/>
              <w:rPr>
                <w:rFonts w:ascii="仿宋_GB2312" w:hAnsi="Times New Roman" w:eastAsia="仿宋_GB2312" w:cs="Times New Roman"/>
                <w:szCs w:val="21"/>
              </w:rPr>
            </w:pPr>
          </w:p>
          <w:p w14:paraId="1DC24CF9">
            <w:pPr>
              <w:jc w:val="left"/>
              <w:rPr>
                <w:rFonts w:ascii="仿宋_GB2312" w:hAnsi="Times New Roman" w:eastAsia="仿宋_GB2312" w:cs="Times New Roman"/>
                <w:szCs w:val="21"/>
              </w:rPr>
            </w:pPr>
          </w:p>
          <w:p w14:paraId="696446DA">
            <w:pPr>
              <w:jc w:val="left"/>
              <w:rPr>
                <w:rFonts w:ascii="仿宋_GB2312" w:hAnsi="Times New Roman" w:eastAsia="仿宋_GB2312" w:cs="Times New Roman"/>
                <w:szCs w:val="21"/>
              </w:rPr>
            </w:pPr>
          </w:p>
          <w:p w14:paraId="5A4E765D">
            <w:pPr>
              <w:jc w:val="left"/>
              <w:rPr>
                <w:rFonts w:ascii="仿宋_GB2312" w:hAnsi="Times New Roman" w:eastAsia="仿宋_GB2312" w:cs="Times New Roman"/>
                <w:szCs w:val="21"/>
              </w:rPr>
            </w:pPr>
          </w:p>
          <w:p w14:paraId="6351C559">
            <w:pPr>
              <w:jc w:val="left"/>
              <w:rPr>
                <w:rFonts w:ascii="仿宋_GB2312" w:hAnsi="Times New Roman" w:eastAsia="仿宋_GB2312" w:cs="Times New Roman"/>
                <w:szCs w:val="21"/>
              </w:rPr>
            </w:pPr>
          </w:p>
          <w:p w14:paraId="6E431EA9">
            <w:pPr>
              <w:jc w:val="left"/>
              <w:rPr>
                <w:rFonts w:ascii="仿宋_GB2312" w:hAnsi="Times New Roman" w:eastAsia="仿宋_GB2312" w:cs="Times New Roman"/>
                <w:szCs w:val="21"/>
              </w:rPr>
            </w:pPr>
          </w:p>
          <w:p w14:paraId="36A85DC0">
            <w:pPr>
              <w:jc w:val="left"/>
              <w:rPr>
                <w:rFonts w:ascii="仿宋_GB2312" w:hAnsi="Times New Roman" w:eastAsia="仿宋_GB2312" w:cs="Times New Roman"/>
                <w:szCs w:val="21"/>
              </w:rPr>
            </w:pPr>
          </w:p>
          <w:p w14:paraId="6FEDAC01">
            <w:pPr>
              <w:jc w:val="left"/>
              <w:rPr>
                <w:rFonts w:ascii="仿宋_GB2312" w:hAnsi="Times New Roman" w:eastAsia="仿宋_GB2312" w:cs="Times New Roman"/>
                <w:szCs w:val="21"/>
              </w:rPr>
            </w:pPr>
          </w:p>
          <w:p w14:paraId="6CE62B06">
            <w:pPr>
              <w:jc w:val="left"/>
              <w:rPr>
                <w:rFonts w:ascii="仿宋_GB2312" w:hAnsi="Times New Roman" w:eastAsia="仿宋_GB2312" w:cs="Times New Roman"/>
                <w:szCs w:val="21"/>
              </w:rPr>
            </w:pPr>
          </w:p>
          <w:p w14:paraId="62DF5B90">
            <w:pPr>
              <w:jc w:val="left"/>
              <w:rPr>
                <w:rFonts w:ascii="仿宋_GB2312" w:hAnsi="Times New Roman" w:eastAsia="仿宋_GB2312" w:cs="Times New Roman"/>
                <w:szCs w:val="21"/>
              </w:rPr>
            </w:pPr>
          </w:p>
          <w:p w14:paraId="64C7F825">
            <w:pPr>
              <w:jc w:val="left"/>
              <w:rPr>
                <w:rFonts w:ascii="仿宋_GB2312" w:hAnsi="Times New Roman" w:eastAsia="仿宋_GB2312" w:cs="Times New Roman"/>
                <w:szCs w:val="21"/>
              </w:rPr>
            </w:pPr>
          </w:p>
        </w:tc>
      </w:tr>
      <w:tr w14:paraId="26A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260" w:type="dxa"/>
            <w:vMerge w:val="restart"/>
            <w:vAlign w:val="center"/>
          </w:tcPr>
          <w:p w14:paraId="267ADC52">
            <w:pPr>
              <w:jc w:val="left"/>
              <w:rPr>
                <w:rFonts w:ascii="仿宋_GB2312" w:hAnsi="Times New Roman" w:eastAsia="仿宋_GB2312" w:cs="Times New Roman"/>
                <w:szCs w:val="21"/>
              </w:rPr>
            </w:pPr>
            <w:r>
              <w:rPr>
                <w:rFonts w:hint="eastAsia" w:ascii="仿宋_GB2312" w:hAnsi="Times New Roman" w:eastAsia="仿宋_GB2312" w:cs="Times New Roman"/>
                <w:szCs w:val="21"/>
              </w:rPr>
              <w:t>验收部</w:t>
            </w:r>
          </w:p>
          <w:p w14:paraId="39B83E72">
            <w:pPr>
              <w:jc w:val="left"/>
              <w:rPr>
                <w:rFonts w:ascii="仿宋_GB2312" w:hAnsi="Times New Roman" w:eastAsia="仿宋_GB2312" w:cs="Times New Roman"/>
                <w:szCs w:val="21"/>
              </w:rPr>
            </w:pPr>
            <w:r>
              <w:rPr>
                <w:rFonts w:hint="eastAsia" w:ascii="仿宋_GB2312" w:hAnsi="Times New Roman" w:eastAsia="仿宋_GB2312" w:cs="Times New Roman"/>
                <w:szCs w:val="21"/>
              </w:rPr>
              <w:t>门意见</w:t>
            </w:r>
          </w:p>
        </w:tc>
        <w:tc>
          <w:tcPr>
            <w:tcW w:w="4215" w:type="dxa"/>
          </w:tcPr>
          <w:p w14:paraId="30E40043">
            <w:pPr>
              <w:jc w:val="left"/>
              <w:rPr>
                <w:rFonts w:ascii="仿宋_GB2312" w:hAnsi="Times New Roman" w:eastAsia="仿宋_GB2312" w:cs="Times New Roman"/>
                <w:szCs w:val="21"/>
              </w:rPr>
            </w:pPr>
            <w:r>
              <w:rPr>
                <w:rFonts w:hint="eastAsia" w:ascii="仿宋_GB2312" w:hAnsi="Times New Roman" w:eastAsia="仿宋_GB2312" w:cs="Times New Roman"/>
                <w:szCs w:val="21"/>
              </w:rPr>
              <w:t>施工单位:</w:t>
            </w:r>
          </w:p>
          <w:p w14:paraId="4D60BC14">
            <w:pPr>
              <w:jc w:val="left"/>
              <w:rPr>
                <w:rFonts w:ascii="仿宋_GB2312" w:hAnsi="Times New Roman" w:eastAsia="仿宋_GB2312" w:cs="Times New Roman"/>
                <w:szCs w:val="21"/>
              </w:rPr>
            </w:pPr>
          </w:p>
          <w:p w14:paraId="75D2ACB4">
            <w:pPr>
              <w:jc w:val="left"/>
              <w:rPr>
                <w:rFonts w:ascii="仿宋_GB2312" w:hAnsi="Times New Roman" w:eastAsia="仿宋_GB2312" w:cs="Times New Roman"/>
                <w:szCs w:val="21"/>
              </w:rPr>
            </w:pPr>
          </w:p>
          <w:p w14:paraId="6ADB2CBB">
            <w:pPr>
              <w:jc w:val="left"/>
              <w:rPr>
                <w:rFonts w:ascii="仿宋_GB2312" w:hAnsi="Times New Roman" w:eastAsia="仿宋_GB2312" w:cs="Times New Roman"/>
                <w:szCs w:val="21"/>
              </w:rPr>
            </w:pPr>
          </w:p>
          <w:p w14:paraId="6C5B68C2">
            <w:pPr>
              <w:jc w:val="left"/>
              <w:rPr>
                <w:rFonts w:ascii="仿宋_GB2312" w:hAnsi="Times New Roman" w:eastAsia="仿宋_GB2312" w:cs="Times New Roman"/>
                <w:szCs w:val="21"/>
              </w:rPr>
            </w:pPr>
          </w:p>
          <w:p w14:paraId="2A54FBAA">
            <w:pPr>
              <w:jc w:val="left"/>
              <w:rPr>
                <w:rFonts w:ascii="仿宋_GB2312" w:hAnsi="Times New Roman" w:eastAsia="仿宋_GB2312" w:cs="Times New Roman"/>
                <w:szCs w:val="21"/>
              </w:rPr>
            </w:pPr>
          </w:p>
          <w:p w14:paraId="473F7B4F">
            <w:pPr>
              <w:jc w:val="left"/>
              <w:rPr>
                <w:rFonts w:ascii="仿宋_GB2312" w:hAnsi="Times New Roman" w:eastAsia="仿宋_GB2312" w:cs="Times New Roman"/>
                <w:szCs w:val="21"/>
              </w:rPr>
            </w:pPr>
            <w:r>
              <w:rPr>
                <w:rFonts w:hint="eastAsia" w:ascii="仿宋_GB2312" w:hAnsi="Times New Roman" w:eastAsia="仿宋_GB2312" w:cs="Times New Roman"/>
                <w:szCs w:val="21"/>
              </w:rPr>
              <w:t>负责人：           日期：</w:t>
            </w:r>
          </w:p>
        </w:tc>
        <w:tc>
          <w:tcPr>
            <w:tcW w:w="2855" w:type="dxa"/>
            <w:gridSpan w:val="3"/>
          </w:tcPr>
          <w:p w14:paraId="4F0A0A91">
            <w:pPr>
              <w:jc w:val="left"/>
              <w:rPr>
                <w:rFonts w:ascii="仿宋_GB2312" w:hAnsi="Times New Roman" w:eastAsia="仿宋_GB2312" w:cs="Times New Roman"/>
                <w:szCs w:val="21"/>
              </w:rPr>
            </w:pPr>
            <w:r>
              <w:rPr>
                <w:rFonts w:hint="eastAsia" w:ascii="仿宋_GB2312" w:hAnsi="Times New Roman" w:eastAsia="仿宋_GB2312" w:cs="Times New Roman"/>
                <w:szCs w:val="21"/>
              </w:rPr>
              <w:t>项目负责人:</w:t>
            </w:r>
          </w:p>
          <w:p w14:paraId="29681312">
            <w:pPr>
              <w:jc w:val="left"/>
              <w:rPr>
                <w:rFonts w:ascii="仿宋_GB2312" w:hAnsi="Times New Roman" w:eastAsia="仿宋_GB2312" w:cs="Times New Roman"/>
                <w:szCs w:val="21"/>
              </w:rPr>
            </w:pPr>
          </w:p>
          <w:p w14:paraId="2EBBD20D">
            <w:pPr>
              <w:jc w:val="left"/>
              <w:rPr>
                <w:rFonts w:ascii="仿宋_GB2312" w:hAnsi="Times New Roman" w:eastAsia="仿宋_GB2312" w:cs="Times New Roman"/>
                <w:szCs w:val="21"/>
              </w:rPr>
            </w:pPr>
          </w:p>
          <w:p w14:paraId="6F0EE9F4">
            <w:pPr>
              <w:jc w:val="left"/>
              <w:rPr>
                <w:rFonts w:ascii="仿宋_GB2312" w:hAnsi="Times New Roman" w:eastAsia="仿宋_GB2312" w:cs="Times New Roman"/>
                <w:szCs w:val="21"/>
              </w:rPr>
            </w:pPr>
          </w:p>
          <w:p w14:paraId="10F88A17">
            <w:pPr>
              <w:jc w:val="left"/>
              <w:rPr>
                <w:rFonts w:ascii="仿宋_GB2312" w:hAnsi="Times New Roman" w:eastAsia="仿宋_GB2312" w:cs="Times New Roman"/>
                <w:szCs w:val="21"/>
              </w:rPr>
            </w:pPr>
          </w:p>
          <w:p w14:paraId="30D63C4F">
            <w:pPr>
              <w:jc w:val="left"/>
              <w:rPr>
                <w:rFonts w:ascii="仿宋_GB2312" w:hAnsi="Times New Roman" w:eastAsia="仿宋_GB2312" w:cs="Times New Roman"/>
                <w:szCs w:val="21"/>
              </w:rPr>
            </w:pPr>
          </w:p>
          <w:p w14:paraId="52FB4272">
            <w:pPr>
              <w:jc w:val="left"/>
              <w:rPr>
                <w:rFonts w:ascii="仿宋_GB2312" w:hAnsi="Times New Roman" w:eastAsia="仿宋_GB2312" w:cs="Times New Roman"/>
                <w:szCs w:val="21"/>
              </w:rPr>
            </w:pPr>
            <w:r>
              <w:rPr>
                <w:rFonts w:hint="eastAsia" w:ascii="仿宋_GB2312" w:hAnsi="Times New Roman" w:eastAsia="仿宋_GB2312" w:cs="Times New Roman"/>
                <w:szCs w:val="21"/>
              </w:rPr>
              <w:t>负责人：           日期：</w:t>
            </w:r>
          </w:p>
        </w:tc>
      </w:tr>
      <w:tr w14:paraId="6EE0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1260" w:type="dxa"/>
            <w:vMerge w:val="continue"/>
            <w:vAlign w:val="center"/>
          </w:tcPr>
          <w:p w14:paraId="55C796AF">
            <w:pPr>
              <w:jc w:val="left"/>
              <w:rPr>
                <w:rFonts w:ascii="仿宋_GB2312" w:hAnsi="Times New Roman" w:eastAsia="仿宋_GB2312" w:cs="Times New Roman"/>
                <w:szCs w:val="21"/>
              </w:rPr>
            </w:pPr>
          </w:p>
        </w:tc>
        <w:tc>
          <w:tcPr>
            <w:tcW w:w="4215" w:type="dxa"/>
          </w:tcPr>
          <w:p w14:paraId="0E1FA409">
            <w:pPr>
              <w:jc w:val="left"/>
              <w:rPr>
                <w:rFonts w:ascii="仿宋_GB2312" w:hAnsi="Times New Roman" w:eastAsia="仿宋_GB2312" w:cs="Times New Roman"/>
                <w:szCs w:val="21"/>
              </w:rPr>
            </w:pPr>
            <w:r>
              <w:rPr>
                <w:rFonts w:hint="eastAsia" w:ascii="仿宋_GB2312" w:hAnsi="Times New Roman" w:eastAsia="仿宋_GB2312" w:cs="Times New Roman"/>
                <w:szCs w:val="21"/>
              </w:rPr>
              <w:t>运营管理部:</w:t>
            </w:r>
          </w:p>
          <w:p w14:paraId="35B1688C">
            <w:pPr>
              <w:jc w:val="left"/>
              <w:rPr>
                <w:rFonts w:ascii="仿宋_GB2312" w:hAnsi="Times New Roman" w:eastAsia="仿宋_GB2312" w:cs="Times New Roman"/>
                <w:szCs w:val="21"/>
              </w:rPr>
            </w:pPr>
          </w:p>
          <w:p w14:paraId="01AB5120">
            <w:pPr>
              <w:jc w:val="left"/>
              <w:rPr>
                <w:rFonts w:ascii="仿宋_GB2312" w:hAnsi="Times New Roman" w:eastAsia="仿宋_GB2312" w:cs="Times New Roman"/>
                <w:szCs w:val="21"/>
              </w:rPr>
            </w:pPr>
          </w:p>
          <w:p w14:paraId="06573F9F">
            <w:pPr>
              <w:jc w:val="left"/>
              <w:rPr>
                <w:rFonts w:ascii="仿宋_GB2312" w:hAnsi="Times New Roman" w:eastAsia="仿宋_GB2312" w:cs="Times New Roman"/>
                <w:szCs w:val="21"/>
              </w:rPr>
            </w:pPr>
          </w:p>
          <w:p w14:paraId="27E25132">
            <w:pPr>
              <w:jc w:val="left"/>
              <w:rPr>
                <w:rFonts w:ascii="仿宋_GB2312" w:hAnsi="Times New Roman" w:eastAsia="仿宋_GB2312" w:cs="Times New Roman"/>
                <w:szCs w:val="21"/>
              </w:rPr>
            </w:pPr>
          </w:p>
          <w:p w14:paraId="0BD815D9">
            <w:pPr>
              <w:jc w:val="left"/>
              <w:rPr>
                <w:rFonts w:ascii="仿宋_GB2312" w:hAnsi="Times New Roman" w:eastAsia="仿宋_GB2312" w:cs="Times New Roman"/>
                <w:szCs w:val="21"/>
              </w:rPr>
            </w:pPr>
          </w:p>
          <w:p w14:paraId="3554AAD0">
            <w:pPr>
              <w:jc w:val="left"/>
              <w:rPr>
                <w:rFonts w:ascii="仿宋_GB2312" w:hAnsi="Times New Roman" w:eastAsia="仿宋_GB2312" w:cs="Times New Roman"/>
                <w:szCs w:val="21"/>
              </w:rPr>
            </w:pPr>
          </w:p>
          <w:p w14:paraId="1CE315F0">
            <w:pPr>
              <w:jc w:val="left"/>
              <w:rPr>
                <w:rFonts w:ascii="仿宋_GB2312" w:hAnsi="Times New Roman" w:eastAsia="仿宋_GB2312" w:cs="Times New Roman"/>
                <w:szCs w:val="21"/>
              </w:rPr>
            </w:pPr>
            <w:r>
              <w:rPr>
                <w:rFonts w:hint="eastAsia" w:ascii="仿宋_GB2312" w:hAnsi="Times New Roman" w:eastAsia="仿宋_GB2312" w:cs="Times New Roman"/>
                <w:szCs w:val="21"/>
              </w:rPr>
              <w:t>负责人：           日期：</w:t>
            </w:r>
          </w:p>
        </w:tc>
        <w:tc>
          <w:tcPr>
            <w:tcW w:w="2855" w:type="dxa"/>
            <w:gridSpan w:val="3"/>
          </w:tcPr>
          <w:p w14:paraId="64651950">
            <w:pPr>
              <w:jc w:val="left"/>
              <w:rPr>
                <w:rFonts w:ascii="仿宋_GB2312" w:hAnsi="Times New Roman" w:eastAsia="仿宋_GB2312" w:cs="Times New Roman"/>
                <w:szCs w:val="21"/>
              </w:rPr>
            </w:pPr>
            <w:r>
              <w:rPr>
                <w:rFonts w:hint="eastAsia" w:ascii="仿宋_GB2312" w:hAnsi="Times New Roman" w:eastAsia="仿宋_GB2312" w:cs="Times New Roman"/>
                <w:szCs w:val="21"/>
              </w:rPr>
              <w:t>参加验收职能部门:</w:t>
            </w:r>
          </w:p>
          <w:p w14:paraId="3DFF21AD">
            <w:pPr>
              <w:jc w:val="left"/>
              <w:rPr>
                <w:rFonts w:ascii="仿宋_GB2312" w:hAnsi="Times New Roman" w:eastAsia="仿宋_GB2312" w:cs="Times New Roman"/>
                <w:szCs w:val="21"/>
              </w:rPr>
            </w:pPr>
          </w:p>
          <w:p w14:paraId="714DDD1B">
            <w:pPr>
              <w:jc w:val="left"/>
              <w:rPr>
                <w:rFonts w:ascii="仿宋_GB2312" w:hAnsi="Times New Roman" w:eastAsia="仿宋_GB2312" w:cs="Times New Roman"/>
                <w:szCs w:val="21"/>
              </w:rPr>
            </w:pPr>
          </w:p>
          <w:p w14:paraId="7B5A87EF">
            <w:pPr>
              <w:jc w:val="left"/>
              <w:rPr>
                <w:rFonts w:ascii="仿宋_GB2312" w:hAnsi="Times New Roman" w:eastAsia="仿宋_GB2312" w:cs="Times New Roman"/>
                <w:szCs w:val="21"/>
              </w:rPr>
            </w:pPr>
          </w:p>
          <w:p w14:paraId="3B282205">
            <w:pPr>
              <w:jc w:val="left"/>
              <w:rPr>
                <w:rFonts w:ascii="仿宋_GB2312" w:hAnsi="Times New Roman" w:eastAsia="仿宋_GB2312" w:cs="Times New Roman"/>
                <w:szCs w:val="21"/>
              </w:rPr>
            </w:pPr>
          </w:p>
          <w:p w14:paraId="2078B841">
            <w:pPr>
              <w:jc w:val="left"/>
              <w:rPr>
                <w:rFonts w:ascii="仿宋_GB2312" w:hAnsi="Times New Roman" w:eastAsia="仿宋_GB2312" w:cs="Times New Roman"/>
                <w:szCs w:val="21"/>
              </w:rPr>
            </w:pPr>
          </w:p>
          <w:p w14:paraId="3749A5C5">
            <w:pPr>
              <w:jc w:val="left"/>
              <w:rPr>
                <w:rFonts w:ascii="仿宋_GB2312" w:hAnsi="Times New Roman" w:eastAsia="仿宋_GB2312" w:cs="Times New Roman"/>
                <w:szCs w:val="21"/>
              </w:rPr>
            </w:pPr>
          </w:p>
          <w:p w14:paraId="485F3882">
            <w:pPr>
              <w:jc w:val="left"/>
              <w:rPr>
                <w:rFonts w:ascii="仿宋_GB2312" w:hAnsi="Times New Roman" w:eastAsia="仿宋_GB2312" w:cs="Times New Roman"/>
                <w:szCs w:val="21"/>
              </w:rPr>
            </w:pPr>
            <w:r>
              <w:rPr>
                <w:rFonts w:hint="eastAsia" w:ascii="仿宋_GB2312" w:hAnsi="Times New Roman" w:eastAsia="仿宋_GB2312" w:cs="Times New Roman"/>
                <w:szCs w:val="21"/>
              </w:rPr>
              <w:t>负责人：           日期：</w:t>
            </w:r>
          </w:p>
        </w:tc>
      </w:tr>
    </w:tbl>
    <w:p w14:paraId="3B33744A">
      <w:pPr>
        <w:spacing w:line="560" w:lineRule="exact"/>
        <w:jc w:val="left"/>
        <w:rPr>
          <w:rFonts w:ascii="仿宋_GB2312" w:hAnsi="宋体" w:eastAsia="仿宋_GB2312" w:cs="Times New Roman"/>
          <w:sz w:val="24"/>
          <w:szCs w:val="28"/>
        </w:rPr>
      </w:pPr>
      <w:r>
        <w:rPr>
          <w:rFonts w:hint="eastAsia" w:ascii="仿宋_GB2312" w:hAnsi="宋体" w:eastAsia="仿宋_GB2312" w:cs="Times New Roman"/>
          <w:sz w:val="24"/>
          <w:szCs w:val="28"/>
          <w:lang w:bidi="ar"/>
        </w:rPr>
        <w:t>附件7：安全生产协议书（施工类）</w:t>
      </w:r>
    </w:p>
    <w:p w14:paraId="597A31F9">
      <w:pPr>
        <w:spacing w:line="560" w:lineRule="exact"/>
        <w:jc w:val="left"/>
        <w:rPr>
          <w:rFonts w:ascii="仿宋_GB2312" w:hAnsi="宋体" w:eastAsia="仿宋_GB2312" w:cs="Times New Roman"/>
          <w:sz w:val="28"/>
          <w:szCs w:val="28"/>
        </w:rPr>
      </w:pPr>
    </w:p>
    <w:p w14:paraId="0ADF8997">
      <w:pPr>
        <w:adjustRightInd w:val="0"/>
        <w:snapToGrid w:val="0"/>
        <w:spacing w:line="56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lang w:bidi="ar"/>
        </w:rPr>
        <w:t>安全生产协议书</w:t>
      </w:r>
    </w:p>
    <w:p w14:paraId="4EBC752B">
      <w:pPr>
        <w:adjustRightInd w:val="0"/>
        <w:snapToGrid w:val="0"/>
        <w:spacing w:line="56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lang w:bidi="ar"/>
        </w:rPr>
        <w:t>（施工类）</w:t>
      </w:r>
    </w:p>
    <w:p w14:paraId="498A477B">
      <w:pPr>
        <w:spacing w:line="560" w:lineRule="exact"/>
        <w:ind w:firstLine="482" w:firstLineChars="200"/>
        <w:jc w:val="left"/>
        <w:rPr>
          <w:rFonts w:ascii="仿宋_GB2312" w:hAnsi="宋体" w:eastAsia="仿宋_GB2312" w:cs="宋体"/>
          <w:b/>
          <w:bCs/>
          <w:sz w:val="24"/>
          <w:szCs w:val="24"/>
        </w:rPr>
      </w:pPr>
      <w:r>
        <w:rPr>
          <w:rFonts w:hint="eastAsia" w:ascii="仿宋_GB2312" w:hAnsi="宋体" w:eastAsia="仿宋_GB2312" w:cs="宋体"/>
          <w:b/>
          <w:bCs/>
          <w:sz w:val="24"/>
          <w:szCs w:val="24"/>
          <w:lang w:bidi="ar"/>
        </w:rPr>
        <w:t>甲方：</w:t>
      </w:r>
    </w:p>
    <w:p w14:paraId="2AF34176">
      <w:pPr>
        <w:spacing w:line="560" w:lineRule="exact"/>
        <w:ind w:firstLine="482" w:firstLineChars="200"/>
        <w:jc w:val="left"/>
        <w:rPr>
          <w:rFonts w:ascii="仿宋_GB2312" w:hAnsi="宋体" w:eastAsia="仿宋_GB2312" w:cs="宋体"/>
          <w:b/>
          <w:bCs/>
          <w:sz w:val="24"/>
          <w:szCs w:val="24"/>
          <w:u w:val="single"/>
        </w:rPr>
      </w:pPr>
      <w:r>
        <w:rPr>
          <w:rFonts w:hint="eastAsia" w:ascii="仿宋_GB2312" w:hAnsi="宋体" w:eastAsia="仿宋_GB2312" w:cs="宋体"/>
          <w:b/>
          <w:bCs/>
          <w:sz w:val="24"/>
          <w:szCs w:val="24"/>
          <w:lang w:bidi="ar"/>
        </w:rPr>
        <w:t>乙方：</w:t>
      </w:r>
    </w:p>
    <w:p w14:paraId="037B9925">
      <w:pPr>
        <w:spacing w:line="560" w:lineRule="exact"/>
        <w:ind w:left="540" w:leftChars="200" w:hanging="120" w:hangingChars="50"/>
        <w:jc w:val="left"/>
        <w:rPr>
          <w:rFonts w:ascii="仿宋_GB2312" w:hAnsi="宋体" w:eastAsia="仿宋_GB2312" w:cs="宋体"/>
          <w:sz w:val="24"/>
          <w:szCs w:val="24"/>
        </w:rPr>
      </w:pPr>
      <w:r>
        <w:rPr>
          <w:rFonts w:hint="eastAsia" w:ascii="仿宋_GB2312" w:hAnsi="宋体" w:eastAsia="仿宋_GB2312" w:cs="宋体"/>
          <w:sz w:val="24"/>
          <w:szCs w:val="24"/>
          <w:lang w:bidi="ar"/>
        </w:rPr>
        <w:t>依照国家有关建筑安全生产法规及标准，结合公司有关项目管理规定，就</w:t>
      </w:r>
      <w:r>
        <w:rPr>
          <w:rFonts w:hint="eastAsia" w:ascii="仿宋_GB2312" w:hAnsi="宋体" w:eastAsia="仿宋_GB2312" w:cs="宋体"/>
          <w:sz w:val="24"/>
          <w:szCs w:val="24"/>
          <w:u w:val="single"/>
          <w:lang w:bidi="ar"/>
        </w:rPr>
        <w:t xml:space="preserve">           </w:t>
      </w:r>
      <w:r>
        <w:rPr>
          <w:rFonts w:hint="eastAsia" w:ascii="仿宋_GB2312" w:hAnsi="宋体" w:eastAsia="仿宋_GB2312" w:cs="宋体"/>
          <w:sz w:val="24"/>
          <w:szCs w:val="24"/>
          <w:lang w:bidi="ar"/>
        </w:rPr>
        <w:t>工程施工生产中的安全管理有关事项，经双方协商达成如下协议：</w:t>
      </w:r>
    </w:p>
    <w:p w14:paraId="7DD7974A">
      <w:pPr>
        <w:numPr>
          <w:ilvl w:val="0"/>
          <w:numId w:val="11"/>
        </w:numPr>
        <w:spacing w:before="156" w:beforeLines="50" w:line="560" w:lineRule="exact"/>
        <w:ind w:hanging="958"/>
        <w:jc w:val="left"/>
        <w:rPr>
          <w:rFonts w:ascii="仿宋_GB2312" w:hAnsi="黑体" w:eastAsia="仿宋_GB2312" w:cs="宋体"/>
          <w:sz w:val="24"/>
          <w:szCs w:val="24"/>
        </w:rPr>
      </w:pPr>
      <w:r>
        <w:rPr>
          <w:rFonts w:hint="eastAsia" w:ascii="仿宋_GB2312" w:hAnsi="黑体" w:eastAsia="仿宋_GB2312" w:cs="宋体"/>
          <w:sz w:val="24"/>
          <w:szCs w:val="24"/>
          <w:lang w:bidi="ar"/>
        </w:rPr>
        <w:t>甲方的职责</w:t>
      </w:r>
    </w:p>
    <w:p w14:paraId="4001ADE1">
      <w:pPr>
        <w:spacing w:line="560" w:lineRule="exact"/>
        <w:ind w:left="2" w:firstLine="537" w:firstLineChars="224"/>
        <w:jc w:val="left"/>
        <w:rPr>
          <w:rFonts w:ascii="仿宋_GB2312" w:hAnsi="宋体" w:eastAsia="仿宋_GB2312" w:cs="宋体"/>
          <w:sz w:val="24"/>
          <w:szCs w:val="24"/>
        </w:rPr>
      </w:pPr>
      <w:r>
        <w:rPr>
          <w:rFonts w:hint="eastAsia" w:ascii="仿宋_GB2312" w:hAnsi="宋体" w:eastAsia="仿宋_GB2312" w:cs="宋体"/>
          <w:sz w:val="24"/>
          <w:szCs w:val="24"/>
          <w:lang w:bidi="ar"/>
        </w:rPr>
        <w:t>1、甲方负责向乙方提供必要的安全生产作业条件和环境，向乙方进行项目的安全、技术书面交底，明示作业过程中可能存在的风险。如果乙方未采取合同约定的或生产必须的安全生产措施，甲方有权力自行或聘请其他单位采取该项措施，所需费用从应付乙方的工程款中扣除。</w:t>
      </w:r>
    </w:p>
    <w:p w14:paraId="43781DF9">
      <w:pPr>
        <w:spacing w:line="560" w:lineRule="exact"/>
        <w:ind w:left="2" w:firstLine="537" w:firstLineChars="224"/>
        <w:jc w:val="left"/>
        <w:rPr>
          <w:rFonts w:ascii="仿宋_GB2312" w:hAnsi="宋体" w:eastAsia="仿宋_GB2312" w:cs="宋体"/>
          <w:sz w:val="24"/>
          <w:szCs w:val="24"/>
        </w:rPr>
      </w:pPr>
      <w:r>
        <w:rPr>
          <w:rFonts w:hint="eastAsia" w:ascii="仿宋_GB2312" w:hAnsi="宋体" w:eastAsia="仿宋_GB2312" w:cs="宋体"/>
          <w:sz w:val="24"/>
          <w:szCs w:val="24"/>
          <w:lang w:bidi="ar"/>
        </w:rPr>
        <w:t>2、甲方负责组织成立施工现场安全生产管理小组，并恪守各方约定的安全生产管理小组的职责权利。</w:t>
      </w:r>
    </w:p>
    <w:p w14:paraId="18748863">
      <w:pPr>
        <w:spacing w:line="560" w:lineRule="exact"/>
        <w:ind w:left="2" w:firstLine="537" w:firstLineChars="224"/>
        <w:jc w:val="left"/>
        <w:rPr>
          <w:rFonts w:ascii="仿宋_GB2312" w:hAnsi="宋体" w:eastAsia="仿宋_GB2312" w:cs="宋体"/>
          <w:sz w:val="24"/>
          <w:szCs w:val="24"/>
        </w:rPr>
      </w:pPr>
      <w:r>
        <w:rPr>
          <w:rFonts w:hint="eastAsia" w:ascii="仿宋_GB2312" w:hAnsi="宋体" w:eastAsia="仿宋_GB2312" w:cs="宋体"/>
          <w:sz w:val="24"/>
          <w:szCs w:val="24"/>
          <w:lang w:bidi="ar"/>
        </w:rPr>
        <w:t>3、甲方有权审核乙方编制施工组织设计方案中施工现场安全防护及文明施工的措施并监督执行。</w:t>
      </w:r>
    </w:p>
    <w:p w14:paraId="454EF906">
      <w:pPr>
        <w:spacing w:line="560" w:lineRule="exact"/>
        <w:ind w:left="2" w:firstLine="537" w:firstLineChars="224"/>
        <w:jc w:val="left"/>
        <w:rPr>
          <w:rFonts w:ascii="仿宋_GB2312" w:hAnsi="宋体" w:eastAsia="仿宋_GB2312" w:cs="宋体"/>
          <w:sz w:val="24"/>
          <w:szCs w:val="24"/>
        </w:rPr>
      </w:pPr>
      <w:r>
        <w:rPr>
          <w:rFonts w:hint="eastAsia" w:ascii="仿宋_GB2312" w:hAnsi="宋体" w:eastAsia="仿宋_GB2312" w:cs="宋体"/>
          <w:sz w:val="24"/>
          <w:szCs w:val="24"/>
          <w:lang w:bidi="ar"/>
        </w:rPr>
        <w:t>4、甲方有权检查乙方进行的安全培训教育及乙方与工人签订的劳动合同。</w:t>
      </w:r>
    </w:p>
    <w:p w14:paraId="7722FD74">
      <w:pPr>
        <w:spacing w:line="560" w:lineRule="exact"/>
        <w:ind w:left="2" w:firstLine="537" w:firstLineChars="224"/>
        <w:jc w:val="left"/>
        <w:rPr>
          <w:rFonts w:ascii="仿宋_GB2312" w:hAnsi="宋体" w:eastAsia="仿宋_GB2312" w:cs="宋体"/>
          <w:sz w:val="24"/>
          <w:szCs w:val="24"/>
        </w:rPr>
      </w:pPr>
      <w:r>
        <w:rPr>
          <w:rFonts w:hint="eastAsia" w:ascii="仿宋_GB2312" w:hAnsi="宋体" w:eastAsia="仿宋_GB2312" w:cs="宋体"/>
          <w:sz w:val="24"/>
          <w:szCs w:val="24"/>
          <w:lang w:bidi="ar"/>
        </w:rPr>
        <w:t>5、甲方管理人员发现乙方管理人员违章指挥及作业人员违章作业时，有权制止。</w:t>
      </w:r>
    </w:p>
    <w:p w14:paraId="510F1A58">
      <w:pPr>
        <w:spacing w:line="560" w:lineRule="exact"/>
        <w:ind w:left="2" w:firstLine="537" w:firstLineChars="224"/>
        <w:jc w:val="left"/>
        <w:rPr>
          <w:rFonts w:ascii="仿宋_GB2312" w:hAnsi="宋体" w:eastAsia="仿宋_GB2312" w:cs="宋体"/>
          <w:sz w:val="24"/>
          <w:szCs w:val="24"/>
        </w:rPr>
      </w:pPr>
      <w:r>
        <w:rPr>
          <w:rFonts w:hint="eastAsia" w:ascii="仿宋_GB2312" w:hAnsi="宋体" w:eastAsia="仿宋_GB2312" w:cs="宋体"/>
          <w:sz w:val="24"/>
          <w:szCs w:val="24"/>
          <w:lang w:bidi="ar"/>
        </w:rPr>
        <w:t>6、甲方有关管理部门有权对乙方的作业区域进行检查，对于存在重大隐患、严重违章的情况，有权及时制止并根据合同相关条款处理。</w:t>
      </w:r>
    </w:p>
    <w:p w14:paraId="1A94CD5B">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7、甲方有权对现场管理混乱、安全管理工作不力的乙方进行处理，对问题严重甚至不服从管理的乙方，有权解除合同，并由乙方承担一切经济责任。</w:t>
      </w:r>
    </w:p>
    <w:p w14:paraId="623CAC7B">
      <w:pPr>
        <w:numPr>
          <w:ilvl w:val="0"/>
          <w:numId w:val="11"/>
        </w:numPr>
        <w:spacing w:before="156" w:beforeLines="50" w:line="560" w:lineRule="exact"/>
        <w:jc w:val="left"/>
        <w:rPr>
          <w:rFonts w:ascii="仿宋_GB2312" w:hAnsi="宋体" w:eastAsia="仿宋_GB2312" w:cs="宋体"/>
          <w:sz w:val="24"/>
          <w:szCs w:val="24"/>
          <w:lang w:bidi="ar"/>
        </w:rPr>
      </w:pPr>
      <w:r>
        <w:rPr>
          <w:rFonts w:hint="eastAsia" w:ascii="仿宋_GB2312" w:hAnsi="宋体" w:eastAsia="仿宋_GB2312" w:cs="宋体"/>
          <w:sz w:val="24"/>
          <w:szCs w:val="24"/>
          <w:lang w:bidi="ar"/>
        </w:rPr>
        <w:t>乙方的职责</w:t>
      </w:r>
    </w:p>
    <w:p w14:paraId="1DA8CEF1">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lang w:bidi="ar"/>
        </w:rPr>
        <w:t>1、乙方本项目施工人员和服务人员均已取得对应工种的操作许可证及相关证书，资质证书及操作许可证等相关证书的有效期全部涵盖本项目期限。本单位于项目开始实施前将资质证书、操作许可证及相关证书原件出示甲方并将复印件交予甲方备案。</w:t>
      </w:r>
    </w:p>
    <w:p w14:paraId="0060E226">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lang w:bidi="ar"/>
        </w:rPr>
        <w:t>2、乙方必须尊重并服从甲方的管理，按要求建立完善自身队伍的安全管理机构，自觉遵守甲方及相应上级主管部门、政府部门的各项管理，并认真执行以下制度：</w:t>
      </w:r>
    </w:p>
    <w:p w14:paraId="10D1062C">
      <w:pPr>
        <w:numPr>
          <w:ilvl w:val="0"/>
          <w:numId w:val="12"/>
        </w:numPr>
        <w:spacing w:line="560" w:lineRule="exact"/>
        <w:jc w:val="left"/>
        <w:rPr>
          <w:rFonts w:ascii="仿宋_GB2312" w:hAnsi="宋体" w:eastAsia="仿宋_GB2312" w:cs="宋体"/>
          <w:sz w:val="24"/>
          <w:szCs w:val="24"/>
        </w:rPr>
      </w:pPr>
      <w:r>
        <w:rPr>
          <w:rFonts w:hint="eastAsia" w:ascii="仿宋_GB2312" w:hAnsi="宋体" w:eastAsia="仿宋_GB2312" w:cs="宋体"/>
          <w:sz w:val="24"/>
          <w:szCs w:val="24"/>
          <w:lang w:bidi="ar"/>
        </w:rPr>
        <w:t>安全培训教育认证制度</w:t>
      </w:r>
    </w:p>
    <w:p w14:paraId="7B9FA27E">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lang w:bidi="ar"/>
        </w:rPr>
        <w:t>A、乙方单位现场管理人员必须按规定参加安全教育培训及年审考核，并持有有效的《安全生产资格证》。</w:t>
      </w:r>
    </w:p>
    <w:p w14:paraId="1F94F48F">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lang w:bidi="ar"/>
        </w:rPr>
        <w:t>B、乙方所有施工人员必须经过三级安全教育，经考核合格后方可上岗作业；特种作业人员必须经过专业安全技术培训考核，持有效证件上岗作业。</w:t>
      </w:r>
    </w:p>
    <w:p w14:paraId="357D6245">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C、乙方进入施工现场前，乙方将组织全部作业人员进行安全技术培训，保证从业人员掌握必需的安全作业知识、操作技能和应急逃生技能，未经培训合格，不予安排上岗，杜绝违章指挥、违章作业、疲劳作业。</w:t>
      </w:r>
    </w:p>
    <w:p w14:paraId="023B31FC">
      <w:pPr>
        <w:numPr>
          <w:ilvl w:val="0"/>
          <w:numId w:val="12"/>
        </w:numPr>
        <w:spacing w:line="560" w:lineRule="exact"/>
        <w:jc w:val="left"/>
        <w:rPr>
          <w:rFonts w:ascii="仿宋_GB2312" w:hAnsi="宋体" w:eastAsia="仿宋_GB2312" w:cs="宋体"/>
          <w:sz w:val="24"/>
          <w:szCs w:val="24"/>
        </w:rPr>
      </w:pPr>
      <w:r>
        <w:rPr>
          <w:rFonts w:hint="eastAsia" w:ascii="仿宋_GB2312" w:hAnsi="宋体" w:eastAsia="仿宋_GB2312" w:cs="宋体"/>
          <w:sz w:val="24"/>
          <w:szCs w:val="24"/>
          <w:lang w:bidi="ar"/>
        </w:rPr>
        <w:t>安全检查制度</w:t>
      </w:r>
    </w:p>
    <w:p w14:paraId="1CBAB5E8">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A、乙方负责本施工区域的安全防护，接受甲方及上级主管部门组织的各种安全检查和相关奖罚。</w:t>
      </w:r>
    </w:p>
    <w:p w14:paraId="7A2EE39D">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B、乙方必须按甲方的要求建立安全生产定期大检查制度，并建立自检制度，严格执行隐患整改消项制度。</w:t>
      </w:r>
    </w:p>
    <w:p w14:paraId="11F80B7C">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C、乙方必须按要求为其施工人员配备合格的劳动保护用品，并要求施工人员按规定使用。</w:t>
      </w:r>
    </w:p>
    <w:p w14:paraId="0724F9BC">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D、乙方要认真落实各级人员的安全生产责任制，确保无违章指挥及作业。</w:t>
      </w:r>
    </w:p>
    <w:p w14:paraId="65F12903">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E、乙方对甲方发出的整改通知，必须按要求及时完成，对整改不力的情况，甲方有处罚权，并且此间发生的一切问题由乙方负责。</w:t>
      </w:r>
    </w:p>
    <w:p w14:paraId="56A399FC">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3、由总承包方全权负责与社会相关部门联系安全生产管理工作的有关事宜，统一协调对外关系。</w:t>
      </w:r>
    </w:p>
    <w:p w14:paraId="7BDF753A">
      <w:pPr>
        <w:spacing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4、由乙方协调各项公用安全设施及施工区域管理。</w:t>
      </w:r>
    </w:p>
    <w:p w14:paraId="255F3733">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第三条  乙方在实施过程中，需要使用明火、电、气体以及其他有毒、有害物品时，乙方应安排具有相应从业资格（在该工种没有从业资格的情况下，安排具有实施经验的人员）组织实施并妥善保管上述物品。</w:t>
      </w:r>
    </w:p>
    <w:p w14:paraId="02DDCC87">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第四条  乙方在实施过程中，对可能造成损害的毗邻建筑物、构筑物、地下管线及其他设施等必须提前做好预案并采取专项防护措施。无论因何种原因的造成财产损失及其他一切损失，乙方须予以赔偿。</w:t>
      </w:r>
    </w:p>
    <w:p w14:paraId="3886F3AB">
      <w:pPr>
        <w:widowControl/>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lang w:bidi="ar"/>
        </w:rPr>
        <w:t>第五条  乙方实施过程中，对作业区域采取必要的安全措施防止安全事故发生，包括但不限于：设置安全警示牌、警示灯、隔离带、安全网等方式，作业过程中严禁高空抛物或高空坠物。</w:t>
      </w:r>
    </w:p>
    <w:p w14:paraId="07057815">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第六条  乙方必须严格执行各类防火、防爆制度。易燃易爆场所严禁吸烟及动用明火，消防器材不得挪做他用。电气焊作业应按规定办理动火审批手续。冬季施工必须使用明火或采取加热防冻措施，必须有专人值班。</w:t>
      </w:r>
    </w:p>
    <w:p w14:paraId="078F7544">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第七条  乙方在施工过程中，所投入使用的机械、设备、安全防护用品、劳保用品等必须符合国家、省、市规定的安全使用标准，外观完好且在有效使用期限内。</w:t>
      </w:r>
    </w:p>
    <w:p w14:paraId="74E6BC1E">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第八条  当天产生的垃圾由在当日作业完成后清扫干净，清扫的垃圾以及作业工具必须堆放在甲方指定地点（或按甲方要求自行清理）；在实施完毕后，当日完成所有垃圾清扫以及撤场手续。</w:t>
      </w:r>
    </w:p>
    <w:p w14:paraId="0AEDB555">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第九条  乙方施工作业期间，如作业人员发生工伤、意外等事故，造成人身或者财产损失的，一切法律责任（包括但不限于赔偿经济损失）由乙方自行承担。甲方如因此承担赔偿责任的，甲方有权向乙方追偿，同时乙方还应承担甲方维权所产生的律师费、差旅费、鉴定费、公证费等必要维权开支。</w:t>
      </w:r>
    </w:p>
    <w:p w14:paraId="2C2922DA">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第十条  乙方施工作业期间，如作业过程中导致第三方人身或财产损害的，给第三方造成的损失（包括但不限于赔偿经济损失）由乙方自行承担。甲方如因此承担赔偿责任的，甲方有权向乙方追偿，同时乙方还应承担甲方维权所产生的律师费、差旅费、鉴定费、公证费等必要维权开支。</w:t>
      </w:r>
    </w:p>
    <w:p w14:paraId="68584A28">
      <w:pPr>
        <w:widowControl/>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lang w:bidi="ar"/>
        </w:rPr>
        <w:t>第十一条  乙方承诺在项目作业期间，如因作业过程导致甲方遭受行政机关或司法机关处罚或调查的，本单位无条件配合行政机关或司法机关工作至正式结案之日止，因此给甲方造成的全部损失（包括但不限于行政、刑事赔偿、罚款、罚金、滞纳金等）由乙方承担。甲方如因此先行承担赔偿责任的，甲方有权向乙方追偿，同时乙方还应承担甲方维权所产生的律师费、差旅费、鉴定费、公证费等必要维权开支。</w:t>
      </w:r>
    </w:p>
    <w:p w14:paraId="55643DF1">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第十二条  本协议规定内容与上级有关部门的规定相抵触之处，以上级规定为准。本协议未尽事宜，按上级有关规定执行。</w:t>
      </w:r>
    </w:p>
    <w:p w14:paraId="0BC39166">
      <w:pPr>
        <w:spacing w:before="156" w:beforeLines="50" w:line="560" w:lineRule="exact"/>
        <w:ind w:firstLine="540" w:firstLineChars="225"/>
        <w:jc w:val="left"/>
        <w:rPr>
          <w:rFonts w:ascii="仿宋_GB2312" w:hAnsi="宋体" w:eastAsia="仿宋_GB2312" w:cs="宋体"/>
          <w:sz w:val="24"/>
          <w:szCs w:val="24"/>
        </w:rPr>
      </w:pPr>
      <w:r>
        <w:rPr>
          <w:rFonts w:hint="eastAsia" w:ascii="仿宋_GB2312" w:hAnsi="宋体" w:eastAsia="仿宋_GB2312" w:cs="宋体"/>
          <w:sz w:val="24"/>
          <w:szCs w:val="24"/>
          <w:lang w:bidi="ar"/>
        </w:rPr>
        <w:t>第十三条  本协议自甲、乙双方签字生效，至主合同到期时终止。本协议一式两份，双方各持一份。</w:t>
      </w:r>
    </w:p>
    <w:p w14:paraId="2597C181">
      <w:pPr>
        <w:adjustRightInd w:val="0"/>
        <w:snapToGrid w:val="0"/>
        <w:spacing w:line="560" w:lineRule="exact"/>
        <w:ind w:firstLine="440"/>
        <w:rPr>
          <w:rFonts w:ascii="仿宋_GB2312" w:hAnsi="仿宋_GB2312" w:eastAsia="仿宋_GB2312" w:cs="仿宋_GB2312"/>
          <w:color w:val="000000"/>
          <w:sz w:val="24"/>
          <w:szCs w:val="24"/>
        </w:rPr>
      </w:pPr>
      <w:bookmarkStart w:id="29" w:name="OLE_LINK9"/>
      <w:bookmarkStart w:id="30" w:name="OLE_LINK10"/>
    </w:p>
    <w:p w14:paraId="48C70AD3">
      <w:pPr>
        <w:adjustRightInd w:val="0"/>
        <w:snapToGrid w:val="0"/>
        <w:spacing w:line="560" w:lineRule="exact"/>
        <w:ind w:firstLine="440"/>
        <w:rPr>
          <w:rFonts w:ascii="仿宋_GB2312" w:hAnsi="仿宋_GB2312" w:eastAsia="仿宋_GB2312" w:cs="仿宋_GB2312"/>
          <w:color w:val="000000"/>
          <w:sz w:val="24"/>
          <w:szCs w:val="24"/>
        </w:rPr>
      </w:pPr>
    </w:p>
    <w:p w14:paraId="7235A943">
      <w:pPr>
        <w:adjustRightInd w:val="0"/>
        <w:snapToGrid w:val="0"/>
        <w:spacing w:line="560" w:lineRule="exact"/>
        <w:ind w:firstLine="440"/>
        <w:rPr>
          <w:rFonts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 xml:space="preserve">甲  方（盖章）: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 xml:space="preserve">乙  方（盖章）: </w:t>
      </w:r>
    </w:p>
    <w:p w14:paraId="150CDC6C">
      <w:pPr>
        <w:adjustRightInd w:val="0"/>
        <w:snapToGrid w:val="0"/>
        <w:spacing w:line="560" w:lineRule="exact"/>
        <w:ind w:firstLine="44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负责人（签章）：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 xml:space="preserve">负责人（签章）： </w:t>
      </w:r>
    </w:p>
    <w:p w14:paraId="501E8A0E">
      <w:pPr>
        <w:adjustRightInd w:val="0"/>
        <w:snapToGrid w:val="0"/>
        <w:spacing w:line="560" w:lineRule="exact"/>
        <w:ind w:firstLine="440"/>
        <w:rPr>
          <w:rFonts w:ascii="仿宋_GB2312" w:eastAsia="仿宋_GB2312"/>
          <w:color w:val="000000"/>
          <w:sz w:val="24"/>
          <w:szCs w:val="24"/>
          <w:u w:val="single"/>
        </w:rPr>
      </w:pPr>
      <w:r>
        <w:rPr>
          <w:rFonts w:hint="eastAsia" w:ascii="仿宋_GB2312" w:hAnsi="仿宋_GB2312" w:eastAsia="仿宋_GB2312" w:cs="仿宋_GB2312"/>
          <w:color w:val="000000"/>
          <w:sz w:val="24"/>
          <w:szCs w:val="24"/>
        </w:rPr>
        <w:t xml:space="preserve">日          期：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日          期：</w:t>
      </w:r>
    </w:p>
    <w:p w14:paraId="6A09D46A">
      <w:pPr>
        <w:spacing w:line="560" w:lineRule="exact"/>
        <w:rPr>
          <w:rFonts w:ascii="仿宋_GB2312" w:eastAsia="仿宋_GB2312"/>
          <w:color w:val="000000"/>
          <w:szCs w:val="21"/>
        </w:rPr>
      </w:pPr>
    </w:p>
    <w:bookmarkEnd w:id="29"/>
    <w:bookmarkEnd w:id="30"/>
    <w:p w14:paraId="179D4EAB">
      <w:pPr>
        <w:spacing w:line="560" w:lineRule="exact"/>
        <w:jc w:val="left"/>
        <w:rPr>
          <w:rFonts w:ascii="仿宋_GB2312" w:eastAsia="仿宋_GB2312"/>
          <w:sz w:val="24"/>
          <w:szCs w:val="24"/>
        </w:rPr>
      </w:pPr>
    </w:p>
    <w:p w14:paraId="56224E83">
      <w:pPr>
        <w:spacing w:line="560" w:lineRule="exact"/>
        <w:jc w:val="left"/>
        <w:rPr>
          <w:rFonts w:ascii="仿宋_GB2312" w:eastAsia="仿宋_GB2312"/>
          <w:sz w:val="24"/>
          <w:szCs w:val="24"/>
        </w:rPr>
      </w:pPr>
    </w:p>
    <w:p w14:paraId="50DC6747">
      <w:pPr>
        <w:spacing w:line="560" w:lineRule="exact"/>
        <w:jc w:val="left"/>
        <w:rPr>
          <w:rFonts w:ascii="仿宋_GB2312" w:eastAsia="仿宋_GB2312"/>
          <w:sz w:val="24"/>
          <w:szCs w:val="24"/>
        </w:rPr>
      </w:pPr>
    </w:p>
    <w:p w14:paraId="11FF6556">
      <w:pPr>
        <w:spacing w:line="560" w:lineRule="exact"/>
        <w:jc w:val="left"/>
        <w:rPr>
          <w:rFonts w:ascii="仿宋_GB2312" w:eastAsia="仿宋_GB2312"/>
          <w:sz w:val="24"/>
          <w:szCs w:val="24"/>
        </w:rPr>
      </w:pPr>
    </w:p>
    <w:p w14:paraId="6F9AABA1">
      <w:pPr>
        <w:spacing w:line="560" w:lineRule="exact"/>
        <w:jc w:val="left"/>
        <w:rPr>
          <w:rFonts w:ascii="仿宋_GB2312" w:eastAsia="仿宋_GB2312"/>
          <w:sz w:val="24"/>
          <w:szCs w:val="24"/>
        </w:rPr>
      </w:pPr>
    </w:p>
    <w:p w14:paraId="174CE972">
      <w:pPr>
        <w:spacing w:line="560" w:lineRule="exact"/>
        <w:jc w:val="left"/>
        <w:rPr>
          <w:rFonts w:ascii="仿宋_GB2312" w:eastAsia="仿宋_GB2312"/>
          <w:sz w:val="24"/>
          <w:szCs w:val="24"/>
        </w:rPr>
      </w:pPr>
    </w:p>
    <w:p w14:paraId="6530009E">
      <w:pPr>
        <w:spacing w:line="560" w:lineRule="exact"/>
        <w:jc w:val="left"/>
        <w:rPr>
          <w:rFonts w:ascii="仿宋_GB2312" w:eastAsia="仿宋_GB2312"/>
          <w:sz w:val="24"/>
          <w:szCs w:val="24"/>
        </w:rPr>
      </w:pPr>
    </w:p>
    <w:p w14:paraId="533E2E09">
      <w:pPr>
        <w:spacing w:line="560" w:lineRule="exact"/>
        <w:jc w:val="left"/>
        <w:rPr>
          <w:rFonts w:ascii="仿宋_GB2312" w:eastAsia="仿宋_GB2312"/>
          <w:sz w:val="24"/>
          <w:szCs w:val="24"/>
        </w:rPr>
      </w:pPr>
    </w:p>
    <w:p w14:paraId="625A8663">
      <w:pPr>
        <w:spacing w:line="560" w:lineRule="exact"/>
        <w:jc w:val="left"/>
        <w:rPr>
          <w:rFonts w:ascii="仿宋_GB2312" w:eastAsia="仿宋_GB2312"/>
          <w:sz w:val="24"/>
          <w:szCs w:val="24"/>
        </w:rPr>
      </w:pPr>
    </w:p>
    <w:p w14:paraId="5BE81A52">
      <w:pPr>
        <w:spacing w:line="560" w:lineRule="exact"/>
        <w:jc w:val="left"/>
        <w:rPr>
          <w:rFonts w:ascii="仿宋_GB2312" w:eastAsia="仿宋_GB2312"/>
          <w:sz w:val="24"/>
          <w:szCs w:val="24"/>
        </w:rPr>
      </w:pPr>
    </w:p>
    <w:p w14:paraId="05AA3DC9">
      <w:pPr>
        <w:spacing w:line="560" w:lineRule="exact"/>
        <w:jc w:val="left"/>
        <w:rPr>
          <w:rFonts w:ascii="仿宋_GB2312" w:eastAsia="仿宋_GB2312"/>
          <w:sz w:val="24"/>
          <w:szCs w:val="24"/>
        </w:rPr>
      </w:pPr>
    </w:p>
    <w:p w14:paraId="511CA537">
      <w:pPr>
        <w:spacing w:line="560" w:lineRule="exact"/>
        <w:jc w:val="left"/>
        <w:rPr>
          <w:rFonts w:ascii="仿宋_GB2312" w:eastAsia="仿宋_GB2312"/>
          <w:sz w:val="24"/>
          <w:szCs w:val="24"/>
        </w:rPr>
      </w:pPr>
    </w:p>
    <w:p w14:paraId="76A0260A">
      <w:pPr>
        <w:spacing w:line="560" w:lineRule="exact"/>
        <w:jc w:val="left"/>
        <w:rPr>
          <w:rFonts w:ascii="仿宋_GB2312" w:eastAsia="仿宋_GB2312"/>
          <w:sz w:val="24"/>
          <w:szCs w:val="24"/>
        </w:rPr>
      </w:pPr>
    </w:p>
    <w:p w14:paraId="63C81611">
      <w:pPr>
        <w:spacing w:line="560" w:lineRule="exact"/>
        <w:jc w:val="left"/>
        <w:rPr>
          <w:rFonts w:ascii="仿宋_GB2312" w:eastAsia="仿宋_GB2312"/>
          <w:sz w:val="24"/>
          <w:szCs w:val="24"/>
        </w:rPr>
      </w:pPr>
    </w:p>
    <w:p w14:paraId="1B6F88BA">
      <w:pPr>
        <w:spacing w:line="560" w:lineRule="exact"/>
        <w:jc w:val="left"/>
        <w:rPr>
          <w:rFonts w:ascii="仿宋_GB2312" w:eastAsia="仿宋_GB2312"/>
          <w:sz w:val="24"/>
          <w:szCs w:val="24"/>
        </w:rPr>
      </w:pPr>
    </w:p>
    <w:p w14:paraId="7654D3DD">
      <w:pPr>
        <w:spacing w:line="560" w:lineRule="exact"/>
        <w:jc w:val="left"/>
        <w:rPr>
          <w:rFonts w:ascii="仿宋_GB2312" w:eastAsia="仿宋_GB2312"/>
          <w:sz w:val="24"/>
          <w:szCs w:val="24"/>
        </w:rPr>
      </w:pPr>
    </w:p>
    <w:p w14:paraId="42F03219">
      <w:pPr>
        <w:spacing w:line="360" w:lineRule="auto"/>
        <w:jc w:val="center"/>
        <w:outlineLvl w:val="0"/>
        <w:rPr>
          <w:rFonts w:ascii="宋体" w:hAnsi="宋体" w:cs="黑体"/>
          <w:b/>
          <w:sz w:val="48"/>
          <w:szCs w:val="48"/>
          <w:shd w:val="clear" w:color="060000" w:fill="auto"/>
        </w:rPr>
      </w:pPr>
    </w:p>
    <w:p w14:paraId="413F734D">
      <w:pPr>
        <w:spacing w:line="360" w:lineRule="auto"/>
        <w:jc w:val="center"/>
        <w:outlineLvl w:val="0"/>
        <w:rPr>
          <w:rFonts w:ascii="宋体" w:hAnsi="宋体" w:cs="黑体"/>
          <w:b/>
          <w:sz w:val="48"/>
          <w:szCs w:val="48"/>
          <w:shd w:val="clear" w:color="060000" w:fill="auto"/>
        </w:rPr>
      </w:pPr>
      <w:bookmarkStart w:id="31" w:name="_Toc228364652"/>
      <w:r>
        <w:rPr>
          <w:rFonts w:ascii="宋体" w:hAnsi="宋体" w:cs="黑体"/>
          <w:b/>
          <w:sz w:val="48"/>
          <w:szCs w:val="48"/>
          <w:shd w:val="clear" w:color="060000" w:fill="auto"/>
        </w:rPr>
        <w:t>第</w:t>
      </w:r>
      <w:r>
        <w:rPr>
          <w:rFonts w:hint="eastAsia" w:ascii="宋体" w:hAnsi="宋体" w:cs="黑体"/>
          <w:b/>
          <w:sz w:val="48"/>
          <w:szCs w:val="48"/>
          <w:shd w:val="clear" w:color="060000" w:fill="auto"/>
        </w:rPr>
        <w:t>四</w:t>
      </w:r>
      <w:r>
        <w:rPr>
          <w:rFonts w:ascii="宋体" w:hAnsi="宋体" w:cs="黑体"/>
          <w:b/>
          <w:sz w:val="48"/>
          <w:szCs w:val="48"/>
          <w:shd w:val="clear" w:color="060000" w:fill="auto"/>
        </w:rPr>
        <w:t>章</w:t>
      </w:r>
      <w:r>
        <w:rPr>
          <w:rFonts w:hint="eastAsia" w:ascii="宋体" w:hAnsi="宋体" w:cs="黑体"/>
          <w:b/>
          <w:sz w:val="48"/>
          <w:szCs w:val="48"/>
          <w:shd w:val="clear" w:color="060000" w:fill="auto"/>
        </w:rPr>
        <w:t xml:space="preserve"> 投标文件格式</w:t>
      </w:r>
      <w:bookmarkEnd w:id="28"/>
      <w:bookmarkEnd w:id="31"/>
    </w:p>
    <w:p w14:paraId="651497EF">
      <w:pPr>
        <w:pStyle w:val="115"/>
      </w:pPr>
    </w:p>
    <w:p w14:paraId="6AAD9A8A">
      <w:pPr>
        <w:pStyle w:val="115"/>
        <w:numPr>
          <w:ilvl w:val="0"/>
          <w:numId w:val="13"/>
        </w:numPr>
        <w:spacing w:line="400" w:lineRule="exact"/>
        <w:ind w:firstLine="0" w:firstLineChars="0"/>
        <w:jc w:val="left"/>
      </w:pPr>
      <w:bookmarkStart w:id="32" w:name="_Toc13352"/>
      <w:r>
        <w:rPr>
          <w:rFonts w:hint="eastAsia"/>
        </w:rPr>
        <w:t>投标文件格式--资格审查文件</w:t>
      </w:r>
      <w:bookmarkEnd w:id="32"/>
    </w:p>
    <w:p w14:paraId="6F2FB2C5">
      <w:pPr>
        <w:pStyle w:val="115"/>
      </w:pPr>
    </w:p>
    <w:p w14:paraId="6E5267B5">
      <w:pPr>
        <w:pStyle w:val="21"/>
        <w:jc w:val="center"/>
        <w:rPr>
          <w:rFonts w:ascii="黑体" w:hAnsi="黑体" w:eastAsia="黑体"/>
          <w:bCs/>
          <w:sz w:val="72"/>
          <w:szCs w:val="72"/>
        </w:rPr>
      </w:pPr>
      <w:r>
        <w:rPr>
          <w:rFonts w:hint="eastAsia" w:ascii="黑体" w:hAnsi="黑体" w:eastAsia="黑体"/>
          <w:bCs/>
          <w:sz w:val="72"/>
          <w:szCs w:val="72"/>
        </w:rPr>
        <w:t>非依法必须招标项目服务类</w:t>
      </w:r>
    </w:p>
    <w:p w14:paraId="76C28C39">
      <w:pPr>
        <w:pStyle w:val="21"/>
        <w:jc w:val="center"/>
        <w:rPr>
          <w:rFonts w:ascii="黑体" w:hAnsi="黑体" w:eastAsia="黑体"/>
          <w:bCs/>
          <w:sz w:val="84"/>
          <w:szCs w:val="84"/>
        </w:rPr>
      </w:pPr>
    </w:p>
    <w:p w14:paraId="77F91EB0">
      <w:pPr>
        <w:pStyle w:val="21"/>
        <w:jc w:val="center"/>
        <w:rPr>
          <w:rFonts w:ascii="黑体" w:hAnsi="黑体" w:eastAsia="黑体"/>
          <w:bCs/>
          <w:sz w:val="84"/>
          <w:szCs w:val="84"/>
        </w:rPr>
      </w:pPr>
      <w:r>
        <w:rPr>
          <w:rFonts w:hint="eastAsia" w:ascii="黑体" w:hAnsi="黑体" w:eastAsia="黑体"/>
          <w:bCs/>
          <w:sz w:val="84"/>
          <w:szCs w:val="84"/>
        </w:rPr>
        <w:t>投 标 文 件</w:t>
      </w:r>
    </w:p>
    <w:p w14:paraId="0F41AD30">
      <w:pPr>
        <w:ind w:left="988"/>
        <w:jc w:val="center"/>
        <w:rPr>
          <w:rFonts w:ascii="宋体" w:hAnsi="宋体"/>
          <w:kern w:val="0"/>
          <w:sz w:val="32"/>
          <w:szCs w:val="21"/>
          <w:u w:val="single"/>
        </w:rPr>
      </w:pPr>
    </w:p>
    <w:p w14:paraId="4C78FA59">
      <w:pPr>
        <w:ind w:left="988"/>
        <w:jc w:val="center"/>
        <w:rPr>
          <w:rFonts w:ascii="宋体" w:hAnsi="宋体"/>
          <w:kern w:val="0"/>
          <w:sz w:val="32"/>
          <w:szCs w:val="21"/>
          <w:u w:val="single"/>
        </w:rPr>
      </w:pPr>
    </w:p>
    <w:p w14:paraId="72540009">
      <w:pPr>
        <w:ind w:left="988"/>
        <w:jc w:val="center"/>
        <w:rPr>
          <w:rFonts w:ascii="宋体" w:hAnsi="宋体"/>
          <w:kern w:val="0"/>
          <w:sz w:val="32"/>
          <w:szCs w:val="21"/>
          <w:u w:val="single"/>
        </w:rPr>
      </w:pPr>
    </w:p>
    <w:p w14:paraId="05B024DE">
      <w:pPr>
        <w:ind w:left="988"/>
        <w:jc w:val="center"/>
        <w:rPr>
          <w:rFonts w:ascii="宋体" w:hAnsi="宋体"/>
          <w:kern w:val="0"/>
          <w:sz w:val="32"/>
          <w:szCs w:val="21"/>
          <w:u w:val="single"/>
        </w:rPr>
      </w:pPr>
    </w:p>
    <w:p w14:paraId="6CBB47AB">
      <w:pPr>
        <w:rPr>
          <w:rFonts w:ascii="宋体" w:hAnsi="宋体"/>
          <w:b/>
          <w:bCs/>
          <w:kern w:val="0"/>
          <w:sz w:val="32"/>
          <w:szCs w:val="21"/>
        </w:rPr>
      </w:pPr>
    </w:p>
    <w:p w14:paraId="3DAB0CFB">
      <w:pPr>
        <w:rPr>
          <w:rFonts w:ascii="宋体" w:hAnsi="宋体"/>
          <w:b/>
          <w:bCs/>
          <w:kern w:val="0"/>
          <w:sz w:val="32"/>
          <w:szCs w:val="21"/>
        </w:rPr>
      </w:pPr>
    </w:p>
    <w:p w14:paraId="42BD6C7A">
      <w:pPr>
        <w:rPr>
          <w:rFonts w:ascii="宋体" w:hAnsi="宋体"/>
          <w:b/>
          <w:bCs/>
          <w:kern w:val="0"/>
          <w:sz w:val="32"/>
          <w:szCs w:val="21"/>
        </w:rPr>
      </w:pPr>
    </w:p>
    <w:p w14:paraId="3508DC3A">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213AD821">
      <w:pPr>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投标文件内容：</w:t>
      </w:r>
      <w:r>
        <w:rPr>
          <w:rFonts w:hint="eastAsia" w:ascii="微软雅黑" w:hAnsi="宋体" w:eastAsia="微软雅黑"/>
          <w:bCs/>
          <w:kern w:val="0"/>
          <w:sz w:val="28"/>
          <w:szCs w:val="28"/>
          <w:u w:val="single"/>
        </w:rPr>
        <w:t xml:space="preserve"> </w:t>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t xml:space="preserve">     资格审查文件                </w:t>
      </w:r>
      <w:r>
        <w:rPr>
          <w:rFonts w:hint="eastAsia" w:ascii="微软雅黑" w:hAnsi="宋体" w:eastAsia="微软雅黑"/>
          <w:bCs/>
          <w:kern w:val="0"/>
          <w:sz w:val="28"/>
          <w:szCs w:val="21"/>
          <w:u w:val="single"/>
        </w:rPr>
        <w:t xml:space="preserve"> </w:t>
      </w:r>
    </w:p>
    <w:p w14:paraId="430273D2">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投标人（盖章）：</w:t>
      </w:r>
      <w:r>
        <w:rPr>
          <w:rFonts w:hint="eastAsia" w:ascii="微软雅黑" w:hAnsi="宋体" w:eastAsia="微软雅黑"/>
          <w:bCs/>
          <w:kern w:val="0"/>
          <w:sz w:val="28"/>
          <w:szCs w:val="21"/>
          <w:u w:val="single"/>
        </w:rPr>
        <w:t xml:space="preserve">                                         </w:t>
      </w:r>
    </w:p>
    <w:p w14:paraId="12774D55">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2C46DD39">
      <w:pPr>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r>
        <w:rPr>
          <w:rFonts w:ascii="黑体" w:hAnsi="黑体" w:eastAsia="黑体"/>
          <w:kern w:val="0"/>
          <w:sz w:val="36"/>
          <w:szCs w:val="36"/>
        </w:rPr>
        <w:br w:type="page"/>
      </w:r>
    </w:p>
    <w:p w14:paraId="4323DD0F">
      <w:pPr>
        <w:adjustRightInd w:val="0"/>
        <w:snapToGrid w:val="0"/>
        <w:spacing w:line="360" w:lineRule="auto"/>
        <w:jc w:val="center"/>
        <w:rPr>
          <w:rFonts w:ascii="仿宋" w:hAnsi="仿宋" w:eastAsia="仿宋"/>
          <w:b/>
          <w:kern w:val="0"/>
          <w:sz w:val="36"/>
          <w:szCs w:val="36"/>
        </w:rPr>
      </w:pPr>
      <w:r>
        <w:rPr>
          <w:rFonts w:hint="eastAsia" w:ascii="仿宋" w:hAnsi="仿宋" w:eastAsia="仿宋"/>
          <w:b/>
          <w:kern w:val="0"/>
          <w:sz w:val="36"/>
          <w:szCs w:val="36"/>
        </w:rPr>
        <w:t>资格审查文件目录</w:t>
      </w:r>
    </w:p>
    <w:p w14:paraId="570942FE">
      <w:pPr>
        <w:adjustRightInd w:val="0"/>
        <w:snapToGrid w:val="0"/>
        <w:spacing w:line="360" w:lineRule="auto"/>
        <w:ind w:firstLine="480" w:firstLineChars="200"/>
        <w:rPr>
          <w:rFonts w:hAnsi="宋体"/>
          <w:kern w:val="0"/>
          <w:sz w:val="24"/>
        </w:rPr>
      </w:pPr>
    </w:p>
    <w:p w14:paraId="7E0224AC">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一、投标人营业执照；</w:t>
      </w:r>
    </w:p>
    <w:p w14:paraId="7C8EA4E7">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二、投标人资质证书；</w:t>
      </w:r>
    </w:p>
    <w:p w14:paraId="2ACEB195">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三、</w:t>
      </w:r>
      <w:r>
        <w:rPr>
          <w:rFonts w:ascii="仿宋" w:hAnsi="仿宋" w:eastAsia="仿宋"/>
          <w:bCs/>
          <w:kern w:val="0"/>
          <w:sz w:val="28"/>
          <w:szCs w:val="28"/>
        </w:rPr>
        <w:t>投标人拟派出的</w:t>
      </w:r>
      <w:r>
        <w:rPr>
          <w:rFonts w:hint="eastAsia" w:ascii="仿宋" w:hAnsi="仿宋" w:eastAsia="仿宋"/>
          <w:bCs/>
          <w:kern w:val="0"/>
          <w:sz w:val="28"/>
          <w:szCs w:val="28"/>
        </w:rPr>
        <w:t>项目负责人资格证书</w:t>
      </w:r>
      <w:r>
        <w:rPr>
          <w:rFonts w:ascii="仿宋" w:hAnsi="仿宋" w:eastAsia="仿宋"/>
          <w:bCs/>
          <w:kern w:val="0"/>
          <w:sz w:val="28"/>
          <w:szCs w:val="28"/>
        </w:rPr>
        <w:t>；</w:t>
      </w:r>
    </w:p>
    <w:p w14:paraId="00A613B7">
      <w:pPr>
        <w:pStyle w:val="26"/>
        <w:spacing w:line="560" w:lineRule="exact"/>
        <w:ind w:firstLine="560"/>
        <w:rPr>
          <w:rFonts w:ascii="仿宋" w:hAnsi="仿宋" w:eastAsia="仿宋"/>
          <w:bCs/>
          <w:kern w:val="0"/>
          <w:sz w:val="28"/>
          <w:szCs w:val="28"/>
        </w:rPr>
      </w:pPr>
      <w:r>
        <w:rPr>
          <w:rFonts w:hint="eastAsia" w:ascii="仿宋" w:hAnsi="仿宋" w:eastAsia="仿宋"/>
          <w:bCs/>
          <w:kern w:val="0"/>
          <w:sz w:val="28"/>
          <w:szCs w:val="28"/>
        </w:rPr>
        <w:t>四、投标人业绩情况；</w:t>
      </w:r>
    </w:p>
    <w:p w14:paraId="30F55D27">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 xml:space="preserve">五、招标人要求提供的与投标人资格条件审查有关的其他证明材料： </w:t>
      </w:r>
    </w:p>
    <w:p w14:paraId="1B98D5A2">
      <w:pPr>
        <w:spacing w:line="480" w:lineRule="auto"/>
        <w:ind w:firstLine="840" w:firstLineChars="300"/>
        <w:rPr>
          <w:rFonts w:ascii="仿宋" w:hAnsi="仿宋" w:eastAsia="仿宋"/>
          <w:bCs/>
          <w:kern w:val="0"/>
          <w:sz w:val="28"/>
          <w:szCs w:val="21"/>
          <w:u w:val="single"/>
        </w:rPr>
      </w:pPr>
      <w:r>
        <w:rPr>
          <w:rFonts w:hint="eastAsia" w:ascii="仿宋" w:hAnsi="仿宋" w:eastAsia="仿宋"/>
          <w:bCs/>
          <w:kern w:val="0"/>
          <w:sz w:val="28"/>
          <w:szCs w:val="21"/>
          <w:u w:val="single"/>
        </w:rPr>
        <w:t xml:space="preserve">                                                        </w:t>
      </w:r>
    </w:p>
    <w:p w14:paraId="54767FE6">
      <w:pPr>
        <w:spacing w:line="480" w:lineRule="auto"/>
        <w:ind w:firstLine="840" w:firstLineChars="300"/>
        <w:rPr>
          <w:rFonts w:ascii="仿宋" w:hAnsi="仿宋" w:eastAsia="仿宋"/>
          <w:bCs/>
          <w:kern w:val="0"/>
          <w:sz w:val="28"/>
          <w:szCs w:val="21"/>
          <w:u w:val="single"/>
        </w:rPr>
      </w:pPr>
      <w:r>
        <w:rPr>
          <w:rFonts w:hint="eastAsia" w:ascii="仿宋" w:hAnsi="仿宋" w:eastAsia="仿宋"/>
          <w:bCs/>
          <w:kern w:val="0"/>
          <w:sz w:val="28"/>
          <w:szCs w:val="21"/>
          <w:u w:val="single"/>
        </w:rPr>
        <w:t xml:space="preserve">                                                        </w:t>
      </w:r>
    </w:p>
    <w:p w14:paraId="6F4B9308">
      <w:pPr>
        <w:spacing w:line="480" w:lineRule="auto"/>
        <w:ind w:firstLine="840" w:firstLineChars="300"/>
        <w:rPr>
          <w:rFonts w:ascii="仿宋" w:hAnsi="仿宋" w:eastAsia="仿宋"/>
          <w:bCs/>
          <w:kern w:val="0"/>
          <w:sz w:val="28"/>
          <w:szCs w:val="21"/>
          <w:u w:val="single"/>
        </w:rPr>
      </w:pPr>
      <w:r>
        <w:rPr>
          <w:rFonts w:hint="eastAsia" w:ascii="仿宋" w:hAnsi="仿宋" w:eastAsia="仿宋"/>
          <w:bCs/>
          <w:kern w:val="0"/>
          <w:sz w:val="28"/>
          <w:szCs w:val="21"/>
          <w:u w:val="single"/>
        </w:rPr>
        <w:t xml:space="preserve">                                                        </w:t>
      </w:r>
    </w:p>
    <w:p w14:paraId="415ED0F3">
      <w:pPr>
        <w:pStyle w:val="115"/>
      </w:pPr>
      <w:r>
        <w:rPr>
          <w:rFonts w:ascii="微软雅黑" w:hAnsi="宋体" w:eastAsia="微软雅黑"/>
        </w:rPr>
        <w:br w:type="page"/>
      </w:r>
      <w:bookmarkStart w:id="33" w:name="_Toc27268"/>
      <w:r>
        <w:rPr>
          <w:rFonts w:hint="eastAsia"/>
        </w:rPr>
        <w:t>二、投标文件格式--投标函部分</w:t>
      </w:r>
      <w:bookmarkEnd w:id="33"/>
    </w:p>
    <w:p w14:paraId="2646D315">
      <w:pPr>
        <w:pStyle w:val="21"/>
        <w:jc w:val="center"/>
        <w:rPr>
          <w:rFonts w:ascii="黑体" w:hAnsi="黑体" w:eastAsia="黑体"/>
          <w:bCs/>
          <w:sz w:val="84"/>
          <w:szCs w:val="84"/>
        </w:rPr>
      </w:pPr>
    </w:p>
    <w:p w14:paraId="6AE76D7D">
      <w:pPr>
        <w:pStyle w:val="21"/>
        <w:jc w:val="center"/>
        <w:rPr>
          <w:rFonts w:ascii="黑体" w:hAnsi="黑体" w:eastAsia="黑体"/>
          <w:bCs/>
          <w:sz w:val="72"/>
          <w:szCs w:val="72"/>
        </w:rPr>
      </w:pPr>
      <w:r>
        <w:rPr>
          <w:rFonts w:hint="eastAsia" w:ascii="黑体" w:hAnsi="黑体" w:eastAsia="黑体"/>
          <w:bCs/>
          <w:sz w:val="72"/>
          <w:szCs w:val="72"/>
        </w:rPr>
        <w:t>非依法必须招标项目服务类</w:t>
      </w:r>
    </w:p>
    <w:p w14:paraId="6020A9AE">
      <w:pPr>
        <w:pStyle w:val="21"/>
        <w:jc w:val="center"/>
        <w:rPr>
          <w:rFonts w:ascii="黑体" w:hAnsi="黑体" w:eastAsia="黑体"/>
          <w:bCs/>
          <w:sz w:val="84"/>
          <w:szCs w:val="84"/>
        </w:rPr>
      </w:pPr>
    </w:p>
    <w:p w14:paraId="50059999">
      <w:pPr>
        <w:pStyle w:val="21"/>
        <w:jc w:val="center"/>
        <w:rPr>
          <w:rFonts w:ascii="黑体" w:hAnsi="黑体" w:eastAsia="黑体"/>
          <w:bCs/>
          <w:sz w:val="84"/>
          <w:szCs w:val="84"/>
        </w:rPr>
      </w:pPr>
      <w:r>
        <w:rPr>
          <w:rFonts w:hint="eastAsia" w:ascii="黑体" w:hAnsi="黑体" w:eastAsia="黑体"/>
          <w:bCs/>
          <w:sz w:val="84"/>
          <w:szCs w:val="84"/>
        </w:rPr>
        <w:t>投 标 文 件</w:t>
      </w:r>
    </w:p>
    <w:p w14:paraId="69F42BF7">
      <w:pPr>
        <w:ind w:left="988"/>
        <w:jc w:val="center"/>
        <w:rPr>
          <w:rFonts w:ascii="宋体" w:hAnsi="宋体"/>
          <w:kern w:val="0"/>
          <w:sz w:val="32"/>
          <w:szCs w:val="21"/>
          <w:u w:val="single"/>
        </w:rPr>
      </w:pPr>
    </w:p>
    <w:p w14:paraId="32FD86C1">
      <w:pPr>
        <w:ind w:left="988"/>
        <w:jc w:val="center"/>
        <w:rPr>
          <w:rFonts w:ascii="宋体" w:hAnsi="宋体"/>
          <w:kern w:val="0"/>
          <w:sz w:val="32"/>
          <w:szCs w:val="21"/>
          <w:u w:val="single"/>
        </w:rPr>
      </w:pPr>
    </w:p>
    <w:p w14:paraId="55048919">
      <w:pPr>
        <w:ind w:left="988"/>
        <w:jc w:val="center"/>
        <w:rPr>
          <w:rFonts w:ascii="宋体" w:hAnsi="宋体"/>
          <w:kern w:val="0"/>
          <w:sz w:val="32"/>
          <w:szCs w:val="21"/>
          <w:u w:val="single"/>
        </w:rPr>
      </w:pPr>
    </w:p>
    <w:p w14:paraId="4A7532D3">
      <w:pPr>
        <w:ind w:left="988"/>
        <w:jc w:val="center"/>
        <w:rPr>
          <w:rFonts w:ascii="宋体" w:hAnsi="宋体"/>
          <w:kern w:val="0"/>
          <w:sz w:val="32"/>
          <w:szCs w:val="21"/>
          <w:u w:val="single"/>
        </w:rPr>
      </w:pPr>
    </w:p>
    <w:p w14:paraId="6BD7DC2B">
      <w:pPr>
        <w:rPr>
          <w:rFonts w:ascii="宋体" w:hAnsi="宋体"/>
          <w:b/>
          <w:bCs/>
          <w:kern w:val="0"/>
          <w:sz w:val="32"/>
          <w:szCs w:val="21"/>
        </w:rPr>
      </w:pPr>
    </w:p>
    <w:p w14:paraId="6D812690">
      <w:pPr>
        <w:rPr>
          <w:rFonts w:ascii="宋体" w:hAnsi="宋体"/>
          <w:b/>
          <w:bCs/>
          <w:kern w:val="0"/>
          <w:sz w:val="32"/>
          <w:szCs w:val="21"/>
        </w:rPr>
      </w:pPr>
    </w:p>
    <w:p w14:paraId="7904CE15">
      <w:pPr>
        <w:rPr>
          <w:rFonts w:ascii="宋体" w:hAnsi="宋体"/>
          <w:b/>
          <w:bCs/>
          <w:kern w:val="0"/>
          <w:sz w:val="32"/>
          <w:szCs w:val="21"/>
        </w:rPr>
      </w:pPr>
    </w:p>
    <w:p w14:paraId="403E7059">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7BDC5DB7">
      <w:pPr>
        <w:spacing w:line="480" w:lineRule="auto"/>
        <w:ind w:firstLine="840" w:firstLineChars="300"/>
        <w:rPr>
          <w:rFonts w:ascii="微软雅黑" w:hAnsi="宋体" w:eastAsia="微软雅黑"/>
          <w:bCs/>
          <w:kern w:val="0"/>
          <w:sz w:val="28"/>
          <w:szCs w:val="28"/>
        </w:rPr>
      </w:pPr>
      <w:r>
        <w:rPr>
          <w:rFonts w:hint="eastAsia" w:ascii="微软雅黑" w:hAnsi="宋体" w:eastAsia="微软雅黑"/>
          <w:bCs/>
          <w:kern w:val="0"/>
          <w:sz w:val="28"/>
          <w:szCs w:val="21"/>
        </w:rPr>
        <w:t xml:space="preserve">投标文件内容： </w:t>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t xml:space="preserve">        投标函部分              </w:t>
      </w:r>
    </w:p>
    <w:p w14:paraId="0090D12A">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投标人（盖章）：</w:t>
      </w:r>
      <w:r>
        <w:rPr>
          <w:rFonts w:hint="eastAsia" w:ascii="微软雅黑" w:hAnsi="宋体" w:eastAsia="微软雅黑"/>
          <w:bCs/>
          <w:kern w:val="0"/>
          <w:sz w:val="28"/>
          <w:szCs w:val="21"/>
          <w:u w:val="single"/>
        </w:rPr>
        <w:t xml:space="preserve">                                      </w:t>
      </w:r>
    </w:p>
    <w:p w14:paraId="5BF6FA01">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15003A49">
      <w:pPr>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p>
    <w:p w14:paraId="02352123">
      <w:pPr>
        <w:jc w:val="left"/>
        <w:rPr>
          <w:rFonts w:ascii="黑体" w:hAnsi="黑体" w:eastAsia="黑体"/>
          <w:kern w:val="0"/>
          <w:sz w:val="36"/>
          <w:szCs w:val="36"/>
        </w:rPr>
      </w:pPr>
      <w:r>
        <w:rPr>
          <w:rFonts w:ascii="黑体" w:hAnsi="黑体" w:eastAsia="黑体"/>
          <w:kern w:val="0"/>
          <w:sz w:val="36"/>
          <w:szCs w:val="36"/>
        </w:rPr>
        <w:br w:type="page"/>
      </w:r>
    </w:p>
    <w:p w14:paraId="43901F23">
      <w:pPr>
        <w:adjustRightInd w:val="0"/>
        <w:snapToGrid w:val="0"/>
        <w:spacing w:line="360" w:lineRule="auto"/>
        <w:jc w:val="center"/>
        <w:rPr>
          <w:rFonts w:ascii="仿宋" w:hAnsi="仿宋" w:eastAsia="仿宋"/>
          <w:b/>
          <w:kern w:val="0"/>
          <w:sz w:val="36"/>
          <w:szCs w:val="36"/>
        </w:rPr>
      </w:pPr>
      <w:r>
        <w:rPr>
          <w:rFonts w:hint="eastAsia" w:ascii="仿宋" w:hAnsi="仿宋" w:eastAsia="仿宋"/>
          <w:b/>
          <w:kern w:val="0"/>
          <w:sz w:val="36"/>
          <w:szCs w:val="36"/>
        </w:rPr>
        <w:t>投标函部分目录</w:t>
      </w:r>
    </w:p>
    <w:p w14:paraId="320D008B">
      <w:pPr>
        <w:pStyle w:val="21"/>
        <w:jc w:val="center"/>
        <w:rPr>
          <w:rFonts w:ascii="楷体_GB2312"/>
          <w:b/>
          <w:bCs/>
          <w:sz w:val="44"/>
        </w:rPr>
      </w:pPr>
    </w:p>
    <w:p w14:paraId="71857678">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一、法定代表人资格证明书</w:t>
      </w:r>
    </w:p>
    <w:p w14:paraId="083C735F">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二、投标文件签署授权委托书</w:t>
      </w:r>
    </w:p>
    <w:p w14:paraId="5F075426">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三、投标函</w:t>
      </w:r>
    </w:p>
    <w:p w14:paraId="58962AB9">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四、投标担保证明</w:t>
      </w:r>
    </w:p>
    <w:p w14:paraId="706E7F8F">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五、廉洁投标承诺书</w:t>
      </w:r>
    </w:p>
    <w:p w14:paraId="7F1F1DD7">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六、招标文件要求投标人提交的其他资料：</w:t>
      </w:r>
    </w:p>
    <w:p w14:paraId="195F762B">
      <w:pPr>
        <w:adjustRightInd w:val="0"/>
        <w:snapToGrid w:val="0"/>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u w:val="single"/>
        </w:rPr>
        <w:t xml:space="preserve">                                             </w:t>
      </w:r>
    </w:p>
    <w:p w14:paraId="5F3477B7">
      <w:pPr>
        <w:adjustRightInd w:val="0"/>
        <w:snapToGrid w:val="0"/>
        <w:spacing w:line="560" w:lineRule="exact"/>
        <w:ind w:firstLine="560" w:firstLineChars="200"/>
        <w:rPr>
          <w:rFonts w:ascii="仿宋_GB2312" w:hAnsi="宋体" w:eastAsia="仿宋_GB2312"/>
          <w:kern w:val="0"/>
          <w:sz w:val="28"/>
          <w:szCs w:val="28"/>
          <w:u w:val="single"/>
        </w:rPr>
      </w:pPr>
      <w:r>
        <w:rPr>
          <w:rFonts w:hint="eastAsia" w:ascii="仿宋_GB2312" w:hAnsi="宋体" w:eastAsia="仿宋_GB2312"/>
          <w:kern w:val="0"/>
          <w:sz w:val="28"/>
          <w:szCs w:val="28"/>
          <w:u w:val="single"/>
        </w:rPr>
        <w:t xml:space="preserve">                                              </w:t>
      </w:r>
    </w:p>
    <w:p w14:paraId="072BA8C5">
      <w:pPr>
        <w:adjustRightInd w:val="0"/>
        <w:snapToGrid w:val="0"/>
        <w:spacing w:line="360" w:lineRule="auto"/>
        <w:jc w:val="center"/>
        <w:rPr>
          <w:rFonts w:ascii="仿宋" w:hAnsi="仿宋" w:eastAsia="仿宋"/>
          <w:b/>
          <w:kern w:val="0"/>
          <w:sz w:val="36"/>
          <w:szCs w:val="36"/>
        </w:rPr>
      </w:pPr>
      <w:r>
        <w:rPr>
          <w:rFonts w:ascii="宋体" w:hAnsi="宋体"/>
          <w:b/>
          <w:sz w:val="32"/>
          <w:szCs w:val="32"/>
        </w:rPr>
        <w:br w:type="page"/>
      </w:r>
      <w:r>
        <w:rPr>
          <w:rFonts w:hint="eastAsia" w:ascii="仿宋" w:hAnsi="仿宋" w:eastAsia="仿宋"/>
          <w:b/>
          <w:kern w:val="0"/>
          <w:sz w:val="36"/>
          <w:szCs w:val="36"/>
        </w:rPr>
        <w:t>法定代表人资格证明书</w:t>
      </w:r>
    </w:p>
    <w:p w14:paraId="35DC96BE">
      <w:pPr>
        <w:pStyle w:val="21"/>
        <w:spacing w:line="360" w:lineRule="auto"/>
        <w:ind w:firstLine="480" w:firstLineChars="200"/>
        <w:rPr>
          <w:sz w:val="24"/>
        </w:rPr>
      </w:pPr>
    </w:p>
    <w:p w14:paraId="3C2DC878">
      <w:pPr>
        <w:pStyle w:val="21"/>
        <w:spacing w:line="360" w:lineRule="auto"/>
        <w:ind w:left="279" w:leftChars="133"/>
        <w:rPr>
          <w:sz w:val="28"/>
        </w:rPr>
      </w:pPr>
    </w:p>
    <w:p w14:paraId="4ACF710F">
      <w:pPr>
        <w:pStyle w:val="21"/>
        <w:spacing w:line="480" w:lineRule="auto"/>
        <w:ind w:left="279" w:leftChars="133"/>
        <w:rPr>
          <w:rFonts w:ascii="仿宋" w:hAnsi="仿宋" w:eastAsia="仿宋"/>
          <w:sz w:val="28"/>
          <w:szCs w:val="28"/>
          <w:u w:val="single"/>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14:paraId="0E241BCE">
      <w:pPr>
        <w:pStyle w:val="21"/>
        <w:spacing w:line="480" w:lineRule="auto"/>
        <w:ind w:left="279" w:leftChars="133"/>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w:t>
      </w:r>
    </w:p>
    <w:p w14:paraId="732DA004">
      <w:pPr>
        <w:pStyle w:val="21"/>
        <w:spacing w:line="480" w:lineRule="auto"/>
        <w:ind w:left="279" w:leftChars="133"/>
        <w:rPr>
          <w:rFonts w:ascii="仿宋" w:hAnsi="仿宋" w:eastAsia="仿宋"/>
          <w:sz w:val="28"/>
          <w:szCs w:val="28"/>
          <w:u w:val="single"/>
        </w:rPr>
      </w:pPr>
      <w:r>
        <w:rPr>
          <w:rFonts w:hint="eastAsia" w:ascii="仿宋" w:hAnsi="仿宋" w:eastAsia="仿宋"/>
          <w:sz w:val="28"/>
          <w:szCs w:val="28"/>
        </w:rPr>
        <w:t>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年龄：</w:t>
      </w:r>
      <w:r>
        <w:rPr>
          <w:rFonts w:hint="eastAsia" w:ascii="仿宋" w:hAnsi="仿宋" w:eastAsia="仿宋"/>
          <w:sz w:val="28"/>
          <w:szCs w:val="28"/>
          <w:u w:val="single"/>
        </w:rPr>
        <w:t xml:space="preserve">      </w:t>
      </w:r>
      <w:r>
        <w:rPr>
          <w:rFonts w:hint="eastAsia" w:ascii="仿宋" w:hAnsi="仿宋" w:eastAsia="仿宋"/>
          <w:sz w:val="28"/>
          <w:szCs w:val="28"/>
        </w:rPr>
        <w:t xml:space="preserve"> 职务：</w:t>
      </w:r>
      <w:r>
        <w:rPr>
          <w:rFonts w:hint="eastAsia" w:ascii="仿宋" w:hAnsi="仿宋" w:eastAsia="仿宋"/>
          <w:sz w:val="28"/>
          <w:szCs w:val="28"/>
          <w:u w:val="single"/>
        </w:rPr>
        <w:t xml:space="preserve">               </w:t>
      </w:r>
    </w:p>
    <w:p w14:paraId="2FB12314">
      <w:pPr>
        <w:pStyle w:val="21"/>
        <w:spacing w:line="480" w:lineRule="auto"/>
        <w:ind w:left="279" w:leftChars="133"/>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的法定代表人。</w:t>
      </w:r>
    </w:p>
    <w:p w14:paraId="2ACB4D33">
      <w:pPr>
        <w:pStyle w:val="21"/>
        <w:spacing w:line="480" w:lineRule="auto"/>
        <w:ind w:left="359" w:leftChars="171"/>
        <w:rPr>
          <w:rFonts w:ascii="仿宋" w:hAnsi="仿宋" w:eastAsia="仿宋"/>
          <w:sz w:val="28"/>
          <w:szCs w:val="28"/>
        </w:rPr>
      </w:pPr>
      <w:r>
        <w:rPr>
          <w:rFonts w:hint="eastAsia" w:ascii="仿宋" w:hAnsi="仿宋" w:eastAsia="仿宋"/>
          <w:sz w:val="28"/>
          <w:szCs w:val="28"/>
        </w:rPr>
        <w:t>特此证明。</w:t>
      </w:r>
    </w:p>
    <w:p w14:paraId="3B39B3BA">
      <w:pPr>
        <w:pStyle w:val="21"/>
        <w:spacing w:line="480" w:lineRule="auto"/>
        <w:ind w:left="359" w:leftChars="171"/>
        <w:rPr>
          <w:rFonts w:ascii="仿宋" w:hAnsi="仿宋" w:eastAsia="仿宋"/>
          <w:sz w:val="28"/>
          <w:szCs w:val="28"/>
        </w:rPr>
      </w:pPr>
    </w:p>
    <w:p w14:paraId="2DC9F17F">
      <w:pPr>
        <w:tabs>
          <w:tab w:val="left" w:pos="7740"/>
        </w:tabs>
        <w:rPr>
          <w:rFonts w:ascii="仿宋" w:hAnsi="仿宋" w:eastAsia="仿宋" w:cs="仿宋_GB2312"/>
          <w:sz w:val="28"/>
          <w:szCs w:val="28"/>
        </w:rPr>
      </w:pPr>
    </w:p>
    <w:tbl>
      <w:tblPr>
        <w:tblStyle w:val="38"/>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14:paraId="0BC8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763" w:type="dxa"/>
            <w:vAlign w:val="center"/>
          </w:tcPr>
          <w:p w14:paraId="7E6C96BE">
            <w:pPr>
              <w:tabs>
                <w:tab w:val="left" w:pos="7740"/>
              </w:tabs>
              <w:jc w:val="center"/>
              <w:rPr>
                <w:rFonts w:ascii="仿宋" w:hAnsi="仿宋" w:eastAsia="仿宋" w:cs="仿宋_GB2312"/>
                <w:sz w:val="28"/>
                <w:szCs w:val="28"/>
              </w:rPr>
            </w:pPr>
            <w:r>
              <w:rPr>
                <w:rFonts w:hint="eastAsia" w:ascii="仿宋" w:hAnsi="仿宋" w:eastAsia="仿宋" w:cs="仿宋_GB2312"/>
                <w:sz w:val="28"/>
                <w:szCs w:val="28"/>
              </w:rPr>
              <w:t>粘贴法定代表人身份证复印件</w:t>
            </w:r>
          </w:p>
        </w:tc>
      </w:tr>
    </w:tbl>
    <w:p w14:paraId="2B2D8FD3">
      <w:pPr>
        <w:tabs>
          <w:tab w:val="left" w:pos="7740"/>
        </w:tabs>
        <w:rPr>
          <w:rFonts w:ascii="仿宋" w:hAnsi="仿宋" w:eastAsia="仿宋" w:cs="仿宋_GB2312"/>
          <w:sz w:val="28"/>
          <w:szCs w:val="28"/>
        </w:rPr>
      </w:pPr>
    </w:p>
    <w:p w14:paraId="6219669F">
      <w:pPr>
        <w:pStyle w:val="21"/>
        <w:spacing w:line="480" w:lineRule="auto"/>
        <w:ind w:left="133" w:firstLine="720"/>
        <w:rPr>
          <w:rFonts w:ascii="仿宋" w:hAnsi="仿宋" w:eastAsia="仿宋"/>
          <w:sz w:val="28"/>
          <w:szCs w:val="28"/>
        </w:rPr>
      </w:pPr>
    </w:p>
    <w:p w14:paraId="3467C786">
      <w:pPr>
        <w:pStyle w:val="21"/>
        <w:spacing w:line="480" w:lineRule="auto"/>
        <w:ind w:left="133" w:firstLine="1470" w:firstLineChars="525"/>
        <w:rPr>
          <w:rFonts w:ascii="仿宋" w:hAnsi="仿宋" w:eastAsia="仿宋"/>
          <w:sz w:val="28"/>
          <w:szCs w:val="28"/>
          <w:u w:val="single"/>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0AE299A3">
      <w:pPr>
        <w:pStyle w:val="21"/>
        <w:spacing w:line="480" w:lineRule="auto"/>
        <w:ind w:left="133" w:firstLine="1470" w:firstLineChars="525"/>
        <w:rPr>
          <w:rFonts w:ascii="仿宋" w:hAnsi="仿宋" w:eastAsia="仿宋"/>
          <w:sz w:val="28"/>
          <w:szCs w:val="28"/>
          <w:u w:val="single"/>
        </w:rPr>
      </w:pPr>
    </w:p>
    <w:p w14:paraId="6B01585F">
      <w:pPr>
        <w:pStyle w:val="21"/>
        <w:spacing w:line="480" w:lineRule="auto"/>
        <w:ind w:left="133" w:firstLine="1470" w:firstLineChars="525"/>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57BC866">
      <w:pPr>
        <w:adjustRightInd w:val="0"/>
        <w:snapToGrid w:val="0"/>
        <w:spacing w:line="360" w:lineRule="auto"/>
        <w:jc w:val="center"/>
        <w:rPr>
          <w:rFonts w:ascii="仿宋" w:hAnsi="仿宋" w:eastAsia="仿宋"/>
          <w:b/>
          <w:kern w:val="0"/>
          <w:sz w:val="36"/>
          <w:szCs w:val="36"/>
        </w:rPr>
      </w:pPr>
      <w:r>
        <w:rPr>
          <w:rFonts w:hint="eastAsia" w:ascii="仿宋" w:hAnsi="仿宋" w:eastAsia="仿宋"/>
          <w:b/>
          <w:kern w:val="0"/>
          <w:sz w:val="36"/>
          <w:szCs w:val="36"/>
        </w:rPr>
        <w:t>投标文件签署授权委托书</w:t>
      </w:r>
    </w:p>
    <w:p w14:paraId="5D30C2F4">
      <w:pPr>
        <w:pStyle w:val="21"/>
        <w:spacing w:after="120" w:afterLines="50" w:line="440" w:lineRule="exact"/>
        <w:jc w:val="center"/>
        <w:rPr>
          <w:rFonts w:ascii="华文细黑" w:hAnsi="宋体" w:eastAsia="华文细黑"/>
          <w:sz w:val="44"/>
        </w:rPr>
      </w:pPr>
    </w:p>
    <w:p w14:paraId="5E388784">
      <w:pPr>
        <w:pStyle w:val="21"/>
        <w:spacing w:line="560" w:lineRule="exact"/>
        <w:ind w:left="178" w:leftChars="85" w:firstLine="560" w:firstLineChars="200"/>
        <w:jc w:val="left"/>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(姓名)系</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(单位名称)的</w:t>
      </w:r>
      <w:r>
        <w:rPr>
          <w:rFonts w:hint="eastAsia" w:ascii="仿宋" w:hAnsi="仿宋" w:eastAsia="仿宋"/>
          <w:sz w:val="28"/>
          <w:szCs w:val="28"/>
          <w:u w:val="single"/>
        </w:rPr>
        <w:t xml:space="preserve">             </w:t>
      </w:r>
      <w:r>
        <w:rPr>
          <w:rFonts w:hint="eastAsia" w:ascii="仿宋" w:hAnsi="仿宋" w:eastAsia="仿宋"/>
          <w:sz w:val="28"/>
          <w:szCs w:val="28"/>
        </w:rPr>
        <w:t>(姓名)为我公司签署</w:t>
      </w:r>
      <w:r>
        <w:rPr>
          <w:rFonts w:hint="eastAsia" w:ascii="仿宋" w:hAnsi="仿宋" w:eastAsia="仿宋"/>
          <w:sz w:val="28"/>
          <w:szCs w:val="28"/>
          <w:u w:val="single"/>
        </w:rPr>
        <w:t xml:space="preserve">                </w:t>
      </w:r>
      <w:r>
        <w:rPr>
          <w:rFonts w:hint="eastAsia" w:ascii="仿宋" w:hAnsi="仿宋" w:eastAsia="仿宋"/>
          <w:sz w:val="28"/>
          <w:szCs w:val="28"/>
        </w:rPr>
        <w:t>投标文件的法定代表人的授权委托代理人，我承认代理人全权代表我所签署的</w:t>
      </w:r>
      <w:r>
        <w:rPr>
          <w:rFonts w:hint="eastAsia" w:ascii="仿宋" w:hAnsi="仿宋" w:eastAsia="仿宋"/>
          <w:sz w:val="28"/>
          <w:szCs w:val="28"/>
          <w:u w:val="single"/>
        </w:rPr>
        <w:t xml:space="preserve">                  </w:t>
      </w:r>
      <w:r>
        <w:rPr>
          <w:rFonts w:hint="eastAsia" w:ascii="仿宋" w:hAnsi="仿宋" w:eastAsia="仿宋"/>
          <w:sz w:val="28"/>
          <w:szCs w:val="28"/>
        </w:rPr>
        <w:t>投标文件的内容。</w:t>
      </w:r>
    </w:p>
    <w:p w14:paraId="1490E8EA">
      <w:pPr>
        <w:pStyle w:val="21"/>
        <w:spacing w:line="560" w:lineRule="exact"/>
        <w:ind w:left="178" w:leftChars="85" w:firstLine="560" w:firstLineChars="200"/>
        <w:rPr>
          <w:rFonts w:ascii="仿宋" w:hAnsi="仿宋" w:eastAsia="仿宋"/>
          <w:sz w:val="28"/>
          <w:szCs w:val="28"/>
        </w:rPr>
      </w:pPr>
      <w:r>
        <w:rPr>
          <w:rFonts w:hint="eastAsia" w:ascii="仿宋" w:hAnsi="仿宋" w:eastAsia="仿宋"/>
          <w:sz w:val="28"/>
          <w:szCs w:val="28"/>
        </w:rPr>
        <w:t>代理人无转委托权，特此委托。</w:t>
      </w:r>
    </w:p>
    <w:p w14:paraId="1C34F514">
      <w:pPr>
        <w:pStyle w:val="21"/>
        <w:spacing w:line="560" w:lineRule="exact"/>
        <w:ind w:left="85" w:firstLine="720"/>
        <w:rPr>
          <w:rFonts w:ascii="仿宋" w:hAnsi="仿宋" w:eastAsia="仿宋"/>
          <w:sz w:val="28"/>
          <w:szCs w:val="28"/>
        </w:rPr>
      </w:pPr>
    </w:p>
    <w:tbl>
      <w:tblPr>
        <w:tblStyle w:val="38"/>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5"/>
      </w:tblGrid>
      <w:tr w14:paraId="6847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628" w:type="dxa"/>
            <w:vAlign w:val="center"/>
          </w:tcPr>
          <w:p w14:paraId="78ECF6BE">
            <w:pPr>
              <w:tabs>
                <w:tab w:val="left" w:pos="7740"/>
              </w:tabs>
              <w:jc w:val="center"/>
              <w:rPr>
                <w:rFonts w:ascii="仿宋" w:hAnsi="仿宋" w:eastAsia="仿宋" w:cs="仿宋_GB2312"/>
                <w:sz w:val="28"/>
                <w:szCs w:val="28"/>
              </w:rPr>
            </w:pPr>
            <w:r>
              <w:rPr>
                <w:rFonts w:hint="eastAsia" w:ascii="仿宋" w:hAnsi="仿宋" w:eastAsia="仿宋" w:cs="仿宋_GB2312"/>
                <w:sz w:val="28"/>
                <w:szCs w:val="28"/>
              </w:rPr>
              <w:t>粘贴委托代理人身份证复印件</w:t>
            </w:r>
          </w:p>
        </w:tc>
      </w:tr>
    </w:tbl>
    <w:p w14:paraId="5EC9D8E1">
      <w:pPr>
        <w:tabs>
          <w:tab w:val="left" w:pos="7740"/>
        </w:tabs>
        <w:spacing w:line="560" w:lineRule="exact"/>
        <w:ind w:firstLine="560" w:firstLineChars="200"/>
        <w:rPr>
          <w:rFonts w:ascii="仿宋" w:hAnsi="仿宋" w:eastAsia="仿宋" w:cs="仿宋_GB2312"/>
          <w:sz w:val="28"/>
          <w:szCs w:val="28"/>
        </w:rPr>
      </w:pPr>
    </w:p>
    <w:p w14:paraId="599160CC">
      <w:pPr>
        <w:pStyle w:val="21"/>
        <w:spacing w:line="560" w:lineRule="exact"/>
        <w:ind w:left="85" w:firstLine="560" w:firstLineChars="200"/>
        <w:rPr>
          <w:rFonts w:ascii="仿宋" w:hAnsi="仿宋" w:eastAsia="仿宋"/>
          <w:sz w:val="28"/>
          <w:szCs w:val="28"/>
        </w:rPr>
      </w:pPr>
    </w:p>
    <w:p w14:paraId="1EF769F0">
      <w:pPr>
        <w:pStyle w:val="21"/>
        <w:spacing w:line="560" w:lineRule="exact"/>
        <w:ind w:left="85" w:firstLine="560" w:firstLineChars="200"/>
        <w:rPr>
          <w:rFonts w:ascii="仿宋" w:hAnsi="仿宋" w:eastAsia="仿宋"/>
          <w:sz w:val="28"/>
          <w:szCs w:val="28"/>
        </w:rPr>
      </w:pPr>
    </w:p>
    <w:p w14:paraId="62A897CC">
      <w:pPr>
        <w:pStyle w:val="21"/>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代理人：</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年龄：</w:t>
      </w:r>
      <w:r>
        <w:rPr>
          <w:rFonts w:hint="eastAsia" w:ascii="仿宋" w:hAnsi="仿宋" w:eastAsia="仿宋"/>
          <w:sz w:val="28"/>
          <w:szCs w:val="28"/>
          <w:u w:val="single"/>
        </w:rPr>
        <w:t xml:space="preserve">             </w:t>
      </w:r>
    </w:p>
    <w:p w14:paraId="28F2C7B1">
      <w:pPr>
        <w:pStyle w:val="21"/>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4B5176F6">
      <w:pPr>
        <w:pStyle w:val="21"/>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69FE4248">
      <w:pPr>
        <w:pStyle w:val="21"/>
        <w:spacing w:line="560" w:lineRule="exact"/>
        <w:ind w:left="84" w:leftChars="40" w:firstLine="560" w:firstLineChars="200"/>
        <w:rPr>
          <w:rFonts w:ascii="仿宋" w:hAnsi="仿宋" w:eastAsia="仿宋"/>
          <w:sz w:val="28"/>
          <w:szCs w:val="28"/>
        </w:rPr>
      </w:pPr>
      <w:r>
        <w:rPr>
          <w:rFonts w:hint="eastAsia" w:ascii="仿宋" w:hAnsi="仿宋" w:eastAsia="仿宋"/>
          <w:sz w:val="28"/>
          <w:szCs w:val="28"/>
        </w:rPr>
        <w:t>法定代表人(签字或盖章)：</w:t>
      </w:r>
      <w:r>
        <w:rPr>
          <w:rFonts w:hint="eastAsia" w:ascii="仿宋" w:hAnsi="仿宋" w:eastAsia="仿宋"/>
          <w:sz w:val="28"/>
          <w:szCs w:val="28"/>
          <w:u w:val="single"/>
        </w:rPr>
        <w:t xml:space="preserve">                                 </w:t>
      </w:r>
    </w:p>
    <w:p w14:paraId="54D12347">
      <w:pPr>
        <w:pStyle w:val="21"/>
        <w:spacing w:line="560" w:lineRule="exact"/>
        <w:ind w:left="84" w:leftChars="40" w:firstLine="560" w:firstLineChars="200"/>
        <w:rPr>
          <w:rFonts w:ascii="仿宋" w:hAnsi="仿宋" w:eastAsia="仿宋"/>
          <w:sz w:val="28"/>
          <w:szCs w:val="28"/>
        </w:rPr>
      </w:pPr>
      <w:r>
        <w:rPr>
          <w:rFonts w:hint="eastAsia" w:ascii="仿宋" w:hAnsi="仿宋" w:eastAsia="仿宋"/>
          <w:sz w:val="28"/>
          <w:szCs w:val="28"/>
        </w:rPr>
        <w:t>授权委托有效日期：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6F5EDF8">
      <w:pPr>
        <w:pStyle w:val="21"/>
        <w:spacing w:line="560" w:lineRule="exact"/>
        <w:ind w:firstLine="480" w:firstLineChars="200"/>
        <w:rPr>
          <w:sz w:val="24"/>
        </w:rPr>
      </w:pPr>
      <w:r>
        <w:rPr>
          <w:sz w:val="24"/>
        </w:rPr>
        <w:br w:type="page"/>
      </w:r>
    </w:p>
    <w:p w14:paraId="763C6CDF">
      <w:pPr>
        <w:adjustRightInd w:val="0"/>
        <w:snapToGrid w:val="0"/>
        <w:spacing w:line="560" w:lineRule="exact"/>
        <w:jc w:val="center"/>
        <w:rPr>
          <w:rFonts w:ascii="黑体" w:hAnsi="黑体" w:eastAsia="黑体"/>
          <w:kern w:val="0"/>
          <w:sz w:val="36"/>
          <w:szCs w:val="36"/>
        </w:rPr>
      </w:pPr>
      <w:r>
        <w:rPr>
          <w:rFonts w:hint="eastAsia" w:ascii="黑体" w:hAnsi="黑体" w:eastAsia="黑体"/>
          <w:kern w:val="0"/>
          <w:sz w:val="36"/>
          <w:szCs w:val="36"/>
        </w:rPr>
        <w:t>投  标  函</w:t>
      </w:r>
    </w:p>
    <w:p w14:paraId="4431F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p>
    <w:p w14:paraId="1BDEAA61">
      <w:pPr>
        <w:spacing w:line="560" w:lineRule="exact"/>
        <w:ind w:firstLine="560" w:firstLineChars="200"/>
        <w:rPr>
          <w:rFonts w:ascii="仿宋" w:hAnsi="仿宋" w:eastAsia="仿宋"/>
          <w:sz w:val="28"/>
          <w:szCs w:val="28"/>
        </w:rPr>
      </w:pPr>
      <w:r>
        <w:rPr>
          <w:rFonts w:hint="eastAsia" w:ascii="仿宋" w:hAnsi="仿宋" w:eastAsia="仿宋"/>
          <w:sz w:val="28"/>
          <w:szCs w:val="28"/>
        </w:rPr>
        <w:t>1.根据已收到贵方的</w:t>
      </w:r>
      <w:r>
        <w:rPr>
          <w:rFonts w:hint="eastAsia" w:ascii="仿宋" w:hAnsi="仿宋" w:eastAsia="仿宋" w:cs="宋体"/>
          <w:kern w:val="0"/>
          <w:sz w:val="28"/>
          <w:szCs w:val="28"/>
          <w:u w:val="single"/>
        </w:rPr>
        <w:t xml:space="preserve">                    </w:t>
      </w:r>
      <w:r>
        <w:rPr>
          <w:rFonts w:hint="eastAsia" w:ascii="仿宋" w:hAnsi="仿宋" w:eastAsia="仿宋"/>
          <w:sz w:val="28"/>
          <w:szCs w:val="28"/>
        </w:rPr>
        <w:t>的招标文件，并已详细审核了全部招标文件及有关附件。</w:t>
      </w:r>
    </w:p>
    <w:p w14:paraId="1F9AE37F">
      <w:pPr>
        <w:spacing w:line="560" w:lineRule="exact"/>
        <w:ind w:firstLine="560" w:firstLineChars="200"/>
        <w:rPr>
          <w:rFonts w:ascii="仿宋" w:hAnsi="仿宋" w:eastAsia="仿宋"/>
          <w:sz w:val="28"/>
          <w:szCs w:val="28"/>
        </w:rPr>
      </w:pPr>
      <w:r>
        <w:rPr>
          <w:rFonts w:hint="eastAsia" w:ascii="仿宋" w:hAnsi="仿宋" w:eastAsia="仿宋"/>
          <w:sz w:val="28"/>
          <w:szCs w:val="28"/>
        </w:rPr>
        <w:t>2.遵照《中华人民共和国招标投标法》等有关规定，经研究上述招标文件的投标须知、合同条款、需求标准、需求清单及其他有关文件后，我方承诺：愿以</w:t>
      </w:r>
    </w:p>
    <w:p w14:paraId="3EDE1F2D">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币种：</w:t>
      </w:r>
      <w:r>
        <w:rPr>
          <w:rFonts w:hint="eastAsia" w:ascii="仿宋" w:hAnsi="仿宋" w:eastAsia="仿宋"/>
          <w:sz w:val="28"/>
          <w:szCs w:val="28"/>
          <w:u w:val="single"/>
        </w:rPr>
        <w:t xml:space="preserve">            </w:t>
      </w:r>
    </w:p>
    <w:p w14:paraId="3B1DFD7D">
      <w:pPr>
        <w:spacing w:line="560" w:lineRule="exact"/>
        <w:ind w:firstLine="560" w:firstLineChars="200"/>
        <w:rPr>
          <w:rFonts w:ascii="仿宋" w:hAnsi="仿宋" w:eastAsia="仿宋"/>
          <w:sz w:val="28"/>
          <w:szCs w:val="28"/>
        </w:rPr>
      </w:pPr>
      <w:r>
        <w:rPr>
          <w:rFonts w:hint="eastAsia" w:ascii="仿宋" w:hAnsi="仿宋" w:eastAsia="仿宋"/>
          <w:sz w:val="28"/>
          <w:szCs w:val="28"/>
        </w:rPr>
        <w:t>金额(大写)</w:t>
      </w:r>
      <w:r>
        <w:rPr>
          <w:rFonts w:hint="eastAsia" w:ascii="仿宋" w:hAnsi="仿宋" w:eastAsia="仿宋"/>
          <w:sz w:val="28"/>
          <w:szCs w:val="28"/>
          <w:u w:val="single"/>
        </w:rPr>
        <w:t xml:space="preserve">                                       </w:t>
      </w:r>
      <w:r>
        <w:rPr>
          <w:rFonts w:hint="eastAsia" w:ascii="仿宋" w:hAnsi="仿宋" w:eastAsia="仿宋"/>
          <w:sz w:val="28"/>
          <w:szCs w:val="28"/>
        </w:rPr>
        <w:t>元</w:t>
      </w:r>
    </w:p>
    <w:p w14:paraId="1C54D499">
      <w:pPr>
        <w:spacing w:line="560" w:lineRule="exact"/>
        <w:ind w:firstLine="560" w:firstLineChars="200"/>
        <w:rPr>
          <w:rFonts w:ascii="仿宋" w:hAnsi="仿宋" w:eastAsia="仿宋"/>
          <w:sz w:val="28"/>
          <w:szCs w:val="28"/>
        </w:rPr>
      </w:pPr>
      <w:r>
        <w:rPr>
          <w:rFonts w:hint="eastAsia" w:ascii="仿宋" w:hAnsi="仿宋" w:eastAsia="仿宋"/>
          <w:sz w:val="28"/>
          <w:szCs w:val="28"/>
        </w:rPr>
        <w:t>(小写)</w:t>
      </w:r>
      <w:r>
        <w:rPr>
          <w:rFonts w:hint="eastAsia" w:ascii="仿宋" w:hAnsi="仿宋" w:eastAsia="仿宋"/>
          <w:sz w:val="28"/>
          <w:szCs w:val="28"/>
          <w:u w:val="single"/>
        </w:rPr>
        <w:t xml:space="preserve">                                         </w:t>
      </w:r>
      <w:r>
        <w:rPr>
          <w:rFonts w:hint="eastAsia" w:ascii="仿宋" w:hAnsi="仿宋" w:eastAsia="仿宋"/>
          <w:sz w:val="28"/>
          <w:szCs w:val="28"/>
        </w:rPr>
        <w:t>元</w:t>
      </w:r>
    </w:p>
    <w:p w14:paraId="67AF3395">
      <w:pPr>
        <w:spacing w:line="560" w:lineRule="exact"/>
        <w:ind w:firstLine="560" w:firstLineChars="200"/>
        <w:rPr>
          <w:rFonts w:ascii="仿宋" w:hAnsi="仿宋" w:eastAsia="仿宋"/>
          <w:sz w:val="28"/>
          <w:szCs w:val="28"/>
        </w:rPr>
      </w:pPr>
      <w:r>
        <w:rPr>
          <w:rFonts w:hint="eastAsia" w:ascii="仿宋" w:hAnsi="仿宋" w:eastAsia="仿宋"/>
          <w:sz w:val="28"/>
          <w:szCs w:val="28"/>
        </w:rPr>
        <w:t>的投标报价并按上述合同条款、需求标准、需求清单等的要求完成上述招标项目内容并提交合格的成果文件。</w:t>
      </w:r>
    </w:p>
    <w:p w14:paraId="48B405D0">
      <w:pPr>
        <w:spacing w:line="560" w:lineRule="exact"/>
        <w:ind w:firstLine="560" w:firstLineChars="200"/>
        <w:rPr>
          <w:rFonts w:ascii="仿宋" w:hAnsi="仿宋" w:eastAsia="仿宋"/>
          <w:sz w:val="28"/>
          <w:szCs w:val="28"/>
        </w:rPr>
      </w:pPr>
      <w:r>
        <w:rPr>
          <w:rFonts w:hint="eastAsia" w:ascii="仿宋" w:hAnsi="仿宋" w:eastAsia="仿宋"/>
          <w:sz w:val="28"/>
          <w:szCs w:val="28"/>
        </w:rPr>
        <w:t>3.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355DDA87">
      <w:pPr>
        <w:spacing w:line="560" w:lineRule="exact"/>
        <w:ind w:firstLine="560" w:firstLineChars="200"/>
        <w:rPr>
          <w:rFonts w:ascii="仿宋" w:hAnsi="仿宋" w:eastAsia="仿宋"/>
          <w:sz w:val="28"/>
          <w:szCs w:val="28"/>
        </w:rPr>
      </w:pPr>
      <w:r>
        <w:rPr>
          <w:rFonts w:hint="eastAsia" w:ascii="仿宋" w:hAnsi="仿宋" w:eastAsia="仿宋"/>
          <w:sz w:val="28"/>
          <w:szCs w:val="28"/>
        </w:rPr>
        <w:t>4.如果我方中标，我方保证按招标文件规定的服务周期，在</w:t>
      </w:r>
      <w:r>
        <w:rPr>
          <w:rFonts w:hint="eastAsia" w:ascii="仿宋" w:hAnsi="仿宋" w:eastAsia="仿宋"/>
          <w:sz w:val="28"/>
          <w:szCs w:val="28"/>
          <w:u w:val="single"/>
        </w:rPr>
        <w:t xml:space="preserve">     </w:t>
      </w:r>
      <w:r>
        <w:rPr>
          <w:rFonts w:hint="eastAsia" w:ascii="仿宋" w:hAnsi="仿宋" w:eastAsia="仿宋"/>
          <w:sz w:val="28"/>
          <w:szCs w:val="28"/>
        </w:rPr>
        <w:t>日历天内完成招标项目内容并提交符合招标文件要求的成果文件。</w:t>
      </w:r>
    </w:p>
    <w:p w14:paraId="43E220DD">
      <w:pPr>
        <w:spacing w:line="560" w:lineRule="exact"/>
        <w:ind w:firstLine="560" w:firstLineChars="200"/>
        <w:rPr>
          <w:rFonts w:ascii="仿宋" w:hAnsi="仿宋" w:eastAsia="仿宋"/>
          <w:sz w:val="28"/>
          <w:szCs w:val="28"/>
        </w:rPr>
      </w:pPr>
      <w:r>
        <w:rPr>
          <w:rFonts w:hint="eastAsia" w:ascii="仿宋" w:hAnsi="仿宋" w:eastAsia="仿宋"/>
          <w:sz w:val="28"/>
          <w:szCs w:val="28"/>
        </w:rPr>
        <w:t>5.除非另外达成协议并生效，贵方的中标通知书和本投标文件将成为约束双方的合同文件的组成部分。</w:t>
      </w:r>
    </w:p>
    <w:p w14:paraId="705AAD23">
      <w:pPr>
        <w:spacing w:line="560" w:lineRule="exact"/>
        <w:ind w:firstLine="560" w:firstLineChars="200"/>
        <w:rPr>
          <w:rFonts w:ascii="仿宋" w:hAnsi="仿宋" w:eastAsia="仿宋"/>
          <w:sz w:val="28"/>
          <w:szCs w:val="28"/>
        </w:rPr>
      </w:pPr>
      <w:r>
        <w:rPr>
          <w:rFonts w:hint="eastAsia" w:ascii="仿宋" w:hAnsi="仿宋" w:eastAsia="仿宋"/>
          <w:sz w:val="28"/>
          <w:szCs w:val="28"/>
        </w:rPr>
        <w:t>6.我方的投标担保与本投标函同时递交。</w:t>
      </w:r>
    </w:p>
    <w:p w14:paraId="6A7633D4">
      <w:pPr>
        <w:spacing w:line="560" w:lineRule="exact"/>
        <w:ind w:firstLine="560" w:firstLineChars="200"/>
        <w:rPr>
          <w:rFonts w:ascii="仿宋" w:hAnsi="仿宋" w:eastAsia="仿宋"/>
          <w:sz w:val="28"/>
          <w:szCs w:val="28"/>
        </w:rPr>
      </w:pPr>
      <w:r>
        <w:rPr>
          <w:rFonts w:hint="eastAsia" w:ascii="仿宋" w:hAnsi="仿宋" w:eastAsia="仿宋"/>
          <w:sz w:val="28"/>
          <w:szCs w:val="28"/>
        </w:rPr>
        <w:t>投标担保采用：□投标保函或现金□支票□转账方式</w:t>
      </w:r>
    </w:p>
    <w:p w14:paraId="7315E156">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投标担保的币种：</w:t>
      </w:r>
      <w:r>
        <w:rPr>
          <w:rFonts w:hint="eastAsia" w:ascii="仿宋" w:hAnsi="仿宋" w:eastAsia="仿宋"/>
          <w:sz w:val="28"/>
          <w:szCs w:val="28"/>
          <w:u w:val="single"/>
        </w:rPr>
        <w:t xml:space="preserve">                </w:t>
      </w:r>
    </w:p>
    <w:p w14:paraId="64FBC514">
      <w:pPr>
        <w:spacing w:line="560" w:lineRule="exact"/>
        <w:ind w:firstLine="560" w:firstLineChars="200"/>
        <w:rPr>
          <w:rFonts w:ascii="仿宋" w:hAnsi="仿宋" w:eastAsia="仿宋"/>
          <w:sz w:val="28"/>
          <w:szCs w:val="28"/>
        </w:rPr>
      </w:pPr>
      <w:r>
        <w:rPr>
          <w:rFonts w:hint="eastAsia" w:ascii="仿宋" w:hAnsi="仿宋" w:eastAsia="仿宋"/>
          <w:sz w:val="28"/>
          <w:szCs w:val="28"/>
        </w:rPr>
        <w:t>金额(大写)</w:t>
      </w:r>
      <w:r>
        <w:rPr>
          <w:rFonts w:hint="eastAsia" w:ascii="仿宋" w:hAnsi="仿宋" w:eastAsia="仿宋"/>
          <w:sz w:val="28"/>
          <w:szCs w:val="28"/>
          <w:u w:val="single"/>
        </w:rPr>
        <w:t xml:space="preserve">                                    </w:t>
      </w:r>
    </w:p>
    <w:p w14:paraId="7C04343E">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(小写) </w:t>
      </w:r>
      <w:r>
        <w:rPr>
          <w:rFonts w:hint="eastAsia" w:ascii="仿宋" w:hAnsi="仿宋" w:eastAsia="仿宋"/>
          <w:sz w:val="28"/>
          <w:szCs w:val="28"/>
          <w:u w:val="single"/>
        </w:rPr>
        <w:t xml:space="preserve">                                   </w:t>
      </w:r>
    </w:p>
    <w:p w14:paraId="30B15E92">
      <w:pPr>
        <w:spacing w:line="560" w:lineRule="exact"/>
        <w:ind w:firstLine="560" w:firstLineChars="200"/>
        <w:rPr>
          <w:rFonts w:ascii="仿宋" w:hAnsi="仿宋" w:eastAsia="仿宋"/>
          <w:sz w:val="28"/>
          <w:szCs w:val="28"/>
        </w:rPr>
      </w:pPr>
      <w:r>
        <w:rPr>
          <w:rFonts w:hint="eastAsia" w:ascii="仿宋" w:hAnsi="仿宋" w:eastAsia="仿宋"/>
          <w:sz w:val="28"/>
          <w:szCs w:val="28"/>
        </w:rPr>
        <w:t>7、如果我方中标，我方将实行项目经理负责制，并按投标文件配备项目管理班子。如未经招标人同意更换项目班子成员，招标人有权取消我公司的中标资格或单方面终止合同，由此造成的违约责任由我公司承担。</w:t>
      </w:r>
    </w:p>
    <w:p w14:paraId="682C5EFA">
      <w:pPr>
        <w:spacing w:line="560" w:lineRule="exact"/>
        <w:ind w:firstLine="560" w:firstLineChars="200"/>
        <w:rPr>
          <w:rFonts w:ascii="仿宋" w:hAnsi="仿宋" w:eastAsia="仿宋"/>
          <w:sz w:val="28"/>
          <w:szCs w:val="28"/>
        </w:rPr>
      </w:pPr>
    </w:p>
    <w:p w14:paraId="484C6A22">
      <w:pPr>
        <w:spacing w:line="560" w:lineRule="exact"/>
        <w:ind w:firstLine="560" w:firstLineChars="200"/>
        <w:rPr>
          <w:rFonts w:ascii="仿宋" w:hAnsi="仿宋" w:eastAsia="仿宋"/>
          <w:sz w:val="28"/>
          <w:szCs w:val="28"/>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79BC4237">
      <w:pPr>
        <w:spacing w:line="560" w:lineRule="exact"/>
        <w:ind w:firstLine="560" w:firstLineChars="200"/>
        <w:rPr>
          <w:rFonts w:ascii="仿宋" w:hAnsi="仿宋" w:eastAsia="仿宋"/>
          <w:sz w:val="28"/>
          <w:szCs w:val="28"/>
        </w:rPr>
      </w:pPr>
      <w:r>
        <w:rPr>
          <w:rFonts w:hint="eastAsia" w:ascii="仿宋" w:hAnsi="仿宋" w:eastAsia="仿宋"/>
          <w:sz w:val="28"/>
          <w:szCs w:val="28"/>
        </w:rPr>
        <w:t>单位地址：</w:t>
      </w:r>
      <w:r>
        <w:rPr>
          <w:rFonts w:hint="eastAsia" w:ascii="仿宋" w:hAnsi="仿宋" w:eastAsia="仿宋"/>
          <w:sz w:val="28"/>
          <w:szCs w:val="28"/>
          <w:u w:val="single"/>
        </w:rPr>
        <w:t xml:space="preserve">                                                           </w:t>
      </w:r>
    </w:p>
    <w:p w14:paraId="5E8F478F">
      <w:pPr>
        <w:spacing w:line="560" w:lineRule="exact"/>
        <w:ind w:firstLine="560" w:firstLineChars="200"/>
        <w:rPr>
          <w:rFonts w:ascii="仿宋" w:hAnsi="仿宋" w:eastAsia="仿宋"/>
          <w:sz w:val="28"/>
          <w:szCs w:val="28"/>
        </w:rPr>
      </w:pPr>
      <w:r>
        <w:rPr>
          <w:rFonts w:hint="eastAsia" w:ascii="仿宋" w:hAnsi="仿宋" w:eastAsia="仿宋"/>
          <w:sz w:val="28"/>
          <w:szCs w:val="28"/>
        </w:rPr>
        <w:t>法定代表人或其授权委托人(签字或盖章)：</w:t>
      </w:r>
      <w:r>
        <w:rPr>
          <w:rFonts w:hint="eastAsia" w:ascii="仿宋" w:hAnsi="仿宋" w:eastAsia="仿宋"/>
          <w:sz w:val="28"/>
          <w:szCs w:val="28"/>
          <w:u w:val="single"/>
        </w:rPr>
        <w:t xml:space="preserve">                              </w:t>
      </w:r>
    </w:p>
    <w:p w14:paraId="5F9ABDF0">
      <w:pPr>
        <w:spacing w:line="560" w:lineRule="exact"/>
        <w:ind w:firstLine="560" w:firstLineChars="200"/>
        <w:rPr>
          <w:rFonts w:ascii="仿宋" w:hAnsi="仿宋" w:eastAsia="仿宋"/>
          <w:sz w:val="28"/>
          <w:szCs w:val="28"/>
        </w:rPr>
      </w:pPr>
      <w:r>
        <w:rPr>
          <w:rFonts w:hint="eastAsia" w:ascii="仿宋" w:hAnsi="仿宋" w:eastAsia="仿宋"/>
          <w:sz w:val="28"/>
          <w:szCs w:val="28"/>
        </w:rPr>
        <w:t>邮政编码：</w:t>
      </w:r>
      <w:r>
        <w:rPr>
          <w:rFonts w:hint="eastAsia" w:ascii="仿宋" w:hAnsi="仿宋" w:eastAsia="仿宋"/>
          <w:sz w:val="28"/>
          <w:szCs w:val="28"/>
          <w:u w:val="single"/>
        </w:rPr>
        <w:t xml:space="preserve">                  </w:t>
      </w: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 xml:space="preserve"> 传真：</w:t>
      </w:r>
      <w:r>
        <w:rPr>
          <w:rFonts w:hint="eastAsia" w:ascii="仿宋" w:hAnsi="仿宋" w:eastAsia="仿宋"/>
          <w:sz w:val="28"/>
          <w:szCs w:val="28"/>
          <w:u w:val="single"/>
        </w:rPr>
        <w:t xml:space="preserve">              </w:t>
      </w:r>
    </w:p>
    <w:p w14:paraId="430ED0D2">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开户银行名称：</w:t>
      </w:r>
      <w:r>
        <w:rPr>
          <w:rFonts w:hint="eastAsia" w:ascii="仿宋" w:hAnsi="仿宋" w:eastAsia="仿宋"/>
          <w:sz w:val="28"/>
          <w:szCs w:val="28"/>
          <w:u w:val="single"/>
        </w:rPr>
        <w:t xml:space="preserve">                                                       </w:t>
      </w:r>
    </w:p>
    <w:p w14:paraId="4ED50A37">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开户银行帐号：</w:t>
      </w:r>
      <w:r>
        <w:rPr>
          <w:rFonts w:hint="eastAsia" w:ascii="仿宋" w:hAnsi="仿宋" w:eastAsia="仿宋"/>
          <w:sz w:val="28"/>
          <w:szCs w:val="28"/>
          <w:u w:val="single"/>
        </w:rPr>
        <w:t xml:space="preserve">                                                       </w:t>
      </w:r>
    </w:p>
    <w:p w14:paraId="63E51EFD">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开户银行地址：</w:t>
      </w:r>
      <w:r>
        <w:rPr>
          <w:rFonts w:hint="eastAsia" w:ascii="仿宋" w:hAnsi="仿宋" w:eastAsia="仿宋"/>
          <w:sz w:val="28"/>
          <w:szCs w:val="28"/>
          <w:u w:val="single"/>
        </w:rPr>
        <w:t xml:space="preserve">                                                       </w:t>
      </w:r>
    </w:p>
    <w:p w14:paraId="34D61295">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开户银行电话：</w:t>
      </w:r>
      <w:r>
        <w:rPr>
          <w:rFonts w:hint="eastAsia" w:ascii="仿宋" w:hAnsi="仿宋" w:eastAsia="仿宋"/>
          <w:sz w:val="28"/>
          <w:szCs w:val="28"/>
          <w:u w:val="single"/>
        </w:rPr>
        <w:t xml:space="preserve">                                                       </w:t>
      </w:r>
    </w:p>
    <w:p w14:paraId="0D0F80EE">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p>
    <w:p w14:paraId="4DCE4905">
      <w:pPr>
        <w:spacing w:line="560" w:lineRule="exact"/>
        <w:ind w:firstLine="560" w:firstLineChars="200"/>
        <w:rPr>
          <w:rFonts w:ascii="仿宋" w:hAnsi="仿宋" w:eastAsia="仿宋"/>
          <w:sz w:val="28"/>
          <w:szCs w:val="28"/>
        </w:rPr>
      </w:pPr>
      <w:r>
        <w:rPr>
          <w:rFonts w:ascii="仿宋_GB2312" w:hAnsi="宋体" w:eastAsia="仿宋_GB2312"/>
          <w:sz w:val="28"/>
          <w:szCs w:val="28"/>
          <w:u w:val="single"/>
        </w:rPr>
        <w:br w:type="page"/>
      </w:r>
      <w:r>
        <w:rPr>
          <w:rFonts w:hint="eastAsia" w:ascii="仿宋" w:hAnsi="仿宋" w:eastAsia="仿宋"/>
          <w:sz w:val="28"/>
          <w:szCs w:val="28"/>
        </w:rPr>
        <w:t>投标保函或投标保证金缴纳凭证</w:t>
      </w:r>
    </w:p>
    <w:p w14:paraId="0FF50A63">
      <w:pPr>
        <w:adjustRightInd w:val="0"/>
        <w:snapToGrid w:val="0"/>
        <w:spacing w:line="560" w:lineRule="exact"/>
        <w:jc w:val="center"/>
        <w:rPr>
          <w:rFonts w:ascii="仿宋" w:hAnsi="仿宋" w:eastAsia="仿宋"/>
          <w:sz w:val="28"/>
          <w:szCs w:val="28"/>
          <w:u w:val="single"/>
        </w:rPr>
      </w:pPr>
    </w:p>
    <w:p w14:paraId="7C749CE4">
      <w:pPr>
        <w:adjustRightInd w:val="0"/>
        <w:snapToGrid w:val="0"/>
        <w:spacing w:line="560" w:lineRule="exact"/>
        <w:jc w:val="center"/>
        <w:rPr>
          <w:rFonts w:ascii="仿宋" w:hAnsi="仿宋" w:eastAsia="仿宋"/>
          <w:sz w:val="28"/>
          <w:szCs w:val="28"/>
          <w:u w:val="single"/>
        </w:rPr>
      </w:pPr>
    </w:p>
    <w:p w14:paraId="6A541DA1">
      <w:pPr>
        <w:adjustRightInd w:val="0"/>
        <w:snapToGrid w:val="0"/>
        <w:spacing w:line="560" w:lineRule="exact"/>
        <w:jc w:val="center"/>
        <w:rPr>
          <w:rFonts w:ascii="仿宋" w:hAnsi="仿宋" w:eastAsia="仿宋"/>
          <w:sz w:val="28"/>
          <w:szCs w:val="28"/>
          <w:u w:val="single"/>
        </w:rPr>
      </w:pPr>
    </w:p>
    <w:tbl>
      <w:tblPr>
        <w:tblStyle w:val="38"/>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0"/>
      </w:tblGrid>
      <w:tr w14:paraId="05DF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8160" w:type="dxa"/>
          </w:tcPr>
          <w:p w14:paraId="6D69D39C">
            <w:pPr>
              <w:spacing w:line="560" w:lineRule="exact"/>
              <w:ind w:firstLine="560" w:firstLineChars="200"/>
              <w:jc w:val="center"/>
              <w:rPr>
                <w:rFonts w:ascii="仿宋" w:hAnsi="仿宋" w:eastAsia="仿宋"/>
                <w:sz w:val="28"/>
                <w:szCs w:val="28"/>
              </w:rPr>
            </w:pPr>
            <w:r>
              <w:rPr>
                <w:rFonts w:hint="eastAsia" w:ascii="仿宋" w:hAnsi="仿宋" w:eastAsia="仿宋"/>
                <w:sz w:val="28"/>
                <w:szCs w:val="28"/>
              </w:rPr>
              <w:t>（粘贴转帐或汇款的银行凭证复印件）</w:t>
            </w:r>
          </w:p>
          <w:p w14:paraId="35973FFB">
            <w:pPr>
              <w:adjustRightInd w:val="0"/>
              <w:snapToGrid w:val="0"/>
              <w:spacing w:line="560" w:lineRule="exact"/>
              <w:jc w:val="center"/>
              <w:rPr>
                <w:rFonts w:ascii="仿宋" w:hAnsi="仿宋" w:eastAsia="仿宋"/>
                <w:sz w:val="28"/>
                <w:szCs w:val="28"/>
                <w:u w:val="single"/>
              </w:rPr>
            </w:pPr>
          </w:p>
        </w:tc>
      </w:tr>
    </w:tbl>
    <w:p w14:paraId="11F47869">
      <w:pPr>
        <w:adjustRightInd w:val="0"/>
        <w:snapToGrid w:val="0"/>
        <w:spacing w:line="560" w:lineRule="exact"/>
        <w:jc w:val="center"/>
        <w:rPr>
          <w:rFonts w:ascii="仿宋" w:hAnsi="仿宋" w:eastAsia="仿宋"/>
          <w:b/>
          <w:kern w:val="0"/>
          <w:sz w:val="28"/>
          <w:szCs w:val="28"/>
        </w:rPr>
      </w:pPr>
      <w:r>
        <w:rPr>
          <w:rFonts w:ascii="仿宋_GB2312" w:hAnsi="宋体" w:eastAsia="仿宋_GB2312"/>
          <w:sz w:val="28"/>
          <w:szCs w:val="28"/>
          <w:u w:val="single"/>
        </w:rPr>
        <w:br w:type="page"/>
      </w:r>
      <w:r>
        <w:rPr>
          <w:rFonts w:hint="eastAsia" w:ascii="仿宋" w:hAnsi="仿宋" w:eastAsia="仿宋"/>
          <w:b/>
          <w:kern w:val="0"/>
          <w:sz w:val="28"/>
          <w:szCs w:val="28"/>
        </w:rPr>
        <w:t>廉洁投标承诺书</w:t>
      </w:r>
    </w:p>
    <w:p w14:paraId="1FECCB32">
      <w:pPr>
        <w:pStyle w:val="115"/>
        <w:ind w:firstLine="560"/>
        <w:rPr>
          <w:rFonts w:ascii="仿宋" w:hAnsi="仿宋" w:eastAsia="仿宋"/>
          <w:sz w:val="28"/>
          <w:szCs w:val="28"/>
        </w:rPr>
      </w:pPr>
    </w:p>
    <w:p w14:paraId="32985B8A">
      <w:pPr>
        <w:pStyle w:val="115"/>
        <w:ind w:firstLine="560"/>
        <w:rPr>
          <w:rFonts w:ascii="仿宋" w:hAnsi="仿宋" w:eastAsia="仿宋"/>
          <w:sz w:val="28"/>
          <w:szCs w:val="28"/>
        </w:rPr>
      </w:pPr>
      <w:r>
        <w:rPr>
          <w:rFonts w:hint="eastAsia" w:ascii="仿宋" w:hAnsi="仿宋" w:eastAsia="仿宋"/>
          <w:sz w:val="28"/>
          <w:szCs w:val="28"/>
        </w:rPr>
        <w:t>致（招标人名称）   ：</w:t>
      </w:r>
    </w:p>
    <w:p w14:paraId="24B67BE3">
      <w:pPr>
        <w:pStyle w:val="115"/>
        <w:ind w:firstLine="560"/>
        <w:rPr>
          <w:rFonts w:ascii="仿宋" w:hAnsi="仿宋" w:eastAsia="仿宋"/>
          <w:sz w:val="28"/>
          <w:szCs w:val="28"/>
        </w:rPr>
      </w:pPr>
      <w:r>
        <w:rPr>
          <w:rFonts w:hint="eastAsia" w:ascii="仿宋" w:hAnsi="仿宋" w:eastAsia="仿宋"/>
          <w:sz w:val="28"/>
          <w:szCs w:val="28"/>
        </w:rPr>
        <w:t>为积极配合贵单位进行的</w:t>
      </w:r>
      <w:r>
        <w:rPr>
          <w:rFonts w:hint="eastAsia" w:ascii="仿宋" w:hAnsi="仿宋" w:eastAsia="仿宋"/>
          <w:sz w:val="28"/>
          <w:szCs w:val="28"/>
          <w:u w:val="single"/>
        </w:rPr>
        <w:t xml:space="preserve">                   </w:t>
      </w:r>
      <w:r>
        <w:rPr>
          <w:rFonts w:hint="eastAsia" w:ascii="仿宋" w:hAnsi="仿宋" w:eastAsia="仿宋"/>
          <w:sz w:val="28"/>
          <w:szCs w:val="28"/>
        </w:rPr>
        <w:t>招标/采购工作，有效遏制不公平竞争和违规违纪问题的发生，确保招标/采购工作的公平、公正、公开，根据《中华人民共和国招标投标法》等有关法律、法规，以及政府及相关主管部门的有关条例、规定、办法等，本单位特此承诺：</w:t>
      </w:r>
    </w:p>
    <w:p w14:paraId="69F39E7B">
      <w:pPr>
        <w:pStyle w:val="115"/>
        <w:ind w:firstLine="560"/>
        <w:rPr>
          <w:rFonts w:ascii="仿宋" w:hAnsi="仿宋" w:eastAsia="仿宋"/>
          <w:sz w:val="28"/>
          <w:szCs w:val="28"/>
        </w:rPr>
      </w:pPr>
      <w:r>
        <w:rPr>
          <w:rFonts w:hint="eastAsia" w:ascii="仿宋" w:hAnsi="仿宋" w:eastAsia="仿宋"/>
          <w:sz w:val="28"/>
          <w:szCs w:val="28"/>
        </w:rPr>
        <w:t>一、自觉遵守招标投标相关法律法规。</w:t>
      </w:r>
    </w:p>
    <w:p w14:paraId="52549763">
      <w:pPr>
        <w:pStyle w:val="115"/>
        <w:ind w:firstLine="560"/>
        <w:rPr>
          <w:rFonts w:ascii="仿宋" w:hAnsi="仿宋" w:eastAsia="仿宋"/>
          <w:sz w:val="28"/>
          <w:szCs w:val="28"/>
        </w:rPr>
      </w:pPr>
      <w:r>
        <w:rPr>
          <w:rFonts w:hint="eastAsia" w:ascii="仿宋" w:hAnsi="仿宋" w:eastAsia="仿宋"/>
          <w:sz w:val="28"/>
          <w:szCs w:val="28"/>
        </w:rPr>
        <w:t>二、主动遵照执行深圳第一亚太物业管理有限公司的招投标及采购规定，积极配合深圳第一亚太物业管理有限公司在招标及采购领域中的廉洁风险防控。</w:t>
      </w:r>
    </w:p>
    <w:p w14:paraId="42A1338E">
      <w:pPr>
        <w:pStyle w:val="115"/>
        <w:ind w:firstLine="560"/>
        <w:rPr>
          <w:rFonts w:ascii="仿宋" w:hAnsi="仿宋" w:eastAsia="仿宋"/>
          <w:sz w:val="28"/>
          <w:szCs w:val="28"/>
        </w:rPr>
      </w:pPr>
      <w:r>
        <w:rPr>
          <w:rFonts w:hint="eastAsia" w:ascii="仿宋" w:hAnsi="仿宋" w:eastAsia="仿宋"/>
          <w:sz w:val="28"/>
          <w:szCs w:val="28"/>
        </w:rPr>
        <w:t>三、不采用不正当竞争手段妨碍、排挤其它投标单位或串通投标。</w:t>
      </w:r>
    </w:p>
    <w:p w14:paraId="239D2AA3">
      <w:pPr>
        <w:pStyle w:val="115"/>
        <w:ind w:firstLine="560"/>
        <w:rPr>
          <w:rFonts w:ascii="仿宋" w:hAnsi="仿宋" w:eastAsia="仿宋"/>
          <w:sz w:val="28"/>
          <w:szCs w:val="28"/>
        </w:rPr>
      </w:pPr>
      <w:r>
        <w:rPr>
          <w:rFonts w:hint="eastAsia" w:ascii="仿宋" w:hAnsi="仿宋" w:eastAsia="仿宋"/>
          <w:sz w:val="28"/>
          <w:szCs w:val="28"/>
        </w:rPr>
        <w:t>四、按照招标文件规定的方式进行投标，不隐瞒本单位投标资质的真实情况。</w:t>
      </w:r>
    </w:p>
    <w:p w14:paraId="1FC33EFB">
      <w:pPr>
        <w:pStyle w:val="115"/>
        <w:ind w:firstLine="560"/>
        <w:rPr>
          <w:rFonts w:ascii="仿宋" w:hAnsi="仿宋" w:eastAsia="仿宋"/>
          <w:sz w:val="28"/>
          <w:szCs w:val="28"/>
        </w:rPr>
      </w:pPr>
      <w:r>
        <w:rPr>
          <w:rFonts w:hint="eastAsia" w:ascii="仿宋" w:hAnsi="仿宋" w:eastAsia="仿宋"/>
          <w:sz w:val="28"/>
          <w:szCs w:val="28"/>
        </w:rPr>
        <w:t>五、在投标活动中不行贿，不给予或暗示给予招标工作人员任何不正当利益，不进行可能影响招投标公平、公正的任何活动。</w:t>
      </w:r>
    </w:p>
    <w:p w14:paraId="0367F641">
      <w:pPr>
        <w:pStyle w:val="115"/>
        <w:ind w:firstLine="560"/>
        <w:rPr>
          <w:rFonts w:ascii="仿宋" w:hAnsi="仿宋" w:eastAsia="仿宋"/>
          <w:sz w:val="28"/>
          <w:szCs w:val="28"/>
        </w:rPr>
      </w:pPr>
      <w:r>
        <w:rPr>
          <w:rFonts w:hint="eastAsia" w:ascii="仿宋" w:hAnsi="仿宋" w:eastAsia="仿宋"/>
          <w:sz w:val="28"/>
          <w:szCs w:val="28"/>
        </w:rPr>
        <w:t>六、在投标活动中自觉抵制来自招标工作人员的索贿行为。</w:t>
      </w:r>
    </w:p>
    <w:p w14:paraId="644251BB">
      <w:pPr>
        <w:pStyle w:val="115"/>
        <w:ind w:firstLine="560"/>
        <w:rPr>
          <w:rFonts w:ascii="仿宋" w:hAnsi="仿宋" w:eastAsia="仿宋"/>
          <w:sz w:val="28"/>
          <w:szCs w:val="28"/>
        </w:rPr>
      </w:pPr>
      <w:r>
        <w:rPr>
          <w:rFonts w:hint="eastAsia" w:ascii="仿宋" w:hAnsi="仿宋" w:eastAsia="仿宋"/>
          <w:sz w:val="28"/>
          <w:szCs w:val="28"/>
        </w:rPr>
        <w:t>七、本单位若有违反承诺内容的行为，自愿接受相应处罚。</w:t>
      </w:r>
    </w:p>
    <w:p w14:paraId="1A353A8B">
      <w:pPr>
        <w:pStyle w:val="115"/>
        <w:ind w:firstLine="560"/>
        <w:rPr>
          <w:rFonts w:ascii="仿宋" w:hAnsi="仿宋" w:eastAsia="仿宋"/>
          <w:sz w:val="28"/>
          <w:szCs w:val="28"/>
        </w:rPr>
      </w:pPr>
    </w:p>
    <w:p w14:paraId="01A2085F">
      <w:pPr>
        <w:pStyle w:val="115"/>
        <w:ind w:firstLine="560"/>
        <w:rPr>
          <w:rFonts w:ascii="仿宋" w:hAnsi="仿宋" w:eastAsia="仿宋"/>
          <w:sz w:val="28"/>
          <w:szCs w:val="28"/>
        </w:rPr>
      </w:pPr>
      <w:r>
        <w:rPr>
          <w:rFonts w:hint="eastAsia" w:ascii="仿宋" w:hAnsi="仿宋" w:eastAsia="仿宋"/>
          <w:sz w:val="28"/>
          <w:szCs w:val="28"/>
        </w:rPr>
        <w:t xml:space="preserve">投标单位：       （盖章）       </w:t>
      </w:r>
    </w:p>
    <w:p w14:paraId="43D74EC4">
      <w:pPr>
        <w:pStyle w:val="115"/>
        <w:ind w:firstLine="560"/>
        <w:rPr>
          <w:rFonts w:ascii="仿宋" w:hAnsi="仿宋" w:eastAsia="仿宋"/>
          <w:sz w:val="28"/>
          <w:szCs w:val="28"/>
        </w:rPr>
      </w:pPr>
      <w:r>
        <w:rPr>
          <w:rFonts w:hint="eastAsia" w:ascii="仿宋" w:hAnsi="仿宋" w:eastAsia="仿宋"/>
          <w:sz w:val="28"/>
          <w:szCs w:val="28"/>
        </w:rPr>
        <w:t xml:space="preserve">法定代表人：     （签字）        </w:t>
      </w:r>
    </w:p>
    <w:p w14:paraId="6991FAE5">
      <w:pPr>
        <w:pStyle w:val="115"/>
        <w:ind w:firstLine="560"/>
        <w:rPr>
          <w:rFonts w:ascii="仿宋" w:hAnsi="仿宋" w:eastAsia="仿宋"/>
          <w:b/>
          <w:sz w:val="28"/>
          <w:szCs w:val="28"/>
        </w:rPr>
      </w:pPr>
      <w:r>
        <w:rPr>
          <w:rFonts w:hint="eastAsia" w:ascii="仿宋" w:hAnsi="仿宋" w:eastAsia="仿宋"/>
          <w:sz w:val="28"/>
          <w:szCs w:val="28"/>
        </w:rPr>
        <w:t>授权委托人：     （签字）</w:t>
      </w:r>
    </w:p>
    <w:p w14:paraId="17B32580">
      <w:bookmarkStart w:id="34" w:name="_Toc13559"/>
    </w:p>
    <w:p w14:paraId="7A379239">
      <w:pPr>
        <w:pStyle w:val="115"/>
      </w:pPr>
      <w:r>
        <w:rPr>
          <w:rFonts w:hint="eastAsia"/>
        </w:rPr>
        <w:t>三、投标文件格式--资信标部分</w:t>
      </w:r>
      <w:bookmarkEnd w:id="34"/>
    </w:p>
    <w:p w14:paraId="373C04E2">
      <w:pPr>
        <w:pStyle w:val="21"/>
        <w:jc w:val="center"/>
        <w:rPr>
          <w:rFonts w:ascii="黑体" w:hAnsi="黑体" w:eastAsia="黑体"/>
          <w:bCs/>
          <w:sz w:val="72"/>
          <w:szCs w:val="72"/>
        </w:rPr>
      </w:pPr>
      <w:r>
        <w:rPr>
          <w:rFonts w:hint="eastAsia" w:ascii="黑体" w:hAnsi="黑体" w:eastAsia="黑体"/>
          <w:bCs/>
          <w:sz w:val="72"/>
          <w:szCs w:val="72"/>
        </w:rPr>
        <w:t>非依法必须招标项目服务类</w:t>
      </w:r>
    </w:p>
    <w:p w14:paraId="7AA7DD5D">
      <w:pPr>
        <w:pStyle w:val="21"/>
        <w:jc w:val="center"/>
        <w:rPr>
          <w:rFonts w:ascii="黑体" w:hAnsi="黑体" w:eastAsia="黑体"/>
          <w:bCs/>
          <w:sz w:val="84"/>
          <w:szCs w:val="84"/>
        </w:rPr>
      </w:pPr>
    </w:p>
    <w:p w14:paraId="2279FAB3">
      <w:pPr>
        <w:pStyle w:val="21"/>
        <w:jc w:val="center"/>
        <w:rPr>
          <w:rFonts w:ascii="黑体" w:hAnsi="黑体" w:eastAsia="黑体"/>
          <w:bCs/>
          <w:sz w:val="84"/>
          <w:szCs w:val="84"/>
        </w:rPr>
      </w:pPr>
      <w:r>
        <w:rPr>
          <w:rFonts w:hint="eastAsia" w:ascii="黑体" w:hAnsi="黑体" w:eastAsia="黑体"/>
          <w:bCs/>
          <w:sz w:val="84"/>
          <w:szCs w:val="84"/>
        </w:rPr>
        <w:t>投 标 文 件</w:t>
      </w:r>
    </w:p>
    <w:p w14:paraId="02DD6C2A">
      <w:pPr>
        <w:ind w:left="988"/>
        <w:jc w:val="center"/>
        <w:rPr>
          <w:rFonts w:ascii="宋体" w:hAnsi="宋体"/>
          <w:kern w:val="0"/>
          <w:sz w:val="32"/>
          <w:szCs w:val="21"/>
          <w:u w:val="single"/>
        </w:rPr>
      </w:pPr>
    </w:p>
    <w:p w14:paraId="6ABAD207">
      <w:pPr>
        <w:ind w:left="988"/>
        <w:jc w:val="center"/>
        <w:rPr>
          <w:rFonts w:ascii="宋体" w:hAnsi="宋体"/>
          <w:kern w:val="0"/>
          <w:sz w:val="32"/>
          <w:szCs w:val="21"/>
          <w:u w:val="single"/>
        </w:rPr>
      </w:pPr>
    </w:p>
    <w:p w14:paraId="591CC49A">
      <w:pPr>
        <w:ind w:left="988"/>
        <w:jc w:val="center"/>
        <w:rPr>
          <w:rFonts w:ascii="宋体" w:hAnsi="宋体"/>
          <w:kern w:val="0"/>
          <w:sz w:val="32"/>
          <w:szCs w:val="21"/>
          <w:u w:val="single"/>
        </w:rPr>
      </w:pPr>
    </w:p>
    <w:p w14:paraId="0258B2A2">
      <w:pPr>
        <w:ind w:left="988"/>
        <w:jc w:val="center"/>
        <w:rPr>
          <w:rFonts w:ascii="宋体" w:hAnsi="宋体"/>
          <w:kern w:val="0"/>
          <w:sz w:val="32"/>
          <w:szCs w:val="21"/>
          <w:u w:val="single"/>
        </w:rPr>
      </w:pPr>
    </w:p>
    <w:p w14:paraId="65C0E833">
      <w:pPr>
        <w:rPr>
          <w:rFonts w:ascii="宋体" w:hAnsi="宋体"/>
          <w:b/>
          <w:bCs/>
          <w:kern w:val="0"/>
          <w:sz w:val="32"/>
          <w:szCs w:val="21"/>
        </w:rPr>
      </w:pPr>
    </w:p>
    <w:p w14:paraId="0CC39185">
      <w:pPr>
        <w:rPr>
          <w:rFonts w:ascii="宋体" w:hAnsi="宋体"/>
          <w:b/>
          <w:bCs/>
          <w:kern w:val="0"/>
          <w:sz w:val="32"/>
          <w:szCs w:val="21"/>
        </w:rPr>
      </w:pPr>
    </w:p>
    <w:p w14:paraId="12C1DBEC">
      <w:pPr>
        <w:rPr>
          <w:rFonts w:ascii="宋体" w:hAnsi="宋体"/>
          <w:b/>
          <w:bCs/>
          <w:kern w:val="0"/>
          <w:sz w:val="32"/>
          <w:szCs w:val="21"/>
        </w:rPr>
      </w:pPr>
    </w:p>
    <w:p w14:paraId="7943F2D4">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01B303AC">
      <w:pPr>
        <w:spacing w:line="480" w:lineRule="auto"/>
        <w:ind w:firstLine="840" w:firstLineChars="300"/>
        <w:rPr>
          <w:rFonts w:ascii="微软雅黑" w:hAnsi="宋体" w:eastAsia="微软雅黑"/>
          <w:bCs/>
          <w:kern w:val="0"/>
          <w:sz w:val="28"/>
          <w:szCs w:val="28"/>
        </w:rPr>
      </w:pPr>
      <w:r>
        <w:rPr>
          <w:rFonts w:hint="eastAsia" w:ascii="微软雅黑" w:hAnsi="宋体" w:eastAsia="微软雅黑"/>
          <w:bCs/>
          <w:kern w:val="0"/>
          <w:sz w:val="28"/>
          <w:szCs w:val="21"/>
        </w:rPr>
        <w:t xml:space="preserve">投标文件内容： </w:t>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t xml:space="preserve">       资信标部分              </w:t>
      </w:r>
    </w:p>
    <w:p w14:paraId="690330E2">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投标单位（盖章）：</w:t>
      </w:r>
      <w:r>
        <w:rPr>
          <w:rFonts w:hint="eastAsia" w:ascii="微软雅黑" w:hAnsi="宋体" w:eastAsia="微软雅黑"/>
          <w:bCs/>
          <w:kern w:val="0"/>
          <w:sz w:val="28"/>
          <w:szCs w:val="21"/>
          <w:u w:val="single"/>
        </w:rPr>
        <w:t xml:space="preserve">                                   </w:t>
      </w:r>
    </w:p>
    <w:p w14:paraId="3D183C02">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3CEFBE22">
      <w:pPr>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p>
    <w:p w14:paraId="44755A4A">
      <w:pPr>
        <w:spacing w:line="480" w:lineRule="auto"/>
        <w:ind w:firstLine="843" w:firstLineChars="300"/>
        <w:rPr>
          <w:rFonts w:ascii="宋体" w:hAnsi="宋体"/>
          <w:b/>
          <w:bCs/>
          <w:kern w:val="0"/>
          <w:sz w:val="28"/>
          <w:szCs w:val="21"/>
        </w:rPr>
      </w:pPr>
    </w:p>
    <w:p w14:paraId="2281AE3D">
      <w:pPr>
        <w:spacing w:line="480" w:lineRule="auto"/>
        <w:ind w:firstLine="843" w:firstLineChars="300"/>
        <w:rPr>
          <w:rFonts w:ascii="宋体" w:hAnsi="宋体"/>
          <w:b/>
          <w:bCs/>
          <w:kern w:val="0"/>
          <w:sz w:val="28"/>
          <w:szCs w:val="21"/>
        </w:rPr>
      </w:pPr>
    </w:p>
    <w:p w14:paraId="3874770C">
      <w:pPr>
        <w:spacing w:line="480" w:lineRule="auto"/>
        <w:ind w:firstLine="843" w:firstLineChars="300"/>
        <w:rPr>
          <w:rFonts w:ascii="宋体" w:hAnsi="宋体"/>
          <w:b/>
          <w:bCs/>
          <w:kern w:val="0"/>
          <w:sz w:val="28"/>
          <w:szCs w:val="21"/>
        </w:rPr>
      </w:pPr>
    </w:p>
    <w:p w14:paraId="74B5CEBF">
      <w:pPr>
        <w:adjustRightInd w:val="0"/>
        <w:snapToGrid w:val="0"/>
        <w:spacing w:line="360" w:lineRule="auto"/>
        <w:jc w:val="center"/>
        <w:rPr>
          <w:rFonts w:ascii="仿宋" w:hAnsi="仿宋" w:eastAsia="仿宋"/>
          <w:b/>
          <w:kern w:val="0"/>
          <w:sz w:val="44"/>
          <w:szCs w:val="44"/>
        </w:rPr>
      </w:pPr>
      <w:r>
        <w:rPr>
          <w:rFonts w:hint="eastAsia" w:ascii="仿宋" w:hAnsi="仿宋" w:eastAsia="仿宋"/>
          <w:b/>
          <w:kern w:val="0"/>
          <w:sz w:val="44"/>
          <w:szCs w:val="44"/>
        </w:rPr>
        <w:t>资信标投标文件目录</w:t>
      </w:r>
    </w:p>
    <w:p w14:paraId="70127722">
      <w:pPr>
        <w:pStyle w:val="115"/>
        <w:ind w:firstLine="560"/>
        <w:rPr>
          <w:rFonts w:ascii="仿宋" w:hAnsi="仿宋" w:eastAsia="仿宋"/>
          <w:sz w:val="28"/>
          <w:szCs w:val="28"/>
        </w:rPr>
      </w:pPr>
      <w:r>
        <w:rPr>
          <w:rFonts w:hint="eastAsia" w:ascii="仿宋" w:hAnsi="仿宋" w:eastAsia="仿宋"/>
          <w:sz w:val="28"/>
          <w:szCs w:val="28"/>
        </w:rPr>
        <w:t>1、投标人资质情况；</w:t>
      </w:r>
    </w:p>
    <w:p w14:paraId="3ED73B13">
      <w:pPr>
        <w:pStyle w:val="115"/>
        <w:ind w:firstLine="560"/>
        <w:rPr>
          <w:rFonts w:ascii="仿宋" w:hAnsi="仿宋" w:eastAsia="仿宋"/>
          <w:sz w:val="28"/>
          <w:szCs w:val="28"/>
        </w:rPr>
      </w:pPr>
      <w:r>
        <w:rPr>
          <w:rFonts w:hint="eastAsia" w:ascii="仿宋" w:hAnsi="仿宋" w:eastAsia="仿宋"/>
          <w:sz w:val="28"/>
          <w:szCs w:val="28"/>
        </w:rPr>
        <w:t>2、投标人注册资金、办公场地、员工数量、机械设备等规模情况；</w:t>
      </w:r>
    </w:p>
    <w:p w14:paraId="13FAD05D">
      <w:pPr>
        <w:pStyle w:val="115"/>
        <w:ind w:firstLine="560"/>
        <w:rPr>
          <w:rFonts w:ascii="仿宋" w:hAnsi="仿宋" w:eastAsia="仿宋"/>
          <w:sz w:val="28"/>
          <w:szCs w:val="28"/>
        </w:rPr>
      </w:pPr>
      <w:r>
        <w:rPr>
          <w:rFonts w:hint="eastAsia" w:ascii="仿宋" w:hAnsi="仿宋" w:eastAsia="仿宋"/>
          <w:sz w:val="28"/>
          <w:szCs w:val="28"/>
        </w:rPr>
        <w:t>3、投标人营业收入等财务状况；</w:t>
      </w:r>
    </w:p>
    <w:p w14:paraId="41C8CD68">
      <w:pPr>
        <w:pStyle w:val="115"/>
        <w:ind w:firstLine="560"/>
        <w:rPr>
          <w:rFonts w:ascii="仿宋" w:hAnsi="仿宋" w:eastAsia="仿宋"/>
          <w:sz w:val="28"/>
          <w:szCs w:val="28"/>
        </w:rPr>
      </w:pPr>
      <w:r>
        <w:rPr>
          <w:rFonts w:hint="eastAsia" w:ascii="仿宋" w:hAnsi="仿宋" w:eastAsia="仿宋"/>
          <w:sz w:val="28"/>
          <w:szCs w:val="28"/>
        </w:rPr>
        <w:t>4、投标人纳税情况；</w:t>
      </w:r>
    </w:p>
    <w:p w14:paraId="4B581ED8">
      <w:pPr>
        <w:pStyle w:val="115"/>
        <w:ind w:firstLine="560"/>
        <w:rPr>
          <w:rFonts w:ascii="仿宋" w:hAnsi="仿宋" w:eastAsia="仿宋"/>
          <w:sz w:val="28"/>
          <w:szCs w:val="28"/>
        </w:rPr>
      </w:pPr>
      <w:r>
        <w:rPr>
          <w:rFonts w:hint="eastAsia" w:ascii="仿宋" w:hAnsi="仿宋" w:eastAsia="仿宋"/>
          <w:sz w:val="28"/>
          <w:szCs w:val="28"/>
        </w:rPr>
        <w:t>5、投标人业绩情况；</w:t>
      </w:r>
    </w:p>
    <w:p w14:paraId="0EC66EB4">
      <w:pPr>
        <w:pStyle w:val="115"/>
        <w:ind w:firstLine="560"/>
        <w:rPr>
          <w:rFonts w:ascii="仿宋" w:hAnsi="仿宋" w:eastAsia="仿宋"/>
          <w:sz w:val="28"/>
          <w:szCs w:val="28"/>
        </w:rPr>
      </w:pPr>
      <w:r>
        <w:rPr>
          <w:rFonts w:hint="eastAsia" w:ascii="仿宋" w:hAnsi="仿宋" w:eastAsia="仿宋"/>
          <w:sz w:val="28"/>
          <w:szCs w:val="28"/>
        </w:rPr>
        <w:t>6、投标人获奖情况；</w:t>
      </w:r>
    </w:p>
    <w:p w14:paraId="1D089297">
      <w:pPr>
        <w:pStyle w:val="115"/>
        <w:ind w:firstLine="560"/>
        <w:rPr>
          <w:rFonts w:ascii="仿宋" w:hAnsi="仿宋" w:eastAsia="仿宋"/>
          <w:sz w:val="28"/>
          <w:szCs w:val="28"/>
        </w:rPr>
      </w:pPr>
      <w:r>
        <w:rPr>
          <w:rFonts w:hint="eastAsia" w:ascii="仿宋" w:hAnsi="仿宋" w:eastAsia="仿宋"/>
          <w:sz w:val="28"/>
          <w:szCs w:val="28"/>
        </w:rPr>
        <w:t>7、招标人要求提供的与投标人资信评审有关的其他材料：</w:t>
      </w:r>
    </w:p>
    <w:p w14:paraId="71E674BE">
      <w:pPr>
        <w:pStyle w:val="115"/>
        <w:ind w:firstLine="560"/>
        <w:rPr>
          <w:rFonts w:ascii="仿宋" w:hAnsi="仿宋" w:eastAsia="仿宋"/>
          <w:sz w:val="28"/>
          <w:szCs w:val="28"/>
        </w:rPr>
      </w:pPr>
      <w:r>
        <w:rPr>
          <w:rFonts w:hint="eastAsia" w:ascii="仿宋" w:hAnsi="仿宋" w:eastAsia="仿宋"/>
          <w:sz w:val="28"/>
          <w:szCs w:val="28"/>
        </w:rPr>
        <w:t xml:space="preserve">                                                      </w:t>
      </w:r>
    </w:p>
    <w:p w14:paraId="234F1266">
      <w:pPr>
        <w:pStyle w:val="115"/>
        <w:ind w:firstLine="560"/>
        <w:rPr>
          <w:rFonts w:ascii="仿宋" w:hAnsi="仿宋" w:eastAsia="仿宋"/>
          <w:kern w:val="0"/>
          <w:sz w:val="28"/>
          <w:szCs w:val="28"/>
        </w:rPr>
      </w:pPr>
      <w:r>
        <w:rPr>
          <w:rFonts w:hint="eastAsia" w:ascii="仿宋" w:hAnsi="仿宋" w:eastAsia="仿宋"/>
          <w:sz w:val="28"/>
          <w:szCs w:val="28"/>
        </w:rPr>
        <w:t>（无格式要求，投标人自拟）</w:t>
      </w:r>
    </w:p>
    <w:p w14:paraId="2B53E132">
      <w:pPr>
        <w:pStyle w:val="115"/>
      </w:pPr>
      <w:r>
        <w:rPr>
          <w:rFonts w:ascii="仿宋_GB2312" w:hAnsi="宋体" w:eastAsia="仿宋_GB2312"/>
        </w:rPr>
        <w:br w:type="page"/>
      </w:r>
      <w:bookmarkStart w:id="35" w:name="_Toc3454"/>
      <w:r>
        <w:rPr>
          <w:rFonts w:hint="eastAsia"/>
        </w:rPr>
        <w:t>四、投标文件格式--技术标部分</w:t>
      </w:r>
      <w:bookmarkEnd w:id="35"/>
    </w:p>
    <w:p w14:paraId="0541E746">
      <w:pPr>
        <w:pStyle w:val="21"/>
        <w:jc w:val="center"/>
        <w:rPr>
          <w:rFonts w:ascii="黑体" w:hAnsi="黑体" w:eastAsia="黑体"/>
          <w:bCs/>
          <w:sz w:val="72"/>
          <w:szCs w:val="72"/>
        </w:rPr>
      </w:pPr>
      <w:r>
        <w:rPr>
          <w:rFonts w:hint="eastAsia" w:ascii="黑体" w:hAnsi="黑体" w:eastAsia="黑体"/>
          <w:bCs/>
          <w:sz w:val="72"/>
          <w:szCs w:val="72"/>
        </w:rPr>
        <w:t>非依法必须招标项目服务类</w:t>
      </w:r>
    </w:p>
    <w:p w14:paraId="5BD8E53B">
      <w:pPr>
        <w:pStyle w:val="21"/>
        <w:jc w:val="center"/>
        <w:rPr>
          <w:rFonts w:ascii="黑体" w:hAnsi="黑体" w:eastAsia="黑体"/>
          <w:bCs/>
          <w:sz w:val="84"/>
          <w:szCs w:val="84"/>
        </w:rPr>
      </w:pPr>
    </w:p>
    <w:p w14:paraId="189DD3A7">
      <w:pPr>
        <w:pStyle w:val="21"/>
        <w:jc w:val="center"/>
        <w:rPr>
          <w:rFonts w:ascii="黑体" w:hAnsi="黑体" w:eastAsia="黑体"/>
          <w:bCs/>
          <w:sz w:val="84"/>
          <w:szCs w:val="84"/>
        </w:rPr>
      </w:pPr>
      <w:r>
        <w:rPr>
          <w:rFonts w:hint="eastAsia" w:ascii="黑体" w:hAnsi="黑体" w:eastAsia="黑体"/>
          <w:bCs/>
          <w:sz w:val="84"/>
          <w:szCs w:val="84"/>
        </w:rPr>
        <w:t>投 标 文 件</w:t>
      </w:r>
    </w:p>
    <w:p w14:paraId="7EEEF2E5">
      <w:pPr>
        <w:ind w:left="988"/>
        <w:jc w:val="center"/>
        <w:rPr>
          <w:rFonts w:ascii="宋体" w:hAnsi="宋体"/>
          <w:kern w:val="0"/>
          <w:sz w:val="32"/>
          <w:szCs w:val="21"/>
          <w:u w:val="single"/>
        </w:rPr>
      </w:pPr>
    </w:p>
    <w:p w14:paraId="48F52E38">
      <w:pPr>
        <w:ind w:left="988"/>
        <w:jc w:val="center"/>
        <w:rPr>
          <w:rFonts w:ascii="宋体" w:hAnsi="宋体"/>
          <w:kern w:val="0"/>
          <w:sz w:val="32"/>
          <w:szCs w:val="21"/>
          <w:u w:val="single"/>
        </w:rPr>
      </w:pPr>
    </w:p>
    <w:p w14:paraId="330A8422">
      <w:pPr>
        <w:ind w:left="988"/>
        <w:jc w:val="center"/>
        <w:rPr>
          <w:rFonts w:ascii="宋体" w:hAnsi="宋体"/>
          <w:kern w:val="0"/>
          <w:sz w:val="32"/>
          <w:szCs w:val="21"/>
          <w:u w:val="single"/>
        </w:rPr>
      </w:pPr>
    </w:p>
    <w:p w14:paraId="239335EB">
      <w:pPr>
        <w:ind w:left="988"/>
        <w:jc w:val="center"/>
        <w:rPr>
          <w:rFonts w:ascii="宋体" w:hAnsi="宋体"/>
          <w:kern w:val="0"/>
          <w:sz w:val="32"/>
          <w:szCs w:val="21"/>
          <w:u w:val="single"/>
        </w:rPr>
      </w:pPr>
    </w:p>
    <w:p w14:paraId="6B1478BF">
      <w:pPr>
        <w:rPr>
          <w:rFonts w:ascii="宋体" w:hAnsi="宋体"/>
          <w:b/>
          <w:bCs/>
          <w:kern w:val="0"/>
          <w:sz w:val="32"/>
          <w:szCs w:val="21"/>
        </w:rPr>
      </w:pPr>
    </w:p>
    <w:p w14:paraId="3FF97E1C">
      <w:pPr>
        <w:rPr>
          <w:rFonts w:ascii="宋体" w:hAnsi="宋体"/>
          <w:b/>
          <w:bCs/>
          <w:kern w:val="0"/>
          <w:sz w:val="32"/>
          <w:szCs w:val="21"/>
        </w:rPr>
      </w:pPr>
    </w:p>
    <w:p w14:paraId="64AD3B39">
      <w:pPr>
        <w:rPr>
          <w:rFonts w:ascii="宋体" w:hAnsi="宋体"/>
          <w:b/>
          <w:bCs/>
          <w:kern w:val="0"/>
          <w:sz w:val="32"/>
          <w:szCs w:val="21"/>
        </w:rPr>
      </w:pPr>
    </w:p>
    <w:p w14:paraId="55935847">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24C4E811">
      <w:pPr>
        <w:spacing w:line="480" w:lineRule="auto"/>
        <w:ind w:firstLine="840" w:firstLineChars="300"/>
        <w:rPr>
          <w:rFonts w:ascii="微软雅黑" w:hAnsi="宋体" w:eastAsia="微软雅黑"/>
          <w:bCs/>
          <w:kern w:val="0"/>
          <w:sz w:val="28"/>
          <w:szCs w:val="28"/>
        </w:rPr>
      </w:pPr>
      <w:r>
        <w:rPr>
          <w:rFonts w:hint="eastAsia" w:ascii="微软雅黑" w:hAnsi="宋体" w:eastAsia="微软雅黑"/>
          <w:bCs/>
          <w:kern w:val="0"/>
          <w:sz w:val="28"/>
          <w:szCs w:val="21"/>
        </w:rPr>
        <w:t xml:space="preserve">投标文件内容： </w:t>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t xml:space="preserve">      技术标部分              </w:t>
      </w:r>
    </w:p>
    <w:p w14:paraId="4855FA3E">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投标单位（盖章）：</w:t>
      </w:r>
      <w:r>
        <w:rPr>
          <w:rFonts w:hint="eastAsia" w:ascii="微软雅黑" w:hAnsi="宋体" w:eastAsia="微软雅黑"/>
          <w:bCs/>
          <w:kern w:val="0"/>
          <w:sz w:val="28"/>
          <w:szCs w:val="21"/>
          <w:u w:val="single"/>
        </w:rPr>
        <w:t xml:space="preserve">                                   </w:t>
      </w:r>
    </w:p>
    <w:p w14:paraId="59FC2C01">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721266EB">
      <w:pPr>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p>
    <w:p w14:paraId="3C80010C">
      <w:pPr>
        <w:pStyle w:val="19"/>
        <w:spacing w:line="276" w:lineRule="auto"/>
        <w:contextualSpacing/>
        <w:rPr>
          <w:rFonts w:ascii="宋体" w:hAnsi="宋体"/>
          <w:b/>
        </w:rPr>
        <w:sectPr>
          <w:footerReference r:id="rId4" w:type="default"/>
          <w:pgSz w:w="12240" w:h="15840"/>
          <w:pgMar w:top="1440" w:right="1797" w:bottom="1440" w:left="1797" w:header="720" w:footer="720" w:gutter="0"/>
          <w:cols w:space="720" w:num="1"/>
        </w:sectPr>
      </w:pPr>
    </w:p>
    <w:p w14:paraId="2C9DBE2C">
      <w:pPr>
        <w:pStyle w:val="21"/>
        <w:spacing w:line="360" w:lineRule="auto"/>
        <w:ind w:firstLine="660"/>
        <w:jc w:val="center"/>
        <w:rPr>
          <w:rFonts w:ascii="仿宋" w:hAnsi="仿宋" w:eastAsia="仿宋"/>
          <w:b/>
          <w:bCs/>
          <w:sz w:val="28"/>
        </w:rPr>
      </w:pPr>
      <w:r>
        <w:rPr>
          <w:rFonts w:hint="eastAsia" w:ascii="仿宋" w:hAnsi="仿宋" w:eastAsia="仿宋"/>
          <w:b/>
          <w:sz w:val="44"/>
        </w:rPr>
        <w:t>技术标部分目录</w:t>
      </w:r>
    </w:p>
    <w:p w14:paraId="564E505C">
      <w:pPr>
        <w:pStyle w:val="21"/>
        <w:spacing w:line="480" w:lineRule="auto"/>
        <w:rPr>
          <w:rFonts w:ascii="仿宋" w:hAnsi="仿宋" w:eastAsia="仿宋"/>
          <w:sz w:val="28"/>
          <w:szCs w:val="28"/>
        </w:rPr>
      </w:pPr>
      <w:r>
        <w:rPr>
          <w:rFonts w:hint="eastAsia" w:ascii="仿宋" w:hAnsi="仿宋" w:eastAsia="仿宋"/>
          <w:sz w:val="28"/>
          <w:szCs w:val="28"/>
        </w:rPr>
        <w:t>1、项目服务方案</w:t>
      </w:r>
    </w:p>
    <w:p w14:paraId="7229A626">
      <w:pPr>
        <w:pStyle w:val="21"/>
        <w:spacing w:line="480" w:lineRule="auto"/>
        <w:rPr>
          <w:rFonts w:ascii="仿宋" w:hAnsi="仿宋" w:eastAsia="仿宋"/>
          <w:sz w:val="28"/>
          <w:szCs w:val="28"/>
        </w:rPr>
      </w:pPr>
      <w:r>
        <w:rPr>
          <w:rFonts w:hint="eastAsia" w:ascii="仿宋" w:hAnsi="仿宋" w:eastAsia="仿宋"/>
          <w:sz w:val="28"/>
          <w:szCs w:val="28"/>
        </w:rPr>
        <w:t>2、项目实施方案项目重点难点分析、应对措施及相关的合理化建议</w:t>
      </w:r>
    </w:p>
    <w:p w14:paraId="24B65F81">
      <w:pPr>
        <w:pStyle w:val="21"/>
        <w:spacing w:line="480" w:lineRule="auto"/>
        <w:rPr>
          <w:rFonts w:ascii="仿宋" w:hAnsi="仿宋" w:eastAsia="仿宋"/>
          <w:sz w:val="28"/>
          <w:szCs w:val="28"/>
        </w:rPr>
      </w:pPr>
      <w:r>
        <w:rPr>
          <w:rFonts w:hint="eastAsia" w:ascii="仿宋" w:hAnsi="仿宋" w:eastAsia="仿宋"/>
          <w:sz w:val="28"/>
          <w:szCs w:val="28"/>
        </w:rPr>
        <w:t>3、项目质量保证措施</w:t>
      </w:r>
    </w:p>
    <w:p w14:paraId="3EFB99B1">
      <w:pPr>
        <w:pStyle w:val="21"/>
        <w:spacing w:line="480" w:lineRule="auto"/>
        <w:rPr>
          <w:rFonts w:ascii="仿宋" w:hAnsi="仿宋" w:eastAsia="仿宋"/>
          <w:sz w:val="28"/>
          <w:szCs w:val="28"/>
        </w:rPr>
      </w:pPr>
      <w:r>
        <w:rPr>
          <w:rFonts w:hint="eastAsia" w:ascii="仿宋" w:hAnsi="仿宋" w:eastAsia="仿宋"/>
          <w:sz w:val="28"/>
          <w:szCs w:val="28"/>
        </w:rPr>
        <w:t>4、项目应急方案</w:t>
      </w:r>
    </w:p>
    <w:p w14:paraId="4694C45F">
      <w:pPr>
        <w:pStyle w:val="21"/>
        <w:spacing w:line="480" w:lineRule="auto"/>
        <w:rPr>
          <w:rFonts w:ascii="仿宋" w:hAnsi="仿宋" w:eastAsia="仿宋"/>
          <w:sz w:val="28"/>
          <w:szCs w:val="28"/>
        </w:rPr>
      </w:pPr>
      <w:r>
        <w:rPr>
          <w:rFonts w:hint="eastAsia" w:ascii="仿宋" w:hAnsi="仿宋" w:eastAsia="仿宋"/>
          <w:sz w:val="28"/>
          <w:szCs w:val="28"/>
        </w:rPr>
        <w:t>5、项目管理班子配备情况（含拟派驻项目负责人基本情况）</w:t>
      </w:r>
    </w:p>
    <w:p w14:paraId="4B0E0B02">
      <w:pPr>
        <w:pStyle w:val="21"/>
        <w:spacing w:line="480" w:lineRule="auto"/>
        <w:jc w:val="left"/>
        <w:rPr>
          <w:rFonts w:ascii="仿宋" w:hAnsi="仿宋" w:eastAsia="仿宋"/>
          <w:sz w:val="28"/>
          <w:szCs w:val="28"/>
        </w:rPr>
      </w:pPr>
      <w:r>
        <w:rPr>
          <w:rFonts w:hint="eastAsia" w:ascii="仿宋" w:hAnsi="仿宋" w:eastAsia="仿宋"/>
          <w:sz w:val="28"/>
          <w:szCs w:val="28"/>
        </w:rPr>
        <w:t>6、招标人要求提供的与投标人技术评审有关的其他材料：</w:t>
      </w:r>
    </w:p>
    <w:p w14:paraId="148A24D9">
      <w:pPr>
        <w:pStyle w:val="115"/>
        <w:rPr>
          <w:kern w:val="0"/>
        </w:rPr>
      </w:pPr>
      <w:r>
        <w:rPr>
          <w:rFonts w:hint="eastAsia"/>
        </w:rPr>
        <w:t>（无格式要求，投标人自拟）</w:t>
      </w:r>
    </w:p>
    <w:p w14:paraId="1814368A">
      <w:pPr>
        <w:pStyle w:val="21"/>
        <w:spacing w:line="360" w:lineRule="auto"/>
        <w:ind w:firstLine="420"/>
        <w:jc w:val="center"/>
      </w:pPr>
      <w:r>
        <w:rPr>
          <w:rFonts w:ascii="仿宋_GB2312" w:hAnsi="宋体" w:eastAsia="仿宋_GB2312"/>
          <w:sz w:val="28"/>
          <w:szCs w:val="28"/>
        </w:rPr>
        <w:br w:type="page"/>
      </w:r>
    </w:p>
    <w:p w14:paraId="74FC4E6B">
      <w:pPr>
        <w:pStyle w:val="115"/>
      </w:pPr>
    </w:p>
    <w:p w14:paraId="13E9EE85">
      <w:pPr>
        <w:pStyle w:val="115"/>
      </w:pPr>
      <w:bookmarkStart w:id="36" w:name="_Toc6903"/>
      <w:r>
        <w:rPr>
          <w:rFonts w:hint="eastAsia"/>
        </w:rPr>
        <w:t>五、投标文件格式</w:t>
      </w:r>
      <w:r>
        <w:t>—</w:t>
      </w:r>
      <w:r>
        <w:rPr>
          <w:rFonts w:hint="eastAsia"/>
        </w:rPr>
        <w:t>商务标部分</w:t>
      </w:r>
      <w:bookmarkEnd w:id="36"/>
    </w:p>
    <w:p w14:paraId="37F5C629">
      <w:pPr>
        <w:pStyle w:val="21"/>
        <w:jc w:val="center"/>
        <w:rPr>
          <w:rFonts w:ascii="黑体" w:hAnsi="黑体" w:eastAsia="黑体"/>
          <w:bCs/>
          <w:sz w:val="72"/>
          <w:szCs w:val="72"/>
        </w:rPr>
      </w:pPr>
      <w:r>
        <w:rPr>
          <w:rFonts w:hint="eastAsia" w:ascii="黑体" w:hAnsi="黑体" w:eastAsia="黑体"/>
          <w:bCs/>
          <w:sz w:val="72"/>
          <w:szCs w:val="72"/>
        </w:rPr>
        <w:t>非依法必须招标项目服务类</w:t>
      </w:r>
    </w:p>
    <w:p w14:paraId="72176ED2">
      <w:pPr>
        <w:pStyle w:val="21"/>
        <w:jc w:val="center"/>
        <w:rPr>
          <w:rFonts w:ascii="黑体" w:hAnsi="黑体" w:eastAsia="黑体"/>
          <w:bCs/>
          <w:sz w:val="84"/>
          <w:szCs w:val="84"/>
        </w:rPr>
      </w:pPr>
    </w:p>
    <w:p w14:paraId="5ABA4C20">
      <w:pPr>
        <w:pStyle w:val="21"/>
        <w:jc w:val="center"/>
        <w:rPr>
          <w:rFonts w:ascii="黑体" w:hAnsi="黑体" w:eastAsia="黑体"/>
          <w:bCs/>
          <w:sz w:val="84"/>
          <w:szCs w:val="84"/>
        </w:rPr>
      </w:pPr>
      <w:r>
        <w:rPr>
          <w:rFonts w:hint="eastAsia" w:ascii="黑体" w:hAnsi="黑体" w:eastAsia="黑体"/>
          <w:bCs/>
          <w:sz w:val="84"/>
          <w:szCs w:val="84"/>
        </w:rPr>
        <w:t>投 标 文 件</w:t>
      </w:r>
    </w:p>
    <w:p w14:paraId="5344F444">
      <w:pPr>
        <w:ind w:left="988"/>
        <w:jc w:val="center"/>
        <w:rPr>
          <w:rFonts w:ascii="宋体" w:hAnsi="宋体"/>
          <w:kern w:val="0"/>
          <w:sz w:val="32"/>
          <w:szCs w:val="21"/>
          <w:u w:val="single"/>
        </w:rPr>
      </w:pPr>
    </w:p>
    <w:p w14:paraId="7420BCA3">
      <w:pPr>
        <w:ind w:left="988"/>
        <w:jc w:val="center"/>
        <w:rPr>
          <w:rFonts w:ascii="宋体" w:hAnsi="宋体"/>
          <w:kern w:val="0"/>
          <w:sz w:val="32"/>
          <w:szCs w:val="21"/>
          <w:u w:val="single"/>
        </w:rPr>
      </w:pPr>
    </w:p>
    <w:p w14:paraId="0EEDA1B9">
      <w:pPr>
        <w:rPr>
          <w:rFonts w:ascii="宋体" w:hAnsi="宋体"/>
          <w:kern w:val="0"/>
          <w:sz w:val="32"/>
          <w:szCs w:val="21"/>
          <w:u w:val="single"/>
        </w:rPr>
      </w:pPr>
    </w:p>
    <w:p w14:paraId="2906430F">
      <w:pPr>
        <w:rPr>
          <w:rFonts w:ascii="宋体" w:hAnsi="宋体"/>
          <w:b/>
          <w:bCs/>
          <w:kern w:val="0"/>
          <w:sz w:val="32"/>
          <w:szCs w:val="21"/>
        </w:rPr>
      </w:pPr>
    </w:p>
    <w:p w14:paraId="0E8C6CE3">
      <w:pPr>
        <w:rPr>
          <w:rFonts w:ascii="宋体" w:hAnsi="宋体"/>
          <w:b/>
          <w:bCs/>
          <w:kern w:val="0"/>
          <w:sz w:val="32"/>
          <w:szCs w:val="21"/>
        </w:rPr>
      </w:pPr>
    </w:p>
    <w:p w14:paraId="1802ECCA">
      <w:pPr>
        <w:rPr>
          <w:rFonts w:ascii="宋体" w:hAnsi="宋体"/>
          <w:b/>
          <w:bCs/>
          <w:kern w:val="0"/>
          <w:sz w:val="32"/>
          <w:szCs w:val="21"/>
        </w:rPr>
      </w:pPr>
    </w:p>
    <w:p w14:paraId="4C1D7E5F">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3CEC06E8">
      <w:pPr>
        <w:spacing w:line="480" w:lineRule="auto"/>
        <w:ind w:firstLine="840" w:firstLineChars="300"/>
        <w:rPr>
          <w:rFonts w:ascii="微软雅黑" w:hAnsi="宋体" w:eastAsia="微软雅黑"/>
          <w:bCs/>
          <w:kern w:val="0"/>
          <w:sz w:val="28"/>
          <w:szCs w:val="28"/>
        </w:rPr>
      </w:pPr>
      <w:r>
        <w:rPr>
          <w:rFonts w:hint="eastAsia" w:ascii="微软雅黑" w:hAnsi="宋体" w:eastAsia="微软雅黑"/>
          <w:bCs/>
          <w:kern w:val="0"/>
          <w:sz w:val="28"/>
          <w:szCs w:val="21"/>
        </w:rPr>
        <w:t xml:space="preserve">投标文件内容： </w:t>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softHyphen/>
      </w:r>
      <w:r>
        <w:rPr>
          <w:rFonts w:hint="eastAsia" w:ascii="微软雅黑" w:hAnsi="宋体" w:eastAsia="微软雅黑"/>
          <w:bCs/>
          <w:kern w:val="0"/>
          <w:sz w:val="28"/>
          <w:szCs w:val="28"/>
          <w:u w:val="single"/>
        </w:rPr>
        <w:t xml:space="preserve">      商务标部分              </w:t>
      </w:r>
    </w:p>
    <w:p w14:paraId="187A01C4">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投标单位（盖章）：</w:t>
      </w:r>
      <w:r>
        <w:rPr>
          <w:rFonts w:hint="eastAsia" w:ascii="微软雅黑" w:hAnsi="宋体" w:eastAsia="微软雅黑"/>
          <w:bCs/>
          <w:kern w:val="0"/>
          <w:sz w:val="28"/>
          <w:szCs w:val="21"/>
          <w:u w:val="single"/>
        </w:rPr>
        <w:t xml:space="preserve">                                   </w:t>
      </w:r>
    </w:p>
    <w:p w14:paraId="5DBBD999">
      <w:pPr>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7E490009">
      <w:pPr>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p>
    <w:p w14:paraId="61D49BD6">
      <w:pPr>
        <w:pStyle w:val="19"/>
        <w:spacing w:line="276" w:lineRule="auto"/>
        <w:contextualSpacing/>
        <w:rPr>
          <w:rFonts w:ascii="宋体" w:hAnsi="宋体"/>
          <w:b/>
        </w:rPr>
        <w:sectPr>
          <w:headerReference r:id="rId5" w:type="default"/>
          <w:footerReference r:id="rId6" w:type="default"/>
          <w:pgSz w:w="12240" w:h="15840"/>
          <w:pgMar w:top="1440" w:right="1797" w:bottom="1440" w:left="1797" w:header="720" w:footer="720" w:gutter="0"/>
          <w:cols w:space="720" w:num="1"/>
        </w:sectPr>
      </w:pPr>
    </w:p>
    <w:p w14:paraId="6F08B2F9">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商务标投标文件目录</w:t>
      </w:r>
    </w:p>
    <w:p w14:paraId="62EFCC1A">
      <w:pPr>
        <w:pStyle w:val="115"/>
        <w:ind w:firstLine="560"/>
        <w:rPr>
          <w:rFonts w:hint="eastAsia" w:ascii="仿宋" w:hAnsi="仿宋" w:eastAsia="仿宋"/>
          <w:sz w:val="28"/>
          <w:szCs w:val="28"/>
        </w:rPr>
      </w:pPr>
      <w:r>
        <w:rPr>
          <w:rFonts w:hint="eastAsia" w:ascii="仿宋" w:hAnsi="仿宋" w:eastAsia="仿宋"/>
          <w:sz w:val="28"/>
          <w:szCs w:val="28"/>
        </w:rPr>
        <w:t>1.投标总价</w:t>
      </w:r>
    </w:p>
    <w:p w14:paraId="32F0F52C">
      <w:pPr>
        <w:pStyle w:val="115"/>
        <w:ind w:firstLine="560"/>
        <w:rPr>
          <w:rFonts w:hint="eastAsia" w:ascii="仿宋" w:hAnsi="仿宋" w:eastAsia="仿宋"/>
          <w:sz w:val="28"/>
          <w:szCs w:val="28"/>
        </w:rPr>
      </w:pPr>
      <w:r>
        <w:rPr>
          <w:rFonts w:hint="eastAsia" w:ascii="仿宋" w:hAnsi="仿宋" w:eastAsia="仿宋"/>
          <w:sz w:val="28"/>
          <w:szCs w:val="28"/>
        </w:rPr>
        <w:t>2.投标分项报价表</w:t>
      </w:r>
    </w:p>
    <w:p w14:paraId="50D35213">
      <w:pPr>
        <w:pStyle w:val="115"/>
        <w:ind w:firstLine="560"/>
        <w:rPr>
          <w:rFonts w:hint="eastAsia" w:ascii="仿宋" w:hAnsi="仿宋" w:eastAsia="仿宋"/>
          <w:sz w:val="28"/>
          <w:szCs w:val="28"/>
        </w:rPr>
      </w:pPr>
    </w:p>
    <w:p w14:paraId="2C3A9998">
      <w:pPr>
        <w:adjustRightInd w:val="0"/>
        <w:snapToGrid w:val="0"/>
        <w:spacing w:line="360" w:lineRule="auto"/>
        <w:rPr>
          <w:rFonts w:ascii="黑体" w:hAnsi="黑体" w:eastAsia="黑体"/>
          <w:kern w:val="0"/>
          <w:sz w:val="36"/>
          <w:szCs w:val="36"/>
        </w:rPr>
      </w:pPr>
    </w:p>
    <w:p w14:paraId="43D7A59B">
      <w:pPr>
        <w:adjustRightInd w:val="0"/>
        <w:snapToGrid w:val="0"/>
        <w:spacing w:line="360" w:lineRule="auto"/>
        <w:rPr>
          <w:rFonts w:ascii="黑体" w:hAnsi="黑体" w:eastAsia="黑体"/>
          <w:kern w:val="0"/>
          <w:sz w:val="36"/>
          <w:szCs w:val="36"/>
        </w:rPr>
      </w:pPr>
    </w:p>
    <w:p w14:paraId="2C4645F3">
      <w:pPr>
        <w:adjustRightInd w:val="0"/>
        <w:snapToGrid w:val="0"/>
        <w:spacing w:line="360" w:lineRule="auto"/>
        <w:rPr>
          <w:rFonts w:ascii="黑体" w:hAnsi="黑体" w:eastAsia="黑体"/>
          <w:kern w:val="0"/>
          <w:sz w:val="36"/>
          <w:szCs w:val="36"/>
        </w:rPr>
      </w:pPr>
    </w:p>
    <w:p w14:paraId="26DB00FD">
      <w:pPr>
        <w:adjustRightInd w:val="0"/>
        <w:snapToGrid w:val="0"/>
        <w:spacing w:line="360" w:lineRule="auto"/>
        <w:rPr>
          <w:rFonts w:ascii="黑体" w:hAnsi="黑体" w:eastAsia="黑体"/>
          <w:kern w:val="0"/>
          <w:sz w:val="36"/>
          <w:szCs w:val="36"/>
        </w:rPr>
      </w:pPr>
    </w:p>
    <w:p w14:paraId="07C2954C">
      <w:pPr>
        <w:adjustRightInd w:val="0"/>
        <w:snapToGrid w:val="0"/>
        <w:spacing w:line="360" w:lineRule="auto"/>
        <w:rPr>
          <w:rFonts w:ascii="黑体" w:hAnsi="黑体" w:eastAsia="黑体"/>
          <w:kern w:val="0"/>
          <w:sz w:val="36"/>
          <w:szCs w:val="36"/>
        </w:rPr>
      </w:pPr>
    </w:p>
    <w:p w14:paraId="38E29555">
      <w:pPr>
        <w:adjustRightInd w:val="0"/>
        <w:snapToGrid w:val="0"/>
        <w:spacing w:line="360" w:lineRule="auto"/>
        <w:rPr>
          <w:rFonts w:ascii="黑体" w:hAnsi="黑体" w:eastAsia="黑体"/>
          <w:kern w:val="0"/>
          <w:sz w:val="36"/>
          <w:szCs w:val="36"/>
        </w:rPr>
      </w:pPr>
    </w:p>
    <w:p w14:paraId="3111DC86">
      <w:pPr>
        <w:adjustRightInd w:val="0"/>
        <w:snapToGrid w:val="0"/>
        <w:spacing w:line="360" w:lineRule="auto"/>
        <w:rPr>
          <w:rFonts w:ascii="黑体" w:hAnsi="黑体" w:eastAsia="黑体"/>
          <w:kern w:val="0"/>
          <w:sz w:val="36"/>
          <w:szCs w:val="36"/>
        </w:rPr>
      </w:pPr>
    </w:p>
    <w:p w14:paraId="67A1047F">
      <w:pPr>
        <w:adjustRightInd w:val="0"/>
        <w:snapToGrid w:val="0"/>
        <w:spacing w:line="360" w:lineRule="auto"/>
        <w:rPr>
          <w:rFonts w:ascii="黑体" w:hAnsi="黑体" w:eastAsia="黑体"/>
          <w:kern w:val="0"/>
          <w:sz w:val="36"/>
          <w:szCs w:val="36"/>
        </w:rPr>
      </w:pPr>
    </w:p>
    <w:p w14:paraId="4124C27B">
      <w:pPr>
        <w:adjustRightInd w:val="0"/>
        <w:snapToGrid w:val="0"/>
        <w:spacing w:line="360" w:lineRule="auto"/>
        <w:rPr>
          <w:rFonts w:ascii="黑体" w:hAnsi="黑体" w:eastAsia="黑体"/>
          <w:kern w:val="0"/>
          <w:sz w:val="36"/>
          <w:szCs w:val="36"/>
        </w:rPr>
      </w:pPr>
    </w:p>
    <w:p w14:paraId="44A7AAD2">
      <w:pPr>
        <w:adjustRightInd w:val="0"/>
        <w:snapToGrid w:val="0"/>
        <w:spacing w:line="360" w:lineRule="auto"/>
        <w:rPr>
          <w:rFonts w:ascii="黑体" w:hAnsi="黑体" w:eastAsia="黑体"/>
          <w:kern w:val="0"/>
          <w:sz w:val="36"/>
          <w:szCs w:val="36"/>
        </w:rPr>
      </w:pPr>
    </w:p>
    <w:p w14:paraId="75515B8E">
      <w:pPr>
        <w:adjustRightInd w:val="0"/>
        <w:snapToGrid w:val="0"/>
        <w:spacing w:line="360" w:lineRule="auto"/>
        <w:rPr>
          <w:rFonts w:ascii="黑体" w:hAnsi="黑体" w:eastAsia="黑体"/>
          <w:kern w:val="0"/>
          <w:sz w:val="36"/>
          <w:szCs w:val="36"/>
        </w:rPr>
      </w:pPr>
    </w:p>
    <w:p w14:paraId="1209ED3C">
      <w:pPr>
        <w:adjustRightInd w:val="0"/>
        <w:snapToGrid w:val="0"/>
        <w:spacing w:line="360" w:lineRule="auto"/>
        <w:rPr>
          <w:rFonts w:ascii="黑体" w:hAnsi="黑体" w:eastAsia="黑体"/>
          <w:kern w:val="0"/>
          <w:sz w:val="36"/>
          <w:szCs w:val="36"/>
        </w:rPr>
      </w:pPr>
    </w:p>
    <w:p w14:paraId="09A3C6DD">
      <w:pPr>
        <w:adjustRightInd w:val="0"/>
        <w:snapToGrid w:val="0"/>
        <w:spacing w:line="360" w:lineRule="auto"/>
        <w:rPr>
          <w:rFonts w:ascii="黑体" w:hAnsi="黑体" w:eastAsia="黑体"/>
          <w:kern w:val="0"/>
          <w:sz w:val="36"/>
          <w:szCs w:val="36"/>
        </w:rPr>
      </w:pPr>
    </w:p>
    <w:p w14:paraId="315C9C07">
      <w:pPr>
        <w:adjustRightInd w:val="0"/>
        <w:snapToGrid w:val="0"/>
        <w:spacing w:line="360" w:lineRule="auto"/>
        <w:rPr>
          <w:rFonts w:ascii="黑体" w:hAnsi="黑体" w:eastAsia="黑体"/>
          <w:kern w:val="0"/>
          <w:sz w:val="36"/>
          <w:szCs w:val="36"/>
        </w:rPr>
      </w:pPr>
    </w:p>
    <w:p w14:paraId="327957F5">
      <w:pPr>
        <w:adjustRightInd w:val="0"/>
        <w:snapToGrid w:val="0"/>
        <w:spacing w:line="360" w:lineRule="auto"/>
        <w:rPr>
          <w:rFonts w:ascii="黑体" w:hAnsi="黑体" w:eastAsia="黑体"/>
          <w:kern w:val="0"/>
          <w:sz w:val="36"/>
          <w:szCs w:val="36"/>
        </w:rPr>
      </w:pPr>
    </w:p>
    <w:p w14:paraId="15472174">
      <w:pPr>
        <w:adjustRightInd w:val="0"/>
        <w:snapToGrid w:val="0"/>
        <w:spacing w:line="360" w:lineRule="auto"/>
        <w:rPr>
          <w:rFonts w:ascii="黑体" w:hAnsi="黑体" w:eastAsia="黑体"/>
          <w:kern w:val="0"/>
          <w:sz w:val="36"/>
          <w:szCs w:val="36"/>
        </w:rPr>
      </w:pPr>
    </w:p>
    <w:p w14:paraId="1BDF898F">
      <w:pPr>
        <w:adjustRightInd w:val="0"/>
        <w:snapToGrid w:val="0"/>
        <w:spacing w:line="360" w:lineRule="auto"/>
        <w:rPr>
          <w:rFonts w:ascii="黑体" w:hAnsi="黑体" w:eastAsia="黑体"/>
          <w:kern w:val="0"/>
          <w:sz w:val="36"/>
          <w:szCs w:val="36"/>
        </w:rPr>
      </w:pPr>
    </w:p>
    <w:p w14:paraId="2BB2F0FE">
      <w:pPr>
        <w:adjustRightInd w:val="0"/>
        <w:snapToGrid w:val="0"/>
        <w:spacing w:line="360" w:lineRule="auto"/>
        <w:rPr>
          <w:rFonts w:ascii="黑体" w:hAnsi="黑体" w:eastAsia="黑体"/>
          <w:kern w:val="0"/>
          <w:sz w:val="36"/>
          <w:szCs w:val="36"/>
        </w:rPr>
      </w:pPr>
    </w:p>
    <w:p w14:paraId="3363CD7C">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投 标 总 价</w:t>
      </w:r>
    </w:p>
    <w:p w14:paraId="3D81BA8D">
      <w:pPr>
        <w:pStyle w:val="21"/>
        <w:spacing w:line="360" w:lineRule="auto"/>
        <w:jc w:val="center"/>
        <w:rPr>
          <w:rFonts w:ascii="华文细黑" w:hAnsi="宋体" w:eastAsia="华文细黑"/>
          <w:sz w:val="44"/>
        </w:rPr>
      </w:pPr>
    </w:p>
    <w:p w14:paraId="1EDEDAE3">
      <w:pPr>
        <w:pStyle w:val="21"/>
        <w:spacing w:after="120" w:afterLines="50" w:line="400" w:lineRule="exact"/>
        <w:ind w:firstLine="560" w:firstLineChars="200"/>
        <w:rPr>
          <w:rFonts w:hAnsi="宋体"/>
          <w:sz w:val="28"/>
        </w:rPr>
      </w:pPr>
    </w:p>
    <w:p w14:paraId="74053D00">
      <w:pPr>
        <w:pStyle w:val="21"/>
        <w:spacing w:line="400" w:lineRule="exact"/>
        <w:ind w:firstLine="560" w:firstLineChars="200"/>
        <w:jc w:val="left"/>
        <w:rPr>
          <w:rFonts w:ascii="仿宋" w:hAnsi="仿宋" w:eastAsia="仿宋"/>
          <w:color w:val="000000" w:themeColor="text1"/>
          <w:sz w:val="28"/>
          <w:u w:val="single"/>
          <w14:textFill>
            <w14:solidFill>
              <w14:schemeClr w14:val="tx1"/>
            </w14:solidFill>
          </w14:textFill>
        </w:rPr>
      </w:pPr>
      <w:r>
        <w:rPr>
          <w:rFonts w:hint="eastAsia" w:ascii="仿宋" w:hAnsi="仿宋" w:eastAsia="仿宋"/>
          <w:sz w:val="28"/>
        </w:rPr>
        <w:t>招标人：</w:t>
      </w:r>
      <w:r>
        <w:rPr>
          <w:rFonts w:hint="eastAsia" w:ascii="仿宋" w:hAnsi="仿宋" w:eastAsia="仿宋"/>
          <w:sz w:val="28"/>
          <w:u w:val="single"/>
        </w:rPr>
        <w:t xml:space="preserve">                               </w:t>
      </w:r>
      <w:r>
        <w:rPr>
          <w:rFonts w:hint="eastAsia" w:ascii="仿宋" w:hAnsi="仿宋" w:eastAsia="仿宋"/>
          <w:color w:val="000000" w:themeColor="text1"/>
          <w:sz w:val="28"/>
          <w:u w:val="single"/>
          <w14:textFill>
            <w14:solidFill>
              <w14:schemeClr w14:val="tx1"/>
            </w14:solidFill>
          </w14:textFill>
        </w:rPr>
        <w:t xml:space="preserve">  </w:t>
      </w:r>
    </w:p>
    <w:p w14:paraId="40B6945F">
      <w:pPr>
        <w:pStyle w:val="21"/>
        <w:spacing w:line="400" w:lineRule="exact"/>
        <w:ind w:firstLine="1960" w:firstLineChars="700"/>
        <w:rPr>
          <w:rFonts w:ascii="仿宋" w:hAnsi="仿宋" w:eastAsia="仿宋"/>
          <w:sz w:val="28"/>
        </w:rPr>
      </w:pPr>
    </w:p>
    <w:p w14:paraId="2683EB06">
      <w:pPr>
        <w:pStyle w:val="21"/>
        <w:spacing w:line="400" w:lineRule="exact"/>
        <w:ind w:firstLine="560" w:firstLineChars="200"/>
        <w:rPr>
          <w:rFonts w:ascii="仿宋" w:hAnsi="仿宋" w:eastAsia="仿宋"/>
          <w:sz w:val="28"/>
        </w:rPr>
      </w:pPr>
      <w:r>
        <w:rPr>
          <w:rFonts w:hint="eastAsia" w:ascii="仿宋" w:hAnsi="仿宋" w:eastAsia="仿宋"/>
          <w:sz w:val="28"/>
        </w:rPr>
        <w:t>招标项目名称：</w:t>
      </w:r>
      <w:r>
        <w:rPr>
          <w:rFonts w:hint="eastAsia" w:ascii="仿宋" w:hAnsi="仿宋" w:eastAsia="仿宋"/>
          <w:sz w:val="28"/>
          <w:u w:val="single"/>
        </w:rPr>
        <w:t xml:space="preserve">                             </w:t>
      </w:r>
    </w:p>
    <w:p w14:paraId="197DB149">
      <w:pPr>
        <w:pStyle w:val="21"/>
        <w:spacing w:line="400" w:lineRule="exact"/>
        <w:ind w:firstLine="200"/>
        <w:rPr>
          <w:rFonts w:ascii="仿宋" w:hAnsi="仿宋" w:eastAsia="仿宋"/>
          <w:sz w:val="28"/>
        </w:rPr>
      </w:pPr>
    </w:p>
    <w:p w14:paraId="4731B9B4">
      <w:pPr>
        <w:pStyle w:val="21"/>
        <w:spacing w:line="400" w:lineRule="exact"/>
        <w:ind w:firstLine="560" w:firstLineChars="200"/>
        <w:rPr>
          <w:rFonts w:ascii="仿宋" w:hAnsi="仿宋" w:eastAsia="仿宋"/>
          <w:sz w:val="28"/>
          <w:u w:val="single"/>
        </w:rPr>
      </w:pPr>
      <w:r>
        <w:rPr>
          <w:rFonts w:hint="eastAsia" w:ascii="仿宋" w:hAnsi="仿宋" w:eastAsia="仿宋"/>
          <w:sz w:val="28"/>
        </w:rPr>
        <w:t>投标含税总价(大写)：</w:t>
      </w:r>
      <w:r>
        <w:rPr>
          <w:rFonts w:hint="eastAsia" w:ascii="仿宋" w:hAnsi="仿宋" w:eastAsia="仿宋"/>
          <w:sz w:val="28"/>
          <w:u w:val="single"/>
        </w:rPr>
        <w:t xml:space="preserve">          </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sz w:val="28"/>
          <w:u w:val="single"/>
        </w:rPr>
        <w:t xml:space="preserve">               </w:t>
      </w:r>
    </w:p>
    <w:p w14:paraId="16CAEEE9">
      <w:pPr>
        <w:pStyle w:val="21"/>
        <w:spacing w:line="400" w:lineRule="exact"/>
        <w:ind w:firstLine="1680" w:firstLineChars="600"/>
        <w:rPr>
          <w:rFonts w:ascii="仿宋" w:hAnsi="仿宋" w:eastAsia="仿宋"/>
          <w:sz w:val="28"/>
        </w:rPr>
      </w:pPr>
    </w:p>
    <w:p w14:paraId="3D81BB36">
      <w:pPr>
        <w:pStyle w:val="21"/>
        <w:spacing w:line="480" w:lineRule="auto"/>
        <w:ind w:firstLine="2240" w:firstLineChars="800"/>
        <w:rPr>
          <w:rFonts w:ascii="仿宋" w:hAnsi="仿宋" w:eastAsia="仿宋"/>
          <w:sz w:val="28"/>
          <w:u w:val="single"/>
        </w:rPr>
      </w:pPr>
      <w:r>
        <w:rPr>
          <w:rFonts w:hint="eastAsia" w:ascii="仿宋" w:hAnsi="仿宋" w:eastAsia="仿宋"/>
          <w:sz w:val="28"/>
        </w:rPr>
        <w:t>(小写)：</w:t>
      </w:r>
      <w:r>
        <w:rPr>
          <w:rFonts w:hint="eastAsia" w:ascii="仿宋" w:hAnsi="仿宋" w:eastAsia="仿宋"/>
          <w:sz w:val="28"/>
          <w:u w:val="single"/>
        </w:rPr>
        <w:t xml:space="preserve">                                 </w:t>
      </w:r>
    </w:p>
    <w:p w14:paraId="663D5B1D">
      <w:pPr>
        <w:pStyle w:val="21"/>
        <w:spacing w:line="400" w:lineRule="exact"/>
        <w:ind w:firstLine="560" w:firstLineChars="200"/>
        <w:rPr>
          <w:rFonts w:ascii="仿宋" w:hAnsi="仿宋" w:eastAsia="仿宋"/>
          <w:sz w:val="28"/>
        </w:rPr>
      </w:pPr>
    </w:p>
    <w:p w14:paraId="44FB87FF">
      <w:pPr>
        <w:pStyle w:val="21"/>
        <w:spacing w:line="400" w:lineRule="exact"/>
        <w:rPr>
          <w:rFonts w:ascii="仿宋" w:hAnsi="仿宋" w:eastAsia="仿宋"/>
          <w:sz w:val="28"/>
        </w:rPr>
      </w:pPr>
    </w:p>
    <w:p w14:paraId="5BA16D16">
      <w:pPr>
        <w:pStyle w:val="21"/>
        <w:spacing w:line="400" w:lineRule="exact"/>
        <w:ind w:firstLine="560" w:firstLineChars="200"/>
        <w:rPr>
          <w:rFonts w:ascii="仿宋" w:hAnsi="仿宋" w:eastAsia="仿宋"/>
          <w:sz w:val="28"/>
        </w:rPr>
      </w:pPr>
    </w:p>
    <w:p w14:paraId="385F808E">
      <w:pPr>
        <w:pStyle w:val="21"/>
        <w:spacing w:line="400" w:lineRule="exact"/>
        <w:ind w:firstLine="560" w:firstLineChars="200"/>
        <w:rPr>
          <w:rFonts w:ascii="仿宋" w:hAnsi="仿宋" w:eastAsia="仿宋"/>
          <w:sz w:val="28"/>
        </w:rPr>
      </w:pPr>
    </w:p>
    <w:p w14:paraId="770D238D">
      <w:pPr>
        <w:pStyle w:val="21"/>
        <w:spacing w:line="400" w:lineRule="exact"/>
        <w:rPr>
          <w:rFonts w:ascii="仿宋" w:hAnsi="仿宋" w:eastAsia="仿宋"/>
          <w:sz w:val="28"/>
        </w:rPr>
      </w:pPr>
    </w:p>
    <w:p w14:paraId="602108B8">
      <w:pPr>
        <w:pStyle w:val="21"/>
        <w:spacing w:line="400" w:lineRule="exact"/>
        <w:ind w:firstLine="560" w:firstLineChars="200"/>
        <w:rPr>
          <w:rFonts w:ascii="仿宋" w:hAnsi="仿宋" w:eastAsia="仿宋"/>
          <w:sz w:val="28"/>
        </w:rPr>
      </w:pPr>
    </w:p>
    <w:p w14:paraId="299A697C">
      <w:pPr>
        <w:pStyle w:val="21"/>
        <w:spacing w:line="400" w:lineRule="exact"/>
        <w:ind w:firstLine="280" w:firstLineChars="100"/>
        <w:rPr>
          <w:rFonts w:ascii="仿宋" w:hAnsi="仿宋" w:eastAsia="仿宋"/>
          <w:sz w:val="28"/>
        </w:rPr>
      </w:pPr>
      <w:r>
        <w:rPr>
          <w:rFonts w:hint="eastAsia" w:ascii="仿宋" w:hAnsi="仿宋" w:eastAsia="仿宋"/>
          <w:sz w:val="28"/>
        </w:rPr>
        <w:t>投  标  人(盖章)：</w:t>
      </w:r>
      <w:r>
        <w:rPr>
          <w:rFonts w:hint="eastAsia" w:ascii="仿宋" w:hAnsi="仿宋" w:eastAsia="仿宋"/>
          <w:sz w:val="28"/>
          <w:u w:val="single"/>
        </w:rPr>
        <w:t xml:space="preserve">                                </w:t>
      </w:r>
    </w:p>
    <w:p w14:paraId="385DC495">
      <w:pPr>
        <w:pStyle w:val="21"/>
        <w:spacing w:line="400" w:lineRule="exact"/>
        <w:ind w:firstLine="280" w:firstLineChars="100"/>
        <w:rPr>
          <w:rFonts w:ascii="仿宋" w:hAnsi="仿宋" w:eastAsia="仿宋"/>
          <w:sz w:val="28"/>
        </w:rPr>
      </w:pPr>
    </w:p>
    <w:p w14:paraId="66037249">
      <w:pPr>
        <w:pStyle w:val="21"/>
        <w:spacing w:line="400" w:lineRule="exact"/>
        <w:ind w:firstLine="280" w:firstLineChars="100"/>
        <w:rPr>
          <w:rFonts w:ascii="仿宋" w:hAnsi="仿宋" w:eastAsia="仿宋"/>
          <w:sz w:val="28"/>
        </w:rPr>
      </w:pPr>
      <w:r>
        <w:rPr>
          <w:rFonts w:hint="eastAsia" w:ascii="仿宋" w:hAnsi="仿宋" w:eastAsia="仿宋"/>
          <w:sz w:val="28"/>
        </w:rPr>
        <w:t>法定代表人或委托代理人(签字或盖章)：</w:t>
      </w:r>
      <w:r>
        <w:rPr>
          <w:rFonts w:hint="eastAsia" w:ascii="仿宋" w:hAnsi="仿宋" w:eastAsia="仿宋"/>
          <w:sz w:val="28"/>
          <w:u w:val="single"/>
        </w:rPr>
        <w:t xml:space="preserve">              </w:t>
      </w:r>
    </w:p>
    <w:p w14:paraId="40DFC1E7">
      <w:pPr>
        <w:pStyle w:val="21"/>
        <w:spacing w:line="400" w:lineRule="exact"/>
        <w:ind w:firstLine="1960" w:firstLineChars="700"/>
        <w:rPr>
          <w:rFonts w:ascii="仿宋" w:hAnsi="仿宋" w:eastAsia="仿宋"/>
          <w:sz w:val="28"/>
        </w:rPr>
      </w:pPr>
    </w:p>
    <w:p w14:paraId="3F021B60">
      <w:pPr>
        <w:tabs>
          <w:tab w:val="left" w:pos="1440"/>
        </w:tabs>
        <w:spacing w:line="360" w:lineRule="auto"/>
        <w:ind w:firstLine="585" w:firstLineChars="247"/>
        <w:jc w:val="center"/>
        <w:rPr>
          <w:rFonts w:ascii="宋体" w:hAnsi="宋体" w:cs="宋体"/>
          <w:b/>
          <w:bCs/>
          <w:spacing w:val="-2"/>
          <w:sz w:val="24"/>
        </w:rPr>
      </w:pPr>
    </w:p>
    <w:p w14:paraId="7F39145D">
      <w:pPr>
        <w:tabs>
          <w:tab w:val="left" w:pos="1440"/>
        </w:tabs>
        <w:spacing w:line="360" w:lineRule="auto"/>
        <w:ind w:firstLine="585" w:firstLineChars="247"/>
        <w:jc w:val="center"/>
        <w:rPr>
          <w:rFonts w:ascii="宋体" w:hAnsi="宋体" w:cs="宋体"/>
          <w:b/>
          <w:bCs/>
          <w:spacing w:val="-2"/>
          <w:sz w:val="24"/>
        </w:rPr>
      </w:pPr>
    </w:p>
    <w:p w14:paraId="39B42020">
      <w:pPr>
        <w:tabs>
          <w:tab w:val="left" w:pos="1440"/>
        </w:tabs>
        <w:spacing w:line="360" w:lineRule="auto"/>
        <w:ind w:firstLine="585" w:firstLineChars="247"/>
        <w:jc w:val="center"/>
        <w:rPr>
          <w:rFonts w:ascii="宋体" w:hAnsi="宋体" w:cs="宋体"/>
          <w:b/>
          <w:bCs/>
          <w:spacing w:val="-2"/>
          <w:sz w:val="24"/>
        </w:rPr>
      </w:pPr>
    </w:p>
    <w:p w14:paraId="70707C84">
      <w:pPr>
        <w:tabs>
          <w:tab w:val="left" w:pos="1440"/>
        </w:tabs>
        <w:spacing w:line="360" w:lineRule="auto"/>
        <w:ind w:firstLine="585" w:firstLineChars="247"/>
        <w:jc w:val="center"/>
        <w:rPr>
          <w:rFonts w:ascii="宋体" w:hAnsi="宋体" w:cs="宋体"/>
          <w:b/>
          <w:bCs/>
          <w:spacing w:val="-2"/>
          <w:sz w:val="24"/>
        </w:rPr>
      </w:pPr>
    </w:p>
    <w:p w14:paraId="39BE86D3">
      <w:pPr>
        <w:tabs>
          <w:tab w:val="left" w:pos="1440"/>
        </w:tabs>
        <w:spacing w:line="360" w:lineRule="auto"/>
        <w:ind w:firstLine="585" w:firstLineChars="247"/>
        <w:jc w:val="center"/>
        <w:rPr>
          <w:rFonts w:ascii="宋体" w:hAnsi="宋体" w:cs="宋体"/>
          <w:b/>
          <w:bCs/>
          <w:spacing w:val="-2"/>
          <w:sz w:val="24"/>
        </w:rPr>
      </w:pPr>
    </w:p>
    <w:p w14:paraId="1D778EAE">
      <w:pPr>
        <w:tabs>
          <w:tab w:val="left" w:pos="1440"/>
        </w:tabs>
        <w:spacing w:line="360" w:lineRule="auto"/>
        <w:jc w:val="both"/>
        <w:rPr>
          <w:rFonts w:ascii="宋体" w:hAnsi="宋体" w:cs="宋体"/>
          <w:b/>
          <w:bCs/>
          <w:spacing w:val="-2"/>
          <w:sz w:val="24"/>
        </w:rPr>
        <w:sectPr>
          <w:headerReference r:id="rId7" w:type="default"/>
          <w:pgSz w:w="11906" w:h="16839"/>
          <w:pgMar w:top="1423" w:right="1687" w:bottom="0" w:left="1687" w:header="0" w:footer="0" w:gutter="0"/>
          <w:cols w:space="720" w:num="1"/>
        </w:sectPr>
      </w:pPr>
    </w:p>
    <w:tbl>
      <w:tblPr>
        <w:tblStyle w:val="38"/>
        <w:tblpPr w:leftFromText="180" w:rightFromText="180" w:vertAnchor="text" w:horzAnchor="page" w:tblpX="461" w:tblpY="-627"/>
        <w:tblOverlap w:val="never"/>
        <w:tblW w:w="15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700"/>
        <w:gridCol w:w="1080"/>
        <w:gridCol w:w="1080"/>
        <w:gridCol w:w="1080"/>
        <w:gridCol w:w="1080"/>
        <w:gridCol w:w="1080"/>
        <w:gridCol w:w="1080"/>
        <w:gridCol w:w="1260"/>
        <w:gridCol w:w="1080"/>
        <w:gridCol w:w="1080"/>
        <w:gridCol w:w="1080"/>
      </w:tblGrid>
      <w:tr w14:paraId="27EE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5840" w:type="dxa"/>
            <w:gridSpan w:val="13"/>
            <w:tcBorders>
              <w:top w:val="nil"/>
              <w:left w:val="nil"/>
              <w:bottom w:val="nil"/>
              <w:right w:val="nil"/>
            </w:tcBorders>
            <w:shd w:val="clear" w:color="auto" w:fill="auto"/>
            <w:vAlign w:val="center"/>
          </w:tcPr>
          <w:p w14:paraId="1A39181D">
            <w:pPr>
              <w:adjustRightInd w:val="0"/>
              <w:snapToGrid w:val="0"/>
              <w:spacing w:line="360" w:lineRule="auto"/>
              <w:rPr>
                <w:rFonts w:hint="eastAsia" w:ascii="宋体" w:hAnsi="宋体" w:eastAsia="宋体" w:cs="宋体"/>
                <w:b/>
                <w:bCs/>
                <w:i w:val="0"/>
                <w:iCs w:val="0"/>
                <w:color w:val="000000"/>
                <w:kern w:val="0"/>
                <w:sz w:val="28"/>
                <w:szCs w:val="28"/>
                <w:u w:val="none"/>
                <w:lang w:val="en-US" w:eastAsia="zh-CN" w:bidi="ar"/>
              </w:rPr>
            </w:pPr>
            <w:r>
              <w:rPr>
                <w:rFonts w:hint="eastAsia" w:ascii="仿宋_GB2312" w:hAnsi="宋体" w:eastAsia="仿宋_GB2312"/>
                <w:sz w:val="28"/>
                <w:szCs w:val="28"/>
              </w:rPr>
              <w:t>招标项目名称：</w:t>
            </w:r>
            <w:r>
              <w:rPr>
                <w:rFonts w:hint="eastAsia" w:ascii="仿宋_GB2312" w:hAnsi="宋体" w:eastAsia="仿宋_GB2312"/>
                <w:sz w:val="28"/>
                <w:szCs w:val="28"/>
                <w:u w:val="single"/>
              </w:rPr>
              <w:t>深圳华南城</w:t>
            </w:r>
            <w:r>
              <w:rPr>
                <w:rFonts w:hint="eastAsia" w:ascii="仿宋_GB2312" w:hAnsi="宋体" w:eastAsia="仿宋_GB2312"/>
                <w:sz w:val="28"/>
                <w:szCs w:val="28"/>
                <w:u w:val="single"/>
                <w:lang w:val="en-US" w:eastAsia="zh-CN"/>
              </w:rPr>
              <w:t>一期市场阳光维修工程</w:t>
            </w:r>
          </w:p>
          <w:p w14:paraId="0406AB1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工程量清单计价明细表</w:t>
            </w:r>
          </w:p>
        </w:tc>
      </w:tr>
      <w:tr w14:paraId="6241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46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A0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BE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BF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9F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F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C8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主材费（元）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7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B5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0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管理费及利润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CD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0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CA4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28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5E65">
            <w:pPr>
              <w:jc w:val="center"/>
              <w:rPr>
                <w:rFonts w:hint="eastAsia" w:ascii="宋体" w:hAnsi="宋体" w:eastAsia="宋体" w:cs="宋体"/>
                <w:i w:val="0"/>
                <w:iCs w:val="0"/>
                <w:color w:val="000000"/>
                <w:sz w:val="20"/>
                <w:szCs w:val="20"/>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03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75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D0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4E7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5E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5F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2B0F">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6228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B4A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 </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64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6231">
            <w:pPr>
              <w:jc w:val="center"/>
              <w:rPr>
                <w:rFonts w:hint="eastAsia" w:ascii="宋体" w:hAnsi="宋体" w:eastAsia="宋体" w:cs="宋体"/>
                <w:i w:val="0"/>
                <w:iCs w:val="0"/>
                <w:color w:val="000000"/>
                <w:sz w:val="20"/>
                <w:szCs w:val="20"/>
                <w:u w:val="none"/>
              </w:rPr>
            </w:pPr>
          </w:p>
        </w:tc>
      </w:tr>
      <w:tr w14:paraId="1A3F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A11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9F8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AB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54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6762">
            <w:pPr>
              <w:jc w:val="center"/>
              <w:rPr>
                <w:rFonts w:hint="eastAsia"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CFC8">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556">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67D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EE7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C0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649">
            <w:pPr>
              <w:jc w:val="center"/>
              <w:rPr>
                <w:rFonts w:hint="eastAsia" w:ascii="宋体" w:hAnsi="宋体" w:eastAsia="宋体" w:cs="宋体"/>
                <w:i w:val="0"/>
                <w:iCs w:val="0"/>
                <w:color w:val="000000"/>
                <w:sz w:val="20"/>
                <w:szCs w:val="20"/>
                <w:u w:val="none"/>
              </w:rPr>
            </w:pPr>
          </w:p>
        </w:tc>
      </w:tr>
      <w:tr w14:paraId="1460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5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B0C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一期市场阳光板更换</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71B4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(1)雨棚阳光板品种、规格：2100*13100mm,厚度10mm 三层阳光板，每平方米重量不少于1.6kg.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(2)防火性能：不低于难燃B1等级。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(3)质保年限：10年。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(4)含铝压条、铝收口件、胶条、专用螺丝、密封胶等所有紧固、收口、密封辅材；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（5）含旧阳光板拆除、清理及垃圾外运，新阳光板安装、固定、密封、收口等全部工序；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(6)所有材料性能、技术参数符合现行国家、行业及地方相关标准、规范及设计要求。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6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5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F0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526">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7D2F">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9DC5">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3C0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6ED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DA8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F6ED">
            <w:pPr>
              <w:jc w:val="center"/>
              <w:rPr>
                <w:rFonts w:hint="eastAsia" w:ascii="宋体" w:hAnsi="宋体" w:eastAsia="宋体" w:cs="宋体"/>
                <w:i w:val="0"/>
                <w:iCs w:val="0"/>
                <w:color w:val="000000"/>
                <w:sz w:val="20"/>
                <w:szCs w:val="20"/>
                <w:u w:val="none"/>
              </w:rPr>
            </w:pPr>
          </w:p>
        </w:tc>
      </w:tr>
      <w:tr w14:paraId="589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4FA80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auto" w:sz="4" w:space="0"/>
              <w:left w:val="single" w:color="auto" w:sz="4" w:space="0"/>
              <w:bottom w:val="single" w:color="auto" w:sz="4" w:space="0"/>
              <w:right w:val="single" w:color="000000" w:sz="4" w:space="0"/>
            </w:tcBorders>
            <w:shd w:val="clear" w:color="auto" w:fill="auto"/>
            <w:vAlign w:val="center"/>
          </w:tcPr>
          <w:p w14:paraId="4410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一期市场钢结构加固</w:t>
            </w:r>
          </w:p>
        </w:tc>
        <w:tc>
          <w:tcPr>
            <w:tcW w:w="2700" w:type="dxa"/>
            <w:tcBorders>
              <w:top w:val="single" w:color="auto" w:sz="4" w:space="0"/>
              <w:left w:val="single" w:color="000000" w:sz="4" w:space="0"/>
              <w:bottom w:val="single" w:color="auto" w:sz="4" w:space="0"/>
              <w:right w:val="single" w:color="auto" w:sz="4" w:space="0"/>
            </w:tcBorders>
            <w:shd w:val="clear" w:color="auto" w:fill="auto"/>
            <w:vAlign w:val="center"/>
          </w:tcPr>
          <w:p w14:paraId="051C5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1、矩形管、圆管等各型号钢结构材料，包含旧钢管拆除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2、焊缝及钢管面层涂刷防腐防锈漆及面漆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满足设计、规范、施工、验收要求</w:t>
            </w: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2FD2D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F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3E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4331">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F9D4">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A52">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DB2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DDF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F57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1D1A">
            <w:pPr>
              <w:jc w:val="center"/>
              <w:rPr>
                <w:rFonts w:hint="eastAsia" w:ascii="宋体" w:hAnsi="宋体" w:eastAsia="宋体" w:cs="宋体"/>
                <w:i w:val="0"/>
                <w:iCs w:val="0"/>
                <w:color w:val="000000"/>
                <w:sz w:val="20"/>
                <w:szCs w:val="20"/>
                <w:u w:val="none"/>
              </w:rPr>
            </w:pPr>
          </w:p>
        </w:tc>
      </w:tr>
      <w:tr w14:paraId="1344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4C1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一期市场钢结构修复</w:t>
            </w:r>
          </w:p>
        </w:tc>
        <w:tc>
          <w:tcPr>
            <w:tcW w:w="2700" w:type="dxa"/>
            <w:tcBorders>
              <w:top w:val="single" w:color="auto" w:sz="4" w:space="0"/>
              <w:left w:val="single" w:color="000000" w:sz="4" w:space="0"/>
              <w:bottom w:val="nil"/>
              <w:right w:val="nil"/>
            </w:tcBorders>
            <w:shd w:val="clear" w:color="auto" w:fill="auto"/>
            <w:vAlign w:val="top"/>
          </w:tcPr>
          <w:p w14:paraId="663959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(1)旧涂层与锈蚀清除。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(2)刷涂防腐防锈涂料,底漆面漆各两面。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(3)所有材料性能、技术参数符合现行国家、行业及地方相关标准、规范及设计要求。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3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9E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DDE">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4A39">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71B7">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F82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CD8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9A3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C3BF">
            <w:pPr>
              <w:jc w:val="center"/>
              <w:rPr>
                <w:rFonts w:hint="eastAsia" w:ascii="宋体" w:hAnsi="宋体" w:eastAsia="宋体" w:cs="宋体"/>
                <w:i w:val="0"/>
                <w:iCs w:val="0"/>
                <w:color w:val="000000"/>
                <w:sz w:val="20"/>
                <w:szCs w:val="20"/>
                <w:u w:val="none"/>
              </w:rPr>
            </w:pPr>
          </w:p>
        </w:tc>
      </w:tr>
      <w:tr w14:paraId="4936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C04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措施费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3D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669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F09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45C">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68BC">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E1C0">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A3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A90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AB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D33">
            <w:pPr>
              <w:jc w:val="center"/>
              <w:rPr>
                <w:rFonts w:hint="eastAsia" w:ascii="宋体" w:hAnsi="宋体" w:eastAsia="宋体" w:cs="宋体"/>
                <w:i w:val="0"/>
                <w:iCs w:val="0"/>
                <w:color w:val="000000"/>
                <w:sz w:val="20"/>
                <w:szCs w:val="20"/>
                <w:u w:val="none"/>
              </w:rPr>
            </w:pPr>
          </w:p>
        </w:tc>
      </w:tr>
      <w:tr w14:paraId="6970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8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施工围挡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1、夹心泡沫彩钢板围挡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2、背侧角钢支撑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3、高度1.8m-2.5m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满足设计、规范、施工、验收要求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7747">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485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484A">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6FE9">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89C">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BD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157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D9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7A30">
            <w:pPr>
              <w:jc w:val="center"/>
              <w:rPr>
                <w:rFonts w:hint="eastAsia" w:ascii="宋体" w:hAnsi="宋体" w:eastAsia="宋体" w:cs="宋体"/>
                <w:i w:val="0"/>
                <w:iCs w:val="0"/>
                <w:color w:val="000000"/>
                <w:sz w:val="20"/>
                <w:szCs w:val="20"/>
                <w:u w:val="none"/>
              </w:rPr>
            </w:pPr>
          </w:p>
        </w:tc>
      </w:tr>
      <w:tr w14:paraId="2936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17F">
            <w:pPr>
              <w:jc w:val="left"/>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8A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3A7">
            <w:pPr>
              <w:jc w:val="both"/>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99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759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41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99C3">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8E6">
            <w:pPr>
              <w:jc w:val="center"/>
              <w:rPr>
                <w:rFonts w:hint="default" w:ascii="Tahoma" w:hAnsi="Tahoma" w:eastAsia="Tahoma" w:cs="Tahom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B3FD">
            <w:pPr>
              <w:jc w:val="center"/>
              <w:rPr>
                <w:rFonts w:hint="default" w:ascii="Tahoma" w:hAnsi="Tahoma" w:eastAsia="Tahoma" w:cs="Tahoma"/>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D00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CA3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DA9">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7FE7">
            <w:pPr>
              <w:jc w:val="center"/>
              <w:rPr>
                <w:rFonts w:hint="eastAsia" w:ascii="宋体" w:hAnsi="宋体" w:eastAsia="宋体" w:cs="宋体"/>
                <w:i w:val="0"/>
                <w:iCs w:val="0"/>
                <w:color w:val="000000"/>
                <w:sz w:val="20"/>
                <w:szCs w:val="20"/>
                <w:u w:val="none"/>
              </w:rPr>
            </w:pPr>
          </w:p>
        </w:tc>
      </w:tr>
      <w:tr w14:paraId="6E57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84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编制人：                                                 审核人：       </w:t>
            </w:r>
          </w:p>
        </w:tc>
      </w:tr>
    </w:tbl>
    <w:p w14:paraId="6C9B8986">
      <w:pPr>
        <w:tabs>
          <w:tab w:val="left" w:pos="7114"/>
        </w:tabs>
        <w:spacing w:line="360" w:lineRule="auto"/>
        <w:jc w:val="both"/>
        <w:rPr>
          <w:rFonts w:hint="eastAsia" w:ascii="宋体" w:hAnsi="宋体" w:eastAsia="宋体" w:cs="宋体"/>
          <w:b/>
          <w:bCs/>
          <w:spacing w:val="-2"/>
          <w:sz w:val="24"/>
          <w:lang w:eastAsia="zh-CN"/>
        </w:rPr>
      </w:pPr>
    </w:p>
    <w:p w14:paraId="3F4AF937">
      <w:pPr>
        <w:pStyle w:val="21"/>
        <w:spacing w:after="120" w:afterLines="50" w:line="520" w:lineRule="exact"/>
        <w:jc w:val="left"/>
        <w:rPr>
          <w:rFonts w:ascii="仿宋_GB2312" w:hAnsi="宋体" w:eastAsia="仿宋_GB2312"/>
          <w:sz w:val="24"/>
          <w:szCs w:val="24"/>
        </w:rPr>
      </w:pPr>
      <w:r>
        <w:rPr>
          <w:rFonts w:hint="eastAsia" w:ascii="仿宋_GB2312" w:hAnsi="宋体" w:eastAsia="仿宋_GB2312"/>
          <w:sz w:val="28"/>
          <w:szCs w:val="28"/>
        </w:rPr>
        <w:t xml:space="preserve"> </w:t>
      </w:r>
    </w:p>
    <w:p w14:paraId="06831A99">
      <w:pPr>
        <w:adjustRightInd w:val="0"/>
        <w:snapToGrid w:val="0"/>
        <w:spacing w:line="360" w:lineRule="auto"/>
        <w:ind w:firstLine="4800" w:firstLineChars="2000"/>
        <w:rPr>
          <w:rFonts w:ascii="仿宋" w:hAnsi="仿宋" w:eastAsia="仿宋" w:cs="楷体_GB2312"/>
          <w:kern w:val="0"/>
          <w:sz w:val="24"/>
        </w:rPr>
      </w:pPr>
    </w:p>
    <w:p w14:paraId="6EA36E9F">
      <w:pPr>
        <w:adjustRightInd w:val="0"/>
        <w:snapToGrid w:val="0"/>
        <w:spacing w:line="360" w:lineRule="auto"/>
        <w:ind w:firstLine="4800" w:firstLineChars="2000"/>
        <w:jc w:val="center"/>
        <w:rPr>
          <w:rFonts w:ascii="仿宋" w:hAnsi="仿宋" w:eastAsia="仿宋" w:cs="楷体_GB2312"/>
          <w:kern w:val="0"/>
          <w:sz w:val="24"/>
        </w:rPr>
        <w:sectPr>
          <w:pgSz w:w="16838" w:h="11906" w:orient="landscape"/>
          <w:pgMar w:top="1689" w:right="1423" w:bottom="1689" w:left="0" w:header="0" w:footer="0" w:gutter="0"/>
          <w:cols w:space="0" w:num="1"/>
          <w:rtlGutter w:val="0"/>
          <w:docGrid w:linePitch="0" w:charSpace="0"/>
        </w:sectPr>
      </w:pPr>
      <w:r>
        <w:rPr>
          <w:rFonts w:hint="eastAsia" w:ascii="仿宋" w:hAnsi="仿宋" w:eastAsia="仿宋" w:cs="楷体_GB2312"/>
          <w:kern w:val="0"/>
          <w:sz w:val="24"/>
          <w:lang w:val="en-US" w:eastAsia="zh-CN"/>
        </w:rPr>
        <w:t xml:space="preserve">                                     </w:t>
      </w:r>
      <w:r>
        <w:rPr>
          <w:rFonts w:hint="eastAsia" w:ascii="仿宋" w:hAnsi="仿宋" w:eastAsia="仿宋" w:cs="楷体_GB2312"/>
          <w:kern w:val="0"/>
          <w:sz w:val="24"/>
        </w:rPr>
        <w:t>投标人（盖章）</w:t>
      </w:r>
    </w:p>
    <w:p w14:paraId="7F9526E6">
      <w:pPr>
        <w:pStyle w:val="115"/>
        <w:ind w:firstLine="2650" w:firstLineChars="600"/>
        <w:outlineLvl w:val="0"/>
        <w:rPr>
          <w:b/>
          <w:sz w:val="44"/>
          <w:szCs w:val="44"/>
        </w:rPr>
      </w:pPr>
      <w:r>
        <w:rPr>
          <w:rFonts w:hint="eastAsia"/>
          <w:b/>
          <w:sz w:val="44"/>
          <w:szCs w:val="44"/>
        </w:rPr>
        <w:t>第五章 中标通知书</w:t>
      </w:r>
    </w:p>
    <w:p w14:paraId="3EF68583">
      <w:pPr>
        <w:pStyle w:val="115"/>
        <w:outlineLvl w:val="0"/>
      </w:pPr>
    </w:p>
    <w:p w14:paraId="37A5A32C">
      <w:pPr>
        <w:spacing w:line="360" w:lineRule="auto"/>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cs="仿宋_GB2312"/>
          <w:sz w:val="28"/>
          <w:szCs w:val="28"/>
          <w:u w:val="single"/>
        </w:rPr>
        <w:t xml:space="preserve">                </w:t>
      </w:r>
      <w:r>
        <w:rPr>
          <w:rFonts w:hint="eastAsia" w:ascii="仿宋" w:hAnsi="仿宋" w:eastAsia="仿宋"/>
          <w:sz w:val="28"/>
          <w:szCs w:val="28"/>
        </w:rPr>
        <w:t>：</w:t>
      </w:r>
    </w:p>
    <w:p w14:paraId="693A61C8">
      <w:pPr>
        <w:spacing w:line="360" w:lineRule="auto"/>
        <w:ind w:firstLine="560" w:firstLineChars="200"/>
        <w:jc w:val="left"/>
        <w:rPr>
          <w:rFonts w:ascii="仿宋" w:hAnsi="仿宋" w:eastAsia="仿宋"/>
          <w:sz w:val="28"/>
          <w:szCs w:val="28"/>
        </w:rPr>
      </w:pPr>
      <w:r>
        <w:rPr>
          <w:rFonts w:hint="eastAsia" w:ascii="仿宋" w:hAnsi="仿宋" w:eastAsia="仿宋" w:cs="仿宋_GB2312"/>
          <w:sz w:val="28"/>
          <w:szCs w:val="28"/>
        </w:rPr>
        <w:t>我司</w:t>
      </w:r>
      <w:r>
        <w:rPr>
          <w:rFonts w:hint="eastAsia" w:ascii="仿宋" w:hAnsi="仿宋" w:eastAsia="仿宋" w:cs="仿宋_GB2312"/>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已于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日进行招标，经评定，现正式通知贵司，我司已选定贵司为</w:t>
      </w:r>
      <w:r>
        <w:rPr>
          <w:rFonts w:hint="eastAsia" w:ascii="仿宋" w:hAnsi="仿宋" w:eastAsia="仿宋" w:cs="仿宋_GB2312"/>
          <w:sz w:val="28"/>
          <w:szCs w:val="28"/>
          <w:u w:val="single"/>
        </w:rPr>
        <w:t xml:space="preserve">                 </w:t>
      </w:r>
      <w:r>
        <w:rPr>
          <w:rFonts w:hint="eastAsia" w:ascii="仿宋" w:hAnsi="仿宋" w:eastAsia="仿宋"/>
          <w:sz w:val="28"/>
          <w:szCs w:val="28"/>
        </w:rPr>
        <w:t>中标单位，并接纳贵公司的投标文件：</w:t>
      </w:r>
    </w:p>
    <w:p w14:paraId="348F80AD">
      <w:pPr>
        <w:spacing w:line="360" w:lineRule="auto"/>
        <w:ind w:left="705"/>
        <w:jc w:val="left"/>
        <w:rPr>
          <w:rFonts w:ascii="仿宋" w:hAnsi="仿宋" w:eastAsia="仿宋"/>
          <w:sz w:val="28"/>
          <w:szCs w:val="28"/>
        </w:rPr>
      </w:pPr>
      <w:r>
        <w:rPr>
          <w:rFonts w:hint="eastAsia" w:ascii="仿宋" w:hAnsi="仿宋" w:eastAsia="仿宋" w:cs="宋体"/>
          <w:kern w:val="0"/>
          <w:sz w:val="28"/>
          <w:szCs w:val="32"/>
        </w:rPr>
        <w:t>1、</w:t>
      </w:r>
      <w:r>
        <w:rPr>
          <w:rFonts w:hint="eastAsia" w:ascii="仿宋" w:hAnsi="仿宋" w:eastAsia="仿宋"/>
          <w:sz w:val="28"/>
          <w:szCs w:val="28"/>
        </w:rPr>
        <w:t>中标价格：</w:t>
      </w:r>
      <w:r>
        <w:rPr>
          <w:rFonts w:hint="eastAsia" w:ascii="仿宋" w:hAnsi="仿宋" w:eastAsia="仿宋"/>
          <w:sz w:val="28"/>
          <w:szCs w:val="28"/>
          <w:u w:val="single"/>
        </w:rPr>
        <w:t xml:space="preserve">￥      元  </w:t>
      </w: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cs="宋体"/>
          <w:kern w:val="0"/>
          <w:sz w:val="28"/>
          <w:szCs w:val="32"/>
        </w:rPr>
        <w:t>；</w:t>
      </w:r>
    </w:p>
    <w:p w14:paraId="5CC589AD">
      <w:pPr>
        <w:spacing w:line="360" w:lineRule="auto"/>
        <w:ind w:firstLine="700" w:firstLineChars="250"/>
        <w:jc w:val="left"/>
        <w:rPr>
          <w:rFonts w:ascii="仿宋" w:hAnsi="仿宋" w:eastAsia="仿宋"/>
          <w:sz w:val="28"/>
          <w:szCs w:val="28"/>
        </w:rPr>
      </w:pPr>
      <w:r>
        <w:rPr>
          <w:rFonts w:hint="eastAsia" w:ascii="仿宋" w:hAnsi="仿宋" w:eastAsia="仿宋"/>
          <w:sz w:val="28"/>
          <w:szCs w:val="28"/>
        </w:rPr>
        <w:t>2、中标服务周期：</w:t>
      </w:r>
      <w:r>
        <w:rPr>
          <w:rFonts w:hint="eastAsia" w:ascii="仿宋" w:hAnsi="仿宋" w:eastAsia="仿宋"/>
          <w:sz w:val="28"/>
          <w:szCs w:val="28"/>
          <w:u w:val="single"/>
        </w:rPr>
        <w:t xml:space="preserve">      </w:t>
      </w:r>
      <w:r>
        <w:rPr>
          <w:rFonts w:hint="eastAsia" w:ascii="仿宋" w:hAnsi="仿宋" w:eastAsia="仿宋"/>
          <w:sz w:val="28"/>
          <w:szCs w:val="28"/>
        </w:rPr>
        <w:t>年</w:t>
      </w:r>
    </w:p>
    <w:p w14:paraId="49FB18C7">
      <w:pPr>
        <w:spacing w:line="360" w:lineRule="auto"/>
        <w:ind w:firstLine="700" w:firstLineChars="250"/>
        <w:jc w:val="left"/>
        <w:rPr>
          <w:rFonts w:ascii="仿宋" w:hAnsi="仿宋" w:eastAsia="仿宋"/>
          <w:sz w:val="28"/>
          <w:szCs w:val="28"/>
          <w:u w:val="single"/>
        </w:rPr>
      </w:pPr>
      <w:r>
        <w:rPr>
          <w:rFonts w:hint="eastAsia" w:ascii="仿宋" w:hAnsi="仿宋" w:eastAsia="仿宋"/>
          <w:sz w:val="28"/>
          <w:szCs w:val="28"/>
        </w:rPr>
        <w:t>3、项目负责人：</w:t>
      </w:r>
      <w:r>
        <w:rPr>
          <w:rFonts w:hint="eastAsia" w:ascii="仿宋" w:hAnsi="仿宋" w:eastAsia="仿宋"/>
          <w:sz w:val="28"/>
          <w:szCs w:val="28"/>
          <w:u w:val="single"/>
        </w:rPr>
        <w:t xml:space="preserve">        </w:t>
      </w:r>
    </w:p>
    <w:p w14:paraId="489282CB">
      <w:pPr>
        <w:spacing w:line="360" w:lineRule="auto"/>
        <w:ind w:firstLine="700" w:firstLineChars="250"/>
        <w:jc w:val="left"/>
        <w:rPr>
          <w:rFonts w:ascii="仿宋" w:hAnsi="仿宋" w:eastAsia="仿宋"/>
          <w:sz w:val="28"/>
          <w:szCs w:val="28"/>
        </w:rPr>
      </w:pPr>
      <w:r>
        <w:rPr>
          <w:rFonts w:hint="eastAsia" w:ascii="仿宋" w:hAnsi="仿宋" w:eastAsia="仿宋"/>
          <w:sz w:val="28"/>
          <w:szCs w:val="28"/>
        </w:rPr>
        <w:t>4、贵公司须在接到本通知后</w:t>
      </w:r>
      <w:r>
        <w:rPr>
          <w:rFonts w:hint="eastAsia" w:ascii="仿宋" w:hAnsi="仿宋" w:eastAsia="仿宋"/>
          <w:sz w:val="28"/>
          <w:szCs w:val="28"/>
          <w:u w:val="single"/>
        </w:rPr>
        <w:t xml:space="preserve">   </w:t>
      </w:r>
      <w:r>
        <w:rPr>
          <w:rFonts w:hint="eastAsia" w:ascii="仿宋" w:hAnsi="仿宋" w:eastAsia="仿宋"/>
          <w:sz w:val="28"/>
          <w:szCs w:val="28"/>
        </w:rPr>
        <w:t>日内与我司商议并签订合同。</w:t>
      </w:r>
    </w:p>
    <w:p w14:paraId="3E4F9621">
      <w:pPr>
        <w:spacing w:line="360" w:lineRule="auto"/>
        <w:ind w:firstLine="1120" w:firstLineChars="400"/>
        <w:jc w:val="left"/>
        <w:rPr>
          <w:rFonts w:ascii="仿宋" w:hAnsi="仿宋" w:eastAsia="仿宋"/>
          <w:sz w:val="28"/>
          <w:szCs w:val="28"/>
        </w:rPr>
      </w:pPr>
      <w:r>
        <w:rPr>
          <w:rFonts w:hint="eastAsia" w:ascii="仿宋" w:hAnsi="仿宋" w:eastAsia="仿宋"/>
          <w:sz w:val="28"/>
          <w:szCs w:val="28"/>
        </w:rPr>
        <w:t>谨此函告</w:t>
      </w:r>
    </w:p>
    <w:p w14:paraId="02845861">
      <w:pPr>
        <w:spacing w:line="360" w:lineRule="auto"/>
        <w:rPr>
          <w:rFonts w:ascii="仿宋" w:hAnsi="仿宋" w:eastAsia="仿宋"/>
          <w:sz w:val="28"/>
          <w:szCs w:val="28"/>
        </w:rPr>
      </w:pPr>
    </w:p>
    <w:p w14:paraId="1D2188DD">
      <w:pPr>
        <w:wordWrap w:val="0"/>
        <w:spacing w:line="360" w:lineRule="auto"/>
        <w:ind w:right="140"/>
        <w:jc w:val="center"/>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（招标人）   </w:t>
      </w:r>
    </w:p>
    <w:p w14:paraId="28E9391F">
      <w:pPr>
        <w:pStyle w:val="115"/>
        <w:ind w:left="0" w:leftChars="0" w:firstLine="0" w:firstLineChars="0"/>
        <w:rPr>
          <w:rFonts w:hint="default" w:eastAsia="仿宋"/>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日  期：</w:t>
      </w:r>
    </w:p>
    <w:sectPr>
      <w:pgSz w:w="11906" w:h="16838"/>
      <w:pgMar w:top="1423" w:right="1689" w:bottom="0" w:left="1689"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Guli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으뜸체">
    <w:altName w:val="Malgun Gothic"/>
    <w:panose1 w:val="00000000000000000000"/>
    <w:charset w:val="81"/>
    <w:family w:val="roman"/>
    <w:pitch w:val="default"/>
    <w:sig w:usb0="00000000" w:usb1="00000000" w:usb2="00000010" w:usb3="00000000" w:csb0="00080000" w:csb1="00000000"/>
  </w:font>
  <w:font w:name="Verdana">
    <w:panose1 w:val="020B0604030504040204"/>
    <w:charset w:val="00"/>
    <w:family w:val="swiss"/>
    <w:pitch w:val="default"/>
    <w:sig w:usb0="A00006FF" w:usb1="4000205B" w:usb2="00000010" w:usb3="00000000" w:csb0="2000019F" w:csb1="00000000"/>
  </w:font>
  <w:font w:name="Futura LtCn B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927325"/>
      <w:docPartObj>
        <w:docPartGallery w:val="autotext"/>
      </w:docPartObj>
    </w:sdtPr>
    <w:sdtContent>
      <w:sdt>
        <w:sdtPr>
          <w:id w:val="-15009745"/>
          <w:docPartObj>
            <w:docPartGallery w:val="autotext"/>
          </w:docPartObj>
        </w:sdtPr>
        <w:sdtContent>
          <w:p w14:paraId="00A914B9">
            <w:pPr>
              <w:pStyle w:val="2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136</w:t>
            </w:r>
            <w:r>
              <w:rPr>
                <w:b/>
                <w:bCs/>
                <w:sz w:val="24"/>
                <w:szCs w:val="24"/>
              </w:rPr>
              <w:fldChar w:fldCharType="end"/>
            </w:r>
          </w:p>
        </w:sdtContent>
      </w:sdt>
    </w:sdtContent>
  </w:sdt>
  <w:p w14:paraId="371450CE">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A147">
    <w:pPr>
      <w:pStyle w:val="26"/>
      <w:ind w:right="360"/>
      <w:jc w:val="center"/>
      <w:rPr>
        <w:b/>
        <w:sz w:val="24"/>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7595" cy="147955"/>
              <wp:effectExtent l="0" t="0" r="0" b="444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077595" cy="147955"/>
                      </a:xfrm>
                      <a:prstGeom prst="rect">
                        <a:avLst/>
                      </a:prstGeom>
                      <a:noFill/>
                      <a:ln>
                        <a:noFill/>
                      </a:ln>
                    </wps:spPr>
                    <wps:txbx>
                      <w:txbxContent>
                        <w:p w14:paraId="50C9A846">
                          <w:pPr>
                            <w:pStyle w:val="60"/>
                          </w:pPr>
                          <w:r>
                            <w:rPr>
                              <w:rFonts w:hint="eastAsia"/>
                            </w:rPr>
                            <w:t xml:space="preserve">第 </w:t>
                          </w:r>
                          <w:r>
                            <w:fldChar w:fldCharType="begin"/>
                          </w:r>
                          <w:r>
                            <w:instrText xml:space="preserve"> PAGE  \* MERGEFORMAT </w:instrText>
                          </w:r>
                          <w:r>
                            <w:fldChar w:fldCharType="separate"/>
                          </w:r>
                          <w:r>
                            <w:t>35</w:t>
                          </w:r>
                          <w:r>
                            <w:fldChar w:fldCharType="end"/>
                          </w:r>
                          <w:r>
                            <w:rPr>
                              <w:rFonts w:hint="eastAsia"/>
                            </w:rPr>
                            <w:t xml:space="preserve"> 页 共 </w:t>
                          </w:r>
                          <w:r>
                            <w:fldChar w:fldCharType="begin"/>
                          </w:r>
                          <w:r>
                            <w:instrText xml:space="preserve"> NUMPAGES  \* MERGEFORMAT </w:instrText>
                          </w:r>
                          <w:r>
                            <w:fldChar w:fldCharType="separate"/>
                          </w:r>
                          <w:r>
                            <w:t>136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1.65pt;width:84.85pt;mso-position-horizontal:center;mso-position-horizontal-relative:margin;mso-wrap-style:none;z-index:251659264;mso-width-relative:page;mso-height-relative:page;" filled="f" stroked="f" coordsize="21600,21600" o:gfxdata="UEsDBAoAAAAAAIdO4kAAAAAAAAAAAAAAAAAEAAAAZHJzL1BLAwQUAAAACACHTuJAiPHbCdMAAAAE&#10;AQAADwAAAGRycy9kb3ducmV2LnhtbE2PzU7DMBCE70i8g7VI3KjdVColxOkBqRIgLk15ADfe/Ah7&#10;N7Ldprw9Lhe4rDSa0cy31fbinThjiCOThuVCgUBq2Y7Ua/g87B42IGIyZI1jQg3fGGFb395UprQ8&#10;0x7PTepFLqFYGg1DSlMpZWwH9CYueELKXsfBm5Rl6KUNZs7l3slCqbX0ZqS8MJgJXwZsv5qT1yAP&#10;zW7eNC4ofi+6D/f2uu+Qtb6/W6pnEAkv6S8MV/yMDnVmOvKJbBROQ34k/d6rt356BHHUUKxWIOtK&#10;/oevfwBQSwMEFAAAAAgAh07iQJYtZskDAgAA9gMAAA4AAABkcnMvZTJvRG9jLnhtbK1TzY7TMBC+&#10;I/EOlu80yYpSGjVdrbYqQlpgpYUHcB2nsYg91thtUl4GiRsPweMgXoOx05b9ueyBizW2x9983zfj&#10;xeVgOrZX6DXYiheTnDNlJdTabiv+5fP61VvOfBC2Fh1YVfGD8vxy+fLFoneluoAWulohIxDry95V&#10;vA3BlVnmZauM8BNwytJlA2hEoC1usxpFT+imyy7y/E3WA9YOQSrv6XQ1XvIjIj4HEJpGS7UCuTPK&#10;hhEVVScCSfKtdp4vE9umUTJ8ahqvAusqTkpDWqkIxZu4ZsuFKLcoXKvlkYJ4DoVHmozQloqeoVYi&#10;CLZD/QTKaIngoQkTCSYbhSRHSEWRP/LmrhVOJS1ktXdn0/3/g5Uf97fIdF3xOWdWGGr4n+8/f//6&#10;webRm975klLu3C1Gdd7dgPzqmYXrVtitukKEvlWiJkZFzM8ePIgbT0/Zpv8ANUGLXYBk09CgiYBk&#10;ABtSNw7nbqghMEmHRT6bTedTziTdFa9n8+k0lRDl6bVDH94pMCwGFUfqdkIX+xsfIhtRnlJiMQtr&#10;3XWp4519cECJ8SSxj4RH4WHYDEcPNlAfSAfCOED0fShoAb9x1tPwVNzSX+Gse2/JiThnpwBPweYU&#10;CCvpYcUDZ2N4HcZ53DnU25ZwiyTCuytya62TkOjkyOHIksYh6TuObpy3+/uU9e+7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HbCdMAAAAEAQAADwAAAAAAAAABACAAAAAiAAAAZHJzL2Rvd25y&#10;ZXYueG1sUEsBAhQAFAAAAAgAh07iQJYtZskDAgAA9gMAAA4AAAAAAAAAAQAgAAAAIgEAAGRycy9l&#10;Mm9Eb2MueG1sUEsFBgAAAAAGAAYAWQEAAJcFAAAAAA==&#10;">
              <v:fill on="f" focussize="0,0"/>
              <v:stroke on="f"/>
              <v:imagedata o:title=""/>
              <o:lock v:ext="edit" aspectratio="f"/>
              <v:textbox inset="0mm,0mm,0mm,0mm" style="mso-fit-shape-to-text:t;">
                <w:txbxContent>
                  <w:p w14:paraId="50C9A846">
                    <w:pPr>
                      <w:pStyle w:val="60"/>
                    </w:pPr>
                    <w:r>
                      <w:rPr>
                        <w:rFonts w:hint="eastAsia"/>
                      </w:rPr>
                      <w:t xml:space="preserve">第 </w:t>
                    </w:r>
                    <w:r>
                      <w:fldChar w:fldCharType="begin"/>
                    </w:r>
                    <w:r>
                      <w:instrText xml:space="preserve"> PAGE  \* MERGEFORMAT </w:instrText>
                    </w:r>
                    <w:r>
                      <w:fldChar w:fldCharType="separate"/>
                    </w:r>
                    <w:r>
                      <w:t>35</w:t>
                    </w:r>
                    <w:r>
                      <w:fldChar w:fldCharType="end"/>
                    </w:r>
                    <w:r>
                      <w:rPr>
                        <w:rFonts w:hint="eastAsia"/>
                      </w:rPr>
                      <w:t xml:space="preserve"> 页 共 </w:t>
                    </w:r>
                    <w:r>
                      <w:fldChar w:fldCharType="begin"/>
                    </w:r>
                    <w:r>
                      <w:instrText xml:space="preserve"> NUMPAGES  \* MERGEFORMAT </w:instrText>
                    </w:r>
                    <w:r>
                      <w:fldChar w:fldCharType="separate"/>
                    </w:r>
                    <w:r>
                      <w:t>136</w:t>
                    </w:r>
                    <w:r>
                      <w:fldChar w:fldCharType="end"/>
                    </w:r>
                    <w:r>
                      <w:rPr>
                        <w:rFonts w:hint="eastAsia"/>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2B78">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B0042">
                          <w:pPr>
                            <w:pStyle w:val="26"/>
                            <w:jc w:val="center"/>
                          </w:pPr>
                          <w:r>
                            <w:fldChar w:fldCharType="begin"/>
                          </w:r>
                          <w:r>
                            <w:instrText xml:space="preserve"> PAGE  \* MERGEFORMAT </w:instrText>
                          </w:r>
                          <w:r>
                            <w:fldChar w:fldCharType="separate"/>
                          </w:r>
                          <w:r>
                            <w:t>136</w:t>
                          </w:r>
                          <w:r>
                            <w:fldChar w:fldCharType="end"/>
                          </w:r>
                          <w:r>
                            <w:t xml:space="preserve"> / </w:t>
                          </w:r>
                          <w:r>
                            <w:fldChar w:fldCharType="begin"/>
                          </w:r>
                          <w:r>
                            <w:instrText xml:space="preserve"> NUMPAGES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9B0042">
                    <w:pPr>
                      <w:pStyle w:val="26"/>
                      <w:jc w:val="center"/>
                    </w:pPr>
                    <w:r>
                      <w:fldChar w:fldCharType="begin"/>
                    </w:r>
                    <w:r>
                      <w:instrText xml:space="preserve"> PAGE  \* MERGEFORMAT </w:instrText>
                    </w:r>
                    <w:r>
                      <w:fldChar w:fldCharType="separate"/>
                    </w:r>
                    <w:r>
                      <w:t>136</w:t>
                    </w:r>
                    <w:r>
                      <w:fldChar w:fldCharType="end"/>
                    </w:r>
                    <w:r>
                      <w:t xml:space="preserve"> / </w:t>
                    </w:r>
                    <w:r>
                      <w:fldChar w:fldCharType="begin"/>
                    </w:r>
                    <w:r>
                      <w:instrText xml:space="preserve"> NUMPAGES  \* MERGEFORMAT </w:instrText>
                    </w:r>
                    <w:r>
                      <w:fldChar w:fldCharType="separate"/>
                    </w:r>
                    <w:r>
                      <w:t>136</w:t>
                    </w:r>
                    <w:r>
                      <w:fldChar w:fldCharType="end"/>
                    </w:r>
                  </w:p>
                </w:txbxContent>
              </v:textbox>
            </v:shape>
          </w:pict>
        </mc:Fallback>
      </mc:AlternateContent>
    </w:r>
  </w:p>
  <w:p w14:paraId="0EF46D35">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D6FC">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5F39">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1AFDC"/>
    <w:multiLevelType w:val="singleLevel"/>
    <w:tmpl w:val="89D1AFDC"/>
    <w:lvl w:ilvl="0" w:tentative="0">
      <w:start w:val="1"/>
      <w:numFmt w:val="chineseCounting"/>
      <w:suff w:val="nothing"/>
      <w:lvlText w:val="%1、"/>
      <w:lvlJc w:val="left"/>
      <w:rPr>
        <w:rFonts w:hint="eastAsia"/>
      </w:rPr>
    </w:lvl>
  </w:abstractNum>
  <w:abstractNum w:abstractNumId="1">
    <w:nsid w:val="A7790FFD"/>
    <w:multiLevelType w:val="singleLevel"/>
    <w:tmpl w:val="A7790FFD"/>
    <w:lvl w:ilvl="0" w:tentative="0">
      <w:start w:val="1"/>
      <w:numFmt w:val="chineseCounting"/>
      <w:suff w:val="nothing"/>
      <w:lvlText w:val="（%1）"/>
      <w:lvlJc w:val="left"/>
      <w:pPr>
        <w:ind w:left="0" w:firstLine="0"/>
      </w:pPr>
    </w:lvl>
  </w:abstractNum>
  <w:abstractNum w:abstractNumId="2">
    <w:nsid w:val="CF5293B7"/>
    <w:multiLevelType w:val="singleLevel"/>
    <w:tmpl w:val="CF5293B7"/>
    <w:lvl w:ilvl="0" w:tentative="0">
      <w:start w:val="1"/>
      <w:numFmt w:val="decimal"/>
      <w:suff w:val="nothing"/>
      <w:lvlText w:val="%1、"/>
      <w:lvlJc w:val="left"/>
      <w:pPr>
        <w:ind w:left="0" w:firstLine="0"/>
      </w:pPr>
    </w:lvl>
  </w:abstractNum>
  <w:abstractNum w:abstractNumId="3">
    <w:nsid w:val="E138627B"/>
    <w:multiLevelType w:val="multilevel"/>
    <w:tmpl w:val="E138627B"/>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FFFFFF7C"/>
    <w:multiLevelType w:val="singleLevel"/>
    <w:tmpl w:val="FFFFFF7C"/>
    <w:lvl w:ilvl="0" w:tentative="0">
      <w:start w:val="1"/>
      <w:numFmt w:val="decimal"/>
      <w:pStyle w:val="31"/>
      <w:lvlText w:val="%1."/>
      <w:lvlJc w:val="left"/>
      <w:pPr>
        <w:tabs>
          <w:tab w:val="left" w:pos="2040"/>
        </w:tabs>
        <w:ind w:left="2040" w:leftChars="800" w:hanging="360" w:hangingChars="200"/>
      </w:pPr>
    </w:lvl>
  </w:abstractNum>
  <w:abstractNum w:abstractNumId="5">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6">
    <w:nsid w:val="00000001"/>
    <w:multiLevelType w:val="multilevel"/>
    <w:tmpl w:val="00000001"/>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00000007"/>
    <w:multiLevelType w:val="multilevel"/>
    <w:tmpl w:val="00000007"/>
    <w:lvl w:ilvl="0" w:tentative="0">
      <w:start w:val="1"/>
      <w:numFmt w:val="japaneseCounting"/>
      <w:lvlText w:val="第%1条"/>
      <w:lvlJc w:val="left"/>
      <w:pPr>
        <w:ind w:left="1690" w:hanging="840"/>
      </w:pPr>
      <w:rPr>
        <w:rFonts w:hint="default" w:ascii="黑体" w:hAnsi="黑体" w:eastAsia="黑体" w:cs="Times New Roman"/>
        <w:b w:val="0"/>
        <w:sz w:val="24"/>
        <w:szCs w:val="24"/>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8">
    <w:nsid w:val="1DD4FDBA"/>
    <w:multiLevelType w:val="singleLevel"/>
    <w:tmpl w:val="1DD4FDBA"/>
    <w:lvl w:ilvl="0" w:tentative="0">
      <w:start w:val="1"/>
      <w:numFmt w:val="decimal"/>
      <w:suff w:val="nothing"/>
      <w:lvlText w:val="%1、"/>
      <w:lvlJc w:val="left"/>
      <w:pPr>
        <w:ind w:left="0" w:firstLine="0"/>
      </w:pPr>
    </w:lvl>
  </w:abstractNum>
  <w:abstractNum w:abstractNumId="9">
    <w:nsid w:val="1E3FAD86"/>
    <w:multiLevelType w:val="multilevel"/>
    <w:tmpl w:val="1E3FAD86"/>
    <w:lvl w:ilvl="0" w:tentative="0">
      <w:start w:val="1"/>
      <w:numFmt w:val="japaneseCounting"/>
      <w:lvlText w:val="第%1条"/>
      <w:lvlJc w:val="left"/>
      <w:pPr>
        <w:tabs>
          <w:tab w:val="left" w:pos="1440"/>
        </w:tabs>
        <w:ind w:left="1440" w:hanging="960"/>
      </w:pPr>
      <w:rPr>
        <w:rFonts w:hint="eastAsia" w:ascii="仿宋_GB2312" w:hAnsi="黑体" w:eastAsia="仿宋_GB2312"/>
        <w:b w:val="0"/>
        <w:sz w:val="28"/>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24C4556A"/>
    <w:multiLevelType w:val="singleLevel"/>
    <w:tmpl w:val="24C4556A"/>
    <w:lvl w:ilvl="0" w:tentative="0">
      <w:start w:val="1"/>
      <w:numFmt w:val="decimal"/>
      <w:suff w:val="nothing"/>
      <w:lvlText w:val="%1、"/>
      <w:lvlJc w:val="left"/>
      <w:pPr>
        <w:ind w:left="0" w:firstLine="0"/>
      </w:pPr>
    </w:lvl>
  </w:abstractNum>
  <w:abstractNum w:abstractNumId="11">
    <w:nsid w:val="3AB4DD65"/>
    <w:multiLevelType w:val="singleLevel"/>
    <w:tmpl w:val="3AB4DD65"/>
    <w:lvl w:ilvl="0" w:tentative="0">
      <w:start w:val="1"/>
      <w:numFmt w:val="decimal"/>
      <w:suff w:val="nothing"/>
      <w:lvlText w:val="%1、"/>
      <w:lvlJc w:val="left"/>
      <w:pPr>
        <w:ind w:left="0" w:firstLine="0"/>
      </w:pPr>
    </w:lvl>
  </w:abstractNum>
  <w:abstractNum w:abstractNumId="12">
    <w:nsid w:val="4221613F"/>
    <w:multiLevelType w:val="singleLevel"/>
    <w:tmpl w:val="4221613F"/>
    <w:lvl w:ilvl="0" w:tentative="0">
      <w:start w:val="1"/>
      <w:numFmt w:val="decimal"/>
      <w:lvlText w:val="%1."/>
      <w:lvlJc w:val="left"/>
      <w:pPr>
        <w:tabs>
          <w:tab w:val="left" w:pos="312"/>
        </w:tabs>
        <w:ind w:left="0" w:firstLine="0"/>
      </w:pPr>
    </w:lvl>
  </w:abstractNum>
  <w:num w:numId="1">
    <w:abstractNumId w:val="6"/>
  </w:num>
  <w:num w:numId="2">
    <w:abstractNumId w:val="5"/>
  </w:num>
  <w:num w:numId="3">
    <w:abstractNumId w:val="4"/>
  </w:num>
  <w:num w:numId="4">
    <w:abstractNumId w:val="1"/>
    <w:lvlOverride w:ilvl="0">
      <w:startOverride w:val="1"/>
    </w:lvlOverride>
  </w:num>
  <w:num w:numId="5">
    <w:abstractNumId w:val="12"/>
    <w:lvlOverride w:ilvl="0">
      <w:startOverride w:val="1"/>
    </w:lvlOverride>
  </w:num>
  <w:num w:numId="6">
    <w:abstractNumId w:val="11"/>
    <w:lvlOverride w:ilvl="0">
      <w:startOverride w:val="1"/>
    </w:lvlOverride>
  </w:num>
  <w:num w:numId="7">
    <w:abstractNumId w:val="2"/>
    <w:lvlOverride w:ilvl="0">
      <w:startOverride w:val="1"/>
    </w:lvlOverride>
  </w:num>
  <w:num w:numId="8">
    <w:abstractNumId w:val="8"/>
    <w:lvlOverride w:ilvl="0">
      <w:startOverride w:val="1"/>
    </w:lvlOverride>
  </w:num>
  <w:num w:numId="9">
    <w:abstractNumId w:val="10"/>
    <w:lvlOverride w:ilvl="0">
      <w:startOverride w:val="1"/>
    </w:lvlOverride>
  </w:num>
  <w:num w:numId="10">
    <w:abstractNumId w:val="7"/>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70"/>
    <w:rsid w:val="00023B2A"/>
    <w:rsid w:val="000B3A8B"/>
    <w:rsid w:val="000D42C6"/>
    <w:rsid w:val="000F188A"/>
    <w:rsid w:val="00107604"/>
    <w:rsid w:val="00121FC2"/>
    <w:rsid w:val="00187E1B"/>
    <w:rsid w:val="001F0BC5"/>
    <w:rsid w:val="001F6CEF"/>
    <w:rsid w:val="00212A7D"/>
    <w:rsid w:val="0027477D"/>
    <w:rsid w:val="002A3889"/>
    <w:rsid w:val="002B7F64"/>
    <w:rsid w:val="002D3CB2"/>
    <w:rsid w:val="0030050C"/>
    <w:rsid w:val="00323BF1"/>
    <w:rsid w:val="003A0240"/>
    <w:rsid w:val="003A2A04"/>
    <w:rsid w:val="003C2545"/>
    <w:rsid w:val="003D711C"/>
    <w:rsid w:val="00412F83"/>
    <w:rsid w:val="00425E34"/>
    <w:rsid w:val="00495EA2"/>
    <w:rsid w:val="004A305A"/>
    <w:rsid w:val="004F6D25"/>
    <w:rsid w:val="00526917"/>
    <w:rsid w:val="00532A8B"/>
    <w:rsid w:val="00537966"/>
    <w:rsid w:val="00554F67"/>
    <w:rsid w:val="00571E4D"/>
    <w:rsid w:val="00583A08"/>
    <w:rsid w:val="00593490"/>
    <w:rsid w:val="00623DB2"/>
    <w:rsid w:val="0064443C"/>
    <w:rsid w:val="00661AA0"/>
    <w:rsid w:val="006626B7"/>
    <w:rsid w:val="006645D2"/>
    <w:rsid w:val="006869BB"/>
    <w:rsid w:val="006C3C09"/>
    <w:rsid w:val="006E7752"/>
    <w:rsid w:val="00744898"/>
    <w:rsid w:val="0076181E"/>
    <w:rsid w:val="00764F9B"/>
    <w:rsid w:val="00767690"/>
    <w:rsid w:val="007777E1"/>
    <w:rsid w:val="0077799B"/>
    <w:rsid w:val="007A7470"/>
    <w:rsid w:val="007A7F1D"/>
    <w:rsid w:val="00812272"/>
    <w:rsid w:val="00850ABA"/>
    <w:rsid w:val="00855976"/>
    <w:rsid w:val="00893649"/>
    <w:rsid w:val="00895538"/>
    <w:rsid w:val="008B250B"/>
    <w:rsid w:val="008F422D"/>
    <w:rsid w:val="00902DF9"/>
    <w:rsid w:val="00917F98"/>
    <w:rsid w:val="00937099"/>
    <w:rsid w:val="009674EA"/>
    <w:rsid w:val="009B3A8B"/>
    <w:rsid w:val="009F262A"/>
    <w:rsid w:val="00A1404C"/>
    <w:rsid w:val="00A215CA"/>
    <w:rsid w:val="00A37471"/>
    <w:rsid w:val="00A4556D"/>
    <w:rsid w:val="00A56B5F"/>
    <w:rsid w:val="00A6057F"/>
    <w:rsid w:val="00AB345B"/>
    <w:rsid w:val="00B3374E"/>
    <w:rsid w:val="00BC6218"/>
    <w:rsid w:val="00BD3397"/>
    <w:rsid w:val="00C27741"/>
    <w:rsid w:val="00C348FD"/>
    <w:rsid w:val="00C47419"/>
    <w:rsid w:val="00C65398"/>
    <w:rsid w:val="00C87B2D"/>
    <w:rsid w:val="00C926C9"/>
    <w:rsid w:val="00C9478E"/>
    <w:rsid w:val="00CC2033"/>
    <w:rsid w:val="00CF3A14"/>
    <w:rsid w:val="00CF6CCA"/>
    <w:rsid w:val="00D10C1B"/>
    <w:rsid w:val="00D14B9F"/>
    <w:rsid w:val="00D4457A"/>
    <w:rsid w:val="00D51768"/>
    <w:rsid w:val="00D80844"/>
    <w:rsid w:val="00DE0BBF"/>
    <w:rsid w:val="00E0096C"/>
    <w:rsid w:val="00E03BA4"/>
    <w:rsid w:val="00E17162"/>
    <w:rsid w:val="00E55F57"/>
    <w:rsid w:val="00E9312E"/>
    <w:rsid w:val="00EC62A6"/>
    <w:rsid w:val="00EE5A88"/>
    <w:rsid w:val="00EF0C2E"/>
    <w:rsid w:val="00EF2026"/>
    <w:rsid w:val="00F64DF5"/>
    <w:rsid w:val="00FC30DD"/>
    <w:rsid w:val="00FF6441"/>
    <w:rsid w:val="010F7FF3"/>
    <w:rsid w:val="016A6FD7"/>
    <w:rsid w:val="01AB5C17"/>
    <w:rsid w:val="02810A7C"/>
    <w:rsid w:val="0321400D"/>
    <w:rsid w:val="03505592"/>
    <w:rsid w:val="036D2BAD"/>
    <w:rsid w:val="038D51FF"/>
    <w:rsid w:val="03A569EC"/>
    <w:rsid w:val="04333C79"/>
    <w:rsid w:val="04E23328"/>
    <w:rsid w:val="0530678A"/>
    <w:rsid w:val="056B2B32"/>
    <w:rsid w:val="06B01930"/>
    <w:rsid w:val="06C37355"/>
    <w:rsid w:val="074A3038"/>
    <w:rsid w:val="08EC575D"/>
    <w:rsid w:val="09257549"/>
    <w:rsid w:val="093323A4"/>
    <w:rsid w:val="09353BD7"/>
    <w:rsid w:val="09EA5159"/>
    <w:rsid w:val="0A63314C"/>
    <w:rsid w:val="0A6932D7"/>
    <w:rsid w:val="0ADD4CBE"/>
    <w:rsid w:val="0AEA2F37"/>
    <w:rsid w:val="0C3A5FD8"/>
    <w:rsid w:val="0C4924D9"/>
    <w:rsid w:val="0C9E5B83"/>
    <w:rsid w:val="0D51729D"/>
    <w:rsid w:val="0D577023"/>
    <w:rsid w:val="0D947AD6"/>
    <w:rsid w:val="0DF90060"/>
    <w:rsid w:val="0E6E3966"/>
    <w:rsid w:val="0E9D7276"/>
    <w:rsid w:val="0F9F722F"/>
    <w:rsid w:val="100131FC"/>
    <w:rsid w:val="10433815"/>
    <w:rsid w:val="109127D2"/>
    <w:rsid w:val="10B95885"/>
    <w:rsid w:val="11485186"/>
    <w:rsid w:val="12BA4BDF"/>
    <w:rsid w:val="1353537A"/>
    <w:rsid w:val="13AC7923"/>
    <w:rsid w:val="13D604FC"/>
    <w:rsid w:val="13E05FAA"/>
    <w:rsid w:val="13EF7DF0"/>
    <w:rsid w:val="14981ED6"/>
    <w:rsid w:val="15520875"/>
    <w:rsid w:val="159703F9"/>
    <w:rsid w:val="160B6B83"/>
    <w:rsid w:val="16393274"/>
    <w:rsid w:val="16E41182"/>
    <w:rsid w:val="180E64B6"/>
    <w:rsid w:val="185E6093"/>
    <w:rsid w:val="18DD74FF"/>
    <w:rsid w:val="19F33BB6"/>
    <w:rsid w:val="1A27385F"/>
    <w:rsid w:val="1A345F7C"/>
    <w:rsid w:val="1A5F749D"/>
    <w:rsid w:val="1A6745A4"/>
    <w:rsid w:val="1A8E1B30"/>
    <w:rsid w:val="1B2D1349"/>
    <w:rsid w:val="1B495A57"/>
    <w:rsid w:val="1B772383"/>
    <w:rsid w:val="1BC17CE4"/>
    <w:rsid w:val="1BEA723A"/>
    <w:rsid w:val="1C4A7CD9"/>
    <w:rsid w:val="1CCB3B3A"/>
    <w:rsid w:val="1CCC4B92"/>
    <w:rsid w:val="1CCE26B8"/>
    <w:rsid w:val="1E110AAE"/>
    <w:rsid w:val="1E672DC4"/>
    <w:rsid w:val="1F3C1B5B"/>
    <w:rsid w:val="1F566447"/>
    <w:rsid w:val="1F95570F"/>
    <w:rsid w:val="1FC3402A"/>
    <w:rsid w:val="1FD955FC"/>
    <w:rsid w:val="204F3B10"/>
    <w:rsid w:val="207812B9"/>
    <w:rsid w:val="21780E44"/>
    <w:rsid w:val="2186530F"/>
    <w:rsid w:val="21D94C8D"/>
    <w:rsid w:val="22350AE4"/>
    <w:rsid w:val="228A0E2F"/>
    <w:rsid w:val="235A6AF5"/>
    <w:rsid w:val="2369313B"/>
    <w:rsid w:val="23BA6B2D"/>
    <w:rsid w:val="23DC09E4"/>
    <w:rsid w:val="249B5576"/>
    <w:rsid w:val="24F66C50"/>
    <w:rsid w:val="25553977"/>
    <w:rsid w:val="25897AC4"/>
    <w:rsid w:val="264D0C35"/>
    <w:rsid w:val="264F70DC"/>
    <w:rsid w:val="26661BB3"/>
    <w:rsid w:val="26663961"/>
    <w:rsid w:val="268A58A2"/>
    <w:rsid w:val="26CC10B7"/>
    <w:rsid w:val="27090EBD"/>
    <w:rsid w:val="2714160F"/>
    <w:rsid w:val="27B43ACC"/>
    <w:rsid w:val="27C748D4"/>
    <w:rsid w:val="27CB6172"/>
    <w:rsid w:val="27F51441"/>
    <w:rsid w:val="281318C7"/>
    <w:rsid w:val="28202CB4"/>
    <w:rsid w:val="285E47EF"/>
    <w:rsid w:val="28B906C0"/>
    <w:rsid w:val="28E05C4D"/>
    <w:rsid w:val="29A41AF6"/>
    <w:rsid w:val="2A426494"/>
    <w:rsid w:val="2BFC09A7"/>
    <w:rsid w:val="2CF77A09"/>
    <w:rsid w:val="2D3C65BD"/>
    <w:rsid w:val="2DEE2BBA"/>
    <w:rsid w:val="2E255EB0"/>
    <w:rsid w:val="2EEB0EA8"/>
    <w:rsid w:val="2F570620"/>
    <w:rsid w:val="2F681CD5"/>
    <w:rsid w:val="2FEA73B1"/>
    <w:rsid w:val="317E224F"/>
    <w:rsid w:val="31AB21B2"/>
    <w:rsid w:val="324059AE"/>
    <w:rsid w:val="32582CF8"/>
    <w:rsid w:val="32586854"/>
    <w:rsid w:val="32A97AED"/>
    <w:rsid w:val="32B819E9"/>
    <w:rsid w:val="34B01B96"/>
    <w:rsid w:val="34FA1E45"/>
    <w:rsid w:val="351B6E2B"/>
    <w:rsid w:val="351F12B3"/>
    <w:rsid w:val="3522139B"/>
    <w:rsid w:val="35803815"/>
    <w:rsid w:val="36B9349E"/>
    <w:rsid w:val="373F6235"/>
    <w:rsid w:val="37643EED"/>
    <w:rsid w:val="37B53242"/>
    <w:rsid w:val="38C4326F"/>
    <w:rsid w:val="397A3554"/>
    <w:rsid w:val="3B1B0D67"/>
    <w:rsid w:val="3B702E61"/>
    <w:rsid w:val="3BFA4E20"/>
    <w:rsid w:val="3C664263"/>
    <w:rsid w:val="3CFB49AC"/>
    <w:rsid w:val="3D0C0967"/>
    <w:rsid w:val="3F6F51DD"/>
    <w:rsid w:val="3F786788"/>
    <w:rsid w:val="3FBE157C"/>
    <w:rsid w:val="3FDF5018"/>
    <w:rsid w:val="3FE45BCB"/>
    <w:rsid w:val="41083B3B"/>
    <w:rsid w:val="41114D6F"/>
    <w:rsid w:val="413B57D4"/>
    <w:rsid w:val="41772AF5"/>
    <w:rsid w:val="41C061C4"/>
    <w:rsid w:val="429B2A93"/>
    <w:rsid w:val="42A13B44"/>
    <w:rsid w:val="42B749AD"/>
    <w:rsid w:val="432D14DE"/>
    <w:rsid w:val="4339622E"/>
    <w:rsid w:val="43811983"/>
    <w:rsid w:val="43A01E09"/>
    <w:rsid w:val="444A6219"/>
    <w:rsid w:val="45265C19"/>
    <w:rsid w:val="45352A25"/>
    <w:rsid w:val="46362EF9"/>
    <w:rsid w:val="46BF6A4A"/>
    <w:rsid w:val="47046B53"/>
    <w:rsid w:val="47307948"/>
    <w:rsid w:val="47777325"/>
    <w:rsid w:val="47AD2D46"/>
    <w:rsid w:val="486A6E89"/>
    <w:rsid w:val="48AA50C6"/>
    <w:rsid w:val="491C2168"/>
    <w:rsid w:val="49BC3D97"/>
    <w:rsid w:val="4A2D63C1"/>
    <w:rsid w:val="4B9F509C"/>
    <w:rsid w:val="4C2F4672"/>
    <w:rsid w:val="4E1F4417"/>
    <w:rsid w:val="4E7E368F"/>
    <w:rsid w:val="4EC217CD"/>
    <w:rsid w:val="4F4C72E9"/>
    <w:rsid w:val="4FA40ED3"/>
    <w:rsid w:val="4FAD422B"/>
    <w:rsid w:val="502C325A"/>
    <w:rsid w:val="508A631B"/>
    <w:rsid w:val="5153495F"/>
    <w:rsid w:val="51930AC9"/>
    <w:rsid w:val="51932FAD"/>
    <w:rsid w:val="5283316D"/>
    <w:rsid w:val="569D4227"/>
    <w:rsid w:val="56DB78D0"/>
    <w:rsid w:val="587A6C75"/>
    <w:rsid w:val="58EE3776"/>
    <w:rsid w:val="59084281"/>
    <w:rsid w:val="59AA17DC"/>
    <w:rsid w:val="59CD57FC"/>
    <w:rsid w:val="59D57095"/>
    <w:rsid w:val="5A4E03B9"/>
    <w:rsid w:val="5AD743D9"/>
    <w:rsid w:val="5BEF797A"/>
    <w:rsid w:val="5C1916A5"/>
    <w:rsid w:val="5CB24E73"/>
    <w:rsid w:val="5D024EA6"/>
    <w:rsid w:val="5DA80EB7"/>
    <w:rsid w:val="5E7C394C"/>
    <w:rsid w:val="5EAC19C1"/>
    <w:rsid w:val="5F0B49EB"/>
    <w:rsid w:val="5F245B8C"/>
    <w:rsid w:val="5FA171DD"/>
    <w:rsid w:val="60147A15"/>
    <w:rsid w:val="60E43825"/>
    <w:rsid w:val="612754C0"/>
    <w:rsid w:val="627B3D15"/>
    <w:rsid w:val="628D3A49"/>
    <w:rsid w:val="62D0508A"/>
    <w:rsid w:val="631C0920"/>
    <w:rsid w:val="63C11BFC"/>
    <w:rsid w:val="63EE0517"/>
    <w:rsid w:val="64157757"/>
    <w:rsid w:val="6457430E"/>
    <w:rsid w:val="646A5DEF"/>
    <w:rsid w:val="64860B22"/>
    <w:rsid w:val="64897A59"/>
    <w:rsid w:val="64A27E2A"/>
    <w:rsid w:val="64B67287"/>
    <w:rsid w:val="64C9520C"/>
    <w:rsid w:val="6533019B"/>
    <w:rsid w:val="655D34B7"/>
    <w:rsid w:val="660A3693"/>
    <w:rsid w:val="6679056C"/>
    <w:rsid w:val="66B94E75"/>
    <w:rsid w:val="66E77BCB"/>
    <w:rsid w:val="67024A05"/>
    <w:rsid w:val="678708EC"/>
    <w:rsid w:val="681323E4"/>
    <w:rsid w:val="6870599E"/>
    <w:rsid w:val="68D9225E"/>
    <w:rsid w:val="698E7C07"/>
    <w:rsid w:val="6998628B"/>
    <w:rsid w:val="69A94CB8"/>
    <w:rsid w:val="69C1276F"/>
    <w:rsid w:val="6A1D1B56"/>
    <w:rsid w:val="6A753740"/>
    <w:rsid w:val="6C2009F8"/>
    <w:rsid w:val="6C375151"/>
    <w:rsid w:val="6C6A0AC0"/>
    <w:rsid w:val="6CD24E7A"/>
    <w:rsid w:val="6D396CA7"/>
    <w:rsid w:val="6D632B13"/>
    <w:rsid w:val="6E0664B4"/>
    <w:rsid w:val="6E113433"/>
    <w:rsid w:val="6E166FE8"/>
    <w:rsid w:val="6E810905"/>
    <w:rsid w:val="6EEE586F"/>
    <w:rsid w:val="70911956"/>
    <w:rsid w:val="70A97C9F"/>
    <w:rsid w:val="71211F2C"/>
    <w:rsid w:val="7142463B"/>
    <w:rsid w:val="722872EA"/>
    <w:rsid w:val="72910586"/>
    <w:rsid w:val="72D82ABE"/>
    <w:rsid w:val="72ED429E"/>
    <w:rsid w:val="732276CE"/>
    <w:rsid w:val="73A81C7D"/>
    <w:rsid w:val="752D668A"/>
    <w:rsid w:val="75521133"/>
    <w:rsid w:val="766D176F"/>
    <w:rsid w:val="787B63C5"/>
    <w:rsid w:val="78A04FDF"/>
    <w:rsid w:val="79145048"/>
    <w:rsid w:val="795A247F"/>
    <w:rsid w:val="79935991"/>
    <w:rsid w:val="79D253CF"/>
    <w:rsid w:val="7A293F92"/>
    <w:rsid w:val="7A410F49"/>
    <w:rsid w:val="7AB43E11"/>
    <w:rsid w:val="7AF44B79"/>
    <w:rsid w:val="7B230324"/>
    <w:rsid w:val="7B354F51"/>
    <w:rsid w:val="7B5F3D7C"/>
    <w:rsid w:val="7BEC3906"/>
    <w:rsid w:val="7C3E7E36"/>
    <w:rsid w:val="7D0940D7"/>
    <w:rsid w:val="7D1363DA"/>
    <w:rsid w:val="7D33726F"/>
    <w:rsid w:val="7D44147C"/>
    <w:rsid w:val="7DA55C93"/>
    <w:rsid w:val="7DDF73F6"/>
    <w:rsid w:val="7DF52776"/>
    <w:rsid w:val="7E4A3B1C"/>
    <w:rsid w:val="7E891110"/>
    <w:rsid w:val="7EB77A2B"/>
    <w:rsid w:val="7EE2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qFormat="1" w:uiPriority="0"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0" w:name="endnote reference"/>
    <w:lsdException w:qFormat="1"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0"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3">
    <w:name w:val="heading 2"/>
    <w:basedOn w:val="4"/>
    <w:next w:val="1"/>
    <w:link w:val="50"/>
    <w:qFormat/>
    <w:uiPriority w:val="0"/>
    <w:pPr>
      <w:keepNext/>
      <w:keepLines/>
      <w:spacing w:before="260" w:after="260" w:line="416" w:lineRule="auto"/>
      <w:ind w:left="100" w:leftChars="100"/>
      <w:jc w:val="left"/>
      <w:outlineLvl w:val="1"/>
    </w:pPr>
    <w:rPr>
      <w:rFonts w:ascii="Cambria" w:hAnsi="Cambria"/>
      <w:b w:val="0"/>
      <w:bCs/>
      <w:szCs w:val="32"/>
    </w:rPr>
  </w:style>
  <w:style w:type="paragraph" w:styleId="5">
    <w:name w:val="heading 3"/>
    <w:basedOn w:val="1"/>
    <w:next w:val="1"/>
    <w:link w:val="51"/>
    <w:qFormat/>
    <w:uiPriority w:val="0"/>
    <w:pPr>
      <w:keepNext/>
      <w:keepLines/>
      <w:widowControl/>
      <w:numPr>
        <w:ilvl w:val="2"/>
        <w:numId w:val="1"/>
      </w:numPr>
      <w:spacing w:before="260" w:after="260" w:line="416" w:lineRule="auto"/>
      <w:jc w:val="left"/>
      <w:outlineLvl w:val="2"/>
    </w:pPr>
    <w:rPr>
      <w:rFonts w:eastAsia="华文细黑"/>
      <w:bCs/>
      <w:kern w:val="0"/>
      <w:sz w:val="36"/>
      <w:szCs w:val="32"/>
      <w:lang w:val="zh-CN"/>
    </w:rPr>
  </w:style>
  <w:style w:type="paragraph" w:styleId="6">
    <w:name w:val="heading 4"/>
    <w:basedOn w:val="1"/>
    <w:next w:val="7"/>
    <w:link w:val="52"/>
    <w:unhideWhenUsed/>
    <w:qFormat/>
    <w:uiPriority w:val="0"/>
    <w:pPr>
      <w:keepLines/>
      <w:tabs>
        <w:tab w:val="left" w:pos="1086"/>
      </w:tabs>
      <w:spacing w:before="100" w:line="360" w:lineRule="auto"/>
      <w:ind w:left="1086" w:hanging="1080"/>
      <w:outlineLvl w:val="3"/>
    </w:pPr>
    <w:rPr>
      <w:rFonts w:ascii="Arial" w:hAnsi="Arial"/>
      <w:b/>
      <w:sz w:val="24"/>
      <w:szCs w:val="20"/>
    </w:rPr>
  </w:style>
  <w:style w:type="paragraph" w:styleId="8">
    <w:name w:val="heading 5"/>
    <w:basedOn w:val="1"/>
    <w:next w:val="7"/>
    <w:link w:val="53"/>
    <w:semiHidden/>
    <w:unhideWhenUsed/>
    <w:qFormat/>
    <w:uiPriority w:val="0"/>
    <w:pPr>
      <w:keepNext/>
      <w:keepLines/>
      <w:tabs>
        <w:tab w:val="left" w:pos="1088"/>
      </w:tabs>
      <w:spacing w:before="280" w:after="290" w:line="372" w:lineRule="auto"/>
      <w:ind w:left="1088" w:hanging="1080"/>
      <w:outlineLvl w:val="4"/>
    </w:pPr>
    <w:rPr>
      <w:b/>
      <w:sz w:val="28"/>
      <w:szCs w:val="20"/>
    </w:rPr>
  </w:style>
  <w:style w:type="paragraph" w:styleId="9">
    <w:name w:val="heading 6"/>
    <w:basedOn w:val="1"/>
    <w:next w:val="7"/>
    <w:link w:val="54"/>
    <w:semiHidden/>
    <w:unhideWhenUsed/>
    <w:qFormat/>
    <w:uiPriority w:val="0"/>
    <w:pPr>
      <w:keepNext/>
      <w:keepLines/>
      <w:tabs>
        <w:tab w:val="left" w:pos="1450"/>
      </w:tabs>
      <w:spacing w:before="240" w:after="64" w:line="316" w:lineRule="auto"/>
      <w:ind w:left="1450" w:hanging="1440"/>
      <w:outlineLvl w:val="5"/>
    </w:pPr>
    <w:rPr>
      <w:rFonts w:ascii="Arial" w:hAnsi="Arial" w:eastAsia="黑体"/>
      <w:b/>
      <w:sz w:val="24"/>
      <w:szCs w:val="20"/>
    </w:rPr>
  </w:style>
  <w:style w:type="paragraph" w:styleId="10">
    <w:name w:val="heading 7"/>
    <w:basedOn w:val="1"/>
    <w:next w:val="7"/>
    <w:link w:val="55"/>
    <w:semiHidden/>
    <w:unhideWhenUsed/>
    <w:qFormat/>
    <w:uiPriority w:val="99"/>
    <w:pPr>
      <w:keepNext/>
      <w:keepLines/>
      <w:tabs>
        <w:tab w:val="left" w:pos="1452"/>
      </w:tabs>
      <w:spacing w:before="240" w:after="64" w:line="316" w:lineRule="auto"/>
      <w:ind w:left="1452" w:hanging="1440"/>
      <w:outlineLvl w:val="6"/>
    </w:pPr>
    <w:rPr>
      <w:b/>
      <w:sz w:val="24"/>
      <w:szCs w:val="20"/>
    </w:rPr>
  </w:style>
  <w:style w:type="paragraph" w:styleId="11">
    <w:name w:val="heading 8"/>
    <w:basedOn w:val="1"/>
    <w:next w:val="7"/>
    <w:link w:val="56"/>
    <w:semiHidden/>
    <w:unhideWhenUsed/>
    <w:qFormat/>
    <w:uiPriority w:val="99"/>
    <w:pPr>
      <w:keepNext/>
      <w:keepLines/>
      <w:tabs>
        <w:tab w:val="left" w:pos="1814"/>
      </w:tabs>
      <w:spacing w:before="240" w:after="64" w:line="316" w:lineRule="auto"/>
      <w:ind w:left="1814" w:hanging="1800"/>
      <w:outlineLvl w:val="7"/>
    </w:pPr>
    <w:rPr>
      <w:rFonts w:ascii="Arial" w:hAnsi="Arial" w:eastAsia="黑体"/>
      <w:sz w:val="24"/>
      <w:szCs w:val="20"/>
    </w:rPr>
  </w:style>
  <w:style w:type="paragraph" w:styleId="12">
    <w:name w:val="heading 9"/>
    <w:basedOn w:val="1"/>
    <w:next w:val="7"/>
    <w:link w:val="57"/>
    <w:semiHidden/>
    <w:unhideWhenUsed/>
    <w:qFormat/>
    <w:uiPriority w:val="0"/>
    <w:pPr>
      <w:keepNext/>
      <w:keepLines/>
      <w:tabs>
        <w:tab w:val="left" w:pos="1816"/>
      </w:tabs>
      <w:spacing w:before="240" w:after="64" w:line="316" w:lineRule="auto"/>
      <w:ind w:left="1816" w:hanging="1800"/>
      <w:outlineLvl w:val="8"/>
    </w:pPr>
    <w:rPr>
      <w:rFonts w:ascii="Arial" w:hAnsi="Arial" w:eastAsia="黑体"/>
      <w:sz w:val="24"/>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49"/>
    <w:qFormat/>
    <w:uiPriority w:val="0"/>
    <w:pPr>
      <w:spacing w:before="240" w:after="60"/>
      <w:jc w:val="center"/>
      <w:outlineLvl w:val="0"/>
    </w:pPr>
    <w:rPr>
      <w:rFonts w:ascii="Arial" w:hAnsi="Arial"/>
      <w:b/>
      <w:sz w:val="32"/>
    </w:rPr>
  </w:style>
  <w:style w:type="paragraph" w:styleId="7">
    <w:name w:val="Normal Indent"/>
    <w:basedOn w:val="1"/>
    <w:qFormat/>
    <w:uiPriority w:val="99"/>
    <w:pPr>
      <w:adjustRightInd w:val="0"/>
      <w:spacing w:line="360" w:lineRule="atLeast"/>
      <w:ind w:firstLine="482"/>
      <w:textAlignment w:val="baseline"/>
    </w:pPr>
    <w:rPr>
      <w:kern w:val="0"/>
      <w:sz w:val="24"/>
    </w:rPr>
  </w:style>
  <w:style w:type="paragraph" w:styleId="13">
    <w:name w:val="List Number"/>
    <w:basedOn w:val="1"/>
    <w:semiHidden/>
    <w:unhideWhenUsed/>
    <w:qFormat/>
    <w:uiPriority w:val="99"/>
    <w:pPr>
      <w:numPr>
        <w:ilvl w:val="0"/>
        <w:numId w:val="2"/>
      </w:numPr>
      <w:tabs>
        <w:tab w:val="left" w:pos="227"/>
        <w:tab w:val="left" w:pos="420"/>
        <w:tab w:val="clear" w:pos="360"/>
      </w:tabs>
      <w:spacing w:line="288" w:lineRule="auto"/>
      <w:ind w:left="420" w:hanging="420" w:firstLineChars="0"/>
    </w:pPr>
    <w:rPr>
      <w:sz w:val="18"/>
      <w:szCs w:val="20"/>
    </w:rPr>
  </w:style>
  <w:style w:type="paragraph" w:styleId="14">
    <w:name w:val="envelope address"/>
    <w:basedOn w:val="1"/>
    <w:autoRedefine/>
    <w:semiHidden/>
    <w:unhideWhenUsed/>
    <w:qFormat/>
    <w:uiPriority w:val="0"/>
    <w:pPr>
      <w:framePr w:w="7920" w:h="1980" w:hSpace="180" w:wrap="around" w:vAnchor="margin" w:hAnchor="page" w:xAlign="center" w:yAlign="bottom"/>
      <w:snapToGrid w:val="0"/>
      <w:ind w:left="100" w:leftChars="1400"/>
    </w:pPr>
    <w:rPr>
      <w:rFonts w:ascii="Arial" w:hAnsi="Arial" w:cs="Arial"/>
      <w:sz w:val="24"/>
    </w:rPr>
  </w:style>
  <w:style w:type="paragraph" w:styleId="15">
    <w:name w:val="Document Map"/>
    <w:basedOn w:val="1"/>
    <w:link w:val="111"/>
    <w:semiHidden/>
    <w:unhideWhenUsed/>
    <w:qFormat/>
    <w:uiPriority w:val="0"/>
    <w:pPr>
      <w:shd w:val="clear" w:color="auto" w:fill="000080"/>
      <w:spacing w:line="360" w:lineRule="auto"/>
      <w:jc w:val="left"/>
    </w:pPr>
    <w:rPr>
      <w:rFonts w:ascii="Calibri" w:hAnsi="Calibri"/>
      <w:sz w:val="24"/>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76"/>
    <w:qFormat/>
    <w:uiPriority w:val="0"/>
    <w:pPr>
      <w:jc w:val="left"/>
    </w:pPr>
    <w:rPr>
      <w:rFonts w:asciiTheme="minorHAnsi" w:hAnsiTheme="minorHAnsi" w:eastAsiaTheme="minorEastAsia" w:cstheme="minorBidi"/>
    </w:rPr>
  </w:style>
  <w:style w:type="paragraph" w:styleId="18">
    <w:name w:val="Body Text"/>
    <w:basedOn w:val="1"/>
    <w:link w:val="79"/>
    <w:qFormat/>
    <w:uiPriority w:val="0"/>
    <w:pPr>
      <w:widowControl/>
      <w:jc w:val="left"/>
    </w:pPr>
    <w:rPr>
      <w:rFonts w:eastAsia="??"/>
      <w:kern w:val="0"/>
      <w:sz w:val="24"/>
      <w:szCs w:val="20"/>
    </w:rPr>
  </w:style>
  <w:style w:type="paragraph" w:styleId="19">
    <w:name w:val="Body Text Indent"/>
    <w:basedOn w:val="1"/>
    <w:link w:val="64"/>
    <w:qFormat/>
    <w:uiPriority w:val="0"/>
    <w:pPr>
      <w:spacing w:after="120"/>
      <w:ind w:left="420" w:leftChars="200"/>
    </w:pPr>
    <w:rPr>
      <w:rFonts w:asciiTheme="minorHAnsi" w:hAnsiTheme="minorHAnsi" w:eastAsiaTheme="minorEastAsia" w:cstheme="minorBidi"/>
    </w:rPr>
  </w:style>
  <w:style w:type="paragraph" w:styleId="20">
    <w:name w:val="toc 3"/>
    <w:basedOn w:val="1"/>
    <w:next w:val="1"/>
    <w:qFormat/>
    <w:uiPriority w:val="39"/>
    <w:pPr>
      <w:ind w:left="840" w:leftChars="400"/>
    </w:pPr>
  </w:style>
  <w:style w:type="paragraph" w:styleId="21">
    <w:name w:val="Plain Text"/>
    <w:basedOn w:val="1"/>
    <w:link w:val="72"/>
    <w:qFormat/>
    <w:uiPriority w:val="0"/>
    <w:rPr>
      <w:rFonts w:ascii="宋体" w:hAnsi="Courier New" w:eastAsiaTheme="minorEastAsia" w:cstheme="minorBidi"/>
      <w:szCs w:val="22"/>
    </w:rPr>
  </w:style>
  <w:style w:type="paragraph" w:styleId="22">
    <w:name w:val="Date"/>
    <w:basedOn w:val="1"/>
    <w:next w:val="1"/>
    <w:link w:val="109"/>
    <w:semiHidden/>
    <w:unhideWhenUsed/>
    <w:qFormat/>
    <w:uiPriority w:val="0"/>
    <w:pPr>
      <w:spacing w:line="360" w:lineRule="auto"/>
      <w:jc w:val="left"/>
    </w:pPr>
    <w:rPr>
      <w:rFonts w:ascii="宋体" w:hAnsi="Courier New"/>
      <w:sz w:val="32"/>
      <w:szCs w:val="22"/>
    </w:rPr>
  </w:style>
  <w:style w:type="paragraph" w:styleId="23">
    <w:name w:val="Body Text Indent 2"/>
    <w:basedOn w:val="1"/>
    <w:link w:val="82"/>
    <w:qFormat/>
    <w:uiPriority w:val="0"/>
    <w:pPr>
      <w:spacing w:after="120" w:line="480" w:lineRule="auto"/>
      <w:ind w:left="420" w:leftChars="200"/>
    </w:pPr>
  </w:style>
  <w:style w:type="paragraph" w:styleId="24">
    <w:name w:val="endnote text"/>
    <w:basedOn w:val="1"/>
    <w:link w:val="107"/>
    <w:semiHidden/>
    <w:unhideWhenUsed/>
    <w:qFormat/>
    <w:uiPriority w:val="99"/>
    <w:pPr>
      <w:snapToGrid w:val="0"/>
      <w:jc w:val="left"/>
    </w:pPr>
    <w:rPr>
      <w:rFonts w:ascii="Calibri" w:hAnsi="Calibri"/>
      <w:szCs w:val="22"/>
    </w:rPr>
  </w:style>
  <w:style w:type="paragraph" w:styleId="25">
    <w:name w:val="Balloon Text"/>
    <w:basedOn w:val="1"/>
    <w:link w:val="67"/>
    <w:qFormat/>
    <w:uiPriority w:val="99"/>
    <w:rPr>
      <w:rFonts w:asciiTheme="minorHAnsi" w:hAnsiTheme="minorHAnsi" w:eastAsiaTheme="minorEastAsia" w:cstheme="minorBidi"/>
      <w:sz w:val="18"/>
      <w:szCs w:val="18"/>
    </w:rPr>
  </w:style>
  <w:style w:type="paragraph" w:styleId="26">
    <w:name w:val="footer"/>
    <w:basedOn w:val="1"/>
    <w:link w:val="6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7">
    <w:name w:val="header"/>
    <w:basedOn w:val="1"/>
    <w:link w:val="74"/>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8">
    <w:name w:val="toc 1"/>
    <w:basedOn w:val="1"/>
    <w:next w:val="1"/>
    <w:qFormat/>
    <w:uiPriority w:val="39"/>
  </w:style>
  <w:style w:type="paragraph" w:styleId="29">
    <w:name w:val="toc 4"/>
    <w:basedOn w:val="1"/>
    <w:next w:val="1"/>
    <w:autoRedefine/>
    <w:unhideWhenUsed/>
    <w:qFormat/>
    <w:uiPriority w:val="39"/>
    <w:pPr>
      <w:ind w:left="1260" w:leftChars="600"/>
    </w:pPr>
  </w:style>
  <w:style w:type="paragraph" w:styleId="30">
    <w:name w:val="Subtitle"/>
    <w:basedOn w:val="1"/>
    <w:next w:val="1"/>
    <w:link w:val="69"/>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1">
    <w:name w:val="List Number 5"/>
    <w:basedOn w:val="1"/>
    <w:semiHidden/>
    <w:unhideWhenUsed/>
    <w:qFormat/>
    <w:uiPriority w:val="99"/>
    <w:pPr>
      <w:numPr>
        <w:ilvl w:val="0"/>
        <w:numId w:val="3"/>
      </w:numPr>
      <w:tabs>
        <w:tab w:val="left" w:pos="1088"/>
        <w:tab w:val="left" w:pos="1559"/>
        <w:tab w:val="clear" w:pos="2040"/>
      </w:tabs>
      <w:adjustRightInd w:val="0"/>
      <w:spacing w:line="240" w:lineRule="atLeast"/>
      <w:ind w:left="1088" w:leftChars="0" w:hanging="1080" w:firstLineChars="0"/>
    </w:pPr>
    <w:rPr>
      <w:sz w:val="18"/>
      <w:szCs w:val="20"/>
    </w:rPr>
  </w:style>
  <w:style w:type="paragraph" w:styleId="32">
    <w:name w:val="Body Text Indent 3"/>
    <w:basedOn w:val="1"/>
    <w:link w:val="81"/>
    <w:qFormat/>
    <w:uiPriority w:val="0"/>
    <w:pPr>
      <w:spacing w:after="120"/>
      <w:ind w:left="420" w:leftChars="200"/>
    </w:pPr>
    <w:rPr>
      <w:sz w:val="16"/>
      <w:szCs w:val="16"/>
    </w:rPr>
  </w:style>
  <w:style w:type="paragraph" w:styleId="33">
    <w:name w:val="toc 2"/>
    <w:basedOn w:val="16"/>
    <w:next w:val="1"/>
    <w:qFormat/>
    <w:uiPriority w:val="39"/>
    <w:pPr>
      <w:ind w:left="420" w:leftChars="200"/>
    </w:pPr>
    <w:rPr>
      <w:rFonts w:ascii="Times New Roman" w:hAnsi="Times New Roman"/>
    </w:rPr>
  </w:style>
  <w:style w:type="paragraph" w:styleId="34">
    <w:name w:val="Normal (Web)"/>
    <w:basedOn w:val="1"/>
    <w:qFormat/>
    <w:uiPriority w:val="0"/>
    <w:pPr>
      <w:spacing w:before="100" w:beforeAutospacing="1" w:after="100" w:afterAutospacing="1"/>
      <w:jc w:val="left"/>
    </w:pPr>
    <w:rPr>
      <w:kern w:val="0"/>
      <w:sz w:val="24"/>
    </w:rPr>
  </w:style>
  <w:style w:type="paragraph" w:styleId="35">
    <w:name w:val="index 1"/>
    <w:basedOn w:val="1"/>
    <w:next w:val="1"/>
    <w:autoRedefine/>
    <w:semiHidden/>
    <w:unhideWhenUsed/>
    <w:qFormat/>
    <w:uiPriority w:val="0"/>
    <w:pPr>
      <w:spacing w:line="360" w:lineRule="auto"/>
    </w:pPr>
    <w:rPr>
      <w:rFonts w:ascii="宋体"/>
      <w:b/>
      <w:color w:val="0000FF"/>
      <w:sz w:val="24"/>
    </w:rPr>
  </w:style>
  <w:style w:type="paragraph" w:styleId="36">
    <w:name w:val="annotation subject"/>
    <w:basedOn w:val="17"/>
    <w:next w:val="17"/>
    <w:link w:val="113"/>
    <w:semiHidden/>
    <w:unhideWhenUsed/>
    <w:qFormat/>
    <w:uiPriority w:val="0"/>
    <w:rPr>
      <w:rFonts w:ascii="Calibri" w:hAnsi="Calibri" w:eastAsia="宋体" w:cs="Times New Roman"/>
      <w:b/>
      <w:bCs/>
    </w:rPr>
  </w:style>
  <w:style w:type="paragraph" w:styleId="37">
    <w:name w:val="Body Text First Indent 2"/>
    <w:basedOn w:val="19"/>
    <w:link w:val="66"/>
    <w:qFormat/>
    <w:uiPriority w:val="0"/>
    <w:pPr>
      <w:ind w:firstLine="420" w:firstLineChars="200"/>
    </w:pPr>
  </w:style>
  <w:style w:type="table" w:styleId="39">
    <w:name w:val="Table Grid"/>
    <w:basedOn w:val="38"/>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endnote reference"/>
    <w:semiHidden/>
    <w:unhideWhenUsed/>
    <w:qFormat/>
    <w:uiPriority w:val="0"/>
    <w:rPr>
      <w:vertAlign w:val="superscript"/>
    </w:rPr>
  </w:style>
  <w:style w:type="character" w:styleId="43">
    <w:name w:val="page number"/>
    <w:basedOn w:val="40"/>
    <w:qFormat/>
    <w:uiPriority w:val="0"/>
  </w:style>
  <w:style w:type="character" w:styleId="44">
    <w:name w:val="FollowedHyperlink"/>
    <w:basedOn w:val="40"/>
    <w:semiHidden/>
    <w:unhideWhenUsed/>
    <w:qFormat/>
    <w:uiPriority w:val="99"/>
    <w:rPr>
      <w:color w:val="954F72" w:themeColor="followedHyperlink"/>
      <w:u w:val="single"/>
      <w14:textFill>
        <w14:solidFill>
          <w14:schemeClr w14:val="folHlink"/>
        </w14:solidFill>
      </w14:textFill>
    </w:rPr>
  </w:style>
  <w:style w:type="character" w:styleId="45">
    <w:name w:val="Emphasis"/>
    <w:basedOn w:val="40"/>
    <w:qFormat/>
    <w:uiPriority w:val="0"/>
    <w:rPr>
      <w:i/>
      <w:iCs/>
    </w:rPr>
  </w:style>
  <w:style w:type="character" w:styleId="46">
    <w:name w:val="Hyperlink"/>
    <w:qFormat/>
    <w:uiPriority w:val="99"/>
    <w:rPr>
      <w:color w:val="0000FF"/>
      <w:u w:val="single"/>
    </w:rPr>
  </w:style>
  <w:style w:type="character" w:styleId="47">
    <w:name w:val="annotation reference"/>
    <w:unhideWhenUsed/>
    <w:qFormat/>
    <w:uiPriority w:val="0"/>
    <w:rPr>
      <w:sz w:val="21"/>
      <w:szCs w:val="21"/>
    </w:rPr>
  </w:style>
  <w:style w:type="character" w:customStyle="1" w:styleId="48">
    <w:name w:val="标题 1 Char"/>
    <w:basedOn w:val="40"/>
    <w:link w:val="2"/>
    <w:qFormat/>
    <w:uiPriority w:val="0"/>
    <w:rPr>
      <w:rFonts w:ascii="华文细黑" w:hAnsi="Times New Roman" w:eastAsia="华文细黑" w:cs="Times New Roman"/>
      <w:b/>
      <w:bCs/>
      <w:snapToGrid w:val="0"/>
      <w:kern w:val="0"/>
      <w:sz w:val="52"/>
      <w:szCs w:val="44"/>
    </w:rPr>
  </w:style>
  <w:style w:type="character" w:customStyle="1" w:styleId="49">
    <w:name w:val="标题 Char"/>
    <w:basedOn w:val="40"/>
    <w:link w:val="4"/>
    <w:qFormat/>
    <w:uiPriority w:val="0"/>
    <w:rPr>
      <w:rFonts w:ascii="Arial" w:hAnsi="Arial" w:eastAsia="宋体" w:cs="Times New Roman"/>
      <w:b/>
      <w:sz w:val="32"/>
      <w:szCs w:val="24"/>
    </w:rPr>
  </w:style>
  <w:style w:type="character" w:customStyle="1" w:styleId="50">
    <w:name w:val="标题 2 Char"/>
    <w:basedOn w:val="40"/>
    <w:link w:val="3"/>
    <w:qFormat/>
    <w:uiPriority w:val="0"/>
    <w:rPr>
      <w:rFonts w:ascii="Cambria" w:hAnsi="Cambria" w:eastAsia="宋体" w:cs="Times New Roman"/>
      <w:bCs/>
      <w:sz w:val="32"/>
      <w:szCs w:val="32"/>
    </w:rPr>
  </w:style>
  <w:style w:type="character" w:customStyle="1" w:styleId="51">
    <w:name w:val="标题 3 Char"/>
    <w:basedOn w:val="40"/>
    <w:link w:val="5"/>
    <w:qFormat/>
    <w:uiPriority w:val="0"/>
    <w:rPr>
      <w:rFonts w:ascii="Times New Roman" w:hAnsi="Times New Roman" w:eastAsia="华文细黑" w:cs="Times New Roman"/>
      <w:bCs/>
      <w:kern w:val="0"/>
      <w:sz w:val="36"/>
      <w:szCs w:val="32"/>
      <w:lang w:val="zh-CN" w:eastAsia="zh-CN"/>
    </w:rPr>
  </w:style>
  <w:style w:type="character" w:customStyle="1" w:styleId="52">
    <w:name w:val="标题 4 Char"/>
    <w:basedOn w:val="40"/>
    <w:link w:val="6"/>
    <w:qFormat/>
    <w:uiPriority w:val="0"/>
    <w:rPr>
      <w:rFonts w:ascii="Arial" w:hAnsi="Arial" w:eastAsia="宋体" w:cs="Times New Roman"/>
      <w:b/>
      <w:sz w:val="24"/>
      <w:szCs w:val="20"/>
    </w:rPr>
  </w:style>
  <w:style w:type="character" w:customStyle="1" w:styleId="53">
    <w:name w:val="标题 5 Char"/>
    <w:basedOn w:val="40"/>
    <w:link w:val="8"/>
    <w:semiHidden/>
    <w:qFormat/>
    <w:uiPriority w:val="0"/>
    <w:rPr>
      <w:rFonts w:ascii="Times New Roman" w:hAnsi="Times New Roman" w:eastAsia="宋体" w:cs="Times New Roman"/>
      <w:b/>
      <w:sz w:val="28"/>
      <w:szCs w:val="20"/>
    </w:rPr>
  </w:style>
  <w:style w:type="character" w:customStyle="1" w:styleId="54">
    <w:name w:val="标题 6 Char"/>
    <w:basedOn w:val="40"/>
    <w:link w:val="9"/>
    <w:semiHidden/>
    <w:qFormat/>
    <w:uiPriority w:val="0"/>
    <w:rPr>
      <w:rFonts w:ascii="Arial" w:hAnsi="Arial" w:eastAsia="黑体" w:cs="Times New Roman"/>
      <w:b/>
      <w:sz w:val="24"/>
      <w:szCs w:val="20"/>
    </w:rPr>
  </w:style>
  <w:style w:type="character" w:customStyle="1" w:styleId="55">
    <w:name w:val="标题 7 Char"/>
    <w:basedOn w:val="40"/>
    <w:link w:val="10"/>
    <w:semiHidden/>
    <w:qFormat/>
    <w:uiPriority w:val="99"/>
    <w:rPr>
      <w:rFonts w:ascii="Times New Roman" w:hAnsi="Times New Roman" w:eastAsia="宋体" w:cs="Times New Roman"/>
      <w:b/>
      <w:sz w:val="24"/>
      <w:szCs w:val="20"/>
    </w:rPr>
  </w:style>
  <w:style w:type="character" w:customStyle="1" w:styleId="56">
    <w:name w:val="标题 8 Char"/>
    <w:basedOn w:val="40"/>
    <w:link w:val="11"/>
    <w:semiHidden/>
    <w:qFormat/>
    <w:uiPriority w:val="99"/>
    <w:rPr>
      <w:rFonts w:ascii="Arial" w:hAnsi="Arial" w:eastAsia="黑体" w:cs="Times New Roman"/>
      <w:sz w:val="24"/>
      <w:szCs w:val="20"/>
    </w:rPr>
  </w:style>
  <w:style w:type="character" w:customStyle="1" w:styleId="57">
    <w:name w:val="标题 9 Char"/>
    <w:basedOn w:val="40"/>
    <w:link w:val="12"/>
    <w:semiHidden/>
    <w:qFormat/>
    <w:uiPriority w:val="0"/>
    <w:rPr>
      <w:rFonts w:ascii="Arial" w:hAnsi="Arial" w:eastAsia="黑体" w:cs="Times New Roman"/>
      <w:sz w:val="24"/>
      <w:szCs w:val="20"/>
    </w:rPr>
  </w:style>
  <w:style w:type="paragraph" w:customStyle="1" w:styleId="58">
    <w:name w:val="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样式1 Char"/>
    <w:link w:val="60"/>
    <w:qFormat/>
    <w:uiPriority w:val="0"/>
    <w:rPr>
      <w:sz w:val="18"/>
      <w:szCs w:val="24"/>
    </w:rPr>
  </w:style>
  <w:style w:type="paragraph" w:customStyle="1" w:styleId="60">
    <w:name w:val="样式1"/>
    <w:basedOn w:val="1"/>
    <w:link w:val="59"/>
    <w:qFormat/>
    <w:uiPriority w:val="0"/>
    <w:pPr>
      <w:snapToGrid w:val="0"/>
    </w:pPr>
    <w:rPr>
      <w:rFonts w:asciiTheme="minorHAnsi" w:hAnsiTheme="minorHAnsi" w:eastAsiaTheme="minorEastAsia" w:cstheme="minorBidi"/>
      <w:sz w:val="18"/>
    </w:rPr>
  </w:style>
  <w:style w:type="character" w:customStyle="1" w:styleId="61">
    <w:name w:val="页脚 Char"/>
    <w:link w:val="26"/>
    <w:qFormat/>
    <w:uiPriority w:val="99"/>
    <w:rPr>
      <w:sz w:val="18"/>
      <w:szCs w:val="18"/>
    </w:rPr>
  </w:style>
  <w:style w:type="character" w:customStyle="1" w:styleId="62">
    <w:name w:val="页脚 Char1"/>
    <w:basedOn w:val="40"/>
    <w:semiHidden/>
    <w:qFormat/>
    <w:uiPriority w:val="99"/>
    <w:rPr>
      <w:rFonts w:ascii="Times New Roman" w:hAnsi="Times New Roman" w:eastAsia="宋体" w:cs="Times New Roman"/>
      <w:sz w:val="18"/>
      <w:szCs w:val="18"/>
    </w:rPr>
  </w:style>
  <w:style w:type="character" w:customStyle="1" w:styleId="63">
    <w:name w:val="正文首行缩进 2 Char1"/>
    <w:basedOn w:val="64"/>
    <w:semiHidden/>
    <w:qFormat/>
    <w:uiPriority w:val="99"/>
    <w:rPr>
      <w:szCs w:val="24"/>
    </w:rPr>
  </w:style>
  <w:style w:type="character" w:customStyle="1" w:styleId="64">
    <w:name w:val="正文文本缩进 Char"/>
    <w:link w:val="19"/>
    <w:qFormat/>
    <w:uiPriority w:val="0"/>
    <w:rPr>
      <w:szCs w:val="24"/>
    </w:rPr>
  </w:style>
  <w:style w:type="character" w:customStyle="1" w:styleId="65">
    <w:name w:val="正文文本缩进 Char1"/>
    <w:basedOn w:val="40"/>
    <w:semiHidden/>
    <w:qFormat/>
    <w:uiPriority w:val="99"/>
    <w:rPr>
      <w:rFonts w:ascii="Times New Roman" w:hAnsi="Times New Roman" w:eastAsia="宋体" w:cs="Times New Roman"/>
      <w:szCs w:val="24"/>
    </w:rPr>
  </w:style>
  <w:style w:type="character" w:customStyle="1" w:styleId="66">
    <w:name w:val="正文首行缩进 2 Char"/>
    <w:basedOn w:val="65"/>
    <w:link w:val="37"/>
    <w:qFormat/>
    <w:uiPriority w:val="0"/>
    <w:rPr>
      <w:rFonts w:ascii="Times New Roman" w:hAnsi="Times New Roman" w:eastAsia="宋体" w:cs="Times New Roman"/>
      <w:szCs w:val="24"/>
    </w:rPr>
  </w:style>
  <w:style w:type="character" w:customStyle="1" w:styleId="67">
    <w:name w:val="批注框文本 Char"/>
    <w:link w:val="25"/>
    <w:qFormat/>
    <w:uiPriority w:val="99"/>
    <w:rPr>
      <w:sz w:val="18"/>
      <w:szCs w:val="18"/>
    </w:rPr>
  </w:style>
  <w:style w:type="character" w:customStyle="1" w:styleId="68">
    <w:name w:val="批注框文本 Char1"/>
    <w:basedOn w:val="40"/>
    <w:semiHidden/>
    <w:qFormat/>
    <w:uiPriority w:val="99"/>
    <w:rPr>
      <w:rFonts w:ascii="Times New Roman" w:hAnsi="Times New Roman" w:eastAsia="宋体" w:cs="Times New Roman"/>
      <w:sz w:val="18"/>
      <w:szCs w:val="18"/>
    </w:rPr>
  </w:style>
  <w:style w:type="character" w:customStyle="1" w:styleId="69">
    <w:name w:val="副标题 Char"/>
    <w:link w:val="30"/>
    <w:qFormat/>
    <w:uiPriority w:val="0"/>
    <w:rPr>
      <w:rFonts w:ascii="Cambria" w:hAnsi="Cambria"/>
      <w:b/>
      <w:bCs/>
      <w:kern w:val="28"/>
      <w:sz w:val="32"/>
      <w:szCs w:val="32"/>
    </w:rPr>
  </w:style>
  <w:style w:type="character" w:customStyle="1" w:styleId="70">
    <w:name w:val="副标题 Char1"/>
    <w:basedOn w:val="40"/>
    <w:qFormat/>
    <w:uiPriority w:val="11"/>
    <w:rPr>
      <w:rFonts w:eastAsia="宋体" w:asciiTheme="majorHAnsi" w:hAnsiTheme="majorHAnsi" w:cstheme="majorBidi"/>
      <w:b/>
      <w:bCs/>
      <w:kern w:val="28"/>
      <w:sz w:val="32"/>
      <w:szCs w:val="32"/>
    </w:rPr>
  </w:style>
  <w:style w:type="character" w:customStyle="1" w:styleId="71">
    <w:name w:val="apple-converted-space"/>
    <w:basedOn w:val="40"/>
    <w:qFormat/>
    <w:uiPriority w:val="0"/>
  </w:style>
  <w:style w:type="character" w:customStyle="1" w:styleId="72">
    <w:name w:val="纯文本 Char"/>
    <w:link w:val="21"/>
    <w:qFormat/>
    <w:uiPriority w:val="0"/>
    <w:rPr>
      <w:rFonts w:ascii="宋体" w:hAnsi="Courier New"/>
    </w:rPr>
  </w:style>
  <w:style w:type="character" w:customStyle="1" w:styleId="73">
    <w:name w:val="纯文本 Char1"/>
    <w:basedOn w:val="40"/>
    <w:semiHidden/>
    <w:qFormat/>
    <w:uiPriority w:val="99"/>
    <w:rPr>
      <w:rFonts w:ascii="宋体" w:hAnsi="Courier New" w:eastAsia="宋体" w:cs="Courier New"/>
      <w:szCs w:val="21"/>
    </w:rPr>
  </w:style>
  <w:style w:type="character" w:customStyle="1" w:styleId="74">
    <w:name w:val="页眉 Char"/>
    <w:link w:val="27"/>
    <w:qFormat/>
    <w:uiPriority w:val="99"/>
    <w:rPr>
      <w:sz w:val="18"/>
      <w:szCs w:val="18"/>
    </w:rPr>
  </w:style>
  <w:style w:type="character" w:customStyle="1" w:styleId="75">
    <w:name w:val="页眉 Char1"/>
    <w:basedOn w:val="40"/>
    <w:semiHidden/>
    <w:qFormat/>
    <w:uiPriority w:val="99"/>
    <w:rPr>
      <w:rFonts w:ascii="Times New Roman" w:hAnsi="Times New Roman" w:eastAsia="宋体" w:cs="Times New Roman"/>
      <w:sz w:val="18"/>
      <w:szCs w:val="18"/>
    </w:rPr>
  </w:style>
  <w:style w:type="character" w:customStyle="1" w:styleId="76">
    <w:name w:val="批注文字 Char"/>
    <w:link w:val="17"/>
    <w:qFormat/>
    <w:uiPriority w:val="0"/>
    <w:rPr>
      <w:szCs w:val="24"/>
    </w:rPr>
  </w:style>
  <w:style w:type="character" w:customStyle="1" w:styleId="77">
    <w:name w:val="批注文字 Char1"/>
    <w:basedOn w:val="40"/>
    <w:qFormat/>
    <w:uiPriority w:val="0"/>
    <w:rPr>
      <w:rFonts w:ascii="Times New Roman" w:hAnsi="Times New Roman" w:eastAsia="宋体" w:cs="Times New Roman"/>
      <w:szCs w:val="24"/>
    </w:rPr>
  </w:style>
  <w:style w:type="character" w:customStyle="1" w:styleId="78">
    <w:name w:val="font11"/>
    <w:qFormat/>
    <w:uiPriority w:val="0"/>
    <w:rPr>
      <w:rFonts w:hint="eastAsia" w:ascii="宋体" w:hAnsi="宋体" w:eastAsia="宋体" w:cs="宋体"/>
      <w:color w:val="000000"/>
      <w:sz w:val="21"/>
      <w:szCs w:val="21"/>
      <w:u w:val="none"/>
    </w:rPr>
  </w:style>
  <w:style w:type="character" w:customStyle="1" w:styleId="79">
    <w:name w:val="正文文本 Char"/>
    <w:basedOn w:val="40"/>
    <w:link w:val="18"/>
    <w:qFormat/>
    <w:uiPriority w:val="0"/>
    <w:rPr>
      <w:rFonts w:ascii="Times New Roman" w:hAnsi="Times New Roman" w:eastAsia="??" w:cs="Times New Roman"/>
      <w:kern w:val="0"/>
      <w:sz w:val="24"/>
      <w:szCs w:val="20"/>
    </w:rPr>
  </w:style>
  <w:style w:type="paragraph" w:customStyle="1" w:styleId="80">
    <w:name w:val="1"/>
    <w:basedOn w:val="1"/>
    <w:next w:val="21"/>
    <w:qFormat/>
    <w:uiPriority w:val="99"/>
    <w:rPr>
      <w:rFonts w:hint="eastAsia" w:ascii="宋体" w:hAnsi="Courier New"/>
      <w:szCs w:val="20"/>
    </w:rPr>
  </w:style>
  <w:style w:type="character" w:customStyle="1" w:styleId="81">
    <w:name w:val="正文文本缩进 3 Char"/>
    <w:basedOn w:val="40"/>
    <w:link w:val="32"/>
    <w:qFormat/>
    <w:uiPriority w:val="0"/>
    <w:rPr>
      <w:rFonts w:ascii="Times New Roman" w:hAnsi="Times New Roman" w:eastAsia="宋体" w:cs="Times New Roman"/>
      <w:sz w:val="16"/>
      <w:szCs w:val="16"/>
    </w:rPr>
  </w:style>
  <w:style w:type="character" w:customStyle="1" w:styleId="82">
    <w:name w:val="正文文本缩进 2 Char"/>
    <w:basedOn w:val="40"/>
    <w:link w:val="23"/>
    <w:qFormat/>
    <w:uiPriority w:val="0"/>
    <w:rPr>
      <w:rFonts w:ascii="Times New Roman" w:hAnsi="Times New Roman" w:eastAsia="宋体" w:cs="Times New Roman"/>
      <w:szCs w:val="24"/>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4">
    <w:name w:val="xl69"/>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color w:val="888888"/>
      <w:kern w:val="0"/>
      <w:sz w:val="18"/>
      <w:szCs w:val="18"/>
    </w:rPr>
  </w:style>
  <w:style w:type="paragraph" w:customStyle="1" w:styleId="85">
    <w:name w:val="xl7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86">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7">
    <w:name w:val="正文文本缩进 31"/>
    <w:basedOn w:val="1"/>
    <w:qFormat/>
    <w:uiPriority w:val="0"/>
    <w:pPr>
      <w:spacing w:after="120"/>
      <w:ind w:left="420" w:leftChars="200"/>
    </w:pPr>
    <w:rPr>
      <w:sz w:val="16"/>
      <w:szCs w:val="16"/>
    </w:rPr>
  </w:style>
  <w:style w:type="paragraph" w:customStyle="1" w:styleId="88">
    <w:name w:val="_Style 3"/>
    <w:basedOn w:val="1"/>
    <w:qFormat/>
    <w:uiPriority w:val="34"/>
    <w:pPr>
      <w:ind w:firstLine="420" w:firstLineChars="200"/>
    </w:pPr>
  </w:style>
  <w:style w:type="paragraph" w:customStyle="1" w:styleId="89">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1">
    <w:name w:val="正文文本缩进 33"/>
    <w:basedOn w:val="1"/>
    <w:qFormat/>
    <w:uiPriority w:val="0"/>
    <w:pPr>
      <w:spacing w:after="120"/>
      <w:ind w:left="420" w:leftChars="200"/>
    </w:pPr>
    <w:rPr>
      <w:kern w:val="0"/>
      <w:sz w:val="16"/>
      <w:szCs w:val="16"/>
    </w:rPr>
  </w:style>
  <w:style w:type="paragraph" w:customStyle="1" w:styleId="92">
    <w:name w:val="xl6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color w:val="FF6600"/>
      <w:kern w:val="0"/>
      <w:sz w:val="18"/>
      <w:szCs w:val="18"/>
    </w:rPr>
  </w:style>
  <w:style w:type="paragraph" w:customStyle="1" w:styleId="93">
    <w:name w:val="xl74"/>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94">
    <w:name w:val="xl64"/>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95">
    <w:name w:val="xl70"/>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71"/>
    <w:basedOn w:val="1"/>
    <w:qFormat/>
    <w:uiPriority w:val="0"/>
    <w:pPr>
      <w:widowControl/>
      <w:pBdr>
        <w:right w:val="single" w:color="000000" w:sz="4" w:space="0"/>
      </w:pBdr>
      <w:spacing w:before="100" w:beforeAutospacing="1" w:after="100" w:afterAutospacing="1"/>
      <w:jc w:val="center"/>
    </w:pPr>
    <w:rPr>
      <w:rFonts w:ascii="宋体" w:hAnsi="宋体" w:cs="宋体"/>
      <w:color w:val="FF6600"/>
      <w:kern w:val="0"/>
      <w:sz w:val="18"/>
      <w:szCs w:val="18"/>
    </w:rPr>
  </w:style>
  <w:style w:type="paragraph" w:customStyle="1" w:styleId="98">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9">
    <w:name w:val="xl6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2">
    <w:name w:val="xl6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0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6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05">
    <w:name w:val="正文文本缩进 34"/>
    <w:basedOn w:val="1"/>
    <w:qFormat/>
    <w:uiPriority w:val="0"/>
    <w:pPr>
      <w:spacing w:after="120"/>
      <w:ind w:left="420" w:leftChars="200"/>
    </w:pPr>
    <w:rPr>
      <w:kern w:val="0"/>
      <w:sz w:val="16"/>
      <w:szCs w:val="16"/>
    </w:rPr>
  </w:style>
  <w:style w:type="paragraph" w:customStyle="1" w:styleId="106">
    <w:name w:val="xl79"/>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character" w:customStyle="1" w:styleId="107">
    <w:name w:val="尾注文本 Char"/>
    <w:link w:val="24"/>
    <w:semiHidden/>
    <w:qFormat/>
    <w:uiPriority w:val="99"/>
    <w:rPr>
      <w:rFonts w:ascii="Calibri" w:hAnsi="Calibri" w:eastAsia="宋体" w:cs="Times New Roman"/>
    </w:rPr>
  </w:style>
  <w:style w:type="character" w:customStyle="1" w:styleId="108">
    <w:name w:val="尾注文本 Char1"/>
    <w:basedOn w:val="40"/>
    <w:semiHidden/>
    <w:qFormat/>
    <w:uiPriority w:val="99"/>
    <w:rPr>
      <w:rFonts w:ascii="Times New Roman" w:hAnsi="Times New Roman" w:eastAsia="宋体" w:cs="Times New Roman"/>
      <w:szCs w:val="24"/>
    </w:rPr>
  </w:style>
  <w:style w:type="character" w:customStyle="1" w:styleId="109">
    <w:name w:val="日期 Char"/>
    <w:link w:val="22"/>
    <w:semiHidden/>
    <w:qFormat/>
    <w:uiPriority w:val="0"/>
    <w:rPr>
      <w:rFonts w:ascii="宋体" w:hAnsi="Courier New" w:eastAsia="宋体" w:cs="Times New Roman"/>
      <w:sz w:val="32"/>
    </w:rPr>
  </w:style>
  <w:style w:type="character" w:customStyle="1" w:styleId="110">
    <w:name w:val="日期 Char1"/>
    <w:basedOn w:val="40"/>
    <w:semiHidden/>
    <w:qFormat/>
    <w:uiPriority w:val="99"/>
    <w:rPr>
      <w:rFonts w:ascii="Times New Roman" w:hAnsi="Times New Roman" w:eastAsia="宋体" w:cs="Times New Roman"/>
      <w:szCs w:val="24"/>
    </w:rPr>
  </w:style>
  <w:style w:type="character" w:customStyle="1" w:styleId="111">
    <w:name w:val="文档结构图 Char"/>
    <w:link w:val="15"/>
    <w:semiHidden/>
    <w:qFormat/>
    <w:uiPriority w:val="0"/>
    <w:rPr>
      <w:rFonts w:ascii="Calibri" w:hAnsi="Calibri" w:eastAsia="宋体" w:cs="Times New Roman"/>
      <w:sz w:val="24"/>
      <w:szCs w:val="24"/>
      <w:shd w:val="clear" w:color="auto" w:fill="000080"/>
    </w:rPr>
  </w:style>
  <w:style w:type="character" w:customStyle="1" w:styleId="112">
    <w:name w:val="文档结构图 Char1"/>
    <w:basedOn w:val="40"/>
    <w:semiHidden/>
    <w:qFormat/>
    <w:uiPriority w:val="99"/>
    <w:rPr>
      <w:rFonts w:ascii="Microsoft YaHei UI" w:hAnsi="Times New Roman" w:eastAsia="Microsoft YaHei UI" w:cs="Times New Roman"/>
      <w:sz w:val="18"/>
      <w:szCs w:val="18"/>
    </w:rPr>
  </w:style>
  <w:style w:type="character" w:customStyle="1" w:styleId="113">
    <w:name w:val="批注主题 Char"/>
    <w:link w:val="36"/>
    <w:semiHidden/>
    <w:qFormat/>
    <w:uiPriority w:val="0"/>
    <w:rPr>
      <w:rFonts w:ascii="Calibri" w:hAnsi="Calibri" w:eastAsia="宋体" w:cs="Times New Roman"/>
      <w:b/>
      <w:bCs/>
      <w:szCs w:val="24"/>
    </w:rPr>
  </w:style>
  <w:style w:type="character" w:customStyle="1" w:styleId="114">
    <w:name w:val="批注主题 Char1"/>
    <w:basedOn w:val="77"/>
    <w:qFormat/>
    <w:uiPriority w:val="0"/>
    <w:rPr>
      <w:rFonts w:ascii="Times New Roman" w:hAnsi="Times New Roman" w:eastAsia="宋体" w:cs="Times New Roman"/>
      <w:b/>
      <w:bCs/>
      <w:szCs w:val="24"/>
    </w:rPr>
  </w:style>
  <w:style w:type="paragraph" w:styleId="115">
    <w:name w:val="List Paragraph"/>
    <w:basedOn w:val="1"/>
    <w:qFormat/>
    <w:uiPriority w:val="34"/>
    <w:pPr>
      <w:spacing w:line="360" w:lineRule="auto"/>
      <w:ind w:firstLine="420" w:firstLineChars="200"/>
    </w:pPr>
    <w:rPr>
      <w:rFonts w:ascii="Calibri" w:hAnsi="Calibri"/>
      <w:szCs w:val="22"/>
    </w:rPr>
  </w:style>
  <w:style w:type="paragraph" w:customStyle="1" w:styleId="116">
    <w:name w:val="Level 2"/>
    <w:basedOn w:val="1"/>
    <w:qFormat/>
    <w:uiPriority w:val="99"/>
    <w:pPr>
      <w:tabs>
        <w:tab w:val="left" w:pos="160"/>
        <w:tab w:val="left" w:pos="422"/>
      </w:tabs>
      <w:wordWrap w:val="0"/>
      <w:autoSpaceDE w:val="0"/>
      <w:autoSpaceDN w:val="0"/>
      <w:snapToGrid w:val="0"/>
      <w:spacing w:beforeLines="50"/>
      <w:ind w:left="1077" w:hanging="578"/>
      <w:jc w:val="left"/>
    </w:pPr>
    <w:rPr>
      <w:rFonts w:ascii="Arial" w:hAnsi="Arial" w:eastAsia="GulimChe" w:cs="Arial"/>
      <w:b/>
      <w:bCs/>
      <w:color w:val="339966"/>
      <w:sz w:val="32"/>
      <w:szCs w:val="20"/>
      <w:lang w:eastAsia="ko-KR"/>
    </w:rPr>
  </w:style>
  <w:style w:type="paragraph" w:customStyle="1" w:styleId="117">
    <w:name w:val="Char Char Char Char Char Char Char2"/>
    <w:basedOn w:val="1"/>
    <w:qFormat/>
    <w:uiPriority w:val="99"/>
    <w:pPr>
      <w:widowControl/>
      <w:snapToGrid w:val="0"/>
      <w:spacing w:after="160" w:line="360" w:lineRule="auto"/>
      <w:jc w:val="left"/>
    </w:pPr>
    <w:rPr>
      <w:kern w:val="0"/>
      <w:sz w:val="24"/>
      <w:lang w:eastAsia="en-US"/>
    </w:rPr>
  </w:style>
  <w:style w:type="paragraph" w:customStyle="1" w:styleId="118">
    <w:name w:val="Note"/>
    <w:basedOn w:val="1"/>
    <w:qFormat/>
    <w:uiPriority w:val="99"/>
    <w:pPr>
      <w:wordWrap w:val="0"/>
      <w:autoSpaceDE w:val="0"/>
      <w:autoSpaceDN w:val="0"/>
      <w:snapToGrid w:val="0"/>
      <w:ind w:left="2160" w:leftChars="1080"/>
    </w:pPr>
    <w:rPr>
      <w:rFonts w:ascii="Arial" w:hAnsi="Arial" w:eastAsia="으뜸체"/>
      <w:color w:val="000000"/>
      <w:sz w:val="20"/>
      <w:szCs w:val="20"/>
      <w:lang w:eastAsia="ko-KR"/>
    </w:rPr>
  </w:style>
  <w:style w:type="paragraph" w:customStyle="1" w:styleId="119">
    <w:name w:val="Level 1"/>
    <w:basedOn w:val="1"/>
    <w:qFormat/>
    <w:uiPriority w:val="99"/>
    <w:pPr>
      <w:tabs>
        <w:tab w:val="left" w:pos="420"/>
        <w:tab w:val="left" w:pos="540"/>
      </w:tabs>
      <w:wordWrap w:val="0"/>
      <w:autoSpaceDE w:val="0"/>
      <w:autoSpaceDN w:val="0"/>
      <w:snapToGrid w:val="0"/>
      <w:spacing w:beforeLines="100"/>
      <w:ind w:left="363" w:hanging="403"/>
    </w:pPr>
    <w:rPr>
      <w:rFonts w:ascii="Arial" w:hAnsi="Arial" w:eastAsia="GulimChe" w:cs="Arial"/>
      <w:b/>
      <w:bCs/>
      <w:color w:val="3366FF"/>
      <w:sz w:val="36"/>
      <w:szCs w:val="20"/>
      <w:lang w:eastAsia="ko-KR"/>
    </w:rPr>
  </w:style>
  <w:style w:type="paragraph" w:customStyle="1" w:styleId="120">
    <w:name w:val="段"/>
    <w:qFormat/>
    <w:uiPriority w:val="99"/>
    <w:pPr>
      <w:autoSpaceDE w:val="0"/>
      <w:autoSpaceDN w:val="0"/>
      <w:jc w:val="both"/>
    </w:pPr>
    <w:rPr>
      <w:rFonts w:ascii="宋体" w:hAnsi="Times New Roman" w:eastAsia="宋体" w:cs="Times New Roman"/>
      <w:sz w:val="21"/>
      <w:lang w:val="en-US" w:eastAsia="zh-CN" w:bidi="ar-SA"/>
    </w:rPr>
  </w:style>
  <w:style w:type="paragraph" w:customStyle="1" w:styleId="121">
    <w:name w:val="样式 标题 1 + 仿宋_GB2312 三号"/>
    <w:basedOn w:val="2"/>
    <w:qFormat/>
    <w:uiPriority w:val="99"/>
    <w:pPr>
      <w:widowControl w:val="0"/>
      <w:numPr>
        <w:numId w:val="0"/>
      </w:numPr>
      <w:spacing w:after="0" w:line="576" w:lineRule="auto"/>
      <w:jc w:val="both"/>
    </w:pPr>
    <w:rPr>
      <w:rFonts w:ascii="仿宋_GB2312" w:hAnsi="仿宋_GB2312" w:eastAsia="仿宋_GB2312"/>
      <w:snapToGrid/>
      <w:kern w:val="44"/>
      <w:sz w:val="30"/>
    </w:rPr>
  </w:style>
  <w:style w:type="paragraph" w:customStyle="1" w:styleId="122">
    <w:name w:val="样式 标题 2 + 仿宋_GB2312 五号"/>
    <w:basedOn w:val="3"/>
    <w:next w:val="121"/>
    <w:qFormat/>
    <w:uiPriority w:val="99"/>
    <w:pPr>
      <w:keepLines w:val="0"/>
      <w:spacing w:before="0" w:beforeLines="50" w:after="0" w:line="240" w:lineRule="auto"/>
      <w:ind w:left="0" w:leftChars="0" w:firstLine="211" w:firstLineChars="100"/>
    </w:pPr>
    <w:rPr>
      <w:rFonts w:ascii="仿宋_GB2312" w:hAnsi="仿宋_GB2312" w:eastAsia="仿宋_GB2312" w:cs="宋体"/>
      <w:b/>
      <w:sz w:val="21"/>
      <w:szCs w:val="20"/>
    </w:rPr>
  </w:style>
  <w:style w:type="paragraph" w:customStyle="1" w:styleId="12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4">
    <w:name w:val="正文图注"/>
    <w:basedOn w:val="1"/>
    <w:next w:val="1"/>
    <w:qFormat/>
    <w:uiPriority w:val="99"/>
    <w:pPr>
      <w:ind w:firstLine="480" w:firstLineChars="200"/>
      <w:jc w:val="center"/>
    </w:pPr>
    <w:rPr>
      <w:rFonts w:ascii="Calibri" w:hAnsi="Calibri" w:eastAsia="仿宋_GB2312"/>
      <w:b/>
      <w:szCs w:val="21"/>
      <w:u w:val="single"/>
    </w:rPr>
  </w:style>
  <w:style w:type="paragraph" w:customStyle="1" w:styleId="125">
    <w:name w:val="Central Title"/>
    <w:basedOn w:val="1"/>
    <w:qFormat/>
    <w:uiPriority w:val="99"/>
    <w:pPr>
      <w:wordWrap w:val="0"/>
      <w:autoSpaceDE w:val="0"/>
      <w:autoSpaceDN w:val="0"/>
      <w:snapToGrid w:val="0"/>
    </w:pPr>
    <w:rPr>
      <w:rFonts w:ascii="Arial" w:hAnsi="Arial" w:eastAsia="GulimChe" w:cs="Arial"/>
      <w:b/>
      <w:bCs/>
      <w:color w:val="003300"/>
      <w:sz w:val="52"/>
      <w:szCs w:val="20"/>
      <w:lang w:eastAsia="ko-KR"/>
    </w:rPr>
  </w:style>
  <w:style w:type="paragraph" w:customStyle="1" w:styleId="126">
    <w:name w:val="Note Level 4"/>
    <w:basedOn w:val="118"/>
    <w:qFormat/>
    <w:uiPriority w:val="99"/>
    <w:pPr>
      <w:ind w:left="1800" w:leftChars="900"/>
    </w:pPr>
  </w:style>
  <w:style w:type="paragraph" w:customStyle="1" w:styleId="12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8">
    <w:name w:val="表格1"/>
    <w:basedOn w:val="1"/>
    <w:next w:val="1"/>
    <w:qFormat/>
    <w:uiPriority w:val="99"/>
    <w:pPr>
      <w:spacing w:line="360" w:lineRule="auto"/>
      <w:jc w:val="center"/>
    </w:pPr>
  </w:style>
  <w:style w:type="paragraph" w:customStyle="1" w:styleId="129">
    <w:name w:val="列表编号 9"/>
    <w:basedOn w:val="1"/>
    <w:qFormat/>
    <w:uiPriority w:val="99"/>
    <w:pPr>
      <w:tabs>
        <w:tab w:val="left" w:pos="1816"/>
        <w:tab w:val="left" w:pos="4111"/>
      </w:tabs>
      <w:ind w:left="1816" w:hanging="1800"/>
    </w:pPr>
    <w:rPr>
      <w:sz w:val="18"/>
      <w:szCs w:val="18"/>
    </w:rPr>
  </w:style>
  <w:style w:type="paragraph" w:customStyle="1" w:styleId="130">
    <w:name w:val="Level 5"/>
    <w:basedOn w:val="1"/>
    <w:qFormat/>
    <w:uiPriority w:val="99"/>
    <w:pPr>
      <w:tabs>
        <w:tab w:val="left" w:pos="1086"/>
        <w:tab w:val="left" w:pos="2000"/>
      </w:tabs>
      <w:wordWrap w:val="0"/>
      <w:autoSpaceDE w:val="0"/>
      <w:autoSpaceDN w:val="0"/>
      <w:snapToGrid w:val="0"/>
      <w:spacing w:beforeLines="50"/>
      <w:ind w:left="1086" w:hanging="1080"/>
    </w:pPr>
    <w:rPr>
      <w:rFonts w:ascii="Arial" w:hAnsi="Arial" w:eastAsia="GulimChe" w:cs="Arial"/>
      <w:b/>
      <w:bCs/>
      <w:color w:val="333333"/>
      <w:sz w:val="20"/>
      <w:szCs w:val="20"/>
      <w:lang w:eastAsia="ko-KR"/>
    </w:rPr>
  </w:style>
  <w:style w:type="paragraph" w:customStyle="1" w:styleId="131">
    <w:name w:val="Note Level 2"/>
    <w:basedOn w:val="118"/>
    <w:qFormat/>
    <w:uiPriority w:val="99"/>
    <w:pPr>
      <w:ind w:left="1080" w:leftChars="540"/>
    </w:pPr>
    <w:rPr>
      <w:rFonts w:cs="Arial"/>
      <w:sz w:val="24"/>
    </w:rPr>
  </w:style>
  <w:style w:type="paragraph" w:customStyle="1" w:styleId="132">
    <w:name w:val="Char Char Char Char Char Char Char1"/>
    <w:basedOn w:val="1"/>
    <w:qFormat/>
    <w:uiPriority w:val="99"/>
    <w:rPr>
      <w:rFonts w:ascii="仿宋_GB2312" w:eastAsia="仿宋_GB2312"/>
      <w:b/>
      <w:sz w:val="32"/>
      <w:szCs w:val="32"/>
    </w:rPr>
  </w:style>
  <w:style w:type="paragraph" w:customStyle="1" w:styleId="133">
    <w:name w:val="CM31"/>
    <w:basedOn w:val="123"/>
    <w:next w:val="123"/>
    <w:qFormat/>
    <w:uiPriority w:val="99"/>
    <w:pPr>
      <w:spacing w:after="168"/>
    </w:pPr>
    <w:rPr>
      <w:rFonts w:cs="Times New Roman"/>
      <w:color w:val="auto"/>
    </w:rPr>
  </w:style>
  <w:style w:type="paragraph" w:customStyle="1" w:styleId="134">
    <w:name w:val="表1"/>
    <w:basedOn w:val="1"/>
    <w:qFormat/>
    <w:uiPriority w:val="99"/>
    <w:pPr>
      <w:spacing w:line="360" w:lineRule="auto"/>
      <w:jc w:val="center"/>
    </w:pPr>
    <w:rPr>
      <w:rFonts w:ascii="宋体" w:hAnsi="宋体"/>
      <w:b/>
      <w:color w:val="000000"/>
      <w:sz w:val="24"/>
      <w:szCs w:val="18"/>
    </w:rPr>
  </w:style>
  <w:style w:type="paragraph" w:customStyle="1" w:styleId="135">
    <w:name w:val="列出段落1"/>
    <w:basedOn w:val="1"/>
    <w:qFormat/>
    <w:uiPriority w:val="34"/>
    <w:pPr>
      <w:spacing w:line="360" w:lineRule="auto"/>
      <w:ind w:firstLine="420" w:firstLineChars="200"/>
    </w:pPr>
    <w:rPr>
      <w:rFonts w:ascii="Calibri" w:hAnsi="Calibri"/>
      <w:szCs w:val="22"/>
    </w:rPr>
  </w:style>
  <w:style w:type="paragraph" w:customStyle="1" w:styleId="136">
    <w:name w:val="CM2"/>
    <w:basedOn w:val="123"/>
    <w:next w:val="123"/>
    <w:qFormat/>
    <w:uiPriority w:val="99"/>
    <w:pPr>
      <w:spacing w:line="471" w:lineRule="atLeast"/>
    </w:pPr>
    <w:rPr>
      <w:rFonts w:cs="Times New Roman"/>
      <w:color w:val="auto"/>
    </w:rPr>
  </w:style>
  <w:style w:type="paragraph" w:customStyle="1" w:styleId="137">
    <w:name w:val="CM32"/>
    <w:basedOn w:val="123"/>
    <w:next w:val="123"/>
    <w:qFormat/>
    <w:uiPriority w:val="99"/>
    <w:pPr>
      <w:spacing w:after="335"/>
    </w:pPr>
    <w:rPr>
      <w:rFonts w:cs="Times New Roman"/>
      <w:color w:val="auto"/>
    </w:rPr>
  </w:style>
  <w:style w:type="paragraph" w:customStyle="1" w:styleId="138">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9">
    <w:name w:val="列表编号 7"/>
    <w:basedOn w:val="1"/>
    <w:qFormat/>
    <w:uiPriority w:val="99"/>
    <w:pPr>
      <w:tabs>
        <w:tab w:val="left" w:pos="1452"/>
        <w:tab w:val="left" w:pos="2126"/>
      </w:tabs>
      <w:ind w:left="1452" w:hanging="1440"/>
    </w:pPr>
    <w:rPr>
      <w:sz w:val="18"/>
      <w:szCs w:val="18"/>
    </w:rPr>
  </w:style>
  <w:style w:type="paragraph" w:customStyle="1" w:styleId="140">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41">
    <w:name w:val="列表编号 8"/>
    <w:basedOn w:val="1"/>
    <w:qFormat/>
    <w:uiPriority w:val="99"/>
    <w:pPr>
      <w:tabs>
        <w:tab w:val="left" w:pos="1814"/>
        <w:tab w:val="left" w:pos="3856"/>
      </w:tabs>
      <w:ind w:left="1814" w:hanging="1800"/>
    </w:pPr>
    <w:rPr>
      <w:sz w:val="18"/>
      <w:szCs w:val="18"/>
    </w:rPr>
  </w:style>
  <w:style w:type="paragraph" w:customStyle="1" w:styleId="142">
    <w:name w:val="Note Level 1"/>
    <w:basedOn w:val="118"/>
    <w:qFormat/>
    <w:uiPriority w:val="99"/>
    <w:pPr>
      <w:ind w:left="540" w:leftChars="270"/>
    </w:pPr>
    <w:rPr>
      <w:sz w:val="24"/>
    </w:rPr>
  </w:style>
  <w:style w:type="paragraph" w:customStyle="1" w:styleId="143">
    <w:name w:val="CM12"/>
    <w:basedOn w:val="123"/>
    <w:next w:val="123"/>
    <w:qFormat/>
    <w:uiPriority w:val="99"/>
    <w:pPr>
      <w:spacing w:line="468" w:lineRule="atLeast"/>
    </w:pPr>
    <w:rPr>
      <w:rFonts w:cs="Times New Roman"/>
      <w:color w:val="auto"/>
    </w:rPr>
  </w:style>
  <w:style w:type="paragraph" w:customStyle="1" w:styleId="144">
    <w:name w:val="Default Text"/>
    <w:basedOn w:val="1"/>
    <w:qFormat/>
    <w:uiPriority w:val="99"/>
    <w:pPr>
      <w:autoSpaceDE w:val="0"/>
      <w:autoSpaceDN w:val="0"/>
      <w:adjustRightInd w:val="0"/>
      <w:spacing w:line="360" w:lineRule="auto"/>
      <w:jc w:val="left"/>
    </w:pPr>
    <w:rPr>
      <w:kern w:val="0"/>
      <w:sz w:val="24"/>
    </w:rPr>
  </w:style>
  <w:style w:type="paragraph" w:customStyle="1" w:styleId="145">
    <w:name w:val="表格2"/>
    <w:basedOn w:val="1"/>
    <w:next w:val="1"/>
    <w:qFormat/>
    <w:uiPriority w:val="99"/>
    <w:pPr>
      <w:spacing w:line="360" w:lineRule="auto"/>
      <w:jc w:val="left"/>
    </w:pPr>
    <w:rPr>
      <w:sz w:val="24"/>
    </w:rPr>
  </w:style>
  <w:style w:type="paragraph" w:customStyle="1" w:styleId="146">
    <w:name w:val="Note Title"/>
    <w:basedOn w:val="118"/>
    <w:qFormat/>
    <w:uiPriority w:val="99"/>
    <w:pPr>
      <w:ind w:left="0" w:leftChars="0"/>
    </w:pPr>
    <w:rPr>
      <w:rFonts w:cs="Arial"/>
      <w:i/>
      <w:iCs/>
      <w:sz w:val="28"/>
    </w:rPr>
  </w:style>
  <w:style w:type="paragraph" w:customStyle="1" w:styleId="147">
    <w:name w:val="p0"/>
    <w:basedOn w:val="1"/>
    <w:qFormat/>
    <w:uiPriority w:val="0"/>
    <w:pPr>
      <w:widowControl/>
      <w:spacing w:line="360" w:lineRule="auto"/>
    </w:pPr>
    <w:rPr>
      <w:kern w:val="0"/>
      <w:sz w:val="28"/>
      <w:szCs w:val="28"/>
    </w:rPr>
  </w:style>
  <w:style w:type="paragraph" w:customStyle="1" w:styleId="148">
    <w:name w:val="列表编号 6"/>
    <w:basedOn w:val="31"/>
    <w:qFormat/>
    <w:uiPriority w:val="99"/>
    <w:pPr>
      <w:tabs>
        <w:tab w:val="left" w:pos="360"/>
        <w:tab w:val="clear" w:pos="1559"/>
      </w:tabs>
    </w:pPr>
  </w:style>
  <w:style w:type="paragraph" w:customStyle="1" w:styleId="149">
    <w:name w:val="Level 4"/>
    <w:basedOn w:val="1"/>
    <w:qFormat/>
    <w:uiPriority w:val="99"/>
    <w:pPr>
      <w:shd w:val="pct10" w:color="auto" w:fill="FFFFFF"/>
      <w:tabs>
        <w:tab w:val="left" w:pos="420"/>
      </w:tabs>
      <w:wordWrap w:val="0"/>
      <w:autoSpaceDE w:val="0"/>
      <w:autoSpaceDN w:val="0"/>
      <w:snapToGrid w:val="0"/>
      <w:spacing w:beforeLines="50" w:line="360" w:lineRule="auto"/>
      <w:ind w:left="420" w:hanging="420"/>
    </w:pPr>
    <w:rPr>
      <w:rFonts w:ascii="宋体" w:hAnsi="宋体" w:cs="Arial"/>
      <w:bCs/>
      <w:sz w:val="28"/>
      <w:szCs w:val="28"/>
      <w:lang w:eastAsia="ko-KR"/>
    </w:rPr>
  </w:style>
  <w:style w:type="paragraph" w:customStyle="1" w:styleId="150">
    <w:name w:val="样式（环球表格内容） 宋体 小四 黑色 居中"/>
    <w:basedOn w:val="1"/>
    <w:qFormat/>
    <w:uiPriority w:val="99"/>
    <w:pPr>
      <w:jc w:val="center"/>
    </w:pPr>
    <w:rPr>
      <w:rFonts w:ascii="宋体" w:hAnsi="宋体"/>
      <w:color w:val="000000"/>
      <w:sz w:val="24"/>
      <w:szCs w:val="20"/>
    </w:rPr>
  </w:style>
  <w:style w:type="paragraph" w:customStyle="1" w:styleId="1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2">
    <w:name w:val="正文1"/>
    <w:basedOn w:val="1"/>
    <w:qFormat/>
    <w:uiPriority w:val="99"/>
    <w:pPr>
      <w:spacing w:line="360" w:lineRule="auto"/>
    </w:pPr>
    <w:rPr>
      <w:sz w:val="24"/>
    </w:rPr>
  </w:style>
  <w:style w:type="paragraph" w:customStyle="1" w:styleId="15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154">
    <w:name w:val="CM14"/>
    <w:basedOn w:val="123"/>
    <w:next w:val="123"/>
    <w:qFormat/>
    <w:uiPriority w:val="99"/>
    <w:pPr>
      <w:spacing w:line="468" w:lineRule="atLeast"/>
    </w:pPr>
    <w:rPr>
      <w:rFonts w:cs="Times New Roman"/>
      <w:color w:val="auto"/>
    </w:rPr>
  </w:style>
  <w:style w:type="paragraph" w:customStyle="1" w:styleId="155">
    <w:name w:val="Level 3"/>
    <w:basedOn w:val="1"/>
    <w:qFormat/>
    <w:uiPriority w:val="99"/>
    <w:pPr>
      <w:tabs>
        <w:tab w:val="left" w:pos="422"/>
        <w:tab w:val="left" w:pos="2720"/>
      </w:tabs>
      <w:wordWrap w:val="0"/>
      <w:autoSpaceDE w:val="0"/>
      <w:autoSpaceDN w:val="0"/>
      <w:snapToGrid w:val="0"/>
      <w:spacing w:beforeLines="50"/>
      <w:ind w:left="1441" w:hanging="403"/>
    </w:pPr>
    <w:rPr>
      <w:rFonts w:ascii="Arial" w:hAnsi="Arial" w:eastAsia="GulimChe" w:cs="Arial"/>
      <w:b/>
      <w:bCs/>
      <w:color w:val="993300"/>
      <w:sz w:val="28"/>
      <w:szCs w:val="20"/>
      <w:lang w:eastAsia="ko-KR"/>
    </w:rPr>
  </w:style>
  <w:style w:type="paragraph" w:customStyle="1" w:styleId="156">
    <w:name w:val="标题 3 Char Char"/>
    <w:basedOn w:val="5"/>
    <w:qFormat/>
    <w:uiPriority w:val="99"/>
    <w:pPr>
      <w:widowControl w:val="0"/>
      <w:numPr>
        <w:ilvl w:val="0"/>
        <w:numId w:val="0"/>
      </w:numPr>
      <w:tabs>
        <w:tab w:val="clear" w:pos="720"/>
      </w:tabs>
      <w:spacing w:before="0" w:after="0" w:line="520" w:lineRule="exact"/>
      <w:ind w:firstLine="425"/>
      <w:jc w:val="both"/>
    </w:pPr>
    <w:rPr>
      <w:rFonts w:ascii="宋体" w:eastAsia="宋体"/>
      <w:b/>
      <w:bCs w:val="0"/>
      <w:kern w:val="2"/>
      <w:sz w:val="24"/>
      <w:szCs w:val="20"/>
      <w:lang w:val="en-US"/>
    </w:rPr>
  </w:style>
  <w:style w:type="paragraph" w:customStyle="1" w:styleId="157">
    <w:name w:val="Table Row Text Centered"/>
    <w:basedOn w:val="1"/>
    <w:qFormat/>
    <w:uiPriority w:val="99"/>
    <w:pPr>
      <w:widowControl/>
      <w:autoSpaceDE w:val="0"/>
      <w:autoSpaceDN w:val="0"/>
      <w:adjustRightInd w:val="0"/>
      <w:spacing w:before="120" w:after="120" w:line="360" w:lineRule="auto"/>
      <w:jc w:val="center"/>
    </w:pPr>
    <w:rPr>
      <w:rFonts w:ascii="Futura LtCn BT" w:hAnsi="Futura LtCn BT" w:cs="Futura LtCn BT"/>
      <w:kern w:val="0"/>
      <w:sz w:val="24"/>
      <w:szCs w:val="22"/>
      <w:lang w:eastAsia="en-US"/>
    </w:rPr>
  </w:style>
  <w:style w:type="character" w:customStyle="1" w:styleId="158">
    <w:name w:val="tel"/>
    <w:qFormat/>
    <w:uiPriority w:val="0"/>
  </w:style>
  <w:style w:type="character" w:customStyle="1" w:styleId="159">
    <w:name w:val="邓林海"/>
    <w:qFormat/>
    <w:uiPriority w:val="0"/>
    <w:rPr>
      <w:rFonts w:hint="eastAsia" w:ascii="宋体" w:hAnsi="宋体" w:eastAsia="宋体" w:cs="宋体"/>
      <w:sz w:val="24"/>
      <w:szCs w:val="24"/>
    </w:rPr>
  </w:style>
  <w:style w:type="character" w:customStyle="1" w:styleId="160">
    <w:name w:val="wenzhiyangshi21"/>
    <w:qFormat/>
    <w:uiPriority w:val="0"/>
    <w:rPr>
      <w:rFonts w:hint="eastAsia" w:ascii="宋体" w:hAnsi="宋体" w:eastAsia="宋体" w:cs="宋体"/>
      <w:sz w:val="18"/>
      <w:szCs w:val="18"/>
    </w:rPr>
  </w:style>
  <w:style w:type="character" w:customStyle="1" w:styleId="161">
    <w:name w:val="Char Char7"/>
    <w:qFormat/>
    <w:uiPriority w:val="0"/>
    <w:rPr>
      <w:kern w:val="2"/>
      <w:sz w:val="18"/>
      <w:szCs w:val="18"/>
    </w:rPr>
  </w:style>
  <w:style w:type="character" w:customStyle="1" w:styleId="162">
    <w:name w:val="标题 3 Char1"/>
    <w:qFormat/>
    <w:uiPriority w:val="0"/>
    <w:rPr>
      <w:rFonts w:hint="default" w:ascii="Times New Roman" w:hAnsi="Times New Roman" w:eastAsia="宋体" w:cs="Times New Roman"/>
      <w:b/>
      <w:kern w:val="0"/>
      <w:sz w:val="26"/>
      <w:szCs w:val="20"/>
    </w:rPr>
  </w:style>
  <w:style w:type="character" w:customStyle="1" w:styleId="163">
    <w:name w:val="正文文本缩进 3 Char1"/>
    <w:semiHidden/>
    <w:qFormat/>
    <w:uiPriority w:val="99"/>
    <w:rPr>
      <w:rFonts w:hint="default" w:ascii="Times New Roman" w:hAnsi="Times New Roman" w:eastAsia="宋体" w:cs="Times New Roman"/>
      <w:sz w:val="16"/>
      <w:szCs w:val="16"/>
    </w:rPr>
  </w:style>
  <w:style w:type="character" w:customStyle="1" w:styleId="164">
    <w:name w:val="Char Char5"/>
    <w:qFormat/>
    <w:uiPriority w:val="0"/>
    <w:rPr>
      <w:kern w:val="2"/>
      <w:sz w:val="18"/>
      <w:szCs w:val="18"/>
    </w:rPr>
  </w:style>
  <w:style w:type="character" w:customStyle="1" w:styleId="165">
    <w:name w:val="font21"/>
    <w:qFormat/>
    <w:uiPriority w:val="0"/>
    <w:rPr>
      <w:rFonts w:hint="eastAsia" w:ascii="宋体" w:hAnsi="宋体" w:eastAsia="宋体"/>
      <w:color w:val="000000"/>
      <w:sz w:val="16"/>
      <w:szCs w:val="16"/>
      <w:u w:val="none"/>
    </w:rPr>
  </w:style>
  <w:style w:type="character" w:customStyle="1" w:styleId="166">
    <w:name w:val="正文文本缩进 2 Char1"/>
    <w:qFormat/>
    <w:uiPriority w:val="99"/>
    <w:rPr>
      <w:kern w:val="2"/>
      <w:sz w:val="21"/>
      <w:szCs w:val="24"/>
    </w:rPr>
  </w:style>
  <w:style w:type="character" w:customStyle="1" w:styleId="167">
    <w:name w:val="页码1"/>
    <w:qFormat/>
    <w:uiPriority w:val="0"/>
    <w:rPr>
      <w:rFonts w:hint="default" w:ascii="Times New Roman" w:hAnsi="Times New Roman" w:cs="Times New Roman"/>
    </w:rPr>
  </w:style>
  <w:style w:type="paragraph" w:customStyle="1" w:styleId="168">
    <w:name w:val="CM34"/>
    <w:basedOn w:val="123"/>
    <w:next w:val="123"/>
    <w:qFormat/>
    <w:uiPriority w:val="99"/>
    <w:pPr>
      <w:spacing w:after="450"/>
    </w:pPr>
    <w:rPr>
      <w:rFonts w:cs="Times New Roman"/>
      <w:color w:val="auto"/>
    </w:rPr>
  </w:style>
  <w:style w:type="paragraph" w:customStyle="1" w:styleId="169">
    <w:name w:val="Note Level 3"/>
    <w:basedOn w:val="118"/>
    <w:qFormat/>
    <w:uiPriority w:val="99"/>
    <w:pPr>
      <w:ind w:left="1440" w:leftChars="720"/>
    </w:pPr>
    <w:rPr>
      <w:rFonts w:cs="Arial"/>
      <w:sz w:val="24"/>
    </w:rPr>
  </w:style>
  <w:style w:type="paragraph" w:customStyle="1" w:styleId="170">
    <w:name w:val="Note Level 5"/>
    <w:basedOn w:val="126"/>
    <w:qFormat/>
    <w:uiPriority w:val="99"/>
    <w:pPr>
      <w:ind w:left="2160" w:leftChars="1080"/>
    </w:pPr>
  </w:style>
  <w:style w:type="paragraph" w:customStyle="1" w:styleId="171">
    <w:name w:val="Note Level 6"/>
    <w:basedOn w:val="170"/>
    <w:qFormat/>
    <w:uiPriority w:val="99"/>
    <w:pPr>
      <w:ind w:left="2520" w:leftChars="1260"/>
    </w:pPr>
  </w:style>
  <w:style w:type="paragraph" w:customStyle="1" w:styleId="172">
    <w:name w:val="Note Level 7"/>
    <w:basedOn w:val="171"/>
    <w:qFormat/>
    <w:uiPriority w:val="99"/>
    <w:pPr>
      <w:ind w:left="2880" w:leftChars="1440"/>
    </w:pPr>
  </w:style>
  <w:style w:type="paragraph" w:customStyle="1" w:styleId="173">
    <w:name w:val="Level 6"/>
    <w:basedOn w:val="170"/>
    <w:qFormat/>
    <w:uiPriority w:val="99"/>
    <w:pPr>
      <w:spacing w:before="120"/>
    </w:pPr>
    <w:rPr>
      <w:b/>
      <w:bCs/>
    </w:rPr>
  </w:style>
  <w:style w:type="paragraph" w:customStyle="1" w:styleId="174">
    <w:name w:val="Level 7"/>
    <w:basedOn w:val="173"/>
    <w:qFormat/>
    <w:uiPriority w:val="99"/>
    <w:pPr>
      <w:ind w:left="2520" w:leftChars="1260"/>
    </w:pPr>
  </w:style>
  <w:style w:type="paragraph" w:customStyle="1" w:styleId="175">
    <w:name w:val="Level 8"/>
    <w:basedOn w:val="174"/>
    <w:qFormat/>
    <w:uiPriority w:val="99"/>
    <w:pPr>
      <w:ind w:left="2880" w:leftChars="1440"/>
    </w:pPr>
  </w:style>
  <w:style w:type="paragraph" w:customStyle="1" w:styleId="176">
    <w:name w:val="表格3"/>
    <w:basedOn w:val="128"/>
    <w:qFormat/>
    <w:uiPriority w:val="99"/>
    <w:pPr>
      <w:ind w:right="113"/>
    </w:pPr>
    <w:rPr>
      <w:b/>
      <w:sz w:val="24"/>
    </w:rPr>
  </w:style>
  <w:style w:type="paragraph" w:customStyle="1" w:styleId="177">
    <w:name w:val="Note Level 8"/>
    <w:basedOn w:val="130"/>
    <w:qFormat/>
    <w:uiPriority w:val="99"/>
    <w:pPr>
      <w:ind w:left="3240" w:firstLine="0"/>
    </w:pPr>
    <w:rPr>
      <w:b w:val="0"/>
      <w:bCs w:val="0"/>
      <w:color w:val="auto"/>
    </w:rPr>
  </w:style>
  <w:style w:type="paragraph" w:customStyle="1" w:styleId="178">
    <w:name w:val="TOC 标题1"/>
    <w:basedOn w:val="2"/>
    <w:next w:val="1"/>
    <w:autoRedefine/>
    <w:qFormat/>
    <w:uiPriority w:val="39"/>
    <w:pPr>
      <w:numPr>
        <w:numId w:val="0"/>
      </w:numPr>
      <w:spacing w:before="480" w:after="0" w:line="360" w:lineRule="auto"/>
      <w:jc w:val="center"/>
      <w:outlineLvl w:val="9"/>
    </w:pPr>
    <w:rPr>
      <w:rFonts w:ascii="微软雅黑" w:hAnsi="宋体" w:eastAsia="微软雅黑"/>
      <w:snapToGrid/>
      <w:sz w:val="32"/>
      <w:szCs w:val="32"/>
      <w:lang w:val="zh-CN"/>
    </w:rPr>
  </w:style>
  <w:style w:type="paragraph" w:customStyle="1" w:styleId="179">
    <w:name w:val="List Paragraph1"/>
    <w:basedOn w:val="1"/>
    <w:autoRedefine/>
    <w:qFormat/>
    <w:uiPriority w:val="99"/>
    <w:pPr>
      <w:widowControl/>
      <w:ind w:firstLine="420" w:firstLineChars="200"/>
    </w:pPr>
    <w:rPr>
      <w:szCs w:val="20"/>
    </w:rPr>
  </w:style>
  <w:style w:type="paragraph" w:customStyle="1" w:styleId="180">
    <w:name w:val="Char1 Char Char Char"/>
    <w:basedOn w:val="1"/>
    <w:autoRedefine/>
    <w:qFormat/>
    <w:uiPriority w:val="0"/>
    <w:pPr>
      <w:spacing w:line="360" w:lineRule="auto"/>
      <w:ind w:left="230" w:leftChars="230"/>
    </w:pPr>
    <w:rPr>
      <w:rFonts w:ascii="Arial" w:hAnsi="Arial" w:cs="Arial"/>
      <w:sz w:val="20"/>
      <w:szCs w:val="20"/>
    </w:rPr>
  </w:style>
  <w:style w:type="character" w:customStyle="1" w:styleId="181">
    <w:name w:val="标题 9 字符"/>
    <w:autoRedefine/>
    <w:qFormat/>
    <w:uiPriority w:val="0"/>
    <w:rPr>
      <w:rFonts w:hint="default" w:ascii="Arial" w:hAnsi="Arial" w:eastAsia="黑体" w:cs="Times New Roman"/>
      <w:kern w:val="0"/>
      <w:szCs w:val="21"/>
    </w:rPr>
  </w:style>
  <w:style w:type="character" w:customStyle="1" w:styleId="182">
    <w:name w:val="font61"/>
    <w:basedOn w:val="40"/>
    <w:autoRedefine/>
    <w:qFormat/>
    <w:uiPriority w:val="0"/>
    <w:rPr>
      <w:rFonts w:hint="eastAsia" w:ascii="宋体" w:hAnsi="宋体" w:eastAsia="宋体" w:cs="宋体"/>
      <w:b/>
      <w:bCs/>
      <w:color w:val="000000"/>
      <w:sz w:val="18"/>
      <w:szCs w:val="18"/>
      <w:u w:val="none"/>
    </w:rPr>
  </w:style>
  <w:style w:type="character" w:customStyle="1" w:styleId="183">
    <w:name w:val="font41"/>
    <w:basedOn w:val="40"/>
    <w:autoRedefine/>
    <w:qFormat/>
    <w:uiPriority w:val="0"/>
    <w:rPr>
      <w:rFonts w:hint="eastAsia" w:ascii="微软雅黑" w:hAnsi="微软雅黑" w:eastAsia="微软雅黑" w:cs="微软雅黑"/>
      <w:b/>
      <w:bCs/>
      <w:color w:val="000000"/>
      <w:sz w:val="18"/>
      <w:szCs w:val="18"/>
      <w:u w:val="none"/>
    </w:rPr>
  </w:style>
  <w:style w:type="character" w:customStyle="1" w:styleId="184">
    <w:name w:val="font91"/>
    <w:basedOn w:val="40"/>
    <w:autoRedefine/>
    <w:qFormat/>
    <w:uiPriority w:val="0"/>
    <w:rPr>
      <w:rFonts w:hint="eastAsia" w:ascii="宋体" w:hAnsi="宋体" w:eastAsia="宋体" w:cs="宋体"/>
      <w:color w:val="000000"/>
      <w:sz w:val="24"/>
      <w:szCs w:val="24"/>
      <w:u w:val="single"/>
    </w:rPr>
  </w:style>
  <w:style w:type="character" w:customStyle="1" w:styleId="185">
    <w:name w:val="font31"/>
    <w:basedOn w:val="40"/>
    <w:autoRedefine/>
    <w:qFormat/>
    <w:uiPriority w:val="0"/>
    <w:rPr>
      <w:rFonts w:hint="eastAsia" w:ascii="宋体" w:hAnsi="宋体" w:eastAsia="宋体" w:cs="宋体"/>
      <w:color w:val="000000"/>
      <w:sz w:val="18"/>
      <w:szCs w:val="18"/>
      <w:u w:val="none"/>
    </w:rPr>
  </w:style>
  <w:style w:type="character" w:customStyle="1" w:styleId="186">
    <w:name w:val="font71"/>
    <w:basedOn w:val="40"/>
    <w:autoRedefine/>
    <w:qFormat/>
    <w:uiPriority w:val="0"/>
    <w:rPr>
      <w:rFonts w:hint="eastAsia" w:ascii="宋体" w:hAnsi="宋体" w:eastAsia="宋体" w:cs="宋体"/>
      <w:color w:val="000000"/>
      <w:sz w:val="20"/>
      <w:szCs w:val="20"/>
      <w:u w:val="none"/>
    </w:rPr>
  </w:style>
  <w:style w:type="character" w:customStyle="1" w:styleId="187">
    <w:name w:val="font01"/>
    <w:basedOn w:val="40"/>
    <w:qFormat/>
    <w:uiPriority w:val="0"/>
    <w:rPr>
      <w:rFonts w:hint="default" w:ascii="Arial" w:hAnsi="Arial" w:cs="Arial"/>
      <w:color w:val="000000"/>
      <w:sz w:val="24"/>
      <w:szCs w:val="24"/>
      <w:u w:val="none"/>
    </w:rPr>
  </w:style>
  <w:style w:type="paragraph" w:customStyle="1" w:styleId="188">
    <w:name w:val="TOC 标题2"/>
    <w:basedOn w:val="2"/>
    <w:next w:val="1"/>
    <w:unhideWhenUsed/>
    <w:qFormat/>
    <w:uiPriority w:val="39"/>
    <w:pPr>
      <w:numPr>
        <w:numId w:val="0"/>
      </w:numPr>
      <w:spacing w:before="240" w:after="0" w:line="259" w:lineRule="auto"/>
      <w:outlineLvl w:val="9"/>
    </w:pPr>
    <w:rPr>
      <w:rFonts w:asciiTheme="majorHAnsi" w:hAnsiTheme="majorHAnsi" w:eastAsiaTheme="majorEastAsia" w:cstheme="majorBidi"/>
      <w:b w:val="0"/>
      <w:bCs w:val="0"/>
      <w:snapToGrid/>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35308-30F7-42E1-A7D5-ECD4BB1B6A2E}">
  <ds:schemaRefs/>
</ds:datastoreItem>
</file>

<file path=docProps/app.xml><?xml version="1.0" encoding="utf-8"?>
<Properties xmlns="http://schemas.openxmlformats.org/officeDocument/2006/extended-properties" xmlns:vt="http://schemas.openxmlformats.org/officeDocument/2006/docPropsVTypes">
  <Template>Normal</Template>
  <Pages>112</Pages>
  <Words>2995</Words>
  <Characters>3147</Characters>
  <Lines>501</Lines>
  <Paragraphs>141</Paragraphs>
  <TotalTime>97</TotalTime>
  <ScaleCrop>false</ScaleCrop>
  <LinksUpToDate>false</LinksUpToDate>
  <CharactersWithSpaces>3317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2026-04-28T08:04:00Z</dcterms:created>
  <dc:creator>孙逊</dc:creator>
  <cp:lastModifiedBy>李家乐</cp:lastModifiedBy>
  <dcterms:modified xsi:type="dcterms:W3CDTF">2026-06-16T08:15:37Z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eyJoZGlkIjoiOTJkMjhkMGYxYzA1OGY3N2EzZmJmODFlY2U5NmVlYTUiLCJ1c2VySWQiOiI0NjA0OTI0MDYifQ==</vt:lpwstr>
  </property>
  <property fmtid="{D5CDD505-2E9C-101B-9397-08002B2CF9AE}" pid="3" name="KSOProductBuildVer">
    <vt:lpwstr>2052-12.1.0.24657</vt:lpwstr>
  </property>
  <property fmtid="{D5CDD505-2E9C-101B-9397-08002B2CF9AE}" pid="4" name="ICV">
    <vt:lpwstr>20E02B1358454B82AFC6271CFF6EEA85_13</vt:lpwstr>
  </property>
</Properties>
</file>