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3A91EB">
      <w:pPr>
        <w:ind w:firstLine="3654" w:firstLineChars="1300"/>
        <w:rPr>
          <w:rFonts w:hint="eastAsia" w:ascii="宋体" w:hAnsi="宋体" w:cs="宋体"/>
          <w:color w:val="FF0000"/>
          <w:szCs w:val="21"/>
        </w:rPr>
      </w:pPr>
      <w:r>
        <w:rPr>
          <w:rFonts w:hint="eastAsia" w:ascii="宋体" w:hAnsi="宋体" w:eastAsia="黑体" w:cs="黑体"/>
          <w:b/>
          <w:bCs/>
          <w:color w:val="FF0000"/>
          <w:kern w:val="44"/>
          <w:sz w:val="28"/>
          <w:szCs w:val="44"/>
          <w:lang w:bidi="ar"/>
        </w:rPr>
        <w:t>特别警示条款</w:t>
      </w:r>
    </w:p>
    <w:p w14:paraId="34B2AC34">
      <w:pPr>
        <w:spacing w:after="312" w:afterLines="100" w:line="400" w:lineRule="exact"/>
        <w:ind w:firstLine="422" w:firstLineChars="200"/>
        <w:rPr>
          <w:rFonts w:hint="eastAsia" w:ascii="宋体" w:hAnsi="宋体" w:cs="宋体"/>
          <w:b/>
          <w:bCs/>
          <w:color w:val="FF0000"/>
          <w:szCs w:val="21"/>
          <w:highlight w:val="yellow"/>
        </w:rPr>
      </w:pPr>
      <w:r>
        <w:rPr>
          <w:rFonts w:hint="eastAsia" w:ascii="宋体" w:hAnsi="宋体" w:cs="宋体"/>
          <w:b/>
          <w:bCs/>
          <w:color w:val="FF0000"/>
          <w:szCs w:val="21"/>
          <w:highlight w:val="yellow"/>
          <w:lang w:bidi="ar"/>
        </w:rPr>
        <w:t>本项目为自行采购项目，参照《深圳经济特区政府采购条例》、《深圳经济特区政府采购条例实施细则》及政府采购其他法律法规，按照采购人内控制度，通过公开招标方式确定中标供应商。参与本项目采购活动的供应商应认真阅读以下特别警示条款，不得存在以下所列禁止情形，一旦发现，将被处以记入供应商诚信档案、罚款、取消参与政府采购资格、吊销营业执照等处罚；构成犯罪的，依法追究刑事责任。</w:t>
      </w:r>
    </w:p>
    <w:tbl>
      <w:tblPr>
        <w:tblStyle w:val="43"/>
        <w:tblW w:w="9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1"/>
        <w:gridCol w:w="8223"/>
      </w:tblGrid>
      <w:tr w14:paraId="6D7C0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14:paraId="19FA08EA">
            <w:pPr>
              <w:spacing w:line="400" w:lineRule="exact"/>
              <w:jc w:val="center"/>
              <w:rPr>
                <w:rFonts w:hint="eastAsia" w:ascii="宋体" w:hAnsi="宋体" w:cs="宋体"/>
                <w:color w:val="FF0000"/>
                <w:szCs w:val="21"/>
              </w:rPr>
            </w:pPr>
            <w:r>
              <w:rPr>
                <w:rFonts w:hint="eastAsia" w:ascii="宋体" w:hAnsi="宋体" w:cs="宋体"/>
                <w:color w:val="FF0000"/>
                <w:szCs w:val="21"/>
                <w:lang w:bidi="ar"/>
              </w:rPr>
              <w:t>序号</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14:paraId="54ABCA05">
            <w:pPr>
              <w:spacing w:line="400" w:lineRule="exact"/>
              <w:jc w:val="center"/>
              <w:rPr>
                <w:rFonts w:hint="eastAsia" w:ascii="宋体" w:hAnsi="宋体" w:cs="宋体"/>
                <w:color w:val="FF0000"/>
                <w:szCs w:val="21"/>
              </w:rPr>
            </w:pPr>
            <w:r>
              <w:rPr>
                <w:rFonts w:hint="eastAsia" w:ascii="宋体" w:hAnsi="宋体" w:cs="宋体"/>
                <w:b/>
                <w:bCs/>
                <w:color w:val="FF0000"/>
                <w:szCs w:val="21"/>
                <w:lang w:bidi="ar"/>
              </w:rPr>
              <w:t>供应商参与投标禁止情形</w:t>
            </w:r>
          </w:p>
        </w:tc>
      </w:tr>
      <w:tr w14:paraId="44895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14:paraId="179CA845">
            <w:pPr>
              <w:spacing w:line="400" w:lineRule="exact"/>
              <w:jc w:val="center"/>
              <w:rPr>
                <w:rFonts w:hint="eastAsia" w:ascii="宋体" w:hAnsi="宋体" w:cs="宋体"/>
                <w:color w:val="FF0000"/>
                <w:szCs w:val="21"/>
              </w:rPr>
            </w:pPr>
            <w:r>
              <w:rPr>
                <w:rFonts w:hint="eastAsia" w:ascii="宋体" w:hAnsi="宋体" w:cs="宋体"/>
                <w:color w:val="FF0000"/>
                <w:szCs w:val="21"/>
                <w:lang w:bidi="ar"/>
              </w:rPr>
              <w:t>1</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14:paraId="2286564C">
            <w:pPr>
              <w:spacing w:line="400" w:lineRule="exact"/>
              <w:jc w:val="left"/>
              <w:rPr>
                <w:rFonts w:hint="eastAsia" w:ascii="宋体" w:hAnsi="宋体" w:cs="宋体"/>
                <w:color w:val="FF0000"/>
                <w:szCs w:val="21"/>
              </w:rPr>
            </w:pPr>
            <w:r>
              <w:rPr>
                <w:rFonts w:hint="eastAsia" w:ascii="宋体" w:hAnsi="宋体" w:cs="宋体"/>
                <w:color w:val="FF0000"/>
                <w:szCs w:val="21"/>
                <w:lang w:bidi="ar"/>
              </w:rPr>
              <w:t>与其他投标供应商的法定代表人、主要经营负责人、投标授权代表人、项目负责人、主要技术人员为</w:t>
            </w:r>
            <w:r>
              <w:rPr>
                <w:rFonts w:hint="eastAsia" w:ascii="宋体" w:hAnsi="宋体" w:cs="宋体"/>
                <w:b/>
                <w:bCs/>
                <w:color w:val="FF0000"/>
                <w:szCs w:val="21"/>
                <w:lang w:bidi="ar"/>
              </w:rPr>
              <w:t>同一人、属同一单位或者在同一单位缴纳社会保险</w:t>
            </w:r>
            <w:r>
              <w:rPr>
                <w:rFonts w:hint="eastAsia" w:ascii="宋体" w:hAnsi="宋体" w:cs="宋体"/>
                <w:color w:val="FF0000"/>
                <w:szCs w:val="21"/>
                <w:lang w:bidi="ar"/>
              </w:rPr>
              <w:t>。</w:t>
            </w:r>
          </w:p>
        </w:tc>
      </w:tr>
      <w:tr w14:paraId="695B7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14:paraId="6DA4471C">
            <w:pPr>
              <w:spacing w:line="400" w:lineRule="exact"/>
              <w:jc w:val="center"/>
              <w:rPr>
                <w:rFonts w:hint="eastAsia" w:ascii="宋体" w:hAnsi="宋体" w:cs="宋体"/>
                <w:color w:val="FF0000"/>
                <w:szCs w:val="21"/>
              </w:rPr>
            </w:pPr>
            <w:r>
              <w:rPr>
                <w:rFonts w:hint="eastAsia" w:ascii="宋体" w:hAnsi="宋体" w:cs="宋体"/>
                <w:color w:val="FF0000"/>
                <w:szCs w:val="21"/>
                <w:lang w:bidi="ar"/>
              </w:rPr>
              <w:t>2</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14:paraId="283D1553">
            <w:pPr>
              <w:spacing w:line="400" w:lineRule="exact"/>
              <w:jc w:val="left"/>
              <w:rPr>
                <w:rFonts w:hint="eastAsia" w:ascii="宋体" w:hAnsi="宋体" w:cs="宋体"/>
                <w:color w:val="FF0000"/>
                <w:szCs w:val="21"/>
              </w:rPr>
            </w:pPr>
            <w:r>
              <w:rPr>
                <w:rFonts w:hint="eastAsia" w:ascii="宋体" w:hAnsi="宋体" w:cs="宋体"/>
                <w:color w:val="FF0000"/>
                <w:szCs w:val="21"/>
                <w:lang w:bidi="ar"/>
              </w:rPr>
              <w:t>参与本项目采购活动时，与其他投标供应商存在单位负责人为</w:t>
            </w:r>
            <w:r>
              <w:rPr>
                <w:rFonts w:hint="eastAsia" w:ascii="宋体" w:hAnsi="宋体" w:cs="宋体"/>
                <w:b/>
                <w:bCs/>
                <w:color w:val="FF0000"/>
                <w:szCs w:val="21"/>
                <w:lang w:bidi="ar"/>
              </w:rPr>
              <w:t>同一人或直接控股、管理关系</w:t>
            </w:r>
            <w:r>
              <w:rPr>
                <w:rFonts w:hint="eastAsia" w:ascii="宋体" w:hAnsi="宋体" w:cs="宋体"/>
                <w:color w:val="FF0000"/>
                <w:szCs w:val="21"/>
                <w:lang w:bidi="ar"/>
              </w:rPr>
              <w:t>。</w:t>
            </w:r>
          </w:p>
        </w:tc>
      </w:tr>
      <w:tr w14:paraId="06328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14:paraId="5340AE1D">
            <w:pPr>
              <w:spacing w:line="400" w:lineRule="exact"/>
              <w:jc w:val="center"/>
              <w:rPr>
                <w:rFonts w:hint="eastAsia" w:ascii="宋体" w:hAnsi="宋体" w:cs="宋体"/>
                <w:color w:val="FF0000"/>
                <w:szCs w:val="21"/>
              </w:rPr>
            </w:pPr>
            <w:r>
              <w:rPr>
                <w:rFonts w:hint="eastAsia" w:ascii="宋体" w:hAnsi="宋体" w:cs="宋体"/>
                <w:color w:val="FF0000"/>
                <w:szCs w:val="21"/>
                <w:lang w:bidi="ar"/>
              </w:rPr>
              <w:t>3</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14:paraId="4E3DC6D4">
            <w:pPr>
              <w:spacing w:line="400" w:lineRule="exact"/>
              <w:jc w:val="left"/>
              <w:rPr>
                <w:rFonts w:hint="eastAsia" w:ascii="宋体" w:hAnsi="宋体" w:cs="宋体"/>
                <w:color w:val="FF0000"/>
                <w:szCs w:val="21"/>
              </w:rPr>
            </w:pPr>
            <w:r>
              <w:rPr>
                <w:rFonts w:hint="eastAsia" w:ascii="宋体" w:hAnsi="宋体" w:cs="宋体"/>
                <w:color w:val="FF0000"/>
                <w:szCs w:val="21"/>
                <w:lang w:bidi="ar"/>
              </w:rPr>
              <w:t>与其他投标供应商的投标文件或部分投标文件</w:t>
            </w:r>
            <w:r>
              <w:rPr>
                <w:rFonts w:hint="eastAsia" w:ascii="宋体" w:hAnsi="宋体" w:cs="宋体"/>
                <w:b/>
                <w:bCs/>
                <w:color w:val="FF0000"/>
                <w:szCs w:val="21"/>
                <w:lang w:bidi="ar"/>
              </w:rPr>
              <w:t>相互混装或存在非正常一致</w:t>
            </w:r>
            <w:r>
              <w:rPr>
                <w:rFonts w:hint="eastAsia" w:ascii="宋体" w:hAnsi="宋体" w:cs="宋体"/>
                <w:color w:val="FF0000"/>
                <w:szCs w:val="21"/>
                <w:lang w:bidi="ar"/>
              </w:rPr>
              <w:t>。</w:t>
            </w:r>
          </w:p>
        </w:tc>
      </w:tr>
      <w:tr w14:paraId="649C6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14:paraId="1A7512C2">
            <w:pPr>
              <w:spacing w:line="400" w:lineRule="exact"/>
              <w:jc w:val="center"/>
              <w:rPr>
                <w:rFonts w:hint="eastAsia" w:ascii="宋体" w:hAnsi="宋体" w:cs="宋体"/>
                <w:color w:val="FF0000"/>
                <w:szCs w:val="21"/>
              </w:rPr>
            </w:pPr>
            <w:r>
              <w:rPr>
                <w:rFonts w:hint="eastAsia" w:ascii="宋体" w:hAnsi="宋体" w:cs="宋体"/>
                <w:color w:val="FF0000"/>
                <w:szCs w:val="21"/>
                <w:lang w:bidi="ar"/>
              </w:rPr>
              <w:t>4</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14:paraId="1D96A800">
            <w:pPr>
              <w:spacing w:line="400" w:lineRule="exact"/>
              <w:jc w:val="left"/>
              <w:rPr>
                <w:rFonts w:hint="eastAsia" w:ascii="宋体" w:hAnsi="宋体" w:cs="宋体"/>
                <w:color w:val="FF0000"/>
                <w:szCs w:val="21"/>
              </w:rPr>
            </w:pPr>
            <w:r>
              <w:rPr>
                <w:rFonts w:hint="eastAsia" w:ascii="宋体" w:hAnsi="宋体" w:cs="宋体"/>
                <w:color w:val="FF0000"/>
                <w:szCs w:val="21"/>
                <w:lang w:bidi="ar"/>
              </w:rPr>
              <w:t>与其他投标供应商的投标文件由</w:t>
            </w:r>
            <w:r>
              <w:rPr>
                <w:rFonts w:hint="eastAsia" w:ascii="宋体" w:hAnsi="宋体" w:cs="宋体"/>
                <w:b/>
                <w:bCs/>
                <w:color w:val="FF0000"/>
                <w:szCs w:val="21"/>
                <w:lang w:bidi="ar"/>
              </w:rPr>
              <w:t>同一单位或者同一人编制</w:t>
            </w:r>
            <w:r>
              <w:rPr>
                <w:rFonts w:hint="eastAsia" w:ascii="宋体" w:hAnsi="宋体" w:cs="宋体"/>
                <w:color w:val="FF0000"/>
                <w:szCs w:val="21"/>
                <w:lang w:bidi="ar"/>
              </w:rPr>
              <w:t>，或者使用</w:t>
            </w:r>
            <w:r>
              <w:rPr>
                <w:rFonts w:hint="eastAsia" w:ascii="宋体" w:hAnsi="宋体" w:cs="宋体"/>
                <w:b/>
                <w:bCs/>
                <w:color w:val="FF0000"/>
                <w:szCs w:val="21"/>
                <w:lang w:bidi="ar"/>
              </w:rPr>
              <w:t>同一设备编制</w:t>
            </w:r>
            <w:r>
              <w:rPr>
                <w:rFonts w:hint="eastAsia" w:ascii="宋体" w:hAnsi="宋体" w:cs="宋体"/>
                <w:color w:val="FF0000"/>
                <w:szCs w:val="21"/>
                <w:lang w:bidi="ar"/>
              </w:rPr>
              <w:t>。</w:t>
            </w:r>
          </w:p>
        </w:tc>
      </w:tr>
      <w:tr w14:paraId="58DC6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14:paraId="72381685">
            <w:pPr>
              <w:spacing w:line="400" w:lineRule="exact"/>
              <w:jc w:val="center"/>
              <w:rPr>
                <w:rFonts w:hint="eastAsia" w:ascii="宋体" w:hAnsi="宋体" w:cs="宋体"/>
                <w:color w:val="FF0000"/>
                <w:szCs w:val="21"/>
              </w:rPr>
            </w:pPr>
            <w:r>
              <w:rPr>
                <w:rFonts w:hint="eastAsia" w:ascii="宋体" w:hAnsi="宋体" w:cs="宋体"/>
                <w:color w:val="FF0000"/>
                <w:szCs w:val="21"/>
                <w:lang w:bidi="ar"/>
              </w:rPr>
              <w:t>5</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14:paraId="7AA72ED7">
            <w:pPr>
              <w:spacing w:line="400" w:lineRule="exact"/>
              <w:jc w:val="left"/>
              <w:rPr>
                <w:rFonts w:hint="eastAsia" w:ascii="宋体" w:hAnsi="宋体" w:cs="宋体"/>
                <w:color w:val="FF0000"/>
                <w:szCs w:val="21"/>
              </w:rPr>
            </w:pPr>
            <w:r>
              <w:rPr>
                <w:rFonts w:hint="eastAsia" w:ascii="宋体" w:hAnsi="宋体" w:cs="宋体"/>
                <w:color w:val="FF0000"/>
                <w:szCs w:val="21"/>
                <w:lang w:bidi="ar"/>
              </w:rPr>
              <w:t>提供</w:t>
            </w:r>
            <w:r>
              <w:rPr>
                <w:rFonts w:hint="eastAsia" w:ascii="宋体" w:hAnsi="宋体" w:cs="宋体"/>
                <w:b/>
                <w:bCs/>
                <w:color w:val="FF0000"/>
                <w:szCs w:val="21"/>
                <w:lang w:bidi="ar"/>
              </w:rPr>
              <w:t>未经出具机构核实</w:t>
            </w:r>
            <w:r>
              <w:rPr>
                <w:rFonts w:hint="eastAsia" w:ascii="宋体" w:hAnsi="宋体" w:cs="宋体"/>
                <w:color w:val="FF0000"/>
                <w:szCs w:val="21"/>
                <w:lang w:bidi="ar"/>
              </w:rPr>
              <w:t>的虚假的检验检测报告、业绩材料、社保缴纳证明、学历学位证书、职称认证证书等材料。</w:t>
            </w:r>
          </w:p>
        </w:tc>
      </w:tr>
      <w:tr w14:paraId="11C81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14:paraId="0CA87CD2">
            <w:pPr>
              <w:spacing w:line="400" w:lineRule="exact"/>
              <w:jc w:val="center"/>
              <w:rPr>
                <w:rFonts w:hint="eastAsia" w:ascii="宋体" w:hAnsi="宋体" w:cs="宋体"/>
                <w:color w:val="FF0000"/>
                <w:szCs w:val="21"/>
              </w:rPr>
            </w:pPr>
            <w:r>
              <w:rPr>
                <w:rFonts w:hint="eastAsia" w:ascii="宋体" w:hAnsi="宋体" w:cs="宋体"/>
                <w:color w:val="FF0000"/>
                <w:szCs w:val="21"/>
                <w:lang w:bidi="ar"/>
              </w:rPr>
              <w:t>6</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14:paraId="274CA5E4">
            <w:pPr>
              <w:spacing w:line="400" w:lineRule="exact"/>
              <w:jc w:val="left"/>
              <w:rPr>
                <w:rFonts w:hint="eastAsia" w:ascii="宋体" w:hAnsi="宋体" w:cs="宋体"/>
                <w:color w:val="FF0000"/>
                <w:szCs w:val="21"/>
              </w:rPr>
            </w:pPr>
            <w:r>
              <w:rPr>
                <w:rFonts w:hint="eastAsia" w:ascii="宋体" w:hAnsi="宋体" w:cs="宋体"/>
                <w:color w:val="FF0000"/>
                <w:szCs w:val="21"/>
              </w:rPr>
              <w:t>擅自将投标密钥或电子营业执照出借他人使用或未妥善保管。</w:t>
            </w:r>
          </w:p>
        </w:tc>
      </w:tr>
    </w:tbl>
    <w:p w14:paraId="2886DDA3">
      <w:pPr>
        <w:ind w:firstLine="420" w:firstLineChars="200"/>
        <w:rPr>
          <w:rFonts w:hint="eastAsia" w:ascii="宋体" w:hAnsi="宋体" w:cs="宋体"/>
          <w:color w:val="FF0000"/>
          <w:szCs w:val="21"/>
        </w:rPr>
      </w:pPr>
    </w:p>
    <w:p w14:paraId="1CD7EA47">
      <w:pPr>
        <w:ind w:firstLine="420" w:firstLineChars="200"/>
        <w:rPr>
          <w:rFonts w:hint="eastAsia" w:ascii="宋体" w:hAnsi="宋体" w:cs="宋体"/>
          <w:color w:val="FF0000"/>
          <w:szCs w:val="21"/>
        </w:rPr>
      </w:pPr>
      <w:r>
        <w:rPr>
          <w:rFonts w:hint="eastAsia" w:ascii="宋体" w:hAnsi="宋体" w:cs="宋体"/>
          <w:color w:val="FF0000"/>
          <w:szCs w:val="21"/>
          <w:lang w:bidi="ar"/>
        </w:rPr>
        <w:t>一、</w:t>
      </w:r>
      <w:r>
        <w:rPr>
          <w:rFonts w:hint="eastAsia" w:ascii="宋体" w:hAnsi="宋体" w:cs="宋体"/>
          <w:b/>
          <w:bCs/>
          <w:color w:val="FF0000"/>
          <w:szCs w:val="21"/>
          <w:lang w:bidi="ar"/>
        </w:rPr>
        <w:t>《深圳经济特区政府采购条例》第五十七条</w:t>
      </w:r>
      <w:r>
        <w:rPr>
          <w:rFonts w:hint="eastAsia" w:ascii="宋体" w:hAnsi="宋体" w:cs="宋体"/>
          <w:color w:val="FF0000"/>
          <w:szCs w:val="21"/>
          <w:lang w:bidi="ar"/>
        </w:rPr>
        <w:t xml:space="preserve"> 供应商在政府采购中，有下列行为之一的，一至三年内禁止其参与本市政府采购，并由主管部门记入供应商诚信档案，处采购金额千分之十以上千分之二十以下的罚款；情节严重的，取消其参与本市政府采购资格，处采购金额千分之二十以上千分之三十以下的罚款，并由市场监管部门依法吊销其营业执照；给他人造成损失的，依法承担赔偿责任；构成犯罪的，依法追究刑事责任：</w:t>
      </w:r>
    </w:p>
    <w:p w14:paraId="4CCFFE96">
      <w:pPr>
        <w:ind w:firstLine="420" w:firstLineChars="200"/>
        <w:rPr>
          <w:rFonts w:hint="eastAsia" w:ascii="宋体" w:hAnsi="宋体" w:cs="宋体"/>
          <w:color w:val="FF0000"/>
          <w:szCs w:val="21"/>
        </w:rPr>
      </w:pPr>
      <w:r>
        <w:rPr>
          <w:rFonts w:hint="eastAsia" w:ascii="宋体" w:hAnsi="宋体" w:cs="宋体"/>
          <w:color w:val="FF0000"/>
          <w:szCs w:val="21"/>
          <w:lang w:bidi="ar"/>
        </w:rPr>
        <w:t>（一）在采购活动中应当回避而未回避的；</w:t>
      </w:r>
    </w:p>
    <w:p w14:paraId="3B494023">
      <w:pPr>
        <w:ind w:firstLine="420" w:firstLineChars="200"/>
        <w:rPr>
          <w:rFonts w:hint="eastAsia" w:ascii="宋体" w:hAnsi="宋体" w:cs="宋体"/>
          <w:color w:val="FF0000"/>
          <w:szCs w:val="21"/>
        </w:rPr>
      </w:pPr>
      <w:r>
        <w:rPr>
          <w:rFonts w:hint="eastAsia" w:ascii="宋体" w:hAnsi="宋体" w:cs="宋体"/>
          <w:color w:val="FF0000"/>
          <w:szCs w:val="21"/>
          <w:lang w:bidi="ar"/>
        </w:rPr>
        <w:t>（二）未按本条例规定签订、履行采购合同，造成严重后果的；</w:t>
      </w:r>
    </w:p>
    <w:p w14:paraId="6FC930EF">
      <w:pPr>
        <w:ind w:firstLine="420" w:firstLineChars="200"/>
        <w:rPr>
          <w:rFonts w:hint="eastAsia" w:ascii="宋体" w:hAnsi="宋体" w:cs="宋体"/>
          <w:color w:val="FF0000"/>
          <w:szCs w:val="21"/>
        </w:rPr>
      </w:pPr>
      <w:r>
        <w:rPr>
          <w:rFonts w:hint="eastAsia" w:ascii="宋体" w:hAnsi="宋体" w:cs="宋体"/>
          <w:color w:val="FF0000"/>
          <w:szCs w:val="21"/>
          <w:lang w:bidi="ar"/>
        </w:rPr>
        <w:t>（三）隐瞒真实情况，提供虚假资料的；</w:t>
      </w:r>
    </w:p>
    <w:p w14:paraId="5723C876">
      <w:pPr>
        <w:ind w:firstLine="420" w:firstLineChars="200"/>
        <w:rPr>
          <w:rFonts w:hint="eastAsia" w:ascii="宋体" w:hAnsi="宋体" w:cs="宋体"/>
          <w:color w:val="FF0000"/>
          <w:szCs w:val="21"/>
        </w:rPr>
      </w:pPr>
      <w:r>
        <w:rPr>
          <w:rFonts w:hint="eastAsia" w:ascii="宋体" w:hAnsi="宋体" w:cs="宋体"/>
          <w:color w:val="FF0000"/>
          <w:szCs w:val="21"/>
          <w:lang w:bidi="ar"/>
        </w:rPr>
        <w:t>（四）以非法手段排斥其他供应商参与竞争的；</w:t>
      </w:r>
    </w:p>
    <w:p w14:paraId="6CDAC8E7">
      <w:pPr>
        <w:ind w:firstLine="420" w:firstLineChars="200"/>
        <w:rPr>
          <w:rFonts w:hint="eastAsia" w:ascii="宋体" w:hAnsi="宋体" w:cs="宋体"/>
          <w:color w:val="FF0000"/>
          <w:szCs w:val="21"/>
        </w:rPr>
      </w:pPr>
      <w:r>
        <w:rPr>
          <w:rFonts w:hint="eastAsia" w:ascii="宋体" w:hAnsi="宋体" w:cs="宋体"/>
          <w:color w:val="FF0000"/>
          <w:szCs w:val="21"/>
          <w:lang w:bidi="ar"/>
        </w:rPr>
        <w:t>（五）与其他采购参加人串通投标的；</w:t>
      </w:r>
    </w:p>
    <w:p w14:paraId="0CD5FCBD">
      <w:pPr>
        <w:ind w:firstLine="420" w:firstLineChars="200"/>
        <w:rPr>
          <w:rFonts w:hint="eastAsia" w:ascii="宋体" w:hAnsi="宋体" w:cs="宋体"/>
          <w:color w:val="FF0000"/>
          <w:szCs w:val="21"/>
        </w:rPr>
      </w:pPr>
      <w:r>
        <w:rPr>
          <w:rFonts w:hint="eastAsia" w:ascii="宋体" w:hAnsi="宋体" w:cs="宋体"/>
          <w:color w:val="FF0000"/>
          <w:szCs w:val="21"/>
          <w:lang w:bidi="ar"/>
        </w:rPr>
        <w:t>（六）恶意投诉的；</w:t>
      </w:r>
    </w:p>
    <w:p w14:paraId="11B47E07">
      <w:pPr>
        <w:ind w:firstLine="420" w:firstLineChars="200"/>
        <w:rPr>
          <w:rFonts w:hint="eastAsia" w:ascii="宋体" w:hAnsi="宋体" w:cs="宋体"/>
          <w:color w:val="FF0000"/>
          <w:szCs w:val="21"/>
        </w:rPr>
      </w:pPr>
      <w:r>
        <w:rPr>
          <w:rFonts w:hint="eastAsia" w:ascii="宋体" w:hAnsi="宋体" w:cs="宋体"/>
          <w:color w:val="FF0000"/>
          <w:szCs w:val="21"/>
          <w:lang w:bidi="ar"/>
        </w:rPr>
        <w:t>（七）向采购项目相关人行贿或者提供其他不当利益的；</w:t>
      </w:r>
    </w:p>
    <w:p w14:paraId="7D8AA791">
      <w:pPr>
        <w:ind w:firstLine="420" w:firstLineChars="200"/>
        <w:rPr>
          <w:rFonts w:hint="eastAsia" w:ascii="宋体" w:hAnsi="宋体" w:cs="宋体"/>
          <w:color w:val="FF0000"/>
          <w:szCs w:val="21"/>
        </w:rPr>
      </w:pPr>
      <w:r>
        <w:rPr>
          <w:rFonts w:hint="eastAsia" w:ascii="宋体" w:hAnsi="宋体" w:cs="宋体"/>
          <w:color w:val="FF0000"/>
          <w:szCs w:val="21"/>
          <w:lang w:bidi="ar"/>
        </w:rPr>
        <w:t>（八）阻碍、抗拒主管部门监督检查的；</w:t>
      </w:r>
    </w:p>
    <w:p w14:paraId="45B58549">
      <w:pPr>
        <w:ind w:firstLine="420" w:firstLineChars="200"/>
        <w:rPr>
          <w:rFonts w:hint="eastAsia" w:ascii="宋体" w:hAnsi="宋体" w:cs="宋体"/>
          <w:color w:val="FF0000"/>
          <w:szCs w:val="21"/>
        </w:rPr>
      </w:pPr>
      <w:r>
        <w:rPr>
          <w:rFonts w:hint="eastAsia" w:ascii="宋体" w:hAnsi="宋体" w:cs="宋体"/>
          <w:color w:val="FF0000"/>
          <w:szCs w:val="21"/>
          <w:lang w:bidi="ar"/>
        </w:rPr>
        <w:t>（九）其他违反本条例规定的行为。</w:t>
      </w:r>
    </w:p>
    <w:p w14:paraId="513D0D56">
      <w:pPr>
        <w:ind w:firstLine="422" w:firstLineChars="200"/>
        <w:rPr>
          <w:rFonts w:hint="eastAsia" w:ascii="宋体" w:hAnsi="宋体" w:cs="宋体"/>
          <w:color w:val="FF0000"/>
          <w:szCs w:val="21"/>
        </w:rPr>
      </w:pPr>
      <w:r>
        <w:rPr>
          <w:rFonts w:hint="eastAsia" w:ascii="宋体" w:hAnsi="宋体" w:cs="宋体"/>
          <w:b/>
          <w:bCs/>
          <w:color w:val="FF0000"/>
          <w:szCs w:val="21"/>
          <w:lang w:bidi="ar"/>
        </w:rPr>
        <w:t xml:space="preserve">二、《深圳经济特区政府采购条例实施细则》第七十五条 </w:t>
      </w:r>
      <w:r>
        <w:rPr>
          <w:rFonts w:hint="eastAsia" w:ascii="宋体" w:hAnsi="宋体" w:cs="宋体"/>
          <w:color w:val="FF0000"/>
          <w:szCs w:val="21"/>
          <w:lang w:bidi="ar"/>
        </w:rPr>
        <w:t>供应商有下列情形之一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14:paraId="741C8895">
      <w:pPr>
        <w:ind w:firstLine="422" w:firstLineChars="200"/>
        <w:rPr>
          <w:rFonts w:hint="eastAsia" w:ascii="宋体" w:hAnsi="宋体" w:cs="宋体"/>
          <w:color w:val="FF0000"/>
          <w:szCs w:val="21"/>
        </w:rPr>
      </w:pPr>
      <w:r>
        <w:rPr>
          <w:rFonts w:hint="eastAsia" w:ascii="宋体" w:hAnsi="宋体" w:cs="宋体"/>
          <w:b/>
          <w:bCs/>
          <w:color w:val="FF0000"/>
          <w:szCs w:val="21"/>
          <w:lang w:bidi="ar"/>
        </w:rPr>
        <w:t xml:space="preserve">三、《深圳经济特区政府采购条例实施细则》第七十七条 </w:t>
      </w:r>
      <w:r>
        <w:rPr>
          <w:rFonts w:hint="eastAsia" w:ascii="宋体" w:hAnsi="宋体" w:cs="宋体"/>
          <w:color w:val="FF0000"/>
          <w:szCs w:val="21"/>
          <w:lang w:bidi="ar"/>
        </w:rPr>
        <w:t>供应商有下列情形之一的，属于隐瞒真实情况，提供虚假资料，按照采购条例第五十七条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14:paraId="1D93975F">
      <w:pPr>
        <w:ind w:firstLine="420" w:firstLineChars="200"/>
        <w:rPr>
          <w:rFonts w:hint="eastAsia" w:ascii="宋体" w:hAnsi="宋体" w:cs="宋体"/>
          <w:color w:val="FF0000"/>
          <w:szCs w:val="21"/>
        </w:rPr>
      </w:pPr>
      <w:r>
        <w:rPr>
          <w:rFonts w:hint="eastAsia" w:ascii="宋体" w:hAnsi="宋体" w:cs="宋体"/>
          <w:color w:val="FF0000"/>
          <w:szCs w:val="21"/>
          <w:lang w:bidi="ar"/>
        </w:rPr>
        <w:t>投标供应商不能提供项目负责人或者主要技术人员的劳动合同、社会保险等劳动关系证明材料的，视为存在前款第（三）项规定的情形。</w:t>
      </w:r>
    </w:p>
    <w:p w14:paraId="4D7B4E3B">
      <w:pPr>
        <w:ind w:firstLine="422" w:firstLineChars="200"/>
        <w:rPr>
          <w:bCs/>
          <w:color w:val="FF0000"/>
          <w:szCs w:val="21"/>
        </w:rPr>
      </w:pPr>
      <w:r>
        <w:rPr>
          <w:rFonts w:hint="eastAsia" w:cs="宋体"/>
          <w:b/>
          <w:color w:val="FF0000"/>
          <w:szCs w:val="21"/>
          <w:lang w:bidi="ar"/>
        </w:rPr>
        <w:t>四、根据《深圳经济特区政府采购条例实施细则》第七十五条规定</w:t>
      </w:r>
      <w:r>
        <w:rPr>
          <w:rFonts w:hint="eastAsia" w:cs="宋体"/>
          <w:bCs/>
          <w:color w:val="FF0000"/>
          <w:szCs w:val="21"/>
          <w:lang w:bidi="ar"/>
        </w:rPr>
        <w:t>，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w:t>
      </w:r>
      <w:r>
        <w:rPr>
          <w:rFonts w:hint="eastAsia" w:ascii="宋体" w:hAnsi="宋体" w:cs="宋体"/>
          <w:color w:val="FF0000"/>
          <w:szCs w:val="21"/>
          <w:lang w:bidi="ar"/>
        </w:rPr>
        <w:t>取消参与本市政府采购资格</w:t>
      </w:r>
      <w:r>
        <w:rPr>
          <w:rFonts w:hint="eastAsia" w:hAnsi="宋体" w:cs="宋体"/>
          <w:color w:val="FF0000"/>
          <w:szCs w:val="21"/>
          <w:lang w:bidi="ar"/>
        </w:rPr>
        <w:t>、</w:t>
      </w:r>
      <w:r>
        <w:rPr>
          <w:rFonts w:hint="eastAsia" w:ascii="宋体" w:hAnsi="宋体" w:cs="宋体"/>
          <w:color w:val="FF0000"/>
          <w:szCs w:val="21"/>
          <w:lang w:bidi="ar"/>
        </w:rPr>
        <w:t>依法吊销其营业</w:t>
      </w:r>
      <w:r>
        <w:rPr>
          <w:rFonts w:hint="eastAsia" w:hAnsi="宋体" w:cs="宋体"/>
          <w:color w:val="FF0000"/>
          <w:szCs w:val="21"/>
          <w:lang w:bidi="ar"/>
        </w:rPr>
        <w:t>执照等行政处罚，</w:t>
      </w:r>
      <w:r>
        <w:rPr>
          <w:rFonts w:hint="eastAsia" w:ascii="宋体" w:hAnsi="宋体" w:cs="宋体"/>
          <w:color w:val="FF0000"/>
          <w:szCs w:val="21"/>
          <w:lang w:bidi="ar"/>
        </w:rPr>
        <w:t>构成犯罪的，依法追究刑事责任</w:t>
      </w:r>
      <w:r>
        <w:rPr>
          <w:rFonts w:hint="eastAsia" w:cs="宋体"/>
          <w:bCs/>
          <w:color w:val="FF0000"/>
          <w:szCs w:val="21"/>
          <w:lang w:bidi="ar"/>
        </w:rPr>
        <w:t>，请各供应商独立编制、上传投标文件，妥善保管和使用电子秘钥。</w:t>
      </w:r>
    </w:p>
    <w:p w14:paraId="2DAC962A">
      <w:pPr>
        <w:ind w:firstLine="422" w:firstLineChars="200"/>
        <w:rPr>
          <w:szCs w:val="21"/>
        </w:rPr>
      </w:pPr>
      <w:r>
        <w:rPr>
          <w:rFonts w:hint="eastAsia" w:cs="宋体"/>
          <w:b/>
          <w:color w:val="FF0000"/>
          <w:szCs w:val="21"/>
          <w:lang w:bidi="ar"/>
        </w:rPr>
        <w:t>五、请投标供应商阅读《采购违法行为风险知悉确认书》（内容详见“投标文件”中节点“投标人认为需要加以说明的其他内容”），并经各投标供应商负责人签字并加盖单位公章后，扫描上传至投标文件一并提交。</w:t>
      </w:r>
    </w:p>
    <w:p w14:paraId="45B1838B">
      <w:pPr>
        <w:widowControl/>
        <w:spacing w:beforeAutospacing="1" w:afterAutospacing="1"/>
        <w:jc w:val="left"/>
        <w:outlineLvl w:val="1"/>
        <w:rPr>
          <w:rFonts w:hint="eastAsia" w:ascii="黑体" w:hAnsi="宋体" w:eastAsia="黑体" w:cs="黑体"/>
          <w:kern w:val="0"/>
          <w:szCs w:val="21"/>
        </w:rPr>
      </w:pPr>
      <w:r>
        <w:rPr>
          <w:rFonts w:hint="eastAsia" w:cs="宋体"/>
          <w:b/>
          <w:color w:val="FF0000"/>
          <w:szCs w:val="21"/>
          <w:lang w:bidi="ar"/>
        </w:rPr>
        <w:t>注：“特别警示条款”和《采购违法行为风险知悉确认书》用于对供应商违法行为的提醒，不作为供应商资格性审查及符合性审查条件。</w:t>
      </w:r>
    </w:p>
    <w:p w14:paraId="07CA7F96">
      <w:pPr>
        <w:rPr>
          <w:rFonts w:hint="eastAsia" w:ascii="方正小标宋简体" w:hAnsi="方正小标宋简体" w:eastAsia="方正小标宋简体" w:cs="方正小标宋简体"/>
          <w:bCs/>
          <w:color w:val="000000"/>
          <w:szCs w:val="21"/>
        </w:rPr>
      </w:pPr>
      <w:r>
        <w:rPr>
          <w:rFonts w:hint="eastAsia" w:ascii="方正小标宋简体" w:hAnsi="方正小标宋简体" w:eastAsia="方正小标宋简体" w:cs="方正小标宋简体"/>
          <w:bCs/>
          <w:color w:val="000000"/>
          <w:szCs w:val="21"/>
        </w:rPr>
        <w:br w:type="page"/>
      </w:r>
    </w:p>
    <w:p w14:paraId="6B1156CA">
      <w:pPr>
        <w:widowControl/>
        <w:spacing w:before="100" w:beforeAutospacing="1" w:after="100" w:afterAutospacing="1"/>
        <w:jc w:val="center"/>
        <w:outlineLvl w:val="1"/>
        <w:rPr>
          <w:rFonts w:hint="eastAsia"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招标文件信息</w:t>
      </w:r>
    </w:p>
    <w:tbl>
      <w:tblPr>
        <w:tblStyle w:val="42"/>
        <w:tblW w:w="7943" w:type="dxa"/>
        <w:jc w:val="center"/>
        <w:tblCellSpacing w:w="0" w:type="dxa"/>
        <w:tblLayout w:type="autofit"/>
        <w:tblCellMar>
          <w:top w:w="45" w:type="dxa"/>
          <w:left w:w="45" w:type="dxa"/>
          <w:bottom w:w="45" w:type="dxa"/>
          <w:right w:w="45" w:type="dxa"/>
        </w:tblCellMar>
      </w:tblPr>
      <w:tblGrid>
        <w:gridCol w:w="2723"/>
        <w:gridCol w:w="5220"/>
      </w:tblGrid>
      <w:tr w14:paraId="5374EC01">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14:paraId="6C72480E">
            <w:pPr>
              <w:widowControl/>
              <w:jc w:val="right"/>
              <w:rPr>
                <w:sz w:val="30"/>
                <w:szCs w:val="30"/>
              </w:rPr>
            </w:pPr>
            <w:r>
              <w:rPr>
                <w:rFonts w:ascii="宋体" w:hAnsi="宋体" w:cs="宋体"/>
                <w:kern w:val="0"/>
                <w:sz w:val="30"/>
                <w:szCs w:val="30"/>
              </w:rPr>
              <w:t>项目编号：</w:t>
            </w:r>
          </w:p>
        </w:tc>
        <w:tc>
          <w:tcPr>
            <w:tcW w:w="5220" w:type="dxa"/>
            <w:shd w:val="clear" w:color="auto" w:fill="auto"/>
            <w:vAlign w:val="center"/>
          </w:tcPr>
          <w:p w14:paraId="3A26D3A5">
            <w:pPr>
              <w:widowControl/>
              <w:jc w:val="left"/>
              <w:rPr>
                <w:sz w:val="30"/>
                <w:szCs w:val="30"/>
              </w:rPr>
            </w:pPr>
            <w:r>
              <w:rPr>
                <w:rFonts w:hint="eastAsia"/>
                <w:sz w:val="30"/>
                <w:szCs w:val="30"/>
              </w:rPr>
              <w:t>SZZXCG-2025-00287</w:t>
            </w:r>
          </w:p>
        </w:tc>
      </w:tr>
      <w:tr w14:paraId="7728C16B">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14:paraId="225BDF20">
            <w:pPr>
              <w:widowControl/>
              <w:jc w:val="right"/>
              <w:rPr>
                <w:sz w:val="30"/>
                <w:szCs w:val="30"/>
              </w:rPr>
            </w:pPr>
            <w:r>
              <w:rPr>
                <w:rFonts w:ascii="宋体" w:hAnsi="宋体" w:cs="宋体"/>
                <w:kern w:val="0"/>
                <w:sz w:val="30"/>
                <w:szCs w:val="30"/>
              </w:rPr>
              <w:t>项目名称：</w:t>
            </w:r>
          </w:p>
        </w:tc>
        <w:tc>
          <w:tcPr>
            <w:tcW w:w="5220" w:type="dxa"/>
            <w:shd w:val="clear" w:color="auto" w:fill="auto"/>
            <w:vAlign w:val="center"/>
          </w:tcPr>
          <w:p w14:paraId="7AF9766E">
            <w:pPr>
              <w:widowControl/>
              <w:jc w:val="left"/>
              <w:rPr>
                <w:sz w:val="30"/>
                <w:szCs w:val="30"/>
              </w:rPr>
            </w:pPr>
            <w:r>
              <w:rPr>
                <w:sz w:val="30"/>
                <w:szCs w:val="30"/>
              </w:rPr>
              <w:t>深圳外国语湾区学校四五年级研学课程服务项目</w:t>
            </w:r>
          </w:p>
        </w:tc>
      </w:tr>
      <w:tr w14:paraId="3E6B37FC">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14:paraId="168FD2C5">
            <w:pPr>
              <w:widowControl/>
              <w:jc w:val="right"/>
              <w:rPr>
                <w:sz w:val="30"/>
                <w:szCs w:val="30"/>
              </w:rPr>
            </w:pPr>
            <w:r>
              <w:rPr>
                <w:rFonts w:ascii="宋体" w:hAnsi="宋体" w:cs="宋体"/>
                <w:kern w:val="0"/>
                <w:sz w:val="30"/>
                <w:szCs w:val="30"/>
              </w:rPr>
              <w:t>包 号：</w:t>
            </w:r>
          </w:p>
        </w:tc>
        <w:tc>
          <w:tcPr>
            <w:tcW w:w="5220" w:type="dxa"/>
            <w:shd w:val="clear" w:color="auto" w:fill="auto"/>
            <w:vAlign w:val="center"/>
          </w:tcPr>
          <w:p w14:paraId="596A80D1">
            <w:pPr>
              <w:widowControl/>
              <w:jc w:val="left"/>
              <w:rPr>
                <w:sz w:val="30"/>
                <w:szCs w:val="30"/>
              </w:rPr>
            </w:pPr>
            <w:r>
              <w:rPr>
                <w:rFonts w:ascii="宋体" w:hAnsi="宋体" w:cs="宋体"/>
                <w:kern w:val="0"/>
                <w:sz w:val="30"/>
                <w:szCs w:val="30"/>
              </w:rPr>
              <w:t>A</w:t>
            </w:r>
          </w:p>
        </w:tc>
      </w:tr>
      <w:tr w14:paraId="54AC9776">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14:paraId="3CD6938F">
            <w:pPr>
              <w:widowControl/>
              <w:jc w:val="right"/>
              <w:rPr>
                <w:sz w:val="30"/>
                <w:szCs w:val="30"/>
              </w:rPr>
            </w:pPr>
            <w:r>
              <w:rPr>
                <w:rFonts w:ascii="宋体" w:hAnsi="宋体" w:cs="宋体"/>
                <w:kern w:val="0"/>
                <w:sz w:val="30"/>
                <w:szCs w:val="30"/>
              </w:rPr>
              <w:t>项目类型：</w:t>
            </w:r>
          </w:p>
        </w:tc>
        <w:tc>
          <w:tcPr>
            <w:tcW w:w="5220" w:type="dxa"/>
            <w:shd w:val="clear" w:color="auto" w:fill="auto"/>
            <w:vAlign w:val="center"/>
          </w:tcPr>
          <w:p w14:paraId="4DD33C41">
            <w:pPr>
              <w:widowControl/>
              <w:jc w:val="left"/>
              <w:rPr>
                <w:sz w:val="30"/>
                <w:szCs w:val="30"/>
              </w:rPr>
            </w:pPr>
            <w:r>
              <w:rPr>
                <w:rFonts w:hint="eastAsia" w:ascii="宋体" w:hAnsi="宋体" w:cs="宋体"/>
                <w:kern w:val="0"/>
                <w:sz w:val="30"/>
                <w:szCs w:val="30"/>
              </w:rPr>
              <w:t>服务类</w:t>
            </w:r>
          </w:p>
        </w:tc>
      </w:tr>
      <w:tr w14:paraId="1462399A">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14:paraId="1AADC35C">
            <w:pPr>
              <w:widowControl/>
              <w:jc w:val="right"/>
              <w:rPr>
                <w:sz w:val="30"/>
                <w:szCs w:val="30"/>
              </w:rPr>
            </w:pPr>
            <w:r>
              <w:rPr>
                <w:rFonts w:ascii="宋体" w:hAnsi="宋体" w:cs="宋体"/>
                <w:kern w:val="0"/>
                <w:sz w:val="30"/>
                <w:szCs w:val="30"/>
              </w:rPr>
              <w:t>采购方式：</w:t>
            </w:r>
          </w:p>
        </w:tc>
        <w:tc>
          <w:tcPr>
            <w:tcW w:w="5220" w:type="dxa"/>
            <w:shd w:val="clear" w:color="auto" w:fill="auto"/>
            <w:vAlign w:val="center"/>
          </w:tcPr>
          <w:p w14:paraId="060EF927">
            <w:pPr>
              <w:widowControl/>
              <w:jc w:val="left"/>
              <w:rPr>
                <w:sz w:val="30"/>
                <w:szCs w:val="30"/>
              </w:rPr>
            </w:pPr>
            <w:r>
              <w:rPr>
                <w:rFonts w:ascii="宋体" w:hAnsi="宋体" w:cs="宋体"/>
                <w:kern w:val="0"/>
                <w:sz w:val="30"/>
                <w:szCs w:val="30"/>
              </w:rPr>
              <w:t>公开</w:t>
            </w:r>
            <w:r>
              <w:rPr>
                <w:rFonts w:hint="eastAsia" w:ascii="宋体" w:hAnsi="宋体" w:cs="宋体"/>
                <w:kern w:val="0"/>
                <w:sz w:val="30"/>
                <w:szCs w:val="30"/>
              </w:rPr>
              <w:t>招标</w:t>
            </w:r>
          </w:p>
        </w:tc>
      </w:tr>
      <w:tr w14:paraId="5A295F02">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14:paraId="22966ED8">
            <w:pPr>
              <w:widowControl/>
              <w:jc w:val="right"/>
              <w:rPr>
                <w:sz w:val="30"/>
                <w:szCs w:val="30"/>
              </w:rPr>
            </w:pPr>
            <w:r>
              <w:rPr>
                <w:rFonts w:ascii="宋体" w:hAnsi="宋体" w:cs="宋体"/>
                <w:kern w:val="0"/>
                <w:sz w:val="30"/>
                <w:szCs w:val="30"/>
              </w:rPr>
              <w:t>货币类型：</w:t>
            </w:r>
          </w:p>
        </w:tc>
        <w:tc>
          <w:tcPr>
            <w:tcW w:w="5220" w:type="dxa"/>
            <w:shd w:val="clear" w:color="auto" w:fill="auto"/>
            <w:vAlign w:val="center"/>
          </w:tcPr>
          <w:p w14:paraId="65532C93">
            <w:pPr>
              <w:widowControl/>
              <w:jc w:val="left"/>
              <w:rPr>
                <w:sz w:val="30"/>
                <w:szCs w:val="30"/>
              </w:rPr>
            </w:pPr>
            <w:r>
              <w:rPr>
                <w:rFonts w:ascii="宋体" w:hAnsi="宋体" w:cs="宋体"/>
                <w:kern w:val="0"/>
                <w:sz w:val="30"/>
                <w:szCs w:val="30"/>
              </w:rPr>
              <w:t>人民币</w:t>
            </w:r>
          </w:p>
        </w:tc>
      </w:tr>
      <w:tr w14:paraId="0A8C4BB1">
        <w:tblPrEx>
          <w:tblCellMar>
            <w:top w:w="45" w:type="dxa"/>
            <w:left w:w="45" w:type="dxa"/>
            <w:bottom w:w="45" w:type="dxa"/>
            <w:right w:w="45" w:type="dxa"/>
          </w:tblCellMar>
        </w:tblPrEx>
        <w:trPr>
          <w:trHeight w:val="738" w:hRule="atLeast"/>
          <w:tblCellSpacing w:w="0" w:type="dxa"/>
          <w:jc w:val="center"/>
        </w:trPr>
        <w:tc>
          <w:tcPr>
            <w:tcW w:w="2723" w:type="dxa"/>
            <w:shd w:val="clear" w:color="auto" w:fill="auto"/>
            <w:vAlign w:val="center"/>
          </w:tcPr>
          <w:p w14:paraId="6E230D7B">
            <w:pPr>
              <w:widowControl/>
              <w:jc w:val="right"/>
              <w:rPr>
                <w:sz w:val="30"/>
                <w:szCs w:val="30"/>
              </w:rPr>
            </w:pPr>
            <w:r>
              <w:rPr>
                <w:rFonts w:ascii="宋体" w:hAnsi="宋体" w:cs="宋体"/>
                <w:kern w:val="0"/>
                <w:sz w:val="30"/>
                <w:szCs w:val="30"/>
              </w:rPr>
              <w:t>评标方法：</w:t>
            </w:r>
          </w:p>
        </w:tc>
        <w:tc>
          <w:tcPr>
            <w:tcW w:w="5220" w:type="dxa"/>
            <w:shd w:val="clear" w:color="auto" w:fill="auto"/>
            <w:vAlign w:val="center"/>
          </w:tcPr>
          <w:p w14:paraId="50D38784">
            <w:pPr>
              <w:widowControl/>
              <w:jc w:val="left"/>
              <w:rPr>
                <w:sz w:val="30"/>
                <w:szCs w:val="30"/>
              </w:rPr>
            </w:pPr>
            <w:r>
              <w:rPr>
                <w:rFonts w:ascii="宋体" w:hAnsi="宋体" w:cs="宋体"/>
                <w:kern w:val="0"/>
                <w:sz w:val="30"/>
                <w:szCs w:val="30"/>
                <w:lang w:bidi="ar"/>
              </w:rPr>
              <w:t>综合评分法</w:t>
            </w:r>
          </w:p>
        </w:tc>
      </w:tr>
    </w:tbl>
    <w:p w14:paraId="498FFE10">
      <w:pPr>
        <w:pStyle w:val="37"/>
        <w:jc w:val="center"/>
        <w:outlineLvl w:val="1"/>
        <w:rPr>
          <w:rFonts w:hint="eastAsia" w:ascii="黑体" w:hAnsi="黑体" w:eastAsia="黑体"/>
          <w:sz w:val="40"/>
          <w:szCs w:val="40"/>
        </w:rPr>
      </w:pPr>
    </w:p>
    <w:p w14:paraId="40594077">
      <w:pPr>
        <w:pStyle w:val="18"/>
      </w:pPr>
      <w:r>
        <w:br w:type="page"/>
      </w:r>
    </w:p>
    <w:p w14:paraId="5907D210">
      <w:pPr>
        <w:pStyle w:val="37"/>
        <w:jc w:val="center"/>
        <w:outlineLvl w:val="1"/>
        <w:rPr>
          <w:rFonts w:hint="eastAsia" w:ascii="黑体" w:hAnsi="黑体" w:eastAsia="黑体"/>
          <w:sz w:val="40"/>
          <w:szCs w:val="40"/>
        </w:rPr>
      </w:pPr>
      <w:r>
        <w:rPr>
          <w:rFonts w:hint="eastAsia" w:ascii="黑体" w:hAnsi="黑体" w:eastAsia="黑体"/>
          <w:sz w:val="40"/>
          <w:szCs w:val="40"/>
        </w:rPr>
        <w:t>资格性审查表</w:t>
      </w:r>
    </w:p>
    <w:tbl>
      <w:tblPr>
        <w:tblStyle w:val="42"/>
        <w:tblW w:w="946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20" w:type="dxa"/>
          <w:left w:w="108" w:type="dxa"/>
          <w:bottom w:w="20" w:type="dxa"/>
          <w:right w:w="108" w:type="dxa"/>
        </w:tblCellMar>
      </w:tblPr>
      <w:tblGrid>
        <w:gridCol w:w="755"/>
        <w:gridCol w:w="8707"/>
      </w:tblGrid>
      <w:tr w14:paraId="1B3AB94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55" w:type="dxa"/>
            <w:tcBorders>
              <w:top w:val="single" w:color="000000" w:sz="8" w:space="0"/>
              <w:left w:val="single" w:color="000000" w:sz="8" w:space="0"/>
              <w:bottom w:val="single" w:color="000000" w:sz="8" w:space="0"/>
              <w:right w:val="single" w:color="000000" w:sz="8" w:space="0"/>
            </w:tcBorders>
            <w:shd w:val="clear" w:color="auto" w:fill="E6EFFA"/>
          </w:tcPr>
          <w:p w14:paraId="4057868C">
            <w:pPr>
              <w:jc w:val="center"/>
              <w:rPr>
                <w:rFonts w:hint="eastAsia" w:asciiTheme="minorEastAsia" w:hAnsiTheme="minorEastAsia" w:eastAsiaTheme="minorEastAsia"/>
                <w:szCs w:val="21"/>
              </w:rPr>
            </w:pPr>
            <w:r>
              <w:rPr>
                <w:rFonts w:asciiTheme="minorEastAsia" w:hAnsiTheme="minorEastAsia" w:eastAsiaTheme="minorEastAsia"/>
                <w:szCs w:val="21"/>
              </w:rPr>
              <w:t>序号</w:t>
            </w:r>
          </w:p>
        </w:tc>
        <w:tc>
          <w:tcPr>
            <w:tcW w:w="8707"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58B1549B">
            <w:pPr>
              <w:jc w:val="center"/>
              <w:rPr>
                <w:rFonts w:hint="eastAsia" w:cs="宋体" w:asciiTheme="minorEastAsia" w:hAnsiTheme="minorEastAsia" w:eastAsiaTheme="minorEastAsia"/>
                <w:szCs w:val="21"/>
              </w:rPr>
            </w:pPr>
            <w:r>
              <w:rPr>
                <w:rFonts w:asciiTheme="minorEastAsia" w:hAnsiTheme="minorEastAsia" w:eastAsiaTheme="minorEastAsia"/>
                <w:szCs w:val="21"/>
              </w:rPr>
              <w:t>内容</w:t>
            </w:r>
          </w:p>
        </w:tc>
      </w:tr>
      <w:tr w14:paraId="5E77FE8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55" w:type="dxa"/>
            <w:tcBorders>
              <w:top w:val="single" w:color="000000" w:sz="8" w:space="0"/>
              <w:left w:val="single" w:color="000000" w:sz="8" w:space="0"/>
              <w:bottom w:val="single" w:color="000000" w:sz="8" w:space="0"/>
              <w:right w:val="single" w:color="000000" w:sz="8" w:space="0"/>
            </w:tcBorders>
          </w:tcPr>
          <w:p w14:paraId="05890EC5">
            <w:pPr>
              <w:jc w:val="center"/>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1</w:t>
            </w:r>
          </w:p>
        </w:tc>
        <w:tc>
          <w:tcPr>
            <w:tcW w:w="8707" w:type="dxa"/>
            <w:tcBorders>
              <w:top w:val="single" w:color="000000" w:sz="8" w:space="0"/>
              <w:left w:val="single" w:color="000000" w:sz="8" w:space="0"/>
              <w:bottom w:val="single" w:color="000000" w:sz="8" w:space="0"/>
              <w:right w:val="single" w:color="000000" w:sz="8" w:space="0"/>
            </w:tcBorders>
          </w:tcPr>
          <w:p w14:paraId="678F5714">
            <w:pPr>
              <w:rPr>
                <w:rFonts w:hint="eastAsia" w:cs="宋体" w:asciiTheme="minorEastAsia" w:hAnsiTheme="minorEastAsia" w:eastAsiaTheme="minorEastAsia"/>
                <w:szCs w:val="21"/>
              </w:rPr>
            </w:pPr>
            <w:r>
              <w:rPr>
                <w:rFonts w:cs="宋体" w:asciiTheme="minorEastAsia" w:hAnsiTheme="minorEastAsia" w:eastAsiaTheme="minorEastAsia"/>
                <w:kern w:val="0"/>
                <w:szCs w:val="21"/>
              </w:rPr>
              <w:t>投标人不</w:t>
            </w:r>
            <w:r>
              <w:rPr>
                <w:rFonts w:hint="eastAsia" w:cs="宋体" w:asciiTheme="minorEastAsia" w:hAnsiTheme="minorEastAsia" w:eastAsiaTheme="minorEastAsia"/>
                <w:kern w:val="0"/>
                <w:szCs w:val="21"/>
              </w:rPr>
              <w:t>符合</w:t>
            </w:r>
            <w:r>
              <w:rPr>
                <w:rFonts w:cs="宋体" w:asciiTheme="minorEastAsia" w:hAnsiTheme="minorEastAsia" w:eastAsiaTheme="minorEastAsia"/>
                <w:kern w:val="0"/>
                <w:szCs w:val="21"/>
              </w:rPr>
              <w:t>资格要求，或未提交相应的资格证明资料（详见</w:t>
            </w:r>
            <w:r>
              <w:rPr>
                <w:rFonts w:hint="eastAsia" w:cs="宋体" w:asciiTheme="minorEastAsia" w:hAnsiTheme="minorEastAsia" w:eastAsiaTheme="minorEastAsia"/>
                <w:kern w:val="0"/>
                <w:szCs w:val="21"/>
              </w:rPr>
              <w:t>招标</w:t>
            </w:r>
            <w:r>
              <w:rPr>
                <w:rFonts w:cs="宋体" w:asciiTheme="minorEastAsia" w:hAnsiTheme="minorEastAsia" w:eastAsiaTheme="minorEastAsia"/>
                <w:kern w:val="0"/>
                <w:szCs w:val="21"/>
              </w:rPr>
              <w:t>公告</w:t>
            </w:r>
            <w:r>
              <w:rPr>
                <w:rFonts w:hint="eastAsia" w:asciiTheme="minorEastAsia" w:hAnsiTheme="minorEastAsia" w:eastAsiaTheme="minorEastAsia"/>
                <w:szCs w:val="21"/>
              </w:rPr>
              <w:t>投标人资格要求</w:t>
            </w:r>
            <w:r>
              <w:rPr>
                <w:rFonts w:cs="宋体" w:asciiTheme="minorEastAsia" w:hAnsiTheme="minorEastAsia" w:eastAsiaTheme="minorEastAsia"/>
                <w:kern w:val="0"/>
                <w:szCs w:val="21"/>
              </w:rPr>
              <w:t>）</w:t>
            </w:r>
          </w:p>
        </w:tc>
      </w:tr>
    </w:tbl>
    <w:p w14:paraId="0BC99A87">
      <w:pPr>
        <w:pStyle w:val="37"/>
        <w:spacing w:before="280"/>
        <w:jc w:val="center"/>
        <w:outlineLvl w:val="1"/>
        <w:rPr>
          <w:rFonts w:hint="eastAsia" w:ascii="黑体" w:hAnsi="黑体" w:eastAsia="黑体"/>
          <w:sz w:val="40"/>
          <w:szCs w:val="40"/>
        </w:rPr>
      </w:pPr>
      <w:r>
        <w:rPr>
          <w:rFonts w:hint="eastAsia" w:ascii="黑体" w:hAnsi="黑体" w:eastAsia="黑体"/>
          <w:sz w:val="40"/>
          <w:szCs w:val="40"/>
        </w:rPr>
        <w:t>符合性审查表</w:t>
      </w:r>
    </w:p>
    <w:tbl>
      <w:tblPr>
        <w:tblStyle w:val="42"/>
        <w:tblW w:w="9406"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20" w:type="dxa"/>
          <w:left w:w="108" w:type="dxa"/>
          <w:bottom w:w="20" w:type="dxa"/>
          <w:right w:w="108" w:type="dxa"/>
        </w:tblCellMar>
      </w:tblPr>
      <w:tblGrid>
        <w:gridCol w:w="708"/>
        <w:gridCol w:w="8698"/>
      </w:tblGrid>
      <w:tr w14:paraId="2CD1B9C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08" w:type="dxa"/>
            <w:tcBorders>
              <w:top w:val="single" w:color="000000" w:sz="8" w:space="0"/>
              <w:left w:val="single" w:color="000000" w:sz="8" w:space="0"/>
              <w:bottom w:val="single" w:color="000000" w:sz="8" w:space="0"/>
              <w:right w:val="single" w:color="000000" w:sz="8" w:space="0"/>
            </w:tcBorders>
            <w:shd w:val="clear" w:color="auto" w:fill="E6EFFA"/>
          </w:tcPr>
          <w:p w14:paraId="44B7B273">
            <w:pPr>
              <w:widowControl/>
              <w:jc w:val="center"/>
              <w:rPr>
                <w:rFonts w:hint="eastAsia" w:cs="宋体" w:asciiTheme="minorEastAsia" w:hAnsiTheme="minorEastAsia" w:eastAsiaTheme="minorEastAsia"/>
                <w:kern w:val="0"/>
                <w:szCs w:val="21"/>
              </w:rPr>
            </w:pPr>
            <w:r>
              <w:rPr>
                <w:rFonts w:cs="宋体" w:asciiTheme="minorEastAsia" w:hAnsiTheme="minorEastAsia" w:eastAsiaTheme="minorEastAsia"/>
                <w:kern w:val="0"/>
                <w:szCs w:val="21"/>
              </w:rPr>
              <w:t>序号</w:t>
            </w:r>
          </w:p>
        </w:tc>
        <w:tc>
          <w:tcPr>
            <w:tcW w:w="8698"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50D81521">
            <w:pPr>
              <w:widowControl/>
              <w:jc w:val="center"/>
              <w:rPr>
                <w:rFonts w:hint="eastAsia" w:asciiTheme="minorEastAsia" w:hAnsiTheme="minorEastAsia" w:eastAsiaTheme="minorEastAsia"/>
                <w:szCs w:val="21"/>
              </w:rPr>
            </w:pPr>
            <w:r>
              <w:rPr>
                <w:rFonts w:cs="宋体" w:asciiTheme="minorEastAsia" w:hAnsiTheme="minorEastAsia" w:eastAsiaTheme="minorEastAsia"/>
                <w:kern w:val="0"/>
                <w:szCs w:val="21"/>
              </w:rPr>
              <w:t>内容</w:t>
            </w:r>
          </w:p>
        </w:tc>
      </w:tr>
      <w:tr w14:paraId="11DCCCA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08" w:type="dxa"/>
            <w:tcBorders>
              <w:top w:val="single" w:color="000000" w:sz="8" w:space="0"/>
              <w:left w:val="single" w:color="000000" w:sz="8" w:space="0"/>
              <w:bottom w:val="single" w:color="000000" w:sz="8" w:space="0"/>
              <w:right w:val="single" w:color="000000" w:sz="8" w:space="0"/>
            </w:tcBorders>
          </w:tcPr>
          <w:p w14:paraId="722ED6E7">
            <w:pPr>
              <w:widowControl/>
              <w:jc w:val="center"/>
              <w:textAlignment w:val="top"/>
              <w:rPr>
                <w:rFonts w:hint="eastAsia" w:asciiTheme="minorEastAsia" w:hAnsiTheme="minorEastAsia" w:eastAsiaTheme="minorEastAsia"/>
                <w:szCs w:val="21"/>
              </w:rPr>
            </w:pPr>
            <w:r>
              <w:rPr>
                <w:rFonts w:hint="eastAsia" w:asciiTheme="minorEastAsia" w:hAnsiTheme="minorEastAsia" w:eastAsiaTheme="minorEastAsia"/>
                <w:szCs w:val="21"/>
              </w:rPr>
              <w:t>1</w:t>
            </w:r>
          </w:p>
        </w:tc>
        <w:tc>
          <w:tcPr>
            <w:tcW w:w="8698" w:type="dxa"/>
            <w:tcBorders>
              <w:top w:val="single" w:color="000000" w:sz="8" w:space="0"/>
              <w:left w:val="single" w:color="000000" w:sz="8" w:space="0"/>
              <w:bottom w:val="single" w:color="000000" w:sz="8" w:space="0"/>
              <w:right w:val="single" w:color="000000" w:sz="8" w:space="0"/>
            </w:tcBorders>
            <w:shd w:val="clear" w:color="auto" w:fill="auto"/>
          </w:tcPr>
          <w:p w14:paraId="06585B5A">
            <w:pPr>
              <w:widowControl/>
              <w:jc w:val="left"/>
              <w:textAlignment w:val="top"/>
              <w:rPr>
                <w:rFonts w:hint="eastAsia" w:asciiTheme="minorEastAsia" w:hAnsiTheme="minorEastAsia" w:eastAsiaTheme="minorEastAsia"/>
                <w:szCs w:val="21"/>
              </w:rPr>
            </w:pPr>
            <w:r>
              <w:rPr>
                <w:rFonts w:hint="eastAsia" w:asciiTheme="minorEastAsia" w:hAnsiTheme="minorEastAsia" w:eastAsiaTheme="minorEastAsia"/>
                <w:szCs w:val="21"/>
              </w:rPr>
              <w:t>不得将一个包内容拆开投标；</w:t>
            </w:r>
          </w:p>
        </w:tc>
      </w:tr>
      <w:tr w14:paraId="30BAC8F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08" w:type="dxa"/>
            <w:tcBorders>
              <w:top w:val="single" w:color="000000" w:sz="8" w:space="0"/>
              <w:left w:val="single" w:color="000000" w:sz="8" w:space="0"/>
              <w:bottom w:val="single" w:color="000000" w:sz="8" w:space="0"/>
              <w:right w:val="single" w:color="000000" w:sz="8" w:space="0"/>
            </w:tcBorders>
          </w:tcPr>
          <w:p w14:paraId="2AB9FE39">
            <w:pPr>
              <w:widowControl/>
              <w:jc w:val="center"/>
              <w:textAlignment w:val="top"/>
              <w:rPr>
                <w:rFonts w:hint="eastAsia" w:asciiTheme="minorEastAsia" w:hAnsiTheme="minorEastAsia" w:eastAsiaTheme="minorEastAsia"/>
                <w:szCs w:val="21"/>
              </w:rPr>
            </w:pPr>
            <w:r>
              <w:rPr>
                <w:rFonts w:hint="eastAsia" w:asciiTheme="minorEastAsia" w:hAnsiTheme="minorEastAsia" w:eastAsiaTheme="minorEastAsia"/>
                <w:szCs w:val="21"/>
              </w:rPr>
              <w:t>2</w:t>
            </w:r>
          </w:p>
        </w:tc>
        <w:tc>
          <w:tcPr>
            <w:tcW w:w="8698" w:type="dxa"/>
            <w:tcBorders>
              <w:top w:val="single" w:color="000000" w:sz="8" w:space="0"/>
              <w:left w:val="single" w:color="000000" w:sz="8" w:space="0"/>
              <w:bottom w:val="single" w:color="000000" w:sz="8" w:space="0"/>
              <w:right w:val="single" w:color="000000" w:sz="8" w:space="0"/>
            </w:tcBorders>
            <w:shd w:val="clear" w:color="auto" w:fill="auto"/>
          </w:tcPr>
          <w:p w14:paraId="7FA93B8B">
            <w:pPr>
              <w:widowControl/>
              <w:jc w:val="left"/>
              <w:textAlignment w:val="top"/>
              <w:rPr>
                <w:rFonts w:hint="eastAsia" w:asciiTheme="minorEastAsia" w:hAnsiTheme="minorEastAsia" w:eastAsiaTheme="minorEastAsia"/>
                <w:szCs w:val="21"/>
              </w:rPr>
            </w:pPr>
            <w:r>
              <w:rPr>
                <w:rFonts w:hint="eastAsia" w:asciiTheme="minorEastAsia" w:hAnsiTheme="minorEastAsia" w:eastAsiaTheme="minorEastAsia"/>
                <w:szCs w:val="21"/>
              </w:rPr>
              <w:t>对同一项目投标时，不得提供两套以上的投标方案（招标文件另有规定的除外）；</w:t>
            </w:r>
          </w:p>
        </w:tc>
      </w:tr>
      <w:tr w14:paraId="75F8916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08" w:type="dxa"/>
            <w:tcBorders>
              <w:top w:val="single" w:color="000000" w:sz="8" w:space="0"/>
              <w:left w:val="single" w:color="000000" w:sz="8" w:space="0"/>
              <w:bottom w:val="single" w:color="000000" w:sz="8" w:space="0"/>
              <w:right w:val="single" w:color="000000" w:sz="8" w:space="0"/>
            </w:tcBorders>
          </w:tcPr>
          <w:p w14:paraId="577AE4B1">
            <w:pPr>
              <w:widowControl/>
              <w:jc w:val="center"/>
              <w:textAlignment w:val="top"/>
              <w:rPr>
                <w:rFonts w:hint="eastAsia" w:asciiTheme="minorEastAsia" w:hAnsiTheme="minorEastAsia" w:eastAsiaTheme="minorEastAsia"/>
                <w:szCs w:val="21"/>
              </w:rPr>
            </w:pPr>
            <w:r>
              <w:rPr>
                <w:rFonts w:hint="eastAsia" w:asciiTheme="minorEastAsia" w:hAnsiTheme="minorEastAsia" w:eastAsiaTheme="minorEastAsia"/>
                <w:szCs w:val="21"/>
              </w:rPr>
              <w:t>3</w:t>
            </w:r>
          </w:p>
        </w:tc>
        <w:tc>
          <w:tcPr>
            <w:tcW w:w="8698" w:type="dxa"/>
            <w:tcBorders>
              <w:top w:val="single" w:color="000000" w:sz="8" w:space="0"/>
              <w:left w:val="single" w:color="000000" w:sz="8" w:space="0"/>
              <w:bottom w:val="single" w:color="000000" w:sz="8" w:space="0"/>
              <w:right w:val="single" w:color="000000" w:sz="8" w:space="0"/>
            </w:tcBorders>
            <w:shd w:val="clear" w:color="auto" w:fill="auto"/>
          </w:tcPr>
          <w:p w14:paraId="1CAF056F">
            <w:pPr>
              <w:widowControl/>
              <w:jc w:val="left"/>
              <w:textAlignment w:val="top"/>
              <w:rPr>
                <w:rFonts w:hint="eastAsia" w:asciiTheme="minorEastAsia" w:hAnsiTheme="minorEastAsia" w:eastAsiaTheme="minorEastAsia"/>
                <w:szCs w:val="21"/>
              </w:rPr>
            </w:pPr>
            <w:r>
              <w:rPr>
                <w:rFonts w:hint="eastAsia" w:asciiTheme="minorEastAsia" w:hAnsiTheme="minorEastAsia" w:eastAsiaTheme="minorEastAsia"/>
                <w:szCs w:val="21"/>
              </w:rPr>
              <w:t>分项报价或投标总价不得高于相应预算金额（或设定的预算金额下的最高限价）；</w:t>
            </w:r>
          </w:p>
        </w:tc>
      </w:tr>
      <w:tr w14:paraId="5C4DE6C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trHeight w:val="1436" w:hRule="atLeast"/>
          <w:jc w:val="center"/>
        </w:trPr>
        <w:tc>
          <w:tcPr>
            <w:tcW w:w="708" w:type="dxa"/>
            <w:tcBorders>
              <w:top w:val="single" w:color="000000" w:sz="8" w:space="0"/>
              <w:left w:val="single" w:color="000000" w:sz="8" w:space="0"/>
              <w:bottom w:val="single" w:color="000000" w:sz="8" w:space="0"/>
              <w:right w:val="single" w:color="000000" w:sz="8" w:space="0"/>
            </w:tcBorders>
          </w:tcPr>
          <w:p w14:paraId="43E0DE44">
            <w:pPr>
              <w:widowControl/>
              <w:jc w:val="center"/>
              <w:textAlignment w:val="top"/>
              <w:rPr>
                <w:rFonts w:hint="eastAsia" w:asciiTheme="minorEastAsia" w:hAnsiTheme="minorEastAsia" w:eastAsiaTheme="minorEastAsia"/>
                <w:szCs w:val="21"/>
              </w:rPr>
            </w:pPr>
            <w:r>
              <w:rPr>
                <w:rFonts w:hint="eastAsia" w:asciiTheme="minorEastAsia" w:hAnsiTheme="minorEastAsia" w:eastAsiaTheme="minorEastAsia"/>
                <w:szCs w:val="21"/>
              </w:rPr>
              <w:t>4</w:t>
            </w:r>
          </w:p>
        </w:tc>
        <w:tc>
          <w:tcPr>
            <w:tcW w:w="8698" w:type="dxa"/>
            <w:tcBorders>
              <w:top w:val="single" w:color="000000" w:sz="8" w:space="0"/>
              <w:left w:val="single" w:color="000000" w:sz="8" w:space="0"/>
              <w:bottom w:val="single" w:color="000000" w:sz="8" w:space="0"/>
              <w:right w:val="single" w:color="000000" w:sz="8" w:space="0"/>
            </w:tcBorders>
            <w:shd w:val="clear" w:color="auto" w:fill="auto"/>
          </w:tcPr>
          <w:p w14:paraId="412D0D05">
            <w:pPr>
              <w:widowControl/>
              <w:jc w:val="left"/>
              <w:textAlignment w:val="top"/>
              <w:rPr>
                <w:rFonts w:hint="eastAsia" w:asciiTheme="minorEastAsia" w:hAnsiTheme="minorEastAsia" w:eastAsiaTheme="minorEastAsia"/>
                <w:szCs w:val="21"/>
              </w:rPr>
            </w:pPr>
            <w:r>
              <w:rPr>
                <w:rFonts w:hint="eastAsia" w:asciiTheme="minorEastAsia" w:hAnsiTheme="minorEastAsia" w:eastAsiaTheme="minorEastAsia"/>
                <w:szCs w:val="21"/>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14:paraId="5458B44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08" w:type="dxa"/>
            <w:tcBorders>
              <w:top w:val="single" w:color="000000" w:sz="8" w:space="0"/>
              <w:left w:val="single" w:color="000000" w:sz="8" w:space="0"/>
              <w:bottom w:val="single" w:color="000000" w:sz="8" w:space="0"/>
              <w:right w:val="single" w:color="000000" w:sz="8" w:space="0"/>
            </w:tcBorders>
          </w:tcPr>
          <w:p w14:paraId="1E3BC570">
            <w:pPr>
              <w:jc w:val="center"/>
              <w:rPr>
                <w:rFonts w:hint="eastAsia" w:asciiTheme="minorEastAsia" w:hAnsiTheme="minorEastAsia" w:eastAsiaTheme="minorEastAsia"/>
                <w:szCs w:val="21"/>
                <w:highlight w:val="yellow"/>
              </w:rPr>
            </w:pPr>
            <w:r>
              <w:rPr>
                <w:szCs w:val="21"/>
              </w:rPr>
              <w:t>5</w:t>
            </w:r>
          </w:p>
        </w:tc>
        <w:tc>
          <w:tcPr>
            <w:tcW w:w="8698" w:type="dxa"/>
            <w:tcBorders>
              <w:top w:val="single" w:color="000000" w:sz="8" w:space="0"/>
              <w:left w:val="single" w:color="000000" w:sz="8" w:space="0"/>
              <w:bottom w:val="single" w:color="000000" w:sz="8" w:space="0"/>
              <w:right w:val="single" w:color="000000" w:sz="8" w:space="0"/>
            </w:tcBorders>
            <w:shd w:val="clear" w:color="auto" w:fill="auto"/>
          </w:tcPr>
          <w:p w14:paraId="63673206">
            <w:pPr>
              <w:rPr>
                <w:rFonts w:hint="eastAsia" w:asciiTheme="minorEastAsia" w:hAnsiTheme="minorEastAsia" w:eastAsiaTheme="minorEastAsia"/>
                <w:szCs w:val="21"/>
              </w:rPr>
            </w:pPr>
            <w:r>
              <w:rPr>
                <w:rFonts w:hint="eastAsia"/>
              </w:rPr>
              <w:t>所投货物、服务在技术、商务等方面没有实质性满足招标文件要求的（是否实质性满足招标文件要求，由评审委员会根据实质性条款响应情况做出评判；若招标文件未设置实质性条款，不得据此做投标无效处理）；</w:t>
            </w:r>
          </w:p>
        </w:tc>
      </w:tr>
      <w:tr w14:paraId="03C408B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08" w:type="dxa"/>
            <w:tcBorders>
              <w:top w:val="single" w:color="000000" w:sz="8" w:space="0"/>
              <w:left w:val="single" w:color="000000" w:sz="8" w:space="0"/>
              <w:bottom w:val="single" w:color="000000" w:sz="8" w:space="0"/>
              <w:right w:val="single" w:color="000000" w:sz="8" w:space="0"/>
            </w:tcBorders>
          </w:tcPr>
          <w:p w14:paraId="1A7C66EA">
            <w:pPr>
              <w:jc w:val="center"/>
              <w:rPr>
                <w:rFonts w:hint="eastAsia" w:asciiTheme="minorEastAsia" w:hAnsiTheme="minorEastAsia" w:eastAsiaTheme="minorEastAsia"/>
                <w:szCs w:val="21"/>
              </w:rPr>
            </w:pPr>
            <w:r>
              <w:rPr>
                <w:szCs w:val="21"/>
              </w:rPr>
              <w:t>6</w:t>
            </w:r>
          </w:p>
        </w:tc>
        <w:tc>
          <w:tcPr>
            <w:tcW w:w="8698" w:type="dxa"/>
            <w:tcBorders>
              <w:top w:val="single" w:color="000000" w:sz="8" w:space="0"/>
              <w:left w:val="single" w:color="000000" w:sz="8" w:space="0"/>
              <w:bottom w:val="single" w:color="000000" w:sz="8" w:space="0"/>
              <w:right w:val="single" w:color="000000" w:sz="8" w:space="0"/>
            </w:tcBorders>
            <w:shd w:val="clear" w:color="auto" w:fill="auto"/>
          </w:tcPr>
          <w:p w14:paraId="4A319F7B">
            <w:pPr>
              <w:rPr>
                <w:rFonts w:hint="eastAsia" w:asciiTheme="minorEastAsia" w:hAnsiTheme="minorEastAsia" w:eastAsiaTheme="minorEastAsia"/>
                <w:szCs w:val="21"/>
              </w:rPr>
            </w:pPr>
            <w:r>
              <w:rPr>
                <w:rFonts w:hint="eastAsia"/>
              </w:rPr>
              <w:t>未按招标文件所提供的样式填写《投标函》；未按招标文件所提供的《采购投标及履约承诺函》进行承诺；未按招标文件对投标文件组成的要求提供投标文件；</w:t>
            </w:r>
          </w:p>
        </w:tc>
      </w:tr>
      <w:tr w14:paraId="7FA9C8C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08" w:type="dxa"/>
            <w:tcBorders>
              <w:top w:val="single" w:color="000000" w:sz="8" w:space="0"/>
              <w:left w:val="single" w:color="000000" w:sz="8" w:space="0"/>
              <w:bottom w:val="single" w:color="000000" w:sz="8" w:space="0"/>
              <w:right w:val="single" w:color="000000" w:sz="8" w:space="0"/>
            </w:tcBorders>
          </w:tcPr>
          <w:p w14:paraId="40B80186">
            <w:pPr>
              <w:jc w:val="center"/>
              <w:rPr>
                <w:rFonts w:hint="eastAsia" w:asciiTheme="minorEastAsia" w:hAnsiTheme="minorEastAsia" w:eastAsiaTheme="minorEastAsia"/>
                <w:szCs w:val="21"/>
                <w:highlight w:val="yellow"/>
              </w:rPr>
            </w:pPr>
            <w:r>
              <w:rPr>
                <w:szCs w:val="21"/>
              </w:rPr>
              <w:t>7</w:t>
            </w:r>
          </w:p>
        </w:tc>
        <w:tc>
          <w:tcPr>
            <w:tcW w:w="8698" w:type="dxa"/>
            <w:tcBorders>
              <w:top w:val="single" w:color="000000" w:sz="8" w:space="0"/>
              <w:left w:val="single" w:color="000000" w:sz="8" w:space="0"/>
              <w:bottom w:val="single" w:color="000000" w:sz="8" w:space="0"/>
              <w:right w:val="single" w:color="000000" w:sz="8" w:space="0"/>
            </w:tcBorders>
            <w:shd w:val="clear" w:color="auto" w:fill="auto"/>
          </w:tcPr>
          <w:p w14:paraId="2E435B36">
            <w:pPr>
              <w:rPr>
                <w:rFonts w:hint="eastAsia" w:asciiTheme="minorEastAsia" w:hAnsiTheme="minorEastAsia" w:eastAsiaTheme="minorEastAsia"/>
                <w:szCs w:val="21"/>
              </w:rPr>
            </w:pPr>
            <w:r>
              <w:rPr>
                <w:rFonts w:hint="eastAsia"/>
              </w:rPr>
              <w:t>采购标的/服务清单/报价等任意一类有缺漏项或响应不全，或者对招标文件规定的项目需求内容或者需求数量进行修改</w:t>
            </w:r>
            <w:r>
              <w:rPr>
                <w:rFonts w:hint="eastAsia"/>
                <w:szCs w:val="21"/>
              </w:rPr>
              <w:t>，评审委员会判定投标响应不满足采购需求</w:t>
            </w:r>
            <w:r>
              <w:rPr>
                <w:rFonts w:hint="eastAsia"/>
              </w:rPr>
              <w:t>；</w:t>
            </w:r>
          </w:p>
        </w:tc>
      </w:tr>
      <w:tr w14:paraId="7A97627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08" w:type="dxa"/>
            <w:tcBorders>
              <w:top w:val="single" w:color="000000" w:sz="8" w:space="0"/>
              <w:left w:val="single" w:color="000000" w:sz="8" w:space="0"/>
              <w:bottom w:val="single" w:color="000000" w:sz="8" w:space="0"/>
              <w:right w:val="single" w:color="000000" w:sz="8" w:space="0"/>
            </w:tcBorders>
          </w:tcPr>
          <w:p w14:paraId="3AB2D8FD">
            <w:pPr>
              <w:widowControl/>
              <w:jc w:val="center"/>
              <w:textAlignment w:val="top"/>
              <w:rPr>
                <w:rFonts w:hint="eastAsia" w:asciiTheme="minorEastAsia" w:hAnsiTheme="minorEastAsia" w:eastAsiaTheme="minorEastAsia"/>
                <w:szCs w:val="21"/>
              </w:rPr>
            </w:pPr>
            <w:r>
              <w:rPr>
                <w:rFonts w:hint="eastAsia" w:asciiTheme="minorEastAsia" w:hAnsiTheme="minorEastAsia" w:eastAsiaTheme="minorEastAsia"/>
                <w:szCs w:val="21"/>
              </w:rPr>
              <w:t>8</w:t>
            </w:r>
          </w:p>
        </w:tc>
        <w:tc>
          <w:tcPr>
            <w:tcW w:w="8698" w:type="dxa"/>
            <w:tcBorders>
              <w:top w:val="single" w:color="000000" w:sz="8" w:space="0"/>
              <w:left w:val="single" w:color="000000" w:sz="8" w:space="0"/>
              <w:bottom w:val="single" w:color="000000" w:sz="8" w:space="0"/>
              <w:right w:val="single" w:color="000000" w:sz="8" w:space="0"/>
            </w:tcBorders>
            <w:shd w:val="clear" w:color="auto" w:fill="auto"/>
          </w:tcPr>
          <w:p w14:paraId="7DF21BDF">
            <w:pPr>
              <w:widowControl/>
              <w:jc w:val="left"/>
              <w:textAlignment w:val="top"/>
              <w:rPr>
                <w:rFonts w:hint="eastAsia" w:asciiTheme="minorEastAsia" w:hAnsiTheme="minorEastAsia" w:eastAsiaTheme="minorEastAsia"/>
                <w:szCs w:val="21"/>
              </w:rPr>
            </w:pPr>
            <w:r>
              <w:rPr>
                <w:rFonts w:hint="eastAsia" w:asciiTheme="minorEastAsia" w:hAnsiTheme="minorEastAsia" w:eastAsiaTheme="minorEastAsia"/>
                <w:szCs w:val="21"/>
              </w:rPr>
              <w:t>投标文件电子文档不得带病毒；</w:t>
            </w:r>
          </w:p>
        </w:tc>
      </w:tr>
      <w:tr w14:paraId="55953D7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08" w:type="dxa"/>
            <w:tcBorders>
              <w:top w:val="single" w:color="000000" w:sz="8" w:space="0"/>
              <w:left w:val="single" w:color="000000" w:sz="8" w:space="0"/>
              <w:bottom w:val="single" w:color="000000" w:sz="8" w:space="0"/>
              <w:right w:val="single" w:color="000000" w:sz="8" w:space="0"/>
            </w:tcBorders>
          </w:tcPr>
          <w:p w14:paraId="1F732DCC">
            <w:pPr>
              <w:widowControl/>
              <w:jc w:val="center"/>
              <w:textAlignment w:val="top"/>
              <w:rPr>
                <w:rFonts w:hint="eastAsia" w:asciiTheme="minorEastAsia" w:hAnsiTheme="minorEastAsia" w:eastAsiaTheme="minorEastAsia"/>
                <w:szCs w:val="21"/>
              </w:rPr>
            </w:pPr>
            <w:r>
              <w:rPr>
                <w:rFonts w:hint="eastAsia" w:asciiTheme="minorEastAsia" w:hAnsiTheme="minorEastAsia" w:eastAsiaTheme="minorEastAsia"/>
                <w:szCs w:val="21"/>
              </w:rPr>
              <w:t>9</w:t>
            </w:r>
          </w:p>
        </w:tc>
        <w:tc>
          <w:tcPr>
            <w:tcW w:w="8698" w:type="dxa"/>
            <w:tcBorders>
              <w:top w:val="single" w:color="000000" w:sz="8" w:space="0"/>
              <w:left w:val="single" w:color="000000" w:sz="8" w:space="0"/>
              <w:bottom w:val="single" w:color="000000" w:sz="8" w:space="0"/>
              <w:right w:val="single" w:color="000000" w:sz="8" w:space="0"/>
            </w:tcBorders>
            <w:shd w:val="clear" w:color="auto" w:fill="auto"/>
          </w:tcPr>
          <w:p w14:paraId="5BED39F0">
            <w:pPr>
              <w:widowControl/>
              <w:jc w:val="left"/>
              <w:textAlignment w:val="top"/>
              <w:rPr>
                <w:rFonts w:hint="eastAsia" w:asciiTheme="minorEastAsia" w:hAnsiTheme="minorEastAsia" w:eastAsiaTheme="minorEastAsia"/>
                <w:szCs w:val="21"/>
              </w:rPr>
            </w:pPr>
            <w:r>
              <w:rPr>
                <w:rFonts w:hint="eastAsia" w:asciiTheme="minorEastAsia" w:hAnsiTheme="minorEastAsia" w:eastAsiaTheme="minorEastAsia"/>
                <w:szCs w:val="21"/>
              </w:rPr>
              <w:t>投标文件用不属于本公司的电子密钥进行加密；</w:t>
            </w:r>
          </w:p>
        </w:tc>
      </w:tr>
      <w:tr w14:paraId="784D762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08" w:type="dxa"/>
            <w:tcBorders>
              <w:top w:val="single" w:color="000000" w:sz="8" w:space="0"/>
              <w:left w:val="single" w:color="000000" w:sz="8" w:space="0"/>
              <w:bottom w:val="single" w:color="000000" w:sz="8" w:space="0"/>
              <w:right w:val="single" w:color="000000" w:sz="8" w:space="0"/>
            </w:tcBorders>
          </w:tcPr>
          <w:p w14:paraId="05AB23B0">
            <w:pPr>
              <w:widowControl/>
              <w:jc w:val="center"/>
              <w:textAlignment w:val="top"/>
              <w:rPr>
                <w:rFonts w:hint="eastAsia" w:asciiTheme="minorEastAsia" w:hAnsiTheme="minorEastAsia" w:eastAsiaTheme="minorEastAsia"/>
                <w:szCs w:val="21"/>
              </w:rPr>
            </w:pPr>
            <w:r>
              <w:rPr>
                <w:rFonts w:hint="eastAsia" w:asciiTheme="minorEastAsia" w:hAnsiTheme="minorEastAsia" w:eastAsiaTheme="minorEastAsia"/>
                <w:szCs w:val="21"/>
              </w:rPr>
              <w:t>10</w:t>
            </w:r>
          </w:p>
        </w:tc>
        <w:tc>
          <w:tcPr>
            <w:tcW w:w="8698" w:type="dxa"/>
            <w:tcBorders>
              <w:top w:val="single" w:color="000000" w:sz="8" w:space="0"/>
              <w:left w:val="single" w:color="000000" w:sz="8" w:space="0"/>
              <w:bottom w:val="single" w:color="000000" w:sz="8" w:space="0"/>
              <w:right w:val="single" w:color="000000" w:sz="8" w:space="0"/>
            </w:tcBorders>
            <w:shd w:val="clear" w:color="auto" w:fill="auto"/>
          </w:tcPr>
          <w:p w14:paraId="32F4BD9B">
            <w:pPr>
              <w:widowControl/>
              <w:jc w:val="left"/>
              <w:textAlignment w:val="top"/>
              <w:rPr>
                <w:rFonts w:hint="eastAsia" w:asciiTheme="minorEastAsia" w:hAnsiTheme="minorEastAsia" w:eastAsiaTheme="minorEastAsia"/>
                <w:szCs w:val="21"/>
              </w:rPr>
            </w:pPr>
            <w:r>
              <w:rPr>
                <w:rFonts w:hint="eastAsia" w:asciiTheme="minorEastAsia" w:hAnsiTheme="minorEastAsia" w:eastAsiaTheme="minorEastAsia"/>
                <w:szCs w:val="21"/>
              </w:rPr>
              <w:t>法律、法规、规章、规范性文件规定的其他情形。</w:t>
            </w:r>
          </w:p>
        </w:tc>
      </w:tr>
    </w:tbl>
    <w:p w14:paraId="6D04AD9C">
      <w:pPr>
        <w:pStyle w:val="37"/>
        <w:jc w:val="center"/>
        <w:outlineLvl w:val="1"/>
        <w:rPr>
          <w:rFonts w:hint="eastAsia" w:ascii="黑体" w:hAnsi="黑体" w:eastAsia="黑体"/>
          <w:sz w:val="40"/>
          <w:szCs w:val="40"/>
        </w:rPr>
      </w:pPr>
    </w:p>
    <w:p w14:paraId="77C7D8E6">
      <w:pPr>
        <w:pStyle w:val="18"/>
      </w:pPr>
      <w:r>
        <w:br w:type="page"/>
      </w:r>
    </w:p>
    <w:p w14:paraId="5EC88375">
      <w:pPr>
        <w:pStyle w:val="37"/>
        <w:jc w:val="center"/>
        <w:outlineLvl w:val="1"/>
        <w:rPr>
          <w:rFonts w:hint="eastAsia" w:ascii="黑体" w:hAnsi="黑体" w:eastAsia="黑体"/>
          <w:sz w:val="40"/>
          <w:szCs w:val="40"/>
        </w:rPr>
      </w:pPr>
      <w:r>
        <w:rPr>
          <w:rFonts w:hint="eastAsia" w:ascii="黑体" w:hAnsi="黑体" w:eastAsia="黑体"/>
          <w:sz w:val="40"/>
          <w:szCs w:val="40"/>
        </w:rPr>
        <w:t>评标信息</w:t>
      </w:r>
    </w:p>
    <w:tbl>
      <w:tblPr>
        <w:tblStyle w:val="42"/>
        <w:tblW w:w="9162"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45" w:type="dxa"/>
          <w:left w:w="45" w:type="dxa"/>
          <w:bottom w:w="45" w:type="dxa"/>
          <w:right w:w="45" w:type="dxa"/>
        </w:tblCellMar>
      </w:tblPr>
      <w:tblGrid>
        <w:gridCol w:w="63"/>
        <w:gridCol w:w="610"/>
        <w:gridCol w:w="672"/>
        <w:gridCol w:w="2331"/>
        <w:gridCol w:w="761"/>
        <w:gridCol w:w="4698"/>
        <w:gridCol w:w="27"/>
      </w:tblGrid>
      <w:tr w14:paraId="6A1E4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gridBefore w:val="1"/>
          <w:gridAfter w:val="1"/>
          <w:wBefore w:w="63" w:type="dxa"/>
          <w:wAfter w:w="27" w:type="dxa"/>
          <w:tblCellSpacing w:w="0" w:type="dxa"/>
          <w:jc w:val="center"/>
        </w:trPr>
        <w:tc>
          <w:tcPr>
            <w:tcW w:w="9072" w:type="dxa"/>
            <w:gridSpan w:val="5"/>
            <w:vAlign w:val="center"/>
          </w:tcPr>
          <w:p w14:paraId="66A3D8B2">
            <w:pPr>
              <w:widowControl/>
              <w:jc w:val="left"/>
              <w:rPr>
                <w:rFonts w:hint="eastAsia" w:asciiTheme="minorEastAsia" w:hAnsiTheme="minorEastAsia" w:eastAsiaTheme="minorEastAsia"/>
                <w:b/>
                <w:bCs/>
                <w:sz w:val="24"/>
              </w:rPr>
            </w:pPr>
            <w:r>
              <w:rPr>
                <w:rFonts w:asciiTheme="minorEastAsia" w:hAnsiTheme="minorEastAsia" w:eastAsiaTheme="minorEastAsia"/>
                <w:b/>
                <w:bCs/>
              </w:rPr>
              <w:t>评标方法：综合评分法</w:t>
            </w:r>
          </w:p>
        </w:tc>
      </w:tr>
      <w:tr w14:paraId="07287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gridBefore w:val="1"/>
          <w:gridAfter w:val="1"/>
          <w:wBefore w:w="63" w:type="dxa"/>
          <w:wAfter w:w="27" w:type="dxa"/>
          <w:tblCellSpacing w:w="0" w:type="dxa"/>
          <w:jc w:val="center"/>
        </w:trPr>
        <w:tc>
          <w:tcPr>
            <w:tcW w:w="9072" w:type="dxa"/>
            <w:gridSpan w:val="5"/>
            <w:vAlign w:val="center"/>
          </w:tcPr>
          <w:p w14:paraId="21898553">
            <w:pPr>
              <w:ind w:firstLine="420"/>
              <w:rPr>
                <w:rFonts w:hint="eastAsia" w:asciiTheme="minorEastAsia" w:hAnsiTheme="minorEastAsia" w:eastAsiaTheme="minorEastAsia"/>
                <w:szCs w:val="21"/>
              </w:rPr>
            </w:pPr>
            <w:r>
              <w:rPr>
                <w:rFonts w:asciiTheme="minorEastAsia" w:hAnsiTheme="minorEastAsia" w:eastAsiaTheme="minorEastAsia"/>
                <w:szCs w:val="21"/>
              </w:rPr>
              <w:t>综合评分法，是指</w:t>
            </w:r>
            <w:r>
              <w:rPr>
                <w:rFonts w:hint="eastAsia" w:asciiTheme="minorEastAsia" w:hAnsiTheme="minorEastAsia" w:eastAsiaTheme="minorEastAsia"/>
                <w:kern w:val="0"/>
                <w:szCs w:val="21"/>
              </w:rPr>
              <w:t>投标文件满足招标文件全部实质性要求</w:t>
            </w:r>
            <w:r>
              <w:rPr>
                <w:rFonts w:asciiTheme="minorEastAsia" w:hAnsiTheme="minorEastAsia" w:eastAsiaTheme="minorEastAsia"/>
                <w:szCs w:val="21"/>
              </w:rPr>
              <w:t>，且按照</w:t>
            </w:r>
            <w:r>
              <w:rPr>
                <w:rFonts w:hint="eastAsia" w:asciiTheme="minorEastAsia" w:hAnsiTheme="minorEastAsia" w:eastAsiaTheme="minorEastAsia"/>
                <w:szCs w:val="21"/>
              </w:rPr>
              <w:t>招标文件规定的各项因素进行综合评审，评标总得分排名前列</w:t>
            </w:r>
            <w:r>
              <w:rPr>
                <w:rFonts w:asciiTheme="minorEastAsia" w:hAnsiTheme="minorEastAsia" w:eastAsiaTheme="minorEastAsia"/>
                <w:szCs w:val="21"/>
              </w:rPr>
              <w:t>的投标人为中标候选人的评标方法。</w:t>
            </w:r>
            <w:r>
              <w:rPr>
                <w:rFonts w:hint="eastAsia" w:asciiTheme="minorEastAsia" w:hAnsiTheme="minorEastAsia" w:eastAsiaTheme="minorEastAsia"/>
                <w:szCs w:val="21"/>
              </w:rPr>
              <w:t>（适用于中标候选人为2家或以上的情形）</w:t>
            </w:r>
          </w:p>
          <w:p w14:paraId="2957557C">
            <w:pPr>
              <w:ind w:firstLine="420"/>
              <w:rPr>
                <w:rFonts w:hint="eastAsia" w:asciiTheme="minorEastAsia" w:hAnsiTheme="minorEastAsia" w:eastAsiaTheme="minorEastAsia"/>
                <w:szCs w:val="21"/>
              </w:rPr>
            </w:pPr>
            <w:r>
              <w:rPr>
                <w:rFonts w:asciiTheme="minorEastAsia" w:hAnsiTheme="minorEastAsia" w:eastAsiaTheme="minorEastAsia"/>
                <w:szCs w:val="21"/>
              </w:rPr>
              <w:t>价格分计算方法：</w:t>
            </w:r>
          </w:p>
          <w:p w14:paraId="3D604D7B">
            <w:pPr>
              <w:widowControl/>
              <w:ind w:left="420"/>
              <w:jc w:val="left"/>
              <w:rPr>
                <w:rFonts w:hint="eastAsia" w:asciiTheme="minorEastAsia" w:hAnsiTheme="minorEastAsia" w:eastAsiaTheme="minorEastAsia"/>
                <w:szCs w:val="21"/>
              </w:rPr>
            </w:pPr>
            <w:r>
              <w:rPr>
                <w:rFonts w:asciiTheme="minorEastAsia" w:hAnsiTheme="minorEastAsia" w:eastAsiaTheme="minorEastAsia"/>
                <w:szCs w:val="21"/>
              </w:rPr>
              <w:t xml:space="preserve">采用低价优先法计算，即满足招标文件要求且投标价格最低的投标报价为评标基准价，其价格分为满分。其他投标人的价格分统一按照下列公式计算： </w:t>
            </w:r>
            <w:r>
              <w:rPr>
                <w:rFonts w:asciiTheme="minorEastAsia" w:hAnsiTheme="minorEastAsia" w:eastAsiaTheme="minorEastAsia"/>
                <w:szCs w:val="21"/>
              </w:rPr>
              <w:br w:type="textWrapping"/>
            </w:r>
            <w:r>
              <w:rPr>
                <w:rFonts w:asciiTheme="minorEastAsia" w:hAnsiTheme="minorEastAsia" w:eastAsiaTheme="minorEastAsia"/>
                <w:szCs w:val="21"/>
              </w:rPr>
              <w:t xml:space="preserve">投标报价得分=(评标基准价／投标报价)×100 </w:t>
            </w:r>
            <w:r>
              <w:rPr>
                <w:rFonts w:asciiTheme="minorEastAsia" w:hAnsiTheme="minorEastAsia" w:eastAsiaTheme="minorEastAsia"/>
                <w:szCs w:val="21"/>
              </w:rPr>
              <w:br w:type="textWrapping"/>
            </w:r>
            <w:r>
              <w:rPr>
                <w:rFonts w:asciiTheme="minorEastAsia" w:hAnsiTheme="minorEastAsia" w:eastAsiaTheme="minorEastAsia"/>
                <w:szCs w:val="21"/>
              </w:rPr>
              <w:t xml:space="preserve">评标总得分＝F1×A1＋F2×A2＋……＋Fn×An </w:t>
            </w:r>
            <w:r>
              <w:rPr>
                <w:rFonts w:asciiTheme="minorEastAsia" w:hAnsiTheme="minorEastAsia" w:eastAsiaTheme="minorEastAsia"/>
                <w:szCs w:val="21"/>
              </w:rPr>
              <w:br w:type="textWrapping"/>
            </w:r>
            <w:r>
              <w:rPr>
                <w:rFonts w:asciiTheme="minorEastAsia" w:hAnsiTheme="minorEastAsia" w:eastAsiaTheme="minorEastAsia"/>
                <w:szCs w:val="21"/>
              </w:rPr>
              <w:t xml:space="preserve">F1、F2……Fn分别为各项评审因素的得分； </w:t>
            </w:r>
            <w:r>
              <w:rPr>
                <w:rFonts w:asciiTheme="minorEastAsia" w:hAnsiTheme="minorEastAsia" w:eastAsiaTheme="minorEastAsia"/>
                <w:szCs w:val="21"/>
              </w:rPr>
              <w:br w:type="textWrapping"/>
            </w:r>
            <w:r>
              <w:rPr>
                <w:rFonts w:asciiTheme="minorEastAsia" w:hAnsiTheme="minorEastAsia" w:eastAsiaTheme="minorEastAsia"/>
                <w:szCs w:val="21"/>
              </w:rPr>
              <w:t xml:space="preserve">A1、A2、……An 分别为各项评审因素所占的权重(A1＋A2＋……＋An＝1)。 </w:t>
            </w:r>
            <w:r>
              <w:rPr>
                <w:rFonts w:asciiTheme="minorEastAsia" w:hAnsiTheme="minorEastAsia" w:eastAsiaTheme="minorEastAsia"/>
                <w:szCs w:val="21"/>
              </w:rPr>
              <w:br w:type="textWrapping"/>
            </w:r>
            <w:r>
              <w:rPr>
                <w:rFonts w:asciiTheme="minorEastAsia" w:hAnsiTheme="minorEastAsia" w:eastAsiaTheme="minorEastAsia"/>
                <w:szCs w:val="21"/>
              </w:rPr>
              <w:t>评标过程中，不得去掉报价中的最高报价和最低报价。</w:t>
            </w:r>
          </w:p>
          <w:p w14:paraId="6A82B2B9">
            <w:pPr>
              <w:widowControl/>
              <w:ind w:left="420"/>
              <w:jc w:val="left"/>
              <w:rPr>
                <w:rFonts w:hint="eastAsia" w:asciiTheme="minorEastAsia" w:hAnsiTheme="minorEastAsia" w:eastAsiaTheme="minorEastAsia"/>
                <w:szCs w:val="21"/>
              </w:rPr>
            </w:pPr>
            <w:r>
              <w:rPr>
                <w:rFonts w:hint="eastAsia" w:asciiTheme="minorEastAsia" w:hAnsiTheme="minorEastAsia" w:eastAsiaTheme="minorEastAsia"/>
                <w:szCs w:val="21"/>
              </w:rPr>
              <w:t>因落实政府采购政策进行价格调整的，以调整后的价格计算评标基准价和投标报价。</w:t>
            </w:r>
          </w:p>
          <w:p w14:paraId="4085AFB4">
            <w:pPr>
              <w:widowControl/>
              <w:ind w:left="420"/>
              <w:jc w:val="left"/>
              <w:rPr>
                <w:rFonts w:hint="eastAsia" w:asciiTheme="minorEastAsia" w:hAnsiTheme="minorEastAsia" w:eastAsiaTheme="minorEastAsia"/>
                <w:kern w:val="0"/>
                <w:sz w:val="24"/>
              </w:rPr>
            </w:pPr>
          </w:p>
          <w:p w14:paraId="4D86AD8D">
            <w:pPr>
              <w:pStyle w:val="18"/>
              <w:rPr>
                <w:rFonts w:hint="eastAsia" w:asciiTheme="minorEastAsia" w:hAnsiTheme="minorEastAsia" w:eastAsiaTheme="minorEastAsia"/>
              </w:rPr>
            </w:pPr>
            <w:r>
              <w:rPr>
                <w:rFonts w:hint="eastAsia" w:asciiTheme="minorEastAsia" w:hAnsiTheme="minorEastAsia" w:eastAsiaTheme="minorEastAsia"/>
                <w:sz w:val="22"/>
              </w:rPr>
              <w:t>注：投标人的“投标技术响应”“技术要求偏离表中偏离情况”等必须与客观实际保持一致，响应不实且情节严重的，经查实，将依法记入供应商诚信档案或受到行政处罚。</w:t>
            </w:r>
          </w:p>
        </w:tc>
      </w:tr>
      <w:tr w14:paraId="43A9F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jc w:val="center"/>
        </w:trPr>
        <w:tc>
          <w:tcPr>
            <w:tcW w:w="673" w:type="dxa"/>
            <w:gridSpan w:val="2"/>
            <w:shd w:val="clear" w:color="auto" w:fill="E6EFFA"/>
            <w:vAlign w:val="center"/>
          </w:tcPr>
          <w:p w14:paraId="5483B59D">
            <w:pPr>
              <w:wordWrap w:val="0"/>
              <w:jc w:val="center"/>
              <w:rPr>
                <w:rFonts w:hint="eastAsia" w:cs="宋体" w:asciiTheme="minorEastAsia" w:hAnsiTheme="minorEastAsia" w:eastAsiaTheme="minorEastAsia"/>
                <w:b/>
                <w:bCs/>
                <w:sz w:val="24"/>
              </w:rPr>
            </w:pPr>
            <w:r>
              <w:rPr>
                <w:rFonts w:asciiTheme="minorEastAsia" w:hAnsiTheme="minorEastAsia" w:eastAsiaTheme="minorEastAsia"/>
                <w:b/>
                <w:bCs/>
              </w:rPr>
              <w:t>序号</w:t>
            </w:r>
          </w:p>
        </w:tc>
        <w:tc>
          <w:tcPr>
            <w:tcW w:w="3764" w:type="dxa"/>
            <w:gridSpan w:val="3"/>
            <w:shd w:val="clear" w:color="auto" w:fill="E6EFFA"/>
            <w:vAlign w:val="center"/>
          </w:tcPr>
          <w:p w14:paraId="54129CAF">
            <w:pPr>
              <w:wordWrap w:val="0"/>
              <w:jc w:val="center"/>
              <w:rPr>
                <w:rFonts w:hint="eastAsia" w:cs="宋体" w:asciiTheme="minorEastAsia" w:hAnsiTheme="minorEastAsia" w:eastAsiaTheme="minorEastAsia"/>
                <w:b/>
                <w:bCs/>
                <w:sz w:val="24"/>
              </w:rPr>
            </w:pPr>
            <w:r>
              <w:rPr>
                <w:rFonts w:asciiTheme="minorEastAsia" w:hAnsiTheme="minorEastAsia" w:eastAsiaTheme="minorEastAsia"/>
                <w:b/>
                <w:bCs/>
              </w:rPr>
              <w:t>评分项</w:t>
            </w:r>
          </w:p>
        </w:tc>
        <w:tc>
          <w:tcPr>
            <w:tcW w:w="4725" w:type="dxa"/>
            <w:gridSpan w:val="2"/>
            <w:shd w:val="clear" w:color="auto" w:fill="E6EFFA"/>
            <w:vAlign w:val="center"/>
          </w:tcPr>
          <w:p w14:paraId="5C42658F">
            <w:pPr>
              <w:wordWrap w:val="0"/>
              <w:jc w:val="center"/>
              <w:rPr>
                <w:rFonts w:hint="eastAsia" w:cs="宋体" w:asciiTheme="minorEastAsia" w:hAnsiTheme="minorEastAsia" w:eastAsiaTheme="minorEastAsia"/>
                <w:b/>
                <w:bCs/>
                <w:sz w:val="24"/>
              </w:rPr>
            </w:pPr>
            <w:r>
              <w:rPr>
                <w:rFonts w:asciiTheme="minorEastAsia" w:hAnsiTheme="minorEastAsia" w:eastAsiaTheme="minorEastAsia"/>
                <w:b/>
                <w:bCs/>
              </w:rPr>
              <w:t>权重(%)</w:t>
            </w:r>
          </w:p>
        </w:tc>
      </w:tr>
      <w:tr w14:paraId="40A88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jc w:val="center"/>
        </w:trPr>
        <w:tc>
          <w:tcPr>
            <w:tcW w:w="673" w:type="dxa"/>
            <w:gridSpan w:val="2"/>
          </w:tcPr>
          <w:p w14:paraId="50677344">
            <w:pPr>
              <w:wordWrap w:val="0"/>
              <w:jc w:val="center"/>
              <w:rPr>
                <w:rFonts w:hint="eastAsia" w:cs="宋体" w:asciiTheme="minorEastAsia" w:hAnsiTheme="minorEastAsia" w:eastAsiaTheme="minorEastAsia"/>
                <w:b/>
                <w:bCs/>
                <w:color w:val="0000FF"/>
                <w:sz w:val="24"/>
              </w:rPr>
            </w:pPr>
            <w:r>
              <w:rPr>
                <w:rFonts w:asciiTheme="minorEastAsia" w:hAnsiTheme="minorEastAsia" w:eastAsiaTheme="minorEastAsia"/>
                <w:b/>
                <w:bCs/>
                <w:color w:val="0000FF"/>
              </w:rPr>
              <w:t>1</w:t>
            </w:r>
          </w:p>
        </w:tc>
        <w:tc>
          <w:tcPr>
            <w:tcW w:w="3764" w:type="dxa"/>
            <w:gridSpan w:val="3"/>
          </w:tcPr>
          <w:p w14:paraId="17039E0C">
            <w:pPr>
              <w:wordWrap w:val="0"/>
              <w:jc w:val="center"/>
              <w:rPr>
                <w:rFonts w:hint="eastAsia" w:cs="宋体" w:asciiTheme="minorEastAsia" w:hAnsiTheme="minorEastAsia" w:eastAsiaTheme="minorEastAsia"/>
                <w:b/>
                <w:bCs/>
                <w:color w:val="0000FF"/>
                <w:sz w:val="24"/>
              </w:rPr>
            </w:pPr>
            <w:r>
              <w:rPr>
                <w:rFonts w:asciiTheme="minorEastAsia" w:hAnsiTheme="minorEastAsia" w:eastAsiaTheme="minorEastAsia"/>
                <w:b/>
                <w:bCs/>
                <w:color w:val="0000FF"/>
              </w:rPr>
              <w:t>价格</w:t>
            </w:r>
          </w:p>
        </w:tc>
        <w:tc>
          <w:tcPr>
            <w:tcW w:w="4725" w:type="dxa"/>
            <w:gridSpan w:val="2"/>
          </w:tcPr>
          <w:p w14:paraId="35E109DA">
            <w:pPr>
              <w:wordWrap w:val="0"/>
              <w:jc w:val="center"/>
              <w:rPr>
                <w:rFonts w:hint="eastAsia" w:cs="宋体" w:asciiTheme="minorEastAsia" w:hAnsiTheme="minorEastAsia" w:eastAsiaTheme="minorEastAsia"/>
                <w:b/>
                <w:bCs/>
                <w:color w:val="0000FF"/>
                <w:sz w:val="24"/>
              </w:rPr>
            </w:pPr>
            <w:r>
              <w:rPr>
                <w:rFonts w:hint="eastAsia" w:asciiTheme="minorEastAsia" w:hAnsiTheme="minorEastAsia" w:eastAsiaTheme="minorEastAsia"/>
                <w:b/>
                <w:bCs/>
                <w:color w:val="0000FF"/>
              </w:rPr>
              <w:t>1</w:t>
            </w:r>
            <w:r>
              <w:rPr>
                <w:rFonts w:asciiTheme="minorEastAsia" w:hAnsiTheme="minorEastAsia" w:eastAsiaTheme="minorEastAsia"/>
                <w:b/>
                <w:bCs/>
                <w:color w:val="0000FF"/>
              </w:rPr>
              <w:t>0</w:t>
            </w:r>
          </w:p>
        </w:tc>
      </w:tr>
      <w:tr w14:paraId="6F7F9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jc w:val="center"/>
        </w:trPr>
        <w:tc>
          <w:tcPr>
            <w:tcW w:w="673" w:type="dxa"/>
            <w:gridSpan w:val="2"/>
            <w:vMerge w:val="restart"/>
          </w:tcPr>
          <w:p w14:paraId="56BD1193">
            <w:pPr>
              <w:wordWrap w:val="0"/>
              <w:jc w:val="center"/>
              <w:rPr>
                <w:rFonts w:hint="eastAsia" w:cs="宋体" w:asciiTheme="minorEastAsia" w:hAnsiTheme="minorEastAsia" w:eastAsiaTheme="minorEastAsia"/>
                <w:b/>
                <w:bCs/>
                <w:color w:val="0000FF"/>
                <w:sz w:val="24"/>
              </w:rPr>
            </w:pPr>
            <w:r>
              <w:rPr>
                <w:rFonts w:asciiTheme="minorEastAsia" w:hAnsiTheme="minorEastAsia" w:eastAsiaTheme="minorEastAsia"/>
                <w:b/>
                <w:bCs/>
                <w:color w:val="0000FF"/>
              </w:rPr>
              <w:t>2</w:t>
            </w:r>
          </w:p>
        </w:tc>
        <w:tc>
          <w:tcPr>
            <w:tcW w:w="3764" w:type="dxa"/>
            <w:gridSpan w:val="3"/>
          </w:tcPr>
          <w:p w14:paraId="3766E7AE">
            <w:pPr>
              <w:wordWrap w:val="0"/>
              <w:jc w:val="center"/>
              <w:rPr>
                <w:rFonts w:hint="eastAsia" w:cs="宋体" w:asciiTheme="minorEastAsia" w:hAnsiTheme="minorEastAsia" w:eastAsiaTheme="minorEastAsia"/>
                <w:b/>
                <w:bCs/>
                <w:color w:val="0000FF"/>
                <w:sz w:val="24"/>
              </w:rPr>
            </w:pPr>
            <w:r>
              <w:rPr>
                <w:rFonts w:asciiTheme="minorEastAsia" w:hAnsiTheme="minorEastAsia" w:eastAsiaTheme="minorEastAsia"/>
                <w:b/>
                <w:bCs/>
                <w:color w:val="0000FF"/>
              </w:rPr>
              <w:t>技术</w:t>
            </w:r>
            <w:r>
              <w:rPr>
                <w:rFonts w:hint="eastAsia" w:asciiTheme="minorEastAsia" w:hAnsiTheme="minorEastAsia" w:eastAsiaTheme="minorEastAsia"/>
                <w:b/>
                <w:bCs/>
                <w:color w:val="0000FF"/>
              </w:rPr>
              <w:t>部分</w:t>
            </w:r>
          </w:p>
        </w:tc>
        <w:tc>
          <w:tcPr>
            <w:tcW w:w="4725" w:type="dxa"/>
            <w:gridSpan w:val="2"/>
          </w:tcPr>
          <w:p w14:paraId="3FB2D14D">
            <w:pPr>
              <w:wordWrap w:val="0"/>
              <w:jc w:val="center"/>
              <w:rPr>
                <w:rFonts w:hint="eastAsia" w:cs="宋体" w:asciiTheme="minorEastAsia" w:hAnsiTheme="minorEastAsia" w:eastAsiaTheme="minorEastAsia"/>
                <w:b/>
                <w:bCs/>
                <w:color w:val="0000FF"/>
                <w:sz w:val="24"/>
              </w:rPr>
            </w:pPr>
            <w:r>
              <w:rPr>
                <w:rFonts w:hint="eastAsia" w:asciiTheme="minorEastAsia" w:hAnsiTheme="minorEastAsia" w:eastAsiaTheme="minorEastAsia"/>
                <w:b/>
                <w:bCs/>
                <w:color w:val="0000FF"/>
              </w:rPr>
              <w:t>60</w:t>
            </w:r>
          </w:p>
        </w:tc>
      </w:tr>
      <w:tr w14:paraId="19B29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jc w:val="center"/>
        </w:trPr>
        <w:tc>
          <w:tcPr>
            <w:tcW w:w="673" w:type="dxa"/>
            <w:gridSpan w:val="2"/>
            <w:vMerge w:val="continue"/>
            <w:shd w:val="clear" w:color="auto" w:fill="E6EFFA"/>
            <w:vAlign w:val="center"/>
          </w:tcPr>
          <w:p w14:paraId="29365B60">
            <w:pPr>
              <w:rPr>
                <w:rFonts w:hint="eastAsia" w:cs="宋体" w:asciiTheme="minorEastAsia" w:hAnsiTheme="minorEastAsia" w:eastAsiaTheme="minorEastAsia"/>
                <w:b/>
                <w:bCs/>
                <w:color w:val="0000FF"/>
                <w:sz w:val="24"/>
              </w:rPr>
            </w:pPr>
          </w:p>
        </w:tc>
        <w:tc>
          <w:tcPr>
            <w:tcW w:w="672" w:type="dxa"/>
            <w:shd w:val="clear" w:color="auto" w:fill="E6EFFA"/>
            <w:vAlign w:val="center"/>
          </w:tcPr>
          <w:p w14:paraId="30A5725C">
            <w:pPr>
              <w:wordWrap w:val="0"/>
              <w:jc w:val="center"/>
              <w:rPr>
                <w:rFonts w:hint="eastAsia" w:cs="宋体" w:asciiTheme="minorEastAsia" w:hAnsiTheme="minorEastAsia" w:eastAsiaTheme="minorEastAsia"/>
                <w:szCs w:val="21"/>
              </w:rPr>
            </w:pPr>
            <w:r>
              <w:rPr>
                <w:rFonts w:asciiTheme="minorEastAsia" w:hAnsiTheme="minorEastAsia" w:eastAsiaTheme="minorEastAsia"/>
                <w:szCs w:val="21"/>
              </w:rPr>
              <w:t>序号</w:t>
            </w:r>
          </w:p>
        </w:tc>
        <w:tc>
          <w:tcPr>
            <w:tcW w:w="2331" w:type="dxa"/>
            <w:shd w:val="clear" w:color="auto" w:fill="E6EFFA"/>
            <w:vAlign w:val="center"/>
          </w:tcPr>
          <w:p w14:paraId="16B7439E">
            <w:pPr>
              <w:wordWrap w:val="0"/>
              <w:jc w:val="center"/>
              <w:rPr>
                <w:rFonts w:hint="eastAsia" w:cs="宋体" w:asciiTheme="minorEastAsia" w:hAnsiTheme="minorEastAsia" w:eastAsiaTheme="minorEastAsia"/>
                <w:szCs w:val="21"/>
              </w:rPr>
            </w:pPr>
            <w:r>
              <w:rPr>
                <w:rFonts w:hint="eastAsia" w:asciiTheme="minorEastAsia" w:hAnsiTheme="minorEastAsia" w:eastAsiaTheme="minorEastAsia"/>
                <w:szCs w:val="21"/>
              </w:rPr>
              <w:t>评审因素</w:t>
            </w:r>
          </w:p>
        </w:tc>
        <w:tc>
          <w:tcPr>
            <w:tcW w:w="761" w:type="dxa"/>
            <w:shd w:val="clear" w:color="auto" w:fill="E6EFFA"/>
            <w:vAlign w:val="center"/>
          </w:tcPr>
          <w:p w14:paraId="0EF137B4">
            <w:pPr>
              <w:wordWrap w:val="0"/>
              <w:jc w:val="center"/>
              <w:rPr>
                <w:rFonts w:hint="eastAsia" w:cs="宋体" w:asciiTheme="minorEastAsia" w:hAnsiTheme="minorEastAsia" w:eastAsiaTheme="minorEastAsia"/>
                <w:szCs w:val="21"/>
              </w:rPr>
            </w:pPr>
            <w:r>
              <w:rPr>
                <w:rFonts w:asciiTheme="minorEastAsia" w:hAnsiTheme="minorEastAsia" w:eastAsiaTheme="minorEastAsia"/>
                <w:szCs w:val="21"/>
              </w:rPr>
              <w:t>权重(%)</w:t>
            </w:r>
          </w:p>
        </w:tc>
        <w:tc>
          <w:tcPr>
            <w:tcW w:w="4725" w:type="dxa"/>
            <w:gridSpan w:val="2"/>
            <w:shd w:val="clear" w:color="auto" w:fill="E6EFFA"/>
            <w:vAlign w:val="center"/>
          </w:tcPr>
          <w:p w14:paraId="313751B6">
            <w:pPr>
              <w:wordWrap w:val="0"/>
              <w:jc w:val="center"/>
              <w:rPr>
                <w:rFonts w:hint="eastAsia" w:cs="宋体" w:asciiTheme="minorEastAsia" w:hAnsiTheme="minorEastAsia" w:eastAsiaTheme="minorEastAsia"/>
                <w:szCs w:val="21"/>
              </w:rPr>
            </w:pPr>
            <w:r>
              <w:rPr>
                <w:rFonts w:asciiTheme="minorEastAsia" w:hAnsiTheme="minorEastAsia" w:eastAsiaTheme="minorEastAsia"/>
                <w:szCs w:val="21"/>
              </w:rPr>
              <w:t>评分准则</w:t>
            </w:r>
          </w:p>
        </w:tc>
      </w:tr>
      <w:tr w14:paraId="1B26C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jc w:val="center"/>
        </w:trPr>
        <w:tc>
          <w:tcPr>
            <w:tcW w:w="673" w:type="dxa"/>
            <w:gridSpan w:val="2"/>
            <w:vMerge w:val="continue"/>
            <w:vAlign w:val="center"/>
          </w:tcPr>
          <w:p w14:paraId="3FBC6BF1">
            <w:pPr>
              <w:rPr>
                <w:rFonts w:hint="eastAsia" w:cs="宋体" w:asciiTheme="minorEastAsia" w:hAnsiTheme="minorEastAsia" w:eastAsiaTheme="minorEastAsia"/>
                <w:b/>
                <w:bCs/>
                <w:color w:val="0000FF"/>
                <w:sz w:val="24"/>
              </w:rPr>
            </w:pPr>
          </w:p>
        </w:tc>
        <w:tc>
          <w:tcPr>
            <w:tcW w:w="672" w:type="dxa"/>
            <w:vAlign w:val="center"/>
          </w:tcPr>
          <w:p w14:paraId="16F28964">
            <w:pPr>
              <w:wordWrap w:val="0"/>
              <w:jc w:val="center"/>
              <w:rPr>
                <w:rFonts w:hint="eastAsia" w:cs="宋体" w:asciiTheme="minorEastAsia" w:hAnsiTheme="minorEastAsia" w:eastAsiaTheme="minorEastAsia"/>
                <w:szCs w:val="21"/>
              </w:rPr>
            </w:pPr>
            <w:r>
              <w:rPr>
                <w:rFonts w:asciiTheme="minorEastAsia" w:hAnsiTheme="minorEastAsia" w:eastAsiaTheme="minorEastAsia"/>
                <w:szCs w:val="21"/>
              </w:rPr>
              <w:t>1</w:t>
            </w:r>
          </w:p>
        </w:tc>
        <w:tc>
          <w:tcPr>
            <w:tcW w:w="2331" w:type="dxa"/>
            <w:vAlign w:val="center"/>
          </w:tcPr>
          <w:p w14:paraId="10115B26">
            <w:pPr>
              <w:wordWrap w:val="0"/>
              <w:jc w:val="center"/>
              <w:rPr>
                <w:rFonts w:hint="eastAsia" w:cs="宋体" w:asciiTheme="minorEastAsia" w:hAnsiTheme="minorEastAsia" w:eastAsiaTheme="minorEastAsia"/>
                <w:szCs w:val="21"/>
              </w:rPr>
            </w:pPr>
            <w:r>
              <w:rPr>
                <w:rFonts w:hint="eastAsia" w:ascii="宋体" w:hAnsi="宋体"/>
                <w:color w:val="000000" w:themeColor="text1"/>
                <w:szCs w:val="21"/>
                <w14:textFill>
                  <w14:solidFill>
                    <w14:schemeClr w14:val="tx1"/>
                  </w14:solidFill>
                </w14:textFill>
              </w:rPr>
              <w:t>研学旅行课程线路设计方案</w:t>
            </w:r>
          </w:p>
        </w:tc>
        <w:tc>
          <w:tcPr>
            <w:tcW w:w="761" w:type="dxa"/>
            <w:vAlign w:val="center"/>
          </w:tcPr>
          <w:p w14:paraId="22AD5F28">
            <w:pPr>
              <w:wordWrap w:val="0"/>
              <w:jc w:val="center"/>
              <w:rPr>
                <w:rFonts w:hint="eastAsia" w:cs="宋体" w:asciiTheme="minorEastAsia" w:hAnsiTheme="minorEastAsia" w:eastAsiaTheme="minorEastAsia"/>
                <w:szCs w:val="21"/>
              </w:rPr>
            </w:pPr>
            <w:r>
              <w:rPr>
                <w:rFonts w:hint="eastAsia" w:asciiTheme="minorEastAsia" w:hAnsiTheme="minorEastAsia" w:eastAsiaTheme="minorEastAsia"/>
                <w:szCs w:val="21"/>
              </w:rPr>
              <w:t>30</w:t>
            </w:r>
          </w:p>
        </w:tc>
        <w:tc>
          <w:tcPr>
            <w:tcW w:w="4725" w:type="dxa"/>
            <w:gridSpan w:val="2"/>
          </w:tcPr>
          <w:p w14:paraId="1D6137F6">
            <w:pPr>
              <w:rPr>
                <w:rFonts w:hint="eastAsia" w:ascii="宋体" w:hAnsi="宋体" w:cs="宋体"/>
                <w:szCs w:val="21"/>
                <w:lang w:bidi="ar"/>
              </w:rPr>
            </w:pPr>
            <w:r>
              <w:rPr>
                <w:rFonts w:hint="eastAsia" w:ascii="宋体" w:hAnsi="宋体" w:cs="宋体"/>
                <w:szCs w:val="21"/>
                <w:lang w:bidi="ar"/>
              </w:rPr>
              <w:t>（一）评分内容</w:t>
            </w:r>
          </w:p>
          <w:p w14:paraId="16AED9A2">
            <w:pPr>
              <w:rPr>
                <w:rFonts w:hint="eastAsia" w:ascii="宋体" w:hAnsi="宋体" w:cs="宋体"/>
                <w:szCs w:val="21"/>
                <w:lang w:bidi="ar"/>
              </w:rPr>
            </w:pPr>
            <w:r>
              <w:rPr>
                <w:rFonts w:hint="eastAsia" w:ascii="宋体" w:hAnsi="宋体" w:cs="宋体"/>
                <w:szCs w:val="21"/>
                <w:lang w:bidi="ar"/>
              </w:rPr>
              <w:t>投标人提供本项目的</w:t>
            </w:r>
            <w:r>
              <w:rPr>
                <w:rFonts w:hint="eastAsia" w:ascii="宋体" w:hAnsi="宋体"/>
                <w:color w:val="000000" w:themeColor="text1"/>
                <w:szCs w:val="21"/>
                <w14:textFill>
                  <w14:solidFill>
                    <w14:schemeClr w14:val="tx1"/>
                  </w14:solidFill>
                </w14:textFill>
              </w:rPr>
              <w:t>研学旅行课程线路设计方案</w:t>
            </w:r>
            <w:r>
              <w:rPr>
                <w:rFonts w:hint="eastAsia" w:ascii="宋体" w:hAnsi="宋体" w:cs="宋体"/>
                <w:szCs w:val="21"/>
                <w:lang w:bidi="ar"/>
              </w:rPr>
              <w:t>，方案中应包含但不限于以下内容：</w:t>
            </w:r>
          </w:p>
          <w:p w14:paraId="36E0C06E">
            <w:pPr>
              <w:pStyle w:val="35"/>
              <w:spacing w:line="240" w:lineRule="auto"/>
              <w:ind w:firstLine="210" w:firstLineChars="100"/>
              <w:rPr>
                <w:rFonts w:hint="eastAsia" w:ascii="宋体" w:hAnsi="宋体"/>
                <w:sz w:val="21"/>
                <w:szCs w:val="21"/>
              </w:rPr>
            </w:pPr>
            <w:r>
              <w:rPr>
                <w:rFonts w:ascii="宋体" w:hAnsi="宋体"/>
                <w:sz w:val="21"/>
                <w:szCs w:val="21"/>
              </w:rPr>
              <w:t>1.</w:t>
            </w:r>
            <w:r>
              <w:rPr>
                <w:rFonts w:hint="eastAsia" w:ascii="宋体" w:hAnsi="宋体"/>
                <w:sz w:val="21"/>
                <w:szCs w:val="21"/>
              </w:rPr>
              <w:t>研学主题</w:t>
            </w:r>
            <w:r>
              <w:rPr>
                <w:rFonts w:ascii="宋体" w:hAnsi="宋体"/>
                <w:sz w:val="21"/>
                <w:szCs w:val="21"/>
              </w:rPr>
              <w:t>；</w:t>
            </w:r>
          </w:p>
          <w:p w14:paraId="674303E4">
            <w:pPr>
              <w:pStyle w:val="35"/>
              <w:spacing w:line="240" w:lineRule="auto"/>
              <w:ind w:firstLine="210" w:firstLineChars="100"/>
              <w:rPr>
                <w:rFonts w:hint="eastAsia" w:ascii="宋体" w:hAnsi="宋体"/>
                <w:sz w:val="21"/>
                <w:szCs w:val="21"/>
              </w:rPr>
            </w:pPr>
            <w:r>
              <w:rPr>
                <w:rFonts w:ascii="宋体" w:hAnsi="宋体"/>
                <w:sz w:val="21"/>
                <w:szCs w:val="21"/>
              </w:rPr>
              <w:t>2.</w:t>
            </w:r>
            <w:r>
              <w:rPr>
                <w:rFonts w:hint="eastAsia" w:ascii="宋体" w:hAnsi="宋体"/>
                <w:sz w:val="21"/>
                <w:szCs w:val="21"/>
              </w:rPr>
              <w:t>课程目标及内容</w:t>
            </w:r>
            <w:r>
              <w:rPr>
                <w:rFonts w:ascii="宋体" w:hAnsi="宋体"/>
                <w:sz w:val="21"/>
                <w:szCs w:val="21"/>
              </w:rPr>
              <w:t>；</w:t>
            </w:r>
          </w:p>
          <w:p w14:paraId="10F92A0E">
            <w:pPr>
              <w:pStyle w:val="35"/>
              <w:spacing w:line="240" w:lineRule="auto"/>
              <w:ind w:firstLine="210" w:firstLineChars="100"/>
              <w:rPr>
                <w:rFonts w:hint="eastAsia" w:ascii="宋体" w:hAnsi="宋体"/>
                <w:sz w:val="21"/>
                <w:szCs w:val="21"/>
              </w:rPr>
            </w:pPr>
            <w:r>
              <w:rPr>
                <w:rFonts w:ascii="宋体" w:hAnsi="宋体"/>
                <w:sz w:val="21"/>
                <w:szCs w:val="21"/>
              </w:rPr>
              <w:t>3.</w:t>
            </w:r>
            <w:r>
              <w:rPr>
                <w:rFonts w:hint="eastAsia" w:ascii="宋体" w:hAnsi="宋体"/>
                <w:sz w:val="21"/>
                <w:szCs w:val="21"/>
              </w:rPr>
              <w:t>研学路线；</w:t>
            </w:r>
          </w:p>
          <w:p w14:paraId="5C4DD7DB">
            <w:pPr>
              <w:ind w:firstLine="210" w:firstLineChars="100"/>
              <w:rPr>
                <w:rFonts w:hint="eastAsia" w:ascii="宋体" w:hAnsi="宋体"/>
                <w:szCs w:val="21"/>
              </w:rPr>
            </w:pPr>
            <w:r>
              <w:rPr>
                <w:rFonts w:hint="eastAsia" w:ascii="宋体" w:hAnsi="宋体"/>
                <w:szCs w:val="21"/>
              </w:rPr>
              <w:t>4.交通方式及食宿标准。</w:t>
            </w:r>
          </w:p>
          <w:p w14:paraId="573A7D26">
            <w:pPr>
              <w:rPr>
                <w:rFonts w:hint="eastAsia" w:ascii="宋体" w:hAnsi="宋体" w:cs="宋体"/>
                <w:szCs w:val="21"/>
                <w:lang w:bidi="ar"/>
              </w:rPr>
            </w:pPr>
            <w:r>
              <w:rPr>
                <w:rFonts w:hint="eastAsia" w:ascii="宋体" w:hAnsi="宋体" w:cs="宋体"/>
                <w:szCs w:val="21"/>
                <w:lang w:bidi="ar"/>
              </w:rPr>
              <w:t>（二）评分依据</w:t>
            </w:r>
          </w:p>
          <w:p w14:paraId="600C1FB5">
            <w:pPr>
              <w:rPr>
                <w:rFonts w:hint="eastAsia" w:ascii="宋体" w:hAnsi="宋体" w:cs="宋体"/>
                <w:szCs w:val="21"/>
                <w:lang w:bidi="ar"/>
              </w:rPr>
            </w:pPr>
            <w:r>
              <w:rPr>
                <w:rFonts w:hint="eastAsia" w:ascii="宋体" w:hAnsi="宋体" w:cs="宋体"/>
                <w:szCs w:val="21"/>
                <w:lang w:bidi="ar"/>
              </w:rPr>
              <w:t>评审委员会根据投标人提供的</w:t>
            </w:r>
            <w:r>
              <w:rPr>
                <w:rFonts w:hint="eastAsia" w:ascii="宋体" w:hAnsi="宋体"/>
                <w:color w:val="000000" w:themeColor="text1"/>
                <w:szCs w:val="21"/>
                <w14:textFill>
                  <w14:solidFill>
                    <w14:schemeClr w14:val="tx1"/>
                  </w14:solidFill>
                </w14:textFill>
              </w:rPr>
              <w:t>研学旅行课程线路设计方案</w:t>
            </w:r>
            <w:r>
              <w:rPr>
                <w:rFonts w:hint="eastAsia" w:ascii="宋体" w:hAnsi="宋体" w:cs="宋体"/>
                <w:szCs w:val="21"/>
                <w:lang w:bidi="ar"/>
              </w:rPr>
              <w:t>进行打分，全部满足的得60分。满足以上任意一点得15分；不满足或不提供的不得分。</w:t>
            </w:r>
          </w:p>
          <w:p w14:paraId="4799A959">
            <w:pPr>
              <w:rPr>
                <w:rFonts w:hint="eastAsia" w:ascii="宋体" w:hAnsi="宋体" w:cs="宋体"/>
                <w:szCs w:val="21"/>
                <w:lang w:bidi="ar"/>
              </w:rPr>
            </w:pPr>
            <w:r>
              <w:rPr>
                <w:rFonts w:hint="eastAsia" w:ascii="宋体" w:hAnsi="宋体" w:cs="宋体"/>
                <w:szCs w:val="21"/>
                <w:lang w:bidi="ar"/>
              </w:rPr>
              <w:t>在此基础上，根据各供应商的具体响应内容按照量化的评审因素指标进一步评审：</w:t>
            </w:r>
          </w:p>
          <w:p w14:paraId="1B86917D">
            <w:pPr>
              <w:ind w:firstLine="210" w:firstLineChars="100"/>
              <w:rPr>
                <w:rFonts w:hint="eastAsia" w:ascii="宋体" w:hAnsi="宋体" w:cs="宋体"/>
                <w:szCs w:val="21"/>
                <w:lang w:bidi="ar"/>
              </w:rPr>
            </w:pPr>
            <w:r>
              <w:rPr>
                <w:rFonts w:hint="eastAsia" w:ascii="宋体" w:hAnsi="宋体" w:cs="宋体"/>
                <w:szCs w:val="21"/>
                <w:lang w:bidi="ar"/>
              </w:rPr>
              <w:t>1.内容全面、科学性、合理性、针对性、可操作性强的评价为优，得40分；</w:t>
            </w:r>
          </w:p>
          <w:p w14:paraId="192FD9D2">
            <w:pPr>
              <w:ind w:firstLine="210" w:firstLineChars="100"/>
              <w:rPr>
                <w:rFonts w:hint="eastAsia" w:ascii="宋体" w:hAnsi="宋体" w:cs="宋体"/>
                <w:szCs w:val="21"/>
                <w:lang w:bidi="ar"/>
              </w:rPr>
            </w:pPr>
            <w:r>
              <w:rPr>
                <w:rFonts w:hint="eastAsia" w:ascii="宋体" w:hAnsi="宋体" w:cs="宋体"/>
                <w:szCs w:val="21"/>
                <w:lang w:bidi="ar"/>
              </w:rPr>
              <w:t>2.内容比较全面、科学性、合理性、针对性、可操作性比较强的评价为良，得30分；</w:t>
            </w:r>
          </w:p>
          <w:p w14:paraId="3552FC32">
            <w:pPr>
              <w:ind w:firstLine="210" w:firstLineChars="100"/>
              <w:rPr>
                <w:rFonts w:hint="eastAsia" w:ascii="宋体" w:hAnsi="宋体" w:cs="宋体"/>
                <w:szCs w:val="21"/>
                <w:lang w:bidi="ar"/>
              </w:rPr>
            </w:pPr>
            <w:r>
              <w:rPr>
                <w:rFonts w:hint="eastAsia" w:ascii="宋体" w:hAnsi="宋体" w:cs="宋体"/>
                <w:szCs w:val="21"/>
                <w:lang w:bidi="ar"/>
              </w:rPr>
              <w:t>3.内容一般、科学性、合理性、针对性、可操作性一般的评价为中，得20分；</w:t>
            </w:r>
          </w:p>
          <w:p w14:paraId="2A05EF25">
            <w:pPr>
              <w:ind w:firstLine="210" w:firstLineChars="100"/>
              <w:rPr>
                <w:rFonts w:hint="eastAsia" w:ascii="宋体" w:hAnsi="宋体" w:cs="宋体"/>
                <w:szCs w:val="21"/>
                <w:lang w:bidi="ar"/>
              </w:rPr>
            </w:pPr>
            <w:r>
              <w:rPr>
                <w:rFonts w:hint="eastAsia" w:ascii="宋体" w:hAnsi="宋体" w:cs="宋体"/>
                <w:szCs w:val="21"/>
                <w:lang w:bidi="ar"/>
              </w:rPr>
              <w:t>4.内容不全、科学性、合理性、针对性、可操作性较差或未提供的评价为差不得分。</w:t>
            </w:r>
          </w:p>
          <w:p w14:paraId="6E7DD64D">
            <w:pPr>
              <w:wordWrap w:val="0"/>
              <w:rPr>
                <w:rFonts w:hint="eastAsia" w:cs="宋体" w:asciiTheme="minorEastAsia" w:hAnsiTheme="minorEastAsia" w:eastAsiaTheme="minorEastAsia"/>
                <w:szCs w:val="21"/>
              </w:rPr>
            </w:pPr>
            <w:r>
              <w:rPr>
                <w:rFonts w:hint="eastAsia" w:ascii="宋体" w:hAnsi="宋体" w:cs="宋体"/>
                <w:szCs w:val="21"/>
                <w:lang w:bidi="ar"/>
              </w:rPr>
              <w:t>以上2项得分累计，最高得100分。</w:t>
            </w:r>
          </w:p>
        </w:tc>
      </w:tr>
      <w:tr w14:paraId="6FD56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jc w:val="center"/>
        </w:trPr>
        <w:tc>
          <w:tcPr>
            <w:tcW w:w="673" w:type="dxa"/>
            <w:gridSpan w:val="2"/>
            <w:vMerge w:val="continue"/>
            <w:vAlign w:val="center"/>
          </w:tcPr>
          <w:p w14:paraId="650246DA">
            <w:pPr>
              <w:rPr>
                <w:rFonts w:hint="eastAsia" w:cs="宋体" w:asciiTheme="minorEastAsia" w:hAnsiTheme="minorEastAsia" w:eastAsiaTheme="minorEastAsia"/>
                <w:b/>
                <w:bCs/>
                <w:color w:val="0000FF"/>
                <w:sz w:val="24"/>
              </w:rPr>
            </w:pPr>
          </w:p>
        </w:tc>
        <w:tc>
          <w:tcPr>
            <w:tcW w:w="672" w:type="dxa"/>
            <w:vAlign w:val="center"/>
          </w:tcPr>
          <w:p w14:paraId="3599A84A">
            <w:pPr>
              <w:wordWrap w:val="0"/>
              <w:jc w:val="center"/>
              <w:rPr>
                <w:rFonts w:hint="eastAsia" w:cs="宋体" w:asciiTheme="minorEastAsia" w:hAnsiTheme="minorEastAsia" w:eastAsiaTheme="minorEastAsia"/>
                <w:szCs w:val="21"/>
              </w:rPr>
            </w:pPr>
            <w:r>
              <w:rPr>
                <w:rFonts w:asciiTheme="minorEastAsia" w:hAnsiTheme="minorEastAsia" w:eastAsiaTheme="minorEastAsia"/>
                <w:szCs w:val="21"/>
              </w:rPr>
              <w:t>2</w:t>
            </w:r>
          </w:p>
        </w:tc>
        <w:tc>
          <w:tcPr>
            <w:tcW w:w="2331" w:type="dxa"/>
            <w:vAlign w:val="center"/>
          </w:tcPr>
          <w:p w14:paraId="2730376C">
            <w:pPr>
              <w:wordWrap w:val="0"/>
              <w:jc w:val="center"/>
              <w:rPr>
                <w:rFonts w:hint="eastAsia" w:cs="宋体" w:asciiTheme="minorEastAsia" w:hAnsiTheme="minorEastAsia" w:eastAsiaTheme="minorEastAsia"/>
                <w:szCs w:val="21"/>
              </w:rPr>
            </w:pPr>
            <w:r>
              <w:rPr>
                <w:rFonts w:hint="eastAsia" w:ascii="宋体" w:hAnsi="宋体"/>
                <w:szCs w:val="21"/>
              </w:rPr>
              <w:t>服务保障措施</w:t>
            </w:r>
          </w:p>
        </w:tc>
        <w:tc>
          <w:tcPr>
            <w:tcW w:w="761" w:type="dxa"/>
            <w:vAlign w:val="center"/>
          </w:tcPr>
          <w:p w14:paraId="637B40E5">
            <w:pPr>
              <w:wordWrap w:val="0"/>
              <w:jc w:val="center"/>
              <w:rPr>
                <w:rFonts w:hint="eastAsia" w:cs="宋体" w:asciiTheme="minorEastAsia" w:hAnsiTheme="minorEastAsia" w:eastAsiaTheme="minorEastAsia"/>
                <w:szCs w:val="21"/>
              </w:rPr>
            </w:pPr>
            <w:r>
              <w:rPr>
                <w:rFonts w:hint="eastAsia" w:asciiTheme="minorEastAsia" w:hAnsiTheme="minorEastAsia" w:eastAsiaTheme="minorEastAsia"/>
                <w:szCs w:val="21"/>
              </w:rPr>
              <w:t>15</w:t>
            </w:r>
          </w:p>
        </w:tc>
        <w:tc>
          <w:tcPr>
            <w:tcW w:w="4725" w:type="dxa"/>
            <w:gridSpan w:val="2"/>
            <w:vAlign w:val="center"/>
          </w:tcPr>
          <w:p w14:paraId="42943FCD">
            <w:pPr>
              <w:rPr>
                <w:rFonts w:hint="eastAsia" w:ascii="宋体" w:hAnsi="宋体" w:cs="宋体"/>
                <w:szCs w:val="21"/>
                <w:lang w:bidi="ar"/>
              </w:rPr>
            </w:pPr>
            <w:r>
              <w:rPr>
                <w:rFonts w:hint="eastAsia" w:ascii="宋体" w:hAnsi="宋体" w:cs="宋体"/>
                <w:szCs w:val="21"/>
                <w:lang w:bidi="ar"/>
              </w:rPr>
              <w:t>（一）评分内容</w:t>
            </w:r>
          </w:p>
          <w:p w14:paraId="5DB83499">
            <w:pPr>
              <w:rPr>
                <w:rFonts w:hint="eastAsia" w:ascii="宋体" w:hAnsi="宋体" w:cs="宋体"/>
                <w:szCs w:val="21"/>
                <w:lang w:bidi="ar"/>
              </w:rPr>
            </w:pPr>
            <w:r>
              <w:rPr>
                <w:rFonts w:hint="eastAsia" w:ascii="宋体" w:hAnsi="宋体" w:cs="宋体"/>
                <w:szCs w:val="21"/>
                <w:lang w:bidi="ar"/>
              </w:rPr>
              <w:t>投标人提供本项目的</w:t>
            </w:r>
            <w:r>
              <w:rPr>
                <w:rFonts w:hint="eastAsia" w:asciiTheme="minorEastAsia" w:hAnsiTheme="minorEastAsia" w:eastAsiaTheme="minorEastAsia" w:cstheme="minorEastAsia"/>
                <w:szCs w:val="21"/>
              </w:rPr>
              <w:t>服务应急响应预案</w:t>
            </w:r>
            <w:r>
              <w:rPr>
                <w:rFonts w:hint="eastAsia" w:ascii="宋体" w:hAnsi="宋体" w:cs="宋体"/>
                <w:szCs w:val="21"/>
                <w:lang w:bidi="ar"/>
              </w:rPr>
              <w:t>，方案中应包含但不限于以下内容：</w:t>
            </w:r>
          </w:p>
          <w:p w14:paraId="3D791F8A">
            <w:pPr>
              <w:wordWrap w:val="0"/>
              <w:ind w:firstLine="210" w:firstLineChars="100"/>
              <w:rPr>
                <w:rFonts w:hint="eastAsia" w:ascii="宋体" w:hAnsi="宋体"/>
                <w:szCs w:val="21"/>
              </w:rPr>
            </w:pPr>
            <w:r>
              <w:rPr>
                <w:rFonts w:hint="eastAsia" w:ascii="宋体" w:hAnsi="宋体"/>
                <w:szCs w:val="21"/>
              </w:rPr>
              <w:t>1.组织管理措施；</w:t>
            </w:r>
          </w:p>
          <w:p w14:paraId="6ABBC26D">
            <w:pPr>
              <w:wordWrap w:val="0"/>
              <w:ind w:firstLine="210" w:firstLineChars="100"/>
              <w:rPr>
                <w:rFonts w:hint="eastAsia" w:ascii="宋体" w:hAnsi="宋体"/>
                <w:szCs w:val="21"/>
              </w:rPr>
            </w:pPr>
            <w:r>
              <w:rPr>
                <w:rFonts w:hint="eastAsia" w:ascii="宋体" w:hAnsi="宋体"/>
                <w:szCs w:val="21"/>
              </w:rPr>
              <w:t>2.人员组织管理保障；</w:t>
            </w:r>
          </w:p>
          <w:p w14:paraId="401ED2DF">
            <w:pPr>
              <w:wordWrap w:val="0"/>
              <w:ind w:firstLine="210" w:firstLineChars="100"/>
              <w:rPr>
                <w:rFonts w:hint="eastAsia" w:ascii="宋体" w:hAnsi="宋体"/>
                <w:szCs w:val="21"/>
              </w:rPr>
            </w:pPr>
            <w:r>
              <w:rPr>
                <w:rFonts w:hint="eastAsia" w:ascii="宋体" w:hAnsi="宋体"/>
                <w:szCs w:val="21"/>
              </w:rPr>
              <w:t>3.应急事项反馈措施；</w:t>
            </w:r>
          </w:p>
          <w:p w14:paraId="798C97D7">
            <w:pPr>
              <w:wordWrap w:val="0"/>
              <w:ind w:firstLine="210" w:firstLineChars="100"/>
              <w:rPr>
                <w:rFonts w:hint="eastAsia" w:ascii="宋体" w:hAnsi="宋体"/>
                <w:szCs w:val="21"/>
              </w:rPr>
            </w:pPr>
            <w:r>
              <w:rPr>
                <w:rFonts w:hint="eastAsia" w:ascii="宋体" w:hAnsi="宋体"/>
                <w:szCs w:val="21"/>
              </w:rPr>
              <w:t>4.监督与反馈措施。</w:t>
            </w:r>
          </w:p>
          <w:p w14:paraId="0721D9A9">
            <w:pPr>
              <w:rPr>
                <w:rFonts w:hint="eastAsia" w:ascii="宋体" w:hAnsi="宋体" w:cs="宋体"/>
                <w:szCs w:val="21"/>
                <w:lang w:bidi="ar"/>
              </w:rPr>
            </w:pPr>
            <w:r>
              <w:rPr>
                <w:rFonts w:hint="eastAsia" w:ascii="宋体" w:hAnsi="宋体" w:cs="宋体"/>
                <w:szCs w:val="21"/>
                <w:lang w:bidi="ar"/>
              </w:rPr>
              <w:t>（二）评分依据</w:t>
            </w:r>
          </w:p>
          <w:p w14:paraId="7B00ED45">
            <w:pPr>
              <w:rPr>
                <w:rFonts w:hint="eastAsia" w:ascii="宋体" w:hAnsi="宋体" w:cs="宋体"/>
                <w:szCs w:val="21"/>
                <w:lang w:bidi="ar"/>
              </w:rPr>
            </w:pPr>
            <w:r>
              <w:rPr>
                <w:rFonts w:hint="eastAsia" w:ascii="宋体" w:hAnsi="宋体" w:cs="宋体"/>
                <w:szCs w:val="21"/>
                <w:lang w:bidi="ar"/>
              </w:rPr>
              <w:t>评审委员会根据投标人提供的</w:t>
            </w:r>
            <w:r>
              <w:rPr>
                <w:rFonts w:hint="eastAsia" w:ascii="宋体" w:hAnsi="宋体"/>
                <w:szCs w:val="21"/>
              </w:rPr>
              <w:t>服务保障措施</w:t>
            </w:r>
            <w:r>
              <w:rPr>
                <w:rFonts w:hint="eastAsia" w:ascii="宋体" w:hAnsi="宋体" w:cs="宋体"/>
                <w:szCs w:val="21"/>
                <w:lang w:bidi="ar"/>
              </w:rPr>
              <w:t>响应情况进行打分，全部满足的得60分。满足以上任意一点得15分；不满足或不提供的不得分。</w:t>
            </w:r>
          </w:p>
          <w:p w14:paraId="54AA236E">
            <w:pPr>
              <w:rPr>
                <w:rFonts w:hint="eastAsia" w:ascii="宋体" w:hAnsi="宋体" w:cs="宋体"/>
                <w:szCs w:val="21"/>
                <w:lang w:bidi="ar"/>
              </w:rPr>
            </w:pPr>
            <w:r>
              <w:rPr>
                <w:rFonts w:hint="eastAsia" w:ascii="宋体" w:hAnsi="宋体" w:cs="宋体"/>
                <w:szCs w:val="21"/>
                <w:lang w:bidi="ar"/>
              </w:rPr>
              <w:t>在此基础上，根据各供应商的具体响应内容按照量化的评审因素指标进一步评审：</w:t>
            </w:r>
          </w:p>
          <w:p w14:paraId="28BEFDB7">
            <w:pPr>
              <w:ind w:firstLine="210" w:firstLineChars="100"/>
              <w:rPr>
                <w:rFonts w:hint="eastAsia" w:ascii="宋体" w:hAnsi="宋体" w:cs="宋体"/>
                <w:szCs w:val="21"/>
                <w:lang w:bidi="ar"/>
              </w:rPr>
            </w:pPr>
            <w:r>
              <w:rPr>
                <w:rFonts w:hint="eastAsia" w:ascii="宋体" w:hAnsi="宋体" w:cs="宋体"/>
                <w:szCs w:val="21"/>
                <w:lang w:bidi="ar"/>
              </w:rPr>
              <w:t>1.内容全面、科学性、合理性、针对性、可操作性强的评价为优，得40分；</w:t>
            </w:r>
          </w:p>
          <w:p w14:paraId="5CDF4E03">
            <w:pPr>
              <w:ind w:firstLine="210" w:firstLineChars="100"/>
              <w:rPr>
                <w:rFonts w:hint="eastAsia" w:ascii="宋体" w:hAnsi="宋体" w:cs="宋体"/>
                <w:szCs w:val="21"/>
                <w:lang w:bidi="ar"/>
              </w:rPr>
            </w:pPr>
            <w:r>
              <w:rPr>
                <w:rFonts w:hint="eastAsia" w:ascii="宋体" w:hAnsi="宋体" w:cs="宋体"/>
                <w:szCs w:val="21"/>
                <w:lang w:bidi="ar"/>
              </w:rPr>
              <w:t>2.内容比较全面、科学性、合理性、针对性、可操作性比较强的评价为良，得30分；</w:t>
            </w:r>
          </w:p>
          <w:p w14:paraId="560D786D">
            <w:pPr>
              <w:ind w:firstLine="210" w:firstLineChars="100"/>
              <w:rPr>
                <w:rFonts w:hint="eastAsia" w:ascii="宋体" w:hAnsi="宋体" w:cs="宋体"/>
                <w:szCs w:val="21"/>
                <w:lang w:bidi="ar"/>
              </w:rPr>
            </w:pPr>
            <w:r>
              <w:rPr>
                <w:rFonts w:hint="eastAsia" w:ascii="宋体" w:hAnsi="宋体" w:cs="宋体"/>
                <w:szCs w:val="21"/>
                <w:lang w:bidi="ar"/>
              </w:rPr>
              <w:t>3.内容一般、科学性、合理性、针对性、可操作性一般的评价为中，得20分；</w:t>
            </w:r>
          </w:p>
          <w:p w14:paraId="72F7DAE2">
            <w:pPr>
              <w:ind w:firstLine="210" w:firstLineChars="100"/>
              <w:rPr>
                <w:rFonts w:hint="eastAsia" w:ascii="宋体" w:hAnsi="宋体" w:cs="宋体"/>
                <w:szCs w:val="21"/>
                <w:lang w:bidi="ar"/>
              </w:rPr>
            </w:pPr>
            <w:r>
              <w:rPr>
                <w:rFonts w:hint="eastAsia" w:ascii="宋体" w:hAnsi="宋体" w:cs="宋体"/>
                <w:szCs w:val="21"/>
                <w:lang w:bidi="ar"/>
              </w:rPr>
              <w:t>4.内容不全、科学性、合理性、针对性、可操作性较差或未提供的评价为差不得分。</w:t>
            </w:r>
          </w:p>
          <w:p w14:paraId="1FEB6790">
            <w:pPr>
              <w:wordWrap w:val="0"/>
              <w:rPr>
                <w:rFonts w:hint="eastAsia" w:cs="宋体" w:asciiTheme="minorEastAsia" w:hAnsiTheme="minorEastAsia" w:eastAsiaTheme="minorEastAsia"/>
                <w:szCs w:val="21"/>
              </w:rPr>
            </w:pPr>
            <w:r>
              <w:rPr>
                <w:rFonts w:hint="eastAsia" w:ascii="宋体" w:hAnsi="宋体" w:cs="宋体"/>
                <w:szCs w:val="21"/>
                <w:lang w:bidi="ar"/>
              </w:rPr>
              <w:t>以上2项得分累计，最高得100分。</w:t>
            </w:r>
          </w:p>
        </w:tc>
      </w:tr>
      <w:tr w14:paraId="0D0A6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jc w:val="center"/>
        </w:trPr>
        <w:tc>
          <w:tcPr>
            <w:tcW w:w="673" w:type="dxa"/>
            <w:gridSpan w:val="2"/>
            <w:vMerge w:val="continue"/>
            <w:vAlign w:val="center"/>
          </w:tcPr>
          <w:p w14:paraId="297373D2">
            <w:pPr>
              <w:rPr>
                <w:rFonts w:hint="eastAsia" w:cs="宋体" w:asciiTheme="minorEastAsia" w:hAnsiTheme="minorEastAsia" w:eastAsiaTheme="minorEastAsia"/>
                <w:b/>
                <w:bCs/>
                <w:color w:val="0000FF"/>
                <w:sz w:val="24"/>
              </w:rPr>
            </w:pPr>
          </w:p>
        </w:tc>
        <w:tc>
          <w:tcPr>
            <w:tcW w:w="672" w:type="dxa"/>
            <w:vAlign w:val="center"/>
          </w:tcPr>
          <w:p w14:paraId="0FF7A61D">
            <w:pPr>
              <w:wordWrap w:val="0"/>
              <w:jc w:val="center"/>
              <w:rPr>
                <w:rFonts w:hint="eastAsia" w:cs="宋体" w:asciiTheme="minorEastAsia" w:hAnsiTheme="minorEastAsia" w:eastAsiaTheme="minorEastAsia"/>
                <w:szCs w:val="21"/>
              </w:rPr>
            </w:pPr>
            <w:r>
              <w:rPr>
                <w:rFonts w:asciiTheme="minorEastAsia" w:hAnsiTheme="minorEastAsia" w:eastAsiaTheme="minorEastAsia"/>
                <w:szCs w:val="21"/>
              </w:rPr>
              <w:t>3</w:t>
            </w:r>
          </w:p>
        </w:tc>
        <w:tc>
          <w:tcPr>
            <w:tcW w:w="2331" w:type="dxa"/>
            <w:vAlign w:val="center"/>
          </w:tcPr>
          <w:p w14:paraId="1789EAE2">
            <w:pPr>
              <w:wordWrap w:val="0"/>
              <w:jc w:val="center"/>
              <w:rPr>
                <w:rFonts w:hint="eastAsia" w:cs="宋体" w:asciiTheme="minorEastAsia" w:hAnsiTheme="minorEastAsia" w:eastAsiaTheme="minorEastAsia"/>
                <w:szCs w:val="21"/>
              </w:rPr>
            </w:pPr>
            <w:r>
              <w:rPr>
                <w:rFonts w:hint="eastAsia" w:ascii="宋体" w:hAnsi="宋体" w:cs="宋体"/>
                <w:szCs w:val="21"/>
              </w:rPr>
              <w:t>应急安全预案</w:t>
            </w:r>
          </w:p>
        </w:tc>
        <w:tc>
          <w:tcPr>
            <w:tcW w:w="761" w:type="dxa"/>
            <w:vAlign w:val="center"/>
          </w:tcPr>
          <w:p w14:paraId="64526547">
            <w:pPr>
              <w:wordWrap w:val="0"/>
              <w:jc w:val="center"/>
              <w:rPr>
                <w:rFonts w:hint="eastAsia" w:cs="宋体" w:asciiTheme="minorEastAsia" w:hAnsiTheme="minorEastAsia" w:eastAsiaTheme="minorEastAsia"/>
                <w:szCs w:val="21"/>
              </w:rPr>
            </w:pPr>
            <w:r>
              <w:rPr>
                <w:rFonts w:hint="eastAsia" w:asciiTheme="minorEastAsia" w:hAnsiTheme="minorEastAsia" w:eastAsiaTheme="minorEastAsia"/>
                <w:szCs w:val="21"/>
              </w:rPr>
              <w:t>15</w:t>
            </w:r>
          </w:p>
        </w:tc>
        <w:tc>
          <w:tcPr>
            <w:tcW w:w="4725" w:type="dxa"/>
            <w:gridSpan w:val="2"/>
            <w:vAlign w:val="center"/>
          </w:tcPr>
          <w:p w14:paraId="758E93B4">
            <w:pPr>
              <w:rPr>
                <w:rFonts w:hint="eastAsia" w:ascii="宋体" w:hAnsi="宋体" w:cs="宋体"/>
                <w:szCs w:val="21"/>
                <w:lang w:bidi="ar"/>
              </w:rPr>
            </w:pPr>
            <w:r>
              <w:rPr>
                <w:rFonts w:hint="eastAsia" w:ascii="宋体" w:hAnsi="宋体" w:cs="宋体"/>
                <w:szCs w:val="21"/>
                <w:lang w:bidi="ar"/>
              </w:rPr>
              <w:t>（一）评分内容</w:t>
            </w:r>
          </w:p>
          <w:p w14:paraId="519A942F">
            <w:pPr>
              <w:rPr>
                <w:rFonts w:hint="eastAsia" w:ascii="宋体" w:hAnsi="宋体" w:cs="宋体"/>
                <w:szCs w:val="21"/>
                <w:lang w:bidi="ar"/>
              </w:rPr>
            </w:pPr>
            <w:r>
              <w:rPr>
                <w:rFonts w:hint="eastAsia" w:ascii="宋体" w:hAnsi="宋体" w:cs="宋体"/>
                <w:szCs w:val="21"/>
                <w:lang w:bidi="ar"/>
              </w:rPr>
              <w:t>投标人提供本项目的</w:t>
            </w:r>
            <w:r>
              <w:rPr>
                <w:rFonts w:hint="eastAsia" w:ascii="宋体" w:hAnsi="宋体" w:cs="宋体"/>
                <w:szCs w:val="21"/>
              </w:rPr>
              <w:t>应急安全预案</w:t>
            </w:r>
            <w:r>
              <w:rPr>
                <w:rFonts w:hint="eastAsia" w:ascii="宋体" w:hAnsi="宋体" w:cs="宋体"/>
                <w:szCs w:val="21"/>
                <w:lang w:bidi="ar"/>
              </w:rPr>
              <w:t>，方案中应包含但不限于以下内容：</w:t>
            </w:r>
          </w:p>
          <w:p w14:paraId="57547FAF">
            <w:pPr>
              <w:wordWrap w:val="0"/>
              <w:ind w:firstLine="210" w:firstLineChars="100"/>
              <w:rPr>
                <w:rFonts w:hint="eastAsia" w:ascii="宋体" w:hAnsi="宋体"/>
                <w:szCs w:val="21"/>
              </w:rPr>
            </w:pPr>
            <w:r>
              <w:rPr>
                <w:rFonts w:hint="eastAsia" w:ascii="宋体" w:hAnsi="宋体"/>
                <w:szCs w:val="21"/>
              </w:rPr>
              <w:t>1.安全规划方案；</w:t>
            </w:r>
          </w:p>
          <w:p w14:paraId="5FB33151">
            <w:pPr>
              <w:wordWrap w:val="0"/>
              <w:ind w:firstLine="210" w:firstLineChars="100"/>
              <w:rPr>
                <w:rFonts w:hint="eastAsia" w:ascii="宋体" w:hAnsi="宋体"/>
                <w:szCs w:val="21"/>
              </w:rPr>
            </w:pPr>
            <w:r>
              <w:rPr>
                <w:rFonts w:hint="eastAsia" w:ascii="宋体" w:hAnsi="宋体"/>
                <w:szCs w:val="21"/>
              </w:rPr>
              <w:t>2.交通安全方案；</w:t>
            </w:r>
          </w:p>
          <w:p w14:paraId="7877DAF8">
            <w:pPr>
              <w:wordWrap w:val="0"/>
              <w:ind w:firstLine="210" w:firstLineChars="100"/>
              <w:rPr>
                <w:rFonts w:hint="eastAsia" w:ascii="宋体" w:hAnsi="宋体"/>
                <w:szCs w:val="21"/>
              </w:rPr>
            </w:pPr>
            <w:r>
              <w:rPr>
                <w:rFonts w:hint="eastAsia" w:ascii="宋体" w:hAnsi="宋体"/>
                <w:szCs w:val="21"/>
              </w:rPr>
              <w:t>3.饮食安全方案；</w:t>
            </w:r>
          </w:p>
          <w:p w14:paraId="29186789">
            <w:pPr>
              <w:wordWrap w:val="0"/>
              <w:ind w:firstLine="210" w:firstLineChars="100"/>
              <w:rPr>
                <w:rFonts w:hint="eastAsia" w:ascii="宋体" w:hAnsi="宋体"/>
                <w:szCs w:val="21"/>
              </w:rPr>
            </w:pPr>
            <w:r>
              <w:rPr>
                <w:rFonts w:hint="eastAsia" w:ascii="宋体" w:hAnsi="宋体"/>
                <w:szCs w:val="21"/>
              </w:rPr>
              <w:t>4.恶劣天气方案。</w:t>
            </w:r>
          </w:p>
          <w:p w14:paraId="634499FD">
            <w:pPr>
              <w:rPr>
                <w:rFonts w:hint="eastAsia" w:ascii="宋体" w:hAnsi="宋体" w:cs="宋体"/>
                <w:szCs w:val="21"/>
                <w:lang w:bidi="ar"/>
              </w:rPr>
            </w:pPr>
            <w:r>
              <w:rPr>
                <w:rFonts w:hint="eastAsia" w:ascii="宋体" w:hAnsi="宋体" w:cs="宋体"/>
                <w:szCs w:val="21"/>
                <w:lang w:bidi="ar"/>
              </w:rPr>
              <w:t>（二）评分依据</w:t>
            </w:r>
          </w:p>
          <w:p w14:paraId="026D2E80">
            <w:pPr>
              <w:rPr>
                <w:rFonts w:hint="eastAsia" w:ascii="宋体" w:hAnsi="宋体" w:cs="宋体"/>
                <w:szCs w:val="21"/>
                <w:lang w:bidi="ar"/>
              </w:rPr>
            </w:pPr>
            <w:r>
              <w:rPr>
                <w:rFonts w:hint="eastAsia" w:ascii="宋体" w:hAnsi="宋体" w:cs="宋体"/>
                <w:szCs w:val="21"/>
                <w:lang w:bidi="ar"/>
              </w:rPr>
              <w:t>评审委员会根据投标人提供的</w:t>
            </w:r>
            <w:r>
              <w:rPr>
                <w:rFonts w:hint="eastAsia" w:ascii="宋体" w:hAnsi="宋体" w:cs="宋体"/>
                <w:szCs w:val="21"/>
              </w:rPr>
              <w:t>应急安全预案</w:t>
            </w:r>
            <w:r>
              <w:rPr>
                <w:rFonts w:hint="eastAsia" w:ascii="宋体" w:hAnsi="宋体" w:cs="宋体"/>
                <w:szCs w:val="21"/>
                <w:lang w:bidi="ar"/>
              </w:rPr>
              <w:t>响应情况进行打分，全部满足的得60分。满足以上任意一点得</w:t>
            </w:r>
            <w:r>
              <w:rPr>
                <w:rFonts w:hint="eastAsia" w:ascii="宋体" w:hAnsi="宋体" w:cs="宋体"/>
                <w:szCs w:val="21"/>
                <w:lang w:val="en-US" w:eastAsia="zh-CN" w:bidi="ar"/>
              </w:rPr>
              <w:t>15</w:t>
            </w:r>
            <w:bookmarkStart w:id="101" w:name="_GoBack"/>
            <w:bookmarkEnd w:id="101"/>
            <w:r>
              <w:rPr>
                <w:rFonts w:hint="eastAsia" w:ascii="宋体" w:hAnsi="宋体" w:cs="宋体"/>
                <w:szCs w:val="21"/>
                <w:lang w:bidi="ar"/>
              </w:rPr>
              <w:t>分；不满足或不提供的不得分。</w:t>
            </w:r>
          </w:p>
          <w:p w14:paraId="4FAB2E79">
            <w:pPr>
              <w:rPr>
                <w:rFonts w:hint="eastAsia" w:ascii="宋体" w:hAnsi="宋体" w:cs="宋体"/>
                <w:szCs w:val="21"/>
                <w:lang w:bidi="ar"/>
              </w:rPr>
            </w:pPr>
            <w:r>
              <w:rPr>
                <w:rFonts w:hint="eastAsia" w:ascii="宋体" w:hAnsi="宋体" w:cs="宋体"/>
                <w:szCs w:val="21"/>
                <w:lang w:bidi="ar"/>
              </w:rPr>
              <w:t>在此基础上，根据各供应商的具体响应内容按照量化的评审因素指标进一步评审：</w:t>
            </w:r>
          </w:p>
          <w:p w14:paraId="57AC7CDA">
            <w:pPr>
              <w:ind w:firstLine="210" w:firstLineChars="100"/>
              <w:rPr>
                <w:rFonts w:hint="eastAsia" w:ascii="宋体" w:hAnsi="宋体" w:cs="宋体"/>
                <w:szCs w:val="21"/>
                <w:lang w:bidi="ar"/>
              </w:rPr>
            </w:pPr>
            <w:r>
              <w:rPr>
                <w:rFonts w:hint="eastAsia" w:ascii="宋体" w:hAnsi="宋体" w:cs="宋体"/>
                <w:szCs w:val="21"/>
                <w:lang w:bidi="ar"/>
              </w:rPr>
              <w:t>1.内容全面、科学性、合理性、针对性、可操作性强的评价为优，得40分；</w:t>
            </w:r>
          </w:p>
          <w:p w14:paraId="4ABD57D1">
            <w:pPr>
              <w:ind w:firstLine="210" w:firstLineChars="100"/>
              <w:rPr>
                <w:rFonts w:hint="eastAsia" w:ascii="宋体" w:hAnsi="宋体" w:cs="宋体"/>
                <w:szCs w:val="21"/>
                <w:lang w:bidi="ar"/>
              </w:rPr>
            </w:pPr>
            <w:r>
              <w:rPr>
                <w:rFonts w:hint="eastAsia" w:ascii="宋体" w:hAnsi="宋体" w:cs="宋体"/>
                <w:szCs w:val="21"/>
                <w:lang w:bidi="ar"/>
              </w:rPr>
              <w:t>2.内容比较全面、科学性、合理性、针对性、可操作性比较强的评价为良，得30分；</w:t>
            </w:r>
          </w:p>
          <w:p w14:paraId="53D05723">
            <w:pPr>
              <w:ind w:firstLine="210" w:firstLineChars="100"/>
              <w:rPr>
                <w:rFonts w:hint="eastAsia" w:ascii="宋体" w:hAnsi="宋体" w:cs="宋体"/>
                <w:szCs w:val="21"/>
                <w:lang w:bidi="ar"/>
              </w:rPr>
            </w:pPr>
            <w:r>
              <w:rPr>
                <w:rFonts w:hint="eastAsia" w:ascii="宋体" w:hAnsi="宋体" w:cs="宋体"/>
                <w:szCs w:val="21"/>
                <w:lang w:bidi="ar"/>
              </w:rPr>
              <w:t>3.内容一般、科学性、合理性、针对性、可操作性一般的评价为中，得20分；</w:t>
            </w:r>
          </w:p>
          <w:p w14:paraId="3236DBE7">
            <w:pPr>
              <w:ind w:firstLine="210" w:firstLineChars="100"/>
              <w:rPr>
                <w:rFonts w:hint="eastAsia" w:ascii="宋体" w:hAnsi="宋体" w:cs="宋体"/>
                <w:szCs w:val="21"/>
                <w:lang w:bidi="ar"/>
              </w:rPr>
            </w:pPr>
            <w:r>
              <w:rPr>
                <w:rFonts w:hint="eastAsia" w:ascii="宋体" w:hAnsi="宋体" w:cs="宋体"/>
                <w:szCs w:val="21"/>
                <w:lang w:bidi="ar"/>
              </w:rPr>
              <w:t>4.内容不全、科学性、合理性、针对性、可操作性较差或未提供的评价为差不得分。</w:t>
            </w:r>
          </w:p>
          <w:p w14:paraId="4D3CCA47">
            <w:pPr>
              <w:wordWrap w:val="0"/>
              <w:rPr>
                <w:rFonts w:hint="eastAsia" w:cs="宋体" w:asciiTheme="minorEastAsia" w:hAnsiTheme="minorEastAsia" w:eastAsiaTheme="minorEastAsia"/>
                <w:szCs w:val="21"/>
              </w:rPr>
            </w:pPr>
            <w:r>
              <w:rPr>
                <w:rFonts w:hint="eastAsia" w:ascii="宋体" w:hAnsi="宋体" w:cs="宋体"/>
                <w:szCs w:val="21"/>
                <w:lang w:bidi="ar"/>
              </w:rPr>
              <w:t>以上2项得分累计，最高得100分。</w:t>
            </w:r>
          </w:p>
        </w:tc>
      </w:tr>
      <w:tr w14:paraId="00711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jc w:val="center"/>
        </w:trPr>
        <w:tc>
          <w:tcPr>
            <w:tcW w:w="673" w:type="dxa"/>
            <w:gridSpan w:val="2"/>
            <w:vMerge w:val="restart"/>
          </w:tcPr>
          <w:p w14:paraId="16666C14">
            <w:pPr>
              <w:wordWrap w:val="0"/>
              <w:jc w:val="center"/>
              <w:rPr>
                <w:rFonts w:hint="eastAsia" w:cs="宋体" w:asciiTheme="minorEastAsia" w:hAnsiTheme="minorEastAsia" w:eastAsiaTheme="minorEastAsia"/>
                <w:b/>
                <w:bCs/>
                <w:color w:val="0000FF"/>
                <w:sz w:val="24"/>
              </w:rPr>
            </w:pPr>
            <w:r>
              <w:rPr>
                <w:rFonts w:asciiTheme="minorEastAsia" w:hAnsiTheme="minorEastAsia" w:eastAsiaTheme="minorEastAsia"/>
                <w:b/>
                <w:bCs/>
                <w:color w:val="0000FF"/>
              </w:rPr>
              <w:t>3</w:t>
            </w:r>
          </w:p>
        </w:tc>
        <w:tc>
          <w:tcPr>
            <w:tcW w:w="3764" w:type="dxa"/>
            <w:gridSpan w:val="3"/>
          </w:tcPr>
          <w:p w14:paraId="25479D9C">
            <w:pPr>
              <w:wordWrap w:val="0"/>
              <w:jc w:val="center"/>
              <w:rPr>
                <w:rFonts w:hint="eastAsia" w:cs="宋体" w:asciiTheme="minorEastAsia" w:hAnsiTheme="minorEastAsia" w:eastAsiaTheme="minorEastAsia"/>
                <w:b/>
                <w:bCs/>
                <w:color w:val="0000FF"/>
                <w:sz w:val="24"/>
              </w:rPr>
            </w:pPr>
            <w:r>
              <w:rPr>
                <w:rFonts w:hint="eastAsia" w:asciiTheme="minorEastAsia" w:hAnsiTheme="minorEastAsia" w:eastAsiaTheme="minorEastAsia"/>
                <w:b/>
                <w:bCs/>
                <w:color w:val="0000FF"/>
              </w:rPr>
              <w:t>商务部分</w:t>
            </w:r>
          </w:p>
        </w:tc>
        <w:tc>
          <w:tcPr>
            <w:tcW w:w="4725" w:type="dxa"/>
            <w:gridSpan w:val="2"/>
          </w:tcPr>
          <w:p w14:paraId="13F6F195">
            <w:pPr>
              <w:wordWrap w:val="0"/>
              <w:jc w:val="center"/>
              <w:rPr>
                <w:rFonts w:hint="default" w:cs="宋体" w:asciiTheme="minorEastAsia" w:hAnsiTheme="minorEastAsia" w:eastAsiaTheme="minorEastAsia"/>
                <w:b/>
                <w:bCs/>
                <w:color w:val="0000FF"/>
                <w:sz w:val="24"/>
                <w:lang w:val="en-US" w:eastAsia="zh-CN"/>
              </w:rPr>
            </w:pPr>
            <w:r>
              <w:rPr>
                <w:rFonts w:hint="eastAsia" w:cs="宋体" w:asciiTheme="minorEastAsia" w:hAnsiTheme="minorEastAsia" w:eastAsiaTheme="minorEastAsia"/>
                <w:b/>
                <w:bCs/>
                <w:color w:val="0000FF"/>
                <w:sz w:val="24"/>
                <w:lang w:val="en-US" w:eastAsia="zh-CN"/>
              </w:rPr>
              <w:t>25</w:t>
            </w:r>
          </w:p>
        </w:tc>
      </w:tr>
      <w:tr w14:paraId="6E637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jc w:val="center"/>
        </w:trPr>
        <w:tc>
          <w:tcPr>
            <w:tcW w:w="673" w:type="dxa"/>
            <w:gridSpan w:val="2"/>
            <w:vMerge w:val="continue"/>
            <w:shd w:val="clear" w:color="auto" w:fill="E6EFFA"/>
            <w:vAlign w:val="center"/>
          </w:tcPr>
          <w:p w14:paraId="3C89E643">
            <w:pPr>
              <w:rPr>
                <w:rFonts w:hint="eastAsia" w:cs="宋体" w:asciiTheme="minorEastAsia" w:hAnsiTheme="minorEastAsia" w:eastAsiaTheme="minorEastAsia"/>
                <w:b/>
                <w:bCs/>
                <w:color w:val="0000FF"/>
                <w:sz w:val="24"/>
              </w:rPr>
            </w:pPr>
          </w:p>
        </w:tc>
        <w:tc>
          <w:tcPr>
            <w:tcW w:w="672" w:type="dxa"/>
            <w:shd w:val="clear" w:color="auto" w:fill="E6EFFA"/>
            <w:vAlign w:val="center"/>
          </w:tcPr>
          <w:p w14:paraId="326EDA07">
            <w:pPr>
              <w:wordWrap w:val="0"/>
              <w:jc w:val="center"/>
              <w:rPr>
                <w:rFonts w:hint="eastAsia" w:cs="宋体" w:asciiTheme="minorEastAsia" w:hAnsiTheme="minorEastAsia" w:eastAsiaTheme="minorEastAsia"/>
                <w:szCs w:val="21"/>
              </w:rPr>
            </w:pPr>
            <w:r>
              <w:rPr>
                <w:rFonts w:asciiTheme="minorEastAsia" w:hAnsiTheme="minorEastAsia" w:eastAsiaTheme="minorEastAsia"/>
                <w:szCs w:val="21"/>
              </w:rPr>
              <w:t>序号</w:t>
            </w:r>
          </w:p>
        </w:tc>
        <w:tc>
          <w:tcPr>
            <w:tcW w:w="2331" w:type="dxa"/>
            <w:shd w:val="clear" w:color="auto" w:fill="E6EFFA"/>
            <w:vAlign w:val="center"/>
          </w:tcPr>
          <w:p w14:paraId="6ADAD8FF">
            <w:pPr>
              <w:wordWrap w:val="0"/>
              <w:jc w:val="center"/>
              <w:rPr>
                <w:rFonts w:hint="eastAsia" w:cs="宋体" w:asciiTheme="minorEastAsia" w:hAnsiTheme="minorEastAsia" w:eastAsiaTheme="minorEastAsia"/>
                <w:szCs w:val="21"/>
              </w:rPr>
            </w:pPr>
            <w:r>
              <w:rPr>
                <w:rFonts w:hint="eastAsia" w:asciiTheme="minorEastAsia" w:hAnsiTheme="minorEastAsia" w:eastAsiaTheme="minorEastAsia"/>
                <w:szCs w:val="21"/>
              </w:rPr>
              <w:t>评审因素</w:t>
            </w:r>
          </w:p>
        </w:tc>
        <w:tc>
          <w:tcPr>
            <w:tcW w:w="761" w:type="dxa"/>
            <w:shd w:val="clear" w:color="auto" w:fill="E6EFFA"/>
            <w:vAlign w:val="center"/>
          </w:tcPr>
          <w:p w14:paraId="28EDA284">
            <w:pPr>
              <w:wordWrap w:val="0"/>
              <w:jc w:val="center"/>
              <w:rPr>
                <w:rFonts w:hint="eastAsia" w:cs="宋体" w:asciiTheme="minorEastAsia" w:hAnsiTheme="minorEastAsia" w:eastAsiaTheme="minorEastAsia"/>
                <w:szCs w:val="21"/>
              </w:rPr>
            </w:pPr>
            <w:r>
              <w:rPr>
                <w:rFonts w:asciiTheme="minorEastAsia" w:hAnsiTheme="minorEastAsia" w:eastAsiaTheme="minorEastAsia"/>
                <w:szCs w:val="21"/>
              </w:rPr>
              <w:t>权重(%)</w:t>
            </w:r>
          </w:p>
        </w:tc>
        <w:tc>
          <w:tcPr>
            <w:tcW w:w="4725" w:type="dxa"/>
            <w:gridSpan w:val="2"/>
            <w:shd w:val="clear" w:color="auto" w:fill="E6EFFA"/>
            <w:vAlign w:val="center"/>
          </w:tcPr>
          <w:p w14:paraId="26957F4D">
            <w:pPr>
              <w:wordWrap w:val="0"/>
              <w:jc w:val="center"/>
              <w:rPr>
                <w:rFonts w:hint="eastAsia" w:cs="宋体" w:asciiTheme="minorEastAsia" w:hAnsiTheme="minorEastAsia" w:eastAsiaTheme="minorEastAsia"/>
                <w:szCs w:val="21"/>
              </w:rPr>
            </w:pPr>
            <w:r>
              <w:rPr>
                <w:rFonts w:asciiTheme="minorEastAsia" w:hAnsiTheme="minorEastAsia" w:eastAsiaTheme="minorEastAsia"/>
                <w:szCs w:val="21"/>
              </w:rPr>
              <w:t>评分准则</w:t>
            </w:r>
          </w:p>
        </w:tc>
      </w:tr>
      <w:tr w14:paraId="70815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jc w:val="center"/>
        </w:trPr>
        <w:tc>
          <w:tcPr>
            <w:tcW w:w="673" w:type="dxa"/>
            <w:gridSpan w:val="2"/>
            <w:vMerge w:val="continue"/>
            <w:vAlign w:val="center"/>
          </w:tcPr>
          <w:p w14:paraId="40460ED9">
            <w:pPr>
              <w:rPr>
                <w:rFonts w:hint="eastAsia" w:cs="宋体" w:asciiTheme="minorEastAsia" w:hAnsiTheme="minorEastAsia" w:eastAsiaTheme="minorEastAsia"/>
                <w:b/>
                <w:bCs/>
                <w:color w:val="0000FF"/>
                <w:sz w:val="24"/>
              </w:rPr>
            </w:pPr>
          </w:p>
        </w:tc>
        <w:tc>
          <w:tcPr>
            <w:tcW w:w="672" w:type="dxa"/>
            <w:vAlign w:val="center"/>
          </w:tcPr>
          <w:p w14:paraId="6FD1097A">
            <w:pPr>
              <w:wordWrap w:val="0"/>
              <w:jc w:val="center"/>
              <w:rPr>
                <w:rFonts w:hint="eastAsia" w:cs="宋体" w:asciiTheme="minorEastAsia" w:hAnsiTheme="minorEastAsia" w:eastAsiaTheme="minorEastAsia"/>
                <w:szCs w:val="21"/>
              </w:rPr>
            </w:pPr>
            <w:r>
              <w:rPr>
                <w:rFonts w:hint="eastAsia" w:asciiTheme="minorEastAsia" w:hAnsiTheme="minorEastAsia" w:eastAsiaTheme="minorEastAsia"/>
                <w:szCs w:val="21"/>
              </w:rPr>
              <w:t>1</w:t>
            </w:r>
          </w:p>
        </w:tc>
        <w:tc>
          <w:tcPr>
            <w:tcW w:w="2331" w:type="dxa"/>
            <w:vAlign w:val="center"/>
          </w:tcPr>
          <w:p w14:paraId="7E2A7A29">
            <w:pPr>
              <w:wordWrap w:val="0"/>
              <w:jc w:val="center"/>
              <w:rPr>
                <w:rFonts w:hint="eastAsia" w:cs="宋体" w:asciiTheme="minorEastAsia" w:hAnsiTheme="minorEastAsia" w:eastAsiaTheme="minorEastAsia"/>
                <w:szCs w:val="21"/>
              </w:rPr>
            </w:pPr>
            <w:r>
              <w:rPr>
                <w:rFonts w:hint="eastAsia" w:asciiTheme="minorEastAsia" w:hAnsiTheme="minorEastAsia" w:eastAsiaTheme="minorEastAsia"/>
                <w:szCs w:val="21"/>
              </w:rPr>
              <w:t>供应商同类项目业绩情况</w:t>
            </w:r>
          </w:p>
        </w:tc>
        <w:tc>
          <w:tcPr>
            <w:tcW w:w="761" w:type="dxa"/>
            <w:vAlign w:val="center"/>
          </w:tcPr>
          <w:p w14:paraId="4E8C5AD6">
            <w:pPr>
              <w:wordWrap w:val="0"/>
              <w:jc w:val="center"/>
              <w:rPr>
                <w:rFonts w:hint="default" w:cs="宋体"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25</w:t>
            </w:r>
          </w:p>
        </w:tc>
        <w:tc>
          <w:tcPr>
            <w:tcW w:w="4725" w:type="dxa"/>
            <w:gridSpan w:val="2"/>
          </w:tcPr>
          <w:p w14:paraId="1B1BE2F8">
            <w:pPr>
              <w:rPr>
                <w:rFonts w:hint="eastAsia" w:ascii="宋体" w:hAnsi="宋体" w:cs="宋体"/>
                <w:szCs w:val="21"/>
                <w:lang w:bidi="ar"/>
              </w:rPr>
            </w:pPr>
            <w:r>
              <w:rPr>
                <w:rFonts w:hint="eastAsia" w:ascii="宋体" w:hAnsi="宋体" w:cs="宋体"/>
                <w:szCs w:val="21"/>
                <w:lang w:bidi="ar"/>
              </w:rPr>
              <w:t xml:space="preserve">（一）评分内容： </w:t>
            </w:r>
          </w:p>
          <w:p w14:paraId="6918830B">
            <w:pPr>
              <w:rPr>
                <w:rFonts w:hint="eastAsia" w:ascii="宋体" w:hAnsi="宋体" w:cs="宋体"/>
                <w:szCs w:val="21"/>
                <w:lang w:bidi="ar"/>
              </w:rPr>
            </w:pPr>
            <w:r>
              <w:rPr>
                <w:rFonts w:hint="eastAsia" w:ascii="宋体" w:hAnsi="宋体" w:cs="宋体"/>
                <w:szCs w:val="21"/>
                <w:lang w:bidi="ar"/>
              </w:rPr>
              <w:t>考察投标供应商（2021年9月1日至本项目投标截止日，以合同签订日期为准）</w:t>
            </w:r>
            <w:r>
              <w:rPr>
                <w:rFonts w:hint="eastAsia" w:ascii="宋体" w:hAnsi="宋体" w:cs="宋体"/>
                <w:b/>
                <w:kern w:val="0"/>
                <w:szCs w:val="21"/>
              </w:rPr>
              <w:t>研学旅行类</w:t>
            </w:r>
            <w:r>
              <w:rPr>
                <w:rFonts w:hint="eastAsia" w:ascii="宋体" w:hAnsi="宋体" w:cs="宋体"/>
                <w:b/>
                <w:szCs w:val="21"/>
                <w:lang w:bidi="ar"/>
              </w:rPr>
              <w:t>项目业绩</w:t>
            </w:r>
            <w:r>
              <w:rPr>
                <w:rFonts w:hint="eastAsia" w:ascii="宋体" w:hAnsi="宋体" w:cs="宋体"/>
                <w:szCs w:val="21"/>
                <w:lang w:bidi="ar"/>
              </w:rPr>
              <w:t xml:space="preserve">情况。每提供一个项目业绩得35分，最高得100 分。续签合同不得作为多个业绩计算得分。 </w:t>
            </w:r>
          </w:p>
          <w:p w14:paraId="36448956">
            <w:pPr>
              <w:rPr>
                <w:rFonts w:hint="eastAsia" w:ascii="宋体" w:hAnsi="宋体" w:cs="宋体"/>
                <w:szCs w:val="21"/>
                <w:lang w:bidi="ar"/>
              </w:rPr>
            </w:pPr>
            <w:r>
              <w:rPr>
                <w:rFonts w:hint="eastAsia" w:ascii="宋体" w:hAnsi="宋体" w:cs="宋体"/>
                <w:szCs w:val="21"/>
                <w:lang w:bidi="ar"/>
              </w:rPr>
              <w:t xml:space="preserve">（二）评分依据： </w:t>
            </w:r>
          </w:p>
          <w:p w14:paraId="61AAD409">
            <w:pPr>
              <w:rPr>
                <w:rFonts w:hint="eastAsia" w:ascii="宋体" w:hAnsi="宋体" w:cs="宋体"/>
                <w:szCs w:val="21"/>
                <w:lang w:bidi="ar"/>
              </w:rPr>
            </w:pPr>
            <w:r>
              <w:rPr>
                <w:rFonts w:hint="eastAsia" w:ascii="宋体" w:hAnsi="宋体" w:cs="宋体"/>
                <w:szCs w:val="21"/>
                <w:lang w:bidi="ar"/>
              </w:rPr>
              <w:t xml:space="preserve">1、提供合同关键信息（包括但不限于合同项目名称、合同签订日期、合同服务内容、合同双方主体签字盖章等）证明文件作为得分依据。 </w:t>
            </w:r>
          </w:p>
          <w:p w14:paraId="6486E72F">
            <w:pPr>
              <w:spacing w:after="160" w:line="240" w:lineRule="exact"/>
              <w:jc w:val="left"/>
              <w:rPr>
                <w:rFonts w:hint="eastAsia" w:asciiTheme="minorEastAsia" w:hAnsiTheme="minorEastAsia" w:eastAsiaTheme="minorEastAsia"/>
                <w:szCs w:val="21"/>
              </w:rPr>
            </w:pPr>
            <w:r>
              <w:rPr>
                <w:rFonts w:hint="eastAsia" w:ascii="宋体" w:hAnsi="宋体" w:cs="宋体"/>
                <w:szCs w:val="21"/>
                <w:lang w:bidi="ar"/>
              </w:rPr>
              <w:t>2、以上资料均要求提供扫描件。评分中出现无证明资料或专家无法凭所提供资料判断是否得分的情况，一律作不得分处理。</w:t>
            </w:r>
          </w:p>
        </w:tc>
      </w:tr>
      <w:tr w14:paraId="0832C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jc w:val="center"/>
        </w:trPr>
        <w:tc>
          <w:tcPr>
            <w:tcW w:w="673" w:type="dxa"/>
            <w:gridSpan w:val="2"/>
          </w:tcPr>
          <w:p w14:paraId="3B56AF0F">
            <w:pPr>
              <w:wordWrap w:val="0"/>
              <w:jc w:val="center"/>
              <w:rPr>
                <w:rFonts w:hint="eastAsia" w:cs="宋体" w:asciiTheme="minorEastAsia" w:hAnsiTheme="minorEastAsia" w:eastAsiaTheme="minorEastAsia"/>
                <w:b/>
                <w:bCs/>
                <w:color w:val="0000FF"/>
                <w:sz w:val="24"/>
              </w:rPr>
            </w:pPr>
            <w:r>
              <w:rPr>
                <w:rFonts w:asciiTheme="minorEastAsia" w:hAnsiTheme="minorEastAsia" w:eastAsiaTheme="minorEastAsia"/>
                <w:b/>
                <w:bCs/>
                <w:color w:val="0000FF"/>
              </w:rPr>
              <w:t>4</w:t>
            </w:r>
          </w:p>
        </w:tc>
        <w:tc>
          <w:tcPr>
            <w:tcW w:w="3764" w:type="dxa"/>
            <w:gridSpan w:val="3"/>
          </w:tcPr>
          <w:p w14:paraId="77FDF13B">
            <w:pPr>
              <w:wordWrap w:val="0"/>
              <w:jc w:val="center"/>
              <w:rPr>
                <w:rFonts w:hint="eastAsia" w:cs="宋体" w:asciiTheme="minorEastAsia" w:hAnsiTheme="minorEastAsia" w:eastAsiaTheme="minorEastAsia"/>
                <w:b/>
                <w:bCs/>
                <w:color w:val="0000FF"/>
                <w:sz w:val="24"/>
              </w:rPr>
            </w:pPr>
            <w:r>
              <w:rPr>
                <w:rFonts w:asciiTheme="minorEastAsia" w:hAnsiTheme="minorEastAsia" w:eastAsiaTheme="minorEastAsia"/>
                <w:b/>
                <w:bCs/>
                <w:color w:val="0000FF"/>
              </w:rPr>
              <w:t>诚信情况</w:t>
            </w:r>
          </w:p>
        </w:tc>
        <w:tc>
          <w:tcPr>
            <w:tcW w:w="4725" w:type="dxa"/>
            <w:gridSpan w:val="2"/>
          </w:tcPr>
          <w:p w14:paraId="0B5244A9">
            <w:pPr>
              <w:wordWrap w:val="0"/>
              <w:jc w:val="center"/>
              <w:rPr>
                <w:rFonts w:hint="eastAsia" w:cs="宋体" w:asciiTheme="minorEastAsia" w:hAnsiTheme="minorEastAsia" w:eastAsiaTheme="minorEastAsia"/>
                <w:b/>
                <w:bCs/>
                <w:color w:val="0000FF"/>
                <w:sz w:val="24"/>
              </w:rPr>
            </w:pPr>
            <w:r>
              <w:rPr>
                <w:rFonts w:asciiTheme="minorEastAsia" w:hAnsiTheme="minorEastAsia" w:eastAsiaTheme="minorEastAsia"/>
                <w:b/>
                <w:bCs/>
                <w:color w:val="0000FF"/>
              </w:rPr>
              <w:t>5</w:t>
            </w:r>
          </w:p>
        </w:tc>
      </w:tr>
      <w:tr w14:paraId="02521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jc w:val="center"/>
        </w:trPr>
        <w:tc>
          <w:tcPr>
            <w:tcW w:w="673" w:type="dxa"/>
            <w:gridSpan w:val="2"/>
            <w:vMerge w:val="restart"/>
            <w:shd w:val="clear" w:color="auto" w:fill="FFFFFF" w:themeFill="background1"/>
            <w:vAlign w:val="center"/>
          </w:tcPr>
          <w:p w14:paraId="78CF516B">
            <w:pPr>
              <w:rPr>
                <w:rFonts w:hint="eastAsia" w:cs="宋体" w:asciiTheme="minorEastAsia" w:hAnsiTheme="minorEastAsia" w:eastAsiaTheme="minorEastAsia"/>
                <w:b/>
                <w:bCs/>
                <w:color w:val="0000FF"/>
                <w:sz w:val="24"/>
              </w:rPr>
            </w:pPr>
          </w:p>
        </w:tc>
        <w:tc>
          <w:tcPr>
            <w:tcW w:w="672" w:type="dxa"/>
            <w:shd w:val="clear" w:color="auto" w:fill="E6EFFA"/>
            <w:vAlign w:val="center"/>
          </w:tcPr>
          <w:p w14:paraId="4BCD0AAC">
            <w:pPr>
              <w:wordWrap w:val="0"/>
              <w:jc w:val="center"/>
              <w:rPr>
                <w:rFonts w:hint="eastAsia" w:cs="宋体" w:asciiTheme="minorEastAsia" w:hAnsiTheme="minorEastAsia" w:eastAsiaTheme="minorEastAsia"/>
                <w:szCs w:val="21"/>
              </w:rPr>
            </w:pPr>
            <w:r>
              <w:rPr>
                <w:rFonts w:asciiTheme="minorEastAsia" w:hAnsiTheme="minorEastAsia" w:eastAsiaTheme="minorEastAsia"/>
                <w:szCs w:val="21"/>
              </w:rPr>
              <w:t>序号</w:t>
            </w:r>
          </w:p>
        </w:tc>
        <w:tc>
          <w:tcPr>
            <w:tcW w:w="2331" w:type="dxa"/>
            <w:shd w:val="clear" w:color="auto" w:fill="E6EFFA"/>
            <w:vAlign w:val="center"/>
          </w:tcPr>
          <w:p w14:paraId="6963E8C6">
            <w:pPr>
              <w:wordWrap w:val="0"/>
              <w:jc w:val="center"/>
              <w:rPr>
                <w:rFonts w:hint="eastAsia" w:cs="宋体" w:asciiTheme="minorEastAsia" w:hAnsiTheme="minorEastAsia" w:eastAsiaTheme="minorEastAsia"/>
                <w:szCs w:val="21"/>
              </w:rPr>
            </w:pPr>
            <w:r>
              <w:rPr>
                <w:rFonts w:hint="eastAsia" w:asciiTheme="minorEastAsia" w:hAnsiTheme="minorEastAsia" w:eastAsiaTheme="minorEastAsia"/>
                <w:szCs w:val="21"/>
              </w:rPr>
              <w:t>评审因素</w:t>
            </w:r>
          </w:p>
        </w:tc>
        <w:tc>
          <w:tcPr>
            <w:tcW w:w="761" w:type="dxa"/>
            <w:shd w:val="clear" w:color="auto" w:fill="E6EFFA"/>
            <w:vAlign w:val="center"/>
          </w:tcPr>
          <w:p w14:paraId="79E2DF3E">
            <w:pPr>
              <w:wordWrap w:val="0"/>
              <w:jc w:val="center"/>
              <w:rPr>
                <w:rFonts w:hint="eastAsia" w:cs="宋体" w:asciiTheme="minorEastAsia" w:hAnsiTheme="minorEastAsia" w:eastAsiaTheme="minorEastAsia"/>
                <w:szCs w:val="21"/>
              </w:rPr>
            </w:pPr>
            <w:r>
              <w:rPr>
                <w:rFonts w:asciiTheme="minorEastAsia" w:hAnsiTheme="minorEastAsia" w:eastAsiaTheme="minorEastAsia"/>
                <w:szCs w:val="21"/>
              </w:rPr>
              <w:t>权重(%)</w:t>
            </w:r>
          </w:p>
        </w:tc>
        <w:tc>
          <w:tcPr>
            <w:tcW w:w="4725" w:type="dxa"/>
            <w:gridSpan w:val="2"/>
            <w:shd w:val="clear" w:color="auto" w:fill="E6EFFA"/>
            <w:vAlign w:val="center"/>
          </w:tcPr>
          <w:p w14:paraId="6D91C59C">
            <w:pPr>
              <w:wordWrap w:val="0"/>
              <w:jc w:val="center"/>
              <w:rPr>
                <w:rFonts w:hint="eastAsia" w:cs="宋体" w:asciiTheme="minorEastAsia" w:hAnsiTheme="minorEastAsia" w:eastAsiaTheme="minorEastAsia"/>
                <w:szCs w:val="21"/>
              </w:rPr>
            </w:pPr>
            <w:r>
              <w:rPr>
                <w:rFonts w:asciiTheme="minorEastAsia" w:hAnsiTheme="minorEastAsia" w:eastAsiaTheme="minorEastAsia"/>
                <w:szCs w:val="21"/>
              </w:rPr>
              <w:t>评分准则</w:t>
            </w:r>
          </w:p>
        </w:tc>
      </w:tr>
      <w:tr w14:paraId="40E40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jc w:val="center"/>
        </w:trPr>
        <w:tc>
          <w:tcPr>
            <w:tcW w:w="673" w:type="dxa"/>
            <w:gridSpan w:val="2"/>
            <w:vMerge w:val="continue"/>
            <w:shd w:val="clear" w:color="auto" w:fill="FFFFFF" w:themeFill="background1"/>
            <w:vAlign w:val="center"/>
          </w:tcPr>
          <w:p w14:paraId="5C41E6B1">
            <w:pPr>
              <w:rPr>
                <w:rFonts w:hint="eastAsia" w:cs="宋体" w:asciiTheme="minorEastAsia" w:hAnsiTheme="minorEastAsia" w:eastAsiaTheme="minorEastAsia"/>
                <w:b/>
                <w:bCs/>
                <w:color w:val="0000FF"/>
                <w:sz w:val="24"/>
              </w:rPr>
            </w:pPr>
          </w:p>
        </w:tc>
        <w:tc>
          <w:tcPr>
            <w:tcW w:w="672" w:type="dxa"/>
            <w:shd w:val="clear" w:color="auto" w:fill="FFFFFF" w:themeFill="background1"/>
            <w:vAlign w:val="center"/>
          </w:tcPr>
          <w:p w14:paraId="4CD00E64">
            <w:pPr>
              <w:wordWrap w:val="0"/>
              <w:jc w:val="center"/>
              <w:rPr>
                <w:rFonts w:hint="eastAsia" w:asciiTheme="minorEastAsia" w:hAnsiTheme="minorEastAsia" w:eastAsiaTheme="minorEastAsia"/>
                <w:szCs w:val="21"/>
              </w:rPr>
            </w:pPr>
            <w:r>
              <w:rPr>
                <w:rFonts w:asciiTheme="minorEastAsia" w:hAnsiTheme="minorEastAsia" w:eastAsiaTheme="minorEastAsia"/>
                <w:szCs w:val="21"/>
              </w:rPr>
              <w:t>1</w:t>
            </w:r>
          </w:p>
        </w:tc>
        <w:tc>
          <w:tcPr>
            <w:tcW w:w="2331" w:type="dxa"/>
            <w:vAlign w:val="center"/>
          </w:tcPr>
          <w:p w14:paraId="19C3662C">
            <w:pPr>
              <w:wordWrap w:val="0"/>
              <w:jc w:val="center"/>
              <w:rPr>
                <w:rFonts w:hint="eastAsia" w:asciiTheme="minorEastAsia" w:hAnsiTheme="minorEastAsia" w:eastAsiaTheme="minorEastAsia"/>
                <w:szCs w:val="21"/>
              </w:rPr>
            </w:pPr>
            <w:r>
              <w:rPr>
                <w:rFonts w:asciiTheme="minorEastAsia" w:hAnsiTheme="minorEastAsia" w:eastAsiaTheme="minorEastAsia"/>
                <w:szCs w:val="21"/>
              </w:rPr>
              <w:t>诚信情况</w:t>
            </w:r>
          </w:p>
        </w:tc>
        <w:tc>
          <w:tcPr>
            <w:tcW w:w="761" w:type="dxa"/>
            <w:vAlign w:val="center"/>
          </w:tcPr>
          <w:p w14:paraId="0615C35B">
            <w:pPr>
              <w:wordWrap w:val="0"/>
              <w:rPr>
                <w:rFonts w:hint="eastAsia" w:cs="宋体" w:asciiTheme="minorEastAsia" w:hAnsiTheme="minorEastAsia" w:eastAsiaTheme="minorEastAsia"/>
                <w:szCs w:val="21"/>
              </w:rPr>
            </w:pPr>
            <w:r>
              <w:rPr>
                <w:rFonts w:asciiTheme="minorEastAsia" w:hAnsiTheme="minorEastAsia" w:eastAsiaTheme="minorEastAsia"/>
                <w:szCs w:val="21"/>
              </w:rPr>
              <w:t>5</w:t>
            </w:r>
          </w:p>
        </w:tc>
        <w:tc>
          <w:tcPr>
            <w:tcW w:w="4725" w:type="dxa"/>
            <w:gridSpan w:val="2"/>
          </w:tcPr>
          <w:p w14:paraId="42DB4B00">
            <w:pPr>
              <w:spacing w:after="120"/>
              <w:rPr>
                <w:rFonts w:hint="eastAsia" w:asciiTheme="minorEastAsia" w:hAnsiTheme="minorEastAsia" w:eastAsiaTheme="minorEastAsia"/>
                <w:szCs w:val="21"/>
              </w:rPr>
            </w:pPr>
            <w:r>
              <w:rPr>
                <w:rFonts w:hint="eastAsia" w:asciiTheme="minorEastAsia" w:hAnsiTheme="minorEastAsia" w:eastAsiaTheme="minorEastAsia"/>
                <w:szCs w:val="21"/>
              </w:rPr>
              <w:t>（一）评分内容：</w:t>
            </w:r>
          </w:p>
          <w:p w14:paraId="4510F904">
            <w:pPr>
              <w:rPr>
                <w:rFonts w:hint="eastAsia" w:asciiTheme="minorEastAsia" w:hAnsiTheme="minorEastAsia" w:eastAsiaTheme="minorEastAsia"/>
              </w:rPr>
            </w:pPr>
            <w:r>
              <w:rPr>
                <w:rFonts w:hint="eastAsia" w:asciiTheme="minorEastAsia" w:hAnsiTheme="minorEastAsia" w:eastAsiaTheme="minorEastAsia"/>
              </w:rPr>
              <w:t>供应商存在《深圳市财政局政府采购供应商信用信息管理办法》（深财规〔2023〕3号）列明的一般行政处罚信息、一般违法失信记录信息的，本项不得分，不存在上述情形的本项得100分。供应商无需提供任何证明材料，评标过程中由工作人员向评审委员会提供有关供应商诚信查询结果。</w:t>
            </w:r>
          </w:p>
          <w:p w14:paraId="59DF60B6">
            <w:pPr>
              <w:spacing w:after="120"/>
              <w:rPr>
                <w:rFonts w:hint="eastAsia" w:asciiTheme="minorEastAsia" w:hAnsiTheme="minorEastAsia" w:eastAsiaTheme="minorEastAsia"/>
                <w:szCs w:val="21"/>
              </w:rPr>
            </w:pPr>
            <w:r>
              <w:rPr>
                <w:rFonts w:hint="eastAsia" w:asciiTheme="minorEastAsia" w:hAnsiTheme="minorEastAsia" w:eastAsiaTheme="minorEastAsia"/>
                <w:szCs w:val="21"/>
              </w:rPr>
              <w:t>（二）评分依据：</w:t>
            </w:r>
          </w:p>
          <w:p w14:paraId="165FC594">
            <w:pPr>
              <w:rPr>
                <w:rFonts w:hint="eastAsia" w:cs="宋体" w:asciiTheme="minorEastAsia" w:hAnsiTheme="minorEastAsia" w:eastAsiaTheme="minorEastAsia"/>
                <w:szCs w:val="21"/>
              </w:rPr>
            </w:pPr>
            <w:r>
              <w:rPr>
                <w:rFonts w:hint="eastAsia" w:asciiTheme="minorEastAsia" w:hAnsiTheme="minorEastAsia" w:eastAsiaTheme="minorEastAsia"/>
              </w:rPr>
              <w:t>查询渠道：通过“信用中国”（www.creditchina.gov.cn，</w:t>
            </w:r>
            <w:r>
              <w:rPr>
                <w:rFonts w:hint="eastAsia" w:asciiTheme="minorEastAsia" w:hAnsiTheme="minorEastAsia" w:eastAsiaTheme="minorEastAsia"/>
                <w:b/>
                <w:bCs/>
              </w:rPr>
              <w:t>下载信用信息报告</w:t>
            </w:r>
            <w:r>
              <w:rPr>
                <w:rFonts w:hint="eastAsia" w:asciiTheme="minorEastAsia" w:hAnsiTheme="minorEastAsia" w:eastAsiaTheme="minorEastAsia"/>
              </w:rPr>
              <w:t>）、“中国政府采购网”（www.ccgp.gov.cn）以及“深圳市政府采购监管网”（http://zfcg.sz.gov.cn）查询供应商信用信息，信用信息以开标当日的查询结果为准。</w:t>
            </w:r>
          </w:p>
        </w:tc>
      </w:tr>
    </w:tbl>
    <w:p w14:paraId="710F0DE6">
      <w:pPr>
        <w:rPr>
          <w:b/>
          <w:sz w:val="120"/>
          <w:szCs w:val="120"/>
        </w:rPr>
      </w:pPr>
    </w:p>
    <w:p w14:paraId="4A79BFED">
      <w:pPr>
        <w:widowControl/>
        <w:jc w:val="left"/>
        <w:rPr>
          <w:b/>
          <w:sz w:val="120"/>
          <w:szCs w:val="120"/>
        </w:rPr>
      </w:pPr>
      <w:r>
        <w:rPr>
          <w:b/>
          <w:sz w:val="120"/>
          <w:szCs w:val="120"/>
        </w:rPr>
        <w:br w:type="page"/>
      </w:r>
    </w:p>
    <w:p w14:paraId="32741D31">
      <w:pPr>
        <w:jc w:val="center"/>
        <w:rPr>
          <w:b/>
          <w:sz w:val="120"/>
          <w:szCs w:val="120"/>
        </w:rPr>
      </w:pPr>
    </w:p>
    <w:p w14:paraId="11C33B92">
      <w:pPr>
        <w:jc w:val="center"/>
        <w:rPr>
          <w:b/>
          <w:sz w:val="120"/>
          <w:szCs w:val="120"/>
        </w:rPr>
      </w:pPr>
    </w:p>
    <w:p w14:paraId="1FB6C70D">
      <w:pPr>
        <w:jc w:val="center"/>
        <w:rPr>
          <w:b/>
          <w:sz w:val="120"/>
          <w:szCs w:val="120"/>
        </w:rPr>
      </w:pPr>
      <w:r>
        <w:rPr>
          <w:rFonts w:hint="eastAsia"/>
          <w:b/>
          <w:sz w:val="120"/>
          <w:szCs w:val="120"/>
        </w:rPr>
        <w:t>自行采购</w:t>
      </w:r>
    </w:p>
    <w:p w14:paraId="1461E0EF">
      <w:pPr>
        <w:jc w:val="center"/>
        <w:rPr>
          <w:b/>
          <w:sz w:val="120"/>
          <w:szCs w:val="120"/>
        </w:rPr>
      </w:pPr>
      <w:r>
        <w:rPr>
          <w:rFonts w:hint="eastAsia"/>
          <w:b/>
          <w:sz w:val="120"/>
          <w:szCs w:val="120"/>
        </w:rPr>
        <w:t>招标文件</w:t>
      </w:r>
    </w:p>
    <w:p w14:paraId="22702C22">
      <w:pPr>
        <w:jc w:val="center"/>
        <w:rPr>
          <w:b/>
          <w:sz w:val="52"/>
          <w:szCs w:val="52"/>
        </w:rPr>
      </w:pPr>
      <w:r>
        <w:rPr>
          <w:rFonts w:hint="eastAsia"/>
          <w:b/>
          <w:sz w:val="52"/>
          <w:szCs w:val="52"/>
        </w:rPr>
        <w:t>（服务类）</w:t>
      </w:r>
    </w:p>
    <w:p w14:paraId="624A3FF8">
      <w:pPr>
        <w:jc w:val="center"/>
      </w:pPr>
    </w:p>
    <w:p w14:paraId="2EA9DBD4">
      <w:pPr>
        <w:jc w:val="center"/>
      </w:pPr>
    </w:p>
    <w:p w14:paraId="785222B2">
      <w:pPr>
        <w:jc w:val="center"/>
      </w:pPr>
    </w:p>
    <w:p w14:paraId="454B17D7">
      <w:pPr>
        <w:jc w:val="center"/>
      </w:pPr>
    </w:p>
    <w:p w14:paraId="15CDE25B">
      <w:pPr>
        <w:pStyle w:val="35"/>
      </w:pPr>
    </w:p>
    <w:p w14:paraId="462C60FC">
      <w:pPr>
        <w:pStyle w:val="35"/>
      </w:pPr>
    </w:p>
    <w:p w14:paraId="39F2936B">
      <w:pPr>
        <w:pStyle w:val="35"/>
      </w:pPr>
    </w:p>
    <w:p w14:paraId="1D81D587">
      <w:pPr>
        <w:pStyle w:val="35"/>
      </w:pPr>
    </w:p>
    <w:p w14:paraId="5344C81E">
      <w:pPr>
        <w:pStyle w:val="35"/>
      </w:pPr>
    </w:p>
    <w:p w14:paraId="258160E8">
      <w:pPr>
        <w:jc w:val="center"/>
        <w:rPr>
          <w:b/>
          <w:sz w:val="44"/>
          <w:szCs w:val="44"/>
        </w:rPr>
      </w:pPr>
    </w:p>
    <w:p w14:paraId="3B37AE2E">
      <w:pPr>
        <w:jc w:val="center"/>
        <w:rPr>
          <w:b/>
          <w:sz w:val="44"/>
          <w:szCs w:val="44"/>
        </w:rPr>
      </w:pPr>
      <w:bookmarkStart w:id="0" w:name="_Hlk71465316"/>
      <w:r>
        <w:rPr>
          <w:rFonts w:hint="eastAsia"/>
          <w:b/>
          <w:sz w:val="44"/>
          <w:szCs w:val="44"/>
        </w:rPr>
        <w:t>深圳公共资源交易中心</w:t>
      </w:r>
    </w:p>
    <w:p w14:paraId="40A8EFD7">
      <w:pPr>
        <w:jc w:val="center"/>
        <w:rPr>
          <w:sz w:val="28"/>
          <w:szCs w:val="28"/>
        </w:rPr>
      </w:pPr>
      <w:r>
        <w:rPr>
          <w:rFonts w:hint="eastAsia"/>
          <w:b/>
          <w:sz w:val="28"/>
          <w:szCs w:val="28"/>
        </w:rPr>
        <w:t>（</w:t>
      </w:r>
      <w:r>
        <w:rPr>
          <w:b/>
          <w:sz w:val="28"/>
          <w:szCs w:val="28"/>
        </w:rPr>
        <w:t>20</w:t>
      </w:r>
      <w:r>
        <w:rPr>
          <w:rFonts w:hint="eastAsia"/>
          <w:b/>
          <w:sz w:val="28"/>
          <w:szCs w:val="28"/>
        </w:rPr>
        <w:t>25年）</w:t>
      </w:r>
      <w:bookmarkEnd w:id="0"/>
    </w:p>
    <w:p w14:paraId="524F5E39">
      <w:pPr>
        <w:spacing w:after="312" w:afterLines="100" w:line="400" w:lineRule="exact"/>
        <w:ind w:firstLine="420" w:firstLineChars="200"/>
        <w:rPr>
          <w:rFonts w:hint="eastAsia" w:ascii="宋体" w:hAnsi="宋体"/>
          <w:color w:val="FF0000"/>
          <w:szCs w:val="21"/>
        </w:rPr>
      </w:pPr>
      <w:r>
        <w:rPr>
          <w:rFonts w:hint="eastAsia"/>
        </w:rPr>
        <w:br w:type="page"/>
      </w:r>
      <w:bookmarkStart w:id="1" w:name="_Hlk137453387"/>
    </w:p>
    <w:bookmarkEnd w:id="1"/>
    <w:p w14:paraId="22DC135A">
      <w:pPr>
        <w:pStyle w:val="2"/>
      </w:pPr>
      <w:r>
        <w:rPr>
          <w:rFonts w:hint="eastAsia"/>
        </w:rPr>
        <w:t>目   录</w:t>
      </w:r>
    </w:p>
    <w:p w14:paraId="37478AE7">
      <w:pPr>
        <w:outlineLvl w:val="0"/>
        <w:rPr>
          <w:b/>
          <w:sz w:val="24"/>
        </w:rPr>
      </w:pPr>
      <w:r>
        <w:rPr>
          <w:rFonts w:hint="eastAsia"/>
          <w:b/>
          <w:sz w:val="24"/>
        </w:rPr>
        <w:t>第一册  专用条款</w:t>
      </w:r>
    </w:p>
    <w:p w14:paraId="732C7CE2">
      <w:pPr>
        <w:rPr>
          <w:sz w:val="24"/>
        </w:rPr>
      </w:pPr>
      <w:r>
        <w:rPr>
          <w:rFonts w:hint="eastAsia"/>
          <w:sz w:val="24"/>
        </w:rPr>
        <w:t xml:space="preserve">          关键信息</w:t>
      </w:r>
    </w:p>
    <w:p w14:paraId="7E500881">
      <w:pPr>
        <w:ind w:left="630" w:leftChars="300" w:firstLine="630" w:firstLineChars="300"/>
        <w:rPr>
          <w:rFonts w:hint="eastAsia" w:ascii="宋体" w:hAnsi="宋体"/>
          <w:szCs w:val="21"/>
        </w:rPr>
      </w:pPr>
      <w:r>
        <w:rPr>
          <w:rFonts w:hint="eastAsia" w:ascii="宋体" w:hAnsi="宋体"/>
          <w:szCs w:val="21"/>
        </w:rPr>
        <w:t>第一章  招标公告</w:t>
      </w:r>
    </w:p>
    <w:p w14:paraId="4753A9C0">
      <w:pPr>
        <w:ind w:left="630" w:leftChars="300" w:firstLine="630" w:firstLineChars="300"/>
        <w:rPr>
          <w:rFonts w:hint="eastAsia" w:ascii="宋体" w:hAnsi="宋体"/>
          <w:szCs w:val="21"/>
        </w:rPr>
      </w:pPr>
      <w:r>
        <w:rPr>
          <w:rFonts w:hint="eastAsia" w:ascii="宋体" w:hAnsi="宋体"/>
          <w:szCs w:val="21"/>
        </w:rPr>
        <w:t xml:space="preserve">第二章  </w:t>
      </w:r>
      <w:bookmarkStart w:id="2" w:name="_Hlk71994379"/>
      <w:r>
        <w:rPr>
          <w:rFonts w:hint="eastAsia" w:ascii="宋体" w:hAnsi="宋体"/>
          <w:szCs w:val="21"/>
        </w:rPr>
        <w:t>对通用条款的补充内容及其他关键信息</w:t>
      </w:r>
      <w:bookmarkEnd w:id="2"/>
    </w:p>
    <w:p w14:paraId="48142190">
      <w:pPr>
        <w:ind w:left="630" w:leftChars="300" w:firstLine="630" w:firstLineChars="300"/>
        <w:rPr>
          <w:rFonts w:hint="eastAsia" w:ascii="宋体" w:hAnsi="宋体"/>
          <w:szCs w:val="21"/>
        </w:rPr>
      </w:pPr>
      <w:r>
        <w:rPr>
          <w:rFonts w:hint="eastAsia" w:ascii="宋体" w:hAnsi="宋体"/>
          <w:szCs w:val="21"/>
        </w:rPr>
        <w:t xml:space="preserve">第三章 </w:t>
      </w:r>
      <w:r>
        <w:rPr>
          <w:rFonts w:ascii="宋体" w:hAnsi="宋体"/>
          <w:szCs w:val="21"/>
        </w:rPr>
        <w:t xml:space="preserve"> </w:t>
      </w:r>
      <w:r>
        <w:rPr>
          <w:rFonts w:hint="eastAsia" w:ascii="宋体" w:hAnsi="宋体"/>
          <w:szCs w:val="21"/>
        </w:rPr>
        <w:t>用户需求书</w:t>
      </w:r>
    </w:p>
    <w:p w14:paraId="18867456">
      <w:pPr>
        <w:ind w:left="630" w:leftChars="300" w:firstLine="630" w:firstLineChars="300"/>
        <w:rPr>
          <w:rFonts w:hint="eastAsia" w:ascii="宋体" w:hAnsi="宋体"/>
          <w:szCs w:val="21"/>
        </w:rPr>
      </w:pPr>
      <w:r>
        <w:rPr>
          <w:rFonts w:hint="eastAsia" w:ascii="宋体" w:hAnsi="宋体"/>
          <w:szCs w:val="21"/>
        </w:rPr>
        <w:t xml:space="preserve">第四章 </w:t>
      </w:r>
      <w:r>
        <w:rPr>
          <w:rFonts w:ascii="宋体" w:hAnsi="宋体"/>
          <w:szCs w:val="21"/>
        </w:rPr>
        <w:t xml:space="preserve"> </w:t>
      </w:r>
      <w:r>
        <w:rPr>
          <w:rFonts w:hint="eastAsia" w:ascii="宋体" w:hAnsi="宋体"/>
          <w:szCs w:val="21"/>
        </w:rPr>
        <w:t>投标文件组成要求及格式</w:t>
      </w:r>
    </w:p>
    <w:p w14:paraId="291FD8F6">
      <w:pPr>
        <w:ind w:left="630" w:leftChars="300" w:firstLine="630" w:firstLineChars="300"/>
        <w:rPr>
          <w:b/>
          <w:sz w:val="24"/>
        </w:rPr>
      </w:pPr>
      <w:r>
        <w:rPr>
          <w:rFonts w:hint="eastAsia" w:ascii="宋体" w:hAnsi="宋体"/>
          <w:szCs w:val="21"/>
        </w:rPr>
        <w:t>第五章  合同条款及格式</w:t>
      </w:r>
    </w:p>
    <w:p w14:paraId="4934E001">
      <w:pPr>
        <w:outlineLvl w:val="0"/>
        <w:rPr>
          <w:b/>
          <w:sz w:val="24"/>
        </w:rPr>
      </w:pPr>
      <w:r>
        <w:rPr>
          <w:rFonts w:hint="eastAsia"/>
          <w:b/>
          <w:sz w:val="24"/>
        </w:rPr>
        <w:t>第二册  通用条款</w:t>
      </w:r>
    </w:p>
    <w:p w14:paraId="245476E7">
      <w:pPr>
        <w:ind w:left="630" w:leftChars="300" w:firstLine="630" w:firstLineChars="300"/>
        <w:rPr>
          <w:rFonts w:hint="eastAsia" w:ascii="宋体" w:hAnsi="宋体"/>
          <w:szCs w:val="21"/>
        </w:rPr>
      </w:pPr>
      <w:r>
        <w:rPr>
          <w:rFonts w:hint="eastAsia" w:ascii="宋体" w:hAnsi="宋体"/>
          <w:szCs w:val="21"/>
        </w:rPr>
        <w:t>第一章  总则</w:t>
      </w:r>
    </w:p>
    <w:p w14:paraId="75DDDB69">
      <w:pPr>
        <w:ind w:left="630" w:leftChars="300" w:firstLine="630" w:firstLineChars="300"/>
        <w:rPr>
          <w:rFonts w:hint="eastAsia" w:ascii="宋体" w:hAnsi="宋体"/>
          <w:szCs w:val="21"/>
        </w:rPr>
      </w:pPr>
      <w:r>
        <w:rPr>
          <w:rFonts w:hint="eastAsia" w:ascii="宋体" w:hAnsi="宋体"/>
          <w:szCs w:val="21"/>
        </w:rPr>
        <w:t>第二章  招标文件</w:t>
      </w:r>
    </w:p>
    <w:p w14:paraId="5294456D">
      <w:pPr>
        <w:ind w:left="630" w:leftChars="300" w:firstLine="630" w:firstLineChars="300"/>
        <w:rPr>
          <w:rFonts w:hint="eastAsia" w:ascii="宋体" w:hAnsi="宋体"/>
          <w:szCs w:val="21"/>
        </w:rPr>
      </w:pPr>
      <w:r>
        <w:rPr>
          <w:rFonts w:hint="eastAsia" w:ascii="宋体" w:hAnsi="宋体"/>
          <w:szCs w:val="21"/>
        </w:rPr>
        <w:t>第三章  投标文件的编制</w:t>
      </w:r>
    </w:p>
    <w:p w14:paraId="05A3CC88">
      <w:pPr>
        <w:ind w:left="630" w:leftChars="300" w:firstLine="630" w:firstLineChars="300"/>
        <w:rPr>
          <w:rFonts w:hint="eastAsia" w:ascii="宋体" w:hAnsi="宋体"/>
          <w:szCs w:val="21"/>
        </w:rPr>
      </w:pPr>
      <w:r>
        <w:rPr>
          <w:rFonts w:hint="eastAsia" w:ascii="宋体" w:hAnsi="宋体"/>
          <w:szCs w:val="21"/>
        </w:rPr>
        <w:t>第四章  投标文件的递交</w:t>
      </w:r>
    </w:p>
    <w:p w14:paraId="1DA4DB6F">
      <w:pPr>
        <w:ind w:left="630" w:leftChars="300" w:firstLine="630" w:firstLineChars="300"/>
        <w:rPr>
          <w:rFonts w:hint="eastAsia" w:ascii="宋体" w:hAnsi="宋体"/>
          <w:szCs w:val="21"/>
        </w:rPr>
      </w:pPr>
      <w:r>
        <w:rPr>
          <w:rFonts w:hint="eastAsia" w:ascii="宋体" w:hAnsi="宋体"/>
          <w:szCs w:val="21"/>
        </w:rPr>
        <w:t>第五章  开标</w:t>
      </w:r>
    </w:p>
    <w:p w14:paraId="6061367F">
      <w:pPr>
        <w:ind w:left="630" w:leftChars="300" w:firstLine="630" w:firstLineChars="300"/>
        <w:rPr>
          <w:rFonts w:hint="eastAsia" w:ascii="宋体" w:hAnsi="宋体"/>
          <w:szCs w:val="21"/>
        </w:rPr>
      </w:pPr>
      <w:r>
        <w:rPr>
          <w:rFonts w:hint="eastAsia" w:ascii="宋体" w:hAnsi="宋体"/>
          <w:szCs w:val="21"/>
        </w:rPr>
        <w:t>第六章  评审要求</w:t>
      </w:r>
    </w:p>
    <w:p w14:paraId="105BF3E0">
      <w:pPr>
        <w:ind w:left="630" w:leftChars="300" w:firstLine="630" w:firstLineChars="300"/>
        <w:rPr>
          <w:rFonts w:hint="eastAsia" w:ascii="宋体" w:hAnsi="宋体"/>
          <w:szCs w:val="21"/>
        </w:rPr>
      </w:pPr>
      <w:r>
        <w:rPr>
          <w:rFonts w:hint="eastAsia" w:ascii="宋体" w:hAnsi="宋体"/>
          <w:szCs w:val="21"/>
        </w:rPr>
        <w:t>第七章  评审程序及评审方法</w:t>
      </w:r>
    </w:p>
    <w:p w14:paraId="5B6A4110">
      <w:pPr>
        <w:ind w:left="630" w:leftChars="300" w:firstLine="630" w:firstLineChars="300"/>
        <w:rPr>
          <w:rFonts w:hint="eastAsia" w:ascii="宋体" w:hAnsi="宋体"/>
          <w:szCs w:val="21"/>
        </w:rPr>
      </w:pPr>
      <w:r>
        <w:rPr>
          <w:rFonts w:hint="eastAsia" w:ascii="宋体" w:hAnsi="宋体"/>
          <w:szCs w:val="21"/>
        </w:rPr>
        <w:t>第八章  定标及公示</w:t>
      </w:r>
    </w:p>
    <w:p w14:paraId="0DB7DB6E">
      <w:pPr>
        <w:ind w:left="630" w:leftChars="300" w:firstLine="630" w:firstLineChars="300"/>
        <w:rPr>
          <w:rFonts w:hint="eastAsia" w:ascii="宋体" w:hAnsi="宋体"/>
          <w:szCs w:val="21"/>
        </w:rPr>
      </w:pPr>
      <w:r>
        <w:rPr>
          <w:rFonts w:hint="eastAsia" w:ascii="宋体" w:hAnsi="宋体"/>
          <w:szCs w:val="21"/>
        </w:rPr>
        <w:t>第九章  公开招标失败的后续处理</w:t>
      </w:r>
    </w:p>
    <w:p w14:paraId="526556BB">
      <w:pPr>
        <w:ind w:left="630" w:leftChars="300" w:firstLine="630" w:firstLineChars="300"/>
        <w:rPr>
          <w:rFonts w:hint="eastAsia" w:ascii="宋体" w:hAnsi="宋体"/>
          <w:szCs w:val="21"/>
        </w:rPr>
      </w:pPr>
      <w:r>
        <w:rPr>
          <w:rFonts w:hint="eastAsia" w:ascii="宋体" w:hAnsi="宋体"/>
          <w:szCs w:val="21"/>
        </w:rPr>
        <w:t>第十章  合同的授予与备案</w:t>
      </w:r>
    </w:p>
    <w:p w14:paraId="153BBCEA">
      <w:pPr>
        <w:ind w:left="630" w:leftChars="300" w:firstLine="630" w:firstLineChars="300"/>
        <w:rPr>
          <w:rFonts w:hint="eastAsia" w:ascii="宋体" w:hAnsi="宋体"/>
          <w:szCs w:val="21"/>
        </w:rPr>
      </w:pPr>
      <w:r>
        <w:rPr>
          <w:rFonts w:hint="eastAsia" w:ascii="宋体" w:hAnsi="宋体"/>
          <w:szCs w:val="21"/>
        </w:rPr>
        <w:t>第十一章  质疑处理</w:t>
      </w:r>
    </w:p>
    <w:p w14:paraId="03B4388A">
      <w:pPr>
        <w:rPr>
          <w:b/>
          <w:sz w:val="24"/>
        </w:rPr>
      </w:pPr>
    </w:p>
    <w:p w14:paraId="436D3976">
      <w:pPr>
        <w:rPr>
          <w:sz w:val="28"/>
          <w:szCs w:val="28"/>
        </w:rPr>
      </w:pPr>
      <w:r>
        <w:rPr>
          <w:rFonts w:hint="eastAsia"/>
          <w:sz w:val="28"/>
          <w:szCs w:val="28"/>
        </w:rPr>
        <w:br w:type="page"/>
      </w:r>
    </w:p>
    <w:p w14:paraId="78597686">
      <w:pPr>
        <w:pStyle w:val="3"/>
        <w:spacing w:before="0" w:after="0"/>
        <w:rPr>
          <w:rFonts w:hint="eastAsia"/>
          <w:sz w:val="28"/>
          <w:szCs w:val="28"/>
        </w:rPr>
      </w:pPr>
      <w:r>
        <w:rPr>
          <w:rFonts w:hint="eastAsia"/>
          <w:sz w:val="28"/>
          <w:szCs w:val="28"/>
        </w:rPr>
        <w:t>第一册专用条款</w:t>
      </w:r>
    </w:p>
    <w:p w14:paraId="3BF4023F">
      <w:pPr>
        <w:pStyle w:val="3"/>
        <w:spacing w:before="0" w:after="0"/>
        <w:rPr>
          <w:rFonts w:hint="eastAsia"/>
          <w:sz w:val="28"/>
          <w:szCs w:val="28"/>
        </w:rPr>
      </w:pPr>
      <w:r>
        <w:rPr>
          <w:rFonts w:hint="eastAsia"/>
          <w:sz w:val="28"/>
          <w:szCs w:val="28"/>
        </w:rPr>
        <w:t>第一章  招标公告</w:t>
      </w:r>
    </w:p>
    <w:p w14:paraId="08306463">
      <w:pPr>
        <w:rPr>
          <w:rFonts w:hint="eastAsia" w:ascii="宋体" w:hAnsi="宋体" w:cs="宋体"/>
          <w:b/>
          <w:bCs/>
          <w:kern w:val="0"/>
          <w:szCs w:val="21"/>
        </w:rPr>
      </w:pPr>
      <w:r>
        <w:rPr>
          <w:rFonts w:hint="eastAsia" w:ascii="宋体" w:hAnsi="宋体" w:cs="宋体"/>
          <w:b/>
          <w:bCs/>
          <w:kern w:val="0"/>
          <w:szCs w:val="21"/>
        </w:rPr>
        <w:t>投标人的资格要求：</w:t>
      </w:r>
    </w:p>
    <w:p w14:paraId="2AEE874E">
      <w:pPr>
        <w:ind w:firstLine="630" w:firstLineChars="300"/>
        <w:rPr>
          <w:rFonts w:hint="eastAsia" w:ascii="宋体" w:hAnsi="宋体" w:cs="宋体"/>
          <w:kern w:val="0"/>
          <w:szCs w:val="21"/>
        </w:rPr>
      </w:pPr>
      <w:r>
        <w:rPr>
          <w:rFonts w:hint="eastAsia" w:ascii="宋体" w:hAnsi="宋体" w:cs="宋体"/>
          <w:kern w:val="0"/>
          <w:szCs w:val="21"/>
        </w:rPr>
        <w:t>1</w:t>
      </w:r>
      <w:r>
        <w:rPr>
          <w:rFonts w:ascii="宋体" w:hAnsi="宋体" w:cs="宋体"/>
          <w:kern w:val="0"/>
          <w:szCs w:val="21"/>
        </w:rPr>
        <w:t>.</w:t>
      </w:r>
      <w:r>
        <w:rPr>
          <w:rFonts w:hint="eastAsia" w:ascii="宋体" w:hAnsi="宋体" w:cs="宋体"/>
          <w:kern w:val="0"/>
          <w:szCs w:val="21"/>
        </w:rPr>
        <w:t>具有独立法人资格或是具有独立承担民事责任能力的其他组织（提供营业执照或事业单位法人证书等证明资料扫描件；如果参与投标的供应商为分公司则须提供分公司营业执照、其所属集团（或总公司）等具有独立法人资格的组织出具的授权函或承诺书，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w:t>
      </w:r>
    </w:p>
    <w:p w14:paraId="7B4F068F">
      <w:pPr>
        <w:ind w:firstLine="630" w:firstLineChars="300"/>
        <w:rPr>
          <w:rFonts w:hint="eastAsia" w:ascii="宋体" w:hAnsi="宋体" w:cs="宋体"/>
          <w:kern w:val="0"/>
          <w:szCs w:val="21"/>
        </w:rPr>
      </w:pPr>
      <w:r>
        <w:rPr>
          <w:rFonts w:hint="eastAsia" w:ascii="宋体" w:hAnsi="宋体" w:cs="宋体"/>
          <w:kern w:val="0"/>
          <w:szCs w:val="21"/>
        </w:rPr>
        <w:t>2.本项目不接受联合体投标，不接受投标人选用进口产品参与投标（由供应商在《采购投标及履约承诺函》中作出声明）；</w:t>
      </w:r>
    </w:p>
    <w:p w14:paraId="51651820">
      <w:pPr>
        <w:ind w:firstLine="630" w:firstLineChars="300"/>
        <w:rPr>
          <w:rFonts w:hint="eastAsia" w:ascii="宋体" w:hAnsi="宋体" w:cs="宋体"/>
          <w:kern w:val="0"/>
          <w:szCs w:val="21"/>
        </w:rPr>
      </w:pPr>
      <w:r>
        <w:rPr>
          <w:rFonts w:hint="eastAsia" w:ascii="宋体" w:hAnsi="宋体" w:cs="宋体"/>
          <w:kern w:val="0"/>
          <w:szCs w:val="21"/>
        </w:rPr>
        <w:t>3</w:t>
      </w:r>
      <w:r>
        <w:rPr>
          <w:rFonts w:ascii="宋体" w:hAnsi="宋体" w:cs="宋体"/>
          <w:kern w:val="0"/>
          <w:szCs w:val="21"/>
        </w:rPr>
        <w:t>.</w:t>
      </w:r>
      <w:r>
        <w:rPr>
          <w:rFonts w:hint="eastAsia" w:ascii="宋体" w:hAnsi="宋体" w:cs="宋体"/>
          <w:kern w:val="0"/>
          <w:szCs w:val="21"/>
        </w:rPr>
        <w:t>参与本项目采购活动时不存在被有关部门禁止参与政府采购活动且在有效期内的情况（由供应商在《采购投标及履约承诺函》中作出声明）；</w:t>
      </w:r>
    </w:p>
    <w:p w14:paraId="742D3AB6">
      <w:pPr>
        <w:ind w:firstLine="630" w:firstLineChars="300"/>
        <w:rPr>
          <w:rFonts w:hint="eastAsia" w:ascii="宋体" w:hAnsi="宋体" w:cs="宋体"/>
          <w:kern w:val="0"/>
          <w:szCs w:val="21"/>
        </w:rPr>
      </w:pPr>
      <w:r>
        <w:rPr>
          <w:rFonts w:hint="eastAsia" w:ascii="宋体" w:hAnsi="宋体" w:cs="宋体"/>
          <w:kern w:val="0"/>
          <w:szCs w:val="21"/>
        </w:rPr>
        <w:t>4</w:t>
      </w:r>
      <w:r>
        <w:rPr>
          <w:rFonts w:ascii="宋体" w:hAnsi="宋体" w:cs="宋体"/>
          <w:kern w:val="0"/>
          <w:szCs w:val="21"/>
        </w:rPr>
        <w:t>.</w:t>
      </w:r>
      <w:r>
        <w:rPr>
          <w:rFonts w:hint="eastAsia" w:ascii="宋体" w:hAnsi="宋体" w:cs="宋体"/>
          <w:kern w:val="0"/>
          <w:szCs w:val="21"/>
        </w:rPr>
        <w:t>具备《中华人民共和国政府采购法》第二十二条第一款的条件（由供应商在《采购投标及履约承诺函》中作出声明）；</w:t>
      </w:r>
    </w:p>
    <w:p w14:paraId="1CDDD134">
      <w:pPr>
        <w:ind w:firstLine="630" w:firstLineChars="300"/>
        <w:rPr>
          <w:rFonts w:hint="eastAsia" w:ascii="宋体" w:hAnsi="宋体" w:cs="宋体"/>
          <w:kern w:val="0"/>
          <w:szCs w:val="21"/>
        </w:rPr>
      </w:pPr>
      <w:r>
        <w:rPr>
          <w:rFonts w:hint="eastAsia" w:ascii="宋体" w:hAnsi="宋体" w:cs="宋体"/>
          <w:kern w:val="0"/>
          <w:szCs w:val="21"/>
        </w:rPr>
        <w:t>5</w:t>
      </w:r>
      <w:r>
        <w:rPr>
          <w:rFonts w:ascii="宋体" w:hAnsi="宋体" w:cs="宋体"/>
          <w:kern w:val="0"/>
          <w:szCs w:val="21"/>
        </w:rPr>
        <w:t>.</w:t>
      </w:r>
      <w:r>
        <w:rPr>
          <w:rFonts w:hint="eastAsia" w:ascii="宋体" w:hAnsi="宋体" w:cs="宋体"/>
          <w:kern w:val="0"/>
          <w:szCs w:val="21"/>
        </w:rPr>
        <w:t>未被列入失信被执行人、重大税收违法案件当事人名单、政府采购严重违法失信行为记录名单（由供应商在《采购投标及履约承诺函》中作出声明）；</w:t>
      </w:r>
    </w:p>
    <w:p w14:paraId="5847BBB7">
      <w:pPr>
        <w:ind w:firstLine="630" w:firstLineChars="300"/>
        <w:rPr>
          <w:rFonts w:hint="eastAsia" w:ascii="宋体" w:hAnsi="宋体" w:cs="宋体"/>
          <w:color w:val="FF0000"/>
          <w:kern w:val="0"/>
          <w:szCs w:val="21"/>
        </w:rPr>
      </w:pPr>
      <w:r>
        <w:rPr>
          <w:rFonts w:hint="eastAsia" w:ascii="宋体" w:hAnsi="宋体" w:cs="宋体"/>
          <w:color w:val="FF0000"/>
          <w:kern w:val="0"/>
          <w:szCs w:val="21"/>
        </w:rPr>
        <w:t>6.不存在《深圳市财政局政府采购供应商信用信息管理办法》（深财规〔2023〕3号）列明的严重违法失信行为（由供应商在《采购投标及履约承诺函》中作出声明）；</w:t>
      </w:r>
    </w:p>
    <w:p w14:paraId="2FBD728B">
      <w:pPr>
        <w:ind w:firstLine="630" w:firstLineChars="300"/>
        <w:rPr>
          <w:rFonts w:hint="eastAsia" w:ascii="宋体" w:hAnsi="宋体" w:cs="宋体"/>
          <w:kern w:val="0"/>
          <w:szCs w:val="21"/>
        </w:rPr>
      </w:pPr>
      <w:r>
        <w:rPr>
          <w:rFonts w:hint="eastAsia" w:ascii="宋体" w:hAnsi="宋体" w:cs="宋体"/>
          <w:kern w:val="0"/>
          <w:szCs w:val="21"/>
        </w:rPr>
        <w:t>7.为采购项目提供整体设计、规范编制或者项目管理、监理、检测等服务的供应商，不得再参加该采购项目的其他采购活动（由供应商在《采购投标及履约承诺函》中作出声明）；</w:t>
      </w:r>
    </w:p>
    <w:p w14:paraId="29E46C37">
      <w:pPr>
        <w:ind w:firstLine="630" w:firstLineChars="300"/>
        <w:rPr>
          <w:rFonts w:hint="eastAsia" w:ascii="宋体" w:hAnsi="宋体" w:cs="宋体"/>
          <w:color w:val="FF0000"/>
          <w:kern w:val="0"/>
          <w:szCs w:val="21"/>
        </w:rPr>
      </w:pPr>
      <w:r>
        <w:rPr>
          <w:rFonts w:hint="eastAsia" w:ascii="宋体" w:hAnsi="宋体" w:cs="宋体"/>
          <w:color w:val="FF0000"/>
          <w:kern w:val="0"/>
          <w:szCs w:val="21"/>
        </w:rPr>
        <w:t>8.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采购活动</w:t>
      </w:r>
      <w:r>
        <w:rPr>
          <w:rFonts w:hint="eastAsia" w:ascii="宋体" w:hAnsi="宋体" w:cs="宋体"/>
          <w:b/>
          <w:color w:val="FF0000"/>
          <w:kern w:val="0"/>
          <w:szCs w:val="21"/>
        </w:rPr>
        <w:t>（由供应商提供《供应商基本情况表》并加盖公章扫描件）。</w:t>
      </w:r>
    </w:p>
    <w:p w14:paraId="16412D55">
      <w:pPr>
        <w:ind w:firstLine="630" w:firstLineChars="300"/>
        <w:rPr>
          <w:rFonts w:hint="eastAsia" w:ascii="宋体" w:hAnsi="宋体" w:cs="宋体"/>
          <w:kern w:val="0"/>
          <w:szCs w:val="21"/>
        </w:rPr>
      </w:pPr>
      <w:r>
        <w:rPr>
          <w:rFonts w:hint="eastAsia" w:ascii="宋体" w:hAnsi="宋体" w:cs="宋体"/>
          <w:kern w:val="0"/>
          <w:szCs w:val="21"/>
        </w:rPr>
        <w:t>9.</w:t>
      </w:r>
      <w:bookmarkStart w:id="3" w:name="OLE_LINK2"/>
      <w:r>
        <w:rPr>
          <w:rFonts w:hint="eastAsia" w:ascii="宋体" w:hAnsi="宋体" w:cs="宋体"/>
          <w:kern w:val="0"/>
          <w:szCs w:val="21"/>
        </w:rPr>
        <w:t>本项目全部专门面向中小企业采购：本项目的承接服务商为符合政策要求的中小微企业、残疾人福利性单位或监狱企业（由供应商在《中小企业声明函、残疾人福利性单位声明函及监狱企业声明函》中作出声明；未提供声明函或声明函不符合“填写指引”的，按资格审查不通过处理）。</w:t>
      </w:r>
    </w:p>
    <w:bookmarkEnd w:id="3"/>
    <w:p w14:paraId="3FED9B3A">
      <w:pPr>
        <w:ind w:firstLine="420" w:firstLineChars="200"/>
        <w:rPr>
          <w:rFonts w:hint="eastAsia" w:ascii="宋体" w:hAnsi="宋体" w:cs="宋体"/>
          <w:kern w:val="0"/>
          <w:szCs w:val="21"/>
        </w:rPr>
      </w:pPr>
      <w:r>
        <w:rPr>
          <w:rFonts w:hint="eastAsia" w:ascii="宋体" w:hAnsi="宋体" w:cs="宋体"/>
          <w:kern w:val="0"/>
          <w:szCs w:val="21"/>
        </w:rPr>
        <w:t>注：（1）“信用中国”（www.creditchina.gov.cn，查询“信用服务”栏的“重大税收违法失信主体”“失信被执行人”或者下载信用信息报告），“中国政府采购网”（www.ccgp.gov.cn）中的“政府采购严重违法失信行为记录名单”，以及“深圳市政府采购监管网”（http://zfcg.sz.gov.cn）为供应商信用信息的查询渠道，相关信息以开标当日的查询结果为准；</w:t>
      </w:r>
    </w:p>
    <w:p w14:paraId="176D82D6">
      <w:pPr>
        <w:rPr>
          <w:ins w:id="0" w:author="大白熊与小花花" w:date="2025-04-03T17:28:00Z"/>
          <w:rFonts w:hint="eastAsia" w:ascii="宋体" w:hAnsi="宋体"/>
        </w:rPr>
      </w:pPr>
      <w:r>
        <w:rPr>
          <w:rFonts w:hint="eastAsia" w:ascii="宋体" w:hAnsi="宋体"/>
        </w:rPr>
        <w:t>（2）供应商投标（上传投标文件）必须先行办理注册手续，具体操作指引请按照深圳公共资源交易网/交易服务指南/资料下载/深圳自行采购系统用户操作指引（供应商）相关内容指引办理。</w:t>
      </w:r>
    </w:p>
    <w:p w14:paraId="6418FFB7">
      <w:pPr>
        <w:pStyle w:val="18"/>
      </w:pPr>
    </w:p>
    <w:p w14:paraId="7A2BDEB3">
      <w:pPr>
        <w:jc w:val="left"/>
        <w:rPr>
          <w:b/>
          <w:sz w:val="22"/>
          <w:szCs w:val="18"/>
        </w:rPr>
      </w:pPr>
      <w:r>
        <w:rPr>
          <w:rFonts w:hint="eastAsia"/>
          <w:b/>
          <w:sz w:val="22"/>
          <w:szCs w:val="18"/>
        </w:rPr>
        <w:t>完整公告内容详见：深圳交易集团（深圳公共资源交易中心）官网https://www.szexgrp.com/jyfw/zfcg-view.html?id=zfcg</w:t>
      </w:r>
    </w:p>
    <w:p w14:paraId="7045790D">
      <w:pPr>
        <w:rPr>
          <w:sz w:val="28"/>
          <w:szCs w:val="28"/>
        </w:rPr>
      </w:pPr>
      <w:bookmarkStart w:id="4" w:name="bt合同条款及格式"/>
      <w:bookmarkEnd w:id="4"/>
      <w:bookmarkStart w:id="5" w:name="bt技术标投标文件格式"/>
      <w:bookmarkEnd w:id="5"/>
      <w:bookmarkStart w:id="6" w:name="bt项目管理班子配备情况"/>
      <w:bookmarkEnd w:id="6"/>
      <w:bookmarkStart w:id="7" w:name="bt商务标投标文件格式"/>
      <w:bookmarkEnd w:id="7"/>
      <w:bookmarkStart w:id="8" w:name="bt其他资料2"/>
      <w:bookmarkEnd w:id="8"/>
      <w:bookmarkStart w:id="9" w:name="合同格式"/>
      <w:bookmarkEnd w:id="9"/>
      <w:bookmarkStart w:id="10" w:name="bt投标人须知"/>
      <w:bookmarkEnd w:id="10"/>
      <w:bookmarkStart w:id="11" w:name="bt其他资料由投标人自定"/>
      <w:bookmarkEnd w:id="11"/>
      <w:bookmarkStart w:id="12" w:name="bt合同条款"/>
      <w:bookmarkEnd w:id="12"/>
      <w:bookmarkStart w:id="13" w:name="bt开标一览表"/>
      <w:bookmarkEnd w:id="13"/>
      <w:bookmarkStart w:id="14" w:name="bt投标报价汇总表"/>
      <w:bookmarkEnd w:id="14"/>
      <w:bookmarkStart w:id="15" w:name="bt合同格式"/>
      <w:bookmarkEnd w:id="15"/>
      <w:bookmarkStart w:id="16" w:name="bt本工程承诺书"/>
      <w:bookmarkEnd w:id="16"/>
      <w:bookmarkStart w:id="17" w:name="bt投标人情况介绍"/>
      <w:bookmarkEnd w:id="17"/>
      <w:bookmarkStart w:id="18" w:name="bt说明"/>
      <w:bookmarkEnd w:id="18"/>
      <w:bookmarkStart w:id="19" w:name="bt投标函"/>
      <w:bookmarkEnd w:id="19"/>
      <w:bookmarkStart w:id="20" w:name="bt投标文件签署授权委托书"/>
      <w:bookmarkEnd w:id="20"/>
      <w:r>
        <w:rPr>
          <w:rFonts w:hint="eastAsia"/>
          <w:sz w:val="28"/>
          <w:szCs w:val="28"/>
        </w:rPr>
        <w:br w:type="page"/>
      </w:r>
    </w:p>
    <w:p w14:paraId="1BDAF229">
      <w:pPr>
        <w:pStyle w:val="3"/>
        <w:rPr>
          <w:rFonts w:hint="eastAsia"/>
          <w:sz w:val="28"/>
          <w:szCs w:val="28"/>
        </w:rPr>
      </w:pPr>
      <w:r>
        <w:rPr>
          <w:rFonts w:hint="eastAsia"/>
          <w:sz w:val="28"/>
          <w:szCs w:val="28"/>
        </w:rPr>
        <w:t>第二章 对通用条款的补充内容及其他关键信息</w:t>
      </w:r>
    </w:p>
    <w:p w14:paraId="28867BEE">
      <w:pPr>
        <w:pStyle w:val="3"/>
        <w:spacing w:before="156" w:beforeLines="50" w:after="156" w:afterLines="50"/>
        <w:rPr>
          <w:rFonts w:hint="eastAsia"/>
          <w:sz w:val="28"/>
          <w:szCs w:val="28"/>
        </w:rPr>
      </w:pPr>
      <w:bookmarkStart w:id="21" w:name="_Toc60560625"/>
      <w:bookmarkStart w:id="22" w:name="_Toc73517639"/>
      <w:bookmarkStart w:id="23" w:name="_Toc101074876"/>
      <w:bookmarkStart w:id="24" w:name="_Toc73521547"/>
      <w:bookmarkStart w:id="25" w:name="_Toc73521635"/>
      <w:bookmarkStart w:id="26" w:name="_Toc60631620"/>
      <w:bookmarkStart w:id="27" w:name="_Toc73518117"/>
      <w:bookmarkStart w:id="28" w:name="_Toc100052364"/>
      <w:r>
        <w:rPr>
          <w:rFonts w:hint="eastAsia"/>
          <w:szCs w:val="24"/>
        </w:rPr>
        <w:t>一、对通用条款的补充内容</w:t>
      </w:r>
    </w:p>
    <w:bookmarkEnd w:id="21"/>
    <w:bookmarkEnd w:id="22"/>
    <w:bookmarkEnd w:id="23"/>
    <w:bookmarkEnd w:id="24"/>
    <w:bookmarkEnd w:id="25"/>
    <w:bookmarkEnd w:id="26"/>
    <w:bookmarkEnd w:id="27"/>
    <w:bookmarkEnd w:id="28"/>
    <w:tbl>
      <w:tblPr>
        <w:tblStyle w:val="42"/>
        <w:tblW w:w="879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970"/>
        <w:gridCol w:w="1946"/>
        <w:gridCol w:w="5881"/>
      </w:tblGrid>
      <w:tr w14:paraId="716D937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511803C3">
            <w:pPr>
              <w:jc w:val="center"/>
              <w:rPr>
                <w:rFonts w:hint="eastAsia" w:asciiTheme="minorEastAsia" w:hAnsiTheme="minorEastAsia" w:eastAsiaTheme="minorEastAsia"/>
                <w:b/>
                <w:bCs/>
              </w:rPr>
            </w:pPr>
            <w:r>
              <w:rPr>
                <w:rFonts w:hint="eastAsia" w:asciiTheme="minorEastAsia" w:hAnsiTheme="minorEastAsia" w:eastAsiaTheme="minorEastAsia"/>
                <w:b/>
                <w:bCs/>
              </w:rPr>
              <w:t>通用条款序号</w:t>
            </w:r>
          </w:p>
        </w:tc>
        <w:tc>
          <w:tcPr>
            <w:tcW w:w="1946" w:type="dxa"/>
            <w:vAlign w:val="center"/>
          </w:tcPr>
          <w:p w14:paraId="5C40CF93">
            <w:pPr>
              <w:jc w:val="center"/>
              <w:rPr>
                <w:rFonts w:hint="eastAsia" w:asciiTheme="minorEastAsia" w:hAnsiTheme="minorEastAsia" w:eastAsiaTheme="minorEastAsia"/>
                <w:b/>
                <w:bCs/>
              </w:rPr>
            </w:pPr>
            <w:r>
              <w:rPr>
                <w:rFonts w:hint="eastAsia" w:asciiTheme="minorEastAsia" w:hAnsiTheme="minorEastAsia" w:eastAsiaTheme="minorEastAsia"/>
                <w:b/>
                <w:bCs/>
              </w:rPr>
              <w:t>涉及事项</w:t>
            </w:r>
          </w:p>
        </w:tc>
        <w:tc>
          <w:tcPr>
            <w:tcW w:w="5881" w:type="dxa"/>
            <w:vAlign w:val="center"/>
          </w:tcPr>
          <w:p w14:paraId="3FC3B245">
            <w:pPr>
              <w:jc w:val="center"/>
              <w:rPr>
                <w:rFonts w:hint="eastAsia" w:asciiTheme="minorEastAsia" w:hAnsiTheme="minorEastAsia" w:eastAsiaTheme="minorEastAsia"/>
                <w:b/>
                <w:bCs/>
              </w:rPr>
            </w:pPr>
            <w:r>
              <w:rPr>
                <w:rFonts w:hint="eastAsia" w:asciiTheme="minorEastAsia" w:hAnsiTheme="minorEastAsia" w:eastAsiaTheme="minorEastAsia"/>
                <w:b/>
                <w:bCs/>
              </w:rPr>
              <w:t xml:space="preserve">具 </w:t>
            </w:r>
            <w:r>
              <w:rPr>
                <w:rFonts w:asciiTheme="minorEastAsia" w:hAnsiTheme="minorEastAsia" w:eastAsiaTheme="minorEastAsia"/>
                <w:b/>
                <w:bCs/>
              </w:rPr>
              <w:t xml:space="preserve"> </w:t>
            </w:r>
            <w:r>
              <w:rPr>
                <w:rFonts w:hint="eastAsia" w:asciiTheme="minorEastAsia" w:hAnsiTheme="minorEastAsia" w:eastAsiaTheme="minorEastAsia"/>
                <w:b/>
                <w:bCs/>
              </w:rPr>
              <w:t xml:space="preserve">体 </w:t>
            </w:r>
            <w:r>
              <w:rPr>
                <w:rFonts w:asciiTheme="minorEastAsia" w:hAnsiTheme="minorEastAsia" w:eastAsiaTheme="minorEastAsia"/>
                <w:b/>
                <w:bCs/>
              </w:rPr>
              <w:t xml:space="preserve"> </w:t>
            </w:r>
            <w:r>
              <w:rPr>
                <w:rFonts w:hint="eastAsia" w:asciiTheme="minorEastAsia" w:hAnsiTheme="minorEastAsia" w:eastAsiaTheme="minorEastAsia"/>
                <w:b/>
                <w:bCs/>
              </w:rPr>
              <w:t xml:space="preserve">补 </w:t>
            </w:r>
            <w:r>
              <w:rPr>
                <w:rFonts w:asciiTheme="minorEastAsia" w:hAnsiTheme="minorEastAsia" w:eastAsiaTheme="minorEastAsia"/>
                <w:b/>
                <w:bCs/>
              </w:rPr>
              <w:t xml:space="preserve"> </w:t>
            </w:r>
            <w:r>
              <w:rPr>
                <w:rFonts w:hint="eastAsia" w:asciiTheme="minorEastAsia" w:hAnsiTheme="minorEastAsia" w:eastAsiaTheme="minorEastAsia"/>
                <w:b/>
                <w:bCs/>
              </w:rPr>
              <w:t xml:space="preserve">充 </w:t>
            </w:r>
            <w:r>
              <w:rPr>
                <w:rFonts w:asciiTheme="minorEastAsia" w:hAnsiTheme="minorEastAsia" w:eastAsiaTheme="minorEastAsia"/>
                <w:b/>
                <w:bCs/>
              </w:rPr>
              <w:t xml:space="preserve"> </w:t>
            </w:r>
            <w:r>
              <w:rPr>
                <w:rFonts w:hint="eastAsia" w:asciiTheme="minorEastAsia" w:hAnsiTheme="minorEastAsia" w:eastAsiaTheme="minorEastAsia"/>
                <w:b/>
                <w:bCs/>
              </w:rPr>
              <w:t xml:space="preserve">内 </w:t>
            </w:r>
            <w:r>
              <w:rPr>
                <w:rFonts w:asciiTheme="minorEastAsia" w:hAnsiTheme="minorEastAsia" w:eastAsiaTheme="minorEastAsia"/>
                <w:b/>
                <w:bCs/>
              </w:rPr>
              <w:t xml:space="preserve"> </w:t>
            </w:r>
            <w:r>
              <w:rPr>
                <w:rFonts w:hint="eastAsia" w:asciiTheme="minorEastAsia" w:hAnsiTheme="minorEastAsia" w:eastAsiaTheme="minorEastAsia"/>
                <w:b/>
                <w:bCs/>
              </w:rPr>
              <w:t>容</w:t>
            </w:r>
          </w:p>
        </w:tc>
      </w:tr>
      <w:tr w14:paraId="0CD6E21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8797" w:type="dxa"/>
            <w:gridSpan w:val="3"/>
            <w:vAlign w:val="center"/>
          </w:tcPr>
          <w:p w14:paraId="45B6511F">
            <w:pPr>
              <w:jc w:val="center"/>
              <w:rPr>
                <w:rFonts w:hint="eastAsia" w:asciiTheme="minorEastAsia" w:hAnsiTheme="minorEastAsia" w:eastAsiaTheme="minorEastAsia"/>
                <w:b/>
                <w:bCs/>
              </w:rPr>
            </w:pPr>
            <w:r>
              <w:rPr>
                <w:rFonts w:hint="eastAsia" w:asciiTheme="minorEastAsia" w:hAnsiTheme="minorEastAsia" w:eastAsiaTheme="minorEastAsia"/>
              </w:rPr>
              <w:t>本项目为自行采购项目，相关事宜按照招标文件要求及采购单位内控制度执行。</w:t>
            </w:r>
          </w:p>
        </w:tc>
      </w:tr>
      <w:tr w14:paraId="724FFB5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5A0B82CB">
            <w:pPr>
              <w:jc w:val="center"/>
              <w:rPr>
                <w:rFonts w:hint="eastAsia"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.1</w:t>
            </w:r>
          </w:p>
        </w:tc>
        <w:tc>
          <w:tcPr>
            <w:tcW w:w="1946" w:type="dxa"/>
            <w:vAlign w:val="center"/>
          </w:tcPr>
          <w:p w14:paraId="3F3CEB82">
            <w:pPr>
              <w:jc w:val="center"/>
              <w:rPr>
                <w:rFonts w:hint="eastAsia" w:asciiTheme="minorEastAsia" w:hAnsiTheme="minorEastAsia" w:eastAsiaTheme="minorEastAsia"/>
              </w:rPr>
            </w:pPr>
            <w:r>
              <w:rPr>
                <w:rFonts w:hint="eastAsia" w:asciiTheme="minorEastAsia" w:hAnsiTheme="minorEastAsia" w:eastAsiaTheme="minorEastAsia"/>
              </w:rPr>
              <w:t>采购人</w:t>
            </w:r>
          </w:p>
        </w:tc>
        <w:tc>
          <w:tcPr>
            <w:tcW w:w="5881" w:type="dxa"/>
            <w:vAlign w:val="center"/>
          </w:tcPr>
          <w:p w14:paraId="1FEE1425">
            <w:pPr>
              <w:jc w:val="center"/>
              <w:rPr>
                <w:rFonts w:hint="eastAsia" w:asciiTheme="minorEastAsia" w:hAnsiTheme="minorEastAsia" w:eastAsiaTheme="minorEastAsia"/>
              </w:rPr>
            </w:pPr>
            <w:r>
              <w:rPr>
                <w:rFonts w:hint="eastAsia" w:asciiTheme="minorEastAsia" w:hAnsiTheme="minorEastAsia" w:eastAsiaTheme="minorEastAsia"/>
              </w:rPr>
              <w:t>深圳外国语湾区学校</w:t>
            </w:r>
          </w:p>
        </w:tc>
      </w:tr>
      <w:tr w14:paraId="5EC58D6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3121872D">
            <w:pPr>
              <w:jc w:val="center"/>
              <w:rPr>
                <w:rFonts w:hint="eastAsia"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.2</w:t>
            </w:r>
          </w:p>
        </w:tc>
        <w:tc>
          <w:tcPr>
            <w:tcW w:w="1946" w:type="dxa"/>
            <w:vAlign w:val="center"/>
          </w:tcPr>
          <w:p w14:paraId="3B56DC60">
            <w:pPr>
              <w:jc w:val="center"/>
              <w:rPr>
                <w:rFonts w:hint="eastAsia" w:asciiTheme="minorEastAsia" w:hAnsiTheme="minorEastAsia" w:eastAsiaTheme="minorEastAsia"/>
              </w:rPr>
            </w:pPr>
            <w:r>
              <w:rPr>
                <w:rFonts w:hint="eastAsia" w:asciiTheme="minorEastAsia" w:hAnsiTheme="minorEastAsia" w:eastAsiaTheme="minorEastAsia"/>
              </w:rPr>
              <w:t>采购代理机构</w:t>
            </w:r>
          </w:p>
        </w:tc>
        <w:tc>
          <w:tcPr>
            <w:tcW w:w="5881" w:type="dxa"/>
            <w:vAlign w:val="center"/>
          </w:tcPr>
          <w:p w14:paraId="2A9E4D06">
            <w:pPr>
              <w:jc w:val="center"/>
              <w:rPr>
                <w:rFonts w:hint="eastAsia" w:asciiTheme="minorEastAsia" w:hAnsiTheme="minorEastAsia" w:eastAsiaTheme="minorEastAsia"/>
              </w:rPr>
            </w:pPr>
            <w:r>
              <w:rPr>
                <w:rFonts w:hint="eastAsia" w:asciiTheme="minorEastAsia" w:hAnsiTheme="minorEastAsia" w:eastAsiaTheme="minorEastAsia"/>
              </w:rPr>
              <w:t>深圳公共资源交易中心</w:t>
            </w:r>
          </w:p>
          <w:p w14:paraId="2075A061">
            <w:pPr>
              <w:jc w:val="center"/>
              <w:rPr>
                <w:rFonts w:hint="eastAsia" w:asciiTheme="minorEastAsia" w:hAnsiTheme="minorEastAsia" w:eastAsiaTheme="minorEastAsia"/>
              </w:rPr>
            </w:pPr>
            <w:r>
              <w:rPr>
                <w:rFonts w:hint="eastAsia" w:asciiTheme="minorEastAsia" w:hAnsiTheme="minorEastAsia" w:eastAsiaTheme="minorEastAsia"/>
              </w:rPr>
              <w:t>（深圳交易集团有限公司政府采购业务分公司）</w:t>
            </w:r>
          </w:p>
        </w:tc>
      </w:tr>
      <w:tr w14:paraId="00A28E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1E000EE5">
            <w:pPr>
              <w:jc w:val="center"/>
              <w:rPr>
                <w:rFonts w:hint="eastAsia" w:asciiTheme="minorEastAsia" w:hAnsiTheme="minorEastAsia" w:eastAsiaTheme="minorEastAsia"/>
              </w:rPr>
            </w:pPr>
            <w:r>
              <w:rPr>
                <w:rFonts w:hint="eastAsia" w:asciiTheme="minorEastAsia" w:hAnsiTheme="minorEastAsia" w:eastAsiaTheme="minorEastAsia"/>
              </w:rPr>
              <w:t>9</w:t>
            </w:r>
          </w:p>
        </w:tc>
        <w:tc>
          <w:tcPr>
            <w:tcW w:w="1946" w:type="dxa"/>
            <w:vAlign w:val="center"/>
          </w:tcPr>
          <w:p w14:paraId="18B1697B">
            <w:pPr>
              <w:jc w:val="center"/>
              <w:rPr>
                <w:rFonts w:hint="eastAsia" w:asciiTheme="minorEastAsia" w:hAnsiTheme="minorEastAsia" w:eastAsiaTheme="minorEastAsia"/>
              </w:rPr>
            </w:pPr>
            <w:r>
              <w:rPr>
                <w:rFonts w:hint="eastAsia" w:asciiTheme="minorEastAsia" w:hAnsiTheme="minorEastAsia" w:eastAsiaTheme="minorEastAsia"/>
              </w:rPr>
              <w:t>踏勘现场</w:t>
            </w:r>
          </w:p>
        </w:tc>
        <w:tc>
          <w:tcPr>
            <w:tcW w:w="5881" w:type="dxa"/>
            <w:vAlign w:val="center"/>
          </w:tcPr>
          <w:p w14:paraId="67006370">
            <w:pPr>
              <w:jc w:val="center"/>
              <w:rPr>
                <w:rFonts w:hint="eastAsia" w:asciiTheme="minorEastAsia" w:hAnsiTheme="minorEastAsia" w:eastAsiaTheme="minorEastAsia"/>
              </w:rPr>
            </w:pPr>
            <w:r>
              <w:rPr>
                <w:rFonts w:hint="eastAsia" w:asciiTheme="minorEastAsia" w:hAnsiTheme="minorEastAsia" w:eastAsiaTheme="minorEastAsia"/>
              </w:rPr>
              <w:t>不组织</w:t>
            </w:r>
          </w:p>
        </w:tc>
      </w:tr>
      <w:tr w14:paraId="45DCC8A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5C145CB9">
            <w:pPr>
              <w:jc w:val="center"/>
              <w:rPr>
                <w:rFonts w:hint="eastAsia"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0</w:t>
            </w:r>
          </w:p>
        </w:tc>
        <w:tc>
          <w:tcPr>
            <w:tcW w:w="1946" w:type="dxa"/>
            <w:vAlign w:val="center"/>
          </w:tcPr>
          <w:p w14:paraId="2D0AF435">
            <w:pPr>
              <w:jc w:val="center"/>
              <w:rPr>
                <w:rFonts w:hint="eastAsia" w:asciiTheme="minorEastAsia" w:hAnsiTheme="minorEastAsia" w:eastAsiaTheme="minorEastAsia"/>
              </w:rPr>
            </w:pPr>
            <w:r>
              <w:rPr>
                <w:rFonts w:hint="eastAsia" w:asciiTheme="minorEastAsia" w:hAnsiTheme="minorEastAsia" w:eastAsiaTheme="minorEastAsia"/>
              </w:rPr>
              <w:t>标前会议</w:t>
            </w:r>
          </w:p>
        </w:tc>
        <w:tc>
          <w:tcPr>
            <w:tcW w:w="5881" w:type="dxa"/>
            <w:vAlign w:val="center"/>
          </w:tcPr>
          <w:p w14:paraId="1DFFB8D2">
            <w:pPr>
              <w:jc w:val="center"/>
              <w:rPr>
                <w:rFonts w:hint="eastAsia" w:asciiTheme="minorEastAsia" w:hAnsiTheme="minorEastAsia" w:eastAsiaTheme="minorEastAsia"/>
              </w:rPr>
            </w:pPr>
            <w:r>
              <w:rPr>
                <w:rFonts w:hint="eastAsia" w:asciiTheme="minorEastAsia" w:hAnsiTheme="minorEastAsia" w:eastAsiaTheme="minorEastAsia"/>
              </w:rPr>
              <w:t>不组织</w:t>
            </w:r>
          </w:p>
        </w:tc>
      </w:tr>
      <w:tr w14:paraId="33A34D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1B252586">
            <w:pPr>
              <w:jc w:val="center"/>
              <w:rPr>
                <w:rFonts w:hint="eastAsia"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2</w:t>
            </w:r>
            <w:r>
              <w:rPr>
                <w:rFonts w:hint="eastAsia" w:asciiTheme="minorEastAsia" w:hAnsiTheme="minorEastAsia" w:eastAsiaTheme="minorEastAsia"/>
              </w:rPr>
              <w:t>/1</w:t>
            </w:r>
            <w:r>
              <w:rPr>
                <w:rFonts w:asciiTheme="minorEastAsia" w:hAnsiTheme="minorEastAsia" w:eastAsiaTheme="minorEastAsia"/>
              </w:rPr>
              <w:t>3</w:t>
            </w:r>
          </w:p>
        </w:tc>
        <w:tc>
          <w:tcPr>
            <w:tcW w:w="1946" w:type="dxa"/>
            <w:vAlign w:val="center"/>
          </w:tcPr>
          <w:p w14:paraId="64851060">
            <w:pPr>
              <w:jc w:val="center"/>
              <w:rPr>
                <w:rFonts w:hint="eastAsia" w:asciiTheme="minorEastAsia" w:hAnsiTheme="minorEastAsia" w:eastAsiaTheme="minorEastAsia"/>
              </w:rPr>
            </w:pPr>
            <w:r>
              <w:rPr>
                <w:rFonts w:hint="eastAsia" w:asciiTheme="minorEastAsia" w:hAnsiTheme="minorEastAsia" w:eastAsiaTheme="minorEastAsia"/>
              </w:rPr>
              <w:t>招标文件的澄清和修改</w:t>
            </w:r>
          </w:p>
        </w:tc>
        <w:tc>
          <w:tcPr>
            <w:tcW w:w="5881" w:type="dxa"/>
            <w:vAlign w:val="center"/>
          </w:tcPr>
          <w:p w14:paraId="325AE533">
            <w:pPr>
              <w:jc w:val="left"/>
              <w:rPr>
                <w:rFonts w:hint="eastAsia" w:asciiTheme="minorEastAsia" w:hAnsiTheme="minorEastAsia" w:eastAsiaTheme="minorEastAsia"/>
              </w:rPr>
            </w:pPr>
            <w:r>
              <w:rPr>
                <w:rFonts w:hint="eastAsia" w:asciiTheme="minorEastAsia" w:hAnsiTheme="minorEastAsia" w:eastAsiaTheme="minorEastAsia"/>
              </w:rPr>
              <w:t>投标截止日三日前，投标人有义务在招标期间在深圳交易集团（深圳公共资源交易中心）网站浏览与本项目有关的澄清和修改信息</w:t>
            </w:r>
          </w:p>
        </w:tc>
      </w:tr>
      <w:tr w14:paraId="167DED5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2999EC03">
            <w:pPr>
              <w:jc w:val="center"/>
              <w:rPr>
                <w:rFonts w:hint="eastAsia"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0</w:t>
            </w:r>
          </w:p>
        </w:tc>
        <w:tc>
          <w:tcPr>
            <w:tcW w:w="1946" w:type="dxa"/>
            <w:vAlign w:val="center"/>
          </w:tcPr>
          <w:p w14:paraId="59279F28">
            <w:pPr>
              <w:jc w:val="center"/>
              <w:rPr>
                <w:rFonts w:hint="eastAsia" w:asciiTheme="minorEastAsia" w:hAnsiTheme="minorEastAsia" w:eastAsiaTheme="minorEastAsia"/>
              </w:rPr>
            </w:pPr>
            <w:r>
              <w:rPr>
                <w:rFonts w:hint="eastAsia" w:asciiTheme="minorEastAsia" w:hAnsiTheme="minorEastAsia" w:eastAsiaTheme="minorEastAsia"/>
              </w:rPr>
              <w:t>投标有效期</w:t>
            </w:r>
          </w:p>
        </w:tc>
        <w:tc>
          <w:tcPr>
            <w:tcW w:w="5881" w:type="dxa"/>
            <w:vAlign w:val="center"/>
          </w:tcPr>
          <w:p w14:paraId="3F9CD968">
            <w:pPr>
              <w:jc w:val="center"/>
              <w:rPr>
                <w:rFonts w:hint="eastAsia" w:asciiTheme="minorEastAsia" w:hAnsiTheme="minorEastAsia" w:eastAsiaTheme="minorEastAsia"/>
              </w:rPr>
            </w:pPr>
            <w:r>
              <w:rPr>
                <w:rFonts w:hint="eastAsia" w:asciiTheme="minorEastAsia" w:hAnsiTheme="minorEastAsia" w:eastAsiaTheme="minorEastAsia"/>
              </w:rPr>
              <w:t>120个日历日</w:t>
            </w:r>
          </w:p>
        </w:tc>
      </w:tr>
      <w:tr w14:paraId="34D68E7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68B996BA">
            <w:pPr>
              <w:jc w:val="center"/>
              <w:rPr>
                <w:rFonts w:hint="eastAsia"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2</w:t>
            </w:r>
          </w:p>
        </w:tc>
        <w:tc>
          <w:tcPr>
            <w:tcW w:w="1946" w:type="dxa"/>
            <w:vAlign w:val="center"/>
          </w:tcPr>
          <w:p w14:paraId="1C5FDDC2">
            <w:pPr>
              <w:jc w:val="center"/>
              <w:rPr>
                <w:rFonts w:hint="eastAsia" w:asciiTheme="minorEastAsia" w:hAnsiTheme="minorEastAsia" w:eastAsiaTheme="minorEastAsia"/>
              </w:rPr>
            </w:pPr>
            <w:r>
              <w:rPr>
                <w:rFonts w:hint="eastAsia" w:asciiTheme="minorEastAsia" w:hAnsiTheme="minorEastAsia" w:eastAsiaTheme="minorEastAsia"/>
              </w:rPr>
              <w:t>投标人的替代方案</w:t>
            </w:r>
          </w:p>
        </w:tc>
        <w:tc>
          <w:tcPr>
            <w:tcW w:w="5881" w:type="dxa"/>
            <w:vAlign w:val="center"/>
          </w:tcPr>
          <w:p w14:paraId="7B4ED4EC">
            <w:pPr>
              <w:jc w:val="center"/>
              <w:rPr>
                <w:rFonts w:hint="eastAsia" w:asciiTheme="minorEastAsia" w:hAnsiTheme="minorEastAsia" w:eastAsiaTheme="minorEastAsia"/>
              </w:rPr>
            </w:pPr>
            <w:r>
              <w:rPr>
                <w:rFonts w:hint="eastAsia" w:asciiTheme="minorEastAsia" w:hAnsiTheme="minorEastAsia" w:eastAsiaTheme="minorEastAsia"/>
              </w:rPr>
              <w:t>不接受</w:t>
            </w:r>
          </w:p>
        </w:tc>
      </w:tr>
      <w:tr w14:paraId="630D015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5AD11955">
            <w:pPr>
              <w:jc w:val="center"/>
              <w:rPr>
                <w:rFonts w:hint="eastAsia"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5</w:t>
            </w:r>
          </w:p>
        </w:tc>
        <w:tc>
          <w:tcPr>
            <w:tcW w:w="1946" w:type="dxa"/>
            <w:vAlign w:val="center"/>
          </w:tcPr>
          <w:p w14:paraId="0B1ED4BA">
            <w:pPr>
              <w:jc w:val="center"/>
              <w:rPr>
                <w:rFonts w:hint="eastAsia" w:asciiTheme="minorEastAsia" w:hAnsiTheme="minorEastAsia" w:eastAsiaTheme="minorEastAsia"/>
              </w:rPr>
            </w:pPr>
            <w:r>
              <w:rPr>
                <w:rFonts w:hint="eastAsia" w:asciiTheme="minorEastAsia" w:hAnsiTheme="minorEastAsia" w:eastAsiaTheme="minorEastAsia"/>
              </w:rPr>
              <w:t>投标文件的大小</w:t>
            </w:r>
          </w:p>
        </w:tc>
        <w:tc>
          <w:tcPr>
            <w:tcW w:w="5881" w:type="dxa"/>
            <w:vAlign w:val="center"/>
          </w:tcPr>
          <w:p w14:paraId="5D0E7F6D">
            <w:pPr>
              <w:jc w:val="center"/>
              <w:rPr>
                <w:rFonts w:hint="eastAsia" w:asciiTheme="minorEastAsia" w:hAnsiTheme="minorEastAsia" w:eastAsiaTheme="minorEastAsia"/>
              </w:rPr>
            </w:pPr>
            <w:r>
              <w:rPr>
                <w:rFonts w:hint="eastAsia" w:asciiTheme="minorEastAsia" w:hAnsiTheme="minorEastAsia" w:eastAsiaTheme="minorEastAsia"/>
              </w:rPr>
              <w:t>投标文件大小不得超过</w:t>
            </w:r>
            <w:r>
              <w:rPr>
                <w:rFonts w:asciiTheme="minorEastAsia" w:hAnsiTheme="minorEastAsia" w:eastAsiaTheme="minorEastAsia"/>
              </w:rPr>
              <w:t>1</w:t>
            </w:r>
            <w:r>
              <w:rPr>
                <w:rFonts w:hint="eastAsia" w:asciiTheme="minorEastAsia" w:hAnsiTheme="minorEastAsia" w:eastAsiaTheme="minorEastAsia"/>
              </w:rPr>
              <w:t>00MB</w:t>
            </w:r>
          </w:p>
        </w:tc>
      </w:tr>
      <w:tr w14:paraId="314318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6D2A1690">
            <w:pPr>
              <w:jc w:val="center"/>
              <w:rPr>
                <w:rFonts w:hint="eastAsia"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6</w:t>
            </w:r>
          </w:p>
        </w:tc>
        <w:tc>
          <w:tcPr>
            <w:tcW w:w="1946" w:type="dxa"/>
            <w:vAlign w:val="center"/>
          </w:tcPr>
          <w:p w14:paraId="19FD1A46">
            <w:pPr>
              <w:jc w:val="center"/>
              <w:rPr>
                <w:rFonts w:hint="eastAsia" w:asciiTheme="minorEastAsia" w:hAnsiTheme="minorEastAsia" w:eastAsiaTheme="minorEastAsia"/>
              </w:rPr>
            </w:pPr>
            <w:bookmarkStart w:id="29" w:name="_Hlk71664860"/>
            <w:r>
              <w:rPr>
                <w:rFonts w:hint="eastAsia" w:asciiTheme="minorEastAsia" w:hAnsiTheme="minorEastAsia" w:eastAsiaTheme="minorEastAsia"/>
              </w:rPr>
              <w:t>样品、演示、方案讲解</w:t>
            </w:r>
            <w:bookmarkEnd w:id="29"/>
          </w:p>
        </w:tc>
        <w:tc>
          <w:tcPr>
            <w:tcW w:w="5881" w:type="dxa"/>
            <w:vAlign w:val="center"/>
          </w:tcPr>
          <w:p w14:paraId="527B778B">
            <w:pPr>
              <w:rPr>
                <w:rFonts w:hint="eastAsia" w:asciiTheme="minorEastAsia" w:hAnsiTheme="minorEastAsia" w:eastAsiaTheme="minorEastAsia"/>
              </w:rPr>
            </w:pPr>
            <w:r>
              <w:rPr>
                <w:rFonts w:hint="eastAsia" w:asciiTheme="minorEastAsia" w:hAnsiTheme="minorEastAsia" w:eastAsiaTheme="minorEastAsia"/>
              </w:rPr>
              <w:t>如有样品、演示、方案讲解，具体安排见第三章 用户需求书相关要求</w:t>
            </w:r>
          </w:p>
        </w:tc>
      </w:tr>
      <w:tr w14:paraId="3256D3B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3B2B7B03">
            <w:pPr>
              <w:jc w:val="center"/>
              <w:rPr>
                <w:rFonts w:hint="eastAsia"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7</w:t>
            </w:r>
          </w:p>
        </w:tc>
        <w:tc>
          <w:tcPr>
            <w:tcW w:w="1946" w:type="dxa"/>
            <w:vAlign w:val="center"/>
          </w:tcPr>
          <w:p w14:paraId="7775A5BD">
            <w:pPr>
              <w:jc w:val="center"/>
              <w:rPr>
                <w:rFonts w:hint="eastAsia" w:asciiTheme="minorEastAsia" w:hAnsiTheme="minorEastAsia" w:eastAsiaTheme="minorEastAsia"/>
              </w:rPr>
            </w:pPr>
            <w:r>
              <w:rPr>
                <w:rFonts w:hint="eastAsia" w:asciiTheme="minorEastAsia" w:hAnsiTheme="minorEastAsia" w:eastAsiaTheme="minorEastAsia"/>
              </w:rPr>
              <w:t>评审方法</w:t>
            </w:r>
          </w:p>
        </w:tc>
        <w:tc>
          <w:tcPr>
            <w:tcW w:w="5881" w:type="dxa"/>
            <w:vAlign w:val="center"/>
          </w:tcPr>
          <w:p w14:paraId="71FA239C">
            <w:pPr>
              <w:jc w:val="center"/>
              <w:rPr>
                <w:rFonts w:hint="eastAsia" w:asciiTheme="minorEastAsia" w:hAnsiTheme="minorEastAsia" w:eastAsiaTheme="minorEastAsia"/>
              </w:rPr>
            </w:pPr>
            <w:r>
              <w:rPr>
                <w:rFonts w:hint="eastAsia" w:asciiTheme="minorEastAsia" w:hAnsiTheme="minorEastAsia" w:eastAsiaTheme="minorEastAsia"/>
              </w:rPr>
              <w:t>综合评分法</w:t>
            </w:r>
          </w:p>
        </w:tc>
      </w:tr>
      <w:tr w14:paraId="2F632A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9" w:hRule="atLeast"/>
          <w:jc w:val="center"/>
        </w:trPr>
        <w:tc>
          <w:tcPr>
            <w:tcW w:w="970" w:type="dxa"/>
            <w:vAlign w:val="center"/>
          </w:tcPr>
          <w:p w14:paraId="1F8ABE1F">
            <w:pPr>
              <w:jc w:val="center"/>
              <w:rPr>
                <w:rFonts w:hint="eastAsia"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8</w:t>
            </w:r>
          </w:p>
        </w:tc>
        <w:tc>
          <w:tcPr>
            <w:tcW w:w="1946" w:type="dxa"/>
            <w:vAlign w:val="center"/>
          </w:tcPr>
          <w:p w14:paraId="3328087F">
            <w:pPr>
              <w:jc w:val="center"/>
              <w:rPr>
                <w:rFonts w:hint="eastAsia" w:asciiTheme="minorEastAsia" w:hAnsiTheme="minorEastAsia" w:eastAsiaTheme="minorEastAsia"/>
              </w:rPr>
            </w:pPr>
            <w:r>
              <w:rPr>
                <w:rFonts w:hint="eastAsia" w:asciiTheme="minorEastAsia" w:hAnsiTheme="minorEastAsia" w:eastAsiaTheme="minorEastAsia"/>
              </w:rPr>
              <w:t>定标方法</w:t>
            </w:r>
          </w:p>
        </w:tc>
        <w:tc>
          <w:tcPr>
            <w:tcW w:w="5881" w:type="dxa"/>
            <w:vAlign w:val="center"/>
          </w:tcPr>
          <w:p w14:paraId="3F91B2CC">
            <w:pPr>
              <w:jc w:val="center"/>
              <w:rPr>
                <w:rFonts w:hint="eastAsia" w:asciiTheme="minorEastAsia" w:hAnsiTheme="minorEastAsia" w:eastAsiaTheme="minorEastAsia"/>
              </w:rPr>
            </w:pPr>
            <w:r>
              <w:rPr>
                <w:rFonts w:hint="eastAsia" w:asciiTheme="minorEastAsia" w:hAnsiTheme="minorEastAsia" w:eastAsiaTheme="minorEastAsia"/>
              </w:rPr>
              <w:t>非评定分离</w:t>
            </w:r>
          </w:p>
        </w:tc>
      </w:tr>
      <w:tr w14:paraId="7A8092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ins w:id="1" w:author="政府采购业务部吴工" w:date="2024-05-29T21:21:00Z"/>
        </w:trPr>
        <w:tc>
          <w:tcPr>
            <w:tcW w:w="970" w:type="dxa"/>
            <w:vAlign w:val="center"/>
          </w:tcPr>
          <w:p w14:paraId="219A25DF">
            <w:pPr>
              <w:jc w:val="center"/>
              <w:rPr>
                <w:rFonts w:hint="eastAsia" w:asciiTheme="minorEastAsia" w:hAnsiTheme="minorEastAsia" w:eastAsiaTheme="minorEastAsia"/>
              </w:rPr>
            </w:pPr>
            <w:r>
              <w:rPr>
                <w:rFonts w:hint="eastAsia" w:asciiTheme="minorEastAsia" w:hAnsiTheme="minorEastAsia" w:eastAsiaTheme="minorEastAsia"/>
              </w:rPr>
              <w:t>42</w:t>
            </w:r>
          </w:p>
        </w:tc>
        <w:tc>
          <w:tcPr>
            <w:tcW w:w="1946" w:type="dxa"/>
            <w:vAlign w:val="center"/>
          </w:tcPr>
          <w:p w14:paraId="212C7FA5">
            <w:pPr>
              <w:rPr>
                <w:rFonts w:hint="eastAsia" w:asciiTheme="minorEastAsia" w:hAnsiTheme="minorEastAsia" w:eastAsiaTheme="minorEastAsia"/>
              </w:rPr>
            </w:pPr>
            <w:r>
              <w:rPr>
                <w:rFonts w:hint="eastAsia" w:asciiTheme="minorEastAsia" w:hAnsiTheme="minorEastAsia" w:eastAsiaTheme="minorEastAsia"/>
              </w:rPr>
              <w:t>公开招标失败的处理</w:t>
            </w:r>
          </w:p>
        </w:tc>
        <w:tc>
          <w:tcPr>
            <w:tcW w:w="5881" w:type="dxa"/>
            <w:vAlign w:val="center"/>
          </w:tcPr>
          <w:p w14:paraId="3362341D">
            <w:pPr>
              <w:jc w:val="left"/>
              <w:rPr>
                <w:rFonts w:hint="eastAsia" w:asciiTheme="minorEastAsia" w:hAnsiTheme="minorEastAsia" w:eastAsiaTheme="minorEastAsia"/>
                <w:b/>
              </w:rPr>
            </w:pPr>
            <w:r>
              <w:rPr>
                <w:rFonts w:hint="eastAsia" w:asciiTheme="minorEastAsia" w:hAnsiTheme="minorEastAsia" w:eastAsiaTheme="minorEastAsia"/>
              </w:rPr>
              <w:t>公开招标有效供应商不足三家的，项目公开招标失败，重新采购。</w:t>
            </w:r>
          </w:p>
        </w:tc>
      </w:tr>
      <w:tr w14:paraId="41A7989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216298C4">
            <w:pPr>
              <w:jc w:val="center"/>
              <w:rPr>
                <w:rFonts w:hint="eastAsia"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6</w:t>
            </w:r>
          </w:p>
        </w:tc>
        <w:tc>
          <w:tcPr>
            <w:tcW w:w="1946" w:type="dxa"/>
            <w:vAlign w:val="center"/>
          </w:tcPr>
          <w:p w14:paraId="2B8A086F">
            <w:pPr>
              <w:jc w:val="center"/>
              <w:rPr>
                <w:rFonts w:hint="eastAsia" w:asciiTheme="minorEastAsia" w:hAnsiTheme="minorEastAsia" w:eastAsiaTheme="minorEastAsia"/>
              </w:rPr>
            </w:pPr>
            <w:r>
              <w:rPr>
                <w:rFonts w:hint="eastAsia" w:asciiTheme="minorEastAsia" w:hAnsiTheme="minorEastAsia" w:eastAsiaTheme="minorEastAsia"/>
              </w:rPr>
              <w:t>履约担保</w:t>
            </w:r>
          </w:p>
        </w:tc>
        <w:tc>
          <w:tcPr>
            <w:tcW w:w="5881" w:type="dxa"/>
            <w:vAlign w:val="center"/>
          </w:tcPr>
          <w:p w14:paraId="2478A463">
            <w:pPr>
              <w:jc w:val="left"/>
              <w:rPr>
                <w:rFonts w:hint="eastAsia" w:asciiTheme="minorEastAsia" w:hAnsiTheme="minorEastAsia" w:eastAsiaTheme="minorEastAsia"/>
              </w:rPr>
            </w:pPr>
            <w:r>
              <w:rPr>
                <w:rFonts w:hint="eastAsia" w:asciiTheme="minorEastAsia" w:hAnsiTheme="minorEastAsia" w:eastAsiaTheme="minorEastAsia"/>
              </w:rPr>
              <w:t>不需要</w:t>
            </w:r>
          </w:p>
        </w:tc>
      </w:tr>
      <w:tr w14:paraId="19E9B06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0" w:type="dxa"/>
            <w:vAlign w:val="center"/>
          </w:tcPr>
          <w:p w14:paraId="07121759">
            <w:pPr>
              <w:jc w:val="center"/>
              <w:rPr>
                <w:rFonts w:hint="eastAsia" w:asciiTheme="minorEastAsia" w:hAnsiTheme="minorEastAsia" w:eastAsiaTheme="minorEastAsia"/>
              </w:rPr>
            </w:pPr>
            <w:r>
              <w:rPr>
                <w:rFonts w:hint="eastAsia" w:asciiTheme="minorEastAsia" w:hAnsiTheme="minorEastAsia" w:eastAsiaTheme="minorEastAsia"/>
              </w:rPr>
              <w:t>52.8</w:t>
            </w:r>
          </w:p>
        </w:tc>
        <w:tc>
          <w:tcPr>
            <w:tcW w:w="1946" w:type="dxa"/>
            <w:vAlign w:val="center"/>
          </w:tcPr>
          <w:p w14:paraId="18ADD7F1">
            <w:pPr>
              <w:jc w:val="center"/>
              <w:rPr>
                <w:rFonts w:hint="eastAsia" w:asciiTheme="minorEastAsia" w:hAnsiTheme="minorEastAsia" w:eastAsiaTheme="minorEastAsia"/>
              </w:rPr>
            </w:pPr>
            <w:r>
              <w:rPr>
                <w:rFonts w:hint="eastAsia" w:asciiTheme="minorEastAsia" w:hAnsiTheme="minorEastAsia" w:eastAsiaTheme="minorEastAsia"/>
              </w:rPr>
              <w:t>投诉</w:t>
            </w:r>
          </w:p>
        </w:tc>
        <w:tc>
          <w:tcPr>
            <w:tcW w:w="5881" w:type="dxa"/>
            <w:vAlign w:val="center"/>
          </w:tcPr>
          <w:p w14:paraId="1003C2A5">
            <w:pPr>
              <w:jc w:val="left"/>
              <w:rPr>
                <w:rFonts w:hint="eastAsia" w:asciiTheme="minorEastAsia" w:hAnsiTheme="minorEastAsia" w:eastAsiaTheme="minorEastAsia"/>
                <w:b/>
              </w:rPr>
            </w:pPr>
            <w:r>
              <w:rPr>
                <w:rFonts w:hint="eastAsia" w:asciiTheme="minorEastAsia" w:hAnsiTheme="minorEastAsia" w:eastAsiaTheme="minorEastAsia"/>
              </w:rPr>
              <w:t>对被质疑人的答复不满意或者被质疑人未在规定时间内答复的，提出质疑的供应商可以在答复期满后十五个工作日内向本项目采购人投诉。供应商投诉的事项应当是经过质疑的事项。</w:t>
            </w:r>
          </w:p>
        </w:tc>
      </w:tr>
    </w:tbl>
    <w:p w14:paraId="6600EFE8">
      <w:pPr>
        <w:rPr>
          <w:b/>
        </w:rPr>
      </w:pPr>
      <w:r>
        <w:rPr>
          <w:rFonts w:hint="eastAsia"/>
          <w:szCs w:val="21"/>
        </w:rPr>
        <w:t>备注：本表是通用条款相关条款的补充和明确，如与通用条款内容相冲突的，以本表为准。</w:t>
      </w:r>
    </w:p>
    <w:p w14:paraId="3851E8F2">
      <w:pPr>
        <w:rPr>
          <w:b/>
        </w:rPr>
      </w:pPr>
    </w:p>
    <w:p w14:paraId="45194F1A">
      <w:pPr>
        <w:pStyle w:val="3"/>
        <w:spacing w:before="156" w:beforeLines="50" w:after="156" w:afterLines="50"/>
        <w:rPr>
          <w:rFonts w:hint="eastAsia"/>
          <w:szCs w:val="24"/>
        </w:rPr>
      </w:pPr>
      <w:r>
        <w:rPr>
          <w:rFonts w:hint="eastAsia"/>
          <w:szCs w:val="24"/>
        </w:rPr>
        <w:t>二、其他关键信息</w:t>
      </w:r>
    </w:p>
    <w:p w14:paraId="4D76662A">
      <w:pPr>
        <w:ind w:firstLine="422" w:firstLineChars="200"/>
        <w:rPr>
          <w:b/>
          <w:bCs/>
        </w:rPr>
      </w:pPr>
      <w:r>
        <w:rPr>
          <w:rFonts w:hint="eastAsia"/>
          <w:b/>
          <w:bCs/>
        </w:rPr>
        <w:t>（一）与“对通用条款的补充内容”章节相关的事项</w:t>
      </w:r>
    </w:p>
    <w:p w14:paraId="47CB8E03">
      <w:pPr>
        <w:spacing w:line="276" w:lineRule="auto"/>
        <w:ind w:firstLine="422" w:firstLineChars="200"/>
        <w:jc w:val="left"/>
        <w:rPr>
          <w:rFonts w:hint="eastAsia" w:asciiTheme="minorEastAsia" w:hAnsiTheme="minorEastAsia" w:eastAsiaTheme="minorEastAsia"/>
          <w:b/>
          <w:kern w:val="0"/>
          <w:szCs w:val="20"/>
        </w:rPr>
      </w:pPr>
      <w:bookmarkStart w:id="30" w:name="_Hlk72579465"/>
      <w:r>
        <w:rPr>
          <w:rFonts w:hint="eastAsia" w:asciiTheme="minorEastAsia" w:hAnsiTheme="minorEastAsia" w:eastAsiaTheme="minorEastAsia"/>
          <w:b/>
          <w:kern w:val="0"/>
          <w:szCs w:val="20"/>
        </w:rPr>
        <w:t>1、评标定标信息</w:t>
      </w:r>
    </w:p>
    <w:p w14:paraId="1AEC7592">
      <w:pPr>
        <w:jc w:val="center"/>
      </w:pPr>
      <w:r>
        <w:rPr>
          <w:rFonts w:hint="eastAsia"/>
          <w:b/>
        </w:rPr>
        <w:t>非评定分离项目</w:t>
      </w:r>
    </w:p>
    <w:tbl>
      <w:tblPr>
        <w:tblStyle w:val="43"/>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12"/>
        <w:gridCol w:w="4790"/>
      </w:tblGrid>
      <w:tr w14:paraId="40974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9" w:type="pct"/>
          </w:tcPr>
          <w:p w14:paraId="71AAADF0">
            <w:pPr>
              <w:jc w:val="center"/>
            </w:pPr>
            <w:r>
              <w:rPr>
                <w:rFonts w:hint="eastAsia"/>
              </w:rPr>
              <w:t>评标方法</w:t>
            </w:r>
          </w:p>
        </w:tc>
        <w:tc>
          <w:tcPr>
            <w:tcW w:w="2660" w:type="pct"/>
          </w:tcPr>
          <w:p w14:paraId="7E73900B">
            <w:pPr>
              <w:jc w:val="center"/>
            </w:pPr>
            <w:r>
              <w:rPr>
                <w:rFonts w:hint="eastAsia"/>
              </w:rPr>
              <w:sym w:font="Wingdings" w:char="00FE"/>
            </w:r>
            <w:r>
              <w:rPr>
                <w:rFonts w:hint="eastAsia"/>
              </w:rPr>
              <w:t>综合评分法</w:t>
            </w:r>
          </w:p>
        </w:tc>
      </w:tr>
      <w:tr w14:paraId="1EC6D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9" w:type="pct"/>
          </w:tcPr>
          <w:p w14:paraId="3A4C67F3">
            <w:pPr>
              <w:jc w:val="center"/>
            </w:pPr>
            <w:r>
              <w:rPr>
                <w:rFonts w:hint="eastAsia"/>
              </w:rPr>
              <w:t>候选中标供应商家数</w:t>
            </w:r>
          </w:p>
        </w:tc>
        <w:tc>
          <w:tcPr>
            <w:tcW w:w="2660" w:type="pct"/>
          </w:tcPr>
          <w:p w14:paraId="0C8D6974">
            <w:pPr>
              <w:jc w:val="center"/>
            </w:pPr>
            <w:r>
              <w:rPr>
                <w:rFonts w:hint="eastAsia"/>
              </w:rPr>
              <w:t>3</w:t>
            </w:r>
          </w:p>
        </w:tc>
      </w:tr>
      <w:tr w14:paraId="0B5C2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9" w:type="pct"/>
          </w:tcPr>
          <w:p w14:paraId="37B88F5D">
            <w:pPr>
              <w:jc w:val="center"/>
            </w:pPr>
            <w:r>
              <w:rPr>
                <w:rFonts w:hint="eastAsia"/>
              </w:rPr>
              <w:t>中标供应商家数</w:t>
            </w:r>
          </w:p>
        </w:tc>
        <w:tc>
          <w:tcPr>
            <w:tcW w:w="2660" w:type="pct"/>
          </w:tcPr>
          <w:p w14:paraId="1C4B7174">
            <w:pPr>
              <w:jc w:val="center"/>
            </w:pPr>
            <w:r>
              <w:rPr>
                <w:rFonts w:hint="eastAsia"/>
              </w:rPr>
              <w:t>1</w:t>
            </w:r>
          </w:p>
        </w:tc>
      </w:tr>
    </w:tbl>
    <w:p w14:paraId="396C19CB">
      <w:pPr>
        <w:pStyle w:val="35"/>
      </w:pPr>
    </w:p>
    <w:bookmarkEnd w:id="30"/>
    <w:p w14:paraId="1AC9E4E1">
      <w:pPr>
        <w:ind w:firstLine="422" w:firstLineChars="200"/>
        <w:rPr>
          <w:b/>
        </w:rPr>
      </w:pPr>
      <w:r>
        <w:rPr>
          <w:rFonts w:hint="eastAsia"/>
          <w:b/>
        </w:rPr>
        <w:t>（二）其他事项</w:t>
      </w:r>
    </w:p>
    <w:p w14:paraId="4EA28B80">
      <w:pPr>
        <w:ind w:firstLine="422" w:firstLineChars="200"/>
        <w:rPr>
          <w:b/>
          <w:bCs/>
        </w:rPr>
      </w:pPr>
      <w:r>
        <w:rPr>
          <w:b/>
          <w:bCs/>
        </w:rPr>
        <w:t>1</w:t>
      </w:r>
      <w:r>
        <w:rPr>
          <w:rFonts w:hint="eastAsia"/>
          <w:b/>
          <w:bCs/>
        </w:rPr>
        <w:t>、关于享受优惠政策的主体及价格扣除比例</w:t>
      </w:r>
    </w:p>
    <w:p w14:paraId="3EAB40E6">
      <w:pPr>
        <w:ind w:firstLine="420" w:firstLineChars="200"/>
        <w:rPr>
          <w:rFonts w:hint="eastAsia" w:ascii="宋体" w:hAnsi="宋体" w:cs="宋体"/>
        </w:rPr>
      </w:pPr>
      <w:r>
        <w:rPr>
          <w:rFonts w:hint="eastAsia" w:ascii="宋体" w:hAnsi="宋体" w:cs="宋体"/>
        </w:rPr>
        <w:t>（1）专门面向中小企业采购的项目，不再执行价格扣除比例。</w:t>
      </w:r>
    </w:p>
    <w:p w14:paraId="7AE0BDFB">
      <w:pPr>
        <w:ind w:firstLine="420" w:firstLineChars="200"/>
        <w:rPr>
          <w:rFonts w:hint="eastAsia" w:ascii="宋体" w:hAnsi="宋体" w:cs="宋体"/>
        </w:rPr>
      </w:pPr>
      <w:r>
        <w:rPr>
          <w:rFonts w:hint="eastAsia" w:ascii="宋体" w:hAnsi="宋体" w:cs="宋体"/>
        </w:rPr>
        <w:t>（2）非专门面向中小企业采购的项目，应执行价格扣除比例：供应商提供的服务全部由优惠主体承接，则对其投标总价给予</w:t>
      </w:r>
      <w:r>
        <w:rPr>
          <w:rFonts w:hint="eastAsia" w:ascii="宋体" w:hAnsi="宋体" w:cs="宋体"/>
          <w:color w:val="FF0000"/>
          <w:u w:val="single"/>
          <w:lang w:val="en-US" w:eastAsia="zh-CN"/>
        </w:rPr>
        <w:t>/</w:t>
      </w:r>
      <w:r>
        <w:rPr>
          <w:rFonts w:hint="eastAsia" w:ascii="宋体" w:hAnsi="宋体" w:cs="宋体"/>
          <w:color w:val="FF0000"/>
          <w:u w:val="single"/>
        </w:rPr>
        <w:t>%</w:t>
      </w:r>
      <w:r>
        <w:rPr>
          <w:rFonts w:hint="eastAsia" w:ascii="宋体" w:hAnsi="宋体" w:cs="宋体"/>
          <w:color w:val="000000" w:themeColor="text1"/>
          <w14:textFill>
            <w14:solidFill>
              <w14:schemeClr w14:val="tx1"/>
            </w14:solidFill>
          </w14:textFill>
        </w:rPr>
        <w:t>（10%~20%）</w:t>
      </w:r>
      <w:r>
        <w:rPr>
          <w:rFonts w:hint="eastAsia" w:ascii="宋体" w:hAnsi="宋体" w:cs="宋体"/>
        </w:rPr>
        <w:t>的扣除，用扣除后的价格参与评审。满足多项优惠政策的企业，不重复享受多项价格扣除政策。</w:t>
      </w:r>
    </w:p>
    <w:p w14:paraId="2098E5B3">
      <w:pPr>
        <w:ind w:firstLine="420" w:firstLineChars="200"/>
        <w:rPr>
          <w:rFonts w:hint="eastAsia" w:ascii="宋体" w:hAnsi="宋体" w:cs="宋体"/>
        </w:rPr>
      </w:pPr>
      <w:r>
        <w:rPr>
          <w:rFonts w:hint="eastAsia" w:ascii="宋体" w:hAnsi="宋体" w:cs="宋体"/>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采购活动中视同中小企业；(b)优惠主体承接是指提供服务的人员为中小企业依照《中华人民共和国劳动合同法》订立劳动合同的从业人员。</w:t>
      </w:r>
    </w:p>
    <w:p w14:paraId="15439AC4">
      <w:pPr>
        <w:ind w:firstLine="420" w:firstLineChars="200"/>
        <w:rPr>
          <w:rFonts w:hint="eastAsia" w:ascii="宋体" w:hAnsi="宋体" w:cs="宋体"/>
          <w:szCs w:val="21"/>
        </w:rPr>
      </w:pPr>
      <w:r>
        <w:rPr>
          <w:rFonts w:hint="eastAsia" w:ascii="宋体" w:hAnsi="宋体" w:cs="宋体"/>
          <w:szCs w:val="21"/>
          <w:lang w:bidi="ar"/>
        </w:rPr>
        <w:t>（3）中小企业参加采购活动，应当按照国务院批准的《中小企业划型标准规定》（工信部联企 业〔2011〕300号）、《金融业企业划型标准规定》（银发〔2015〕309号）和《财政部 工业和信息化部关于印发〈政府采购促进中小企业发展管理办法〉的通知》（财库〔2020〕46 号）的规定，出具《中小企业声明函》，</w:t>
      </w:r>
      <w:r>
        <w:rPr>
          <w:rFonts w:hint="eastAsia" w:ascii="宋体" w:hAnsi="宋体" w:cs="宋体"/>
          <w:b/>
          <w:bCs/>
          <w:color w:val="FF0000"/>
          <w:szCs w:val="21"/>
          <w:lang w:bidi="ar"/>
        </w:rPr>
        <w:t>《中小企业声明函》中相关企业（服务承接商）所属行业应当与采购标的所属行业相一致</w:t>
      </w:r>
      <w:r>
        <w:rPr>
          <w:rFonts w:hint="eastAsia" w:ascii="宋体" w:hAnsi="宋体" w:cs="宋体"/>
          <w:b/>
          <w:bCs/>
          <w:color w:val="FF0000"/>
          <w:lang w:bidi="ar"/>
        </w:rPr>
        <w:t>，标的所属行业以招标文件第一册第三章用户需求书“</w:t>
      </w:r>
      <w:r>
        <w:rPr>
          <w:rFonts w:hint="eastAsia" w:ascii="宋体" w:hAnsi="宋体" w:cs="宋体"/>
          <w:b/>
          <w:bCs/>
          <w:color w:val="FF0000"/>
        </w:rPr>
        <w:t>服务需求明细”的“标的所属行业”一栏为准</w:t>
      </w:r>
      <w:r>
        <w:rPr>
          <w:rFonts w:hint="eastAsia" w:ascii="宋体" w:hAnsi="宋体" w:cs="宋体"/>
          <w:b/>
          <w:bCs/>
          <w:color w:val="FF0000"/>
          <w:szCs w:val="21"/>
        </w:rPr>
        <w:t>。</w:t>
      </w:r>
    </w:p>
    <w:p w14:paraId="70508566">
      <w:pPr>
        <w:ind w:firstLine="420" w:firstLineChars="200"/>
        <w:rPr>
          <w:rFonts w:hint="eastAsia" w:ascii="宋体" w:hAnsi="宋体" w:cs="宋体"/>
        </w:rPr>
      </w:pPr>
      <w:r>
        <w:rPr>
          <w:rFonts w:hint="eastAsia" w:ascii="宋体" w:hAnsi="宋体" w:cs="宋体"/>
          <w:szCs w:val="21"/>
        </w:rPr>
        <w:t>（4）小型企业、微</w:t>
      </w:r>
      <w:r>
        <w:rPr>
          <w:rFonts w:hint="eastAsia" w:ascii="宋体" w:hAnsi="宋体" w:cs="宋体"/>
        </w:rPr>
        <w:t>型企业、残疾人福利性单位作为优惠主体的认定资料为《中小企业声明函》、《残疾人福利性单位声明函》；监狱企业作为优惠主体的认定资料为省级以上监狱管理局、戒毒管理局出具的监狱企业证明文件。声明函样式见本招标文件第一册专用条款第四章“投标文件组成要求及格式”中“三、投标人情况介绍及资格证明文件”章节提供的格式）。</w:t>
      </w:r>
    </w:p>
    <w:p w14:paraId="7883CE8C">
      <w:pPr>
        <w:ind w:firstLine="420" w:firstLineChars="200"/>
        <w:rPr>
          <w:rFonts w:hint="eastAsia" w:ascii="宋体" w:hAnsi="宋体" w:cs="宋体"/>
        </w:rPr>
      </w:pPr>
      <w:r>
        <w:rPr>
          <w:rFonts w:hint="eastAsia" w:ascii="宋体" w:hAnsi="宋体" w:cs="宋体"/>
        </w:rPr>
        <w:t>（5）享受价格扣除获得采购合同的，小微企业不得将合同分包给大中型企业。</w:t>
      </w:r>
    </w:p>
    <w:p w14:paraId="4D47038D">
      <w:pPr>
        <w:ind w:firstLine="422" w:firstLineChars="200"/>
        <w:rPr>
          <w:b/>
        </w:rPr>
      </w:pPr>
      <w:r>
        <w:rPr>
          <w:rFonts w:hint="eastAsia"/>
          <w:b/>
        </w:rPr>
        <w:t>2、</w:t>
      </w:r>
      <w:bookmarkStart w:id="31" w:name="_Hlk76855768"/>
      <w:bookmarkStart w:id="32" w:name="_Hlk72594729"/>
      <w:r>
        <w:rPr>
          <w:rFonts w:hint="eastAsia"/>
          <w:b/>
        </w:rPr>
        <w:t>本项目为代理服务项目，将向中标（成交）供应商收取代理服务费。</w:t>
      </w:r>
    </w:p>
    <w:bookmarkEnd w:id="31"/>
    <w:bookmarkEnd w:id="32"/>
    <w:p w14:paraId="3B42F237">
      <w:pPr>
        <w:ind w:firstLine="420" w:firstLineChars="200"/>
      </w:pPr>
      <w:r>
        <w:rPr>
          <w:rFonts w:hint="eastAsia"/>
        </w:rPr>
        <w:t>中标（成交）供应商在领取《中标（成交）通知书》之前须向深圳公共资源交易中心（深圳交易集团有限公司政府采购业务分公司）交纳代理服务费。若因中标（成交）供应商交纳代理服务费所产生的时间影响到合同签订的，由中标（成交）供应商自行承担责任。代理服务费标准参照下列标准收取。</w:t>
      </w:r>
      <w:r>
        <w:rPr>
          <w:rFonts w:hint="eastAsia"/>
          <w:b/>
          <w:color w:val="FF0000"/>
        </w:rPr>
        <w:t>本项目类型为服务采购：</w:t>
      </w:r>
    </w:p>
    <w:p w14:paraId="05BEE0EE">
      <w:pPr>
        <w:ind w:firstLine="420" w:firstLineChars="200"/>
      </w:pPr>
      <w:r>
        <w:rPr>
          <w:rFonts w:hint="eastAsia"/>
        </w:rPr>
        <w:t>（1）代理服务费以《中标（成交）通知书》确定的中标（成交）金额作为计算基数，按差额定率累进法计算。</w:t>
      </w:r>
    </w:p>
    <w:p w14:paraId="50F3BA80">
      <w:pPr>
        <w:ind w:firstLine="420" w:firstLineChars="200"/>
      </w:pPr>
      <w:r>
        <w:rPr>
          <w:rFonts w:hint="eastAsia"/>
        </w:rPr>
        <w:t>（2）中标（成交）金额的各部分费率如下表：</w:t>
      </w:r>
    </w:p>
    <w:tbl>
      <w:tblPr>
        <w:tblStyle w:val="4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5"/>
        <w:gridCol w:w="1799"/>
        <w:gridCol w:w="1799"/>
        <w:gridCol w:w="1799"/>
      </w:tblGrid>
      <w:tr w14:paraId="6DC90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3125" w:type="dxa"/>
            <w:vAlign w:val="center"/>
          </w:tcPr>
          <w:p w14:paraId="58EF9C6E">
            <w:pPr>
              <w:widowControl/>
              <w:spacing w:line="360" w:lineRule="auto"/>
              <w:jc w:val="center"/>
            </w:pPr>
            <w:r>
              <w:rPr>
                <w:rFonts w:hint="eastAsia"/>
              </w:rPr>
              <w:t>中标（成交）金额</w:t>
            </w:r>
          </w:p>
        </w:tc>
        <w:tc>
          <w:tcPr>
            <w:tcW w:w="1799" w:type="dxa"/>
            <w:vAlign w:val="center"/>
          </w:tcPr>
          <w:p w14:paraId="429C3D67">
            <w:pPr>
              <w:widowControl/>
              <w:spacing w:line="360" w:lineRule="auto"/>
              <w:jc w:val="center"/>
            </w:pPr>
            <w:r>
              <w:rPr>
                <w:rFonts w:hint="eastAsia"/>
              </w:rPr>
              <w:t>货物采购</w:t>
            </w:r>
          </w:p>
        </w:tc>
        <w:tc>
          <w:tcPr>
            <w:tcW w:w="1799" w:type="dxa"/>
            <w:vAlign w:val="center"/>
          </w:tcPr>
          <w:p w14:paraId="3D6F0D10">
            <w:pPr>
              <w:widowControl/>
              <w:spacing w:line="360" w:lineRule="auto"/>
              <w:jc w:val="center"/>
            </w:pPr>
            <w:r>
              <w:rPr>
                <w:rFonts w:hint="eastAsia"/>
              </w:rPr>
              <w:t>服务采购</w:t>
            </w:r>
          </w:p>
        </w:tc>
        <w:tc>
          <w:tcPr>
            <w:tcW w:w="1799" w:type="dxa"/>
            <w:vAlign w:val="center"/>
          </w:tcPr>
          <w:p w14:paraId="4913E9D5">
            <w:pPr>
              <w:widowControl/>
              <w:spacing w:line="360" w:lineRule="auto"/>
              <w:jc w:val="center"/>
            </w:pPr>
            <w:r>
              <w:rPr>
                <w:rFonts w:hint="eastAsia"/>
              </w:rPr>
              <w:t>工程采购</w:t>
            </w:r>
          </w:p>
        </w:tc>
      </w:tr>
      <w:tr w14:paraId="58A09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1DDDB23F">
            <w:pPr>
              <w:widowControl/>
              <w:spacing w:line="360" w:lineRule="auto"/>
              <w:jc w:val="center"/>
            </w:pPr>
            <w:r>
              <w:rPr>
                <w:rFonts w:hint="eastAsia"/>
              </w:rPr>
              <w:t>100万元以下</w:t>
            </w:r>
          </w:p>
        </w:tc>
        <w:tc>
          <w:tcPr>
            <w:tcW w:w="1799" w:type="dxa"/>
            <w:vAlign w:val="center"/>
          </w:tcPr>
          <w:p w14:paraId="6567C460">
            <w:pPr>
              <w:widowControl/>
              <w:spacing w:line="360" w:lineRule="auto"/>
              <w:jc w:val="center"/>
            </w:pPr>
            <w:r>
              <w:rPr>
                <w:rFonts w:hint="eastAsia"/>
              </w:rPr>
              <w:t>1.5%</w:t>
            </w:r>
          </w:p>
        </w:tc>
        <w:tc>
          <w:tcPr>
            <w:tcW w:w="1799" w:type="dxa"/>
            <w:vAlign w:val="center"/>
          </w:tcPr>
          <w:p w14:paraId="2F1BD087">
            <w:pPr>
              <w:widowControl/>
              <w:spacing w:line="360" w:lineRule="auto"/>
              <w:jc w:val="center"/>
            </w:pPr>
            <w:r>
              <w:rPr>
                <w:rFonts w:hint="eastAsia"/>
              </w:rPr>
              <w:t>1.5%</w:t>
            </w:r>
          </w:p>
        </w:tc>
        <w:tc>
          <w:tcPr>
            <w:tcW w:w="1799" w:type="dxa"/>
            <w:vAlign w:val="center"/>
          </w:tcPr>
          <w:p w14:paraId="3400F738">
            <w:pPr>
              <w:widowControl/>
              <w:spacing w:line="360" w:lineRule="auto"/>
              <w:jc w:val="center"/>
            </w:pPr>
            <w:r>
              <w:rPr>
                <w:rFonts w:hint="eastAsia"/>
              </w:rPr>
              <w:t>1.0%</w:t>
            </w:r>
          </w:p>
        </w:tc>
      </w:tr>
      <w:tr w14:paraId="0A6B5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6351D5F2">
            <w:pPr>
              <w:widowControl/>
              <w:spacing w:line="360" w:lineRule="auto"/>
              <w:jc w:val="center"/>
            </w:pPr>
            <w:r>
              <w:rPr>
                <w:rFonts w:hint="eastAsia"/>
              </w:rPr>
              <w:t>100万元（含）-500万元</w:t>
            </w:r>
          </w:p>
        </w:tc>
        <w:tc>
          <w:tcPr>
            <w:tcW w:w="1799" w:type="dxa"/>
            <w:vAlign w:val="center"/>
          </w:tcPr>
          <w:p w14:paraId="3AE6FB1C">
            <w:pPr>
              <w:widowControl/>
              <w:spacing w:line="360" w:lineRule="auto"/>
              <w:jc w:val="center"/>
            </w:pPr>
            <w:r>
              <w:rPr>
                <w:rFonts w:hint="eastAsia"/>
              </w:rPr>
              <w:t>1.1%</w:t>
            </w:r>
          </w:p>
        </w:tc>
        <w:tc>
          <w:tcPr>
            <w:tcW w:w="1799" w:type="dxa"/>
            <w:vAlign w:val="center"/>
          </w:tcPr>
          <w:p w14:paraId="7AE4295E">
            <w:pPr>
              <w:widowControl/>
              <w:spacing w:line="360" w:lineRule="auto"/>
              <w:jc w:val="center"/>
            </w:pPr>
            <w:r>
              <w:rPr>
                <w:rFonts w:hint="eastAsia"/>
              </w:rPr>
              <w:t>0.8%</w:t>
            </w:r>
          </w:p>
        </w:tc>
        <w:tc>
          <w:tcPr>
            <w:tcW w:w="1799" w:type="dxa"/>
            <w:vAlign w:val="center"/>
          </w:tcPr>
          <w:p w14:paraId="521701A9">
            <w:pPr>
              <w:widowControl/>
              <w:spacing w:line="360" w:lineRule="auto"/>
              <w:jc w:val="center"/>
            </w:pPr>
            <w:r>
              <w:rPr>
                <w:rFonts w:hint="eastAsia"/>
              </w:rPr>
              <w:t>0.7%</w:t>
            </w:r>
          </w:p>
        </w:tc>
      </w:tr>
      <w:tr w14:paraId="01656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4F30A378">
            <w:pPr>
              <w:widowControl/>
              <w:spacing w:line="360" w:lineRule="auto"/>
              <w:jc w:val="center"/>
            </w:pPr>
            <w:r>
              <w:rPr>
                <w:rFonts w:hint="eastAsia"/>
              </w:rPr>
              <w:t>500万元（含）-1000万元</w:t>
            </w:r>
          </w:p>
        </w:tc>
        <w:tc>
          <w:tcPr>
            <w:tcW w:w="1799" w:type="dxa"/>
            <w:vAlign w:val="center"/>
          </w:tcPr>
          <w:p w14:paraId="10AB7703">
            <w:pPr>
              <w:widowControl/>
              <w:spacing w:line="360" w:lineRule="auto"/>
              <w:jc w:val="center"/>
            </w:pPr>
            <w:r>
              <w:rPr>
                <w:rFonts w:hint="eastAsia"/>
              </w:rPr>
              <w:t>0.8%</w:t>
            </w:r>
          </w:p>
        </w:tc>
        <w:tc>
          <w:tcPr>
            <w:tcW w:w="1799" w:type="dxa"/>
            <w:vAlign w:val="center"/>
          </w:tcPr>
          <w:p w14:paraId="377DA972">
            <w:pPr>
              <w:widowControl/>
              <w:spacing w:line="360" w:lineRule="auto"/>
              <w:jc w:val="center"/>
            </w:pPr>
            <w:r>
              <w:rPr>
                <w:rFonts w:hint="eastAsia"/>
              </w:rPr>
              <w:t>0.45%</w:t>
            </w:r>
          </w:p>
        </w:tc>
        <w:tc>
          <w:tcPr>
            <w:tcW w:w="1799" w:type="dxa"/>
            <w:vAlign w:val="center"/>
          </w:tcPr>
          <w:p w14:paraId="6BA42471">
            <w:pPr>
              <w:widowControl/>
              <w:spacing w:line="360" w:lineRule="auto"/>
              <w:jc w:val="center"/>
            </w:pPr>
            <w:r>
              <w:rPr>
                <w:rFonts w:hint="eastAsia"/>
              </w:rPr>
              <w:t>0.55%</w:t>
            </w:r>
          </w:p>
        </w:tc>
      </w:tr>
      <w:tr w14:paraId="4D09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6B5A663F">
            <w:pPr>
              <w:widowControl/>
              <w:spacing w:line="360" w:lineRule="auto"/>
              <w:jc w:val="center"/>
            </w:pPr>
            <w:r>
              <w:rPr>
                <w:rFonts w:hint="eastAsia"/>
              </w:rPr>
              <w:t>1000万元（含）-5000万元</w:t>
            </w:r>
          </w:p>
        </w:tc>
        <w:tc>
          <w:tcPr>
            <w:tcW w:w="1799" w:type="dxa"/>
            <w:vAlign w:val="center"/>
          </w:tcPr>
          <w:p w14:paraId="5DFF9B94">
            <w:pPr>
              <w:widowControl/>
              <w:spacing w:line="360" w:lineRule="auto"/>
              <w:jc w:val="center"/>
            </w:pPr>
            <w:r>
              <w:rPr>
                <w:rFonts w:hint="eastAsia"/>
              </w:rPr>
              <w:t>0.5%</w:t>
            </w:r>
          </w:p>
        </w:tc>
        <w:tc>
          <w:tcPr>
            <w:tcW w:w="1799" w:type="dxa"/>
            <w:vAlign w:val="center"/>
          </w:tcPr>
          <w:p w14:paraId="67BDE70E">
            <w:pPr>
              <w:widowControl/>
              <w:spacing w:line="360" w:lineRule="auto"/>
              <w:jc w:val="center"/>
            </w:pPr>
            <w:r>
              <w:rPr>
                <w:rFonts w:hint="eastAsia"/>
              </w:rPr>
              <w:t>0.25%</w:t>
            </w:r>
          </w:p>
        </w:tc>
        <w:tc>
          <w:tcPr>
            <w:tcW w:w="1799" w:type="dxa"/>
            <w:vAlign w:val="center"/>
          </w:tcPr>
          <w:p w14:paraId="204EDD76">
            <w:pPr>
              <w:widowControl/>
              <w:spacing w:line="360" w:lineRule="auto"/>
              <w:jc w:val="center"/>
            </w:pPr>
            <w:r>
              <w:rPr>
                <w:rFonts w:hint="eastAsia"/>
              </w:rPr>
              <w:t>0.35%</w:t>
            </w:r>
          </w:p>
        </w:tc>
      </w:tr>
      <w:tr w14:paraId="3337D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3E101169">
            <w:pPr>
              <w:widowControl/>
              <w:spacing w:line="360" w:lineRule="auto"/>
              <w:jc w:val="center"/>
            </w:pPr>
            <w:r>
              <w:rPr>
                <w:rFonts w:hint="eastAsia"/>
              </w:rPr>
              <w:t>5000万元（含）-1亿元</w:t>
            </w:r>
          </w:p>
        </w:tc>
        <w:tc>
          <w:tcPr>
            <w:tcW w:w="1799" w:type="dxa"/>
            <w:vAlign w:val="center"/>
          </w:tcPr>
          <w:p w14:paraId="7FFE0E07">
            <w:pPr>
              <w:widowControl/>
              <w:spacing w:line="360" w:lineRule="auto"/>
              <w:jc w:val="center"/>
            </w:pPr>
            <w:r>
              <w:rPr>
                <w:rFonts w:hint="eastAsia"/>
              </w:rPr>
              <w:t>0.25%</w:t>
            </w:r>
          </w:p>
        </w:tc>
        <w:tc>
          <w:tcPr>
            <w:tcW w:w="1799" w:type="dxa"/>
            <w:vAlign w:val="center"/>
          </w:tcPr>
          <w:p w14:paraId="42F6170C">
            <w:pPr>
              <w:widowControl/>
              <w:spacing w:line="360" w:lineRule="auto"/>
              <w:jc w:val="center"/>
            </w:pPr>
            <w:r>
              <w:rPr>
                <w:rFonts w:hint="eastAsia"/>
              </w:rPr>
              <w:t>0.1%</w:t>
            </w:r>
          </w:p>
        </w:tc>
        <w:tc>
          <w:tcPr>
            <w:tcW w:w="1799" w:type="dxa"/>
            <w:vAlign w:val="center"/>
          </w:tcPr>
          <w:p w14:paraId="14991E7A">
            <w:pPr>
              <w:widowControl/>
              <w:spacing w:line="360" w:lineRule="auto"/>
              <w:jc w:val="center"/>
            </w:pPr>
            <w:r>
              <w:rPr>
                <w:rFonts w:hint="eastAsia"/>
              </w:rPr>
              <w:t>0.2%</w:t>
            </w:r>
          </w:p>
        </w:tc>
      </w:tr>
      <w:tr w14:paraId="42504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23A519A6">
            <w:pPr>
              <w:widowControl/>
              <w:spacing w:line="360" w:lineRule="auto"/>
              <w:jc w:val="center"/>
            </w:pPr>
            <w:r>
              <w:rPr>
                <w:rFonts w:hint="eastAsia"/>
              </w:rPr>
              <w:t>1亿元（含）-5亿元</w:t>
            </w:r>
          </w:p>
        </w:tc>
        <w:tc>
          <w:tcPr>
            <w:tcW w:w="1799" w:type="dxa"/>
            <w:vAlign w:val="center"/>
          </w:tcPr>
          <w:p w14:paraId="58F5782B">
            <w:pPr>
              <w:widowControl/>
              <w:spacing w:line="360" w:lineRule="auto"/>
              <w:jc w:val="center"/>
            </w:pPr>
            <w:r>
              <w:rPr>
                <w:rFonts w:hint="eastAsia"/>
              </w:rPr>
              <w:t>0.05%</w:t>
            </w:r>
          </w:p>
        </w:tc>
        <w:tc>
          <w:tcPr>
            <w:tcW w:w="1799" w:type="dxa"/>
            <w:vAlign w:val="center"/>
          </w:tcPr>
          <w:p w14:paraId="0F3988B6">
            <w:pPr>
              <w:widowControl/>
              <w:spacing w:line="360" w:lineRule="auto"/>
              <w:jc w:val="center"/>
            </w:pPr>
            <w:r>
              <w:rPr>
                <w:rFonts w:hint="eastAsia"/>
              </w:rPr>
              <w:t>0.05%</w:t>
            </w:r>
          </w:p>
        </w:tc>
        <w:tc>
          <w:tcPr>
            <w:tcW w:w="1799" w:type="dxa"/>
            <w:vAlign w:val="center"/>
          </w:tcPr>
          <w:p w14:paraId="68AA1C74">
            <w:pPr>
              <w:widowControl/>
              <w:spacing w:line="360" w:lineRule="auto"/>
              <w:jc w:val="center"/>
            </w:pPr>
            <w:r>
              <w:rPr>
                <w:rFonts w:hint="eastAsia"/>
              </w:rPr>
              <w:t>0.05%</w:t>
            </w:r>
          </w:p>
        </w:tc>
      </w:tr>
      <w:tr w14:paraId="767D8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0E0967A4">
            <w:pPr>
              <w:widowControl/>
              <w:spacing w:line="360" w:lineRule="auto"/>
              <w:jc w:val="center"/>
            </w:pPr>
            <w:r>
              <w:rPr>
                <w:rFonts w:hint="eastAsia"/>
              </w:rPr>
              <w:t>5亿元（含）-10亿元</w:t>
            </w:r>
          </w:p>
        </w:tc>
        <w:tc>
          <w:tcPr>
            <w:tcW w:w="1799" w:type="dxa"/>
            <w:vAlign w:val="center"/>
          </w:tcPr>
          <w:p w14:paraId="6D697726">
            <w:pPr>
              <w:widowControl/>
              <w:spacing w:line="360" w:lineRule="auto"/>
              <w:jc w:val="center"/>
            </w:pPr>
            <w:r>
              <w:rPr>
                <w:rFonts w:hint="eastAsia"/>
              </w:rPr>
              <w:t>0.035%</w:t>
            </w:r>
          </w:p>
        </w:tc>
        <w:tc>
          <w:tcPr>
            <w:tcW w:w="1799" w:type="dxa"/>
            <w:vAlign w:val="center"/>
          </w:tcPr>
          <w:p w14:paraId="1F45243F">
            <w:pPr>
              <w:widowControl/>
              <w:spacing w:line="360" w:lineRule="auto"/>
              <w:jc w:val="center"/>
            </w:pPr>
            <w:r>
              <w:rPr>
                <w:rFonts w:hint="eastAsia"/>
              </w:rPr>
              <w:t>0.035%</w:t>
            </w:r>
          </w:p>
        </w:tc>
        <w:tc>
          <w:tcPr>
            <w:tcW w:w="1799" w:type="dxa"/>
            <w:vAlign w:val="center"/>
          </w:tcPr>
          <w:p w14:paraId="2AC5C6F6">
            <w:pPr>
              <w:widowControl/>
              <w:spacing w:line="360" w:lineRule="auto"/>
              <w:jc w:val="center"/>
            </w:pPr>
            <w:r>
              <w:rPr>
                <w:rFonts w:hint="eastAsia"/>
              </w:rPr>
              <w:t>0.035%</w:t>
            </w:r>
          </w:p>
        </w:tc>
      </w:tr>
      <w:tr w14:paraId="6839F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125" w:type="dxa"/>
            <w:vAlign w:val="center"/>
          </w:tcPr>
          <w:p w14:paraId="55A46BB3">
            <w:pPr>
              <w:widowControl/>
              <w:spacing w:line="360" w:lineRule="auto"/>
              <w:jc w:val="center"/>
            </w:pPr>
            <w:r>
              <w:rPr>
                <w:rFonts w:hint="eastAsia"/>
              </w:rPr>
              <w:t>10亿元（含）-50亿元</w:t>
            </w:r>
          </w:p>
        </w:tc>
        <w:tc>
          <w:tcPr>
            <w:tcW w:w="1799" w:type="dxa"/>
            <w:vAlign w:val="center"/>
          </w:tcPr>
          <w:p w14:paraId="75DB6535">
            <w:pPr>
              <w:widowControl/>
              <w:spacing w:line="360" w:lineRule="auto"/>
              <w:jc w:val="center"/>
            </w:pPr>
            <w:r>
              <w:rPr>
                <w:rFonts w:hint="eastAsia"/>
              </w:rPr>
              <w:t>0.008%</w:t>
            </w:r>
          </w:p>
        </w:tc>
        <w:tc>
          <w:tcPr>
            <w:tcW w:w="1799" w:type="dxa"/>
            <w:vAlign w:val="center"/>
          </w:tcPr>
          <w:p w14:paraId="27CB2F27">
            <w:pPr>
              <w:widowControl/>
              <w:spacing w:line="360" w:lineRule="auto"/>
              <w:jc w:val="center"/>
            </w:pPr>
            <w:r>
              <w:rPr>
                <w:rFonts w:hint="eastAsia"/>
              </w:rPr>
              <w:t>0.008%</w:t>
            </w:r>
          </w:p>
        </w:tc>
        <w:tc>
          <w:tcPr>
            <w:tcW w:w="1799" w:type="dxa"/>
            <w:vAlign w:val="center"/>
          </w:tcPr>
          <w:p w14:paraId="3C129A8A">
            <w:pPr>
              <w:widowControl/>
              <w:spacing w:line="360" w:lineRule="auto"/>
              <w:jc w:val="center"/>
            </w:pPr>
            <w:r>
              <w:rPr>
                <w:rFonts w:hint="eastAsia"/>
              </w:rPr>
              <w:t>0.008%</w:t>
            </w:r>
          </w:p>
        </w:tc>
      </w:tr>
      <w:tr w14:paraId="5A5B7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125" w:type="dxa"/>
            <w:vAlign w:val="center"/>
          </w:tcPr>
          <w:p w14:paraId="5A85D4DA">
            <w:pPr>
              <w:widowControl/>
              <w:spacing w:line="360" w:lineRule="auto"/>
              <w:jc w:val="center"/>
            </w:pPr>
            <w:r>
              <w:rPr>
                <w:rFonts w:hint="eastAsia"/>
              </w:rPr>
              <w:t>50亿元（含）-100亿元</w:t>
            </w:r>
          </w:p>
        </w:tc>
        <w:tc>
          <w:tcPr>
            <w:tcW w:w="1799" w:type="dxa"/>
            <w:vAlign w:val="center"/>
          </w:tcPr>
          <w:p w14:paraId="71939079">
            <w:pPr>
              <w:widowControl/>
              <w:spacing w:line="360" w:lineRule="auto"/>
              <w:jc w:val="center"/>
            </w:pPr>
            <w:r>
              <w:rPr>
                <w:rFonts w:hint="eastAsia"/>
              </w:rPr>
              <w:t>0.006%</w:t>
            </w:r>
          </w:p>
        </w:tc>
        <w:tc>
          <w:tcPr>
            <w:tcW w:w="1799" w:type="dxa"/>
            <w:vAlign w:val="center"/>
          </w:tcPr>
          <w:p w14:paraId="2F1A1929">
            <w:pPr>
              <w:widowControl/>
              <w:spacing w:line="360" w:lineRule="auto"/>
              <w:jc w:val="center"/>
            </w:pPr>
            <w:r>
              <w:rPr>
                <w:rFonts w:hint="eastAsia"/>
              </w:rPr>
              <w:t>0.006%</w:t>
            </w:r>
          </w:p>
        </w:tc>
        <w:tc>
          <w:tcPr>
            <w:tcW w:w="1799" w:type="dxa"/>
            <w:vAlign w:val="center"/>
          </w:tcPr>
          <w:p w14:paraId="2A408C37">
            <w:pPr>
              <w:widowControl/>
              <w:spacing w:line="360" w:lineRule="auto"/>
              <w:jc w:val="center"/>
            </w:pPr>
            <w:r>
              <w:rPr>
                <w:rFonts w:hint="eastAsia"/>
              </w:rPr>
              <w:t>0.006%</w:t>
            </w:r>
          </w:p>
        </w:tc>
      </w:tr>
      <w:tr w14:paraId="79693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32D4F7B2">
            <w:pPr>
              <w:widowControl/>
              <w:spacing w:line="360" w:lineRule="auto"/>
              <w:jc w:val="center"/>
            </w:pPr>
            <w:r>
              <w:rPr>
                <w:rFonts w:hint="eastAsia"/>
              </w:rPr>
              <w:t>100亿元（含）以上</w:t>
            </w:r>
          </w:p>
        </w:tc>
        <w:tc>
          <w:tcPr>
            <w:tcW w:w="1799" w:type="dxa"/>
            <w:vAlign w:val="center"/>
          </w:tcPr>
          <w:p w14:paraId="2ED6EE93">
            <w:pPr>
              <w:widowControl/>
              <w:spacing w:line="360" w:lineRule="auto"/>
              <w:jc w:val="center"/>
            </w:pPr>
            <w:r>
              <w:rPr>
                <w:rFonts w:hint="eastAsia"/>
              </w:rPr>
              <w:t>0.004%</w:t>
            </w:r>
          </w:p>
        </w:tc>
        <w:tc>
          <w:tcPr>
            <w:tcW w:w="1799" w:type="dxa"/>
            <w:vAlign w:val="center"/>
          </w:tcPr>
          <w:p w14:paraId="76EA9A72">
            <w:pPr>
              <w:widowControl/>
              <w:spacing w:line="360" w:lineRule="auto"/>
              <w:jc w:val="center"/>
            </w:pPr>
            <w:r>
              <w:rPr>
                <w:rFonts w:hint="eastAsia"/>
              </w:rPr>
              <w:t>0.004%</w:t>
            </w:r>
          </w:p>
        </w:tc>
        <w:tc>
          <w:tcPr>
            <w:tcW w:w="1799" w:type="dxa"/>
            <w:vAlign w:val="center"/>
          </w:tcPr>
          <w:p w14:paraId="4EED8952">
            <w:pPr>
              <w:widowControl/>
              <w:spacing w:line="360" w:lineRule="auto"/>
              <w:jc w:val="center"/>
            </w:pPr>
            <w:r>
              <w:rPr>
                <w:rFonts w:hint="eastAsia"/>
              </w:rPr>
              <w:t>0.004%</w:t>
            </w:r>
          </w:p>
        </w:tc>
      </w:tr>
    </w:tbl>
    <w:p w14:paraId="512E6D46">
      <w:pPr>
        <w:ind w:firstLine="420" w:firstLineChars="200"/>
      </w:pPr>
      <w:r>
        <w:rPr>
          <w:rFonts w:hint="eastAsia"/>
        </w:rPr>
        <w:t>备注：1.每宗交易代理服务费不低于 5000 元；</w:t>
      </w:r>
    </w:p>
    <w:p w14:paraId="462FDF8E">
      <w:pPr>
        <w:ind w:firstLine="420" w:firstLineChars="200"/>
      </w:pPr>
      <w:r>
        <w:rPr>
          <w:rFonts w:hint="eastAsia"/>
        </w:rPr>
        <w:t>2.对于报总价的采购类项目，中标（成交）价为中标（成交）金额；对于报单价、折扣或费率的采购类项目，中标（成交）价为预算上限金额或经委托方与代理方确定的支付上限金额；</w:t>
      </w:r>
    </w:p>
    <w:p w14:paraId="668E8FFB">
      <w:pPr>
        <w:ind w:firstLine="420" w:firstLineChars="200"/>
      </w:pPr>
      <w:r>
        <w:rPr>
          <w:rFonts w:hint="eastAsia"/>
        </w:rPr>
        <w:t>如某货物采购项目，中标（成交）金额为600万元，总共交纳的代理服务费的具体计算过程如下：</w:t>
      </w:r>
    </w:p>
    <w:p w14:paraId="7151438C">
      <w:pPr>
        <w:ind w:firstLine="420" w:firstLineChars="200"/>
      </w:pPr>
      <w:r>
        <w:rPr>
          <w:rFonts w:hint="eastAsia"/>
        </w:rPr>
        <w:t>标准代理服务费＝（100万以下部分的代理服务费）+（100万～500万部分的代理服务费）+（500万～600万部分的代理服务费）＝100万元×1.5%+（500-100）万元×1.1%+（600-500）万元×0.8%=1.5万元+4.4万元+0.8万元＝6.7万元</w:t>
      </w:r>
    </w:p>
    <w:p w14:paraId="4927CBF2">
      <w:pPr>
        <w:ind w:firstLine="420" w:firstLineChars="200"/>
      </w:pPr>
      <w:r>
        <w:rPr>
          <w:rFonts w:hint="eastAsia"/>
        </w:rPr>
        <w:t>（3）中标（成交）供应商中标（成交）后，必须按规定采用银行对公转账方式向深圳交易集团有限公司直接交纳代理服务费，交纳信息及要求：</w:t>
      </w:r>
    </w:p>
    <w:p w14:paraId="31B05B38">
      <w:pPr>
        <w:ind w:firstLine="422" w:firstLineChars="200"/>
        <w:rPr>
          <w:rFonts w:hint="eastAsia" w:ascii="宋体" w:hAnsi="宋体" w:cs="宋体"/>
          <w:bCs/>
          <w:color w:val="FF0000"/>
          <w:szCs w:val="21"/>
        </w:rPr>
      </w:pPr>
      <w:r>
        <w:rPr>
          <w:rFonts w:hint="eastAsia" w:ascii="宋体" w:hAnsi="宋体" w:cs="宋体"/>
          <w:b/>
          <w:bCs/>
          <w:color w:val="FF0000"/>
          <w:szCs w:val="21"/>
        </w:rPr>
        <w:t>基本户信息：</w:t>
      </w:r>
    </w:p>
    <w:p w14:paraId="0C70C493">
      <w:pPr>
        <w:ind w:firstLine="420" w:firstLineChars="200"/>
        <w:rPr>
          <w:rFonts w:hint="eastAsia" w:ascii="宋体" w:hAnsi="宋体" w:cs="宋体"/>
          <w:color w:val="FF0000"/>
          <w:szCs w:val="21"/>
        </w:rPr>
      </w:pPr>
      <w:r>
        <w:rPr>
          <w:rFonts w:hint="eastAsia" w:ascii="宋体" w:hAnsi="宋体" w:cs="宋体"/>
          <w:color w:val="FF0000"/>
          <w:szCs w:val="21"/>
        </w:rPr>
        <w:t>账户名：深圳交易集团有限公司</w:t>
      </w:r>
    </w:p>
    <w:p w14:paraId="21E2C73A">
      <w:pPr>
        <w:ind w:firstLine="420" w:firstLineChars="200"/>
        <w:rPr>
          <w:rFonts w:hint="eastAsia" w:ascii="宋体" w:hAnsi="宋体" w:cs="宋体"/>
          <w:color w:val="FF0000"/>
          <w:szCs w:val="21"/>
        </w:rPr>
      </w:pPr>
      <w:r>
        <w:rPr>
          <w:rFonts w:hint="eastAsia" w:ascii="宋体" w:hAnsi="宋体" w:cs="宋体"/>
          <w:color w:val="FF0000"/>
          <w:szCs w:val="21"/>
        </w:rPr>
        <w:t>账号：632765883</w:t>
      </w:r>
    </w:p>
    <w:p w14:paraId="796FBA12">
      <w:pPr>
        <w:ind w:firstLine="420" w:firstLineChars="200"/>
        <w:rPr>
          <w:rFonts w:hint="eastAsia" w:ascii="宋体" w:hAnsi="宋体" w:cs="宋体"/>
          <w:color w:val="FF0000"/>
          <w:szCs w:val="21"/>
        </w:rPr>
      </w:pPr>
      <w:r>
        <w:rPr>
          <w:rFonts w:hint="eastAsia" w:ascii="宋体" w:hAnsi="宋体" w:cs="宋体"/>
          <w:color w:val="FF0000"/>
          <w:szCs w:val="21"/>
        </w:rPr>
        <w:t>开户行：民生银行深圳五洲支行</w:t>
      </w:r>
    </w:p>
    <w:p w14:paraId="03280A66">
      <w:pPr>
        <w:ind w:firstLine="422" w:firstLineChars="200"/>
        <w:rPr>
          <w:rFonts w:hint="eastAsia" w:ascii="宋体" w:hAnsi="宋体" w:cs="宋体"/>
          <w:bCs/>
          <w:color w:val="FF0000"/>
          <w:szCs w:val="21"/>
        </w:rPr>
      </w:pPr>
      <w:r>
        <w:rPr>
          <w:rFonts w:hint="eastAsia" w:ascii="宋体" w:hAnsi="宋体" w:cs="宋体"/>
          <w:b/>
          <w:bCs/>
          <w:color w:val="FF0000"/>
          <w:szCs w:val="21"/>
        </w:rPr>
        <w:t>转账备注：</w:t>
      </w:r>
    </w:p>
    <w:p w14:paraId="5510BFCA">
      <w:pPr>
        <w:ind w:firstLine="420" w:firstLineChars="200"/>
        <w:rPr>
          <w:rFonts w:hint="eastAsia" w:ascii="宋体" w:hAnsi="宋体" w:cs="宋体"/>
          <w:bCs/>
          <w:color w:val="FF0000"/>
          <w:szCs w:val="21"/>
        </w:rPr>
      </w:pPr>
      <w:r>
        <w:rPr>
          <w:rFonts w:hint="eastAsia" w:ascii="宋体" w:hAnsi="宋体" w:cs="宋体"/>
          <w:bCs/>
          <w:color w:val="FF0000"/>
          <w:szCs w:val="21"/>
        </w:rPr>
        <w:t>项目编号+项目名称</w:t>
      </w:r>
    </w:p>
    <w:p w14:paraId="26E675A8">
      <w:pPr>
        <w:ind w:firstLine="422" w:firstLineChars="200"/>
        <w:jc w:val="left"/>
        <w:rPr>
          <w:b/>
          <w:bCs/>
        </w:rPr>
      </w:pPr>
      <w:r>
        <w:rPr>
          <w:rFonts w:hint="eastAsia"/>
          <w:b/>
          <w:bCs/>
        </w:rPr>
        <w:t>3、长期服务采购项目</w:t>
      </w:r>
    </w:p>
    <w:p w14:paraId="28D432F0">
      <w:pPr>
        <w:ind w:firstLine="420" w:firstLineChars="200"/>
        <w:jc w:val="left"/>
      </w:pPr>
      <w:r>
        <w:rPr>
          <w:rFonts w:hint="eastAsia"/>
        </w:rPr>
        <w:t>本项目为长期服务项目，合同期满可以续签，但合同履行期限最长不得超过三十六个月。如甲方对履约情况不满意，甲方不再续约。</w:t>
      </w:r>
    </w:p>
    <w:p w14:paraId="53D45526">
      <w:pPr>
        <w:rPr>
          <w:sz w:val="28"/>
          <w:szCs w:val="28"/>
        </w:rPr>
      </w:pPr>
      <w:bookmarkStart w:id="33" w:name="_Toc128884461"/>
      <w:r>
        <w:rPr>
          <w:rFonts w:hint="eastAsia"/>
          <w:sz w:val="28"/>
          <w:szCs w:val="28"/>
        </w:rPr>
        <w:br w:type="page"/>
      </w:r>
    </w:p>
    <w:p w14:paraId="35162155">
      <w:pPr>
        <w:pStyle w:val="3"/>
        <w:rPr>
          <w:rFonts w:hint="eastAsia"/>
          <w:sz w:val="28"/>
          <w:szCs w:val="28"/>
        </w:rPr>
      </w:pPr>
      <w:r>
        <w:rPr>
          <w:rFonts w:hint="eastAsia"/>
          <w:sz w:val="28"/>
          <w:szCs w:val="28"/>
        </w:rPr>
        <w:t>第三章 用户需求书</w:t>
      </w:r>
    </w:p>
    <w:p w14:paraId="1984CB1D">
      <w:pPr>
        <w:pStyle w:val="3"/>
        <w:spacing w:before="156" w:beforeLines="50" w:after="156" w:afterLines="50"/>
        <w:rPr>
          <w:rFonts w:hint="eastAsia"/>
          <w:szCs w:val="24"/>
        </w:rPr>
      </w:pPr>
      <w:r>
        <w:rPr>
          <w:rFonts w:hint="eastAsia"/>
          <w:szCs w:val="24"/>
        </w:rPr>
        <w:t>一、项目基本信息</w:t>
      </w:r>
    </w:p>
    <w:tbl>
      <w:tblPr>
        <w:tblStyle w:val="42"/>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4"/>
        <w:gridCol w:w="6263"/>
        <w:gridCol w:w="1785"/>
      </w:tblGrid>
      <w:tr w14:paraId="07C08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530" w:type="pct"/>
            <w:vAlign w:val="center"/>
          </w:tcPr>
          <w:p w14:paraId="5F159951">
            <w:pPr>
              <w:jc w:val="center"/>
              <w:rPr>
                <w:bCs/>
                <w:szCs w:val="21"/>
              </w:rPr>
            </w:pPr>
            <w:r>
              <w:rPr>
                <w:rFonts w:hint="eastAsia"/>
                <w:bCs/>
                <w:szCs w:val="21"/>
              </w:rPr>
              <w:t>序号</w:t>
            </w:r>
          </w:p>
        </w:tc>
        <w:tc>
          <w:tcPr>
            <w:tcW w:w="3478" w:type="pct"/>
            <w:vAlign w:val="center"/>
          </w:tcPr>
          <w:p w14:paraId="0A5B9AE6">
            <w:pPr>
              <w:jc w:val="center"/>
              <w:rPr>
                <w:bCs/>
                <w:szCs w:val="21"/>
              </w:rPr>
            </w:pPr>
            <w:r>
              <w:rPr>
                <w:rFonts w:hint="eastAsia"/>
                <w:bCs/>
                <w:szCs w:val="21"/>
              </w:rPr>
              <w:t>采购项目名称</w:t>
            </w:r>
          </w:p>
        </w:tc>
        <w:tc>
          <w:tcPr>
            <w:tcW w:w="991" w:type="pct"/>
            <w:vAlign w:val="center"/>
          </w:tcPr>
          <w:p w14:paraId="020E8EEF">
            <w:pPr>
              <w:jc w:val="center"/>
              <w:rPr>
                <w:b/>
                <w:bCs/>
                <w:color w:val="FF0000"/>
                <w:szCs w:val="21"/>
              </w:rPr>
            </w:pPr>
            <w:r>
              <w:rPr>
                <w:rFonts w:hint="eastAsia"/>
                <w:b/>
                <w:bCs/>
                <w:color w:val="FF0000"/>
                <w:szCs w:val="21"/>
              </w:rPr>
              <w:t>预算金额（元）</w:t>
            </w:r>
          </w:p>
        </w:tc>
      </w:tr>
      <w:tr w14:paraId="7D731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530" w:type="pct"/>
            <w:vAlign w:val="center"/>
          </w:tcPr>
          <w:p w14:paraId="72F80D9E">
            <w:pPr>
              <w:jc w:val="center"/>
              <w:rPr>
                <w:bCs/>
                <w:szCs w:val="21"/>
              </w:rPr>
            </w:pPr>
            <w:r>
              <w:rPr>
                <w:rFonts w:hint="eastAsia"/>
                <w:bCs/>
                <w:szCs w:val="21"/>
              </w:rPr>
              <w:t>1</w:t>
            </w:r>
          </w:p>
        </w:tc>
        <w:tc>
          <w:tcPr>
            <w:tcW w:w="3478" w:type="pct"/>
            <w:vAlign w:val="center"/>
          </w:tcPr>
          <w:p w14:paraId="5C9F6EBE">
            <w:pPr>
              <w:jc w:val="center"/>
              <w:rPr>
                <w:bCs/>
                <w:szCs w:val="21"/>
              </w:rPr>
            </w:pPr>
            <w:r>
              <w:rPr>
                <w:bCs/>
                <w:szCs w:val="21"/>
              </w:rPr>
              <w:t>深圳外国语湾区学校四五年级研学课程服务项目</w:t>
            </w:r>
          </w:p>
        </w:tc>
        <w:tc>
          <w:tcPr>
            <w:tcW w:w="991" w:type="pct"/>
            <w:vAlign w:val="center"/>
          </w:tcPr>
          <w:p w14:paraId="470817FE">
            <w:pPr>
              <w:jc w:val="center"/>
              <w:rPr>
                <w:bCs/>
                <w:color w:val="FF0000"/>
                <w:szCs w:val="21"/>
              </w:rPr>
            </w:pPr>
            <w:r>
              <w:rPr>
                <w:rFonts w:hint="eastAsia"/>
                <w:bCs/>
                <w:color w:val="FF0000"/>
                <w:szCs w:val="21"/>
              </w:rPr>
              <w:t>475000</w:t>
            </w:r>
          </w:p>
        </w:tc>
      </w:tr>
    </w:tbl>
    <w:p w14:paraId="44EB8E18">
      <w:pPr>
        <w:pStyle w:val="3"/>
        <w:numPr>
          <w:ilvl w:val="0"/>
          <w:numId w:val="7"/>
        </w:numPr>
        <w:spacing w:before="156" w:beforeLines="50" w:after="156" w:afterLines="50"/>
        <w:rPr>
          <w:rFonts w:hint="eastAsia"/>
          <w:szCs w:val="24"/>
        </w:rPr>
      </w:pPr>
      <w:r>
        <w:rPr>
          <w:rFonts w:hint="eastAsia" w:ascii="Times New Roman" w:hAnsi="Times New Roman"/>
          <w:kern w:val="2"/>
          <w:szCs w:val="24"/>
          <w:lang w:bidi="ar"/>
        </w:rPr>
        <w:t>项目概况</w:t>
      </w:r>
    </w:p>
    <w:p w14:paraId="3084ED12">
      <w:pPr>
        <w:spacing w:line="360" w:lineRule="auto"/>
        <w:rPr>
          <w:b/>
          <w:bCs/>
          <w:sz w:val="24"/>
        </w:rPr>
      </w:pPr>
      <w:r>
        <w:rPr>
          <w:rFonts w:hint="eastAsia"/>
          <w:b/>
          <w:bCs/>
          <w:sz w:val="24"/>
        </w:rPr>
        <w:t>一、项目概述</w:t>
      </w:r>
    </w:p>
    <w:p w14:paraId="4E418AAD">
      <w:pPr>
        <w:pStyle w:val="3"/>
        <w:snapToGrid w:val="0"/>
        <w:spacing w:before="156" w:beforeLines="50" w:after="156" w:afterLines="50"/>
        <w:ind w:left="420" w:leftChars="200"/>
        <w:jc w:val="left"/>
        <w:rPr>
          <w:rFonts w:ascii="Times New Roman" w:hAnsi="Times New Roman"/>
          <w:b w:val="0"/>
          <w:bCs w:val="0"/>
          <w:kern w:val="2"/>
          <w:sz w:val="21"/>
          <w:szCs w:val="21"/>
        </w:rPr>
      </w:pPr>
      <w:r>
        <w:rPr>
          <w:rFonts w:hint="eastAsia" w:ascii="Times New Roman" w:hAnsi="Times New Roman"/>
          <w:b w:val="0"/>
          <w:bCs w:val="0"/>
          <w:kern w:val="2"/>
          <w:sz w:val="21"/>
          <w:szCs w:val="21"/>
        </w:rPr>
        <w:t>深圳外国语湾区学校为多元融合学校，实施国家课程与IB国际课程融合教学，学生及教师来自内地、港澳台，以及海外，学校为IB全学段学校，获得IBO国际文凭组织对学校PYP、MYP、DP的课程授权，获得国际学校协会CIS成员认证。学校师生来自世界各地，拥有一定比例的外籍教师和外籍学生。本项目为结合课程教育需要，结合学校实际情况，开展四五年级户外研学旅行活动。</w:t>
      </w:r>
    </w:p>
    <w:p w14:paraId="27ACA9FB">
      <w:pPr>
        <w:pStyle w:val="3"/>
        <w:spacing w:before="156" w:beforeLines="50" w:after="156" w:afterLines="50"/>
        <w:rPr>
          <w:rFonts w:hint="eastAsia"/>
          <w:szCs w:val="24"/>
        </w:rPr>
      </w:pPr>
      <w:r>
        <w:rPr>
          <w:rFonts w:hint="eastAsia"/>
          <w:szCs w:val="24"/>
        </w:rPr>
        <w:t>三、</w:t>
      </w:r>
      <w:bookmarkStart w:id="34" w:name="_Hlk72073432"/>
      <w:r>
        <w:rPr>
          <w:rFonts w:hint="eastAsia"/>
          <w:szCs w:val="24"/>
        </w:rPr>
        <w:t>服务需求明细</w:t>
      </w:r>
      <w:bookmarkEnd w:id="34"/>
    </w:p>
    <w:tbl>
      <w:tblPr>
        <w:tblStyle w:val="42"/>
        <w:tblpPr w:leftFromText="180" w:rightFromText="180" w:vertAnchor="text" w:horzAnchor="margin" w:tblpX="139" w:tblpY="173"/>
        <w:tblW w:w="92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3588"/>
        <w:gridCol w:w="837"/>
        <w:gridCol w:w="1006"/>
        <w:gridCol w:w="3075"/>
      </w:tblGrid>
      <w:tr w14:paraId="13099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6" w:hRule="atLeast"/>
        </w:trPr>
        <w:tc>
          <w:tcPr>
            <w:tcW w:w="776" w:type="dxa"/>
            <w:vAlign w:val="center"/>
          </w:tcPr>
          <w:p w14:paraId="2FFE9624">
            <w:pPr>
              <w:jc w:val="center"/>
              <w:rPr>
                <w:bCs/>
                <w:szCs w:val="21"/>
              </w:rPr>
            </w:pPr>
            <w:r>
              <w:rPr>
                <w:rFonts w:hint="eastAsia"/>
                <w:bCs/>
                <w:szCs w:val="21"/>
              </w:rPr>
              <w:t>序号</w:t>
            </w:r>
          </w:p>
        </w:tc>
        <w:tc>
          <w:tcPr>
            <w:tcW w:w="3588" w:type="dxa"/>
            <w:vAlign w:val="center"/>
          </w:tcPr>
          <w:p w14:paraId="714C4CCF">
            <w:pPr>
              <w:jc w:val="center"/>
              <w:rPr>
                <w:bCs/>
                <w:szCs w:val="21"/>
              </w:rPr>
            </w:pPr>
            <w:r>
              <w:rPr>
                <w:rFonts w:hint="eastAsia"/>
                <w:bCs/>
                <w:szCs w:val="21"/>
              </w:rPr>
              <w:t>服务需求名称（标的名称）</w:t>
            </w:r>
          </w:p>
        </w:tc>
        <w:tc>
          <w:tcPr>
            <w:tcW w:w="837" w:type="dxa"/>
            <w:vAlign w:val="center"/>
          </w:tcPr>
          <w:p w14:paraId="4219806A">
            <w:pPr>
              <w:jc w:val="center"/>
              <w:rPr>
                <w:bCs/>
                <w:szCs w:val="21"/>
              </w:rPr>
            </w:pPr>
            <w:r>
              <w:rPr>
                <w:rFonts w:hint="eastAsia"/>
                <w:bCs/>
                <w:szCs w:val="21"/>
              </w:rPr>
              <w:t>数量</w:t>
            </w:r>
          </w:p>
        </w:tc>
        <w:tc>
          <w:tcPr>
            <w:tcW w:w="1006" w:type="dxa"/>
            <w:vAlign w:val="center"/>
          </w:tcPr>
          <w:p w14:paraId="08EF02A0">
            <w:pPr>
              <w:jc w:val="center"/>
              <w:rPr>
                <w:bCs/>
                <w:szCs w:val="21"/>
              </w:rPr>
            </w:pPr>
            <w:r>
              <w:rPr>
                <w:rFonts w:hint="eastAsia"/>
                <w:bCs/>
                <w:szCs w:val="21"/>
              </w:rPr>
              <w:t>单位</w:t>
            </w:r>
          </w:p>
        </w:tc>
        <w:tc>
          <w:tcPr>
            <w:tcW w:w="3075" w:type="dxa"/>
            <w:vAlign w:val="center"/>
          </w:tcPr>
          <w:p w14:paraId="5CE25C00">
            <w:pPr>
              <w:jc w:val="center"/>
              <w:rPr>
                <w:bCs/>
                <w:szCs w:val="21"/>
              </w:rPr>
            </w:pPr>
            <w:r>
              <w:rPr>
                <w:rFonts w:hint="eastAsia" w:cs="宋体"/>
                <w:b/>
                <w:bCs/>
                <w:color w:val="FF0000"/>
                <w:szCs w:val="21"/>
              </w:rPr>
              <w:t>标的所属行业</w:t>
            </w:r>
          </w:p>
        </w:tc>
      </w:tr>
      <w:tr w14:paraId="6B8F0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776" w:type="dxa"/>
            <w:vAlign w:val="center"/>
          </w:tcPr>
          <w:p w14:paraId="749F3B78">
            <w:pPr>
              <w:jc w:val="center"/>
              <w:rPr>
                <w:bCs/>
                <w:szCs w:val="21"/>
              </w:rPr>
            </w:pPr>
            <w:r>
              <w:rPr>
                <w:rFonts w:hint="eastAsia"/>
                <w:bCs/>
                <w:szCs w:val="21"/>
              </w:rPr>
              <w:t>1</w:t>
            </w:r>
          </w:p>
        </w:tc>
        <w:tc>
          <w:tcPr>
            <w:tcW w:w="3588" w:type="dxa"/>
            <w:vAlign w:val="center"/>
          </w:tcPr>
          <w:p w14:paraId="75E637F2">
            <w:pPr>
              <w:jc w:val="center"/>
              <w:rPr>
                <w:bCs/>
                <w:szCs w:val="21"/>
              </w:rPr>
            </w:pPr>
            <w:r>
              <w:rPr>
                <w:bCs/>
                <w:szCs w:val="21"/>
              </w:rPr>
              <w:t>深圳外国语湾区学校四五年级研学课程服务项目</w:t>
            </w:r>
          </w:p>
        </w:tc>
        <w:tc>
          <w:tcPr>
            <w:tcW w:w="837" w:type="dxa"/>
            <w:vAlign w:val="center"/>
          </w:tcPr>
          <w:p w14:paraId="294B375E">
            <w:pPr>
              <w:jc w:val="center"/>
              <w:rPr>
                <w:bCs/>
                <w:szCs w:val="21"/>
              </w:rPr>
            </w:pPr>
            <w:r>
              <w:rPr>
                <w:rFonts w:hint="eastAsia"/>
                <w:bCs/>
                <w:szCs w:val="21"/>
              </w:rPr>
              <w:t>1</w:t>
            </w:r>
          </w:p>
        </w:tc>
        <w:tc>
          <w:tcPr>
            <w:tcW w:w="1006" w:type="dxa"/>
            <w:vAlign w:val="center"/>
          </w:tcPr>
          <w:p w14:paraId="2E479984">
            <w:pPr>
              <w:jc w:val="center"/>
              <w:rPr>
                <w:bCs/>
                <w:szCs w:val="21"/>
              </w:rPr>
            </w:pPr>
            <w:r>
              <w:rPr>
                <w:rFonts w:hint="eastAsia"/>
                <w:bCs/>
                <w:szCs w:val="21"/>
              </w:rPr>
              <w:t>项</w:t>
            </w:r>
          </w:p>
        </w:tc>
        <w:tc>
          <w:tcPr>
            <w:tcW w:w="3075" w:type="dxa"/>
            <w:vAlign w:val="center"/>
          </w:tcPr>
          <w:p w14:paraId="1BD6C14B">
            <w:pPr>
              <w:jc w:val="center"/>
              <w:rPr>
                <w:rFonts w:hint="default" w:eastAsia="宋体"/>
                <w:bCs/>
                <w:szCs w:val="21"/>
                <w:lang w:val="en-US" w:eastAsia="zh-CN"/>
              </w:rPr>
            </w:pPr>
            <w:r>
              <w:rPr>
                <w:rFonts w:hint="eastAsia"/>
                <w:bCs/>
                <w:szCs w:val="21"/>
                <w:lang w:val="en-US" w:eastAsia="zh-CN"/>
              </w:rPr>
              <w:t>其他未列明行业</w:t>
            </w:r>
          </w:p>
        </w:tc>
      </w:tr>
    </w:tbl>
    <w:p w14:paraId="3A297A53">
      <w:pPr>
        <w:rPr>
          <w:rFonts w:hint="eastAsia" w:ascii="宋体" w:hAnsi="宋体"/>
          <w:b/>
          <w:color w:val="FF0000"/>
          <w:szCs w:val="21"/>
        </w:rPr>
      </w:pPr>
    </w:p>
    <w:p w14:paraId="58FFE2FE">
      <w:pPr>
        <w:pStyle w:val="3"/>
        <w:spacing w:before="156" w:beforeLines="50" w:after="156" w:afterLines="50"/>
        <w:rPr>
          <w:rFonts w:hint="eastAsia"/>
          <w:szCs w:val="24"/>
        </w:rPr>
      </w:pPr>
      <w:r>
        <w:rPr>
          <w:rFonts w:hint="eastAsia"/>
          <w:szCs w:val="24"/>
        </w:rPr>
        <w:t>四、实质性条款</w:t>
      </w:r>
    </w:p>
    <w:tbl>
      <w:tblPr>
        <w:tblStyle w:val="42"/>
        <w:tblW w:w="9236" w:type="dxa"/>
        <w:tblInd w:w="1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4"/>
        <w:gridCol w:w="8422"/>
      </w:tblGrid>
      <w:tr w14:paraId="24BF3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vAlign w:val="center"/>
          </w:tcPr>
          <w:p w14:paraId="1E4D84F2">
            <w:pPr>
              <w:adjustRightInd w:val="0"/>
              <w:snapToGrid w:val="0"/>
              <w:spacing w:line="360" w:lineRule="auto"/>
              <w:jc w:val="center"/>
              <w:rPr>
                <w:rFonts w:hint="eastAsia" w:ascii="宋体" w:hAnsi="宋体"/>
                <w:kern w:val="0"/>
                <w:szCs w:val="21"/>
              </w:rPr>
            </w:pPr>
            <w:r>
              <w:rPr>
                <w:rFonts w:hint="eastAsia" w:ascii="宋体" w:hAnsi="宋体"/>
                <w:kern w:val="0"/>
                <w:szCs w:val="21"/>
              </w:rPr>
              <w:t>序号</w:t>
            </w:r>
          </w:p>
        </w:tc>
        <w:tc>
          <w:tcPr>
            <w:tcW w:w="8422" w:type="dxa"/>
            <w:vAlign w:val="center"/>
          </w:tcPr>
          <w:p w14:paraId="7B26E745">
            <w:pPr>
              <w:adjustRightInd w:val="0"/>
              <w:snapToGrid w:val="0"/>
              <w:spacing w:line="360" w:lineRule="auto"/>
              <w:jc w:val="center"/>
              <w:rPr>
                <w:rFonts w:hint="eastAsia" w:ascii="宋体" w:hAnsi="宋体"/>
                <w:kern w:val="0"/>
                <w:szCs w:val="21"/>
              </w:rPr>
            </w:pPr>
            <w:r>
              <w:rPr>
                <w:rFonts w:hint="eastAsia" w:ascii="宋体" w:hAnsi="宋体"/>
                <w:szCs w:val="21"/>
                <w:lang w:bidi="ar"/>
              </w:rPr>
              <w:t>实质性条款具体内容</w:t>
            </w:r>
          </w:p>
        </w:tc>
      </w:tr>
      <w:tr w14:paraId="2567E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 w:type="dxa"/>
            <w:vAlign w:val="center"/>
          </w:tcPr>
          <w:p w14:paraId="2B1583FE">
            <w:pPr>
              <w:adjustRightInd w:val="0"/>
              <w:snapToGrid w:val="0"/>
              <w:spacing w:line="360" w:lineRule="auto"/>
              <w:jc w:val="center"/>
              <w:rPr>
                <w:rFonts w:hint="eastAsia" w:ascii="宋体" w:hAnsi="宋体"/>
                <w:kern w:val="0"/>
                <w:szCs w:val="21"/>
              </w:rPr>
            </w:pPr>
            <w:r>
              <w:rPr>
                <w:rFonts w:hint="eastAsia" w:ascii="宋体" w:hAnsi="宋体"/>
                <w:kern w:val="0"/>
                <w:szCs w:val="21"/>
              </w:rPr>
              <w:t>1</w:t>
            </w:r>
          </w:p>
        </w:tc>
        <w:tc>
          <w:tcPr>
            <w:tcW w:w="8422" w:type="dxa"/>
          </w:tcPr>
          <w:p w14:paraId="157CDA47">
            <w:pPr>
              <w:rPr>
                <w:rFonts w:hint="eastAsia" w:hAnsi="宋体" w:eastAsiaTheme="minorEastAsia"/>
                <w:kern w:val="0"/>
                <w:szCs w:val="21"/>
              </w:rPr>
            </w:pPr>
            <w:r>
              <w:rPr>
                <w:rFonts w:hint="eastAsia" w:hAnsi="宋体"/>
                <w:kern w:val="0"/>
                <w:szCs w:val="21"/>
              </w:rPr>
              <w:t>满足本项目标★的条款要求。</w:t>
            </w:r>
          </w:p>
        </w:tc>
      </w:tr>
      <w:bookmarkEnd w:id="33"/>
    </w:tbl>
    <w:p w14:paraId="3349EE76">
      <w:pPr>
        <w:rPr>
          <w:rFonts w:ascii="宋体"/>
          <w:b/>
          <w:kern w:val="0"/>
          <w:sz w:val="24"/>
          <w:szCs w:val="20"/>
        </w:rPr>
      </w:pPr>
      <w:r>
        <w:rPr>
          <w:rFonts w:ascii="宋体"/>
          <w:b/>
          <w:kern w:val="0"/>
          <w:sz w:val="24"/>
          <w:szCs w:val="20"/>
        </w:rPr>
        <w:t>注：上表所列内容为不可负偏离条款，负偏离将视为未实质性满足</w:t>
      </w:r>
      <w:r>
        <w:rPr>
          <w:rFonts w:hint="eastAsia" w:ascii="宋体"/>
          <w:b/>
          <w:kern w:val="0"/>
          <w:sz w:val="24"/>
          <w:szCs w:val="20"/>
        </w:rPr>
        <w:t>招标</w:t>
      </w:r>
      <w:r>
        <w:rPr>
          <w:rFonts w:ascii="宋体"/>
          <w:b/>
          <w:kern w:val="0"/>
          <w:sz w:val="24"/>
          <w:szCs w:val="20"/>
        </w:rPr>
        <w:t>文件要求和条件作投标无效处理。</w:t>
      </w:r>
    </w:p>
    <w:p w14:paraId="0D31AA86">
      <w:r>
        <w:br w:type="page"/>
      </w:r>
    </w:p>
    <w:p w14:paraId="4C5E6D09">
      <w:pPr>
        <w:pStyle w:val="3"/>
        <w:widowControl/>
        <w:spacing w:before="156" w:beforeLines="50" w:after="156" w:afterLines="50"/>
        <w:rPr>
          <w:rFonts w:hint="eastAsia"/>
          <w:szCs w:val="24"/>
        </w:rPr>
      </w:pPr>
      <w:r>
        <w:rPr>
          <w:szCs w:val="24"/>
        </w:rPr>
        <w:t>五、技术要求</w:t>
      </w:r>
    </w:p>
    <w:p w14:paraId="392C8E8C">
      <w:pPr>
        <w:spacing w:line="360" w:lineRule="auto"/>
        <w:rPr>
          <w:b/>
          <w:bCs/>
          <w:sz w:val="24"/>
        </w:rPr>
      </w:pPr>
      <w:r>
        <w:rPr>
          <w:rFonts w:hint="eastAsia"/>
          <w:b/>
          <w:bCs/>
          <w:sz w:val="24"/>
        </w:rPr>
        <w:t>一、服务内容</w:t>
      </w:r>
    </w:p>
    <w:p w14:paraId="2A8073CF">
      <w:pPr>
        <w:spacing w:line="360" w:lineRule="auto"/>
        <w:rPr>
          <w:sz w:val="24"/>
        </w:rPr>
      </w:pPr>
      <w:bookmarkStart w:id="35" w:name="_Toc106179075"/>
      <w:r>
        <w:rPr>
          <w:rFonts w:hint="eastAsia"/>
          <w:sz w:val="24"/>
        </w:rPr>
        <w:t>1．</w:t>
      </w:r>
      <w:r>
        <w:rPr>
          <w:sz w:val="24"/>
        </w:rPr>
        <w:t>四年级</w:t>
      </w:r>
      <w:r>
        <w:rPr>
          <w:rFonts w:hint="eastAsia"/>
          <w:sz w:val="24"/>
        </w:rPr>
        <w:t>研学项目</w:t>
      </w:r>
    </w:p>
    <w:p w14:paraId="3AA5B505">
      <w:pPr>
        <w:spacing w:line="360" w:lineRule="auto"/>
        <w:ind w:firstLine="240" w:firstLineChars="100"/>
        <w:rPr>
          <w:sz w:val="24"/>
        </w:rPr>
      </w:pPr>
      <w:r>
        <w:rPr>
          <w:rFonts w:hint="eastAsia"/>
          <w:sz w:val="24"/>
        </w:rPr>
        <w:t>研学地点：广东惠州</w:t>
      </w:r>
    </w:p>
    <w:p w14:paraId="1CE79688">
      <w:pPr>
        <w:spacing w:line="360" w:lineRule="auto"/>
        <w:ind w:firstLine="240" w:firstLineChars="100"/>
        <w:rPr>
          <w:sz w:val="24"/>
        </w:rPr>
      </w:pPr>
      <w:r>
        <w:rPr>
          <w:rFonts w:hint="eastAsia"/>
          <w:sz w:val="24"/>
        </w:rPr>
        <w:t>行程规划</w:t>
      </w:r>
      <w:r>
        <w:rPr>
          <w:sz w:val="24"/>
        </w:rPr>
        <w:t>：</w:t>
      </w:r>
      <w:r>
        <w:rPr>
          <w:rFonts w:hint="eastAsia"/>
          <w:sz w:val="24"/>
        </w:rPr>
        <w:t>2</w:t>
      </w:r>
      <w:r>
        <w:rPr>
          <w:sz w:val="24"/>
        </w:rPr>
        <w:t>天</w:t>
      </w:r>
      <w:r>
        <w:rPr>
          <w:rFonts w:hint="eastAsia"/>
          <w:sz w:val="24"/>
        </w:rPr>
        <w:t>1</w:t>
      </w:r>
      <w:r>
        <w:rPr>
          <w:sz w:val="24"/>
        </w:rPr>
        <w:t>晚</w:t>
      </w:r>
    </w:p>
    <w:p w14:paraId="75D1AD5B">
      <w:pPr>
        <w:spacing w:line="360" w:lineRule="auto"/>
        <w:ind w:firstLine="240" w:firstLineChars="100"/>
        <w:rPr>
          <w:sz w:val="24"/>
        </w:rPr>
      </w:pPr>
      <w:r>
        <w:rPr>
          <w:sz w:val="24"/>
        </w:rPr>
        <w:t>住宿</w:t>
      </w:r>
      <w:r>
        <w:rPr>
          <w:rFonts w:hint="eastAsia"/>
          <w:sz w:val="24"/>
        </w:rPr>
        <w:t>方式</w:t>
      </w:r>
      <w:r>
        <w:rPr>
          <w:sz w:val="24"/>
        </w:rPr>
        <w:t>：帐篷</w:t>
      </w:r>
    </w:p>
    <w:p w14:paraId="363F0038">
      <w:pPr>
        <w:spacing w:line="360" w:lineRule="auto"/>
        <w:ind w:firstLine="240" w:firstLineChars="100"/>
        <w:rPr>
          <w:sz w:val="24"/>
        </w:rPr>
      </w:pPr>
      <w:r>
        <w:rPr>
          <w:rFonts w:hint="eastAsia"/>
          <w:sz w:val="24"/>
        </w:rPr>
        <w:t>预计参加人数：110人</w:t>
      </w:r>
    </w:p>
    <w:p w14:paraId="5EDD187A">
      <w:pPr>
        <w:spacing w:line="360" w:lineRule="auto"/>
        <w:ind w:firstLine="240" w:firstLineChars="100"/>
        <w:rPr>
          <w:sz w:val="24"/>
        </w:rPr>
      </w:pPr>
      <w:r>
        <w:rPr>
          <w:rFonts w:hint="eastAsia"/>
          <w:sz w:val="24"/>
        </w:rPr>
        <w:t>研学项目内容：</w:t>
      </w:r>
    </w:p>
    <w:p w14:paraId="67DA2E41">
      <w:pPr>
        <w:spacing w:line="360" w:lineRule="auto"/>
        <w:rPr>
          <w:kern w:val="0"/>
          <w:sz w:val="24"/>
        </w:rPr>
      </w:pPr>
      <w:r>
        <w:rPr>
          <w:rFonts w:hint="eastAsia"/>
          <w:kern w:val="0"/>
          <w:sz w:val="24"/>
        </w:rPr>
        <w:t>（1）</w:t>
      </w:r>
      <w:r>
        <w:rPr>
          <w:kern w:val="0"/>
          <w:sz w:val="24"/>
        </w:rPr>
        <w:t>攀岩墙攀岩</w:t>
      </w:r>
      <w:r>
        <w:rPr>
          <w:rFonts w:hint="eastAsia"/>
          <w:kern w:val="0"/>
          <w:sz w:val="24"/>
        </w:rPr>
        <w:t>：</w:t>
      </w:r>
      <w:r>
        <w:rPr>
          <w:kern w:val="0"/>
          <w:sz w:val="24"/>
        </w:rPr>
        <w:t>学习基本的攀爬技巧和安全知识，锻炼学生的身体协调性、力量和耐力，突破心理障碍，提升自信心。</w:t>
      </w:r>
    </w:p>
    <w:p w14:paraId="60B162F0">
      <w:pPr>
        <w:spacing w:line="360" w:lineRule="auto"/>
        <w:rPr>
          <w:kern w:val="0"/>
          <w:sz w:val="24"/>
        </w:rPr>
      </w:pPr>
      <w:r>
        <w:rPr>
          <w:rFonts w:hint="eastAsia"/>
          <w:kern w:val="0"/>
          <w:sz w:val="24"/>
        </w:rPr>
        <w:t>（2）</w:t>
      </w:r>
      <w:r>
        <w:rPr>
          <w:kern w:val="0"/>
          <w:sz w:val="24"/>
        </w:rPr>
        <w:t>野外庇护所搭建</w:t>
      </w:r>
      <w:r>
        <w:rPr>
          <w:rFonts w:hint="eastAsia"/>
          <w:kern w:val="0"/>
          <w:sz w:val="24"/>
        </w:rPr>
        <w:t>：</w:t>
      </w:r>
      <w:r>
        <w:rPr>
          <w:kern w:val="0"/>
          <w:sz w:val="24"/>
        </w:rPr>
        <w:t>学习如何利用树枝、树叶和绳索等自然材料搭建简单的庇护所，掌握基础的野外求生技能，学会在有限资源的情况下创造保护空间。</w:t>
      </w:r>
    </w:p>
    <w:p w14:paraId="459E334F">
      <w:pPr>
        <w:spacing w:line="360" w:lineRule="auto"/>
        <w:rPr>
          <w:kern w:val="0"/>
          <w:sz w:val="24"/>
        </w:rPr>
      </w:pPr>
      <w:r>
        <w:rPr>
          <w:rFonts w:hint="eastAsia"/>
          <w:kern w:val="0"/>
          <w:sz w:val="24"/>
        </w:rPr>
        <w:t>（3）</w:t>
      </w:r>
      <w:r>
        <w:rPr>
          <w:kern w:val="0"/>
          <w:sz w:val="24"/>
        </w:rPr>
        <w:t>攻防箭</w:t>
      </w:r>
      <w:r>
        <w:rPr>
          <w:rFonts w:hint="eastAsia"/>
          <w:kern w:val="0"/>
          <w:sz w:val="24"/>
        </w:rPr>
        <w:t>：</w:t>
      </w:r>
      <w:r>
        <w:rPr>
          <w:kern w:val="0"/>
          <w:sz w:val="24"/>
        </w:rPr>
        <w:t>使用安全的泡沫箭头参与攻防箭对抗赛。学会结合策略和体力，提升学生的团队合作能力、专注力和战术思维</w:t>
      </w:r>
    </w:p>
    <w:p w14:paraId="22469387">
      <w:pPr>
        <w:spacing w:line="360" w:lineRule="auto"/>
        <w:rPr>
          <w:kern w:val="0"/>
          <w:sz w:val="24"/>
        </w:rPr>
      </w:pPr>
      <w:r>
        <w:rPr>
          <w:rFonts w:hint="eastAsia"/>
          <w:kern w:val="0"/>
          <w:sz w:val="24"/>
        </w:rPr>
        <w:t>（4）</w:t>
      </w:r>
      <w:r>
        <w:rPr>
          <w:kern w:val="0"/>
          <w:sz w:val="24"/>
        </w:rPr>
        <w:t>丛林穿越</w:t>
      </w:r>
      <w:r>
        <w:rPr>
          <w:rFonts w:hint="eastAsia"/>
          <w:kern w:val="0"/>
          <w:sz w:val="24"/>
        </w:rPr>
        <w:t>：</w:t>
      </w:r>
      <w:r>
        <w:rPr>
          <w:kern w:val="0"/>
          <w:sz w:val="24"/>
        </w:rPr>
        <w:t>在丛林中通过绳索桥、平衡木和网状障碍完成穿越挑战，培养学生的平衡感、勇气和团队协作能力。</w:t>
      </w:r>
    </w:p>
    <w:p w14:paraId="4BF01015">
      <w:pPr>
        <w:spacing w:line="360" w:lineRule="auto"/>
        <w:rPr>
          <w:kern w:val="0"/>
          <w:sz w:val="24"/>
        </w:rPr>
      </w:pPr>
      <w:r>
        <w:rPr>
          <w:rFonts w:hint="eastAsia"/>
          <w:kern w:val="0"/>
          <w:sz w:val="24"/>
        </w:rPr>
        <w:t>（5）</w:t>
      </w:r>
      <w:r>
        <w:rPr>
          <w:kern w:val="0"/>
          <w:sz w:val="24"/>
        </w:rPr>
        <w:t>篝火晚会</w:t>
      </w:r>
      <w:r>
        <w:rPr>
          <w:rFonts w:hint="eastAsia"/>
          <w:kern w:val="0"/>
          <w:sz w:val="24"/>
        </w:rPr>
        <w:t>：</w:t>
      </w:r>
      <w:r>
        <w:rPr>
          <w:kern w:val="0"/>
          <w:sz w:val="24"/>
        </w:rPr>
        <w:t>为学生提供放松和娱乐的机会，增进同学之间的友谊，培养团队精神和沟通能力。</w:t>
      </w:r>
    </w:p>
    <w:p w14:paraId="3540FE26">
      <w:pPr>
        <w:spacing w:line="360" w:lineRule="auto"/>
        <w:rPr>
          <w:sz w:val="24"/>
        </w:rPr>
      </w:pPr>
      <w:r>
        <w:rPr>
          <w:rFonts w:hint="eastAsia"/>
          <w:sz w:val="24"/>
        </w:rPr>
        <w:t>2．五</w:t>
      </w:r>
      <w:r>
        <w:rPr>
          <w:sz w:val="24"/>
        </w:rPr>
        <w:t>年级</w:t>
      </w:r>
      <w:r>
        <w:rPr>
          <w:rFonts w:hint="eastAsia"/>
          <w:sz w:val="24"/>
        </w:rPr>
        <w:t>研学项目</w:t>
      </w:r>
    </w:p>
    <w:p w14:paraId="1962B95F">
      <w:pPr>
        <w:spacing w:line="360" w:lineRule="auto"/>
        <w:ind w:firstLine="240" w:firstLineChars="100"/>
        <w:rPr>
          <w:sz w:val="24"/>
        </w:rPr>
      </w:pPr>
      <w:r>
        <w:rPr>
          <w:rFonts w:hint="eastAsia"/>
          <w:sz w:val="24"/>
        </w:rPr>
        <w:t>研学地点：广东江门</w:t>
      </w:r>
    </w:p>
    <w:p w14:paraId="7B6E2283">
      <w:pPr>
        <w:spacing w:line="360" w:lineRule="auto"/>
        <w:ind w:firstLine="240" w:firstLineChars="100"/>
        <w:rPr>
          <w:sz w:val="24"/>
        </w:rPr>
      </w:pPr>
      <w:r>
        <w:rPr>
          <w:rFonts w:hint="eastAsia"/>
          <w:sz w:val="24"/>
        </w:rPr>
        <w:t>行程规划</w:t>
      </w:r>
      <w:r>
        <w:rPr>
          <w:sz w:val="24"/>
        </w:rPr>
        <w:t>：</w:t>
      </w:r>
      <w:r>
        <w:rPr>
          <w:rFonts w:hint="eastAsia"/>
          <w:sz w:val="24"/>
        </w:rPr>
        <w:t>3</w:t>
      </w:r>
      <w:r>
        <w:rPr>
          <w:sz w:val="24"/>
        </w:rPr>
        <w:t>天</w:t>
      </w:r>
      <w:r>
        <w:rPr>
          <w:rFonts w:hint="eastAsia"/>
          <w:sz w:val="24"/>
        </w:rPr>
        <w:t>2</w:t>
      </w:r>
      <w:r>
        <w:rPr>
          <w:sz w:val="24"/>
        </w:rPr>
        <w:t>晚</w:t>
      </w:r>
    </w:p>
    <w:p w14:paraId="4B2EF3D9">
      <w:pPr>
        <w:spacing w:line="360" w:lineRule="auto"/>
        <w:ind w:firstLine="240" w:firstLineChars="100"/>
        <w:rPr>
          <w:sz w:val="24"/>
        </w:rPr>
      </w:pPr>
      <w:r>
        <w:rPr>
          <w:sz w:val="24"/>
        </w:rPr>
        <w:t>住宿</w:t>
      </w:r>
      <w:r>
        <w:rPr>
          <w:rFonts w:hint="eastAsia"/>
          <w:sz w:val="24"/>
        </w:rPr>
        <w:t>方式</w:t>
      </w:r>
      <w:r>
        <w:rPr>
          <w:sz w:val="24"/>
        </w:rPr>
        <w:t>：帐篷</w:t>
      </w:r>
    </w:p>
    <w:p w14:paraId="634DBA33">
      <w:pPr>
        <w:spacing w:line="360" w:lineRule="auto"/>
        <w:ind w:firstLine="240" w:firstLineChars="100"/>
        <w:rPr>
          <w:sz w:val="24"/>
        </w:rPr>
      </w:pPr>
      <w:r>
        <w:rPr>
          <w:rFonts w:hint="eastAsia"/>
          <w:sz w:val="24"/>
        </w:rPr>
        <w:t>预计参加人数：85人</w:t>
      </w:r>
    </w:p>
    <w:p w14:paraId="55320026">
      <w:pPr>
        <w:spacing w:line="360" w:lineRule="auto"/>
        <w:ind w:firstLine="240" w:firstLineChars="100"/>
        <w:rPr>
          <w:sz w:val="24"/>
        </w:rPr>
      </w:pPr>
      <w:r>
        <w:rPr>
          <w:rFonts w:hint="eastAsia"/>
          <w:sz w:val="24"/>
        </w:rPr>
        <w:t>研学项目内容：</w:t>
      </w:r>
    </w:p>
    <w:p w14:paraId="609B92AB">
      <w:pPr>
        <w:pStyle w:val="37"/>
        <w:spacing w:beforeAutospacing="0" w:afterAutospacing="0" w:line="360" w:lineRule="auto"/>
        <w:rPr>
          <w:rStyle w:val="45"/>
          <w:b w:val="0"/>
          <w:bCs w:val="0"/>
        </w:rPr>
      </w:pPr>
      <w:r>
        <w:rPr>
          <w:rStyle w:val="45"/>
          <w:rFonts w:hint="eastAsia"/>
          <w:b w:val="0"/>
          <w:bCs w:val="0"/>
        </w:rPr>
        <w:t>（1）</w:t>
      </w:r>
      <w:r>
        <w:rPr>
          <w:rStyle w:val="45"/>
          <w:b w:val="0"/>
          <w:bCs w:val="0"/>
        </w:rPr>
        <w:t>户外厨房</w:t>
      </w:r>
    </w:p>
    <w:p w14:paraId="5BF63101">
      <w:pPr>
        <w:pStyle w:val="37"/>
        <w:spacing w:beforeAutospacing="0" w:afterAutospacing="0" w:line="360" w:lineRule="auto"/>
        <w:ind w:firstLine="420"/>
      </w:pPr>
      <w:r>
        <w:t>一起用土壤和砖块搭建一个小窑</w:t>
      </w:r>
      <w:r>
        <w:rPr>
          <w:rFonts w:hint="eastAsia"/>
        </w:rPr>
        <w:t>；</w:t>
      </w:r>
    </w:p>
    <w:p w14:paraId="6266B423">
      <w:pPr>
        <w:pStyle w:val="37"/>
        <w:spacing w:beforeAutospacing="0" w:afterAutospacing="0" w:line="360" w:lineRule="auto"/>
        <w:ind w:firstLine="420"/>
      </w:pPr>
      <w:r>
        <w:t>挖红薯，采摘红薯叶</w:t>
      </w:r>
      <w:r>
        <w:rPr>
          <w:rFonts w:hint="eastAsia"/>
        </w:rPr>
        <w:t>；</w:t>
      </w:r>
    </w:p>
    <w:p w14:paraId="066F4FDA">
      <w:pPr>
        <w:pStyle w:val="37"/>
        <w:spacing w:beforeAutospacing="0" w:afterAutospacing="0" w:line="360" w:lineRule="auto"/>
        <w:ind w:firstLine="420"/>
      </w:pPr>
      <w:r>
        <w:t>准备食材，窑烤鸡肉和红薯</w:t>
      </w:r>
      <w:r>
        <w:rPr>
          <w:rFonts w:hint="eastAsia"/>
        </w:rPr>
        <w:t>；</w:t>
      </w:r>
    </w:p>
    <w:p w14:paraId="6022FE1D">
      <w:pPr>
        <w:pStyle w:val="37"/>
        <w:spacing w:beforeAutospacing="0" w:afterAutospacing="0" w:line="360" w:lineRule="auto"/>
        <w:ind w:firstLine="420"/>
      </w:pPr>
      <w:r>
        <w:t>制作竹筒饭。</w:t>
      </w:r>
    </w:p>
    <w:p w14:paraId="50D78136">
      <w:pPr>
        <w:pStyle w:val="37"/>
        <w:spacing w:beforeAutospacing="0" w:afterAutospacing="0" w:line="360" w:lineRule="auto"/>
        <w:ind w:firstLine="420"/>
      </w:pPr>
      <w:r>
        <w:rPr>
          <w:rFonts w:hint="eastAsia"/>
        </w:rPr>
        <w:t>（备注：</w:t>
      </w:r>
      <w:r>
        <w:t>除此之外，还应提供常规餐食。</w:t>
      </w:r>
      <w:r>
        <w:rPr>
          <w:rFonts w:hint="eastAsia"/>
        </w:rPr>
        <w:t>）</w:t>
      </w:r>
    </w:p>
    <w:p w14:paraId="003F131C">
      <w:pPr>
        <w:pStyle w:val="37"/>
        <w:spacing w:beforeAutospacing="0" w:afterAutospacing="0" w:line="360" w:lineRule="auto"/>
        <w:rPr>
          <w:rStyle w:val="45"/>
          <w:b w:val="0"/>
          <w:bCs w:val="0"/>
        </w:rPr>
      </w:pPr>
      <w:r>
        <w:rPr>
          <w:rStyle w:val="45"/>
          <w:rFonts w:hint="eastAsia"/>
          <w:b w:val="0"/>
          <w:bCs w:val="0"/>
        </w:rPr>
        <w:t>（2）</w:t>
      </w:r>
      <w:r>
        <w:rPr>
          <w:rStyle w:val="45"/>
          <w:b w:val="0"/>
          <w:bCs w:val="0"/>
        </w:rPr>
        <w:t>学习在野外发送求救信号</w:t>
      </w:r>
    </w:p>
    <w:p w14:paraId="23A9CF88">
      <w:pPr>
        <w:pStyle w:val="37"/>
        <w:spacing w:beforeAutospacing="0" w:afterAutospacing="0" w:line="360" w:lineRule="auto"/>
        <w:ind w:firstLine="420"/>
      </w:pPr>
      <w:r>
        <w:t>学习如何用树枝和叶子发出求救信号——狼烟。</w:t>
      </w:r>
    </w:p>
    <w:p w14:paraId="7EE6EFBD">
      <w:pPr>
        <w:pStyle w:val="37"/>
        <w:spacing w:beforeAutospacing="0" w:afterAutospacing="0" w:line="360" w:lineRule="auto"/>
        <w:ind w:firstLine="420"/>
      </w:pPr>
      <w:r>
        <w:t>学习如何用石头、树枝或其他显眼物体制作清晰的SOS信号。</w:t>
      </w:r>
    </w:p>
    <w:p w14:paraId="3C1E5814">
      <w:pPr>
        <w:pStyle w:val="37"/>
        <w:spacing w:beforeAutospacing="0" w:afterAutospacing="0" w:line="360" w:lineRule="auto"/>
        <w:ind w:firstLine="420"/>
      </w:pPr>
      <w:r>
        <w:t>学习如何使用手机屏幕、手表、镜子、不锈钢物体等发出SOS光信号。</w:t>
      </w:r>
    </w:p>
    <w:p w14:paraId="4872F75E">
      <w:pPr>
        <w:pStyle w:val="37"/>
        <w:spacing w:beforeAutospacing="0" w:afterAutospacing="0" w:line="360" w:lineRule="auto"/>
        <w:rPr>
          <w:rStyle w:val="45"/>
          <w:b w:val="0"/>
          <w:bCs w:val="0"/>
        </w:rPr>
      </w:pPr>
      <w:r>
        <w:rPr>
          <w:rStyle w:val="45"/>
          <w:rFonts w:hint="eastAsia"/>
          <w:b w:val="0"/>
          <w:bCs w:val="0"/>
        </w:rPr>
        <w:t>（</w:t>
      </w:r>
      <w:r>
        <w:rPr>
          <w:rStyle w:val="45"/>
          <w:b w:val="0"/>
          <w:bCs w:val="0"/>
        </w:rPr>
        <w:t>3</w:t>
      </w:r>
      <w:r>
        <w:rPr>
          <w:rStyle w:val="45"/>
          <w:rFonts w:hint="eastAsia"/>
          <w:b w:val="0"/>
          <w:bCs w:val="0"/>
        </w:rPr>
        <w:t>）学习</w:t>
      </w:r>
      <w:r>
        <w:rPr>
          <w:rStyle w:val="45"/>
          <w:b w:val="0"/>
          <w:bCs w:val="0"/>
        </w:rPr>
        <w:t>野外生存技能</w:t>
      </w:r>
    </w:p>
    <w:p w14:paraId="3CA1399A">
      <w:pPr>
        <w:pStyle w:val="37"/>
        <w:spacing w:beforeAutospacing="0" w:afterAutospacing="0" w:line="360" w:lineRule="auto"/>
        <w:ind w:firstLine="420"/>
      </w:pPr>
      <w:r>
        <w:rPr>
          <w:rFonts w:hint="eastAsia"/>
        </w:rPr>
        <w:t>学习如何</w:t>
      </w:r>
      <w:r>
        <w:t>在野外制作简单的担架。</w:t>
      </w:r>
    </w:p>
    <w:p w14:paraId="1456F4E2">
      <w:pPr>
        <w:pStyle w:val="37"/>
        <w:spacing w:beforeAutospacing="0" w:afterAutospacing="0" w:line="360" w:lineRule="auto"/>
        <w:ind w:firstLine="420"/>
      </w:pPr>
      <w:r>
        <w:rPr>
          <w:rFonts w:hint="eastAsia"/>
        </w:rPr>
        <w:t>学习如何</w:t>
      </w:r>
      <w:r>
        <w:t>利用自然材料制作担架来搬运受伤者，确保及时救援和安全转移。</w:t>
      </w:r>
    </w:p>
    <w:p w14:paraId="6EC52EDC">
      <w:pPr>
        <w:pStyle w:val="37"/>
        <w:spacing w:beforeAutospacing="0" w:afterAutospacing="0" w:line="360" w:lineRule="auto"/>
        <w:ind w:firstLine="420"/>
      </w:pPr>
      <w:r>
        <w:rPr>
          <w:rFonts w:hint="eastAsia"/>
        </w:rPr>
        <w:t>学习如何</w:t>
      </w:r>
      <w:r>
        <w:t>在野外用绳子搬运受伤者的简单担架制作。</w:t>
      </w:r>
    </w:p>
    <w:p w14:paraId="449F16D0">
      <w:pPr>
        <w:pStyle w:val="37"/>
        <w:spacing w:beforeAutospacing="0" w:afterAutospacing="0" w:line="360" w:lineRule="auto"/>
        <w:ind w:firstLine="420"/>
      </w:pPr>
      <w:r>
        <w:rPr>
          <w:rFonts w:hint="eastAsia"/>
        </w:rPr>
        <w:t>学习如何</w:t>
      </w:r>
      <w:r>
        <w:t>用绳子搬运受伤者野外生存另一种有效方法。</w:t>
      </w:r>
    </w:p>
    <w:p w14:paraId="36AEA374">
      <w:pPr>
        <w:pStyle w:val="37"/>
        <w:spacing w:beforeAutospacing="0" w:afterAutospacing="0" w:line="360" w:lineRule="auto"/>
        <w:rPr>
          <w:rStyle w:val="45"/>
          <w:b w:val="0"/>
          <w:bCs w:val="0"/>
        </w:rPr>
      </w:pPr>
      <w:r>
        <w:rPr>
          <w:rStyle w:val="45"/>
          <w:rFonts w:hint="eastAsia"/>
          <w:b w:val="0"/>
          <w:bCs w:val="0"/>
        </w:rPr>
        <w:t>（</w:t>
      </w:r>
      <w:r>
        <w:rPr>
          <w:rStyle w:val="45"/>
          <w:b w:val="0"/>
          <w:bCs w:val="0"/>
        </w:rPr>
        <w:t>4</w:t>
      </w:r>
      <w:r>
        <w:rPr>
          <w:rStyle w:val="45"/>
          <w:rFonts w:hint="eastAsia"/>
          <w:b w:val="0"/>
          <w:bCs w:val="0"/>
        </w:rPr>
        <w:t>）</w:t>
      </w:r>
      <w:r>
        <w:rPr>
          <w:rStyle w:val="45"/>
          <w:b w:val="0"/>
          <w:bCs w:val="0"/>
        </w:rPr>
        <w:t>户外桌椅制作</w:t>
      </w:r>
    </w:p>
    <w:p w14:paraId="0246F248">
      <w:pPr>
        <w:pStyle w:val="37"/>
        <w:spacing w:beforeAutospacing="0" w:afterAutospacing="0" w:line="360" w:lineRule="auto"/>
        <w:ind w:firstLine="420"/>
      </w:pPr>
      <w:r>
        <w:rPr>
          <w:rFonts w:hint="eastAsia"/>
        </w:rPr>
        <w:t>学习</w:t>
      </w:r>
      <w:r>
        <w:t>如何使用竹子和绳子等自然材料制作一套简单的户外桌椅。</w:t>
      </w:r>
      <w:r>
        <w:rPr>
          <w:rFonts w:hint="eastAsia"/>
        </w:rPr>
        <w:t>要求</w:t>
      </w:r>
      <w:r>
        <w:t>自制的桌椅既实用又有创意，</w:t>
      </w:r>
      <w:r>
        <w:rPr>
          <w:rFonts w:hint="eastAsia"/>
        </w:rPr>
        <w:t>可以让</w:t>
      </w:r>
      <w:r>
        <w:t>学生在野外环境中休息和聚会</w:t>
      </w:r>
      <w:r>
        <w:rPr>
          <w:rFonts w:hint="eastAsia"/>
        </w:rPr>
        <w:t>用途</w:t>
      </w:r>
      <w:r>
        <w:t>。</w:t>
      </w:r>
    </w:p>
    <w:p w14:paraId="759B4350">
      <w:pPr>
        <w:pStyle w:val="37"/>
        <w:spacing w:beforeAutospacing="0" w:afterAutospacing="0" w:line="360" w:lineRule="auto"/>
        <w:rPr>
          <w:rStyle w:val="45"/>
          <w:b w:val="0"/>
          <w:bCs w:val="0"/>
        </w:rPr>
      </w:pPr>
      <w:r>
        <w:rPr>
          <w:rStyle w:val="45"/>
          <w:rFonts w:hint="eastAsia"/>
          <w:b w:val="0"/>
          <w:bCs w:val="0"/>
        </w:rPr>
        <w:t>（</w:t>
      </w:r>
      <w:r>
        <w:rPr>
          <w:rStyle w:val="45"/>
          <w:b w:val="0"/>
          <w:bCs w:val="0"/>
        </w:rPr>
        <w:t>5</w:t>
      </w:r>
      <w:r>
        <w:rPr>
          <w:rStyle w:val="45"/>
          <w:rFonts w:hint="eastAsia"/>
          <w:b w:val="0"/>
          <w:bCs w:val="0"/>
        </w:rPr>
        <w:t>）</w:t>
      </w:r>
      <w:r>
        <w:rPr>
          <w:rStyle w:val="45"/>
          <w:b w:val="0"/>
          <w:bCs w:val="0"/>
        </w:rPr>
        <w:t>树木攀爬体验</w:t>
      </w:r>
    </w:p>
    <w:p w14:paraId="405D0D53">
      <w:pPr>
        <w:pStyle w:val="37"/>
        <w:spacing w:beforeAutospacing="0" w:afterAutospacing="0" w:line="360" w:lineRule="auto"/>
        <w:ind w:firstLine="420"/>
      </w:pPr>
      <w:r>
        <w:t>学习</w:t>
      </w:r>
      <w:r>
        <w:rPr>
          <w:rFonts w:hint="eastAsia"/>
        </w:rPr>
        <w:t>掌握</w:t>
      </w:r>
      <w:r>
        <w:t>正确的树木攀爬技巧，</w:t>
      </w:r>
      <w:r>
        <w:rPr>
          <w:rFonts w:hint="eastAsia"/>
        </w:rPr>
        <w:t>同时让</w:t>
      </w:r>
      <w:r>
        <w:t>学生安全地享受这一有趣且具挑战性的活动。该项目将教授学生如何使用专业工具和技巧安全地进行树木攀爬。</w:t>
      </w:r>
    </w:p>
    <w:p w14:paraId="22ABBE3D">
      <w:pPr>
        <w:pStyle w:val="37"/>
        <w:spacing w:beforeAutospacing="0" w:afterAutospacing="0" w:line="360" w:lineRule="auto"/>
        <w:rPr>
          <w:rStyle w:val="45"/>
          <w:b w:val="0"/>
          <w:bCs w:val="0"/>
        </w:rPr>
      </w:pPr>
      <w:r>
        <w:rPr>
          <w:rStyle w:val="45"/>
          <w:rFonts w:hint="eastAsia"/>
          <w:b w:val="0"/>
          <w:bCs w:val="0"/>
        </w:rPr>
        <w:t>（</w:t>
      </w:r>
      <w:r>
        <w:rPr>
          <w:rStyle w:val="45"/>
          <w:b w:val="0"/>
          <w:bCs w:val="0"/>
        </w:rPr>
        <w:t>6</w:t>
      </w:r>
      <w:r>
        <w:rPr>
          <w:rStyle w:val="45"/>
          <w:rFonts w:hint="eastAsia"/>
          <w:b w:val="0"/>
          <w:bCs w:val="0"/>
        </w:rPr>
        <w:t>）</w:t>
      </w:r>
      <w:r>
        <w:rPr>
          <w:rStyle w:val="45"/>
          <w:b w:val="0"/>
          <w:bCs w:val="0"/>
        </w:rPr>
        <w:t>香草知识学习与手工制作</w:t>
      </w:r>
    </w:p>
    <w:p w14:paraId="2FE413AB">
      <w:pPr>
        <w:pStyle w:val="37"/>
        <w:spacing w:beforeAutospacing="0" w:afterAutospacing="0" w:line="360" w:lineRule="auto"/>
        <w:ind w:firstLine="420"/>
      </w:pPr>
      <w:r>
        <w:t>本项目将引导学生了解更多关于香草的知识，通过动手制作香草花茶和香草袋，真正理解香草在日常生活中的用途，如调味、药用草药、花卉装饰等，并体验制作过程中的乐趣和创造力。</w:t>
      </w:r>
    </w:p>
    <w:p w14:paraId="1ED97744">
      <w:pPr>
        <w:pStyle w:val="37"/>
        <w:spacing w:beforeAutospacing="0" w:afterAutospacing="0" w:line="360" w:lineRule="auto"/>
      </w:pPr>
      <w:r>
        <w:rPr>
          <w:rStyle w:val="45"/>
          <w:rFonts w:hint="eastAsia"/>
          <w:b w:val="0"/>
          <w:bCs w:val="0"/>
        </w:rPr>
        <w:t>（</w:t>
      </w:r>
      <w:r>
        <w:rPr>
          <w:rStyle w:val="45"/>
          <w:b w:val="0"/>
          <w:bCs w:val="0"/>
        </w:rPr>
        <w:t>7</w:t>
      </w:r>
      <w:r>
        <w:rPr>
          <w:rStyle w:val="45"/>
          <w:rFonts w:hint="eastAsia"/>
          <w:b w:val="0"/>
          <w:bCs w:val="0"/>
        </w:rPr>
        <w:t>）</w:t>
      </w:r>
      <w:r>
        <w:rPr>
          <w:rStyle w:val="45"/>
          <w:b w:val="0"/>
          <w:bCs w:val="0"/>
        </w:rPr>
        <w:t>趣味项目</w:t>
      </w:r>
    </w:p>
    <w:p w14:paraId="45B0CD96">
      <w:pPr>
        <w:pStyle w:val="205"/>
        <w:adjustRightInd w:val="0"/>
        <w:snapToGrid w:val="0"/>
        <w:ind w:firstLine="420" w:firstLineChars="0"/>
        <w:outlineLvl w:val="1"/>
        <w:rPr>
          <w:rFonts w:hint="eastAsia"/>
        </w:rPr>
      </w:pPr>
      <w:r>
        <w:rPr>
          <w:rFonts w:hint="eastAsia"/>
        </w:rPr>
        <w:t>安排</w:t>
      </w:r>
      <w:r>
        <w:t>营地的小火车穿越和草地滑雪项目，为孩子们提供一些放松和愉快的活动。让孩子们在技能学习和冒险后充分放松，享受大自然的美丽风景。</w:t>
      </w:r>
    </w:p>
    <w:p w14:paraId="6B13C46B">
      <w:pPr>
        <w:rPr>
          <w:color w:val="EE0000"/>
          <w:sz w:val="24"/>
        </w:rPr>
      </w:pPr>
      <w:r>
        <w:rPr>
          <w:rFonts w:hint="eastAsia"/>
          <w:color w:val="EE0000"/>
          <w:sz w:val="24"/>
        </w:rPr>
        <w:t>3．研学课程服务项目预算表</w:t>
      </w:r>
    </w:p>
    <w:tbl>
      <w:tblPr>
        <w:tblStyle w:val="43"/>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3"/>
        <w:gridCol w:w="1394"/>
        <w:gridCol w:w="1394"/>
        <w:gridCol w:w="1394"/>
        <w:gridCol w:w="1394"/>
        <w:gridCol w:w="1394"/>
      </w:tblGrid>
      <w:tr w14:paraId="3B7DD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393" w:type="dxa"/>
            <w:vAlign w:val="center"/>
          </w:tcPr>
          <w:p w14:paraId="27705301">
            <w:pPr>
              <w:spacing w:line="400" w:lineRule="exact"/>
              <w:jc w:val="center"/>
              <w:rPr>
                <w:color w:val="EE0000"/>
                <w:sz w:val="24"/>
              </w:rPr>
            </w:pPr>
            <w:r>
              <w:rPr>
                <w:rFonts w:hint="eastAsia"/>
                <w:color w:val="EE0000"/>
                <w:sz w:val="24"/>
              </w:rPr>
              <w:t>年级</w:t>
            </w:r>
          </w:p>
        </w:tc>
        <w:tc>
          <w:tcPr>
            <w:tcW w:w="1394" w:type="dxa"/>
            <w:vAlign w:val="center"/>
          </w:tcPr>
          <w:p w14:paraId="1B2D0470">
            <w:pPr>
              <w:spacing w:line="400" w:lineRule="exact"/>
              <w:jc w:val="center"/>
              <w:rPr>
                <w:color w:val="EE0000"/>
                <w:sz w:val="24"/>
              </w:rPr>
            </w:pPr>
            <w:r>
              <w:rPr>
                <w:rFonts w:hint="eastAsia"/>
                <w:color w:val="EE0000"/>
                <w:sz w:val="24"/>
              </w:rPr>
              <w:t>研学地点</w:t>
            </w:r>
          </w:p>
        </w:tc>
        <w:tc>
          <w:tcPr>
            <w:tcW w:w="1394" w:type="dxa"/>
            <w:vAlign w:val="center"/>
          </w:tcPr>
          <w:p w14:paraId="29100392">
            <w:pPr>
              <w:spacing w:line="400" w:lineRule="exact"/>
              <w:jc w:val="center"/>
              <w:rPr>
                <w:color w:val="EE0000"/>
                <w:sz w:val="24"/>
              </w:rPr>
            </w:pPr>
            <w:r>
              <w:rPr>
                <w:rFonts w:hint="eastAsia"/>
                <w:color w:val="EE0000"/>
                <w:sz w:val="24"/>
              </w:rPr>
              <w:t>天数</w:t>
            </w:r>
          </w:p>
        </w:tc>
        <w:tc>
          <w:tcPr>
            <w:tcW w:w="1394" w:type="dxa"/>
            <w:vAlign w:val="center"/>
          </w:tcPr>
          <w:p w14:paraId="6665CB6F">
            <w:pPr>
              <w:spacing w:line="400" w:lineRule="exact"/>
              <w:jc w:val="center"/>
              <w:rPr>
                <w:color w:val="EE0000"/>
                <w:sz w:val="24"/>
              </w:rPr>
            </w:pPr>
            <w:r>
              <w:rPr>
                <w:rFonts w:hint="eastAsia"/>
                <w:color w:val="EE0000"/>
                <w:sz w:val="24"/>
              </w:rPr>
              <w:t>参加人数</w:t>
            </w:r>
          </w:p>
        </w:tc>
        <w:tc>
          <w:tcPr>
            <w:tcW w:w="1394" w:type="dxa"/>
            <w:vAlign w:val="center"/>
          </w:tcPr>
          <w:p w14:paraId="6A3A4188">
            <w:pPr>
              <w:spacing w:line="400" w:lineRule="exact"/>
              <w:jc w:val="center"/>
              <w:rPr>
                <w:color w:val="EE0000"/>
                <w:sz w:val="24"/>
              </w:rPr>
            </w:pPr>
            <w:r>
              <w:rPr>
                <w:rFonts w:hint="eastAsia"/>
                <w:color w:val="EE0000"/>
                <w:sz w:val="24"/>
              </w:rPr>
              <w:t>预算单价</w:t>
            </w:r>
          </w:p>
          <w:p w14:paraId="57F0E0F0">
            <w:pPr>
              <w:spacing w:line="400" w:lineRule="exact"/>
              <w:jc w:val="center"/>
              <w:rPr>
                <w:color w:val="EE0000"/>
                <w:sz w:val="24"/>
              </w:rPr>
            </w:pPr>
            <w:r>
              <w:rPr>
                <w:rFonts w:hint="eastAsia"/>
                <w:color w:val="EE0000"/>
                <w:sz w:val="24"/>
              </w:rPr>
              <w:t>（元）</w:t>
            </w:r>
          </w:p>
        </w:tc>
        <w:tc>
          <w:tcPr>
            <w:tcW w:w="1394" w:type="dxa"/>
            <w:vAlign w:val="center"/>
          </w:tcPr>
          <w:p w14:paraId="46687F8E">
            <w:pPr>
              <w:spacing w:line="400" w:lineRule="exact"/>
              <w:jc w:val="center"/>
              <w:rPr>
                <w:color w:val="EE0000"/>
                <w:sz w:val="24"/>
              </w:rPr>
            </w:pPr>
            <w:r>
              <w:rPr>
                <w:rFonts w:hint="eastAsia"/>
                <w:color w:val="EE0000"/>
                <w:sz w:val="24"/>
              </w:rPr>
              <w:t>合计</w:t>
            </w:r>
          </w:p>
          <w:p w14:paraId="4EF22B8E">
            <w:pPr>
              <w:spacing w:line="400" w:lineRule="exact"/>
              <w:jc w:val="center"/>
              <w:rPr>
                <w:color w:val="EE0000"/>
                <w:sz w:val="24"/>
              </w:rPr>
            </w:pPr>
            <w:r>
              <w:rPr>
                <w:rFonts w:hint="eastAsia"/>
                <w:color w:val="EE0000"/>
                <w:sz w:val="24"/>
              </w:rPr>
              <w:t>（元）</w:t>
            </w:r>
          </w:p>
        </w:tc>
      </w:tr>
      <w:tr w14:paraId="4DF16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393" w:type="dxa"/>
            <w:vAlign w:val="center"/>
          </w:tcPr>
          <w:p w14:paraId="65540459">
            <w:pPr>
              <w:spacing w:line="400" w:lineRule="exact"/>
              <w:jc w:val="center"/>
              <w:rPr>
                <w:color w:val="EE0000"/>
                <w:sz w:val="24"/>
              </w:rPr>
            </w:pPr>
            <w:r>
              <w:rPr>
                <w:rFonts w:hint="eastAsia"/>
                <w:color w:val="EE0000"/>
                <w:sz w:val="24"/>
              </w:rPr>
              <w:t>四年级</w:t>
            </w:r>
          </w:p>
        </w:tc>
        <w:tc>
          <w:tcPr>
            <w:tcW w:w="1394" w:type="dxa"/>
            <w:vAlign w:val="center"/>
          </w:tcPr>
          <w:p w14:paraId="6337C9EF">
            <w:pPr>
              <w:spacing w:line="400" w:lineRule="exact"/>
              <w:jc w:val="center"/>
              <w:rPr>
                <w:color w:val="EE0000"/>
                <w:sz w:val="24"/>
              </w:rPr>
            </w:pPr>
            <w:r>
              <w:rPr>
                <w:rFonts w:hint="eastAsia"/>
                <w:color w:val="EE0000"/>
                <w:sz w:val="24"/>
              </w:rPr>
              <w:t>广东惠州</w:t>
            </w:r>
          </w:p>
        </w:tc>
        <w:tc>
          <w:tcPr>
            <w:tcW w:w="1394" w:type="dxa"/>
            <w:vAlign w:val="center"/>
          </w:tcPr>
          <w:p w14:paraId="6E4ABC79">
            <w:pPr>
              <w:spacing w:line="400" w:lineRule="exact"/>
              <w:jc w:val="center"/>
              <w:rPr>
                <w:color w:val="EE0000"/>
                <w:sz w:val="24"/>
              </w:rPr>
            </w:pPr>
            <w:r>
              <w:rPr>
                <w:rFonts w:hint="eastAsia"/>
                <w:color w:val="EE0000"/>
                <w:sz w:val="24"/>
              </w:rPr>
              <w:t>2天1晚</w:t>
            </w:r>
          </w:p>
        </w:tc>
        <w:tc>
          <w:tcPr>
            <w:tcW w:w="1394" w:type="dxa"/>
            <w:vAlign w:val="center"/>
          </w:tcPr>
          <w:p w14:paraId="442D6851">
            <w:pPr>
              <w:spacing w:line="400" w:lineRule="exact"/>
              <w:jc w:val="center"/>
              <w:rPr>
                <w:color w:val="EE0000"/>
                <w:sz w:val="24"/>
              </w:rPr>
            </w:pPr>
            <w:r>
              <w:rPr>
                <w:rFonts w:hint="eastAsia"/>
                <w:color w:val="EE0000"/>
                <w:sz w:val="24"/>
              </w:rPr>
              <w:t>110</w:t>
            </w:r>
          </w:p>
        </w:tc>
        <w:tc>
          <w:tcPr>
            <w:tcW w:w="1394" w:type="dxa"/>
            <w:vAlign w:val="center"/>
          </w:tcPr>
          <w:p w14:paraId="1D07B6BB">
            <w:pPr>
              <w:spacing w:line="400" w:lineRule="exact"/>
              <w:jc w:val="center"/>
              <w:rPr>
                <w:color w:val="EE0000"/>
                <w:sz w:val="24"/>
              </w:rPr>
            </w:pPr>
            <w:r>
              <w:rPr>
                <w:rFonts w:hint="eastAsia"/>
                <w:color w:val="EE0000"/>
                <w:sz w:val="24"/>
              </w:rPr>
              <w:t>2000</w:t>
            </w:r>
          </w:p>
        </w:tc>
        <w:tc>
          <w:tcPr>
            <w:tcW w:w="1394" w:type="dxa"/>
            <w:vAlign w:val="center"/>
          </w:tcPr>
          <w:p w14:paraId="4BF9EC77">
            <w:pPr>
              <w:spacing w:line="400" w:lineRule="exact"/>
              <w:jc w:val="center"/>
              <w:rPr>
                <w:color w:val="EE0000"/>
                <w:sz w:val="24"/>
              </w:rPr>
            </w:pPr>
            <w:r>
              <w:rPr>
                <w:rFonts w:hint="eastAsia"/>
                <w:color w:val="EE0000"/>
                <w:sz w:val="24"/>
              </w:rPr>
              <w:t>220000</w:t>
            </w:r>
          </w:p>
        </w:tc>
      </w:tr>
      <w:tr w14:paraId="4AAB7C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393" w:type="dxa"/>
            <w:vAlign w:val="center"/>
          </w:tcPr>
          <w:p w14:paraId="40A86E98">
            <w:pPr>
              <w:spacing w:line="400" w:lineRule="exact"/>
              <w:jc w:val="center"/>
              <w:rPr>
                <w:color w:val="EE0000"/>
                <w:sz w:val="24"/>
              </w:rPr>
            </w:pPr>
            <w:r>
              <w:rPr>
                <w:rFonts w:hint="eastAsia"/>
                <w:color w:val="EE0000"/>
                <w:sz w:val="24"/>
              </w:rPr>
              <w:t>五年级</w:t>
            </w:r>
          </w:p>
        </w:tc>
        <w:tc>
          <w:tcPr>
            <w:tcW w:w="1394" w:type="dxa"/>
            <w:vAlign w:val="center"/>
          </w:tcPr>
          <w:p w14:paraId="18A781A2">
            <w:pPr>
              <w:spacing w:line="400" w:lineRule="exact"/>
              <w:jc w:val="center"/>
              <w:rPr>
                <w:color w:val="EE0000"/>
                <w:sz w:val="24"/>
              </w:rPr>
            </w:pPr>
            <w:r>
              <w:rPr>
                <w:rFonts w:hint="eastAsia"/>
                <w:color w:val="EE0000"/>
                <w:sz w:val="24"/>
              </w:rPr>
              <w:t>广东江门</w:t>
            </w:r>
          </w:p>
        </w:tc>
        <w:tc>
          <w:tcPr>
            <w:tcW w:w="1394" w:type="dxa"/>
            <w:vAlign w:val="center"/>
          </w:tcPr>
          <w:p w14:paraId="6D24D11B">
            <w:pPr>
              <w:spacing w:line="400" w:lineRule="exact"/>
              <w:jc w:val="center"/>
              <w:rPr>
                <w:color w:val="EE0000"/>
                <w:sz w:val="24"/>
              </w:rPr>
            </w:pPr>
            <w:r>
              <w:rPr>
                <w:rFonts w:hint="eastAsia"/>
                <w:color w:val="EE0000"/>
                <w:sz w:val="24"/>
              </w:rPr>
              <w:t>3天1晚</w:t>
            </w:r>
          </w:p>
        </w:tc>
        <w:tc>
          <w:tcPr>
            <w:tcW w:w="1394" w:type="dxa"/>
            <w:vAlign w:val="center"/>
          </w:tcPr>
          <w:p w14:paraId="3876EDEC">
            <w:pPr>
              <w:spacing w:line="400" w:lineRule="exact"/>
              <w:jc w:val="center"/>
              <w:rPr>
                <w:color w:val="EE0000"/>
                <w:sz w:val="24"/>
              </w:rPr>
            </w:pPr>
            <w:r>
              <w:rPr>
                <w:rFonts w:hint="eastAsia"/>
                <w:color w:val="EE0000"/>
                <w:sz w:val="24"/>
              </w:rPr>
              <w:t>85</w:t>
            </w:r>
          </w:p>
        </w:tc>
        <w:tc>
          <w:tcPr>
            <w:tcW w:w="1394" w:type="dxa"/>
            <w:vAlign w:val="center"/>
          </w:tcPr>
          <w:p w14:paraId="45924CFA">
            <w:pPr>
              <w:spacing w:line="400" w:lineRule="exact"/>
              <w:jc w:val="center"/>
              <w:rPr>
                <w:color w:val="EE0000"/>
                <w:sz w:val="24"/>
              </w:rPr>
            </w:pPr>
            <w:r>
              <w:rPr>
                <w:rFonts w:hint="eastAsia"/>
                <w:color w:val="EE0000"/>
                <w:sz w:val="24"/>
              </w:rPr>
              <w:t>3000</w:t>
            </w:r>
          </w:p>
        </w:tc>
        <w:tc>
          <w:tcPr>
            <w:tcW w:w="1394" w:type="dxa"/>
            <w:vAlign w:val="center"/>
          </w:tcPr>
          <w:p w14:paraId="189FEF49">
            <w:pPr>
              <w:spacing w:line="400" w:lineRule="exact"/>
              <w:jc w:val="center"/>
              <w:rPr>
                <w:color w:val="EE0000"/>
                <w:sz w:val="24"/>
              </w:rPr>
            </w:pPr>
            <w:r>
              <w:rPr>
                <w:rFonts w:hint="eastAsia"/>
                <w:color w:val="EE0000"/>
                <w:sz w:val="24"/>
              </w:rPr>
              <w:t>255000</w:t>
            </w:r>
          </w:p>
        </w:tc>
      </w:tr>
    </w:tbl>
    <w:p w14:paraId="3274F120">
      <w:pPr>
        <w:spacing w:line="360" w:lineRule="exact"/>
        <w:jc w:val="left"/>
        <w:rPr>
          <w:b/>
          <w:bCs/>
          <w:sz w:val="22"/>
          <w:szCs w:val="22"/>
        </w:rPr>
      </w:pPr>
      <w:r>
        <w:rPr>
          <w:rFonts w:hint="eastAsia"/>
          <w:b/>
          <w:bCs/>
          <w:sz w:val="22"/>
          <w:szCs w:val="22"/>
        </w:rPr>
        <w:t>二、研学课程时间</w:t>
      </w:r>
    </w:p>
    <w:p w14:paraId="4B532D5E">
      <w:pPr>
        <w:spacing w:line="360" w:lineRule="exact"/>
        <w:ind w:firstLine="440" w:firstLineChars="200"/>
        <w:jc w:val="left"/>
        <w:rPr>
          <w:sz w:val="22"/>
          <w:szCs w:val="22"/>
        </w:rPr>
      </w:pPr>
      <w:r>
        <w:rPr>
          <w:rFonts w:hint="eastAsia"/>
          <w:sz w:val="22"/>
          <w:szCs w:val="22"/>
        </w:rPr>
        <w:t>根据天气情况及学校实际确认，具体时间由学校与中标单位商量确定。</w:t>
      </w:r>
    </w:p>
    <w:p w14:paraId="510059B2">
      <w:pPr>
        <w:spacing w:line="360" w:lineRule="exact"/>
        <w:jc w:val="left"/>
        <w:rPr>
          <w:b/>
          <w:bCs/>
          <w:sz w:val="22"/>
          <w:szCs w:val="22"/>
        </w:rPr>
      </w:pPr>
      <w:r>
        <w:rPr>
          <w:rFonts w:hint="eastAsia"/>
          <w:b/>
          <w:bCs/>
          <w:sz w:val="22"/>
          <w:szCs w:val="22"/>
        </w:rPr>
        <w:t>三、服务要求</w:t>
      </w:r>
    </w:p>
    <w:p w14:paraId="157DE6BF">
      <w:pPr>
        <w:spacing w:line="360" w:lineRule="exact"/>
        <w:ind w:firstLine="440" w:firstLineChars="200"/>
        <w:jc w:val="left"/>
        <w:rPr>
          <w:sz w:val="22"/>
          <w:szCs w:val="22"/>
        </w:rPr>
      </w:pPr>
      <w:r>
        <w:rPr>
          <w:rFonts w:hint="eastAsia"/>
          <w:sz w:val="22"/>
          <w:szCs w:val="22"/>
        </w:rPr>
        <w:t>1．交通：空调大巴。要求空调大巴车龄在5年以内，有车辆年审合格证明；司机有 5年以上驾驶大型客车经验，最近3个记分周期内无记满12分记录，无重大交通责任事故记录。</w:t>
      </w:r>
    </w:p>
    <w:p w14:paraId="1A09E224">
      <w:pPr>
        <w:spacing w:line="360" w:lineRule="exact"/>
        <w:ind w:firstLine="440" w:firstLineChars="200"/>
        <w:jc w:val="left"/>
        <w:rPr>
          <w:sz w:val="22"/>
          <w:szCs w:val="22"/>
        </w:rPr>
      </w:pPr>
      <w:r>
        <w:rPr>
          <w:rFonts w:hint="eastAsia"/>
          <w:sz w:val="22"/>
          <w:szCs w:val="22"/>
        </w:rPr>
        <w:t>2．门票：包括行程内所有研学点门票及相关附加费用。</w:t>
      </w:r>
    </w:p>
    <w:p w14:paraId="08352DC3">
      <w:pPr>
        <w:spacing w:line="360" w:lineRule="exact"/>
        <w:ind w:firstLine="440" w:firstLineChars="200"/>
        <w:jc w:val="left"/>
        <w:rPr>
          <w:sz w:val="22"/>
          <w:szCs w:val="22"/>
        </w:rPr>
      </w:pPr>
      <w:r>
        <w:rPr>
          <w:rFonts w:hint="eastAsia"/>
          <w:sz w:val="22"/>
          <w:szCs w:val="22"/>
        </w:rPr>
        <w:t>3．用餐：用餐环境干净，有食品卫生监督机构年检证书。</w:t>
      </w:r>
    </w:p>
    <w:p w14:paraId="7B294B88">
      <w:pPr>
        <w:spacing w:line="360" w:lineRule="exact"/>
        <w:ind w:firstLine="440" w:firstLineChars="200"/>
        <w:jc w:val="left"/>
        <w:rPr>
          <w:sz w:val="22"/>
          <w:szCs w:val="22"/>
        </w:rPr>
      </w:pPr>
      <w:r>
        <w:rPr>
          <w:rFonts w:hint="eastAsia"/>
          <w:sz w:val="22"/>
          <w:szCs w:val="22"/>
        </w:rPr>
        <w:t>4．住宿：同一研学线路的学生住同一间酒店或相邻酒店，食宿等标准一致。</w:t>
      </w:r>
    </w:p>
    <w:p w14:paraId="7A439B5C">
      <w:pPr>
        <w:spacing w:line="360" w:lineRule="exact"/>
        <w:ind w:firstLine="440" w:firstLineChars="200"/>
        <w:jc w:val="left"/>
        <w:rPr>
          <w:sz w:val="22"/>
          <w:szCs w:val="22"/>
        </w:rPr>
      </w:pPr>
      <w:r>
        <w:rPr>
          <w:rFonts w:hint="eastAsia"/>
          <w:sz w:val="22"/>
          <w:szCs w:val="22"/>
        </w:rPr>
        <w:t>5．人员配备：每车配备有资质的导游及全程陪同的研学导师各不少于一名，能用英文进行沟通或开展活动。每项活动导师与学生配比为1：8，另配最少一名后勤支持人员。</w:t>
      </w:r>
    </w:p>
    <w:p w14:paraId="0EAC1B7A">
      <w:pPr>
        <w:spacing w:line="360" w:lineRule="exact"/>
        <w:ind w:firstLine="440" w:firstLineChars="200"/>
        <w:jc w:val="left"/>
        <w:rPr>
          <w:sz w:val="22"/>
          <w:szCs w:val="22"/>
        </w:rPr>
      </w:pPr>
      <w:r>
        <w:rPr>
          <w:rFonts w:hint="eastAsia"/>
          <w:sz w:val="22"/>
          <w:szCs w:val="22"/>
        </w:rPr>
        <w:t>6．全程不额外收取费用，不安排任何购物点及自费项目。</w:t>
      </w:r>
    </w:p>
    <w:p w14:paraId="7BA6BEF4">
      <w:pPr>
        <w:spacing w:line="360" w:lineRule="exact"/>
        <w:ind w:firstLine="440" w:firstLineChars="200"/>
        <w:jc w:val="left"/>
        <w:rPr>
          <w:sz w:val="22"/>
          <w:szCs w:val="22"/>
        </w:rPr>
      </w:pPr>
      <w:r>
        <w:rPr>
          <w:rFonts w:hint="eastAsia"/>
          <w:sz w:val="22"/>
          <w:szCs w:val="22"/>
        </w:rPr>
        <w:t>7．必须购买旅行社责任险，责任险必须是国家保险示范项目的产品，单次事故赔付限额不低于1000万元，单人单次赔付限额不低于60万元；购买意外伤害险单人单次赔付限额不低于50万元。</w:t>
      </w:r>
    </w:p>
    <w:p w14:paraId="46F89A37">
      <w:pPr>
        <w:spacing w:line="360" w:lineRule="exact"/>
        <w:ind w:firstLine="440" w:firstLineChars="200"/>
        <w:jc w:val="left"/>
        <w:rPr>
          <w:sz w:val="22"/>
          <w:szCs w:val="22"/>
        </w:rPr>
      </w:pPr>
      <w:r>
        <w:rPr>
          <w:rFonts w:hint="eastAsia"/>
          <w:sz w:val="22"/>
          <w:szCs w:val="22"/>
        </w:rPr>
        <w:t>8．医疗保障：每一条研学线路需全程配备 1 名持医师资格证的医生提供现场医疗保障服务；距离研学地点 5 公里范围内有镇级及以上医疗机构，供在紧急情况下可送至就近医院就诊。</w:t>
      </w:r>
    </w:p>
    <w:p w14:paraId="4A410852">
      <w:pPr>
        <w:spacing w:line="360" w:lineRule="exact"/>
        <w:ind w:firstLine="440" w:firstLineChars="200"/>
        <w:jc w:val="left"/>
        <w:rPr>
          <w:sz w:val="22"/>
          <w:szCs w:val="22"/>
        </w:rPr>
      </w:pPr>
      <w:r>
        <w:rPr>
          <w:rFonts w:hint="eastAsia"/>
          <w:sz w:val="22"/>
          <w:szCs w:val="22"/>
        </w:rPr>
        <w:t>9、售后服务：投标人需在活动结束后提供后续支持，如活动报告、学生反馈处理及后续改进建议等。</w:t>
      </w:r>
    </w:p>
    <w:p w14:paraId="3BE9118C">
      <w:pPr>
        <w:spacing w:line="360" w:lineRule="exact"/>
        <w:ind w:firstLine="440" w:firstLineChars="200"/>
        <w:jc w:val="left"/>
        <w:rPr>
          <w:sz w:val="22"/>
          <w:szCs w:val="22"/>
        </w:rPr>
      </w:pPr>
      <w:r>
        <w:rPr>
          <w:rFonts w:hint="eastAsia"/>
          <w:sz w:val="22"/>
          <w:szCs w:val="22"/>
        </w:rPr>
        <w:t>10．专业资质技能：投标人需提供带队导师的相关资质证明，如教育学、儿童保护法、户外活动指导、急救认证等。</w:t>
      </w:r>
    </w:p>
    <w:p w14:paraId="775306F1">
      <w:pPr>
        <w:spacing w:line="360" w:lineRule="exact"/>
        <w:ind w:firstLine="440" w:firstLineChars="200"/>
        <w:jc w:val="left"/>
        <w:rPr>
          <w:sz w:val="22"/>
          <w:szCs w:val="22"/>
        </w:rPr>
      </w:pPr>
      <w:r>
        <w:rPr>
          <w:rFonts w:hint="eastAsia"/>
          <w:sz w:val="22"/>
          <w:szCs w:val="22"/>
        </w:rPr>
        <w:t>11．安全措施：需按甲方的要求提交研学活动方案以及安全方案与突发应急预案。</w:t>
      </w:r>
    </w:p>
    <w:p w14:paraId="473E38A5">
      <w:pPr>
        <w:spacing w:line="360" w:lineRule="exact"/>
        <w:ind w:firstLine="440" w:firstLineChars="200"/>
        <w:jc w:val="left"/>
        <w:rPr>
          <w:sz w:val="22"/>
          <w:szCs w:val="22"/>
        </w:rPr>
      </w:pPr>
      <w:r>
        <w:rPr>
          <w:rFonts w:hint="eastAsia"/>
          <w:sz w:val="22"/>
          <w:szCs w:val="22"/>
        </w:rPr>
        <w:t>12．活动前风险评估：根据甲方需求，配合学校在活动前到研学地点的风险评估工作，以及参与学校组织的行前家长沟通会。</w:t>
      </w:r>
    </w:p>
    <w:p w14:paraId="390FFDC4">
      <w:pPr>
        <w:spacing w:line="360" w:lineRule="exact"/>
        <w:ind w:firstLine="440" w:firstLineChars="200"/>
        <w:jc w:val="left"/>
        <w:rPr>
          <w:sz w:val="22"/>
          <w:szCs w:val="22"/>
        </w:rPr>
      </w:pPr>
      <w:r>
        <w:rPr>
          <w:rFonts w:hint="eastAsia"/>
          <w:sz w:val="22"/>
          <w:szCs w:val="22"/>
        </w:rPr>
        <w:t>13．全程旅拍服务：投标人需全程跟拍，每天提供学生个人照片，团队照片；活动结束一周内按年级提供一个2-3分钟完整研学视频。</w:t>
      </w:r>
    </w:p>
    <w:p w14:paraId="2C964F22">
      <w:pPr>
        <w:rPr>
          <w:b/>
          <w:color w:val="000000"/>
          <w:sz w:val="24"/>
        </w:rPr>
      </w:pPr>
    </w:p>
    <w:p w14:paraId="6BA890AC">
      <w:pPr>
        <w:pStyle w:val="205"/>
        <w:adjustRightInd w:val="0"/>
        <w:snapToGrid w:val="0"/>
        <w:ind w:firstLine="0" w:firstLineChars="0"/>
        <w:outlineLvl w:val="1"/>
        <w:rPr>
          <w:rFonts w:hint="eastAsia"/>
          <w:b/>
          <w:color w:val="000000"/>
        </w:rPr>
      </w:pPr>
      <w:r>
        <w:rPr>
          <w:rFonts w:hint="eastAsia"/>
          <w:b/>
          <w:color w:val="000000"/>
        </w:rPr>
        <w:t>四、商务要求</w:t>
      </w:r>
      <w:bookmarkEnd w:id="35"/>
    </w:p>
    <w:p w14:paraId="44EEBE92">
      <w:pPr>
        <w:pStyle w:val="79"/>
        <w:numPr>
          <w:ilvl w:val="0"/>
          <w:numId w:val="8"/>
        </w:numPr>
        <w:tabs>
          <w:tab w:val="left" w:pos="0"/>
        </w:tabs>
        <w:adjustRightInd w:val="0"/>
        <w:snapToGrid w:val="0"/>
        <w:spacing w:line="360" w:lineRule="exact"/>
        <w:ind w:firstLineChars="0"/>
        <w:jc w:val="left"/>
        <w:rPr>
          <w:b/>
          <w:color w:val="000000"/>
          <w:sz w:val="22"/>
        </w:rPr>
      </w:pPr>
      <w:r>
        <w:rPr>
          <w:b/>
          <w:color w:val="000000"/>
          <w:sz w:val="22"/>
        </w:rPr>
        <w:t>服务期限</w:t>
      </w:r>
    </w:p>
    <w:p w14:paraId="1611BFC2">
      <w:pPr>
        <w:tabs>
          <w:tab w:val="left" w:pos="420"/>
        </w:tabs>
        <w:spacing w:line="360" w:lineRule="exact"/>
        <w:ind w:firstLine="440" w:firstLineChars="200"/>
        <w:jc w:val="left"/>
        <w:rPr>
          <w:color w:val="000000"/>
          <w:sz w:val="22"/>
        </w:rPr>
      </w:pPr>
      <w:r>
        <w:rPr>
          <w:color w:val="000000"/>
          <w:sz w:val="22"/>
        </w:rPr>
        <w:t>本项目服务期限为一年，从2025年</w:t>
      </w:r>
      <w:r>
        <w:rPr>
          <w:rFonts w:hint="eastAsia"/>
          <w:color w:val="000000"/>
          <w:sz w:val="22"/>
        </w:rPr>
        <w:t>8</w:t>
      </w:r>
      <w:r>
        <w:rPr>
          <w:color w:val="000000"/>
          <w:sz w:val="22"/>
        </w:rPr>
        <w:t>月1日起至2026年</w:t>
      </w:r>
      <w:r>
        <w:rPr>
          <w:rFonts w:hint="eastAsia"/>
          <w:color w:val="000000"/>
          <w:sz w:val="22"/>
        </w:rPr>
        <w:t>7</w:t>
      </w:r>
      <w:r>
        <w:rPr>
          <w:color w:val="000000"/>
          <w:sz w:val="22"/>
        </w:rPr>
        <w:t>月31日止。本项目为长期服务项目，合同期满可以续签，但合同履行期限最长不得超过三十六个月。如采购人对履约情况不满意，采购人不再续约。</w:t>
      </w:r>
    </w:p>
    <w:p w14:paraId="41F62B5A">
      <w:pPr>
        <w:tabs>
          <w:tab w:val="left" w:pos="420"/>
        </w:tabs>
        <w:spacing w:line="360" w:lineRule="exact"/>
        <w:jc w:val="left"/>
        <w:rPr>
          <w:b/>
          <w:color w:val="000000"/>
          <w:sz w:val="22"/>
          <w:szCs w:val="22"/>
        </w:rPr>
      </w:pPr>
      <w:r>
        <w:rPr>
          <w:b/>
          <w:color w:val="000000"/>
          <w:sz w:val="22"/>
          <w:szCs w:val="22"/>
        </w:rPr>
        <w:t>（二）付款方式</w:t>
      </w:r>
    </w:p>
    <w:p w14:paraId="1BE9E62D">
      <w:pPr>
        <w:snapToGrid w:val="0"/>
        <w:spacing w:line="360" w:lineRule="exact"/>
        <w:ind w:firstLine="440" w:firstLineChars="200"/>
        <w:jc w:val="left"/>
        <w:rPr>
          <w:sz w:val="22"/>
          <w:szCs w:val="22"/>
          <w:lang w:eastAsia="zh-Hans"/>
        </w:rPr>
      </w:pPr>
      <w:r>
        <w:rPr>
          <w:sz w:val="22"/>
          <w:szCs w:val="22"/>
        </w:rPr>
        <w:t>1</w:t>
      </w:r>
      <w:r>
        <w:rPr>
          <w:rFonts w:hint="eastAsia"/>
          <w:sz w:val="22"/>
          <w:szCs w:val="22"/>
        </w:rPr>
        <w:t>．</w:t>
      </w:r>
      <w:r>
        <w:rPr>
          <w:sz w:val="22"/>
          <w:szCs w:val="22"/>
        </w:rPr>
        <w:t>按每次研学旅行活动的实际参加人数进行结算，总</w:t>
      </w:r>
      <w:r>
        <w:rPr>
          <w:rFonts w:hint="eastAsia"/>
          <w:sz w:val="22"/>
          <w:szCs w:val="22"/>
        </w:rPr>
        <w:t>支付</w:t>
      </w:r>
      <w:r>
        <w:rPr>
          <w:sz w:val="22"/>
          <w:szCs w:val="22"/>
        </w:rPr>
        <w:t>金额不得超过</w:t>
      </w:r>
      <w:r>
        <w:rPr>
          <w:rFonts w:hint="eastAsia"/>
          <w:sz w:val="22"/>
          <w:szCs w:val="22"/>
        </w:rPr>
        <w:t>支付上限金额</w:t>
      </w:r>
      <w:r>
        <w:rPr>
          <w:sz w:val="22"/>
          <w:szCs w:val="22"/>
        </w:rPr>
        <w:t>。每次研学旅行活动出发前支付当次活动结算金额的50%为预付款，剩余款项将于当次活动结束后15个工作日内支付。</w:t>
      </w:r>
    </w:p>
    <w:p w14:paraId="773014F3">
      <w:pPr>
        <w:spacing w:line="360" w:lineRule="exact"/>
        <w:ind w:firstLine="440" w:firstLineChars="200"/>
        <w:jc w:val="left"/>
        <w:rPr>
          <w:sz w:val="22"/>
          <w:szCs w:val="22"/>
          <w:lang w:eastAsia="zh-Hans"/>
        </w:rPr>
      </w:pPr>
      <w:r>
        <w:rPr>
          <w:sz w:val="22"/>
          <w:szCs w:val="22"/>
        </w:rPr>
        <w:t>2</w:t>
      </w:r>
      <w:r>
        <w:rPr>
          <w:rFonts w:hint="eastAsia"/>
          <w:sz w:val="22"/>
          <w:szCs w:val="22"/>
        </w:rPr>
        <w:t>．</w:t>
      </w:r>
      <w:r>
        <w:rPr>
          <w:sz w:val="22"/>
          <w:szCs w:val="22"/>
          <w:lang w:eastAsia="zh-Hans"/>
        </w:rPr>
        <w:t>以上为预计付款方式，合同订立时，采购人可根据实际情况最终确定支付方式，并在合同中予以明确。</w:t>
      </w:r>
    </w:p>
    <w:p w14:paraId="0AA0AEDC">
      <w:pPr>
        <w:tabs>
          <w:tab w:val="left" w:pos="420"/>
        </w:tabs>
        <w:spacing w:line="360" w:lineRule="exact"/>
        <w:jc w:val="left"/>
        <w:rPr>
          <w:b/>
          <w:color w:val="000000"/>
          <w:sz w:val="22"/>
          <w:szCs w:val="22"/>
        </w:rPr>
      </w:pPr>
      <w:r>
        <w:rPr>
          <w:b/>
          <w:color w:val="000000"/>
          <w:sz w:val="22"/>
          <w:szCs w:val="22"/>
        </w:rPr>
        <w:t>（三）服务地点</w:t>
      </w:r>
    </w:p>
    <w:p w14:paraId="5160D5B5">
      <w:pPr>
        <w:spacing w:line="360" w:lineRule="exact"/>
        <w:ind w:firstLine="440" w:firstLineChars="200"/>
        <w:jc w:val="left"/>
        <w:rPr>
          <w:color w:val="000000"/>
          <w:sz w:val="22"/>
          <w:szCs w:val="22"/>
        </w:rPr>
      </w:pPr>
      <w:r>
        <w:rPr>
          <w:color w:val="000000"/>
          <w:sz w:val="22"/>
          <w:szCs w:val="22"/>
        </w:rPr>
        <w:t>深圳市龙岗区坂田街道象塘路30号深圳外国语湾区学校。</w:t>
      </w:r>
    </w:p>
    <w:p w14:paraId="0AF36BE8">
      <w:pPr>
        <w:tabs>
          <w:tab w:val="left" w:pos="420"/>
        </w:tabs>
        <w:spacing w:line="360" w:lineRule="exact"/>
        <w:jc w:val="left"/>
        <w:rPr>
          <w:b/>
          <w:color w:val="000000"/>
          <w:sz w:val="22"/>
          <w:szCs w:val="22"/>
        </w:rPr>
      </w:pPr>
      <w:r>
        <w:rPr>
          <w:b/>
          <w:color w:val="000000"/>
          <w:sz w:val="22"/>
          <w:szCs w:val="22"/>
        </w:rPr>
        <w:t>（四）质量考核验收标准</w:t>
      </w:r>
    </w:p>
    <w:p w14:paraId="377F4D04">
      <w:pPr>
        <w:spacing w:line="360" w:lineRule="exact"/>
        <w:ind w:firstLine="440" w:firstLineChars="200"/>
        <w:jc w:val="left"/>
        <w:rPr>
          <w:b/>
          <w:bCs/>
          <w:sz w:val="22"/>
          <w:szCs w:val="22"/>
        </w:rPr>
      </w:pPr>
      <w:r>
        <w:rPr>
          <w:sz w:val="22"/>
          <w:szCs w:val="22"/>
        </w:rPr>
        <w:t>质量考核验收标准：按照合同约定完成服务内容。</w:t>
      </w:r>
    </w:p>
    <w:p w14:paraId="29BA72F6">
      <w:pPr>
        <w:tabs>
          <w:tab w:val="left" w:pos="420"/>
        </w:tabs>
        <w:spacing w:line="360" w:lineRule="exact"/>
        <w:jc w:val="left"/>
        <w:rPr>
          <w:b/>
          <w:color w:val="000000"/>
          <w:sz w:val="22"/>
          <w:szCs w:val="22"/>
        </w:rPr>
      </w:pPr>
      <w:r>
        <w:rPr>
          <w:b/>
          <w:color w:val="000000"/>
          <w:sz w:val="22"/>
          <w:szCs w:val="22"/>
        </w:rPr>
        <w:t>（六）违约责任</w:t>
      </w:r>
    </w:p>
    <w:p w14:paraId="70D91F68">
      <w:pPr>
        <w:spacing w:line="360" w:lineRule="exact"/>
        <w:ind w:firstLine="440" w:firstLineChars="200"/>
        <w:jc w:val="left"/>
        <w:rPr>
          <w:sz w:val="22"/>
          <w:szCs w:val="22"/>
        </w:rPr>
      </w:pPr>
      <w:r>
        <w:rPr>
          <w:sz w:val="22"/>
          <w:szCs w:val="22"/>
        </w:rPr>
        <w:t>1</w:t>
      </w:r>
      <w:r>
        <w:rPr>
          <w:rFonts w:hint="eastAsia"/>
          <w:sz w:val="22"/>
          <w:szCs w:val="22"/>
        </w:rPr>
        <w:t>．</w:t>
      </w:r>
      <w:r>
        <w:rPr>
          <w:sz w:val="22"/>
          <w:szCs w:val="22"/>
        </w:rPr>
        <w:t>中标人不得将项目非法分包或转包给任何单位和个人。否则，采购人有权立即终止合同，并要求赔偿相应损失。</w:t>
      </w:r>
    </w:p>
    <w:p w14:paraId="5496C307">
      <w:pPr>
        <w:tabs>
          <w:tab w:val="left" w:pos="420"/>
        </w:tabs>
        <w:spacing w:line="360" w:lineRule="exact"/>
        <w:ind w:firstLine="440" w:firstLineChars="200"/>
        <w:jc w:val="left"/>
        <w:rPr>
          <w:b/>
          <w:color w:val="000000"/>
          <w:sz w:val="22"/>
          <w:szCs w:val="22"/>
        </w:rPr>
      </w:pPr>
      <w:r>
        <w:rPr>
          <w:sz w:val="22"/>
          <w:szCs w:val="22"/>
        </w:rPr>
        <w:t>2</w:t>
      </w:r>
      <w:r>
        <w:rPr>
          <w:rFonts w:hint="eastAsia"/>
          <w:sz w:val="22"/>
          <w:szCs w:val="22"/>
        </w:rPr>
        <w:t>．</w:t>
      </w:r>
      <w:r>
        <w:rPr>
          <w:sz w:val="22"/>
          <w:szCs w:val="22"/>
        </w:rPr>
        <w:t>因中标人服务不合格导致终止服务合同的，中标人应承担全部的责任，不得向采购人提出任何补偿或赔偿要求。</w:t>
      </w:r>
    </w:p>
    <w:p w14:paraId="50A27EF1">
      <w:pPr>
        <w:pStyle w:val="22"/>
        <w:tabs>
          <w:tab w:val="left" w:pos="0"/>
        </w:tabs>
        <w:adjustRightInd w:val="0"/>
        <w:snapToGrid w:val="0"/>
        <w:spacing w:line="360" w:lineRule="auto"/>
        <w:rPr>
          <w:rFonts w:hint="eastAsia" w:hAnsi="宋体" w:cs="宋体" w:eastAsiaTheme="minorEastAsia"/>
          <w:b/>
          <w:bCs/>
          <w:color w:val="000000"/>
          <w:kern w:val="0"/>
          <w:sz w:val="24"/>
          <w:szCs w:val="24"/>
        </w:rPr>
      </w:pPr>
      <w:r>
        <w:rPr>
          <w:rFonts w:hint="eastAsia"/>
          <w:b/>
          <w:color w:val="000000"/>
          <w:sz w:val="24"/>
          <w:szCs w:val="24"/>
        </w:rPr>
        <w:t>五、投标报价要求（不限定价格）</w:t>
      </w:r>
    </w:p>
    <w:p w14:paraId="78FFFC8E">
      <w:pPr>
        <w:tabs>
          <w:tab w:val="left" w:pos="426"/>
          <w:tab w:val="left" w:pos="1455"/>
        </w:tabs>
        <w:snapToGrid w:val="0"/>
        <w:spacing w:line="360" w:lineRule="auto"/>
        <w:ind w:left="746" w:leftChars="199" w:hanging="328" w:hangingChars="137"/>
        <w:rPr>
          <w:rFonts w:hint="eastAsia" w:ascii="宋体" w:hAnsi="宋体"/>
          <w:sz w:val="24"/>
        </w:rPr>
      </w:pPr>
      <w:r>
        <w:rPr>
          <w:rFonts w:hint="eastAsia" w:ascii="宋体" w:hAnsi="宋体"/>
          <w:sz w:val="24"/>
        </w:rPr>
        <w:t>1．本项目服务费采用包干制，</w:t>
      </w:r>
      <w:r>
        <w:rPr>
          <w:rFonts w:ascii="宋体" w:hAnsi="宋体" w:cs="宋体"/>
          <w:sz w:val="24"/>
        </w:rPr>
        <w:t>由投标人根据招标文件所提供的资料自行测算投标报价</w:t>
      </w:r>
      <w:r>
        <w:rPr>
          <w:rFonts w:hint="eastAsia" w:ascii="宋体" w:hAnsi="宋体" w:cs="宋体"/>
          <w:sz w:val="24"/>
        </w:rPr>
        <w:t>，</w:t>
      </w:r>
      <w:r>
        <w:rPr>
          <w:rFonts w:ascii="宋体" w:hAnsi="宋体" w:cs="宋体"/>
          <w:sz w:val="24"/>
        </w:rPr>
        <w:t>一经中标，投标报价总价作为投标人与采购人签订的合同金额，合同期限内不做调整</w:t>
      </w:r>
      <w:r>
        <w:rPr>
          <w:rFonts w:hint="eastAsia" w:ascii="宋体" w:hAnsi="宋体" w:cs="宋体"/>
          <w:sz w:val="24"/>
        </w:rPr>
        <w:t>。</w:t>
      </w:r>
    </w:p>
    <w:p w14:paraId="4BA49A21">
      <w:pPr>
        <w:tabs>
          <w:tab w:val="left" w:pos="426"/>
          <w:tab w:val="left" w:pos="1455"/>
        </w:tabs>
        <w:snapToGrid w:val="0"/>
        <w:spacing w:line="360" w:lineRule="auto"/>
        <w:ind w:left="746" w:leftChars="199" w:hanging="328" w:hangingChars="137"/>
        <w:rPr>
          <w:rFonts w:hint="eastAsia" w:ascii="宋体" w:hAnsi="宋体"/>
          <w:sz w:val="24"/>
        </w:rPr>
      </w:pPr>
      <w:r>
        <w:rPr>
          <w:rFonts w:hint="eastAsia" w:ascii="宋体" w:hAnsi="宋体"/>
          <w:sz w:val="24"/>
        </w:rPr>
        <w:t>2．供应商应根据本企业成本自行决定报价，但不得以低于其企业成本的报价投标；供应商的投标报价，应是本项目招标范围和采购文件及合同条款上所列的各项内容中所述的全部，不得以任何理由予以重复，并以供应商在响应文件中提出的综合单价或总价为依据。</w:t>
      </w:r>
    </w:p>
    <w:p w14:paraId="3979E31C">
      <w:pPr>
        <w:tabs>
          <w:tab w:val="left" w:pos="426"/>
          <w:tab w:val="left" w:pos="1455"/>
        </w:tabs>
        <w:snapToGrid w:val="0"/>
        <w:spacing w:line="360" w:lineRule="auto"/>
        <w:ind w:left="746" w:leftChars="199" w:hanging="328" w:hangingChars="137"/>
        <w:rPr>
          <w:rFonts w:hint="eastAsia" w:ascii="宋体" w:hAnsi="宋体"/>
          <w:sz w:val="24"/>
        </w:rPr>
      </w:pPr>
      <w:r>
        <w:rPr>
          <w:rFonts w:hint="eastAsia" w:ascii="宋体" w:hAnsi="宋体"/>
          <w:sz w:val="24"/>
        </w:rPr>
        <w:t>3．投标人应充分了解项目的工作内容、要求及任何其它足以影响投标报价的情况，任何因忽视或误解项目情况而导致的索赔或服务期限延长申请将不获批准。</w:t>
      </w:r>
    </w:p>
    <w:p w14:paraId="3DFE8083">
      <w:pPr>
        <w:tabs>
          <w:tab w:val="left" w:pos="426"/>
          <w:tab w:val="left" w:pos="1455"/>
        </w:tabs>
        <w:snapToGrid w:val="0"/>
        <w:spacing w:line="360" w:lineRule="auto"/>
        <w:ind w:left="746" w:leftChars="199" w:hanging="328" w:hangingChars="137"/>
        <w:rPr>
          <w:rFonts w:hint="eastAsia" w:ascii="宋体" w:hAnsi="宋体"/>
          <w:sz w:val="24"/>
        </w:rPr>
      </w:pPr>
      <w:r>
        <w:rPr>
          <w:rFonts w:hint="eastAsia" w:ascii="宋体" w:hAnsi="宋体"/>
          <w:sz w:val="24"/>
        </w:rPr>
        <w:t>4．投标人应提供详细报价清单。投标总报价应等于“详细报价清单”的全部费用之和，应包括完成本项目所需人工费、设备费、材料费、车辆租赁费、税费、中标服务费等在内的一切费用。</w:t>
      </w:r>
    </w:p>
    <w:p w14:paraId="68ACBE39">
      <w:pPr>
        <w:tabs>
          <w:tab w:val="left" w:pos="426"/>
          <w:tab w:val="left" w:pos="1455"/>
        </w:tabs>
        <w:snapToGrid w:val="0"/>
        <w:spacing w:line="360" w:lineRule="auto"/>
        <w:ind w:left="746" w:leftChars="199" w:hanging="328" w:hangingChars="137"/>
        <w:rPr>
          <w:sz w:val="24"/>
        </w:rPr>
      </w:pPr>
      <w:r>
        <w:rPr>
          <w:rFonts w:hint="eastAsia"/>
          <w:sz w:val="24"/>
        </w:rPr>
        <w:t>5. 单价不超过预算单价，总价不超过预算总额475000元。</w:t>
      </w:r>
    </w:p>
    <w:p w14:paraId="02D777D5">
      <w:pPr>
        <w:rPr>
          <w:sz w:val="24"/>
        </w:rPr>
      </w:pPr>
      <w:r>
        <w:rPr>
          <w:rFonts w:hint="eastAsia"/>
          <w:sz w:val="24"/>
        </w:rPr>
        <w:br w:type="page"/>
      </w:r>
    </w:p>
    <w:p w14:paraId="0471B545">
      <w:pPr>
        <w:tabs>
          <w:tab w:val="left" w:pos="426"/>
          <w:tab w:val="left" w:pos="1455"/>
        </w:tabs>
        <w:snapToGrid w:val="0"/>
        <w:spacing w:line="360" w:lineRule="auto"/>
        <w:ind w:left="746" w:leftChars="199" w:hanging="328" w:hangingChars="137"/>
        <w:rPr>
          <w:sz w:val="24"/>
        </w:rPr>
      </w:pPr>
    </w:p>
    <w:p w14:paraId="2095C2B7">
      <w:pPr>
        <w:pStyle w:val="3"/>
        <w:spacing w:before="156" w:beforeLines="50" w:after="156" w:afterLines="50"/>
        <w:rPr>
          <w:rFonts w:hint="eastAsia"/>
          <w:szCs w:val="24"/>
        </w:rPr>
      </w:pPr>
      <w:r>
        <w:rPr>
          <w:rFonts w:hint="eastAsia" w:cs="宋体"/>
          <w:lang w:bidi="ar"/>
        </w:rPr>
        <w:t>七、</w:t>
      </w:r>
      <w:r>
        <w:rPr>
          <w:rFonts w:hint="eastAsia"/>
          <w:szCs w:val="24"/>
        </w:rPr>
        <w:t>其他重要条款</w:t>
      </w:r>
    </w:p>
    <w:p w14:paraId="0B34EEC4">
      <w:pPr>
        <w:ind w:firstLine="420" w:firstLineChars="200"/>
        <w:rPr>
          <w:bCs/>
          <w:szCs w:val="21"/>
        </w:rPr>
      </w:pPr>
      <w:r>
        <w:rPr>
          <w:bCs/>
          <w:szCs w:val="21"/>
          <w:lang w:bidi="ar"/>
        </w:rPr>
        <w:t>1</w:t>
      </w:r>
      <w:r>
        <w:rPr>
          <w:rFonts w:hint="eastAsia" w:cs="宋体"/>
          <w:bCs/>
          <w:szCs w:val="21"/>
          <w:lang w:bidi="ar"/>
        </w:rPr>
        <w:t>、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14:paraId="4A276258">
      <w:pPr>
        <w:pStyle w:val="37"/>
        <w:spacing w:before="78" w:beforeLines="25" w:after="78" w:afterLines="25"/>
        <w:ind w:firstLine="392" w:firstLineChars="187"/>
        <w:rPr>
          <w:rFonts w:hint="eastAsia" w:ascii="宋体" w:hAnsi="宋体" w:cs="宋体"/>
          <w:szCs w:val="21"/>
        </w:rPr>
      </w:pPr>
      <w:r>
        <w:rPr>
          <w:bCs/>
          <w:sz w:val="21"/>
          <w:szCs w:val="21"/>
          <w:lang w:bidi="ar"/>
        </w:rPr>
        <w:t>2</w:t>
      </w:r>
      <w:r>
        <w:rPr>
          <w:rFonts w:hint="eastAsia" w:cs="宋体"/>
          <w:bCs/>
          <w:sz w:val="21"/>
          <w:szCs w:val="21"/>
          <w:lang w:bidi="ar"/>
        </w:rPr>
        <w:t>、投标人应充分了解项目的位置、情况、道路及任何其它足以影响投标报价的情况，任何因忽视或误解项目情况而导致的索赔或服务期限延长申请将不获批准。</w:t>
      </w:r>
    </w:p>
    <w:p w14:paraId="5CDBDDA3">
      <w:pPr>
        <w:ind w:firstLine="420" w:firstLineChars="200"/>
        <w:rPr>
          <w:bCs/>
          <w:szCs w:val="21"/>
        </w:rPr>
      </w:pPr>
      <w:r>
        <w:rPr>
          <w:bCs/>
          <w:szCs w:val="21"/>
          <w:lang w:bidi="ar"/>
        </w:rPr>
        <w:t>3</w:t>
      </w:r>
      <w:r>
        <w:rPr>
          <w:rFonts w:hint="eastAsia" w:cs="宋体"/>
          <w:bCs/>
          <w:szCs w:val="21"/>
          <w:lang w:bidi="ar"/>
        </w:rPr>
        <w:t>、投标人不得期望通过索赔等方式获取补偿，否则，除可能遭到拒绝外，还可能将被作为不良行为记录在案，并可能影响其以后参加政府采购的项目投标。各投标人在投标报价时，应充分考虑投标报价的风险。</w:t>
      </w:r>
    </w:p>
    <w:p w14:paraId="0C96E653">
      <w:pPr>
        <w:ind w:firstLine="420" w:firstLineChars="200"/>
        <w:rPr>
          <w:bCs/>
          <w:szCs w:val="21"/>
        </w:rPr>
      </w:pPr>
      <w:r>
        <w:rPr>
          <w:bCs/>
          <w:szCs w:val="21"/>
          <w:lang w:bidi="ar"/>
        </w:rPr>
        <w:t>4</w:t>
      </w:r>
      <w:r>
        <w:rPr>
          <w:rFonts w:hint="eastAsia" w:cs="宋体"/>
          <w:bCs/>
          <w:szCs w:val="21"/>
          <w:lang w:bidi="ar"/>
        </w:rPr>
        <w:t>、除采购合同继续履行将损害国家利益和社会公共利益外，双方当事人不得擅自变更、中止或者终止合同。</w:t>
      </w:r>
    </w:p>
    <w:p w14:paraId="1298B8BC">
      <w:pPr>
        <w:ind w:firstLine="420" w:firstLineChars="200"/>
        <w:rPr>
          <w:bCs/>
          <w:szCs w:val="21"/>
        </w:rPr>
      </w:pPr>
      <w:r>
        <w:rPr>
          <w:bCs/>
          <w:szCs w:val="21"/>
          <w:lang w:bidi="ar"/>
        </w:rPr>
        <w:t>5</w:t>
      </w:r>
      <w:r>
        <w:rPr>
          <w:rFonts w:hint="eastAsia" w:cs="宋体"/>
          <w:bCs/>
          <w:szCs w:val="21"/>
          <w:lang w:bidi="ar"/>
        </w:rPr>
        <w:t>、“信用中国”中“信用服务”栏的“重大税收违法失信主体”“失信被执行人”，“中国政府采购网”中的“政府采购严重违法失信行为记录名单”，以及“深圳市政府采购监管网”为供应商信用信息的查询渠道，相关信息以开标当日的查询结果为准。</w:t>
      </w:r>
    </w:p>
    <w:p w14:paraId="780BF93E">
      <w:r>
        <w:rPr>
          <w:lang w:bidi="ar"/>
        </w:rPr>
        <w:br w:type="page"/>
      </w:r>
    </w:p>
    <w:p w14:paraId="54484D2C">
      <w:pPr>
        <w:pStyle w:val="3"/>
        <w:rPr>
          <w:rFonts w:hint="eastAsia"/>
          <w:sz w:val="28"/>
          <w:szCs w:val="28"/>
        </w:rPr>
      </w:pPr>
      <w:r>
        <w:rPr>
          <w:rFonts w:hint="eastAsia"/>
          <w:sz w:val="28"/>
          <w:szCs w:val="28"/>
        </w:rPr>
        <w:t>第四章 投标文件组成要求及格式</w:t>
      </w:r>
    </w:p>
    <w:p w14:paraId="5338D64C">
      <w:pPr>
        <w:rPr>
          <w:rStyle w:val="64"/>
          <w:sz w:val="24"/>
        </w:rPr>
      </w:pPr>
      <w:r>
        <w:rPr>
          <w:rStyle w:val="64"/>
          <w:rFonts w:hint="eastAsia"/>
          <w:sz w:val="24"/>
        </w:rPr>
        <w:t>特别提醒：</w:t>
      </w:r>
    </w:p>
    <w:p w14:paraId="580D22C1">
      <w:pPr>
        <w:tabs>
          <w:tab w:val="left" w:pos="1470"/>
        </w:tabs>
        <w:snapToGrid w:val="0"/>
        <w:spacing w:line="320" w:lineRule="atLeast"/>
        <w:ind w:firstLine="482" w:firstLineChars="200"/>
        <w:rPr>
          <w:rFonts w:hint="eastAsia" w:ascii="宋体" w:hAnsi="宋体" w:cs="宋体"/>
          <w:b/>
          <w:color w:val="FF0000"/>
          <w:sz w:val="24"/>
          <w:highlight w:val="cyan"/>
        </w:rPr>
      </w:pPr>
      <w:r>
        <w:rPr>
          <w:rFonts w:hint="eastAsia" w:ascii="宋体" w:hAnsi="宋体" w:cs="宋体"/>
          <w:b/>
          <w:color w:val="FF0000"/>
          <w:sz w:val="24"/>
          <w:highlight w:val="cyan"/>
        </w:rPr>
        <w:t>1.投标人在编辑投标文件时，在投标文件目录中属于本节点内容的需在对应节点中填写，填写到其他节点后果由供应商自行承担。</w:t>
      </w:r>
    </w:p>
    <w:p w14:paraId="4F5D28FA">
      <w:pPr>
        <w:tabs>
          <w:tab w:val="left" w:pos="1470"/>
        </w:tabs>
        <w:snapToGrid w:val="0"/>
        <w:spacing w:line="320" w:lineRule="atLeast"/>
        <w:ind w:firstLine="482" w:firstLineChars="200"/>
        <w:rPr>
          <w:rFonts w:hint="eastAsia" w:ascii="宋体" w:hAnsi="宋体" w:cs="宋体"/>
          <w:b/>
          <w:color w:val="FF0000"/>
          <w:sz w:val="24"/>
          <w:highlight w:val="cyan"/>
        </w:rPr>
      </w:pPr>
      <w:r>
        <w:rPr>
          <w:rFonts w:hint="eastAsia" w:ascii="宋体" w:hAnsi="宋体" w:cs="宋体"/>
          <w:b/>
          <w:color w:val="FF0000"/>
          <w:sz w:val="24"/>
          <w:highlight w:val="cyan"/>
        </w:rPr>
        <w:t>2.投标文件均不对外公开。</w:t>
      </w:r>
    </w:p>
    <w:p w14:paraId="4488388D">
      <w:pPr>
        <w:tabs>
          <w:tab w:val="left" w:pos="1470"/>
        </w:tabs>
        <w:snapToGrid w:val="0"/>
        <w:spacing w:line="320" w:lineRule="atLeast"/>
        <w:ind w:firstLine="482" w:firstLineChars="200"/>
        <w:rPr>
          <w:rFonts w:hint="eastAsia" w:ascii="宋体" w:hAnsi="宋体" w:cs="宋体"/>
          <w:b/>
          <w:color w:val="FF0000"/>
          <w:sz w:val="24"/>
        </w:rPr>
      </w:pPr>
    </w:p>
    <w:p w14:paraId="15BF34F0">
      <w:pPr>
        <w:rPr>
          <w:rFonts w:hint="eastAsia" w:ascii="宋体" w:hAnsi="宋体"/>
          <w:b/>
          <w:bCs/>
          <w:sz w:val="24"/>
        </w:rPr>
      </w:pPr>
      <w:r>
        <w:rPr>
          <w:rFonts w:hint="eastAsia" w:ascii="宋体" w:hAnsi="宋体"/>
          <w:b/>
          <w:bCs/>
          <w:sz w:val="24"/>
        </w:rPr>
        <w:t>投标文件组成：</w:t>
      </w:r>
    </w:p>
    <w:p w14:paraId="3A757679">
      <w:pPr>
        <w:ind w:firstLine="480" w:firstLineChars="200"/>
        <w:outlineLvl w:val="0"/>
        <w:rPr>
          <w:rFonts w:hint="eastAsia" w:ascii="宋体" w:hAnsi="宋体"/>
          <w:sz w:val="24"/>
        </w:rPr>
      </w:pPr>
      <w:r>
        <w:rPr>
          <w:rFonts w:hint="eastAsia" w:ascii="宋体" w:hAnsi="宋体"/>
          <w:sz w:val="24"/>
        </w:rPr>
        <w:t>投标文件主要包括以下内容：</w:t>
      </w:r>
    </w:p>
    <w:p w14:paraId="33150146">
      <w:pPr>
        <w:ind w:firstLine="840" w:firstLineChars="400"/>
        <w:rPr>
          <w:szCs w:val="21"/>
        </w:rPr>
      </w:pPr>
      <w:r>
        <w:rPr>
          <w:rFonts w:hint="eastAsia"/>
          <w:szCs w:val="21"/>
        </w:rPr>
        <w:t>（1）</w:t>
      </w:r>
      <w:bookmarkStart w:id="36" w:name="_Hlk72070784"/>
      <w:r>
        <w:rPr>
          <w:rFonts w:hint="eastAsia"/>
          <w:szCs w:val="21"/>
        </w:rPr>
        <w:t>投标函</w:t>
      </w:r>
      <w:bookmarkEnd w:id="36"/>
    </w:p>
    <w:p w14:paraId="51AEA827">
      <w:pPr>
        <w:ind w:firstLine="840" w:firstLineChars="400"/>
        <w:rPr>
          <w:szCs w:val="21"/>
        </w:rPr>
      </w:pPr>
      <w:r>
        <w:rPr>
          <w:rFonts w:hint="eastAsia"/>
          <w:szCs w:val="21"/>
        </w:rPr>
        <w:t>（2）采购投标及履约承诺函</w:t>
      </w:r>
    </w:p>
    <w:p w14:paraId="2230A8C3">
      <w:pPr>
        <w:ind w:firstLine="840" w:firstLineChars="400"/>
        <w:rPr>
          <w:szCs w:val="21"/>
        </w:rPr>
      </w:pPr>
      <w:r>
        <w:rPr>
          <w:rFonts w:hint="eastAsia"/>
          <w:szCs w:val="21"/>
        </w:rPr>
        <w:t>（</w:t>
      </w:r>
      <w:r>
        <w:rPr>
          <w:szCs w:val="21"/>
        </w:rPr>
        <w:t>3</w:t>
      </w:r>
      <w:r>
        <w:rPr>
          <w:rFonts w:hint="eastAsia"/>
          <w:szCs w:val="21"/>
        </w:rPr>
        <w:t>）投标人情况及资格证明文件</w:t>
      </w:r>
    </w:p>
    <w:p w14:paraId="04501D89">
      <w:pPr>
        <w:ind w:firstLine="840" w:firstLineChars="400"/>
        <w:rPr>
          <w:szCs w:val="21"/>
        </w:rPr>
      </w:pPr>
      <w:bookmarkStart w:id="37" w:name="_Hlk72257201"/>
      <w:r>
        <w:rPr>
          <w:rFonts w:hint="eastAsia"/>
          <w:szCs w:val="21"/>
        </w:rPr>
        <w:t>（</w:t>
      </w:r>
      <w:r>
        <w:rPr>
          <w:szCs w:val="21"/>
        </w:rPr>
        <w:t>4</w:t>
      </w:r>
      <w:r>
        <w:rPr>
          <w:rFonts w:hint="eastAsia"/>
          <w:szCs w:val="21"/>
        </w:rPr>
        <w:t>）项目详细报价</w:t>
      </w:r>
    </w:p>
    <w:bookmarkEnd w:id="37"/>
    <w:p w14:paraId="47E72E93">
      <w:pPr>
        <w:ind w:firstLine="840" w:firstLineChars="400"/>
        <w:rPr>
          <w:szCs w:val="21"/>
          <w:highlight w:val="yellow"/>
        </w:rPr>
      </w:pPr>
      <w:r>
        <w:rPr>
          <w:rFonts w:hint="eastAsia"/>
          <w:szCs w:val="21"/>
          <w:highlight w:val="yellow"/>
        </w:rPr>
        <w:t>（5）供应商基本情况表</w:t>
      </w:r>
      <w:r>
        <w:rPr>
          <w:rFonts w:hint="eastAsia"/>
        </w:rPr>
        <w:t>（须加盖投标单位公章）</w:t>
      </w:r>
    </w:p>
    <w:p w14:paraId="52FCF7FE">
      <w:pPr>
        <w:ind w:firstLine="840" w:firstLineChars="400"/>
        <w:rPr>
          <w:szCs w:val="21"/>
        </w:rPr>
      </w:pPr>
      <w:r>
        <w:rPr>
          <w:rFonts w:hint="eastAsia"/>
          <w:szCs w:val="21"/>
        </w:rPr>
        <w:t>（6）法定代表人（负责人）证明书</w:t>
      </w:r>
    </w:p>
    <w:p w14:paraId="292B1BC7">
      <w:pPr>
        <w:ind w:firstLine="840" w:firstLineChars="400"/>
        <w:rPr>
          <w:szCs w:val="21"/>
        </w:rPr>
      </w:pPr>
      <w:r>
        <w:rPr>
          <w:rFonts w:hint="eastAsia"/>
          <w:szCs w:val="21"/>
        </w:rPr>
        <w:t>（7）投标文件签署授权委托书</w:t>
      </w:r>
    </w:p>
    <w:p w14:paraId="1701087D">
      <w:pPr>
        <w:ind w:firstLine="840" w:firstLineChars="400"/>
        <w:rPr>
          <w:szCs w:val="21"/>
        </w:rPr>
      </w:pPr>
      <w:r>
        <w:rPr>
          <w:rFonts w:hint="eastAsia"/>
          <w:szCs w:val="21"/>
        </w:rPr>
        <w:t>（8）实质性条款响应情况表</w:t>
      </w:r>
    </w:p>
    <w:p w14:paraId="35341591">
      <w:pPr>
        <w:ind w:firstLine="840" w:firstLineChars="400"/>
        <w:rPr>
          <w:szCs w:val="21"/>
        </w:rPr>
      </w:pPr>
      <w:r>
        <w:rPr>
          <w:rFonts w:hint="eastAsia"/>
          <w:szCs w:val="21"/>
        </w:rPr>
        <w:t>（9）</w:t>
      </w:r>
      <w:r>
        <w:rPr>
          <w:rFonts w:hint="eastAsia" w:ascii="宋体" w:hAnsi="宋体"/>
          <w:color w:val="000000" w:themeColor="text1"/>
          <w:szCs w:val="21"/>
          <w14:textFill>
            <w14:solidFill>
              <w14:schemeClr w14:val="tx1"/>
            </w14:solidFill>
          </w14:textFill>
        </w:rPr>
        <w:t>研学旅行课程线路设计方案</w:t>
      </w:r>
      <w:r>
        <w:rPr>
          <w:rFonts w:hint="eastAsia"/>
          <w:szCs w:val="21"/>
        </w:rPr>
        <w:t>（格式自定）</w:t>
      </w:r>
    </w:p>
    <w:p w14:paraId="4E2B762C">
      <w:pPr>
        <w:ind w:firstLine="840" w:firstLineChars="400"/>
        <w:rPr>
          <w:szCs w:val="21"/>
        </w:rPr>
      </w:pPr>
      <w:r>
        <w:rPr>
          <w:rFonts w:hint="eastAsia"/>
          <w:szCs w:val="21"/>
        </w:rPr>
        <w:t>（10）</w:t>
      </w:r>
      <w:r>
        <w:rPr>
          <w:rFonts w:hint="eastAsia" w:ascii="宋体" w:hAnsi="宋体"/>
          <w:szCs w:val="21"/>
        </w:rPr>
        <w:t>服务保障措施</w:t>
      </w:r>
      <w:r>
        <w:rPr>
          <w:rFonts w:hint="eastAsia"/>
          <w:szCs w:val="21"/>
        </w:rPr>
        <w:t>（格式自定）</w:t>
      </w:r>
    </w:p>
    <w:p w14:paraId="08F517E5">
      <w:pPr>
        <w:ind w:firstLine="840" w:firstLineChars="400"/>
        <w:rPr>
          <w:szCs w:val="21"/>
        </w:rPr>
      </w:pPr>
      <w:r>
        <w:rPr>
          <w:rFonts w:hint="eastAsia"/>
          <w:szCs w:val="21"/>
        </w:rPr>
        <w:t>（11）</w:t>
      </w:r>
      <w:r>
        <w:rPr>
          <w:rFonts w:hint="eastAsia" w:ascii="宋体" w:hAnsi="宋体" w:cs="宋体"/>
          <w:szCs w:val="21"/>
        </w:rPr>
        <w:t>应急安全预案</w:t>
      </w:r>
      <w:r>
        <w:rPr>
          <w:rFonts w:hint="eastAsia"/>
          <w:szCs w:val="21"/>
        </w:rPr>
        <w:t>（格式自定）</w:t>
      </w:r>
    </w:p>
    <w:p w14:paraId="1D33DE54">
      <w:pPr>
        <w:ind w:firstLine="840" w:firstLineChars="400"/>
        <w:rPr>
          <w:szCs w:val="21"/>
        </w:rPr>
      </w:pPr>
      <w:r>
        <w:rPr>
          <w:rFonts w:hint="eastAsia"/>
          <w:szCs w:val="21"/>
        </w:rPr>
        <w:t>（12）</w:t>
      </w:r>
      <w:r>
        <w:rPr>
          <w:rFonts w:hint="eastAsia" w:ascii="宋体" w:hAnsi="宋体"/>
          <w:szCs w:val="21"/>
        </w:rPr>
        <w:t>供应商同类项目业绩情况</w:t>
      </w:r>
      <w:r>
        <w:rPr>
          <w:rFonts w:hint="eastAsia"/>
          <w:szCs w:val="21"/>
        </w:rPr>
        <w:t>（格式自定）</w:t>
      </w:r>
    </w:p>
    <w:p w14:paraId="2351948A">
      <w:pPr>
        <w:ind w:firstLine="840" w:firstLineChars="400"/>
        <w:rPr>
          <w:rFonts w:ascii="仿宋_GB2312" w:eastAsia="仿宋_GB2312"/>
          <w:sz w:val="24"/>
        </w:rPr>
      </w:pPr>
      <w:r>
        <w:rPr>
          <w:rFonts w:hint="eastAsia"/>
          <w:szCs w:val="21"/>
        </w:rPr>
        <w:t>（13）投标人认为需要加以说明的其他内容</w:t>
      </w:r>
    </w:p>
    <w:p w14:paraId="313EF100">
      <w:pPr>
        <w:ind w:firstLine="426" w:firstLineChars="202"/>
        <w:rPr>
          <w:rFonts w:hint="eastAsia" w:ascii="宋体" w:hAnsi="宋体"/>
          <w:b/>
          <w:szCs w:val="21"/>
        </w:rPr>
      </w:pPr>
    </w:p>
    <w:p w14:paraId="7EA51B8C">
      <w:pPr>
        <w:ind w:firstLine="426" w:firstLineChars="202"/>
        <w:rPr>
          <w:rFonts w:hint="eastAsia" w:ascii="宋体" w:hAnsi="宋体"/>
          <w:b/>
          <w:szCs w:val="21"/>
        </w:rPr>
      </w:pPr>
      <w:r>
        <w:rPr>
          <w:rFonts w:hint="eastAsia" w:ascii="宋体" w:hAnsi="宋体"/>
          <w:b/>
          <w:szCs w:val="21"/>
        </w:rPr>
        <w:t>备注：1.本项目为网上电子投标项目，投标文件不需法人或授权委托人另行签字，无需加盖单位公章，招标文件专用条款另有规定的除外。</w:t>
      </w:r>
    </w:p>
    <w:p w14:paraId="10FDC47E">
      <w:pPr>
        <w:ind w:firstLine="426" w:firstLineChars="202"/>
        <w:rPr>
          <w:rFonts w:hint="eastAsia" w:ascii="宋体" w:hAnsi="宋体"/>
          <w:b/>
          <w:szCs w:val="21"/>
        </w:rPr>
      </w:pPr>
      <w:r>
        <w:rPr>
          <w:rFonts w:hint="eastAsia" w:ascii="宋体" w:hAnsi="宋体"/>
          <w:b/>
          <w:szCs w:val="21"/>
        </w:rPr>
        <w:t>2.关于填写“开标一览表”的说明：“开标一览表”中除“投标报价”外，其他信息不作评审依据。</w:t>
      </w:r>
    </w:p>
    <w:p w14:paraId="2465464C">
      <w:pPr>
        <w:jc w:val="left"/>
        <w:rPr>
          <w:rFonts w:hint="eastAsia" w:ascii="宋体" w:hAnsi="宋体"/>
          <w:b/>
          <w:color w:val="FF0000"/>
          <w:sz w:val="36"/>
          <w:szCs w:val="36"/>
        </w:rPr>
      </w:pPr>
      <w:r>
        <w:rPr>
          <w:rFonts w:hint="eastAsia" w:ascii="宋体" w:hAnsi="宋体"/>
          <w:b/>
          <w:color w:val="FF0000"/>
          <w:sz w:val="36"/>
          <w:szCs w:val="36"/>
        </w:rPr>
        <w:br w:type="page"/>
      </w:r>
    </w:p>
    <w:p w14:paraId="3C016FAF">
      <w:pPr>
        <w:outlineLvl w:val="1"/>
        <w:rPr>
          <w:rFonts w:hint="eastAsia" w:ascii="宋体" w:hAnsi="宋体"/>
          <w:b/>
          <w:color w:val="FF0000"/>
          <w:sz w:val="28"/>
          <w:szCs w:val="28"/>
        </w:rPr>
      </w:pPr>
      <w:r>
        <w:rPr>
          <w:rFonts w:hint="eastAsia" w:ascii="宋体" w:hAnsi="宋体"/>
          <w:b/>
          <w:color w:val="FF0000"/>
          <w:sz w:val="28"/>
          <w:szCs w:val="28"/>
        </w:rPr>
        <w:t>投标文件</w:t>
      </w:r>
    </w:p>
    <w:p w14:paraId="1E085B11">
      <w:pPr>
        <w:pStyle w:val="4"/>
        <w:jc w:val="center"/>
        <w:rPr>
          <w:rFonts w:hint="eastAsia" w:ascii="黑体" w:eastAsia="黑体"/>
          <w:b w:val="0"/>
          <w:kern w:val="0"/>
          <w:sz w:val="24"/>
        </w:rPr>
      </w:pPr>
      <w:r>
        <w:rPr>
          <w:rFonts w:hint="eastAsia" w:ascii="黑体" w:eastAsia="黑体"/>
          <w:b w:val="0"/>
          <w:kern w:val="0"/>
          <w:sz w:val="24"/>
        </w:rPr>
        <w:t>一、投标函</w:t>
      </w:r>
    </w:p>
    <w:p w14:paraId="030B99D3">
      <w:pPr>
        <w:spacing w:line="360" w:lineRule="auto"/>
        <w:rPr>
          <w:rFonts w:hint="eastAsia" w:ascii="宋体" w:hAnsi="宋体"/>
          <w:color w:val="000000" w:themeColor="text1"/>
          <w:szCs w:val="21"/>
          <w14:textFill>
            <w14:solidFill>
              <w14:schemeClr w14:val="tx1"/>
            </w14:solidFill>
          </w14:textFill>
        </w:rPr>
      </w:pPr>
      <w:r>
        <w:rPr>
          <w:rFonts w:hint="eastAsia" w:ascii="宋体" w:hAnsi="宋体"/>
          <w:szCs w:val="21"/>
        </w:rPr>
        <w:t>致：</w:t>
      </w:r>
      <w:r>
        <w:rPr>
          <w:rFonts w:hint="eastAsia" w:ascii="宋体" w:hAnsi="宋体"/>
          <w:color w:val="000000" w:themeColor="text1"/>
          <w:szCs w:val="21"/>
          <w:highlight w:val="cyan"/>
          <w:u w:val="single"/>
          <w14:textFill>
            <w14:solidFill>
              <w14:schemeClr w14:val="tx1"/>
            </w14:solidFill>
          </w14:textFill>
        </w:rPr>
        <w:t>深圳公共资源交易中心（深圳交易集团有限公司政府采购业务分公司）</w:t>
      </w:r>
    </w:p>
    <w:p w14:paraId="75469F48">
      <w:pPr>
        <w:ind w:firstLine="420" w:firstLineChars="200"/>
        <w:rPr>
          <w:rFonts w:hint="eastAsia" w:ascii="宋体" w:hAnsi="宋体"/>
          <w:szCs w:val="21"/>
        </w:rPr>
      </w:pPr>
      <w:bookmarkStart w:id="38" w:name="_Hlk73818812"/>
      <w:r>
        <w:rPr>
          <w:rFonts w:hint="eastAsia"/>
          <w:szCs w:val="21"/>
        </w:rPr>
        <w:t>1、根据已收到贵单位的项目编号为</w:t>
      </w:r>
      <w:r>
        <w:rPr>
          <w:szCs w:val="21"/>
          <w:u w:val="single"/>
        </w:rPr>
        <w:t xml:space="preserve">   </w:t>
      </w:r>
      <w:r>
        <w:rPr>
          <w:rFonts w:hint="eastAsia"/>
          <w:szCs w:val="21"/>
          <w:u w:val="single"/>
        </w:rPr>
        <w:t xml:space="preserve">      </w:t>
      </w:r>
      <w:r>
        <w:rPr>
          <w:rFonts w:hint="eastAsia"/>
          <w:szCs w:val="21"/>
        </w:rPr>
        <w:t>的</w:t>
      </w:r>
      <w:r>
        <w:rPr>
          <w:rFonts w:hint="eastAsia"/>
          <w:szCs w:val="21"/>
          <w:u w:val="single"/>
        </w:rPr>
        <w:t xml:space="preserve"> </w:t>
      </w:r>
      <w:r>
        <w:rPr>
          <w:rFonts w:hint="eastAsia"/>
          <w:szCs w:val="21"/>
          <w:u w:val="single"/>
          <w:lang w:bidi="ar"/>
        </w:rPr>
        <w:t xml:space="preserve">      （项目名称）</w:t>
      </w:r>
      <w:r>
        <w:rPr>
          <w:szCs w:val="21"/>
          <w:u w:val="single"/>
          <w:lang w:bidi="ar"/>
        </w:rPr>
        <w:t xml:space="preserve"> </w:t>
      </w:r>
      <w:r>
        <w:rPr>
          <w:rFonts w:hint="eastAsia"/>
          <w:szCs w:val="21"/>
          <w:u w:val="single"/>
          <w:lang w:bidi="ar"/>
        </w:rPr>
        <w:t xml:space="preserve">         </w:t>
      </w:r>
      <w:r>
        <w:rPr>
          <w:rFonts w:hint="eastAsia"/>
          <w:szCs w:val="21"/>
        </w:rPr>
        <w:t>项目的招标文件，遵照《深圳经济特区政府采购条例》和《深圳网上政府采购管理暂行办法》等有关规定，我单位经研究上述招标文件的专用条款及通用条款后，</w:t>
      </w:r>
      <w:bookmarkStart w:id="39" w:name="_Hlk72263588"/>
      <w:r>
        <w:rPr>
          <w:rFonts w:hint="eastAsia"/>
          <w:szCs w:val="21"/>
        </w:rPr>
        <w:t>愿意按照招标文件要求承包上述项目并修补其任何缺陷。</w:t>
      </w:r>
      <w:bookmarkEnd w:id="39"/>
    </w:p>
    <w:p w14:paraId="26524553">
      <w:pPr>
        <w:ind w:firstLine="420" w:firstLineChars="200"/>
        <w:rPr>
          <w:rFonts w:hint="eastAsia" w:ascii="宋体" w:hAnsi="宋体"/>
          <w:szCs w:val="21"/>
        </w:rPr>
      </w:pPr>
      <w:r>
        <w:rPr>
          <w:rFonts w:ascii="宋体" w:hAnsi="宋体"/>
          <w:szCs w:val="21"/>
        </w:rPr>
        <w:t>2</w:t>
      </w:r>
      <w:r>
        <w:rPr>
          <w:rFonts w:hint="eastAsia" w:ascii="宋体" w:hAnsi="宋体"/>
          <w:szCs w:val="21"/>
        </w:rPr>
        <w:t>、投标价格见</w:t>
      </w:r>
      <w:r>
        <w:rPr>
          <w:rFonts w:hint="eastAsia"/>
          <w:szCs w:val="21"/>
        </w:rPr>
        <w:t>投标书编制软件中《开标一览表》中填写的投标报价。</w:t>
      </w:r>
    </w:p>
    <w:p w14:paraId="69159054">
      <w:pPr>
        <w:ind w:firstLine="420" w:firstLineChars="200"/>
        <w:rPr>
          <w:rFonts w:hint="eastAsia" w:ascii="宋体" w:hAnsi="宋体"/>
          <w:szCs w:val="21"/>
        </w:rPr>
      </w:pPr>
      <w:r>
        <w:rPr>
          <w:rFonts w:hint="eastAsia" w:ascii="宋体" w:hAnsi="宋体"/>
          <w:szCs w:val="21"/>
        </w:rPr>
        <w:t>3、如果我单位中标，我单位将按照招标文件的要求提交履约担保。</w:t>
      </w:r>
    </w:p>
    <w:p w14:paraId="25750B6D">
      <w:pPr>
        <w:ind w:firstLine="420" w:firstLineChars="200"/>
        <w:rPr>
          <w:rFonts w:hint="eastAsia" w:ascii="宋体" w:hAnsi="宋体"/>
          <w:szCs w:val="21"/>
        </w:rPr>
      </w:pPr>
      <w:r>
        <w:rPr>
          <w:rFonts w:hint="eastAsia" w:ascii="宋体" w:hAnsi="宋体"/>
          <w:szCs w:val="21"/>
        </w:rPr>
        <w:t>4、我单位同意所递交的投标文件在“对通用条款的补充内容”中明确的投标有效期内有效，在此期间内我单位的投标有可能中标，我方将受此约束。</w:t>
      </w:r>
    </w:p>
    <w:p w14:paraId="27FABDB7">
      <w:pPr>
        <w:ind w:firstLine="420" w:firstLineChars="200"/>
        <w:rPr>
          <w:rFonts w:hint="eastAsia" w:ascii="宋体" w:hAnsi="宋体"/>
          <w:szCs w:val="21"/>
        </w:rPr>
      </w:pPr>
      <w:r>
        <w:rPr>
          <w:rFonts w:hint="eastAsia" w:ascii="宋体" w:hAnsi="宋体"/>
          <w:szCs w:val="21"/>
        </w:rPr>
        <w:t>5、除非另外达成协议并生效，贵单位的中标通知书和本投标文件将构成合同的重要内容。</w:t>
      </w:r>
    </w:p>
    <w:p w14:paraId="0C688C16">
      <w:pPr>
        <w:ind w:left="525" w:leftChars="200" w:hanging="105" w:hangingChars="50"/>
        <w:rPr>
          <w:rFonts w:hint="eastAsia" w:ascii="宋体" w:hAnsi="宋体"/>
          <w:szCs w:val="21"/>
        </w:rPr>
      </w:pPr>
      <w:r>
        <w:rPr>
          <w:rFonts w:hint="eastAsia" w:ascii="宋体" w:hAnsi="宋体"/>
          <w:szCs w:val="21"/>
        </w:rPr>
        <w:t>6、我单位理解贵单位将不受必须接受所收到的最低报价或其它任何投标文件的约束。</w:t>
      </w:r>
      <w:bookmarkEnd w:id="38"/>
    </w:p>
    <w:p w14:paraId="05539E83">
      <w:pPr>
        <w:ind w:firstLine="420" w:firstLineChars="200"/>
        <w:rPr>
          <w:rFonts w:hint="eastAsia" w:ascii="宋体" w:hAnsi="宋体"/>
          <w:szCs w:val="21"/>
        </w:rPr>
      </w:pPr>
      <w:r>
        <w:rPr>
          <w:rFonts w:hint="eastAsia" w:ascii="宋体" w:hAnsi="宋体"/>
          <w:szCs w:val="21"/>
        </w:rPr>
        <w:t>7、如我单位按项目要求提供样品，且未在规定时间内取回样品的，视同放弃取回，同意深圳公共资源交易中心（深圳交易集团有限公司政府采购业务分公司）对样品进行清理。</w:t>
      </w:r>
    </w:p>
    <w:p w14:paraId="0447190E">
      <w:pPr>
        <w:pStyle w:val="18"/>
      </w:pPr>
    </w:p>
    <w:p w14:paraId="4514BF29">
      <w:pPr>
        <w:ind w:left="420" w:leftChars="200" w:firstLine="210" w:firstLineChars="100"/>
        <w:rPr>
          <w:szCs w:val="21"/>
        </w:rPr>
      </w:pPr>
      <w:r>
        <w:rPr>
          <w:rFonts w:hint="eastAsia" w:cs="宋体"/>
          <w:szCs w:val="21"/>
          <w:lang w:bidi="ar"/>
        </w:rPr>
        <w:t>投标人：</w:t>
      </w:r>
      <w:r>
        <w:rPr>
          <w:szCs w:val="21"/>
          <w:u w:val="single"/>
          <w:lang w:bidi="ar"/>
        </w:rPr>
        <w:t xml:space="preserve">    </w:t>
      </w:r>
      <w:r>
        <w:rPr>
          <w:rFonts w:hint="eastAsia"/>
          <w:szCs w:val="21"/>
          <w:u w:val="single"/>
          <w:lang w:bidi="ar"/>
        </w:rPr>
        <w:t xml:space="preserve">        </w:t>
      </w:r>
      <w:r>
        <w:rPr>
          <w:szCs w:val="21"/>
          <w:u w:val="single"/>
          <w:lang w:bidi="ar"/>
        </w:rPr>
        <w:t xml:space="preserve">   </w:t>
      </w:r>
      <w:r>
        <w:rPr>
          <w:rFonts w:hint="eastAsia" w:cs="宋体"/>
          <w:szCs w:val="21"/>
          <w:lang w:bidi="ar"/>
        </w:rPr>
        <w:t>；单位地址：</w:t>
      </w:r>
      <w:r>
        <w:rPr>
          <w:szCs w:val="21"/>
          <w:u w:val="single"/>
          <w:lang w:bidi="ar"/>
        </w:rPr>
        <w:t xml:space="preserve">                    </w:t>
      </w:r>
      <w:r>
        <w:rPr>
          <w:rFonts w:hint="eastAsia" w:cs="宋体"/>
          <w:szCs w:val="21"/>
          <w:lang w:bidi="ar"/>
        </w:rPr>
        <w:t>；</w:t>
      </w:r>
    </w:p>
    <w:p w14:paraId="5B02077D">
      <w:pPr>
        <w:ind w:left="420" w:leftChars="200" w:firstLine="210" w:firstLineChars="100"/>
        <w:rPr>
          <w:szCs w:val="21"/>
        </w:rPr>
      </w:pPr>
      <w:r>
        <w:rPr>
          <w:rFonts w:hint="eastAsia" w:cs="宋体"/>
          <w:szCs w:val="21"/>
          <w:lang w:bidi="ar"/>
        </w:rPr>
        <w:t>法定代表人（负责人）或其授权委托代理人：</w:t>
      </w:r>
      <w:r>
        <w:rPr>
          <w:szCs w:val="21"/>
          <w:u w:val="single"/>
          <w:lang w:bidi="ar"/>
        </w:rPr>
        <w:t xml:space="preserve">      </w:t>
      </w:r>
      <w:r>
        <w:rPr>
          <w:rFonts w:hint="eastAsia"/>
          <w:szCs w:val="21"/>
          <w:u w:val="single"/>
          <w:lang w:bidi="ar"/>
        </w:rPr>
        <w:t xml:space="preserve">      </w:t>
      </w:r>
      <w:r>
        <w:rPr>
          <w:szCs w:val="21"/>
          <w:u w:val="single"/>
          <w:lang w:bidi="ar"/>
        </w:rPr>
        <w:t xml:space="preserve">   </w:t>
      </w:r>
      <w:r>
        <w:rPr>
          <w:rFonts w:hint="eastAsia" w:cs="宋体"/>
          <w:szCs w:val="21"/>
          <w:lang w:bidi="ar"/>
        </w:rPr>
        <w:t>；</w:t>
      </w:r>
    </w:p>
    <w:p w14:paraId="1703B939">
      <w:pPr>
        <w:ind w:left="420" w:leftChars="200" w:firstLine="210" w:firstLineChars="100"/>
        <w:rPr>
          <w:szCs w:val="21"/>
        </w:rPr>
      </w:pPr>
      <w:r>
        <w:rPr>
          <w:rFonts w:hint="eastAsia" w:cs="宋体"/>
          <w:szCs w:val="21"/>
          <w:lang w:bidi="ar"/>
        </w:rPr>
        <w:t>电话：</w:t>
      </w:r>
      <w:r>
        <w:rPr>
          <w:szCs w:val="21"/>
          <w:u w:val="single"/>
          <w:lang w:bidi="ar"/>
        </w:rPr>
        <w:t xml:space="preserve">     </w:t>
      </w:r>
      <w:r>
        <w:rPr>
          <w:rFonts w:hint="eastAsia"/>
          <w:szCs w:val="21"/>
          <w:u w:val="single"/>
          <w:lang w:bidi="ar"/>
        </w:rPr>
        <w:t xml:space="preserve">    </w:t>
      </w:r>
      <w:r>
        <w:rPr>
          <w:szCs w:val="21"/>
          <w:u w:val="single"/>
          <w:lang w:bidi="ar"/>
        </w:rPr>
        <w:t xml:space="preserve"> </w:t>
      </w:r>
      <w:r>
        <w:rPr>
          <w:rFonts w:hint="eastAsia"/>
          <w:szCs w:val="21"/>
          <w:u w:val="single"/>
          <w:lang w:bidi="ar"/>
        </w:rPr>
        <w:t xml:space="preserve">      </w:t>
      </w:r>
      <w:r>
        <w:rPr>
          <w:szCs w:val="21"/>
          <w:u w:val="single"/>
          <w:lang w:bidi="ar"/>
        </w:rPr>
        <w:t xml:space="preserve">   </w:t>
      </w:r>
      <w:r>
        <w:rPr>
          <w:szCs w:val="21"/>
          <w:lang w:bidi="ar"/>
        </w:rPr>
        <w:t xml:space="preserve"> </w:t>
      </w:r>
    </w:p>
    <w:p w14:paraId="47C2C966">
      <w:pPr>
        <w:widowControl/>
        <w:ind w:firstLine="630" w:firstLineChars="300"/>
        <w:jc w:val="left"/>
      </w:pPr>
      <w:r>
        <w:rPr>
          <w:rFonts w:hint="eastAsia" w:ascii="宋体" w:hAnsi="宋体"/>
          <w:szCs w:val="21"/>
          <w:lang w:bidi="ar"/>
        </w:rPr>
        <w:t>日期：</w:t>
      </w:r>
      <w:r>
        <w:rPr>
          <w:rFonts w:hint="eastAsia" w:ascii="宋体" w:hAnsi="宋体"/>
          <w:szCs w:val="21"/>
          <w:u w:val="single"/>
          <w:lang w:bidi="ar"/>
        </w:rPr>
        <w:t xml:space="preserve">       </w:t>
      </w:r>
      <w:r>
        <w:rPr>
          <w:rFonts w:hint="eastAsia" w:ascii="宋体" w:hAnsi="宋体"/>
          <w:szCs w:val="21"/>
          <w:lang w:bidi="ar"/>
        </w:rPr>
        <w:t>年</w:t>
      </w:r>
      <w:r>
        <w:rPr>
          <w:rFonts w:hint="eastAsia" w:ascii="宋体" w:hAnsi="宋体"/>
          <w:szCs w:val="21"/>
          <w:u w:val="single"/>
          <w:lang w:bidi="ar"/>
        </w:rPr>
        <w:t xml:space="preserve">     </w:t>
      </w:r>
      <w:r>
        <w:rPr>
          <w:rFonts w:hint="eastAsia" w:ascii="宋体" w:hAnsi="宋体"/>
          <w:szCs w:val="21"/>
          <w:lang w:bidi="ar"/>
        </w:rPr>
        <w:t>月</w:t>
      </w:r>
      <w:r>
        <w:rPr>
          <w:rFonts w:hint="eastAsia" w:ascii="宋体" w:hAnsi="宋体"/>
          <w:szCs w:val="21"/>
          <w:u w:val="single"/>
          <w:lang w:bidi="ar"/>
        </w:rPr>
        <w:t xml:space="preserve">    </w:t>
      </w:r>
      <w:r>
        <w:rPr>
          <w:rFonts w:hint="eastAsia" w:ascii="宋体" w:hAnsi="宋体"/>
          <w:szCs w:val="21"/>
          <w:lang w:bidi="ar"/>
        </w:rPr>
        <w:t>日</w:t>
      </w:r>
    </w:p>
    <w:p w14:paraId="7DF28D54">
      <w:pPr>
        <w:rPr>
          <w:rFonts w:hint="eastAsia" w:ascii="黑体" w:hAnsi="宋体" w:eastAsia="黑体"/>
        </w:rPr>
      </w:pPr>
    </w:p>
    <w:p w14:paraId="3531CA9D">
      <w:pPr>
        <w:rPr>
          <w:rFonts w:hint="eastAsia" w:ascii="黑体" w:hAnsi="宋体" w:eastAsia="黑体"/>
        </w:rPr>
      </w:pPr>
    </w:p>
    <w:p w14:paraId="293B9F5C">
      <w:pPr>
        <w:widowControl/>
        <w:jc w:val="left"/>
        <w:rPr>
          <w:rFonts w:hint="eastAsia" w:ascii="黑体" w:hAnsi="宋体" w:eastAsia="黑体"/>
          <w:bCs/>
          <w:kern w:val="0"/>
          <w:sz w:val="24"/>
          <w:szCs w:val="32"/>
        </w:rPr>
      </w:pPr>
      <w:r>
        <w:rPr>
          <w:rFonts w:ascii="黑体" w:eastAsia="黑体"/>
          <w:b/>
          <w:kern w:val="0"/>
          <w:sz w:val="24"/>
        </w:rPr>
        <w:br w:type="page"/>
      </w:r>
    </w:p>
    <w:p w14:paraId="60A5885F">
      <w:pPr>
        <w:pStyle w:val="4"/>
        <w:jc w:val="center"/>
        <w:rPr>
          <w:rFonts w:hint="eastAsia" w:ascii="黑体" w:eastAsia="黑体"/>
          <w:b w:val="0"/>
          <w:kern w:val="0"/>
          <w:sz w:val="24"/>
        </w:rPr>
      </w:pPr>
      <w:r>
        <w:rPr>
          <w:rFonts w:hint="eastAsia" w:ascii="黑体" w:eastAsia="黑体"/>
          <w:b w:val="0"/>
          <w:kern w:val="0"/>
          <w:sz w:val="24"/>
        </w:rPr>
        <w:t>二、采购投标及履约承诺函</w:t>
      </w:r>
    </w:p>
    <w:p w14:paraId="5EA5809E">
      <w:pPr>
        <w:rPr>
          <w:rFonts w:hint="eastAsia" w:ascii="宋体" w:hAnsi="宋体" w:cs="宋体"/>
          <w:color w:val="FF0000"/>
          <w:szCs w:val="21"/>
        </w:rPr>
      </w:pPr>
      <w:r>
        <w:rPr>
          <w:rFonts w:hint="eastAsia" w:ascii="宋体" w:hAnsi="宋体" w:cs="宋体"/>
          <w:color w:val="FF0000"/>
          <w:szCs w:val="21"/>
          <w:lang w:bidi="ar"/>
        </w:rPr>
        <w:t>致：</w:t>
      </w:r>
      <w:r>
        <w:rPr>
          <w:rFonts w:hint="eastAsia" w:ascii="宋体" w:hAnsi="宋体" w:cs="宋体"/>
          <w:color w:val="FF0000"/>
          <w:szCs w:val="21"/>
          <w:highlight w:val="cyan"/>
          <w:lang w:bidi="ar"/>
        </w:rPr>
        <w:t>深圳公共资源交易中心（深圳交易集团有限公司政府采购业务分公司）</w:t>
      </w:r>
    </w:p>
    <w:p w14:paraId="6F840A70">
      <w:pPr>
        <w:ind w:right="-815" w:firstLine="420" w:firstLineChars="200"/>
        <w:rPr>
          <w:rFonts w:hint="eastAsia" w:ascii="宋体" w:hAnsi="宋体" w:cs="宋体"/>
          <w:szCs w:val="21"/>
        </w:rPr>
      </w:pPr>
      <w:r>
        <w:rPr>
          <w:rFonts w:hint="eastAsia" w:ascii="宋体" w:hAnsi="宋体" w:cs="宋体"/>
          <w:szCs w:val="21"/>
          <w:lang w:bidi="ar"/>
        </w:rPr>
        <w:t>我单位承诺：</w:t>
      </w:r>
    </w:p>
    <w:p w14:paraId="5C2773A7">
      <w:pPr>
        <w:ind w:firstLine="420" w:firstLineChars="200"/>
        <w:rPr>
          <w:rFonts w:hint="eastAsia" w:ascii="宋体" w:hAnsi="宋体" w:cs="宋体"/>
          <w:szCs w:val="21"/>
        </w:rPr>
      </w:pPr>
      <w:r>
        <w:rPr>
          <w:rFonts w:hint="eastAsia" w:ascii="宋体" w:hAnsi="宋体" w:cs="宋体"/>
          <w:szCs w:val="21"/>
          <w:lang w:bidi="ar"/>
        </w:rPr>
        <w:t>1.我单位参与本项目</w:t>
      </w:r>
      <w:r>
        <w:rPr>
          <w:rFonts w:hint="eastAsia" w:ascii="宋体" w:hAnsi="宋体" w:cs="宋体"/>
          <w:lang w:bidi="ar"/>
        </w:rPr>
        <w:t>所投标（响应）的货物、工程或服务，不存在侵犯知识产权的情况。</w:t>
      </w:r>
    </w:p>
    <w:p w14:paraId="7FF623BE">
      <w:pPr>
        <w:ind w:firstLine="420" w:firstLineChars="200"/>
        <w:rPr>
          <w:rFonts w:hint="eastAsia" w:ascii="宋体" w:hAnsi="宋体" w:cs="宋体"/>
          <w:szCs w:val="21"/>
        </w:rPr>
      </w:pPr>
      <w:r>
        <w:rPr>
          <w:rFonts w:hint="eastAsia" w:ascii="宋体" w:hAnsi="宋体" w:cs="宋体"/>
          <w:szCs w:val="21"/>
          <w:lang w:bidi="ar"/>
        </w:rPr>
        <w:t>2.我单位</w:t>
      </w:r>
      <w:r>
        <w:rPr>
          <w:rFonts w:hint="eastAsia" w:ascii="宋体" w:hAnsi="宋体" w:cs="宋体"/>
          <w:kern w:val="0"/>
          <w:szCs w:val="21"/>
        </w:rPr>
        <w:t>参与本项目采购活动时</w:t>
      </w:r>
      <w:r>
        <w:rPr>
          <w:rFonts w:hint="eastAsia" w:cs="宋体"/>
          <w:lang w:bidi="ar"/>
        </w:rPr>
        <w:t>不存在被有关部门禁止参与政府采购活动且在有效期内的情况。</w:t>
      </w:r>
      <w:r>
        <w:rPr>
          <w:rFonts w:hint="eastAsia"/>
          <w:highlight w:val="cyan"/>
        </w:rPr>
        <w:t>符合招标文件关于联合体及进口产品的相关资格要求。</w:t>
      </w:r>
    </w:p>
    <w:p w14:paraId="556D22B9">
      <w:pPr>
        <w:ind w:firstLine="420" w:firstLineChars="200"/>
        <w:rPr>
          <w:rFonts w:hint="eastAsia" w:ascii="宋体" w:hAnsi="宋体" w:cs="宋体"/>
          <w:szCs w:val="21"/>
        </w:rPr>
      </w:pPr>
      <w:r>
        <w:rPr>
          <w:rFonts w:hint="eastAsia" w:ascii="宋体" w:hAnsi="宋体" w:cs="宋体"/>
          <w:szCs w:val="21"/>
          <w:lang w:bidi="ar"/>
        </w:rPr>
        <w:t>3.我单位具备《中华人民共和国政府采购法》第二十二条第一款规定的六项条件。</w:t>
      </w:r>
    </w:p>
    <w:p w14:paraId="51FA628E">
      <w:pPr>
        <w:ind w:firstLine="420" w:firstLineChars="200"/>
      </w:pPr>
      <w:r>
        <w:rPr>
          <w:rFonts w:hint="eastAsia" w:ascii="宋体" w:hAnsi="宋体" w:cs="宋体"/>
          <w:szCs w:val="21"/>
          <w:lang w:bidi="ar"/>
        </w:rPr>
        <w:t>4.我单位</w:t>
      </w:r>
      <w:r>
        <w:rPr>
          <w:rFonts w:hint="eastAsia" w:cs="宋体"/>
          <w:lang w:bidi="ar"/>
        </w:rPr>
        <w:t>未被列入失信被执行人、重大税收违法案件当事人名单、政府采购严重违法失信行为记录名单。</w:t>
      </w:r>
    </w:p>
    <w:p w14:paraId="4612342B">
      <w:pPr>
        <w:ind w:firstLine="420" w:firstLineChars="200"/>
      </w:pPr>
      <w:r>
        <w:rPr>
          <w:color w:val="FF0000"/>
          <w:lang w:bidi="ar"/>
        </w:rPr>
        <w:t>5.</w:t>
      </w:r>
      <w:r>
        <w:rPr>
          <w:rFonts w:hint="eastAsia" w:cs="宋体"/>
          <w:color w:val="FF0000"/>
          <w:lang w:bidi="ar"/>
        </w:rPr>
        <w:t>我单位不存在《深圳市财政局政府采购供应商信用信息管理办法》（深财规〔</w:t>
      </w:r>
      <w:r>
        <w:rPr>
          <w:color w:val="FF0000"/>
          <w:lang w:bidi="ar"/>
        </w:rPr>
        <w:t>2023</w:t>
      </w:r>
      <w:r>
        <w:rPr>
          <w:rFonts w:hint="eastAsia" w:cs="宋体"/>
          <w:color w:val="FF0000"/>
          <w:lang w:bidi="ar"/>
        </w:rPr>
        <w:t>〕</w:t>
      </w:r>
      <w:r>
        <w:rPr>
          <w:color w:val="FF0000"/>
          <w:lang w:bidi="ar"/>
        </w:rPr>
        <w:t>3</w:t>
      </w:r>
      <w:r>
        <w:rPr>
          <w:rFonts w:hint="eastAsia" w:cs="宋体"/>
          <w:color w:val="FF0000"/>
          <w:lang w:bidi="ar"/>
        </w:rPr>
        <w:t>号）列明的严重违法失信行为。</w:t>
      </w:r>
    </w:p>
    <w:p w14:paraId="412D65E5">
      <w:pPr>
        <w:ind w:firstLine="420" w:firstLineChars="200"/>
        <w:rPr>
          <w:rFonts w:hint="eastAsia" w:ascii="宋体" w:hAnsi="宋体" w:cs="宋体"/>
          <w:szCs w:val="21"/>
        </w:rPr>
      </w:pPr>
      <w:r>
        <w:rPr>
          <w:rFonts w:hint="eastAsia" w:ascii="宋体" w:hAnsi="宋体" w:cs="宋体"/>
          <w:szCs w:val="21"/>
          <w:lang w:bidi="ar"/>
        </w:rPr>
        <w:t>6.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14:paraId="5F5C121B">
      <w:pPr>
        <w:ind w:firstLine="420" w:firstLineChars="200"/>
        <w:rPr>
          <w:rFonts w:hint="eastAsia" w:ascii="宋体" w:hAnsi="宋体" w:cs="宋体"/>
          <w:szCs w:val="21"/>
        </w:rPr>
      </w:pPr>
      <w:r>
        <w:rPr>
          <w:rFonts w:hint="eastAsia" w:ascii="宋体" w:hAnsi="宋体" w:cs="宋体"/>
          <w:szCs w:val="21"/>
          <w:lang w:bidi="ar"/>
        </w:rPr>
        <w:t>7.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14:paraId="2E64EB56">
      <w:pPr>
        <w:ind w:firstLine="420" w:firstLineChars="200"/>
        <w:rPr>
          <w:rFonts w:hint="eastAsia" w:ascii="宋体" w:hAnsi="宋体" w:cs="宋体"/>
          <w:szCs w:val="21"/>
        </w:rPr>
      </w:pPr>
      <w:r>
        <w:rPr>
          <w:rFonts w:hint="eastAsia" w:ascii="宋体" w:hAnsi="宋体" w:cs="宋体"/>
          <w:szCs w:val="21"/>
          <w:lang w:bidi="ar"/>
        </w:rPr>
        <w:t>我单位清楚，若以“报价太低而无法履约”为理由放弃本项目中标资格时，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14:paraId="481BB66E">
      <w:pPr>
        <w:ind w:firstLine="420" w:firstLineChars="200"/>
        <w:rPr>
          <w:rFonts w:hint="eastAsia" w:ascii="宋体" w:hAnsi="宋体" w:cs="宋体"/>
          <w:szCs w:val="21"/>
        </w:rPr>
      </w:pPr>
      <w:r>
        <w:rPr>
          <w:rFonts w:hint="eastAsia" w:ascii="宋体" w:hAnsi="宋体" w:cs="宋体"/>
          <w:szCs w:val="21"/>
          <w:lang w:bidi="ar"/>
        </w:rPr>
        <w:t>8.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14:paraId="243E74BF">
      <w:pPr>
        <w:ind w:firstLine="420" w:firstLineChars="200"/>
        <w:rPr>
          <w:rFonts w:hint="eastAsia" w:ascii="宋体" w:hAnsi="宋体" w:cs="宋体"/>
          <w:szCs w:val="21"/>
        </w:rPr>
      </w:pPr>
      <w:r>
        <w:rPr>
          <w:rFonts w:hint="eastAsia" w:ascii="宋体" w:hAnsi="宋体" w:cs="宋体"/>
          <w:szCs w:val="21"/>
          <w:lang w:bidi="ar"/>
        </w:rPr>
        <w:t>9.我单位承诺中标后项目不转包，未经采购人同意不进行分包。</w:t>
      </w:r>
    </w:p>
    <w:p w14:paraId="38739D4F">
      <w:pPr>
        <w:ind w:firstLine="420" w:firstLineChars="200"/>
        <w:rPr>
          <w:rFonts w:hint="eastAsia" w:ascii="宋体" w:hAnsi="宋体" w:cs="宋体"/>
        </w:rPr>
      </w:pPr>
      <w:r>
        <w:rPr>
          <w:rFonts w:hint="eastAsia" w:ascii="宋体" w:hAnsi="宋体" w:cs="宋体"/>
          <w:szCs w:val="21"/>
          <w:lang w:bidi="ar"/>
        </w:rPr>
        <w:t>10.</w:t>
      </w:r>
      <w:r>
        <w:rPr>
          <w:rFonts w:hint="eastAsia" w:ascii="宋体" w:hAnsi="宋体" w:cs="宋体"/>
          <w:lang w:bidi="ar"/>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14:paraId="0CA52C3A">
      <w:pPr>
        <w:ind w:firstLine="420" w:firstLineChars="200"/>
        <w:rPr>
          <w:rFonts w:hint="eastAsia" w:ascii="宋体" w:hAnsi="宋体" w:cs="宋体"/>
          <w:b/>
          <w:kern w:val="0"/>
          <w:szCs w:val="21"/>
        </w:rPr>
      </w:pPr>
      <w:r>
        <w:rPr>
          <w:rFonts w:hint="eastAsia" w:ascii="宋体" w:hAnsi="宋体" w:cs="宋体"/>
          <w:lang w:bidi="ar"/>
        </w:rPr>
        <w:t>11.我单位保证，若所投货物涉及《财政部生态环境部关于印发节能产品政府采购品目清单的通知》（财库〔2019〕19号）列明的政府采购强制产品，则所投该产品符合节能产品的认证要求。若所投产品包括数据中心相关设备的，应满足</w:t>
      </w:r>
      <w:r>
        <w:rPr>
          <w:rFonts w:hint="eastAsia" w:cs="宋体"/>
          <w:lang w:bidi="ar"/>
        </w:rPr>
        <w:t>《财政部</w:t>
      </w:r>
      <w:r>
        <w:rPr>
          <w:lang w:bidi="ar"/>
        </w:rPr>
        <w:t xml:space="preserve"> </w:t>
      </w:r>
      <w:r>
        <w:rPr>
          <w:rFonts w:hint="eastAsia" w:cs="宋体"/>
          <w:lang w:bidi="ar"/>
        </w:rPr>
        <w:t>生态环境部</w:t>
      </w:r>
      <w:r>
        <w:rPr>
          <w:lang w:bidi="ar"/>
        </w:rPr>
        <w:t xml:space="preserve"> </w:t>
      </w:r>
      <w:r>
        <w:rPr>
          <w:rFonts w:hint="eastAsia" w:cs="宋体"/>
          <w:lang w:bidi="ar"/>
        </w:rPr>
        <w:t>工业和信息化部关于印发</w:t>
      </w:r>
      <w:r>
        <w:rPr>
          <w:lang w:bidi="ar"/>
        </w:rPr>
        <w:t>&lt;</w:t>
      </w:r>
      <w:r>
        <w:rPr>
          <w:rFonts w:hint="eastAsia" w:cs="宋体"/>
          <w:lang w:bidi="ar"/>
        </w:rPr>
        <w:t>绿色数据中心政府采购需求标准（试行）</w:t>
      </w:r>
      <w:r>
        <w:rPr>
          <w:lang w:bidi="ar"/>
        </w:rPr>
        <w:t>&gt;</w:t>
      </w:r>
      <w:r>
        <w:rPr>
          <w:rFonts w:hint="eastAsia" w:cs="宋体"/>
          <w:lang w:bidi="ar"/>
        </w:rPr>
        <w:t>的通知》（财库〔</w:t>
      </w:r>
      <w:r>
        <w:rPr>
          <w:lang w:bidi="ar"/>
        </w:rPr>
        <w:t>2023</w:t>
      </w:r>
      <w:r>
        <w:rPr>
          <w:rFonts w:hint="eastAsia" w:cs="宋体"/>
          <w:lang w:bidi="ar"/>
        </w:rPr>
        <w:t>〕</w:t>
      </w:r>
      <w:r>
        <w:rPr>
          <w:lang w:bidi="ar"/>
        </w:rPr>
        <w:t>7</w:t>
      </w:r>
      <w:r>
        <w:rPr>
          <w:rFonts w:hint="eastAsia" w:cs="宋体"/>
          <w:lang w:bidi="ar"/>
        </w:rPr>
        <w:t>号）要求。若所投产品涉及国家强制性标准的，所投产品应符合国家强制性标准相关要求。</w:t>
      </w:r>
    </w:p>
    <w:p w14:paraId="3FF303F1">
      <w:pPr>
        <w:ind w:firstLine="420" w:firstLineChars="200"/>
        <w:rPr>
          <w:rFonts w:hint="eastAsia" w:ascii="宋体" w:hAnsi="宋体" w:cs="宋体"/>
          <w:bCs/>
        </w:rPr>
      </w:pPr>
      <w:r>
        <w:rPr>
          <w:rFonts w:hint="eastAsia" w:ascii="宋体" w:hAnsi="宋体" w:cs="宋体"/>
          <w:bCs/>
          <w:kern w:val="0"/>
          <w:szCs w:val="21"/>
          <w:lang w:bidi="ar"/>
        </w:rPr>
        <w:t>12.</w:t>
      </w:r>
      <w:r>
        <w:rPr>
          <w:rFonts w:hint="eastAsia" w:ascii="宋体" w:hAnsi="宋体" w:cs="宋体"/>
          <w:bCs/>
          <w:lang w:bidi="ar"/>
        </w:rPr>
        <w:t>我单位已知悉并同意中标（成交）结果信息公示（公开）的内容。</w:t>
      </w:r>
    </w:p>
    <w:p w14:paraId="332D9FDD">
      <w:pPr>
        <w:ind w:firstLine="420" w:firstLineChars="200"/>
        <w:rPr>
          <w:rFonts w:hint="eastAsia" w:ascii="宋体" w:hAnsi="宋体" w:cs="宋体"/>
          <w:bCs/>
        </w:rPr>
      </w:pPr>
      <w:r>
        <w:rPr>
          <w:rFonts w:hint="eastAsia" w:ascii="宋体" w:hAnsi="宋体" w:cs="宋体"/>
          <w:bCs/>
          <w:lang w:bidi="ar"/>
        </w:rPr>
        <w:t>13.我单位保证，符合《中华人民共和国政府采购法实施条例》第十八条规定，与其他投标供应商不存在单位负责人为同一人或者存在直接控股、管理关系；不存在为本次采购项目提供整体设计、规范编制或者项目管理、监理、检测等服务的情形。若存在“不同供应商的董事、股东或其他高级管理人员为同一人的”情形的，我单位保证不存在串通投标、恶意串通或者视为串通投标的情形。</w:t>
      </w:r>
    </w:p>
    <w:p w14:paraId="2EF32C03">
      <w:pPr>
        <w:ind w:firstLine="422" w:firstLineChars="200"/>
        <w:rPr>
          <w:rFonts w:hint="eastAsia" w:ascii="宋体" w:hAnsi="宋体" w:cs="宋体"/>
          <w:b/>
        </w:rPr>
      </w:pPr>
      <w:r>
        <w:rPr>
          <w:rFonts w:hint="eastAsia" w:ascii="宋体" w:hAnsi="宋体" w:cs="宋体"/>
          <w:b/>
          <w:lang w:bidi="ar"/>
        </w:rPr>
        <w:t>14.我单位清楚，如存在违反投标承诺行为情节严重的，将根据《深圳市财政局关于印发&lt;深圳市财政局政府采购供应商信用信息管理办法&gt;的通知》，依法被列入失信信息。</w:t>
      </w:r>
    </w:p>
    <w:p w14:paraId="43D93721">
      <w:pPr>
        <w:ind w:firstLine="420" w:firstLineChars="200"/>
        <w:rPr>
          <w:rFonts w:hint="eastAsia" w:ascii="宋体" w:hAnsi="宋体" w:cs="宋体"/>
          <w:bCs/>
        </w:rPr>
      </w:pPr>
      <w:r>
        <w:rPr>
          <w:rFonts w:hint="eastAsia" w:ascii="宋体" w:hAnsi="宋体" w:cs="宋体"/>
          <w:bCs/>
          <w:lang w:bidi="ar"/>
        </w:rPr>
        <w:t>15.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w:t>
      </w:r>
    </w:p>
    <w:p w14:paraId="0F030DD1">
      <w:pPr>
        <w:ind w:firstLine="420" w:firstLineChars="200"/>
        <w:rPr>
          <w:rFonts w:hint="eastAsia" w:ascii="宋体" w:hAnsi="宋体" w:cs="宋体"/>
          <w:szCs w:val="21"/>
        </w:rPr>
      </w:pPr>
      <w:r>
        <w:rPr>
          <w:rFonts w:hint="eastAsia" w:ascii="宋体" w:hAnsi="宋体" w:cs="宋体"/>
          <w:szCs w:val="21"/>
          <w:lang w:bidi="ar"/>
        </w:rPr>
        <w:t>以上承诺，如有违反，愿依照国家相关法律法规处理，并承担由此给采购人带来的损失。</w:t>
      </w:r>
    </w:p>
    <w:p w14:paraId="4F5AA768">
      <w:pPr>
        <w:spacing w:before="78" w:beforeLines="25" w:after="78" w:afterLines="25"/>
        <w:ind w:firstLine="5460" w:firstLineChars="2600"/>
        <w:rPr>
          <w:color w:val="FF0000"/>
          <w:szCs w:val="21"/>
          <w:u w:val="single"/>
          <w:lang w:bidi="ar"/>
        </w:rPr>
      </w:pPr>
      <w:r>
        <w:rPr>
          <w:rFonts w:hint="eastAsia" w:cs="宋体"/>
          <w:color w:val="FF0000"/>
          <w:szCs w:val="21"/>
          <w:lang w:bidi="ar"/>
        </w:rPr>
        <w:t>投标人：</w:t>
      </w:r>
      <w:r>
        <w:rPr>
          <w:color w:val="FF0000"/>
          <w:szCs w:val="21"/>
          <w:u w:val="single"/>
          <w:lang w:bidi="ar"/>
        </w:rPr>
        <w:t xml:space="preserve">              </w:t>
      </w:r>
    </w:p>
    <w:p w14:paraId="3EC5E7B1">
      <w:pPr>
        <w:spacing w:before="78" w:beforeLines="25" w:after="78" w:afterLines="25"/>
        <w:ind w:firstLine="5460" w:firstLineChars="2600"/>
        <w:rPr>
          <w:rFonts w:hint="eastAsia" w:ascii="宋体" w:hAnsi="宋体" w:cs="宋体"/>
          <w:color w:val="FF0000"/>
          <w:szCs w:val="21"/>
        </w:rPr>
      </w:pPr>
      <w:r>
        <w:rPr>
          <w:rFonts w:hint="eastAsia" w:ascii="宋体" w:hAnsi="宋体" w:cs="宋体"/>
          <w:color w:val="FF0000"/>
          <w:szCs w:val="21"/>
          <w:lang w:bidi="ar"/>
        </w:rPr>
        <w:t>日期：</w:t>
      </w:r>
      <w:r>
        <w:rPr>
          <w:rFonts w:hint="eastAsia" w:ascii="宋体" w:hAnsi="宋体" w:cs="宋体"/>
          <w:color w:val="FF0000"/>
          <w:szCs w:val="21"/>
          <w:u w:val="single"/>
          <w:lang w:bidi="ar"/>
        </w:rPr>
        <w:t xml:space="preserve">    </w:t>
      </w:r>
      <w:r>
        <w:rPr>
          <w:rFonts w:hint="eastAsia" w:ascii="宋体" w:hAnsi="宋体" w:cs="宋体"/>
          <w:color w:val="FF0000"/>
          <w:szCs w:val="21"/>
          <w:lang w:bidi="ar"/>
        </w:rPr>
        <w:t>年</w:t>
      </w:r>
      <w:r>
        <w:rPr>
          <w:rFonts w:hint="eastAsia" w:ascii="宋体" w:hAnsi="宋体" w:cs="宋体"/>
          <w:color w:val="FF0000"/>
          <w:szCs w:val="21"/>
          <w:u w:val="single"/>
          <w:lang w:bidi="ar"/>
        </w:rPr>
        <w:t xml:space="preserve">   </w:t>
      </w:r>
      <w:r>
        <w:rPr>
          <w:rFonts w:hint="eastAsia" w:ascii="宋体" w:hAnsi="宋体" w:cs="宋体"/>
          <w:color w:val="FF0000"/>
          <w:szCs w:val="21"/>
          <w:lang w:bidi="ar"/>
        </w:rPr>
        <w:t>月</w:t>
      </w:r>
      <w:r>
        <w:rPr>
          <w:rFonts w:hint="eastAsia" w:ascii="宋体" w:hAnsi="宋体" w:cs="宋体"/>
          <w:color w:val="FF0000"/>
          <w:szCs w:val="21"/>
          <w:u w:val="single"/>
          <w:lang w:bidi="ar"/>
        </w:rPr>
        <w:t xml:space="preserve">   </w:t>
      </w:r>
      <w:r>
        <w:rPr>
          <w:rFonts w:hint="eastAsia" w:ascii="宋体" w:hAnsi="宋体" w:cs="宋体"/>
          <w:color w:val="FF0000"/>
          <w:szCs w:val="21"/>
          <w:lang w:bidi="ar"/>
        </w:rPr>
        <w:t>日</w:t>
      </w:r>
    </w:p>
    <w:p w14:paraId="401285D4"/>
    <w:p w14:paraId="780A5D7E">
      <w:pPr>
        <w:rPr>
          <w:rFonts w:ascii="黑体" w:eastAsia="黑体"/>
          <w:kern w:val="0"/>
          <w:sz w:val="24"/>
        </w:rPr>
      </w:pPr>
      <w:r>
        <w:rPr>
          <w:rFonts w:hint="eastAsia" w:ascii="黑体" w:eastAsia="黑体"/>
          <w:kern w:val="0"/>
          <w:sz w:val="24"/>
        </w:rPr>
        <w:br w:type="page"/>
      </w:r>
    </w:p>
    <w:p w14:paraId="6C6B9F13">
      <w:pPr>
        <w:pStyle w:val="4"/>
        <w:spacing w:before="120" w:after="120"/>
        <w:jc w:val="center"/>
        <w:rPr>
          <w:rFonts w:hint="eastAsia" w:ascii="黑体" w:eastAsia="黑体"/>
          <w:b w:val="0"/>
          <w:kern w:val="0"/>
          <w:sz w:val="24"/>
        </w:rPr>
      </w:pPr>
      <w:r>
        <w:rPr>
          <w:rFonts w:hint="eastAsia" w:ascii="黑体" w:eastAsia="黑体"/>
          <w:b w:val="0"/>
          <w:kern w:val="0"/>
          <w:sz w:val="24"/>
        </w:rPr>
        <w:t>三、投标人情况及资格证明文件</w:t>
      </w:r>
    </w:p>
    <w:p w14:paraId="204E4F1B">
      <w:pPr>
        <w:outlineLvl w:val="3"/>
        <w:rPr>
          <w:rFonts w:hint="eastAsia" w:ascii="黑体" w:hAnsi="宋体" w:eastAsia="黑体"/>
          <w:bCs/>
          <w:kern w:val="0"/>
          <w:sz w:val="24"/>
          <w:szCs w:val="32"/>
        </w:rPr>
      </w:pPr>
      <w:r>
        <w:rPr>
          <w:rFonts w:hint="eastAsia" w:ascii="黑体" w:hAnsi="宋体" w:eastAsia="黑体"/>
          <w:bCs/>
          <w:kern w:val="0"/>
          <w:sz w:val="24"/>
          <w:szCs w:val="32"/>
        </w:rPr>
        <w:t>（一）投标人资格证明文件</w:t>
      </w:r>
    </w:p>
    <w:p w14:paraId="65E0F26B">
      <w:pPr>
        <w:spacing w:before="156" w:beforeLines="50"/>
        <w:ind w:firstLine="422" w:firstLineChars="200"/>
        <w:rPr>
          <w:b/>
          <w:bCs/>
          <w:color w:val="FF0000"/>
        </w:rPr>
      </w:pPr>
      <w:r>
        <w:rPr>
          <w:rFonts w:hint="eastAsia"/>
          <w:b/>
          <w:bCs/>
          <w:color w:val="FF0000"/>
        </w:rPr>
        <w:t>（特别提示：投标人须按本招标文件第一册第一章招标公告“投标人的资格要求”提供相关的资格证明资料，未提供或提供不完整、不符合要求的，将作投标无效处理，其中要求提供《采购投标及履约承诺函》《供应商基本情况表》且已在规定章节中提供的，此处不重复提供。）</w:t>
      </w:r>
    </w:p>
    <w:p w14:paraId="3A470E8E">
      <w:pPr>
        <w:widowControl/>
        <w:jc w:val="left"/>
      </w:pPr>
      <w:r>
        <w:br w:type="page"/>
      </w:r>
    </w:p>
    <w:p w14:paraId="4980E3A4">
      <w:pPr>
        <w:outlineLvl w:val="3"/>
        <w:rPr>
          <w:rFonts w:hint="eastAsia" w:ascii="黑体" w:hAnsi="宋体" w:eastAsia="黑体"/>
          <w:bCs/>
          <w:kern w:val="0"/>
          <w:sz w:val="24"/>
          <w:szCs w:val="32"/>
        </w:rPr>
      </w:pPr>
      <w:r>
        <w:rPr>
          <w:rFonts w:hint="eastAsia" w:ascii="黑体" w:hAnsi="宋体" w:eastAsia="黑体"/>
          <w:bCs/>
          <w:kern w:val="0"/>
          <w:sz w:val="24"/>
          <w:szCs w:val="32"/>
        </w:rPr>
        <w:t>（二）中小企业声明函、残疾人福利性单位声明函及监狱企业声明函</w:t>
      </w:r>
    </w:p>
    <w:p w14:paraId="6FFA7BEC">
      <w:p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rPr>
        <w:t>填写指引：</w:t>
      </w:r>
    </w:p>
    <w:p w14:paraId="7F682FB2">
      <w:pPr>
        <w:ind w:firstLine="420" w:firstLineChars="200"/>
        <w:outlineLvl w:val="3"/>
        <w:rPr>
          <w:rFonts w:hint="eastAsia" w:ascii="黑体" w:hAnsi="黑体" w:eastAsia="黑体"/>
          <w:color w:val="FF0000"/>
          <w:szCs w:val="21"/>
        </w:rPr>
      </w:pPr>
      <w:r>
        <w:rPr>
          <w:rFonts w:hint="eastAsia" w:ascii="黑体" w:hAnsi="宋体" w:eastAsia="黑体"/>
          <w:bCs/>
          <w:color w:val="FF0000"/>
          <w:kern w:val="0"/>
          <w:szCs w:val="21"/>
        </w:rPr>
        <w:t>1、该部分内容由投标人根据自身实际情况填写，不符合要求的投标人可以不填写或直接删除相应的声明函。</w:t>
      </w:r>
      <w:r>
        <w:rPr>
          <w:rFonts w:hint="eastAsia" w:ascii="黑体" w:hAnsi="黑体" w:eastAsia="黑体"/>
          <w:color w:val="FF0000"/>
          <w:szCs w:val="21"/>
        </w:rPr>
        <w:t>投标人提供的声明函不属实的，属于提供虚假资料谋取中标，依照《中华人民共和国政府采购法》等国家有关规定追究相应责任。</w:t>
      </w:r>
    </w:p>
    <w:p w14:paraId="27AD2F4D">
      <w:pPr>
        <w:ind w:firstLine="420" w:firstLineChars="200"/>
        <w:outlineLvl w:val="3"/>
        <w:rPr>
          <w:rFonts w:hint="eastAsia" w:ascii="黑体" w:hAnsi="黑体" w:eastAsia="黑体"/>
          <w:color w:val="FF0000"/>
          <w:szCs w:val="21"/>
        </w:rPr>
      </w:pPr>
      <w:r>
        <w:rPr>
          <w:rFonts w:hint="eastAsia" w:ascii="黑体" w:hAnsi="黑体" w:eastAsia="黑体"/>
          <w:color w:val="FF0000"/>
          <w:szCs w:val="21"/>
        </w:rPr>
        <w:t>2、该部分内容填写需要参考的相关文件：</w:t>
      </w:r>
    </w:p>
    <w:p w14:paraId="7FFA9DBD">
      <w:pPr>
        <w:ind w:firstLine="420" w:firstLineChars="200"/>
        <w:outlineLvl w:val="3"/>
        <w:rPr>
          <w:rFonts w:hint="eastAsia" w:ascii="黑体" w:hAnsi="黑体" w:eastAsia="黑体"/>
          <w:color w:val="FF0000"/>
          <w:szCs w:val="21"/>
        </w:rPr>
      </w:pPr>
      <w:r>
        <w:rPr>
          <w:rFonts w:hint="eastAsia" w:ascii="黑体" w:hAnsi="黑体" w:eastAsia="黑体"/>
          <w:color w:val="FF0000"/>
          <w:szCs w:val="21"/>
        </w:rPr>
        <w:t>(</w:t>
      </w:r>
      <w:r>
        <w:rPr>
          <w:rFonts w:ascii="黑体" w:hAnsi="黑体" w:eastAsia="黑体"/>
          <w:color w:val="FF0000"/>
          <w:szCs w:val="21"/>
        </w:rPr>
        <w:t>1</w:t>
      </w:r>
      <w:r>
        <w:rPr>
          <w:rFonts w:hint="eastAsia" w:ascii="黑体" w:hAnsi="黑体" w:eastAsia="黑体"/>
          <w:color w:val="FF0000"/>
          <w:szCs w:val="21"/>
        </w:rPr>
        <w:t>)财政部《政府采购促进中小企业发展管理办法》（财库〔2020〕46号）</w:t>
      </w:r>
    </w:p>
    <w:p w14:paraId="33BCE8F7">
      <w:pPr>
        <w:ind w:firstLine="420" w:firstLineChars="200"/>
        <w:outlineLvl w:val="3"/>
        <w:rPr>
          <w:rFonts w:hint="eastAsia" w:ascii="黑体" w:hAnsi="黑体" w:eastAsia="黑体"/>
          <w:color w:val="FF0000"/>
          <w:szCs w:val="21"/>
        </w:rPr>
      </w:pPr>
      <w:r>
        <w:rPr>
          <w:rFonts w:hint="eastAsia" w:ascii="黑体" w:hAnsi="黑体" w:eastAsia="黑体"/>
          <w:color w:val="FF0000"/>
          <w:szCs w:val="21"/>
        </w:rPr>
        <w:t>(</w:t>
      </w:r>
      <w:r>
        <w:rPr>
          <w:rFonts w:ascii="黑体" w:hAnsi="黑体" w:eastAsia="黑体"/>
          <w:color w:val="FF0000"/>
          <w:szCs w:val="21"/>
        </w:rPr>
        <w:t>2</w:t>
      </w:r>
      <w:r>
        <w:rPr>
          <w:rFonts w:hint="eastAsia" w:ascii="黑体" w:hAnsi="黑体" w:eastAsia="黑体"/>
          <w:color w:val="FF0000"/>
          <w:szCs w:val="21"/>
        </w:rPr>
        <w:t>)</w:t>
      </w:r>
      <w:bookmarkStart w:id="40" w:name="_Hlk71925120"/>
      <w:r>
        <w:rPr>
          <w:rFonts w:hint="eastAsia" w:ascii="黑体" w:hAnsi="黑体" w:eastAsia="黑体"/>
          <w:color w:val="FF0000"/>
          <w:szCs w:val="21"/>
        </w:rPr>
        <w:t>《工业和信息化部、国家统计局、国家发展和改革委员会、财政部关于印发中小企业划型标准规定的通知》（工信部联企业〔2011〕300号</w:t>
      </w:r>
      <w:bookmarkEnd w:id="40"/>
      <w:r>
        <w:rPr>
          <w:rFonts w:hint="eastAsia" w:ascii="黑体" w:hAnsi="黑体" w:eastAsia="黑体"/>
          <w:color w:val="FF0000"/>
          <w:szCs w:val="21"/>
        </w:rPr>
        <w:t>）</w:t>
      </w:r>
    </w:p>
    <w:p w14:paraId="7A3323B4">
      <w:pPr>
        <w:ind w:firstLine="420" w:firstLineChars="200"/>
        <w:outlineLvl w:val="3"/>
        <w:rPr>
          <w:rFonts w:hint="eastAsia" w:ascii="黑体" w:hAnsi="黑体" w:eastAsia="黑体"/>
          <w:color w:val="FF0000"/>
          <w:szCs w:val="21"/>
        </w:rPr>
      </w:pPr>
      <w:r>
        <w:rPr>
          <w:rFonts w:hint="eastAsia" w:ascii="黑体" w:hAnsi="黑体" w:eastAsia="黑体"/>
          <w:color w:val="FF0000"/>
          <w:szCs w:val="21"/>
        </w:rPr>
        <w:t>(3)《统计上大中小微型企业划分办法(2017)》（国统字〔2017〕213号）</w:t>
      </w:r>
    </w:p>
    <w:p w14:paraId="57546579">
      <w:pPr>
        <w:ind w:firstLine="420" w:firstLineChars="200"/>
        <w:outlineLvl w:val="3"/>
        <w:rPr>
          <w:rFonts w:hint="eastAsia" w:ascii="黑体" w:hAnsi="黑体" w:eastAsia="黑体"/>
          <w:color w:val="FF0000"/>
          <w:szCs w:val="21"/>
        </w:rPr>
      </w:pPr>
      <w:r>
        <w:rPr>
          <w:rFonts w:hint="eastAsia" w:ascii="黑体" w:hAnsi="黑体" w:eastAsia="黑体"/>
          <w:color w:val="FF0000"/>
          <w:szCs w:val="21"/>
        </w:rPr>
        <w:t>(4)《关于促进残疾人就业政府采购政策的通知》（财库〔2017〕141号）</w:t>
      </w:r>
    </w:p>
    <w:p w14:paraId="79BE3E72">
      <w:pPr>
        <w:ind w:firstLine="420" w:firstLineChars="200"/>
        <w:outlineLvl w:val="3"/>
        <w:rPr>
          <w:rFonts w:hint="eastAsia" w:ascii="黑体" w:hAnsi="黑体" w:eastAsia="黑体"/>
          <w:color w:val="FF0000"/>
          <w:szCs w:val="21"/>
        </w:rPr>
      </w:pPr>
      <w:r>
        <w:rPr>
          <w:rFonts w:hint="eastAsia" w:ascii="黑体" w:hAnsi="黑体" w:eastAsia="黑体"/>
          <w:color w:val="FF0000"/>
          <w:szCs w:val="21"/>
        </w:rPr>
        <w:t>(5)《关于政府采购支持监狱企业发展有关问题的通知》（财库〔2014〕68号）</w:t>
      </w:r>
    </w:p>
    <w:p w14:paraId="4275C7FD">
      <w:p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rPr>
        <w:t>3、请依照提供的格式和内容填写声明函，不要随意变更格式；声明函不需要盖章或签字；</w:t>
      </w:r>
      <w:r>
        <w:rPr>
          <w:rFonts w:hint="eastAsia" w:ascii="黑体" w:hAnsi="黑体" w:eastAsia="黑体"/>
          <w:color w:val="FF0000"/>
          <w:szCs w:val="21"/>
        </w:rPr>
        <w:t>满足多项优惠政策的投标人，不重复享受多项价格扣除政策。</w:t>
      </w:r>
    </w:p>
    <w:p w14:paraId="3307B583">
      <w:p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rPr>
        <w:t>4、声明函具体填写要求：</w:t>
      </w:r>
    </w:p>
    <w:p w14:paraId="42ACDFC9">
      <w:p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rPr>
        <w:t>（1）声明是中小企业须填写《中小企业声明函》的以下内容：</w:t>
      </w:r>
    </w:p>
    <w:p w14:paraId="4B658A2B">
      <w:p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rPr>
        <w:t>第一处，在“单位名称”下划线处如实填写采购人名称（深圳公共资源交易中心不是本项目的采购人，而是组织实施机构）；</w:t>
      </w:r>
    </w:p>
    <w:p w14:paraId="31E57E46">
      <w:p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rPr>
        <w:t>第二处，在“项目名称”下划线处如实填写采购文件中确定的项目名称。对于分包方式面向中小企业采购的项目，应标明中小企业的具体分包内容；对于以联合体方式面向中小企业采购的项目，应标明联合体中中小企业所承担的具体内容；</w:t>
      </w:r>
    </w:p>
    <w:p w14:paraId="5EEC7B73">
      <w:p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rPr>
        <w:t>第三处，在“标的名称”下划线处填写所采购标的具体名称（以招标文件第一册第三章用户需求书“服务需求明细”的“服务需求名称（标的名称）”一栏为准）；如果涉及多项服务（标的）为同一企业承接的，“标的名称”下划线处可以如实填写多项服务；对于分包方式面向中小企业采购的项目，“标的名称”应填写采购文件中注明的分包给中小企业的采购标的名称；对于以联合体方式面向中小企业采购的项目“标的名称”应填写采购文件中注明的联合体中中小企业承担的采购标的名称。</w:t>
      </w:r>
    </w:p>
    <w:p w14:paraId="451F742B">
      <w:p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rPr>
        <w:t>第四处，在“采购文件中明确的所属行业”下划线处填写采购标的对应的中小企业划分标准所属行业（所属行业以招标文件第一册第三章用户需求书“服务需求明细”的“标的所属行业”一栏为准），并应确保与采购标的涉及的服务承接商本身的所属行业保持一致。对于分包方式面向中小企业采购的项目，“采购文件中明确的所属行业”应按照采购文件中注明的分包给中小企业的采购标的所属行业填写，并应确保与该分包部分采购标的涉及的服务承接商本身的所属行业保持一致；对于以联合体方式面向中小企业采购的项目，“采购文件中明确的所属行业”应按照采购文件中注明的联合体中中小企业承担的采购标的所属行业填写，并应确保与该联合体部分采购标的涉及的服务承接商本身的所属行业保持一致；</w:t>
      </w:r>
    </w:p>
    <w:p w14:paraId="7BD8FB1D">
      <w:p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rPr>
        <w:t>第五处，在“企业名称”下划线处如实填写</w:t>
      </w:r>
      <w:r>
        <w:rPr>
          <w:rFonts w:hint="eastAsia" w:ascii="黑体" w:hAnsi="宋体" w:eastAsia="黑体"/>
          <w:b/>
          <w:color w:val="FF0000"/>
          <w:kern w:val="0"/>
          <w:szCs w:val="21"/>
        </w:rPr>
        <w:t>服务承接商名称。</w:t>
      </w:r>
      <w:r>
        <w:rPr>
          <w:rFonts w:hint="eastAsia" w:ascii="黑体" w:hAnsi="宋体" w:eastAsia="黑体"/>
          <w:bCs/>
          <w:color w:val="FF0000"/>
          <w:kern w:val="0"/>
          <w:szCs w:val="21"/>
        </w:rPr>
        <w:t>对于分包方式面向中小企业采购的项目，“企业名称”应填写分包部分采购标的对应的服务承接商；对于以联合体方式面向中小企业采购的项目，“企业名称”应填写联合体中中小企业承担采购标的对应的服务承接商；</w:t>
      </w:r>
    </w:p>
    <w:p w14:paraId="6D85AA6D">
      <w:p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rPr>
        <w:t>第六、七、八处，在“从业人员”、“营业收入”、“资产总额”下划线处如实填写从业人员、营业收入、资产总额。从业人员、资产总额指标以上年度末数据为依据，营业收入指标以上年度累计数据为依据。无上年度数据的新成立企业可不填报。</w:t>
      </w:r>
    </w:p>
    <w:p w14:paraId="45673E68">
      <w:p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rPr>
        <w:t>第九处，在“中型企业、小型企业、微型企业”下划线处应依据企业上年度从业人员、营业收入、资产总额等指标，按照《中小企业划型标准规定》（工信部联企业〔2011〕300号）、《金融业企业划型标准规定》（银发〔2015〕309号），判断《中小企业声明函》载明的服务承接商是否属于采购文件所属行业的中型企业/小型企业/微型企业。</w:t>
      </w:r>
    </w:p>
    <w:p w14:paraId="5BB1B701">
      <w:pPr>
        <w:pStyle w:val="204"/>
        <w:ind w:firstLine="420" w:firstLineChars="200"/>
        <w:rPr>
          <w:rFonts w:hint="eastAsia" w:ascii="黑体" w:hAnsi="宋体" w:eastAsia="黑体"/>
          <w:bCs/>
          <w:color w:val="FF0000"/>
          <w:kern w:val="0"/>
          <w:szCs w:val="21"/>
        </w:rPr>
      </w:pPr>
      <w:r>
        <w:rPr>
          <w:rFonts w:hint="eastAsia" w:ascii="黑体" w:hAnsi="宋体" w:eastAsia="黑体"/>
          <w:bCs/>
          <w:color w:val="FF0000"/>
          <w:kern w:val="0"/>
          <w:szCs w:val="21"/>
        </w:rPr>
        <w:t>（2）对于已纳入统计部门统计范围的企业，所属行业、从业人员、营业收入、资产总额、规模类型应与统计部门报表保持一致。对于未纳入统计部门统计范围的企业，应对照《国民经济行业分类》确定所属行业，当企业从事两种以上的经济活动时，按照企业从事的主要活动确定所属行业；从业人员、营业收入、资产总额应按照上年度末实际情况填报，并应确保在争议纠纷处理时，可提供相关数据的来源依据。</w:t>
      </w:r>
    </w:p>
    <w:p w14:paraId="10A9ECF2">
      <w:p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rPr>
        <w:t>（3）事业单位、社会组织等非企业主体不享受中小企业扶持政策。</w:t>
      </w:r>
    </w:p>
    <w:p w14:paraId="5C37C0FB">
      <w:p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rPr>
        <w:t>（4）声明是残疾人福利性单位须填写《残疾人福利性单位声明函》的相关内容，具体参照以上《中小企业声明函》填写要求执行。</w:t>
      </w:r>
    </w:p>
    <w:p w14:paraId="4A88A290">
      <w:p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rPr>
        <w:t>（5）声明是监狱企业须填写《监狱企业声明函》的三项内容（填写位置的字体已加粗），具体参照以上《中小企业声明函》填写要求执行。</w:t>
      </w:r>
    </w:p>
    <w:p w14:paraId="0F261570">
      <w:p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rPr>
        <w:t>5、本项目属于服务类项目，相关服务承接商应当为中小企业或残疾人福利性单位或监狱企业，如包含硬件设备、产品等货物采购的，不再对其中涉及的货物制造商作出要求。</w:t>
      </w:r>
    </w:p>
    <w:p w14:paraId="738EEE51">
      <w:p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rPr>
        <w:t>6、若本项目属于专门面向中小企业、残疾人福利性单位或监狱企业，则声明函有效性由采购人或代理机构判定，如判定声明函无效的，相关供应商将作资格审查不通过处理；若本项目非专门面向中小企业、残疾人福利性单位或监狱企业，声明函的有效性由评审委员会判定，如评审委员会判定声明函无效，相关供应商不享受价格扣除（但不作投标无效处理）。</w:t>
      </w:r>
    </w:p>
    <w:p w14:paraId="087459D7">
      <w:p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rPr>
        <w:t>7、采购人、代理机构、评审委员会在依法进行资格审查、评审过程中，发现《中小企业声明函》存在明显笔误或含义不明确的，应按规定要求供应商进行澄清、说明或补正。澄清修改后符合中小企业条件的供应商，可以享受中小企业扶持政策。</w:t>
      </w:r>
    </w:p>
    <w:p w14:paraId="14AAF053">
      <w:pPr>
        <w:pStyle w:val="18"/>
      </w:pPr>
    </w:p>
    <w:p w14:paraId="0D365046">
      <w:pPr>
        <w:numPr>
          <w:ilvl w:val="0"/>
          <w:numId w:val="9"/>
        </w:numPr>
        <w:jc w:val="center"/>
        <w:outlineLvl w:val="3"/>
      </w:pPr>
      <w:r>
        <w:rPr>
          <w:rFonts w:hint="eastAsia" w:cs="宋体"/>
          <w:b/>
          <w:sz w:val="24"/>
          <w:lang w:bidi="ar"/>
        </w:rPr>
        <w:t>中小企业声明函（服务）</w:t>
      </w:r>
    </w:p>
    <w:p w14:paraId="16DD56B0">
      <w:pPr>
        <w:spacing w:line="360" w:lineRule="auto"/>
        <w:ind w:firstLine="420" w:firstLineChars="200"/>
        <w:outlineLvl w:val="3"/>
        <w:rPr>
          <w:rFonts w:hint="eastAsia" w:ascii="宋体" w:hAnsi="宋体" w:cs="宋体"/>
          <w:szCs w:val="21"/>
        </w:rPr>
      </w:pPr>
      <w:r>
        <w:rPr>
          <w:rFonts w:hint="eastAsia" w:ascii="宋体" w:hAnsi="宋体" w:cs="宋体"/>
          <w:szCs w:val="21"/>
          <w:lang w:bidi="ar"/>
        </w:rPr>
        <w:t>本公司（联合体）郑重声明，根据《政府采购促进中小企业发展管理办法》（财库﹝2020﹞46号）的规定，本公司（联合体）参加</w:t>
      </w:r>
      <w:r>
        <w:rPr>
          <w:rFonts w:hint="eastAsia" w:ascii="宋体" w:hAnsi="宋体" w:cs="宋体"/>
          <w:b/>
          <w:bCs/>
          <w:i/>
          <w:iCs/>
          <w:szCs w:val="21"/>
          <w:u w:val="single"/>
          <w:lang w:bidi="ar"/>
        </w:rPr>
        <w:t xml:space="preserve">    （单位名称）    </w:t>
      </w:r>
      <w:r>
        <w:rPr>
          <w:rFonts w:hint="eastAsia" w:ascii="宋体" w:hAnsi="宋体" w:cs="宋体"/>
          <w:szCs w:val="21"/>
          <w:lang w:bidi="ar"/>
        </w:rPr>
        <w:t>的</w:t>
      </w:r>
      <w:r>
        <w:rPr>
          <w:rFonts w:hint="eastAsia" w:ascii="宋体" w:hAnsi="宋体" w:cs="宋体"/>
          <w:b/>
          <w:bCs/>
          <w:i/>
          <w:iCs/>
          <w:szCs w:val="21"/>
          <w:u w:val="single"/>
          <w:lang w:bidi="ar"/>
        </w:rPr>
        <w:t xml:space="preserve">    （项目名称）    </w:t>
      </w:r>
      <w:r>
        <w:rPr>
          <w:rFonts w:hint="eastAsia" w:ascii="宋体" w:hAnsi="宋体" w:cs="宋体"/>
          <w:szCs w:val="21"/>
          <w:lang w:bidi="ar"/>
        </w:rPr>
        <w:t>采购活动，服务全部由符合政策要求的中小企业承接。相关企业（含联合体中的中小企业、签订分包意向协议的中小企业）的具体情况如下：</w:t>
      </w:r>
    </w:p>
    <w:p w14:paraId="6F0BA434">
      <w:pPr>
        <w:spacing w:line="360" w:lineRule="auto"/>
        <w:ind w:firstLine="420" w:firstLineChars="200"/>
        <w:outlineLvl w:val="3"/>
        <w:rPr>
          <w:rFonts w:hint="eastAsia" w:ascii="宋体" w:hAnsi="宋体" w:cs="宋体"/>
          <w:szCs w:val="21"/>
        </w:rPr>
      </w:pPr>
      <w:r>
        <w:rPr>
          <w:rFonts w:hint="eastAsia" w:ascii="宋体" w:hAnsi="宋体" w:cs="宋体"/>
          <w:szCs w:val="21"/>
          <w:lang w:bidi="ar"/>
        </w:rPr>
        <w:t>1.</w:t>
      </w:r>
      <w:r>
        <w:rPr>
          <w:rFonts w:hint="eastAsia" w:ascii="宋体" w:hAnsi="宋体" w:cs="宋体"/>
          <w:b/>
          <w:bCs/>
          <w:i/>
          <w:iCs/>
          <w:szCs w:val="21"/>
          <w:u w:val="single"/>
          <w:lang w:bidi="ar"/>
        </w:rPr>
        <w:t xml:space="preserve">    （标的名称）     </w:t>
      </w:r>
      <w:r>
        <w:rPr>
          <w:rFonts w:hint="eastAsia" w:ascii="宋体" w:hAnsi="宋体" w:cs="宋体"/>
          <w:szCs w:val="21"/>
          <w:lang w:bidi="ar"/>
        </w:rPr>
        <w:t>，属于</w:t>
      </w:r>
      <w:r>
        <w:rPr>
          <w:rFonts w:hint="eastAsia" w:ascii="宋体" w:hAnsi="宋体" w:cs="宋体"/>
          <w:b/>
          <w:bCs/>
          <w:i/>
          <w:iCs/>
          <w:szCs w:val="21"/>
          <w:u w:val="single"/>
          <w:lang w:bidi="ar"/>
        </w:rPr>
        <w:t xml:space="preserve">        （采购文件中明确的所属行业）    </w:t>
      </w:r>
      <w:r>
        <w:rPr>
          <w:rFonts w:hint="eastAsia" w:ascii="宋体" w:hAnsi="宋体" w:cs="宋体"/>
          <w:szCs w:val="21"/>
          <w:lang w:bidi="ar"/>
        </w:rPr>
        <w:t>行业；承接企业为</w:t>
      </w:r>
      <w:r>
        <w:rPr>
          <w:rFonts w:hint="eastAsia" w:ascii="宋体" w:hAnsi="宋体" w:cs="宋体"/>
          <w:b/>
          <w:bCs/>
          <w:i/>
          <w:iCs/>
          <w:szCs w:val="21"/>
          <w:u w:val="single"/>
          <w:lang w:bidi="ar"/>
        </w:rPr>
        <w:t xml:space="preserve">    （企业名称，要求承接企业本身所属行业应当与招标文件要求的行业相一致）    </w:t>
      </w:r>
      <w:r>
        <w:rPr>
          <w:rFonts w:hint="eastAsia" w:ascii="宋体" w:hAnsi="宋体" w:cs="宋体"/>
          <w:szCs w:val="21"/>
          <w:lang w:bidi="ar"/>
        </w:rPr>
        <w:t>，从业人员</w:t>
      </w:r>
      <w:r>
        <w:rPr>
          <w:rFonts w:hint="eastAsia" w:ascii="宋体" w:hAnsi="宋体" w:cs="宋体"/>
          <w:b/>
          <w:bCs/>
          <w:i/>
          <w:iCs/>
          <w:szCs w:val="21"/>
          <w:u w:val="single"/>
          <w:lang w:bidi="ar"/>
        </w:rPr>
        <w:t xml:space="preserve">        </w:t>
      </w:r>
      <w:r>
        <w:rPr>
          <w:rFonts w:hint="eastAsia" w:ascii="宋体" w:hAnsi="宋体" w:cs="宋体"/>
          <w:szCs w:val="21"/>
          <w:lang w:bidi="ar"/>
        </w:rPr>
        <w:t>人，营业收入为</w:t>
      </w:r>
      <w:r>
        <w:rPr>
          <w:rFonts w:hint="eastAsia" w:ascii="宋体" w:hAnsi="宋体" w:cs="宋体"/>
          <w:b/>
          <w:bCs/>
          <w:i/>
          <w:iCs/>
          <w:szCs w:val="21"/>
          <w:u w:val="single"/>
          <w:lang w:bidi="ar"/>
        </w:rPr>
        <w:t xml:space="preserve">        </w:t>
      </w:r>
      <w:r>
        <w:rPr>
          <w:rFonts w:hint="eastAsia" w:ascii="宋体" w:hAnsi="宋体" w:cs="宋体"/>
          <w:szCs w:val="21"/>
          <w:lang w:bidi="ar"/>
        </w:rPr>
        <w:t>万元，资产总额为</w:t>
      </w:r>
      <w:r>
        <w:rPr>
          <w:rFonts w:hint="eastAsia" w:ascii="宋体" w:hAnsi="宋体" w:cs="宋体"/>
          <w:b/>
          <w:bCs/>
          <w:i/>
          <w:iCs/>
          <w:szCs w:val="21"/>
          <w:u w:val="single"/>
          <w:lang w:bidi="ar"/>
        </w:rPr>
        <w:t xml:space="preserve">        </w:t>
      </w:r>
      <w:r>
        <w:rPr>
          <w:rFonts w:hint="eastAsia" w:ascii="宋体" w:hAnsi="宋体" w:cs="宋体"/>
          <w:szCs w:val="21"/>
          <w:lang w:bidi="ar"/>
        </w:rPr>
        <w:t>万元，属于</w:t>
      </w:r>
      <w:r>
        <w:rPr>
          <w:rFonts w:hint="eastAsia" w:ascii="宋体" w:hAnsi="宋体" w:cs="宋体"/>
          <w:b/>
          <w:bCs/>
          <w:i/>
          <w:iCs/>
          <w:szCs w:val="21"/>
          <w:u w:val="single"/>
          <w:lang w:bidi="ar"/>
        </w:rPr>
        <w:t xml:space="preserve">    （中型企业、小型企业、微型企业）    </w:t>
      </w:r>
      <w:r>
        <w:rPr>
          <w:rFonts w:hint="eastAsia" w:ascii="宋体" w:hAnsi="宋体" w:cs="宋体"/>
          <w:szCs w:val="21"/>
          <w:lang w:bidi="ar"/>
        </w:rPr>
        <w:t>；</w:t>
      </w:r>
    </w:p>
    <w:p w14:paraId="10737435">
      <w:pPr>
        <w:spacing w:line="360" w:lineRule="auto"/>
        <w:ind w:firstLine="420" w:firstLineChars="200"/>
        <w:outlineLvl w:val="3"/>
        <w:rPr>
          <w:rFonts w:hint="eastAsia" w:ascii="宋体" w:hAnsi="宋体" w:cs="宋体"/>
          <w:szCs w:val="21"/>
        </w:rPr>
      </w:pPr>
      <w:r>
        <w:rPr>
          <w:rFonts w:hint="eastAsia" w:ascii="宋体" w:hAnsi="宋体" w:cs="宋体"/>
          <w:szCs w:val="21"/>
          <w:lang w:bidi="ar"/>
        </w:rPr>
        <w:t>2.</w:t>
      </w:r>
      <w:r>
        <w:rPr>
          <w:rFonts w:hint="eastAsia" w:ascii="宋体" w:hAnsi="宋体" w:cs="宋体"/>
          <w:b/>
          <w:bCs/>
          <w:i/>
          <w:iCs/>
          <w:szCs w:val="21"/>
          <w:u w:val="single"/>
          <w:lang w:bidi="ar"/>
        </w:rPr>
        <w:t xml:space="preserve">    （标的名称）     </w:t>
      </w:r>
      <w:r>
        <w:rPr>
          <w:rFonts w:hint="eastAsia" w:ascii="宋体" w:hAnsi="宋体" w:cs="宋体"/>
          <w:szCs w:val="21"/>
          <w:lang w:bidi="ar"/>
        </w:rPr>
        <w:t>，属于</w:t>
      </w:r>
      <w:r>
        <w:rPr>
          <w:rFonts w:hint="eastAsia" w:ascii="宋体" w:hAnsi="宋体" w:cs="宋体"/>
          <w:b/>
          <w:bCs/>
          <w:i/>
          <w:iCs/>
          <w:szCs w:val="21"/>
          <w:u w:val="single"/>
          <w:lang w:bidi="ar"/>
        </w:rPr>
        <w:t xml:space="preserve">        （采购文件中明确的所属行业）    </w:t>
      </w:r>
      <w:r>
        <w:rPr>
          <w:rFonts w:hint="eastAsia" w:ascii="宋体" w:hAnsi="宋体" w:cs="宋体"/>
          <w:szCs w:val="21"/>
          <w:lang w:bidi="ar"/>
        </w:rPr>
        <w:t>行业；承接企业为</w:t>
      </w:r>
      <w:r>
        <w:rPr>
          <w:rFonts w:hint="eastAsia" w:ascii="宋体" w:hAnsi="宋体" w:cs="宋体"/>
          <w:b/>
          <w:bCs/>
          <w:i/>
          <w:iCs/>
          <w:szCs w:val="21"/>
          <w:u w:val="single"/>
          <w:lang w:bidi="ar"/>
        </w:rPr>
        <w:t xml:space="preserve">    （企业名称，要求承接企业本身所属行业应当与招标文件要求的行业相一致）    </w:t>
      </w:r>
      <w:r>
        <w:rPr>
          <w:rFonts w:hint="eastAsia" w:ascii="宋体" w:hAnsi="宋体" w:cs="宋体"/>
          <w:szCs w:val="21"/>
          <w:lang w:bidi="ar"/>
        </w:rPr>
        <w:t>，从业人员</w:t>
      </w:r>
      <w:r>
        <w:rPr>
          <w:rFonts w:hint="eastAsia" w:ascii="宋体" w:hAnsi="宋体" w:cs="宋体"/>
          <w:b/>
          <w:bCs/>
          <w:i/>
          <w:iCs/>
          <w:szCs w:val="21"/>
          <w:u w:val="single"/>
          <w:lang w:bidi="ar"/>
        </w:rPr>
        <w:t xml:space="preserve">        </w:t>
      </w:r>
      <w:r>
        <w:rPr>
          <w:rFonts w:hint="eastAsia" w:ascii="宋体" w:hAnsi="宋体" w:cs="宋体"/>
          <w:szCs w:val="21"/>
          <w:lang w:bidi="ar"/>
        </w:rPr>
        <w:t>人，营业收入为</w:t>
      </w:r>
      <w:r>
        <w:rPr>
          <w:rFonts w:hint="eastAsia" w:ascii="宋体" w:hAnsi="宋体" w:cs="宋体"/>
          <w:b/>
          <w:bCs/>
          <w:i/>
          <w:iCs/>
          <w:szCs w:val="21"/>
          <w:u w:val="single"/>
          <w:lang w:bidi="ar"/>
        </w:rPr>
        <w:t xml:space="preserve">        </w:t>
      </w:r>
      <w:r>
        <w:rPr>
          <w:rFonts w:hint="eastAsia" w:ascii="宋体" w:hAnsi="宋体" w:cs="宋体"/>
          <w:szCs w:val="21"/>
          <w:lang w:bidi="ar"/>
        </w:rPr>
        <w:t>万元，资产总额为</w:t>
      </w:r>
      <w:r>
        <w:rPr>
          <w:rFonts w:hint="eastAsia" w:ascii="宋体" w:hAnsi="宋体" w:cs="宋体"/>
          <w:b/>
          <w:bCs/>
          <w:i/>
          <w:iCs/>
          <w:szCs w:val="21"/>
          <w:u w:val="single"/>
          <w:lang w:bidi="ar"/>
        </w:rPr>
        <w:t xml:space="preserve">        </w:t>
      </w:r>
      <w:r>
        <w:rPr>
          <w:rFonts w:hint="eastAsia" w:ascii="宋体" w:hAnsi="宋体" w:cs="宋体"/>
          <w:szCs w:val="21"/>
          <w:lang w:bidi="ar"/>
        </w:rPr>
        <w:t>万元，属于</w:t>
      </w:r>
      <w:r>
        <w:rPr>
          <w:rFonts w:hint="eastAsia" w:ascii="宋体" w:hAnsi="宋体" w:cs="宋体"/>
          <w:b/>
          <w:bCs/>
          <w:i/>
          <w:iCs/>
          <w:szCs w:val="21"/>
          <w:u w:val="single"/>
          <w:lang w:bidi="ar"/>
        </w:rPr>
        <w:t xml:space="preserve">    （中型企业、小型企业、微型企业）    </w:t>
      </w:r>
      <w:r>
        <w:rPr>
          <w:rFonts w:hint="eastAsia" w:ascii="宋体" w:hAnsi="宋体" w:cs="宋体"/>
          <w:szCs w:val="21"/>
          <w:lang w:bidi="ar"/>
        </w:rPr>
        <w:t>；</w:t>
      </w:r>
    </w:p>
    <w:p w14:paraId="5C04A751">
      <w:pPr>
        <w:spacing w:line="360" w:lineRule="auto"/>
        <w:ind w:firstLine="420" w:firstLineChars="200"/>
        <w:outlineLvl w:val="3"/>
        <w:rPr>
          <w:rFonts w:hint="eastAsia" w:ascii="宋体" w:hAnsi="宋体" w:cs="宋体"/>
          <w:szCs w:val="21"/>
        </w:rPr>
      </w:pPr>
      <w:r>
        <w:rPr>
          <w:rFonts w:hint="eastAsia" w:ascii="宋体" w:hAnsi="宋体" w:cs="宋体"/>
          <w:szCs w:val="21"/>
          <w:lang w:bidi="ar"/>
        </w:rPr>
        <w:t>……</w:t>
      </w:r>
    </w:p>
    <w:p w14:paraId="7C518B92">
      <w:pPr>
        <w:spacing w:line="360" w:lineRule="auto"/>
        <w:ind w:firstLine="420" w:firstLineChars="200"/>
        <w:outlineLvl w:val="3"/>
        <w:rPr>
          <w:rFonts w:hint="eastAsia" w:ascii="宋体" w:hAnsi="宋体" w:cs="宋体"/>
          <w:szCs w:val="21"/>
        </w:rPr>
      </w:pPr>
      <w:r>
        <w:rPr>
          <w:rFonts w:hint="eastAsia" w:ascii="宋体" w:hAnsi="宋体" w:cs="宋体"/>
          <w:szCs w:val="21"/>
          <w:lang w:bidi="ar"/>
        </w:rPr>
        <w:t>以上企业，不属于大企业的分支机构，不存在控股股东为大企业的情形，也不存在与大企业的负责人为同一人的情形。</w:t>
      </w:r>
    </w:p>
    <w:p w14:paraId="38B452B9">
      <w:pPr>
        <w:spacing w:line="360" w:lineRule="auto"/>
        <w:ind w:firstLine="420" w:firstLineChars="200"/>
        <w:outlineLvl w:val="3"/>
        <w:rPr>
          <w:rFonts w:hint="eastAsia" w:ascii="宋体" w:hAnsi="宋体" w:cs="宋体"/>
          <w:szCs w:val="21"/>
        </w:rPr>
      </w:pPr>
      <w:r>
        <w:rPr>
          <w:rFonts w:hint="eastAsia" w:ascii="宋体" w:hAnsi="宋体" w:cs="宋体"/>
          <w:szCs w:val="21"/>
          <w:lang w:bidi="ar"/>
        </w:rPr>
        <w:t>本企业对上述声明内容的真实性负责。如有虚假，将依法承担相应责任。</w:t>
      </w:r>
    </w:p>
    <w:p w14:paraId="6B45408C">
      <w:pPr>
        <w:spacing w:line="360" w:lineRule="auto"/>
        <w:ind w:firstLine="420" w:firstLineChars="200"/>
        <w:outlineLvl w:val="3"/>
        <w:rPr>
          <w:rFonts w:hint="eastAsia" w:ascii="宋体" w:hAnsi="宋体" w:cs="宋体"/>
          <w:szCs w:val="21"/>
          <w:lang w:bidi="ar"/>
        </w:rPr>
      </w:pPr>
      <w:bookmarkStart w:id="41" w:name="_Hlk73562275"/>
      <w:r>
        <w:rPr>
          <w:rFonts w:hint="eastAsia" w:ascii="宋体" w:hAnsi="宋体" w:cs="宋体"/>
          <w:szCs w:val="21"/>
          <w:lang w:bidi="ar"/>
        </w:rPr>
        <w:t>本投标人已知悉《政府采购促进中小企业发展管理办法》（财库〔2020〕 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41"/>
    </w:p>
    <w:p w14:paraId="01F1B4EF">
      <w:pPr>
        <w:pStyle w:val="18"/>
      </w:pPr>
    </w:p>
    <w:p w14:paraId="4B7B79E3">
      <w:pPr>
        <w:ind w:firstLine="420" w:firstLineChars="200"/>
      </w:pPr>
    </w:p>
    <w:p w14:paraId="1597F61E">
      <w:pPr>
        <w:jc w:val="center"/>
        <w:outlineLvl w:val="3"/>
        <w:rPr>
          <w:b/>
          <w:sz w:val="24"/>
        </w:rPr>
      </w:pPr>
      <w:r>
        <w:rPr>
          <w:b/>
          <w:sz w:val="24"/>
          <w:lang w:bidi="ar"/>
        </w:rPr>
        <w:t>2</w:t>
      </w:r>
      <w:r>
        <w:rPr>
          <w:rFonts w:hint="eastAsia" w:cs="宋体"/>
          <w:b/>
          <w:sz w:val="24"/>
          <w:lang w:bidi="ar"/>
        </w:rPr>
        <w:t>、残疾人福利性单位声明函（服务类）</w:t>
      </w:r>
    </w:p>
    <w:p w14:paraId="3238949C">
      <w:pPr>
        <w:spacing w:line="360" w:lineRule="auto"/>
        <w:ind w:firstLine="420" w:firstLineChars="200"/>
        <w:rPr>
          <w:rFonts w:hint="eastAsia" w:ascii="宋体" w:hAnsi="宋体" w:cs="宋体"/>
          <w:szCs w:val="21"/>
        </w:rPr>
      </w:pPr>
      <w:r>
        <w:rPr>
          <w:rFonts w:hint="eastAsia" w:ascii="宋体" w:hAnsi="宋体" w:cs="宋体"/>
          <w:szCs w:val="21"/>
          <w:lang w:bidi="ar"/>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s="宋体"/>
          <w:b/>
          <w:bCs/>
          <w:i/>
          <w:iCs/>
          <w:szCs w:val="21"/>
          <w:u w:val="single"/>
          <w:lang w:bidi="ar"/>
        </w:rPr>
        <w:t xml:space="preserve">    （单位名称）    </w:t>
      </w:r>
      <w:r>
        <w:rPr>
          <w:rFonts w:hint="eastAsia" w:ascii="宋体" w:hAnsi="宋体" w:cs="宋体"/>
          <w:szCs w:val="21"/>
          <w:lang w:bidi="ar"/>
        </w:rPr>
        <w:t>单位的</w:t>
      </w:r>
      <w:r>
        <w:rPr>
          <w:rFonts w:hint="eastAsia" w:ascii="宋体" w:hAnsi="宋体" w:cs="宋体"/>
          <w:b/>
          <w:bCs/>
          <w:i/>
          <w:iCs/>
          <w:szCs w:val="21"/>
          <w:u w:val="single"/>
          <w:lang w:bidi="ar"/>
        </w:rPr>
        <w:t xml:space="preserve">    （项目名称）    </w:t>
      </w:r>
      <w:r>
        <w:rPr>
          <w:rFonts w:hint="eastAsia" w:ascii="宋体" w:hAnsi="宋体" w:cs="宋体"/>
          <w:szCs w:val="21"/>
          <w:lang w:bidi="ar"/>
        </w:rPr>
        <w:t>项目采购活动由本单位提供服务。</w:t>
      </w:r>
    </w:p>
    <w:p w14:paraId="2B63A090">
      <w:pPr>
        <w:spacing w:line="360" w:lineRule="auto"/>
        <w:ind w:firstLine="420" w:firstLineChars="200"/>
        <w:rPr>
          <w:rFonts w:hint="eastAsia" w:ascii="宋体" w:hAnsi="宋体" w:cs="宋体"/>
          <w:szCs w:val="21"/>
        </w:rPr>
      </w:pPr>
      <w:r>
        <w:rPr>
          <w:rFonts w:hint="eastAsia" w:ascii="宋体" w:hAnsi="宋体" w:cs="宋体"/>
          <w:szCs w:val="21"/>
          <w:lang w:bidi="ar"/>
        </w:rPr>
        <w:t>本单位对上述声明的真实性负责。如有虚假，将依法承担相应责任。</w:t>
      </w:r>
    </w:p>
    <w:p w14:paraId="47269663">
      <w:pPr>
        <w:spacing w:line="360" w:lineRule="auto"/>
        <w:ind w:firstLine="420" w:firstLineChars="200"/>
        <w:rPr>
          <w:rFonts w:hint="eastAsia" w:ascii="宋体" w:hAnsi="宋体" w:cs="宋体"/>
          <w:szCs w:val="21"/>
        </w:rPr>
      </w:pPr>
      <w:r>
        <w:rPr>
          <w:rFonts w:hint="eastAsia" w:ascii="宋体" w:hAnsi="宋体" w:cs="宋体"/>
          <w:szCs w:val="21"/>
          <w:lang w:bidi="ar"/>
        </w:rPr>
        <w:t>本投标人已知悉《财政部民政部中国残疾人联合会关于促进残疾人就业政府采购政策的通知》（财库〔2017〕141号）的规定，承诺提供的声明函内容是真实的，如提供声明函内容不实，则依法追究相关法律责任。</w:t>
      </w:r>
    </w:p>
    <w:p w14:paraId="107770EE">
      <w:pPr>
        <w:ind w:firstLine="420" w:firstLineChars="200"/>
        <w:rPr>
          <w:rFonts w:hint="eastAsia" w:ascii="宋体" w:hAnsi="宋体" w:cs="宋体"/>
          <w:szCs w:val="21"/>
        </w:rPr>
      </w:pPr>
    </w:p>
    <w:p w14:paraId="68C84358">
      <w:pPr>
        <w:ind w:firstLine="420" w:firstLineChars="200"/>
        <w:rPr>
          <w:rFonts w:hint="eastAsia" w:ascii="宋体" w:hAnsi="宋体" w:cs="宋体"/>
          <w:szCs w:val="21"/>
        </w:rPr>
      </w:pPr>
    </w:p>
    <w:p w14:paraId="1A6346E0">
      <w:pPr>
        <w:ind w:firstLine="420" w:firstLineChars="200"/>
        <w:rPr>
          <w:rFonts w:hint="eastAsia" w:ascii="宋体" w:hAnsi="宋体" w:cs="宋体"/>
          <w:szCs w:val="21"/>
        </w:rPr>
      </w:pPr>
    </w:p>
    <w:p w14:paraId="6122F8CC">
      <w:pPr>
        <w:jc w:val="center"/>
        <w:outlineLvl w:val="3"/>
        <w:rPr>
          <w:b/>
          <w:sz w:val="24"/>
        </w:rPr>
      </w:pPr>
      <w:r>
        <w:rPr>
          <w:b/>
          <w:sz w:val="24"/>
          <w:lang w:bidi="ar"/>
        </w:rPr>
        <w:t>3</w:t>
      </w:r>
      <w:r>
        <w:rPr>
          <w:rFonts w:hint="eastAsia" w:cs="宋体"/>
          <w:b/>
          <w:sz w:val="24"/>
          <w:lang w:bidi="ar"/>
        </w:rPr>
        <w:t>、监狱企业声明函【服务类，监狱企业如需享受优惠政策，还须另行提供省级以上监狱管理局、戒毒管理局（含新疆生产建设兵团）出具的监狱企业证明文件】</w:t>
      </w:r>
    </w:p>
    <w:p w14:paraId="581A9D25">
      <w:pPr>
        <w:ind w:firstLine="420" w:firstLineChars="200"/>
        <w:rPr>
          <w:rFonts w:hint="eastAsia" w:ascii="宋体" w:hAnsi="宋体" w:cs="宋体"/>
          <w:szCs w:val="21"/>
        </w:rPr>
      </w:pPr>
      <w:r>
        <w:rPr>
          <w:rFonts w:hint="eastAsia" w:ascii="宋体" w:hAnsi="宋体" w:cs="宋体"/>
          <w:szCs w:val="21"/>
          <w:lang w:bidi="ar"/>
        </w:rPr>
        <w:t>本投标人郑重声明，根据《财政部司法部关于政府采购支持监狱企业发展有关问题的通知》（财库〔2014〕68号）的规定，本投标人</w:t>
      </w:r>
      <w:r>
        <w:rPr>
          <w:rFonts w:hint="eastAsia" w:ascii="宋体" w:hAnsi="宋体"/>
          <w:szCs w:val="21"/>
          <w:lang w:bidi="ar"/>
        </w:rPr>
        <w:t>参加</w:t>
      </w:r>
      <w:r>
        <w:rPr>
          <w:rFonts w:hint="eastAsia" w:ascii="宋体" w:hAnsi="宋体" w:cs="宋体"/>
          <w:b/>
          <w:bCs/>
          <w:szCs w:val="21"/>
          <w:u w:val="single"/>
          <w:lang w:bidi="ar"/>
        </w:rPr>
        <w:t>（采购人名称）</w:t>
      </w:r>
      <w:r>
        <w:rPr>
          <w:rFonts w:hint="eastAsia" w:ascii="宋体" w:hAnsi="宋体" w:cs="宋体"/>
          <w:szCs w:val="21"/>
          <w:lang w:bidi="ar"/>
        </w:rPr>
        <w:t>的</w:t>
      </w:r>
      <w:r>
        <w:rPr>
          <w:rFonts w:hint="eastAsia" w:ascii="宋体" w:hAnsi="宋体" w:cs="宋体"/>
          <w:b/>
          <w:bCs/>
          <w:szCs w:val="21"/>
          <w:u w:val="single"/>
          <w:lang w:bidi="ar"/>
        </w:rPr>
        <w:t>（项目名称）</w:t>
      </w:r>
      <w:r>
        <w:rPr>
          <w:rFonts w:hint="eastAsia" w:ascii="宋体" w:hAnsi="宋体" w:cs="宋体"/>
          <w:szCs w:val="21"/>
          <w:lang w:bidi="ar"/>
        </w:rPr>
        <w:t>采购活动，服务全部由符合政策要求的监狱企业承接。相关监狱企业的具体情况如下：</w:t>
      </w:r>
    </w:p>
    <w:p w14:paraId="0BD4523F">
      <w:pPr>
        <w:ind w:firstLine="420" w:firstLineChars="200"/>
        <w:rPr>
          <w:rFonts w:hint="eastAsia" w:ascii="宋体" w:hAnsi="宋体" w:cs="宋体"/>
          <w:szCs w:val="21"/>
        </w:rPr>
      </w:pPr>
      <w:r>
        <w:rPr>
          <w:rFonts w:hint="eastAsia" w:ascii="宋体" w:hAnsi="宋体" w:cs="宋体"/>
          <w:szCs w:val="21"/>
          <w:lang w:bidi="ar"/>
        </w:rPr>
        <w:t>1.</w:t>
      </w:r>
      <w:r>
        <w:rPr>
          <w:rFonts w:hint="eastAsia" w:ascii="宋体" w:hAnsi="宋体" w:cs="宋体"/>
          <w:b/>
          <w:bCs/>
          <w:szCs w:val="21"/>
          <w:u w:val="single"/>
          <w:lang w:bidi="ar"/>
        </w:rPr>
        <w:t xml:space="preserve"> </w:t>
      </w:r>
      <w:r>
        <w:rPr>
          <w:rFonts w:hint="eastAsia" w:ascii="宋体" w:hAnsi="宋体" w:cs="宋体"/>
          <w:b/>
          <w:bCs/>
          <w:i/>
          <w:iCs/>
          <w:szCs w:val="21"/>
          <w:u w:val="single"/>
          <w:lang w:bidi="ar"/>
        </w:rPr>
        <w:t>（标的名称</w:t>
      </w:r>
      <w:r>
        <w:rPr>
          <w:rFonts w:hint="eastAsia" w:ascii="宋体" w:hAnsi="宋体" w:cs="宋体"/>
          <w:b/>
          <w:bCs/>
          <w:szCs w:val="21"/>
          <w:u w:val="single"/>
          <w:lang w:bidi="ar"/>
        </w:rPr>
        <w:t>）</w:t>
      </w:r>
      <w:r>
        <w:rPr>
          <w:rFonts w:hint="eastAsia" w:ascii="宋体" w:hAnsi="宋体" w:cs="宋体"/>
          <w:szCs w:val="21"/>
          <w:lang w:bidi="ar"/>
        </w:rPr>
        <w:t xml:space="preserve"> ，承接单位为</w:t>
      </w:r>
      <w:r>
        <w:rPr>
          <w:rFonts w:hint="eastAsia" w:ascii="宋体" w:hAnsi="宋体" w:cs="宋体"/>
          <w:b/>
          <w:bCs/>
          <w:i/>
          <w:iCs/>
          <w:szCs w:val="21"/>
          <w:u w:val="single"/>
          <w:lang w:bidi="ar"/>
        </w:rPr>
        <w:t>（企业名称）</w:t>
      </w:r>
      <w:r>
        <w:rPr>
          <w:rFonts w:hint="eastAsia" w:ascii="宋体" w:hAnsi="宋体" w:cs="宋体"/>
          <w:szCs w:val="21"/>
          <w:lang w:bidi="ar"/>
        </w:rPr>
        <w:t>，属于</w:t>
      </w:r>
      <w:r>
        <w:rPr>
          <w:rFonts w:hint="eastAsia" w:ascii="宋体" w:hAnsi="宋体" w:cs="宋体"/>
          <w:b/>
          <w:bCs/>
          <w:i/>
          <w:iCs/>
          <w:szCs w:val="21"/>
          <w:u w:val="single"/>
          <w:lang w:bidi="ar"/>
        </w:rPr>
        <w:t>监狱企业</w:t>
      </w:r>
      <w:r>
        <w:rPr>
          <w:rFonts w:hint="eastAsia" w:ascii="宋体" w:hAnsi="宋体" w:cs="宋体"/>
          <w:szCs w:val="21"/>
          <w:lang w:bidi="ar"/>
        </w:rPr>
        <w:t>；</w:t>
      </w:r>
    </w:p>
    <w:p w14:paraId="355CBD35">
      <w:pPr>
        <w:ind w:firstLine="420" w:firstLineChars="200"/>
        <w:rPr>
          <w:rFonts w:hint="eastAsia" w:ascii="宋体" w:hAnsi="宋体" w:cs="宋体"/>
          <w:szCs w:val="21"/>
        </w:rPr>
      </w:pPr>
      <w:r>
        <w:rPr>
          <w:rFonts w:hint="eastAsia" w:ascii="宋体" w:hAnsi="宋体" w:cs="宋体"/>
          <w:szCs w:val="21"/>
          <w:lang w:bidi="ar"/>
        </w:rPr>
        <w:t>2.</w:t>
      </w:r>
      <w:r>
        <w:rPr>
          <w:rFonts w:hint="eastAsia" w:ascii="宋体" w:hAnsi="宋体" w:cs="宋体"/>
          <w:b/>
          <w:bCs/>
          <w:szCs w:val="21"/>
          <w:u w:val="single"/>
          <w:lang w:bidi="ar"/>
        </w:rPr>
        <w:t xml:space="preserve"> </w:t>
      </w:r>
      <w:r>
        <w:rPr>
          <w:rFonts w:hint="eastAsia" w:ascii="宋体" w:hAnsi="宋体" w:cs="宋体"/>
          <w:b/>
          <w:bCs/>
          <w:i/>
          <w:iCs/>
          <w:szCs w:val="21"/>
          <w:u w:val="single"/>
          <w:lang w:bidi="ar"/>
        </w:rPr>
        <w:t>（标的名称）</w:t>
      </w:r>
      <w:r>
        <w:rPr>
          <w:rFonts w:hint="eastAsia" w:ascii="宋体" w:hAnsi="宋体" w:cs="宋体"/>
          <w:i/>
          <w:iCs/>
          <w:szCs w:val="21"/>
          <w:lang w:bidi="ar"/>
        </w:rPr>
        <w:t xml:space="preserve"> </w:t>
      </w:r>
      <w:r>
        <w:rPr>
          <w:rFonts w:hint="eastAsia" w:ascii="宋体" w:hAnsi="宋体" w:cs="宋体"/>
          <w:szCs w:val="21"/>
          <w:lang w:bidi="ar"/>
        </w:rPr>
        <w:t>，承接单位为</w:t>
      </w:r>
      <w:r>
        <w:rPr>
          <w:rFonts w:hint="eastAsia" w:ascii="宋体" w:hAnsi="宋体" w:cs="宋体"/>
          <w:b/>
          <w:bCs/>
          <w:i/>
          <w:iCs/>
          <w:szCs w:val="21"/>
          <w:u w:val="single"/>
          <w:lang w:bidi="ar"/>
        </w:rPr>
        <w:t>（企业名称）</w:t>
      </w:r>
      <w:r>
        <w:rPr>
          <w:rFonts w:hint="eastAsia" w:ascii="宋体" w:hAnsi="宋体" w:cs="宋体"/>
          <w:szCs w:val="21"/>
          <w:lang w:bidi="ar"/>
        </w:rPr>
        <w:t>，属于</w:t>
      </w:r>
      <w:r>
        <w:rPr>
          <w:rFonts w:hint="eastAsia" w:ascii="宋体" w:hAnsi="宋体" w:cs="宋体"/>
          <w:b/>
          <w:bCs/>
          <w:i/>
          <w:iCs/>
          <w:szCs w:val="21"/>
          <w:u w:val="single"/>
          <w:lang w:bidi="ar"/>
        </w:rPr>
        <w:t>监狱企业</w:t>
      </w:r>
      <w:r>
        <w:rPr>
          <w:rFonts w:hint="eastAsia" w:ascii="宋体" w:hAnsi="宋体" w:cs="宋体"/>
          <w:szCs w:val="21"/>
          <w:lang w:bidi="ar"/>
        </w:rPr>
        <w:t>。</w:t>
      </w:r>
    </w:p>
    <w:p w14:paraId="04D298C0">
      <w:pPr>
        <w:ind w:firstLine="420" w:firstLineChars="200"/>
        <w:outlineLvl w:val="3"/>
        <w:rPr>
          <w:rFonts w:hint="eastAsia" w:ascii="宋体" w:hAnsi="宋体" w:cs="宋体"/>
          <w:szCs w:val="21"/>
        </w:rPr>
      </w:pPr>
      <w:r>
        <w:rPr>
          <w:rFonts w:hint="eastAsia" w:ascii="宋体" w:hAnsi="宋体" w:cs="宋体"/>
          <w:szCs w:val="21"/>
          <w:lang w:bidi="ar"/>
        </w:rPr>
        <w:t xml:space="preserve">…… </w:t>
      </w:r>
    </w:p>
    <w:p w14:paraId="33D611D8">
      <w:pPr>
        <w:ind w:firstLine="420" w:firstLineChars="200"/>
        <w:rPr>
          <w:rFonts w:hint="eastAsia" w:ascii="宋体" w:hAnsi="宋体" w:cs="宋体"/>
          <w:szCs w:val="21"/>
        </w:rPr>
      </w:pPr>
      <w:r>
        <w:rPr>
          <w:rFonts w:hint="eastAsia" w:ascii="宋体" w:hAnsi="宋体"/>
          <w:szCs w:val="21"/>
          <w:lang w:bidi="ar"/>
        </w:rPr>
        <w:t>本投标人</w:t>
      </w:r>
      <w:r>
        <w:rPr>
          <w:rFonts w:hint="eastAsia" w:ascii="宋体" w:hAnsi="宋体" w:cs="宋体"/>
          <w:szCs w:val="21"/>
          <w:lang w:bidi="ar"/>
        </w:rPr>
        <w:t>对上述声明内容的真实性负责。如有虚假，将依法承担相应责任。</w:t>
      </w:r>
    </w:p>
    <w:p w14:paraId="2463CCE1">
      <w:pPr>
        <w:ind w:firstLine="420" w:firstLineChars="200"/>
        <w:rPr>
          <w:rFonts w:hint="eastAsia" w:ascii="宋体" w:hAnsi="宋体" w:cs="宋体"/>
          <w:szCs w:val="21"/>
        </w:rPr>
      </w:pPr>
      <w:r>
        <w:rPr>
          <w:rFonts w:hint="eastAsia" w:ascii="宋体" w:hAnsi="宋体" w:cs="宋体"/>
          <w:szCs w:val="21"/>
          <w:lang w:bidi="ar"/>
        </w:rPr>
        <w:t>附：省级以上监狱管理局、戒毒管理局（含新疆生产建设兵团）出具的监狱企业证明文件。</w:t>
      </w:r>
    </w:p>
    <w:p w14:paraId="6868C072">
      <w:pPr>
        <w:rPr>
          <w:rFonts w:ascii="黑体" w:eastAsia="黑体"/>
          <w:sz w:val="24"/>
        </w:rPr>
      </w:pPr>
      <w:r>
        <w:rPr>
          <w:rFonts w:hint="eastAsia" w:ascii="黑体" w:eastAsia="黑体"/>
          <w:sz w:val="24"/>
        </w:rPr>
        <w:br w:type="page"/>
      </w:r>
    </w:p>
    <w:p w14:paraId="121049CC">
      <w:pPr>
        <w:pStyle w:val="4"/>
        <w:jc w:val="center"/>
        <w:rPr>
          <w:rFonts w:hint="eastAsia" w:ascii="黑体" w:eastAsia="黑体"/>
          <w:b w:val="0"/>
          <w:sz w:val="24"/>
          <w:szCs w:val="24"/>
        </w:rPr>
      </w:pPr>
      <w:r>
        <w:rPr>
          <w:rFonts w:hint="eastAsia" w:ascii="黑体" w:eastAsia="黑体"/>
          <w:b w:val="0"/>
          <w:sz w:val="24"/>
          <w:szCs w:val="24"/>
        </w:rPr>
        <w:t>四、项目详细报价</w:t>
      </w:r>
    </w:p>
    <w:p w14:paraId="49521344">
      <w:pPr>
        <w:pStyle w:val="18"/>
      </w:pPr>
    </w:p>
    <w:p w14:paraId="78018B98">
      <w:pPr>
        <w:pStyle w:val="35"/>
      </w:pPr>
    </w:p>
    <w:p w14:paraId="7BF39C2F">
      <w:pPr>
        <w:pStyle w:val="35"/>
        <w:jc w:val="center"/>
      </w:pPr>
      <w:r>
        <w:rPr>
          <w:rFonts w:hint="eastAsia"/>
          <w:b/>
          <w:bCs/>
        </w:rPr>
        <w:t>（一）</w:t>
      </w:r>
      <w:r>
        <w:rPr>
          <w:rFonts w:hint="eastAsia"/>
          <w:b/>
        </w:rPr>
        <w:t>分项报价表</w:t>
      </w:r>
    </w:p>
    <w:tbl>
      <w:tblPr>
        <w:tblStyle w:val="42"/>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6"/>
        <w:gridCol w:w="2625"/>
        <w:gridCol w:w="2034"/>
      </w:tblGrid>
      <w:tr w14:paraId="1EB4ADF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cantSplit/>
          <w:trHeight w:val="720" w:hRule="atLeast"/>
          <w:jc w:val="center"/>
        </w:trPr>
        <w:tc>
          <w:tcPr>
            <w:tcW w:w="3246" w:type="dxa"/>
            <w:tcBorders>
              <w:top w:val="double" w:color="auto" w:sz="4" w:space="0"/>
              <w:bottom w:val="single" w:color="auto" w:sz="4" w:space="0"/>
            </w:tcBorders>
            <w:vAlign w:val="center"/>
          </w:tcPr>
          <w:p w14:paraId="06797C7B">
            <w:pPr>
              <w:widowControl/>
              <w:adjustRightInd w:val="0"/>
              <w:snapToGrid w:val="0"/>
              <w:spacing w:line="300" w:lineRule="auto"/>
              <w:jc w:val="center"/>
              <w:rPr>
                <w:rFonts w:hint="eastAsia" w:ascii="宋体" w:hAnsi="宋体"/>
                <w:snapToGrid w:val="0"/>
                <w:kern w:val="0"/>
                <w:sz w:val="24"/>
                <w:szCs w:val="21"/>
              </w:rPr>
            </w:pPr>
            <w:r>
              <w:rPr>
                <w:rFonts w:hint="eastAsia" w:ascii="宋体" w:hAnsi="宋体"/>
                <w:snapToGrid w:val="0"/>
                <w:kern w:val="0"/>
                <w:sz w:val="24"/>
                <w:szCs w:val="21"/>
              </w:rPr>
              <w:t>项目名称</w:t>
            </w:r>
          </w:p>
        </w:tc>
        <w:tc>
          <w:tcPr>
            <w:tcW w:w="2625" w:type="dxa"/>
            <w:tcBorders>
              <w:top w:val="double" w:color="auto" w:sz="4" w:space="0"/>
              <w:bottom w:val="single" w:color="auto" w:sz="4" w:space="0"/>
            </w:tcBorders>
            <w:vAlign w:val="center"/>
          </w:tcPr>
          <w:p w14:paraId="5BCF0D1D">
            <w:pPr>
              <w:widowControl/>
              <w:adjustRightInd w:val="0"/>
              <w:snapToGrid w:val="0"/>
              <w:spacing w:line="300" w:lineRule="auto"/>
              <w:jc w:val="center"/>
              <w:rPr>
                <w:rFonts w:hint="eastAsia" w:ascii="宋体" w:hAnsi="宋体"/>
                <w:snapToGrid w:val="0"/>
                <w:kern w:val="0"/>
                <w:sz w:val="24"/>
                <w:szCs w:val="21"/>
              </w:rPr>
            </w:pPr>
            <w:r>
              <w:rPr>
                <w:rFonts w:hint="eastAsia" w:ascii="宋体" w:hAnsi="宋体"/>
                <w:snapToGrid w:val="0"/>
                <w:kern w:val="0"/>
                <w:sz w:val="24"/>
                <w:szCs w:val="21"/>
              </w:rPr>
              <w:t>投标报价（元）</w:t>
            </w:r>
          </w:p>
        </w:tc>
        <w:tc>
          <w:tcPr>
            <w:tcW w:w="2034" w:type="dxa"/>
            <w:tcBorders>
              <w:top w:val="double" w:color="auto" w:sz="4" w:space="0"/>
              <w:bottom w:val="single" w:color="auto" w:sz="4" w:space="0"/>
            </w:tcBorders>
            <w:vAlign w:val="center"/>
          </w:tcPr>
          <w:p w14:paraId="6E3B5019">
            <w:pPr>
              <w:widowControl/>
              <w:adjustRightInd w:val="0"/>
              <w:snapToGrid w:val="0"/>
              <w:spacing w:line="300" w:lineRule="auto"/>
              <w:jc w:val="center"/>
              <w:rPr>
                <w:rFonts w:hint="eastAsia" w:ascii="宋体" w:hAnsi="宋体"/>
                <w:snapToGrid w:val="0"/>
                <w:kern w:val="0"/>
                <w:sz w:val="24"/>
                <w:szCs w:val="21"/>
              </w:rPr>
            </w:pPr>
            <w:r>
              <w:rPr>
                <w:rFonts w:hint="eastAsia" w:ascii="宋体" w:hAnsi="宋体"/>
                <w:snapToGrid w:val="0"/>
                <w:kern w:val="0"/>
                <w:sz w:val="24"/>
                <w:szCs w:val="21"/>
              </w:rPr>
              <w:t>备注</w:t>
            </w:r>
          </w:p>
        </w:tc>
      </w:tr>
      <w:tr w14:paraId="75083FC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jc w:val="center"/>
        </w:trPr>
        <w:tc>
          <w:tcPr>
            <w:tcW w:w="3246" w:type="dxa"/>
            <w:tcBorders>
              <w:top w:val="single" w:color="auto" w:sz="4" w:space="0"/>
            </w:tcBorders>
            <w:vAlign w:val="center"/>
          </w:tcPr>
          <w:p w14:paraId="01255EE8">
            <w:pPr>
              <w:widowControl/>
              <w:adjustRightInd w:val="0"/>
              <w:snapToGrid w:val="0"/>
              <w:spacing w:line="300" w:lineRule="auto"/>
              <w:jc w:val="center"/>
              <w:rPr>
                <w:rFonts w:hint="eastAsia" w:ascii="宋体" w:hAnsi="宋体"/>
                <w:snapToGrid w:val="0"/>
                <w:kern w:val="0"/>
                <w:sz w:val="24"/>
                <w:szCs w:val="21"/>
                <w:u w:val="single"/>
              </w:rPr>
            </w:pPr>
            <w:r>
              <w:rPr>
                <w:rFonts w:hint="eastAsia" w:ascii="宋体" w:hAnsi="宋体"/>
                <w:snapToGrid w:val="0"/>
                <w:kern w:val="0"/>
                <w:sz w:val="24"/>
                <w:szCs w:val="21"/>
                <w:u w:val="single"/>
              </w:rPr>
              <w:t>深圳外国语湾区学校四五年级研学课程服务项目</w:t>
            </w:r>
          </w:p>
        </w:tc>
        <w:tc>
          <w:tcPr>
            <w:tcW w:w="2625" w:type="dxa"/>
            <w:tcBorders>
              <w:top w:val="single" w:color="auto" w:sz="4" w:space="0"/>
            </w:tcBorders>
            <w:vAlign w:val="center"/>
          </w:tcPr>
          <w:p w14:paraId="1E2C0063">
            <w:pPr>
              <w:widowControl/>
              <w:adjustRightInd w:val="0"/>
              <w:snapToGrid w:val="0"/>
              <w:spacing w:line="300" w:lineRule="auto"/>
              <w:jc w:val="left"/>
              <w:rPr>
                <w:rFonts w:hint="eastAsia" w:ascii="宋体" w:hAnsi="宋体"/>
                <w:snapToGrid w:val="0"/>
                <w:kern w:val="0"/>
                <w:sz w:val="24"/>
                <w:szCs w:val="21"/>
              </w:rPr>
            </w:pPr>
            <w:r>
              <w:rPr>
                <w:rFonts w:hint="eastAsia" w:ascii="宋体" w:hAnsi="宋体"/>
                <w:snapToGrid w:val="0"/>
                <w:kern w:val="0"/>
                <w:sz w:val="24"/>
                <w:szCs w:val="21"/>
              </w:rPr>
              <w:t>大写：</w:t>
            </w:r>
          </w:p>
          <w:p w14:paraId="513BB9E1">
            <w:pPr>
              <w:widowControl/>
              <w:adjustRightInd w:val="0"/>
              <w:snapToGrid w:val="0"/>
              <w:spacing w:line="300" w:lineRule="auto"/>
              <w:jc w:val="left"/>
            </w:pPr>
            <w:r>
              <w:rPr>
                <w:rFonts w:hint="eastAsia" w:ascii="宋体" w:hAnsi="宋体"/>
                <w:snapToGrid w:val="0"/>
                <w:kern w:val="0"/>
                <w:sz w:val="24"/>
                <w:szCs w:val="21"/>
              </w:rPr>
              <w:t>小写：</w:t>
            </w:r>
          </w:p>
        </w:tc>
        <w:tc>
          <w:tcPr>
            <w:tcW w:w="2034" w:type="dxa"/>
            <w:tcBorders>
              <w:top w:val="single" w:color="auto" w:sz="4" w:space="0"/>
            </w:tcBorders>
            <w:vAlign w:val="center"/>
          </w:tcPr>
          <w:p w14:paraId="0C338CFC">
            <w:pPr>
              <w:widowControl/>
              <w:adjustRightInd w:val="0"/>
              <w:snapToGrid w:val="0"/>
              <w:spacing w:line="300" w:lineRule="auto"/>
              <w:jc w:val="center"/>
              <w:rPr>
                <w:rFonts w:hint="eastAsia" w:ascii="宋体" w:hAnsi="宋体"/>
                <w:snapToGrid w:val="0"/>
                <w:kern w:val="0"/>
                <w:sz w:val="24"/>
                <w:szCs w:val="21"/>
              </w:rPr>
            </w:pPr>
          </w:p>
        </w:tc>
      </w:tr>
    </w:tbl>
    <w:p w14:paraId="6752FF1E">
      <w:pPr>
        <w:ind w:left="632" w:hanging="632" w:hangingChars="300"/>
        <w:rPr>
          <w:rFonts w:hint="eastAsia" w:ascii="宋体" w:hAnsi="宋体"/>
          <w:color w:val="0000FF"/>
          <w:kern w:val="0"/>
          <w:szCs w:val="21"/>
        </w:rPr>
      </w:pPr>
      <w:r>
        <w:rPr>
          <w:rFonts w:hint="eastAsia"/>
          <w:b/>
          <w:color w:val="0000FF"/>
          <w:szCs w:val="21"/>
        </w:rPr>
        <w:t>注：</w:t>
      </w:r>
      <w:r>
        <w:rPr>
          <w:rFonts w:hint="eastAsia" w:ascii="宋体" w:hAnsi="宋体"/>
          <w:color w:val="0000FF"/>
          <w:kern w:val="0"/>
          <w:szCs w:val="21"/>
        </w:rPr>
        <w:t>1、投标人的投标报价不得超过预算金额，否则将导致投标无效。</w:t>
      </w:r>
    </w:p>
    <w:p w14:paraId="70F8141A">
      <w:pPr>
        <w:widowControl/>
        <w:snapToGrid w:val="0"/>
        <w:ind w:firstLine="420" w:firstLineChars="200"/>
        <w:jc w:val="left"/>
        <w:rPr>
          <w:rFonts w:hint="eastAsia" w:ascii="宋体" w:hAnsi="宋体"/>
          <w:color w:val="0000FF"/>
          <w:kern w:val="0"/>
          <w:szCs w:val="21"/>
        </w:rPr>
      </w:pPr>
      <w:r>
        <w:rPr>
          <w:rFonts w:hint="eastAsia" w:ascii="宋体" w:hAnsi="宋体"/>
          <w:color w:val="0000FF"/>
          <w:kern w:val="0"/>
          <w:szCs w:val="21"/>
        </w:rPr>
        <w:t>2、服务类项目包含硬件设备、产品等货物采购的，除了要求供应商响应服务方案及报价外，必须按照货物类公开招标文件模板规定的分项报价表格式，要求供应商响应货物标的产品规格型号并逐一分项报价。</w:t>
      </w:r>
    </w:p>
    <w:p w14:paraId="19C681EA">
      <w:pPr>
        <w:tabs>
          <w:tab w:val="left" w:pos="720"/>
        </w:tabs>
        <w:jc w:val="center"/>
        <w:rPr>
          <w:b/>
          <w:sz w:val="24"/>
        </w:rPr>
      </w:pPr>
      <w:r>
        <w:rPr>
          <w:rFonts w:hint="eastAsia"/>
          <w:b/>
          <w:sz w:val="24"/>
        </w:rPr>
        <w:t>（二）单项报价</w:t>
      </w:r>
    </w:p>
    <w:tbl>
      <w:tblPr>
        <w:tblStyle w:val="43"/>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0"/>
        <w:gridCol w:w="1266"/>
        <w:gridCol w:w="1199"/>
        <w:gridCol w:w="1174"/>
        <w:gridCol w:w="2276"/>
        <w:gridCol w:w="2044"/>
      </w:tblGrid>
      <w:tr w14:paraId="0D2EA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578" w:type="pct"/>
            <w:vAlign w:val="center"/>
          </w:tcPr>
          <w:p w14:paraId="2774D0D8">
            <w:pPr>
              <w:spacing w:line="400" w:lineRule="exact"/>
              <w:jc w:val="center"/>
              <w:rPr>
                <w:b/>
                <w:bCs/>
                <w:sz w:val="22"/>
                <w:szCs w:val="22"/>
              </w:rPr>
            </w:pPr>
            <w:r>
              <w:rPr>
                <w:rFonts w:hint="eastAsia"/>
                <w:b/>
                <w:bCs/>
                <w:sz w:val="22"/>
                <w:szCs w:val="22"/>
              </w:rPr>
              <w:t>年级</w:t>
            </w:r>
          </w:p>
        </w:tc>
        <w:tc>
          <w:tcPr>
            <w:tcW w:w="703" w:type="pct"/>
            <w:vAlign w:val="center"/>
          </w:tcPr>
          <w:p w14:paraId="58077CDB">
            <w:pPr>
              <w:spacing w:line="400" w:lineRule="exact"/>
              <w:jc w:val="center"/>
              <w:rPr>
                <w:b/>
                <w:bCs/>
                <w:sz w:val="22"/>
                <w:szCs w:val="22"/>
              </w:rPr>
            </w:pPr>
            <w:r>
              <w:rPr>
                <w:rFonts w:hint="eastAsia"/>
                <w:b/>
                <w:bCs/>
                <w:sz w:val="22"/>
                <w:szCs w:val="22"/>
              </w:rPr>
              <w:t>研学地点</w:t>
            </w:r>
          </w:p>
        </w:tc>
        <w:tc>
          <w:tcPr>
            <w:tcW w:w="666" w:type="pct"/>
            <w:vAlign w:val="center"/>
          </w:tcPr>
          <w:p w14:paraId="066E165F">
            <w:pPr>
              <w:spacing w:line="400" w:lineRule="exact"/>
              <w:jc w:val="center"/>
              <w:rPr>
                <w:rFonts w:hint="default" w:eastAsia="宋体"/>
                <w:b/>
                <w:bCs/>
                <w:sz w:val="22"/>
                <w:szCs w:val="22"/>
                <w:lang w:val="en-US" w:eastAsia="zh-CN"/>
              </w:rPr>
            </w:pPr>
            <w:r>
              <w:rPr>
                <w:rFonts w:hint="eastAsia"/>
                <w:b/>
                <w:bCs/>
                <w:sz w:val="22"/>
                <w:szCs w:val="22"/>
                <w:lang w:val="en-US" w:eastAsia="zh-CN"/>
              </w:rPr>
              <w:t>预计人数</w:t>
            </w:r>
          </w:p>
        </w:tc>
        <w:tc>
          <w:tcPr>
            <w:tcW w:w="652" w:type="pct"/>
            <w:vAlign w:val="center"/>
          </w:tcPr>
          <w:p w14:paraId="41ACCB0F">
            <w:pPr>
              <w:spacing w:line="400" w:lineRule="exact"/>
              <w:jc w:val="center"/>
              <w:rPr>
                <w:b/>
                <w:bCs/>
                <w:sz w:val="22"/>
                <w:szCs w:val="22"/>
              </w:rPr>
            </w:pPr>
            <w:r>
              <w:rPr>
                <w:rFonts w:hint="eastAsia"/>
                <w:b/>
                <w:bCs/>
                <w:sz w:val="22"/>
                <w:szCs w:val="22"/>
              </w:rPr>
              <w:t>天数</w:t>
            </w:r>
          </w:p>
        </w:tc>
        <w:tc>
          <w:tcPr>
            <w:tcW w:w="1264" w:type="pct"/>
            <w:vAlign w:val="center"/>
          </w:tcPr>
          <w:p w14:paraId="7B92465B">
            <w:pPr>
              <w:spacing w:line="400" w:lineRule="exact"/>
              <w:rPr>
                <w:b/>
                <w:bCs/>
                <w:sz w:val="22"/>
                <w:szCs w:val="22"/>
              </w:rPr>
            </w:pPr>
            <w:r>
              <w:rPr>
                <w:rFonts w:ascii="宋体" w:hAnsi="宋体" w:cs="宋体"/>
                <w:b/>
                <w:bCs/>
                <w:sz w:val="22"/>
                <w:szCs w:val="22"/>
              </w:rPr>
              <w:t>单人投标报价限价（元）</w:t>
            </w:r>
          </w:p>
        </w:tc>
        <w:tc>
          <w:tcPr>
            <w:tcW w:w="1135" w:type="pct"/>
            <w:vAlign w:val="center"/>
          </w:tcPr>
          <w:p w14:paraId="38328AB8">
            <w:pPr>
              <w:spacing w:line="400" w:lineRule="exact"/>
              <w:jc w:val="center"/>
              <w:rPr>
                <w:b/>
                <w:bCs/>
                <w:sz w:val="22"/>
                <w:szCs w:val="22"/>
              </w:rPr>
            </w:pPr>
            <w:r>
              <w:rPr>
                <w:rFonts w:ascii="宋体" w:hAnsi="宋体" w:cs="宋体"/>
                <w:b/>
                <w:bCs/>
                <w:sz w:val="22"/>
                <w:szCs w:val="22"/>
              </w:rPr>
              <w:t>单人投标报价（元）</w:t>
            </w:r>
          </w:p>
        </w:tc>
      </w:tr>
      <w:tr w14:paraId="4238D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 w:type="pct"/>
          </w:tcPr>
          <w:p w14:paraId="0BC3A083">
            <w:pPr>
              <w:spacing w:line="400" w:lineRule="exact"/>
              <w:rPr>
                <w:sz w:val="24"/>
              </w:rPr>
            </w:pPr>
            <w:r>
              <w:rPr>
                <w:rFonts w:hint="eastAsia"/>
                <w:sz w:val="24"/>
              </w:rPr>
              <w:t>四年级</w:t>
            </w:r>
          </w:p>
        </w:tc>
        <w:tc>
          <w:tcPr>
            <w:tcW w:w="703" w:type="pct"/>
          </w:tcPr>
          <w:p w14:paraId="283B226F">
            <w:pPr>
              <w:spacing w:line="400" w:lineRule="exact"/>
              <w:rPr>
                <w:sz w:val="24"/>
              </w:rPr>
            </w:pPr>
            <w:r>
              <w:rPr>
                <w:rFonts w:hint="eastAsia"/>
                <w:sz w:val="24"/>
              </w:rPr>
              <w:t>广东惠州</w:t>
            </w:r>
          </w:p>
        </w:tc>
        <w:tc>
          <w:tcPr>
            <w:tcW w:w="666" w:type="pct"/>
          </w:tcPr>
          <w:p w14:paraId="2650556F">
            <w:pPr>
              <w:spacing w:line="400" w:lineRule="exact"/>
              <w:jc w:val="center"/>
              <w:rPr>
                <w:rFonts w:hint="default" w:eastAsia="宋体"/>
                <w:sz w:val="24"/>
                <w:lang w:val="en-US" w:eastAsia="zh-CN"/>
              </w:rPr>
            </w:pPr>
            <w:r>
              <w:rPr>
                <w:rFonts w:hint="eastAsia"/>
                <w:sz w:val="24"/>
                <w:lang w:val="en-US" w:eastAsia="zh-CN"/>
              </w:rPr>
              <w:t>110</w:t>
            </w:r>
          </w:p>
        </w:tc>
        <w:tc>
          <w:tcPr>
            <w:tcW w:w="652" w:type="pct"/>
          </w:tcPr>
          <w:p w14:paraId="15592CED">
            <w:pPr>
              <w:spacing w:line="400" w:lineRule="exact"/>
              <w:rPr>
                <w:sz w:val="24"/>
              </w:rPr>
            </w:pPr>
            <w:r>
              <w:rPr>
                <w:rFonts w:hint="eastAsia"/>
                <w:sz w:val="24"/>
              </w:rPr>
              <w:t>2天1晚</w:t>
            </w:r>
          </w:p>
        </w:tc>
        <w:tc>
          <w:tcPr>
            <w:tcW w:w="1264" w:type="pct"/>
          </w:tcPr>
          <w:p w14:paraId="2E86FF6E">
            <w:pPr>
              <w:spacing w:line="400" w:lineRule="exact"/>
              <w:jc w:val="center"/>
              <w:rPr>
                <w:sz w:val="24"/>
              </w:rPr>
            </w:pPr>
            <w:r>
              <w:rPr>
                <w:rFonts w:hint="eastAsia"/>
                <w:sz w:val="24"/>
              </w:rPr>
              <w:t>2000</w:t>
            </w:r>
          </w:p>
        </w:tc>
        <w:tc>
          <w:tcPr>
            <w:tcW w:w="1135" w:type="pct"/>
          </w:tcPr>
          <w:p w14:paraId="1D125F12">
            <w:pPr>
              <w:spacing w:line="400" w:lineRule="exact"/>
              <w:rPr>
                <w:sz w:val="24"/>
              </w:rPr>
            </w:pPr>
          </w:p>
        </w:tc>
      </w:tr>
      <w:tr w14:paraId="58286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8" w:type="pct"/>
          </w:tcPr>
          <w:p w14:paraId="2D5FE66A">
            <w:pPr>
              <w:spacing w:line="400" w:lineRule="exact"/>
              <w:rPr>
                <w:sz w:val="24"/>
              </w:rPr>
            </w:pPr>
            <w:r>
              <w:rPr>
                <w:rFonts w:hint="eastAsia"/>
                <w:sz w:val="24"/>
              </w:rPr>
              <w:t>五年级</w:t>
            </w:r>
          </w:p>
        </w:tc>
        <w:tc>
          <w:tcPr>
            <w:tcW w:w="703" w:type="pct"/>
          </w:tcPr>
          <w:p w14:paraId="2702D3E9">
            <w:pPr>
              <w:spacing w:line="400" w:lineRule="exact"/>
              <w:rPr>
                <w:sz w:val="24"/>
              </w:rPr>
            </w:pPr>
            <w:r>
              <w:rPr>
                <w:rFonts w:hint="eastAsia"/>
                <w:sz w:val="24"/>
              </w:rPr>
              <w:t>广东江门</w:t>
            </w:r>
          </w:p>
        </w:tc>
        <w:tc>
          <w:tcPr>
            <w:tcW w:w="666" w:type="pct"/>
          </w:tcPr>
          <w:p w14:paraId="504661AA">
            <w:pPr>
              <w:spacing w:line="400" w:lineRule="exact"/>
              <w:jc w:val="center"/>
              <w:rPr>
                <w:rFonts w:hint="default" w:eastAsia="宋体"/>
                <w:sz w:val="24"/>
                <w:lang w:val="en-US" w:eastAsia="zh-CN"/>
              </w:rPr>
            </w:pPr>
            <w:r>
              <w:rPr>
                <w:rFonts w:hint="eastAsia"/>
                <w:sz w:val="24"/>
                <w:lang w:val="en-US" w:eastAsia="zh-CN"/>
              </w:rPr>
              <w:t>85</w:t>
            </w:r>
          </w:p>
        </w:tc>
        <w:tc>
          <w:tcPr>
            <w:tcW w:w="652" w:type="pct"/>
          </w:tcPr>
          <w:p w14:paraId="3249EF46">
            <w:pPr>
              <w:spacing w:line="400" w:lineRule="exact"/>
              <w:rPr>
                <w:sz w:val="24"/>
              </w:rPr>
            </w:pPr>
            <w:r>
              <w:rPr>
                <w:rFonts w:hint="eastAsia"/>
                <w:sz w:val="24"/>
              </w:rPr>
              <w:t>3天1晚</w:t>
            </w:r>
          </w:p>
        </w:tc>
        <w:tc>
          <w:tcPr>
            <w:tcW w:w="1264" w:type="pct"/>
          </w:tcPr>
          <w:p w14:paraId="54FF56D7">
            <w:pPr>
              <w:spacing w:line="400" w:lineRule="exact"/>
              <w:jc w:val="center"/>
              <w:rPr>
                <w:sz w:val="24"/>
              </w:rPr>
            </w:pPr>
            <w:r>
              <w:rPr>
                <w:rFonts w:hint="eastAsia"/>
                <w:sz w:val="24"/>
              </w:rPr>
              <w:t>3000</w:t>
            </w:r>
          </w:p>
        </w:tc>
        <w:tc>
          <w:tcPr>
            <w:tcW w:w="1135" w:type="pct"/>
          </w:tcPr>
          <w:p w14:paraId="08B5DADC">
            <w:pPr>
              <w:spacing w:line="400" w:lineRule="exact"/>
              <w:rPr>
                <w:sz w:val="24"/>
              </w:rPr>
            </w:pPr>
          </w:p>
        </w:tc>
      </w:tr>
    </w:tbl>
    <w:p w14:paraId="474001FF">
      <w:pPr>
        <w:tabs>
          <w:tab w:val="left" w:pos="720"/>
        </w:tabs>
        <w:jc w:val="center"/>
        <w:rPr>
          <w:b/>
          <w:sz w:val="24"/>
        </w:rPr>
      </w:pPr>
    </w:p>
    <w:p w14:paraId="6C0BA023">
      <w:pPr>
        <w:tabs>
          <w:tab w:val="left" w:pos="720"/>
        </w:tabs>
        <w:jc w:val="center"/>
        <w:rPr>
          <w:b/>
          <w:sz w:val="24"/>
        </w:rPr>
      </w:pPr>
      <w:r>
        <w:rPr>
          <w:rFonts w:hint="eastAsia"/>
          <w:b/>
          <w:sz w:val="24"/>
        </w:rPr>
        <w:t>（二）</w:t>
      </w:r>
      <w:bookmarkStart w:id="42" w:name="_Hlk72073235"/>
      <w:r>
        <w:rPr>
          <w:rFonts w:hint="eastAsia"/>
          <w:b/>
          <w:sz w:val="24"/>
        </w:rPr>
        <w:t>投标人认为需要涉及的其他内容报价清单</w:t>
      </w:r>
      <w:bookmarkEnd w:id="42"/>
    </w:p>
    <w:p w14:paraId="3E036B0E">
      <w:pPr>
        <w:rPr>
          <w:b/>
          <w:bCs/>
        </w:rPr>
      </w:pPr>
      <w:r>
        <w:rPr>
          <w:b/>
          <w:bCs/>
        </w:rPr>
        <w:br w:type="page"/>
      </w:r>
    </w:p>
    <w:p w14:paraId="4D9B1379">
      <w:pPr>
        <w:pStyle w:val="4"/>
        <w:spacing w:before="0" w:after="0"/>
        <w:jc w:val="center"/>
        <w:rPr>
          <w:rFonts w:hint="eastAsia" w:ascii="黑体" w:hAnsi="黑体" w:eastAsia="黑体" w:cs="黑体"/>
          <w:b w:val="0"/>
          <w:bCs w:val="0"/>
          <w:sz w:val="24"/>
          <w:szCs w:val="28"/>
        </w:rPr>
      </w:pPr>
      <w:r>
        <w:rPr>
          <w:rFonts w:hint="eastAsia" w:ascii="黑体" w:hAnsi="黑体" w:eastAsia="黑体" w:cs="黑体"/>
          <w:b w:val="0"/>
          <w:bCs w:val="0"/>
          <w:sz w:val="24"/>
          <w:szCs w:val="28"/>
        </w:rPr>
        <w:t>五、供应商基本情况表</w:t>
      </w:r>
    </w:p>
    <w:p w14:paraId="295D0A94"/>
    <w:p w14:paraId="490DF470">
      <w:pPr>
        <w:rPr>
          <w:rFonts w:hint="eastAsia" w:ascii="宋体" w:hAnsi="宋体" w:cs="宋体"/>
          <w:sz w:val="24"/>
        </w:rPr>
      </w:pPr>
      <w:r>
        <w:rPr>
          <w:rFonts w:hint="eastAsia" w:ascii="宋体" w:hAnsi="宋体" w:cs="宋体"/>
          <w:sz w:val="24"/>
        </w:rPr>
        <w:t>填表单位：</w:t>
      </w:r>
      <w:r>
        <w:rPr>
          <w:rFonts w:hint="eastAsia" w:ascii="宋体" w:hAnsi="宋体" w:cs="宋体"/>
          <w:b/>
          <w:color w:val="FF0000"/>
          <w:sz w:val="24"/>
          <w:highlight w:val="yellow"/>
        </w:rPr>
        <w:t>（加盖单位公章）</w:t>
      </w:r>
      <w:r>
        <w:rPr>
          <w:rFonts w:hint="eastAsia" w:ascii="宋体" w:hAnsi="宋体" w:cs="宋体"/>
          <w:sz w:val="24"/>
        </w:rPr>
        <w:tab/>
      </w:r>
      <w:r>
        <w:rPr>
          <w:rFonts w:hint="eastAsia" w:ascii="宋体" w:hAnsi="宋体" w:cs="宋体"/>
          <w:sz w:val="24"/>
        </w:rPr>
        <w:t xml:space="preserve">                   填表日期：    年   月   日</w:t>
      </w:r>
    </w:p>
    <w:tbl>
      <w:tblPr>
        <w:tblStyle w:val="43"/>
        <w:tblW w:w="95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676"/>
        <w:gridCol w:w="1526"/>
        <w:gridCol w:w="1027"/>
        <w:gridCol w:w="791"/>
        <w:gridCol w:w="912"/>
        <w:gridCol w:w="1972"/>
        <w:gridCol w:w="1928"/>
      </w:tblGrid>
      <w:tr w14:paraId="3E2C7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12" w:type="dxa"/>
            <w:gridSpan w:val="2"/>
            <w:tcBorders>
              <w:top w:val="single" w:color="auto" w:sz="4" w:space="0"/>
              <w:left w:val="single" w:color="auto" w:sz="4" w:space="0"/>
              <w:bottom w:val="single" w:color="auto" w:sz="4" w:space="0"/>
              <w:right w:val="single" w:color="auto" w:sz="4" w:space="0"/>
            </w:tcBorders>
            <w:vAlign w:val="center"/>
          </w:tcPr>
          <w:p w14:paraId="0B82A6B4">
            <w:pPr>
              <w:spacing w:line="400" w:lineRule="exact"/>
              <w:jc w:val="center"/>
              <w:rPr>
                <w:rFonts w:hint="eastAsia" w:ascii="宋体" w:hAnsi="宋体" w:cs="宋体"/>
                <w:sz w:val="22"/>
                <w:szCs w:val="22"/>
              </w:rPr>
            </w:pPr>
            <w:r>
              <w:rPr>
                <w:rFonts w:hint="eastAsia" w:ascii="宋体" w:hAnsi="宋体" w:cs="宋体"/>
                <w:sz w:val="22"/>
                <w:szCs w:val="22"/>
              </w:rPr>
              <w:t>采购人</w:t>
            </w:r>
          </w:p>
        </w:tc>
        <w:tc>
          <w:tcPr>
            <w:tcW w:w="2553" w:type="dxa"/>
            <w:gridSpan w:val="2"/>
            <w:tcBorders>
              <w:top w:val="single" w:color="auto" w:sz="4" w:space="0"/>
              <w:left w:val="single" w:color="auto" w:sz="4" w:space="0"/>
              <w:bottom w:val="single" w:color="auto" w:sz="4" w:space="0"/>
              <w:right w:val="single" w:color="auto" w:sz="4" w:space="0"/>
            </w:tcBorders>
            <w:vAlign w:val="center"/>
          </w:tcPr>
          <w:p w14:paraId="6BEAFB36">
            <w:pPr>
              <w:spacing w:line="400" w:lineRule="exact"/>
              <w:jc w:val="left"/>
              <w:rPr>
                <w:rFonts w:hint="eastAsia" w:ascii="宋体" w:hAnsi="宋体" w:cs="宋体"/>
                <w:sz w:val="22"/>
                <w:szCs w:val="22"/>
              </w:rPr>
            </w:pPr>
          </w:p>
        </w:tc>
        <w:tc>
          <w:tcPr>
            <w:tcW w:w="1703" w:type="dxa"/>
            <w:gridSpan w:val="2"/>
            <w:tcBorders>
              <w:top w:val="single" w:color="auto" w:sz="4" w:space="0"/>
              <w:left w:val="single" w:color="auto" w:sz="4" w:space="0"/>
              <w:bottom w:val="single" w:color="auto" w:sz="4" w:space="0"/>
              <w:right w:val="single" w:color="auto" w:sz="4" w:space="0"/>
            </w:tcBorders>
            <w:vAlign w:val="center"/>
          </w:tcPr>
          <w:p w14:paraId="1324DD37">
            <w:pPr>
              <w:spacing w:line="400" w:lineRule="exact"/>
              <w:jc w:val="center"/>
              <w:rPr>
                <w:rFonts w:hint="eastAsia" w:ascii="宋体" w:hAnsi="宋体" w:cs="宋体"/>
                <w:sz w:val="22"/>
                <w:szCs w:val="22"/>
              </w:rPr>
            </w:pPr>
            <w:r>
              <w:rPr>
                <w:rFonts w:hint="eastAsia" w:ascii="宋体" w:hAnsi="宋体" w:cs="宋体"/>
                <w:sz w:val="22"/>
                <w:szCs w:val="22"/>
              </w:rPr>
              <w:t>项目名称</w:t>
            </w:r>
          </w:p>
        </w:tc>
        <w:tc>
          <w:tcPr>
            <w:tcW w:w="3900" w:type="dxa"/>
            <w:gridSpan w:val="2"/>
            <w:tcBorders>
              <w:top w:val="single" w:color="auto" w:sz="4" w:space="0"/>
              <w:left w:val="single" w:color="auto" w:sz="4" w:space="0"/>
              <w:bottom w:val="single" w:color="auto" w:sz="4" w:space="0"/>
              <w:right w:val="single" w:color="auto" w:sz="4" w:space="0"/>
            </w:tcBorders>
            <w:vAlign w:val="center"/>
          </w:tcPr>
          <w:p w14:paraId="0C85C7FF">
            <w:pPr>
              <w:spacing w:line="400" w:lineRule="exact"/>
              <w:rPr>
                <w:rFonts w:hint="eastAsia" w:ascii="宋体" w:hAnsi="宋体" w:cs="宋体"/>
                <w:sz w:val="22"/>
                <w:szCs w:val="22"/>
              </w:rPr>
            </w:pPr>
          </w:p>
        </w:tc>
      </w:tr>
      <w:tr w14:paraId="02AE0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1412" w:type="dxa"/>
            <w:gridSpan w:val="2"/>
            <w:tcBorders>
              <w:top w:val="single" w:color="auto" w:sz="4" w:space="0"/>
              <w:left w:val="single" w:color="auto" w:sz="4" w:space="0"/>
              <w:bottom w:val="single" w:color="auto" w:sz="4" w:space="0"/>
              <w:right w:val="single" w:color="auto" w:sz="4" w:space="0"/>
            </w:tcBorders>
            <w:vAlign w:val="center"/>
          </w:tcPr>
          <w:p w14:paraId="14669940">
            <w:pPr>
              <w:snapToGrid w:val="0"/>
              <w:spacing w:line="400" w:lineRule="exact"/>
              <w:jc w:val="center"/>
              <w:rPr>
                <w:rFonts w:hint="eastAsia" w:ascii="宋体" w:hAnsi="宋体" w:cs="宋体"/>
                <w:sz w:val="22"/>
                <w:szCs w:val="22"/>
              </w:rPr>
            </w:pPr>
            <w:r>
              <w:rPr>
                <w:rFonts w:hint="eastAsia" w:ascii="宋体" w:hAnsi="宋体" w:cs="宋体"/>
                <w:sz w:val="22"/>
                <w:szCs w:val="22"/>
              </w:rPr>
              <w:t>投标（响应）供应商</w:t>
            </w:r>
          </w:p>
        </w:tc>
        <w:tc>
          <w:tcPr>
            <w:tcW w:w="2553" w:type="dxa"/>
            <w:gridSpan w:val="2"/>
            <w:tcBorders>
              <w:top w:val="single" w:color="auto" w:sz="4" w:space="0"/>
              <w:left w:val="single" w:color="auto" w:sz="4" w:space="0"/>
              <w:bottom w:val="single" w:color="auto" w:sz="4" w:space="0"/>
              <w:right w:val="single" w:color="auto" w:sz="4" w:space="0"/>
            </w:tcBorders>
            <w:vAlign w:val="center"/>
          </w:tcPr>
          <w:p w14:paraId="47258ACD">
            <w:pPr>
              <w:spacing w:line="400" w:lineRule="exact"/>
              <w:jc w:val="center"/>
              <w:rPr>
                <w:rFonts w:hint="eastAsia" w:ascii="宋体" w:hAnsi="宋体" w:cs="宋体"/>
                <w:sz w:val="22"/>
                <w:szCs w:val="22"/>
              </w:rPr>
            </w:pPr>
          </w:p>
        </w:tc>
        <w:tc>
          <w:tcPr>
            <w:tcW w:w="1703" w:type="dxa"/>
            <w:gridSpan w:val="2"/>
            <w:tcBorders>
              <w:top w:val="single" w:color="auto" w:sz="4" w:space="0"/>
              <w:left w:val="single" w:color="auto" w:sz="4" w:space="0"/>
              <w:bottom w:val="single" w:color="auto" w:sz="4" w:space="0"/>
              <w:right w:val="single" w:color="auto" w:sz="4" w:space="0"/>
            </w:tcBorders>
            <w:vAlign w:val="center"/>
          </w:tcPr>
          <w:p w14:paraId="0F0377E0">
            <w:pPr>
              <w:snapToGrid w:val="0"/>
              <w:spacing w:line="400" w:lineRule="exact"/>
              <w:jc w:val="center"/>
              <w:rPr>
                <w:rFonts w:hint="eastAsia" w:ascii="宋体" w:hAnsi="宋体" w:cs="宋体"/>
                <w:sz w:val="22"/>
                <w:szCs w:val="22"/>
              </w:rPr>
            </w:pPr>
            <w:r>
              <w:rPr>
                <w:rFonts w:hint="eastAsia" w:ascii="宋体" w:hAnsi="宋体" w:cs="宋体"/>
                <w:sz w:val="22"/>
                <w:szCs w:val="22"/>
              </w:rPr>
              <w:t>供应商统一社会信用代码</w:t>
            </w:r>
          </w:p>
        </w:tc>
        <w:tc>
          <w:tcPr>
            <w:tcW w:w="3900" w:type="dxa"/>
            <w:gridSpan w:val="2"/>
            <w:tcBorders>
              <w:top w:val="single" w:color="auto" w:sz="4" w:space="0"/>
              <w:left w:val="single" w:color="auto" w:sz="4" w:space="0"/>
              <w:bottom w:val="single" w:color="auto" w:sz="4" w:space="0"/>
              <w:right w:val="single" w:color="auto" w:sz="4" w:space="0"/>
            </w:tcBorders>
            <w:vAlign w:val="center"/>
          </w:tcPr>
          <w:p w14:paraId="0EDFDBDC">
            <w:pPr>
              <w:spacing w:line="400" w:lineRule="exact"/>
              <w:jc w:val="center"/>
              <w:rPr>
                <w:rFonts w:hint="eastAsia" w:ascii="宋体" w:hAnsi="宋体" w:cs="宋体"/>
                <w:sz w:val="22"/>
                <w:szCs w:val="22"/>
              </w:rPr>
            </w:pPr>
          </w:p>
        </w:tc>
      </w:tr>
      <w:tr w14:paraId="4621C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568" w:type="dxa"/>
            <w:gridSpan w:val="8"/>
            <w:tcBorders>
              <w:top w:val="single" w:color="auto" w:sz="4" w:space="0"/>
              <w:left w:val="single" w:color="auto" w:sz="4" w:space="0"/>
              <w:bottom w:val="single" w:color="auto" w:sz="4" w:space="0"/>
              <w:right w:val="single" w:color="auto" w:sz="4" w:space="0"/>
            </w:tcBorders>
            <w:vAlign w:val="center"/>
          </w:tcPr>
          <w:p w14:paraId="523534F0">
            <w:pPr>
              <w:spacing w:line="400" w:lineRule="exact"/>
              <w:jc w:val="center"/>
              <w:rPr>
                <w:rFonts w:hint="eastAsia" w:ascii="宋体" w:hAnsi="宋体" w:cs="宋体"/>
                <w:sz w:val="22"/>
                <w:szCs w:val="22"/>
              </w:rPr>
            </w:pPr>
            <w:r>
              <w:rPr>
                <w:rFonts w:hint="eastAsia" w:ascii="宋体" w:hAnsi="宋体" w:cs="宋体"/>
                <w:b/>
                <w:bCs/>
                <w:sz w:val="22"/>
                <w:szCs w:val="22"/>
              </w:rPr>
              <w:t>投标（响应）供应商相关人员情况</w:t>
            </w:r>
          </w:p>
        </w:tc>
      </w:tr>
      <w:tr w14:paraId="37DED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14:paraId="32348086">
            <w:pPr>
              <w:snapToGrid w:val="0"/>
              <w:spacing w:line="400" w:lineRule="exact"/>
              <w:jc w:val="center"/>
              <w:rPr>
                <w:rFonts w:hint="eastAsia" w:ascii="宋体" w:hAnsi="宋体" w:cs="宋体"/>
                <w:sz w:val="22"/>
                <w:szCs w:val="22"/>
              </w:rPr>
            </w:pPr>
            <w:r>
              <w:rPr>
                <w:rFonts w:hint="eastAsia" w:ascii="宋体" w:hAnsi="宋体" w:cs="宋体"/>
                <w:sz w:val="22"/>
                <w:szCs w:val="22"/>
              </w:rPr>
              <w:t>序号</w:t>
            </w:r>
          </w:p>
        </w:tc>
        <w:tc>
          <w:tcPr>
            <w:tcW w:w="2202" w:type="dxa"/>
            <w:gridSpan w:val="2"/>
            <w:tcBorders>
              <w:top w:val="single" w:color="auto" w:sz="4" w:space="0"/>
              <w:left w:val="single" w:color="auto" w:sz="4" w:space="0"/>
              <w:bottom w:val="single" w:color="auto" w:sz="4" w:space="0"/>
              <w:right w:val="single" w:color="auto" w:sz="4" w:space="0"/>
            </w:tcBorders>
            <w:vAlign w:val="center"/>
          </w:tcPr>
          <w:p w14:paraId="6E7F7C47">
            <w:pPr>
              <w:spacing w:line="400" w:lineRule="exact"/>
              <w:jc w:val="center"/>
              <w:rPr>
                <w:rFonts w:hint="eastAsia" w:ascii="宋体" w:hAnsi="宋体" w:cs="宋体"/>
                <w:sz w:val="22"/>
                <w:szCs w:val="22"/>
              </w:rPr>
            </w:pPr>
            <w:r>
              <w:rPr>
                <w:rFonts w:hint="eastAsia" w:ascii="宋体" w:hAnsi="宋体" w:cs="宋体"/>
                <w:sz w:val="22"/>
                <w:szCs w:val="22"/>
              </w:rPr>
              <w:t>职务</w:t>
            </w:r>
          </w:p>
        </w:tc>
        <w:tc>
          <w:tcPr>
            <w:tcW w:w="1027" w:type="dxa"/>
            <w:tcBorders>
              <w:top w:val="single" w:color="auto" w:sz="4" w:space="0"/>
              <w:left w:val="single" w:color="auto" w:sz="4" w:space="0"/>
              <w:bottom w:val="single" w:color="auto" w:sz="4" w:space="0"/>
              <w:right w:val="single" w:color="auto" w:sz="4" w:space="0"/>
            </w:tcBorders>
            <w:vAlign w:val="center"/>
          </w:tcPr>
          <w:p w14:paraId="60A27CE2">
            <w:pPr>
              <w:spacing w:line="400" w:lineRule="exact"/>
              <w:jc w:val="center"/>
              <w:rPr>
                <w:rFonts w:hint="eastAsia" w:ascii="宋体" w:hAnsi="宋体" w:cs="宋体"/>
                <w:sz w:val="22"/>
                <w:szCs w:val="22"/>
              </w:rPr>
            </w:pPr>
            <w:r>
              <w:rPr>
                <w:rFonts w:hint="eastAsia" w:ascii="宋体" w:hAnsi="宋体" w:cs="宋体"/>
                <w:sz w:val="22"/>
                <w:szCs w:val="22"/>
              </w:rPr>
              <w:t>姓名</w:t>
            </w:r>
          </w:p>
        </w:tc>
        <w:tc>
          <w:tcPr>
            <w:tcW w:w="1703" w:type="dxa"/>
            <w:gridSpan w:val="2"/>
            <w:tcBorders>
              <w:top w:val="single" w:color="auto" w:sz="4" w:space="0"/>
              <w:left w:val="single" w:color="auto" w:sz="4" w:space="0"/>
              <w:bottom w:val="single" w:color="auto" w:sz="4" w:space="0"/>
              <w:right w:val="single" w:color="auto" w:sz="4" w:space="0"/>
            </w:tcBorders>
            <w:vAlign w:val="center"/>
          </w:tcPr>
          <w:p w14:paraId="763370F9">
            <w:pPr>
              <w:spacing w:line="400" w:lineRule="exact"/>
              <w:jc w:val="center"/>
              <w:rPr>
                <w:rFonts w:hint="eastAsia" w:ascii="宋体" w:hAnsi="宋体" w:cs="宋体"/>
                <w:sz w:val="22"/>
                <w:szCs w:val="22"/>
              </w:rPr>
            </w:pPr>
            <w:r>
              <w:rPr>
                <w:rFonts w:hint="eastAsia" w:ascii="宋体" w:hAnsi="宋体" w:cs="宋体"/>
                <w:sz w:val="22"/>
                <w:szCs w:val="22"/>
              </w:rPr>
              <w:t>身份证号码</w:t>
            </w:r>
          </w:p>
        </w:tc>
        <w:tc>
          <w:tcPr>
            <w:tcW w:w="1972" w:type="dxa"/>
            <w:tcBorders>
              <w:top w:val="single" w:color="auto" w:sz="4" w:space="0"/>
              <w:left w:val="single" w:color="auto" w:sz="4" w:space="0"/>
              <w:bottom w:val="single" w:color="auto" w:sz="4" w:space="0"/>
              <w:right w:val="single" w:color="auto" w:sz="4" w:space="0"/>
            </w:tcBorders>
            <w:vAlign w:val="center"/>
          </w:tcPr>
          <w:p w14:paraId="396BB5C1">
            <w:pPr>
              <w:snapToGrid w:val="0"/>
              <w:spacing w:line="400" w:lineRule="exact"/>
              <w:jc w:val="center"/>
              <w:rPr>
                <w:rFonts w:hint="eastAsia" w:ascii="宋体" w:hAnsi="宋体" w:cs="宋体"/>
                <w:sz w:val="22"/>
                <w:szCs w:val="22"/>
              </w:rPr>
            </w:pPr>
            <w:r>
              <w:rPr>
                <w:rFonts w:hint="eastAsia" w:ascii="宋体" w:hAnsi="宋体" w:cs="宋体"/>
                <w:sz w:val="22"/>
                <w:szCs w:val="22"/>
              </w:rPr>
              <w:t>劳动合同</w:t>
            </w:r>
          </w:p>
          <w:p w14:paraId="00E3FBB8">
            <w:pPr>
              <w:snapToGrid w:val="0"/>
              <w:spacing w:line="400" w:lineRule="exact"/>
              <w:jc w:val="center"/>
              <w:rPr>
                <w:rFonts w:hint="eastAsia" w:ascii="宋体" w:hAnsi="宋体" w:cs="宋体"/>
                <w:sz w:val="22"/>
                <w:szCs w:val="22"/>
              </w:rPr>
            </w:pPr>
            <w:r>
              <w:rPr>
                <w:rFonts w:hint="eastAsia" w:ascii="宋体" w:hAnsi="宋体" w:cs="宋体"/>
                <w:sz w:val="22"/>
                <w:szCs w:val="22"/>
              </w:rPr>
              <w:t>关系单位</w:t>
            </w:r>
          </w:p>
        </w:tc>
        <w:tc>
          <w:tcPr>
            <w:tcW w:w="1928" w:type="dxa"/>
            <w:tcBorders>
              <w:top w:val="single" w:color="auto" w:sz="4" w:space="0"/>
              <w:left w:val="single" w:color="auto" w:sz="4" w:space="0"/>
              <w:bottom w:val="single" w:color="auto" w:sz="4" w:space="0"/>
              <w:right w:val="single" w:color="auto" w:sz="4" w:space="0"/>
            </w:tcBorders>
            <w:vAlign w:val="center"/>
          </w:tcPr>
          <w:p w14:paraId="59AC8493">
            <w:pPr>
              <w:snapToGrid w:val="0"/>
              <w:spacing w:line="400" w:lineRule="exact"/>
              <w:jc w:val="center"/>
              <w:rPr>
                <w:rFonts w:hint="eastAsia" w:ascii="宋体" w:hAnsi="宋体" w:cs="宋体"/>
                <w:sz w:val="22"/>
                <w:szCs w:val="22"/>
              </w:rPr>
            </w:pPr>
            <w:r>
              <w:rPr>
                <w:rFonts w:hint="eastAsia" w:ascii="宋体" w:hAnsi="宋体" w:cs="宋体"/>
                <w:sz w:val="22"/>
                <w:szCs w:val="22"/>
              </w:rPr>
              <w:t>缴纳社会</w:t>
            </w:r>
          </w:p>
          <w:p w14:paraId="3E736053">
            <w:pPr>
              <w:snapToGrid w:val="0"/>
              <w:spacing w:line="400" w:lineRule="exact"/>
              <w:jc w:val="center"/>
              <w:rPr>
                <w:rFonts w:hint="eastAsia" w:ascii="宋体" w:hAnsi="宋体" w:cs="宋体"/>
                <w:sz w:val="22"/>
                <w:szCs w:val="22"/>
              </w:rPr>
            </w:pPr>
            <w:r>
              <w:rPr>
                <w:rFonts w:hint="eastAsia" w:ascii="宋体" w:hAnsi="宋体" w:cs="宋体"/>
                <w:sz w:val="22"/>
                <w:szCs w:val="22"/>
              </w:rPr>
              <w:t>保险单位</w:t>
            </w:r>
          </w:p>
        </w:tc>
      </w:tr>
      <w:tr w14:paraId="71510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14:paraId="48ED2B41">
            <w:pPr>
              <w:spacing w:line="400" w:lineRule="exact"/>
              <w:jc w:val="center"/>
              <w:rPr>
                <w:rFonts w:hint="eastAsia" w:ascii="宋体" w:hAnsi="宋体" w:cs="宋体"/>
                <w:sz w:val="22"/>
                <w:szCs w:val="22"/>
              </w:rPr>
            </w:pPr>
            <w:r>
              <w:rPr>
                <w:rFonts w:hint="eastAsia" w:ascii="宋体" w:hAnsi="宋体" w:cs="宋体"/>
                <w:sz w:val="22"/>
                <w:szCs w:val="22"/>
              </w:rPr>
              <w:t>1</w:t>
            </w:r>
          </w:p>
        </w:tc>
        <w:tc>
          <w:tcPr>
            <w:tcW w:w="2202" w:type="dxa"/>
            <w:gridSpan w:val="2"/>
            <w:tcBorders>
              <w:top w:val="single" w:color="auto" w:sz="4" w:space="0"/>
              <w:left w:val="single" w:color="auto" w:sz="4" w:space="0"/>
              <w:bottom w:val="single" w:color="auto" w:sz="4" w:space="0"/>
              <w:right w:val="single" w:color="auto" w:sz="4" w:space="0"/>
            </w:tcBorders>
            <w:vAlign w:val="center"/>
          </w:tcPr>
          <w:p w14:paraId="620FA87B">
            <w:pPr>
              <w:spacing w:line="400" w:lineRule="exact"/>
              <w:jc w:val="center"/>
              <w:rPr>
                <w:rFonts w:hint="eastAsia" w:ascii="宋体" w:hAnsi="宋体" w:cs="宋体"/>
                <w:sz w:val="22"/>
                <w:szCs w:val="22"/>
              </w:rPr>
            </w:pPr>
            <w:r>
              <w:rPr>
                <w:rFonts w:hint="eastAsia" w:ascii="宋体" w:hAnsi="宋体" w:cs="宋体"/>
                <w:sz w:val="22"/>
                <w:szCs w:val="22"/>
              </w:rPr>
              <w:t>法定代表人/单位负责人/主要经营负责人</w:t>
            </w:r>
          </w:p>
        </w:tc>
        <w:tc>
          <w:tcPr>
            <w:tcW w:w="1027" w:type="dxa"/>
            <w:tcBorders>
              <w:top w:val="single" w:color="auto" w:sz="4" w:space="0"/>
              <w:left w:val="single" w:color="auto" w:sz="4" w:space="0"/>
              <w:bottom w:val="single" w:color="auto" w:sz="4" w:space="0"/>
              <w:right w:val="single" w:color="auto" w:sz="4" w:space="0"/>
            </w:tcBorders>
            <w:vAlign w:val="center"/>
          </w:tcPr>
          <w:p w14:paraId="6BF401F3">
            <w:pPr>
              <w:spacing w:line="400" w:lineRule="exact"/>
              <w:jc w:val="center"/>
              <w:rPr>
                <w:rFonts w:hint="eastAsia" w:ascii="宋体" w:hAnsi="宋体" w:cs="宋体"/>
                <w:sz w:val="22"/>
                <w:szCs w:val="22"/>
              </w:rPr>
            </w:pPr>
          </w:p>
        </w:tc>
        <w:tc>
          <w:tcPr>
            <w:tcW w:w="1703" w:type="dxa"/>
            <w:gridSpan w:val="2"/>
            <w:tcBorders>
              <w:top w:val="single" w:color="auto" w:sz="4" w:space="0"/>
              <w:left w:val="single" w:color="auto" w:sz="4" w:space="0"/>
              <w:bottom w:val="single" w:color="auto" w:sz="4" w:space="0"/>
              <w:right w:val="single" w:color="auto" w:sz="4" w:space="0"/>
            </w:tcBorders>
            <w:vAlign w:val="center"/>
          </w:tcPr>
          <w:p w14:paraId="34A73C5E">
            <w:pPr>
              <w:spacing w:line="400" w:lineRule="exact"/>
              <w:jc w:val="center"/>
              <w:rPr>
                <w:rFonts w:hint="eastAsia" w:ascii="宋体" w:hAnsi="宋体" w:cs="宋体"/>
                <w:sz w:val="22"/>
                <w:szCs w:val="22"/>
              </w:rPr>
            </w:pPr>
          </w:p>
        </w:tc>
        <w:tc>
          <w:tcPr>
            <w:tcW w:w="1972" w:type="dxa"/>
            <w:tcBorders>
              <w:top w:val="single" w:color="auto" w:sz="4" w:space="0"/>
              <w:left w:val="single" w:color="auto" w:sz="4" w:space="0"/>
              <w:bottom w:val="single" w:color="auto" w:sz="4" w:space="0"/>
              <w:right w:val="single" w:color="auto" w:sz="4" w:space="0"/>
            </w:tcBorders>
            <w:vAlign w:val="center"/>
          </w:tcPr>
          <w:p w14:paraId="2DC055B1">
            <w:pPr>
              <w:spacing w:line="400" w:lineRule="exact"/>
              <w:jc w:val="center"/>
              <w:rPr>
                <w:rFonts w:hint="eastAsia" w:ascii="宋体" w:hAnsi="宋体" w:cs="宋体"/>
                <w:sz w:val="22"/>
                <w:szCs w:val="22"/>
              </w:rPr>
            </w:pPr>
          </w:p>
        </w:tc>
        <w:tc>
          <w:tcPr>
            <w:tcW w:w="1928" w:type="dxa"/>
            <w:tcBorders>
              <w:top w:val="single" w:color="auto" w:sz="4" w:space="0"/>
              <w:left w:val="single" w:color="auto" w:sz="4" w:space="0"/>
              <w:bottom w:val="single" w:color="auto" w:sz="4" w:space="0"/>
              <w:right w:val="single" w:color="auto" w:sz="4" w:space="0"/>
            </w:tcBorders>
            <w:vAlign w:val="center"/>
          </w:tcPr>
          <w:p w14:paraId="54F6EC8D">
            <w:pPr>
              <w:spacing w:line="400" w:lineRule="exact"/>
              <w:jc w:val="center"/>
              <w:rPr>
                <w:rFonts w:hint="eastAsia" w:ascii="宋体" w:hAnsi="宋体" w:cs="宋体"/>
                <w:sz w:val="22"/>
                <w:szCs w:val="22"/>
              </w:rPr>
            </w:pPr>
          </w:p>
        </w:tc>
      </w:tr>
      <w:tr w14:paraId="4323B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14:paraId="4C68E665">
            <w:pPr>
              <w:spacing w:line="400" w:lineRule="exact"/>
              <w:jc w:val="center"/>
              <w:rPr>
                <w:rFonts w:hint="eastAsia" w:ascii="宋体" w:hAnsi="宋体" w:cs="宋体"/>
                <w:sz w:val="22"/>
                <w:szCs w:val="22"/>
              </w:rPr>
            </w:pPr>
            <w:r>
              <w:rPr>
                <w:rFonts w:hint="eastAsia" w:ascii="宋体" w:hAnsi="宋体" w:cs="宋体"/>
                <w:sz w:val="22"/>
                <w:szCs w:val="22"/>
              </w:rPr>
              <w:t>2</w:t>
            </w:r>
          </w:p>
        </w:tc>
        <w:tc>
          <w:tcPr>
            <w:tcW w:w="2202" w:type="dxa"/>
            <w:gridSpan w:val="2"/>
            <w:tcBorders>
              <w:top w:val="single" w:color="auto" w:sz="4" w:space="0"/>
              <w:left w:val="single" w:color="auto" w:sz="4" w:space="0"/>
              <w:bottom w:val="single" w:color="auto" w:sz="4" w:space="0"/>
              <w:right w:val="single" w:color="auto" w:sz="4" w:space="0"/>
            </w:tcBorders>
            <w:vAlign w:val="center"/>
          </w:tcPr>
          <w:p w14:paraId="598A4793">
            <w:pPr>
              <w:spacing w:line="400" w:lineRule="exact"/>
              <w:jc w:val="center"/>
              <w:rPr>
                <w:rFonts w:hint="eastAsia" w:ascii="宋体" w:hAnsi="宋体" w:cs="宋体"/>
                <w:sz w:val="22"/>
                <w:szCs w:val="22"/>
              </w:rPr>
            </w:pPr>
            <w:r>
              <w:rPr>
                <w:rFonts w:hint="eastAsia" w:ascii="宋体" w:hAnsi="宋体" w:cs="宋体"/>
                <w:sz w:val="22"/>
                <w:szCs w:val="22"/>
              </w:rPr>
              <w:t>项目投标授权代表人</w:t>
            </w:r>
          </w:p>
        </w:tc>
        <w:tc>
          <w:tcPr>
            <w:tcW w:w="1027" w:type="dxa"/>
            <w:tcBorders>
              <w:top w:val="single" w:color="auto" w:sz="4" w:space="0"/>
              <w:left w:val="single" w:color="auto" w:sz="4" w:space="0"/>
              <w:bottom w:val="single" w:color="auto" w:sz="4" w:space="0"/>
              <w:right w:val="single" w:color="auto" w:sz="4" w:space="0"/>
            </w:tcBorders>
            <w:vAlign w:val="center"/>
          </w:tcPr>
          <w:p w14:paraId="73BF4041">
            <w:pPr>
              <w:spacing w:line="400" w:lineRule="exact"/>
              <w:jc w:val="center"/>
              <w:rPr>
                <w:rFonts w:hint="eastAsia" w:ascii="宋体" w:hAnsi="宋体" w:cs="宋体"/>
                <w:sz w:val="22"/>
                <w:szCs w:val="22"/>
              </w:rPr>
            </w:pPr>
          </w:p>
        </w:tc>
        <w:tc>
          <w:tcPr>
            <w:tcW w:w="1703" w:type="dxa"/>
            <w:gridSpan w:val="2"/>
            <w:tcBorders>
              <w:top w:val="single" w:color="auto" w:sz="4" w:space="0"/>
              <w:left w:val="single" w:color="auto" w:sz="4" w:space="0"/>
              <w:bottom w:val="single" w:color="auto" w:sz="4" w:space="0"/>
              <w:right w:val="single" w:color="auto" w:sz="4" w:space="0"/>
            </w:tcBorders>
            <w:vAlign w:val="center"/>
          </w:tcPr>
          <w:p w14:paraId="17633C03">
            <w:pPr>
              <w:spacing w:line="400" w:lineRule="exact"/>
              <w:jc w:val="center"/>
              <w:rPr>
                <w:rFonts w:hint="eastAsia" w:ascii="宋体" w:hAnsi="宋体" w:cs="宋体"/>
                <w:sz w:val="22"/>
                <w:szCs w:val="22"/>
              </w:rPr>
            </w:pPr>
          </w:p>
        </w:tc>
        <w:tc>
          <w:tcPr>
            <w:tcW w:w="1972" w:type="dxa"/>
            <w:tcBorders>
              <w:top w:val="single" w:color="auto" w:sz="4" w:space="0"/>
              <w:left w:val="single" w:color="auto" w:sz="4" w:space="0"/>
              <w:bottom w:val="single" w:color="auto" w:sz="4" w:space="0"/>
              <w:right w:val="single" w:color="auto" w:sz="4" w:space="0"/>
            </w:tcBorders>
            <w:vAlign w:val="center"/>
          </w:tcPr>
          <w:p w14:paraId="121182FB">
            <w:pPr>
              <w:spacing w:line="400" w:lineRule="exact"/>
              <w:jc w:val="center"/>
              <w:rPr>
                <w:rFonts w:hint="eastAsia" w:ascii="宋体" w:hAnsi="宋体" w:cs="宋体"/>
                <w:sz w:val="22"/>
                <w:szCs w:val="22"/>
              </w:rPr>
            </w:pPr>
          </w:p>
        </w:tc>
        <w:tc>
          <w:tcPr>
            <w:tcW w:w="1928" w:type="dxa"/>
            <w:tcBorders>
              <w:top w:val="single" w:color="auto" w:sz="4" w:space="0"/>
              <w:left w:val="single" w:color="auto" w:sz="4" w:space="0"/>
              <w:bottom w:val="single" w:color="auto" w:sz="4" w:space="0"/>
              <w:right w:val="single" w:color="auto" w:sz="4" w:space="0"/>
            </w:tcBorders>
            <w:vAlign w:val="center"/>
          </w:tcPr>
          <w:p w14:paraId="4E5DD753">
            <w:pPr>
              <w:spacing w:line="400" w:lineRule="exact"/>
              <w:jc w:val="center"/>
              <w:rPr>
                <w:rFonts w:hint="eastAsia" w:ascii="宋体" w:hAnsi="宋体" w:cs="宋体"/>
                <w:sz w:val="22"/>
                <w:szCs w:val="22"/>
              </w:rPr>
            </w:pPr>
          </w:p>
        </w:tc>
      </w:tr>
      <w:tr w14:paraId="2D189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14:paraId="03CAD0EE">
            <w:pPr>
              <w:spacing w:line="400" w:lineRule="exact"/>
              <w:jc w:val="center"/>
              <w:rPr>
                <w:rFonts w:hint="eastAsia" w:ascii="宋体" w:hAnsi="宋体" w:cs="宋体"/>
                <w:sz w:val="22"/>
                <w:szCs w:val="22"/>
              </w:rPr>
            </w:pPr>
            <w:r>
              <w:rPr>
                <w:rFonts w:hint="eastAsia" w:ascii="宋体" w:hAnsi="宋体" w:cs="宋体"/>
                <w:sz w:val="22"/>
                <w:szCs w:val="22"/>
                <w:lang w:bidi="ar"/>
              </w:rPr>
              <w:t>3</w:t>
            </w:r>
          </w:p>
        </w:tc>
        <w:tc>
          <w:tcPr>
            <w:tcW w:w="2202" w:type="dxa"/>
            <w:gridSpan w:val="2"/>
            <w:tcBorders>
              <w:top w:val="single" w:color="auto" w:sz="4" w:space="0"/>
              <w:left w:val="single" w:color="auto" w:sz="4" w:space="0"/>
              <w:bottom w:val="single" w:color="auto" w:sz="4" w:space="0"/>
              <w:right w:val="single" w:color="auto" w:sz="4" w:space="0"/>
            </w:tcBorders>
            <w:vAlign w:val="center"/>
          </w:tcPr>
          <w:p w14:paraId="6EF825F0">
            <w:pPr>
              <w:spacing w:line="400" w:lineRule="exact"/>
              <w:jc w:val="center"/>
              <w:rPr>
                <w:rFonts w:hint="eastAsia" w:ascii="宋体" w:hAnsi="宋体" w:cs="宋体"/>
                <w:sz w:val="22"/>
                <w:szCs w:val="22"/>
              </w:rPr>
            </w:pPr>
            <w:r>
              <w:rPr>
                <w:rFonts w:hint="eastAsia" w:ascii="宋体" w:hAnsi="宋体" w:cs="宋体"/>
                <w:sz w:val="22"/>
                <w:szCs w:val="22"/>
              </w:rPr>
              <w:t>项目负责人</w:t>
            </w:r>
          </w:p>
        </w:tc>
        <w:tc>
          <w:tcPr>
            <w:tcW w:w="1027" w:type="dxa"/>
            <w:tcBorders>
              <w:top w:val="single" w:color="auto" w:sz="4" w:space="0"/>
              <w:left w:val="single" w:color="auto" w:sz="4" w:space="0"/>
              <w:bottom w:val="single" w:color="auto" w:sz="4" w:space="0"/>
              <w:right w:val="single" w:color="auto" w:sz="4" w:space="0"/>
            </w:tcBorders>
            <w:vAlign w:val="center"/>
          </w:tcPr>
          <w:p w14:paraId="5DB8B60F">
            <w:pPr>
              <w:spacing w:line="400" w:lineRule="exact"/>
              <w:jc w:val="center"/>
              <w:rPr>
                <w:rFonts w:hint="eastAsia" w:ascii="宋体" w:hAnsi="宋体" w:cs="宋体"/>
                <w:sz w:val="22"/>
                <w:szCs w:val="22"/>
              </w:rPr>
            </w:pPr>
          </w:p>
        </w:tc>
        <w:tc>
          <w:tcPr>
            <w:tcW w:w="1703" w:type="dxa"/>
            <w:gridSpan w:val="2"/>
            <w:tcBorders>
              <w:top w:val="single" w:color="auto" w:sz="4" w:space="0"/>
              <w:left w:val="single" w:color="auto" w:sz="4" w:space="0"/>
              <w:bottom w:val="single" w:color="auto" w:sz="4" w:space="0"/>
              <w:right w:val="single" w:color="auto" w:sz="4" w:space="0"/>
            </w:tcBorders>
            <w:vAlign w:val="center"/>
          </w:tcPr>
          <w:p w14:paraId="3D4E7E7D">
            <w:pPr>
              <w:spacing w:line="400" w:lineRule="exact"/>
              <w:jc w:val="center"/>
              <w:rPr>
                <w:rFonts w:hint="eastAsia" w:ascii="宋体" w:hAnsi="宋体" w:cs="宋体"/>
                <w:sz w:val="22"/>
                <w:szCs w:val="22"/>
              </w:rPr>
            </w:pPr>
          </w:p>
        </w:tc>
        <w:tc>
          <w:tcPr>
            <w:tcW w:w="1972" w:type="dxa"/>
            <w:tcBorders>
              <w:top w:val="single" w:color="auto" w:sz="4" w:space="0"/>
              <w:left w:val="single" w:color="auto" w:sz="4" w:space="0"/>
              <w:bottom w:val="single" w:color="auto" w:sz="4" w:space="0"/>
              <w:right w:val="single" w:color="auto" w:sz="4" w:space="0"/>
            </w:tcBorders>
            <w:vAlign w:val="center"/>
          </w:tcPr>
          <w:p w14:paraId="39E48F45">
            <w:pPr>
              <w:spacing w:line="400" w:lineRule="exact"/>
              <w:jc w:val="center"/>
              <w:rPr>
                <w:rFonts w:hint="eastAsia" w:ascii="宋体" w:hAnsi="宋体" w:cs="宋体"/>
                <w:sz w:val="22"/>
                <w:szCs w:val="22"/>
              </w:rPr>
            </w:pPr>
          </w:p>
        </w:tc>
        <w:tc>
          <w:tcPr>
            <w:tcW w:w="1928" w:type="dxa"/>
            <w:tcBorders>
              <w:top w:val="single" w:color="auto" w:sz="4" w:space="0"/>
              <w:left w:val="single" w:color="auto" w:sz="4" w:space="0"/>
              <w:bottom w:val="single" w:color="auto" w:sz="4" w:space="0"/>
              <w:right w:val="single" w:color="auto" w:sz="4" w:space="0"/>
            </w:tcBorders>
            <w:vAlign w:val="center"/>
          </w:tcPr>
          <w:p w14:paraId="24D443A6">
            <w:pPr>
              <w:spacing w:line="400" w:lineRule="exact"/>
              <w:jc w:val="center"/>
              <w:rPr>
                <w:rFonts w:hint="eastAsia" w:ascii="宋体" w:hAnsi="宋体" w:cs="宋体"/>
                <w:sz w:val="22"/>
                <w:szCs w:val="22"/>
              </w:rPr>
            </w:pPr>
          </w:p>
        </w:tc>
      </w:tr>
      <w:tr w14:paraId="3C6AF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14:paraId="67982C8F">
            <w:pPr>
              <w:spacing w:line="400" w:lineRule="exact"/>
              <w:jc w:val="center"/>
              <w:rPr>
                <w:rFonts w:hint="eastAsia" w:ascii="宋体" w:hAnsi="宋体" w:cs="宋体"/>
                <w:sz w:val="22"/>
                <w:szCs w:val="22"/>
              </w:rPr>
            </w:pPr>
            <w:r>
              <w:rPr>
                <w:rFonts w:hint="eastAsia" w:ascii="宋体" w:hAnsi="宋体" w:cs="宋体"/>
                <w:sz w:val="22"/>
                <w:szCs w:val="22"/>
                <w:lang w:bidi="ar"/>
              </w:rPr>
              <w:t>4</w:t>
            </w:r>
          </w:p>
        </w:tc>
        <w:tc>
          <w:tcPr>
            <w:tcW w:w="2202" w:type="dxa"/>
            <w:gridSpan w:val="2"/>
            <w:tcBorders>
              <w:top w:val="single" w:color="auto" w:sz="4" w:space="0"/>
              <w:left w:val="single" w:color="auto" w:sz="4" w:space="0"/>
              <w:bottom w:val="single" w:color="auto" w:sz="4" w:space="0"/>
              <w:right w:val="single" w:color="auto" w:sz="4" w:space="0"/>
            </w:tcBorders>
            <w:vAlign w:val="center"/>
          </w:tcPr>
          <w:p w14:paraId="0D08171E">
            <w:pPr>
              <w:spacing w:line="400" w:lineRule="exact"/>
              <w:jc w:val="center"/>
              <w:rPr>
                <w:rFonts w:hint="eastAsia" w:ascii="宋体" w:hAnsi="宋体" w:cs="宋体"/>
                <w:sz w:val="22"/>
                <w:szCs w:val="22"/>
              </w:rPr>
            </w:pPr>
            <w:r>
              <w:rPr>
                <w:rFonts w:hint="eastAsia" w:ascii="宋体" w:hAnsi="宋体" w:cs="宋体"/>
                <w:sz w:val="22"/>
                <w:szCs w:val="22"/>
              </w:rPr>
              <w:t>主要技术人员</w:t>
            </w:r>
          </w:p>
        </w:tc>
        <w:tc>
          <w:tcPr>
            <w:tcW w:w="1027" w:type="dxa"/>
            <w:tcBorders>
              <w:top w:val="single" w:color="auto" w:sz="4" w:space="0"/>
              <w:left w:val="single" w:color="auto" w:sz="4" w:space="0"/>
              <w:bottom w:val="single" w:color="auto" w:sz="4" w:space="0"/>
              <w:right w:val="single" w:color="auto" w:sz="4" w:space="0"/>
            </w:tcBorders>
            <w:vAlign w:val="center"/>
          </w:tcPr>
          <w:p w14:paraId="049263AD">
            <w:pPr>
              <w:spacing w:line="400" w:lineRule="exact"/>
              <w:jc w:val="center"/>
              <w:rPr>
                <w:rFonts w:hint="eastAsia" w:ascii="宋体" w:hAnsi="宋体" w:cs="宋体"/>
                <w:sz w:val="22"/>
                <w:szCs w:val="22"/>
              </w:rPr>
            </w:pPr>
          </w:p>
        </w:tc>
        <w:tc>
          <w:tcPr>
            <w:tcW w:w="1703" w:type="dxa"/>
            <w:gridSpan w:val="2"/>
            <w:tcBorders>
              <w:top w:val="single" w:color="auto" w:sz="4" w:space="0"/>
              <w:left w:val="single" w:color="auto" w:sz="4" w:space="0"/>
              <w:bottom w:val="single" w:color="auto" w:sz="4" w:space="0"/>
              <w:right w:val="single" w:color="auto" w:sz="4" w:space="0"/>
            </w:tcBorders>
            <w:vAlign w:val="center"/>
          </w:tcPr>
          <w:p w14:paraId="2650035D">
            <w:pPr>
              <w:spacing w:line="400" w:lineRule="exact"/>
              <w:jc w:val="center"/>
              <w:rPr>
                <w:rFonts w:hint="eastAsia" w:ascii="宋体" w:hAnsi="宋体" w:cs="宋体"/>
                <w:sz w:val="22"/>
                <w:szCs w:val="22"/>
              </w:rPr>
            </w:pPr>
          </w:p>
        </w:tc>
        <w:tc>
          <w:tcPr>
            <w:tcW w:w="1972" w:type="dxa"/>
            <w:tcBorders>
              <w:top w:val="single" w:color="auto" w:sz="4" w:space="0"/>
              <w:left w:val="single" w:color="auto" w:sz="4" w:space="0"/>
              <w:bottom w:val="single" w:color="auto" w:sz="4" w:space="0"/>
              <w:right w:val="single" w:color="auto" w:sz="4" w:space="0"/>
            </w:tcBorders>
            <w:vAlign w:val="center"/>
          </w:tcPr>
          <w:p w14:paraId="25414C67">
            <w:pPr>
              <w:spacing w:line="400" w:lineRule="exact"/>
              <w:jc w:val="center"/>
              <w:rPr>
                <w:rFonts w:hint="eastAsia" w:ascii="宋体" w:hAnsi="宋体" w:cs="宋体"/>
                <w:sz w:val="22"/>
                <w:szCs w:val="22"/>
              </w:rPr>
            </w:pPr>
          </w:p>
        </w:tc>
        <w:tc>
          <w:tcPr>
            <w:tcW w:w="1928" w:type="dxa"/>
            <w:tcBorders>
              <w:top w:val="single" w:color="auto" w:sz="4" w:space="0"/>
              <w:left w:val="single" w:color="auto" w:sz="4" w:space="0"/>
              <w:bottom w:val="single" w:color="auto" w:sz="4" w:space="0"/>
              <w:right w:val="single" w:color="auto" w:sz="4" w:space="0"/>
            </w:tcBorders>
            <w:vAlign w:val="center"/>
          </w:tcPr>
          <w:p w14:paraId="522D1C35">
            <w:pPr>
              <w:spacing w:line="400" w:lineRule="exact"/>
              <w:jc w:val="center"/>
              <w:rPr>
                <w:rFonts w:hint="eastAsia" w:ascii="宋体" w:hAnsi="宋体" w:cs="宋体"/>
                <w:sz w:val="22"/>
                <w:szCs w:val="22"/>
              </w:rPr>
            </w:pPr>
          </w:p>
        </w:tc>
      </w:tr>
      <w:tr w14:paraId="131EB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14:paraId="36361717">
            <w:pPr>
              <w:spacing w:line="400" w:lineRule="exact"/>
              <w:jc w:val="center"/>
              <w:rPr>
                <w:rFonts w:hint="eastAsia" w:ascii="宋体" w:hAnsi="宋体" w:cs="宋体"/>
                <w:sz w:val="22"/>
                <w:szCs w:val="22"/>
              </w:rPr>
            </w:pPr>
            <w:r>
              <w:rPr>
                <w:rFonts w:hint="eastAsia" w:ascii="宋体" w:hAnsi="宋体" w:cs="宋体"/>
                <w:sz w:val="22"/>
                <w:szCs w:val="22"/>
                <w:lang w:bidi="ar"/>
              </w:rPr>
              <w:t>5</w:t>
            </w:r>
          </w:p>
        </w:tc>
        <w:tc>
          <w:tcPr>
            <w:tcW w:w="2202" w:type="dxa"/>
            <w:gridSpan w:val="2"/>
            <w:tcBorders>
              <w:top w:val="single" w:color="auto" w:sz="4" w:space="0"/>
              <w:left w:val="single" w:color="auto" w:sz="4" w:space="0"/>
              <w:bottom w:val="single" w:color="auto" w:sz="4" w:space="0"/>
              <w:right w:val="single" w:color="auto" w:sz="4" w:space="0"/>
            </w:tcBorders>
            <w:vAlign w:val="center"/>
          </w:tcPr>
          <w:p w14:paraId="4D4BD452">
            <w:pPr>
              <w:pStyle w:val="8"/>
              <w:snapToGrid w:val="0"/>
              <w:spacing w:line="400" w:lineRule="exact"/>
              <w:ind w:firstLine="0"/>
              <w:jc w:val="center"/>
              <w:rPr>
                <w:rFonts w:hint="eastAsia" w:ascii="宋体" w:hAnsi="宋体" w:cs="宋体"/>
                <w:sz w:val="22"/>
                <w:szCs w:val="22"/>
              </w:rPr>
            </w:pPr>
            <w:r>
              <w:rPr>
                <w:rFonts w:hint="eastAsia" w:ascii="宋体" w:hAnsi="宋体" w:cs="宋体"/>
                <w:sz w:val="22"/>
                <w:szCs w:val="22"/>
              </w:rPr>
              <w:t>投标文件编制人员</w:t>
            </w:r>
          </w:p>
        </w:tc>
        <w:tc>
          <w:tcPr>
            <w:tcW w:w="1027" w:type="dxa"/>
            <w:tcBorders>
              <w:top w:val="single" w:color="auto" w:sz="4" w:space="0"/>
              <w:left w:val="single" w:color="auto" w:sz="4" w:space="0"/>
              <w:bottom w:val="single" w:color="auto" w:sz="4" w:space="0"/>
              <w:right w:val="single" w:color="auto" w:sz="4" w:space="0"/>
            </w:tcBorders>
            <w:vAlign w:val="center"/>
          </w:tcPr>
          <w:p w14:paraId="257CADCF">
            <w:pPr>
              <w:spacing w:line="400" w:lineRule="exact"/>
              <w:jc w:val="center"/>
              <w:rPr>
                <w:rFonts w:hint="eastAsia" w:ascii="宋体" w:hAnsi="宋体" w:cs="宋体"/>
                <w:sz w:val="22"/>
                <w:szCs w:val="22"/>
              </w:rPr>
            </w:pPr>
          </w:p>
        </w:tc>
        <w:tc>
          <w:tcPr>
            <w:tcW w:w="1703" w:type="dxa"/>
            <w:gridSpan w:val="2"/>
            <w:tcBorders>
              <w:top w:val="single" w:color="auto" w:sz="4" w:space="0"/>
              <w:left w:val="single" w:color="auto" w:sz="4" w:space="0"/>
              <w:bottom w:val="single" w:color="auto" w:sz="4" w:space="0"/>
              <w:right w:val="single" w:color="auto" w:sz="4" w:space="0"/>
            </w:tcBorders>
            <w:vAlign w:val="center"/>
          </w:tcPr>
          <w:p w14:paraId="08150C00">
            <w:pPr>
              <w:spacing w:line="400" w:lineRule="exact"/>
              <w:jc w:val="center"/>
              <w:rPr>
                <w:rFonts w:hint="eastAsia" w:ascii="宋体" w:hAnsi="宋体" w:cs="宋体"/>
                <w:sz w:val="22"/>
                <w:szCs w:val="22"/>
              </w:rPr>
            </w:pPr>
          </w:p>
        </w:tc>
        <w:tc>
          <w:tcPr>
            <w:tcW w:w="1972" w:type="dxa"/>
            <w:tcBorders>
              <w:top w:val="single" w:color="auto" w:sz="4" w:space="0"/>
              <w:left w:val="single" w:color="auto" w:sz="4" w:space="0"/>
              <w:bottom w:val="single" w:color="auto" w:sz="4" w:space="0"/>
              <w:right w:val="single" w:color="auto" w:sz="4" w:space="0"/>
            </w:tcBorders>
            <w:vAlign w:val="center"/>
          </w:tcPr>
          <w:p w14:paraId="139F9405">
            <w:pPr>
              <w:spacing w:line="400" w:lineRule="exact"/>
              <w:jc w:val="center"/>
              <w:rPr>
                <w:rFonts w:hint="eastAsia" w:ascii="宋体" w:hAnsi="宋体" w:cs="宋体"/>
                <w:sz w:val="22"/>
                <w:szCs w:val="22"/>
              </w:rPr>
            </w:pPr>
          </w:p>
        </w:tc>
        <w:tc>
          <w:tcPr>
            <w:tcW w:w="1928" w:type="dxa"/>
            <w:tcBorders>
              <w:top w:val="single" w:color="auto" w:sz="4" w:space="0"/>
              <w:left w:val="single" w:color="auto" w:sz="4" w:space="0"/>
              <w:bottom w:val="single" w:color="auto" w:sz="4" w:space="0"/>
              <w:right w:val="single" w:color="auto" w:sz="4" w:space="0"/>
            </w:tcBorders>
            <w:vAlign w:val="center"/>
          </w:tcPr>
          <w:p w14:paraId="147219D9">
            <w:pPr>
              <w:spacing w:line="400" w:lineRule="exact"/>
              <w:jc w:val="center"/>
              <w:rPr>
                <w:rFonts w:hint="eastAsia" w:ascii="宋体" w:hAnsi="宋体" w:cs="宋体"/>
                <w:sz w:val="22"/>
                <w:szCs w:val="22"/>
              </w:rPr>
            </w:pPr>
          </w:p>
        </w:tc>
      </w:tr>
      <w:tr w14:paraId="3B7B5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568" w:type="dxa"/>
            <w:gridSpan w:val="8"/>
            <w:tcBorders>
              <w:top w:val="single" w:color="auto" w:sz="4" w:space="0"/>
              <w:left w:val="single" w:color="auto" w:sz="4" w:space="0"/>
              <w:bottom w:val="single" w:color="auto" w:sz="4" w:space="0"/>
              <w:right w:val="single" w:color="auto" w:sz="4" w:space="0"/>
            </w:tcBorders>
            <w:vAlign w:val="center"/>
          </w:tcPr>
          <w:p w14:paraId="33FA1FD8">
            <w:pPr>
              <w:spacing w:line="400" w:lineRule="exact"/>
              <w:jc w:val="left"/>
              <w:rPr>
                <w:rFonts w:hint="eastAsia" w:ascii="宋体" w:hAnsi="宋体" w:cs="宋体"/>
                <w:sz w:val="22"/>
                <w:szCs w:val="22"/>
              </w:rPr>
            </w:pPr>
            <w:r>
              <w:rPr>
                <w:rFonts w:hint="eastAsia" w:ascii="宋体" w:hAnsi="宋体" w:cs="宋体"/>
                <w:b/>
                <w:bCs/>
                <w:sz w:val="22"/>
                <w:szCs w:val="22"/>
              </w:rPr>
              <w:t>说明：同一职务有多人担任（如主要技术人员），应分行填写。</w:t>
            </w:r>
          </w:p>
        </w:tc>
      </w:tr>
      <w:tr w14:paraId="5FD0E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568" w:type="dxa"/>
            <w:gridSpan w:val="8"/>
            <w:tcBorders>
              <w:top w:val="single" w:color="auto" w:sz="4" w:space="0"/>
              <w:left w:val="single" w:color="auto" w:sz="4" w:space="0"/>
              <w:bottom w:val="single" w:color="auto" w:sz="4" w:space="0"/>
              <w:right w:val="single" w:color="auto" w:sz="4" w:space="0"/>
            </w:tcBorders>
            <w:vAlign w:val="center"/>
          </w:tcPr>
          <w:p w14:paraId="64037AB6">
            <w:pPr>
              <w:spacing w:line="400" w:lineRule="exact"/>
              <w:jc w:val="center"/>
              <w:rPr>
                <w:rFonts w:hint="eastAsia" w:ascii="宋体" w:hAnsi="宋体" w:cs="宋体"/>
                <w:b/>
                <w:bCs/>
                <w:sz w:val="22"/>
                <w:szCs w:val="22"/>
              </w:rPr>
            </w:pPr>
            <w:r>
              <w:rPr>
                <w:rFonts w:hint="eastAsia" w:ascii="宋体" w:hAnsi="宋体" w:cs="宋体"/>
                <w:b/>
                <w:bCs/>
                <w:sz w:val="22"/>
                <w:szCs w:val="22"/>
              </w:rPr>
              <w:t>投标（响应）供应商关联关系情况</w:t>
            </w:r>
          </w:p>
        </w:tc>
      </w:tr>
      <w:tr w14:paraId="34B83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14:paraId="37E9D25C">
            <w:pPr>
              <w:spacing w:line="400" w:lineRule="exact"/>
              <w:jc w:val="center"/>
              <w:rPr>
                <w:rFonts w:hint="eastAsia" w:ascii="宋体" w:hAnsi="宋体" w:cs="宋体"/>
                <w:sz w:val="22"/>
                <w:szCs w:val="22"/>
                <w:lang w:bidi="ar"/>
              </w:rPr>
            </w:pPr>
            <w:r>
              <w:rPr>
                <w:rFonts w:hint="eastAsia" w:ascii="宋体" w:hAnsi="宋体" w:cs="宋体"/>
                <w:sz w:val="22"/>
                <w:szCs w:val="22"/>
                <w:lang w:bidi="ar"/>
              </w:rPr>
              <w:t>序号</w:t>
            </w:r>
          </w:p>
        </w:tc>
        <w:tc>
          <w:tcPr>
            <w:tcW w:w="2202" w:type="dxa"/>
            <w:gridSpan w:val="2"/>
            <w:tcBorders>
              <w:top w:val="single" w:color="auto" w:sz="4" w:space="0"/>
              <w:left w:val="single" w:color="auto" w:sz="4" w:space="0"/>
              <w:bottom w:val="single" w:color="auto" w:sz="4" w:space="0"/>
              <w:right w:val="single" w:color="auto" w:sz="4" w:space="0"/>
            </w:tcBorders>
            <w:vAlign w:val="center"/>
          </w:tcPr>
          <w:p w14:paraId="6E72E476">
            <w:pPr>
              <w:spacing w:line="400" w:lineRule="exact"/>
              <w:jc w:val="center"/>
              <w:rPr>
                <w:rFonts w:hint="eastAsia" w:ascii="宋体" w:hAnsi="宋体" w:cs="宋体"/>
                <w:sz w:val="22"/>
                <w:szCs w:val="22"/>
              </w:rPr>
            </w:pPr>
            <w:r>
              <w:rPr>
                <w:rFonts w:hint="eastAsia" w:ascii="宋体" w:hAnsi="宋体" w:cs="宋体"/>
                <w:sz w:val="22"/>
                <w:szCs w:val="22"/>
              </w:rPr>
              <w:t>关联关系类型</w:t>
            </w:r>
          </w:p>
        </w:tc>
        <w:tc>
          <w:tcPr>
            <w:tcW w:w="1818" w:type="dxa"/>
            <w:gridSpan w:val="2"/>
            <w:tcBorders>
              <w:top w:val="single" w:color="auto" w:sz="4" w:space="0"/>
              <w:left w:val="single" w:color="auto" w:sz="4" w:space="0"/>
              <w:bottom w:val="single" w:color="auto" w:sz="4" w:space="0"/>
              <w:right w:val="single" w:color="auto" w:sz="4" w:space="0"/>
            </w:tcBorders>
            <w:vAlign w:val="center"/>
          </w:tcPr>
          <w:p w14:paraId="61806227">
            <w:pPr>
              <w:spacing w:line="400" w:lineRule="exact"/>
              <w:jc w:val="center"/>
              <w:rPr>
                <w:rFonts w:hint="eastAsia" w:ascii="宋体" w:hAnsi="宋体" w:cs="宋体"/>
                <w:sz w:val="22"/>
                <w:szCs w:val="22"/>
              </w:rPr>
            </w:pPr>
            <w:r>
              <w:rPr>
                <w:rFonts w:hint="eastAsia" w:ascii="宋体" w:hAnsi="宋体" w:cs="宋体"/>
                <w:sz w:val="22"/>
                <w:szCs w:val="22"/>
              </w:rPr>
              <w:t>关联主体名称</w:t>
            </w:r>
          </w:p>
        </w:tc>
        <w:tc>
          <w:tcPr>
            <w:tcW w:w="4812" w:type="dxa"/>
            <w:gridSpan w:val="3"/>
            <w:tcBorders>
              <w:top w:val="single" w:color="auto" w:sz="4" w:space="0"/>
              <w:left w:val="single" w:color="auto" w:sz="4" w:space="0"/>
              <w:bottom w:val="single" w:color="auto" w:sz="4" w:space="0"/>
              <w:right w:val="single" w:color="auto" w:sz="4" w:space="0"/>
            </w:tcBorders>
            <w:vAlign w:val="center"/>
          </w:tcPr>
          <w:p w14:paraId="5496D82D">
            <w:pPr>
              <w:spacing w:line="400" w:lineRule="exact"/>
              <w:jc w:val="center"/>
              <w:rPr>
                <w:rFonts w:hint="eastAsia" w:ascii="宋体" w:hAnsi="宋体" w:cs="宋体"/>
                <w:sz w:val="22"/>
                <w:szCs w:val="22"/>
              </w:rPr>
            </w:pPr>
            <w:r>
              <w:rPr>
                <w:rFonts w:hint="eastAsia" w:ascii="宋体" w:hAnsi="宋体" w:cs="宋体"/>
                <w:sz w:val="22"/>
                <w:szCs w:val="22"/>
              </w:rPr>
              <w:t>备注</w:t>
            </w:r>
          </w:p>
        </w:tc>
      </w:tr>
      <w:tr w14:paraId="35654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14:paraId="0B14102B">
            <w:pPr>
              <w:spacing w:line="400" w:lineRule="exact"/>
              <w:jc w:val="center"/>
              <w:rPr>
                <w:rFonts w:hint="eastAsia" w:ascii="宋体" w:hAnsi="宋体" w:cs="宋体"/>
                <w:sz w:val="22"/>
                <w:szCs w:val="22"/>
                <w:lang w:bidi="ar"/>
              </w:rPr>
            </w:pPr>
            <w:r>
              <w:rPr>
                <w:rFonts w:hint="eastAsia" w:ascii="宋体" w:hAnsi="宋体" w:cs="宋体"/>
                <w:sz w:val="22"/>
                <w:szCs w:val="22"/>
                <w:lang w:bidi="ar"/>
              </w:rPr>
              <w:t>1</w:t>
            </w:r>
          </w:p>
        </w:tc>
        <w:tc>
          <w:tcPr>
            <w:tcW w:w="2202" w:type="dxa"/>
            <w:gridSpan w:val="2"/>
            <w:tcBorders>
              <w:top w:val="single" w:color="auto" w:sz="4" w:space="0"/>
              <w:left w:val="single" w:color="auto" w:sz="4" w:space="0"/>
              <w:bottom w:val="single" w:color="auto" w:sz="4" w:space="0"/>
              <w:right w:val="single" w:color="auto" w:sz="4" w:space="0"/>
            </w:tcBorders>
            <w:vAlign w:val="center"/>
          </w:tcPr>
          <w:p w14:paraId="28BAE716">
            <w:pPr>
              <w:spacing w:line="400" w:lineRule="exact"/>
              <w:jc w:val="center"/>
              <w:rPr>
                <w:rFonts w:hint="eastAsia" w:ascii="宋体" w:hAnsi="宋体" w:cs="宋体"/>
                <w:sz w:val="22"/>
                <w:szCs w:val="22"/>
              </w:rPr>
            </w:pPr>
            <w:r>
              <w:rPr>
                <w:rFonts w:hint="eastAsia" w:ascii="宋体" w:hAnsi="宋体" w:cs="宋体"/>
                <w:sz w:val="22"/>
                <w:szCs w:val="22"/>
              </w:rPr>
              <w:t>控股股东</w:t>
            </w:r>
          </w:p>
        </w:tc>
        <w:tc>
          <w:tcPr>
            <w:tcW w:w="1818" w:type="dxa"/>
            <w:gridSpan w:val="2"/>
            <w:tcBorders>
              <w:top w:val="single" w:color="auto" w:sz="4" w:space="0"/>
              <w:left w:val="single" w:color="auto" w:sz="4" w:space="0"/>
              <w:bottom w:val="single" w:color="auto" w:sz="4" w:space="0"/>
              <w:right w:val="single" w:color="auto" w:sz="4" w:space="0"/>
            </w:tcBorders>
            <w:vAlign w:val="center"/>
          </w:tcPr>
          <w:p w14:paraId="141EB448">
            <w:pPr>
              <w:spacing w:line="400" w:lineRule="exact"/>
              <w:jc w:val="center"/>
              <w:rPr>
                <w:rFonts w:hint="eastAsia" w:ascii="宋体" w:hAnsi="宋体" w:cs="宋体"/>
                <w:sz w:val="22"/>
                <w:szCs w:val="22"/>
              </w:rPr>
            </w:pPr>
          </w:p>
        </w:tc>
        <w:tc>
          <w:tcPr>
            <w:tcW w:w="4812" w:type="dxa"/>
            <w:gridSpan w:val="3"/>
            <w:tcBorders>
              <w:top w:val="single" w:color="auto" w:sz="4" w:space="0"/>
              <w:left w:val="single" w:color="auto" w:sz="4" w:space="0"/>
              <w:bottom w:val="single" w:color="auto" w:sz="4" w:space="0"/>
              <w:right w:val="single" w:color="auto" w:sz="4" w:space="0"/>
            </w:tcBorders>
            <w:vAlign w:val="center"/>
          </w:tcPr>
          <w:p w14:paraId="119E35E7">
            <w:pPr>
              <w:snapToGrid w:val="0"/>
              <w:spacing w:line="400" w:lineRule="exact"/>
              <w:jc w:val="left"/>
              <w:rPr>
                <w:rFonts w:hint="eastAsia" w:ascii="宋体" w:hAnsi="宋体" w:cs="宋体"/>
                <w:sz w:val="22"/>
                <w:szCs w:val="22"/>
              </w:rPr>
            </w:pPr>
            <w:r>
              <w:rPr>
                <w:rFonts w:hint="eastAsia" w:ascii="宋体" w:hAnsi="宋体" w:cs="宋体"/>
                <w:sz w:val="22"/>
                <w:szCs w:val="22"/>
              </w:rPr>
              <w:t>指出资额（或持有股份）占投标（响应）供应商资本总额（或股本总额）50%以上的股东，以及出资额（或持有股份）的比例虽然不足50%，但依其出资额（或持有股份）所享有的表决权已足以对投标（响应）供应商股东会（或股东大会）的决议产生重要影响的股东。</w:t>
            </w:r>
          </w:p>
        </w:tc>
      </w:tr>
      <w:tr w14:paraId="0A393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36" w:type="dxa"/>
            <w:tcBorders>
              <w:top w:val="single" w:color="auto" w:sz="4" w:space="0"/>
              <w:left w:val="single" w:color="auto" w:sz="4" w:space="0"/>
              <w:bottom w:val="single" w:color="auto" w:sz="4" w:space="0"/>
              <w:right w:val="single" w:color="auto" w:sz="4" w:space="0"/>
            </w:tcBorders>
            <w:vAlign w:val="center"/>
          </w:tcPr>
          <w:p w14:paraId="3A6F6D8B">
            <w:pPr>
              <w:spacing w:line="400" w:lineRule="exact"/>
              <w:jc w:val="center"/>
              <w:rPr>
                <w:rFonts w:hint="eastAsia" w:ascii="宋体" w:hAnsi="宋体" w:cs="宋体"/>
                <w:sz w:val="22"/>
                <w:szCs w:val="22"/>
                <w:lang w:bidi="ar"/>
              </w:rPr>
            </w:pPr>
            <w:r>
              <w:rPr>
                <w:rFonts w:hint="eastAsia" w:ascii="宋体" w:hAnsi="宋体" w:cs="宋体"/>
                <w:sz w:val="22"/>
                <w:szCs w:val="22"/>
                <w:lang w:bidi="ar"/>
              </w:rPr>
              <w:t>2</w:t>
            </w:r>
          </w:p>
        </w:tc>
        <w:tc>
          <w:tcPr>
            <w:tcW w:w="2202" w:type="dxa"/>
            <w:gridSpan w:val="2"/>
            <w:tcBorders>
              <w:top w:val="single" w:color="auto" w:sz="4" w:space="0"/>
              <w:left w:val="single" w:color="auto" w:sz="4" w:space="0"/>
              <w:bottom w:val="single" w:color="auto" w:sz="4" w:space="0"/>
              <w:right w:val="single" w:color="auto" w:sz="4" w:space="0"/>
            </w:tcBorders>
            <w:vAlign w:val="center"/>
          </w:tcPr>
          <w:p w14:paraId="00A555E5">
            <w:pPr>
              <w:spacing w:line="400" w:lineRule="exact"/>
              <w:jc w:val="center"/>
              <w:rPr>
                <w:rFonts w:hint="eastAsia" w:ascii="宋体" w:hAnsi="宋体" w:cs="宋体"/>
                <w:sz w:val="22"/>
                <w:szCs w:val="22"/>
              </w:rPr>
            </w:pPr>
            <w:r>
              <w:rPr>
                <w:rFonts w:hint="eastAsia" w:ascii="宋体" w:hAnsi="宋体" w:cs="宋体"/>
                <w:sz w:val="22"/>
                <w:szCs w:val="22"/>
              </w:rPr>
              <w:t>管理关系</w:t>
            </w:r>
          </w:p>
        </w:tc>
        <w:tc>
          <w:tcPr>
            <w:tcW w:w="1818" w:type="dxa"/>
            <w:gridSpan w:val="2"/>
            <w:tcBorders>
              <w:top w:val="single" w:color="auto" w:sz="4" w:space="0"/>
              <w:left w:val="single" w:color="auto" w:sz="4" w:space="0"/>
              <w:bottom w:val="single" w:color="auto" w:sz="4" w:space="0"/>
              <w:right w:val="single" w:color="auto" w:sz="4" w:space="0"/>
            </w:tcBorders>
            <w:vAlign w:val="center"/>
          </w:tcPr>
          <w:p w14:paraId="3497205D">
            <w:pPr>
              <w:spacing w:line="400" w:lineRule="exact"/>
              <w:jc w:val="center"/>
              <w:rPr>
                <w:rFonts w:hint="eastAsia" w:ascii="宋体" w:hAnsi="宋体" w:cs="宋体"/>
                <w:sz w:val="22"/>
                <w:szCs w:val="22"/>
              </w:rPr>
            </w:pPr>
          </w:p>
        </w:tc>
        <w:tc>
          <w:tcPr>
            <w:tcW w:w="4812" w:type="dxa"/>
            <w:gridSpan w:val="3"/>
            <w:tcBorders>
              <w:top w:val="single" w:color="auto" w:sz="4" w:space="0"/>
              <w:left w:val="single" w:color="auto" w:sz="4" w:space="0"/>
              <w:bottom w:val="single" w:color="auto" w:sz="4" w:space="0"/>
              <w:right w:val="single" w:color="auto" w:sz="4" w:space="0"/>
            </w:tcBorders>
            <w:vAlign w:val="center"/>
          </w:tcPr>
          <w:p w14:paraId="3A86559B">
            <w:pPr>
              <w:snapToGrid w:val="0"/>
              <w:spacing w:line="400" w:lineRule="exact"/>
              <w:jc w:val="left"/>
              <w:rPr>
                <w:rFonts w:hint="eastAsia" w:ascii="宋体" w:hAnsi="宋体" w:cs="宋体"/>
                <w:sz w:val="22"/>
                <w:szCs w:val="22"/>
              </w:rPr>
            </w:pPr>
            <w:r>
              <w:rPr>
                <w:rFonts w:hint="eastAsia" w:ascii="宋体" w:hAnsi="宋体" w:cs="宋体"/>
                <w:sz w:val="22"/>
                <w:szCs w:val="22"/>
              </w:rPr>
              <w:t>指对投标（响应）供应商不具有出资持股关系，但对其存在管理关系的主体。</w:t>
            </w:r>
          </w:p>
        </w:tc>
      </w:tr>
      <w:tr w14:paraId="5B8F6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9568" w:type="dxa"/>
            <w:gridSpan w:val="8"/>
            <w:tcBorders>
              <w:top w:val="single" w:color="auto" w:sz="4" w:space="0"/>
              <w:left w:val="single" w:color="auto" w:sz="4" w:space="0"/>
              <w:bottom w:val="single" w:color="auto" w:sz="4" w:space="0"/>
              <w:right w:val="single" w:color="auto" w:sz="4" w:space="0"/>
            </w:tcBorders>
            <w:vAlign w:val="center"/>
          </w:tcPr>
          <w:p w14:paraId="15D8BF5C">
            <w:pPr>
              <w:snapToGrid w:val="0"/>
              <w:spacing w:line="400" w:lineRule="exact"/>
              <w:jc w:val="left"/>
              <w:rPr>
                <w:rFonts w:hint="eastAsia" w:ascii="宋体" w:hAnsi="宋体" w:cs="宋体"/>
                <w:sz w:val="22"/>
                <w:szCs w:val="22"/>
              </w:rPr>
            </w:pPr>
            <w:r>
              <w:rPr>
                <w:rFonts w:hint="eastAsia" w:ascii="宋体" w:hAnsi="宋体" w:cs="宋体"/>
                <w:b/>
                <w:bCs/>
                <w:sz w:val="22"/>
                <w:szCs w:val="22"/>
              </w:rPr>
              <w:t>说明：同一关联关系类型有多个主体的，应分行填写。</w:t>
            </w:r>
          </w:p>
        </w:tc>
      </w:tr>
    </w:tbl>
    <w:p w14:paraId="4F32F1FE">
      <w:pPr>
        <w:widowControl/>
        <w:jc w:val="left"/>
        <w:rPr>
          <w:rFonts w:hint="eastAsia" w:ascii="宋体" w:hAnsi="宋体" w:cs="宋体"/>
          <w:sz w:val="20"/>
          <w:szCs w:val="22"/>
        </w:rPr>
        <w:sectPr>
          <w:pgSz w:w="11906" w:h="16838"/>
          <w:pgMar w:top="1417" w:right="1417" w:bottom="1417" w:left="1701" w:header="851" w:footer="1588" w:gutter="0"/>
          <w:pgNumType w:fmt="numberInDash"/>
          <w:cols w:space="720" w:num="1"/>
          <w:docGrid w:type="lines" w:linePitch="312" w:charSpace="0"/>
        </w:sectPr>
      </w:pPr>
    </w:p>
    <w:p w14:paraId="57AD7EDC">
      <w:pPr>
        <w:pStyle w:val="4"/>
        <w:jc w:val="center"/>
        <w:rPr>
          <w:rFonts w:hint="eastAsia" w:ascii="黑体" w:eastAsia="黑体"/>
          <w:b w:val="0"/>
          <w:sz w:val="24"/>
        </w:rPr>
      </w:pPr>
      <w:r>
        <w:rPr>
          <w:rFonts w:hint="eastAsia" w:ascii="黑体" w:eastAsia="黑体"/>
          <w:b w:val="0"/>
          <w:sz w:val="24"/>
        </w:rPr>
        <w:t>六、</w:t>
      </w:r>
      <w:bookmarkStart w:id="43" w:name="_Hlk72092499"/>
      <w:r>
        <w:rPr>
          <w:rFonts w:hint="eastAsia" w:ascii="黑体" w:eastAsia="黑体"/>
          <w:b w:val="0"/>
          <w:sz w:val="24"/>
        </w:rPr>
        <w:t>法定代表人（负责人）证明书</w:t>
      </w:r>
      <w:bookmarkEnd w:id="43"/>
    </w:p>
    <w:p w14:paraId="1DD5F0CF">
      <w:pPr>
        <w:rPr>
          <w:sz w:val="24"/>
        </w:rPr>
      </w:pPr>
    </w:p>
    <w:p w14:paraId="5D3AF253">
      <w:pPr>
        <w:spacing w:line="360" w:lineRule="auto"/>
        <w:ind w:firstLine="420" w:firstLineChars="200"/>
        <w:rPr>
          <w:szCs w:val="21"/>
        </w:rPr>
      </w:pPr>
      <w:r>
        <w:rPr>
          <w:szCs w:val="21"/>
          <w:u w:val="single"/>
          <w:lang w:bidi="ar"/>
        </w:rPr>
        <w:t xml:space="preserve">                 </w:t>
      </w:r>
      <w:r>
        <w:rPr>
          <w:rFonts w:hint="eastAsia" w:cs="宋体"/>
          <w:szCs w:val="21"/>
          <w:lang w:bidi="ar"/>
        </w:rPr>
        <w:t>（姓名），现任我单位</w:t>
      </w:r>
      <w:r>
        <w:rPr>
          <w:szCs w:val="21"/>
          <w:u w:val="single"/>
          <w:lang w:bidi="ar"/>
        </w:rPr>
        <w:t xml:space="preserve">             </w:t>
      </w:r>
      <w:r>
        <w:rPr>
          <w:rFonts w:hint="eastAsia" w:cs="宋体"/>
          <w:szCs w:val="21"/>
          <w:lang w:bidi="ar"/>
        </w:rPr>
        <w:t>职务，为法定代表人（负责人），身份证件号为：</w:t>
      </w:r>
      <w:r>
        <w:rPr>
          <w:szCs w:val="21"/>
          <w:u w:val="single"/>
          <w:lang w:bidi="ar"/>
        </w:rPr>
        <w:t xml:space="preserve">                                     </w:t>
      </w:r>
      <w:r>
        <w:rPr>
          <w:rFonts w:hint="eastAsia" w:cs="宋体"/>
          <w:szCs w:val="21"/>
          <w:lang w:bidi="ar"/>
        </w:rPr>
        <w:t>，联系电话：</w:t>
      </w:r>
      <w:r>
        <w:rPr>
          <w:szCs w:val="21"/>
          <w:u w:val="single"/>
          <w:lang w:bidi="ar"/>
        </w:rPr>
        <w:t xml:space="preserve">                </w:t>
      </w:r>
      <w:r>
        <w:rPr>
          <w:rFonts w:hint="eastAsia" w:cs="宋体"/>
          <w:szCs w:val="21"/>
          <w:lang w:bidi="ar"/>
        </w:rPr>
        <w:t>。</w:t>
      </w:r>
    </w:p>
    <w:p w14:paraId="2015D4A6">
      <w:pPr>
        <w:spacing w:line="360" w:lineRule="auto"/>
        <w:ind w:firstLine="422" w:firstLineChars="200"/>
        <w:rPr>
          <w:b/>
          <w:bCs/>
          <w:color w:val="FF0000"/>
          <w:szCs w:val="21"/>
        </w:rPr>
      </w:pPr>
      <w:r>
        <w:rPr>
          <w:rFonts w:hint="eastAsia" w:cs="宋体"/>
          <w:b/>
          <w:bCs/>
          <w:color w:val="FF0000"/>
          <w:szCs w:val="21"/>
          <w:lang w:bidi="ar"/>
        </w:rPr>
        <w:t>特此证明。</w:t>
      </w:r>
    </w:p>
    <w:p w14:paraId="0B6AE1EE">
      <w:pPr>
        <w:spacing w:line="360" w:lineRule="auto"/>
        <w:ind w:firstLine="422" w:firstLineChars="200"/>
        <w:rPr>
          <w:b/>
          <w:bCs/>
          <w:color w:val="FF0000"/>
          <w:szCs w:val="21"/>
        </w:rPr>
      </w:pPr>
      <w:r>
        <w:rPr>
          <w:rFonts w:hint="eastAsia" w:cs="宋体"/>
          <w:b/>
          <w:bCs/>
          <w:color w:val="FF0000"/>
          <w:szCs w:val="21"/>
          <w:lang w:bidi="ar"/>
        </w:rPr>
        <w:t>说明：</w:t>
      </w:r>
      <w:r>
        <w:rPr>
          <w:b/>
          <w:bCs/>
          <w:color w:val="FF0000"/>
          <w:szCs w:val="21"/>
          <w:lang w:bidi="ar"/>
        </w:rPr>
        <w:t>1</w:t>
      </w:r>
      <w:r>
        <w:rPr>
          <w:rFonts w:hint="eastAsia" w:cs="宋体"/>
          <w:b/>
          <w:bCs/>
          <w:color w:val="FF0000"/>
          <w:szCs w:val="21"/>
          <w:lang w:bidi="ar"/>
        </w:rPr>
        <w:t>、法定代表人为投标人（企业事业单位、国家机关、社会团体）的主要行政负责人。</w:t>
      </w:r>
    </w:p>
    <w:p w14:paraId="06D60147">
      <w:pPr>
        <w:numPr>
          <w:ilvl w:val="0"/>
          <w:numId w:val="10"/>
        </w:numPr>
        <w:spacing w:line="360" w:lineRule="auto"/>
        <w:ind w:firstLine="422" w:firstLineChars="200"/>
        <w:rPr>
          <w:b/>
          <w:bCs/>
          <w:color w:val="FF0000"/>
          <w:szCs w:val="21"/>
        </w:rPr>
      </w:pPr>
      <w:r>
        <w:rPr>
          <w:rFonts w:hint="eastAsia" w:cs="宋体"/>
          <w:b/>
          <w:bCs/>
          <w:color w:val="FF0000"/>
          <w:szCs w:val="21"/>
          <w:lang w:bidi="ar"/>
        </w:rPr>
        <w:t>本证明书要供法定代表人（负责人）相关身份证明文件：身份证扫描件（正反两面）；港澳台居民可提供来往通行证扫描件；非中国国籍管辖范围人员，可提供公安部门认可的身份证明材料扫描件。</w:t>
      </w:r>
    </w:p>
    <w:p w14:paraId="162885F4">
      <w:pPr>
        <w:numPr>
          <w:ilvl w:val="0"/>
          <w:numId w:val="10"/>
        </w:numPr>
        <w:spacing w:line="360" w:lineRule="auto"/>
        <w:ind w:firstLine="422" w:firstLineChars="200"/>
        <w:rPr>
          <w:b/>
          <w:bCs/>
          <w:color w:val="FF0000"/>
          <w:szCs w:val="21"/>
        </w:rPr>
      </w:pPr>
      <w:r>
        <w:rPr>
          <w:rFonts w:hint="eastAsia" w:cs="宋体"/>
          <w:b/>
          <w:bCs/>
          <w:color w:val="FF0000"/>
          <w:szCs w:val="21"/>
          <w:lang w:bidi="ar"/>
        </w:rPr>
        <w:t>本项目投标授权代表为法定代表人（负责人）的，无需提供《投标文件签署授权委托书》。</w:t>
      </w:r>
    </w:p>
    <w:p w14:paraId="471F8841">
      <w:pPr>
        <w:numPr>
          <w:ilvl w:val="0"/>
          <w:numId w:val="10"/>
        </w:numPr>
        <w:spacing w:line="360" w:lineRule="auto"/>
        <w:ind w:firstLine="422" w:firstLineChars="200"/>
        <w:rPr>
          <w:b/>
          <w:bCs/>
          <w:color w:val="FF0000"/>
          <w:szCs w:val="21"/>
        </w:rPr>
      </w:pPr>
      <w:r>
        <w:rPr>
          <w:rFonts w:hint="eastAsia" w:cs="宋体"/>
          <w:b/>
          <w:bCs/>
          <w:color w:val="FF0000"/>
          <w:szCs w:val="21"/>
          <w:lang w:bidi="ar"/>
        </w:rPr>
        <w:t>内容必须填写真实、清楚，涂改无效，不得转让、买卖。</w:t>
      </w:r>
    </w:p>
    <w:tbl>
      <w:tblPr>
        <w:tblStyle w:val="43"/>
        <w:tblW w:w="85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7"/>
        <w:gridCol w:w="4268"/>
      </w:tblGrid>
      <w:tr w14:paraId="6B89D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4" w:type="dxa"/>
            <w:tcBorders>
              <w:top w:val="single" w:color="auto" w:sz="4" w:space="0"/>
              <w:left w:val="single" w:color="auto" w:sz="4" w:space="0"/>
              <w:bottom w:val="single" w:color="auto" w:sz="4" w:space="0"/>
              <w:right w:val="single" w:color="auto" w:sz="4" w:space="0"/>
            </w:tcBorders>
            <w:shd w:val="clear" w:color="auto" w:fill="auto"/>
          </w:tcPr>
          <w:p w14:paraId="1BDE33B9">
            <w:pPr>
              <w:jc w:val="center"/>
            </w:pPr>
            <w:r>
              <w:rPr>
                <w:rFonts w:hint="eastAsia" w:cs="宋体"/>
                <w:lang w:bidi="ar"/>
              </w:rPr>
              <w:t>证件扫描件正面</w:t>
            </w:r>
          </w:p>
          <w:p w14:paraId="1156B895">
            <w:pPr>
              <w:pStyle w:val="37"/>
              <w:spacing w:beforeAutospacing="0" w:after="120" w:afterAutospacing="0"/>
            </w:pPr>
          </w:p>
          <w:p w14:paraId="54DBB052">
            <w:pPr>
              <w:pStyle w:val="37"/>
              <w:spacing w:beforeAutospacing="0" w:afterAutospacing="0" w:line="360" w:lineRule="auto"/>
            </w:pPr>
          </w:p>
          <w:p w14:paraId="3045A053">
            <w:pPr>
              <w:pStyle w:val="37"/>
              <w:spacing w:beforeAutospacing="0" w:afterAutospacing="0" w:line="360" w:lineRule="auto"/>
            </w:pPr>
          </w:p>
          <w:p w14:paraId="52EA0CDE">
            <w:pPr>
              <w:pStyle w:val="37"/>
              <w:spacing w:beforeAutospacing="0" w:afterAutospacing="0" w:line="360" w:lineRule="auto"/>
            </w:pPr>
          </w:p>
        </w:tc>
        <w:tc>
          <w:tcPr>
            <w:tcW w:w="4265" w:type="dxa"/>
            <w:tcBorders>
              <w:top w:val="single" w:color="auto" w:sz="4" w:space="0"/>
              <w:left w:val="single" w:color="auto" w:sz="4" w:space="0"/>
              <w:bottom w:val="single" w:color="auto" w:sz="4" w:space="0"/>
              <w:right w:val="single" w:color="auto" w:sz="4" w:space="0"/>
            </w:tcBorders>
            <w:shd w:val="clear" w:color="auto" w:fill="auto"/>
          </w:tcPr>
          <w:p w14:paraId="04CECB81">
            <w:pPr>
              <w:jc w:val="center"/>
            </w:pPr>
            <w:r>
              <w:rPr>
                <w:rFonts w:hint="eastAsia" w:cs="宋体"/>
                <w:lang w:bidi="ar"/>
              </w:rPr>
              <w:t>证件扫描件反面</w:t>
            </w:r>
          </w:p>
          <w:p w14:paraId="2DC692FF">
            <w:pPr>
              <w:pStyle w:val="37"/>
              <w:spacing w:beforeAutospacing="0" w:after="120" w:afterAutospacing="0"/>
              <w:jc w:val="center"/>
            </w:pPr>
          </w:p>
          <w:p w14:paraId="54187B82">
            <w:pPr>
              <w:pStyle w:val="37"/>
              <w:spacing w:beforeAutospacing="0" w:afterAutospacing="0" w:line="360" w:lineRule="auto"/>
              <w:jc w:val="center"/>
            </w:pPr>
          </w:p>
        </w:tc>
      </w:tr>
    </w:tbl>
    <w:p w14:paraId="7641D277">
      <w:pPr>
        <w:pStyle w:val="37"/>
        <w:rPr>
          <w:szCs w:val="22"/>
        </w:rPr>
      </w:pPr>
      <w:r>
        <w:rPr>
          <w:rFonts w:hint="eastAsia" w:ascii="黑体" w:hAnsi="宋体" w:eastAsia="黑体" w:cs="黑体"/>
          <w:b/>
          <w:bCs/>
          <w:lang w:bidi="ar"/>
        </w:rPr>
        <w:t>温馨提示</w:t>
      </w:r>
      <w:r>
        <w:rPr>
          <w:rFonts w:hint="eastAsia" w:ascii="黑体" w:hAnsi="宋体" w:eastAsia="黑体" w:cs="黑体"/>
          <w:lang w:bidi="ar"/>
        </w:rPr>
        <w:t>：</w:t>
      </w:r>
      <w:r>
        <w:rPr>
          <w:rFonts w:hint="eastAsia" w:cs="宋体"/>
          <w:sz w:val="21"/>
          <w:szCs w:val="21"/>
          <w:lang w:bidi="ar"/>
        </w:rPr>
        <w:t>为避免出现《深圳经济特区政府采购条例实施细则》第七十五条第二项所列情形，请投标供应商核实贵单位法定代表人、本项目投标授权代表人、项目负责人（如有）、主要技术人员（如有）等是否在贵单位缴纳社会保险。</w:t>
      </w:r>
    </w:p>
    <w:p w14:paraId="7174F9D7">
      <w:pPr>
        <w:rPr>
          <w:sz w:val="24"/>
        </w:rPr>
      </w:pPr>
    </w:p>
    <w:p w14:paraId="40E87DA0">
      <w:pPr>
        <w:rPr>
          <w:rFonts w:hint="eastAsia" w:ascii="黑体" w:hAnsi="宋体" w:eastAsia="黑体" w:cs="黑体"/>
          <w:bCs/>
          <w:sz w:val="24"/>
          <w:szCs w:val="32"/>
        </w:rPr>
      </w:pPr>
      <w:r>
        <w:rPr>
          <w:rFonts w:hint="eastAsia" w:ascii="黑体" w:hAnsi="宋体" w:eastAsia="黑体" w:cs="黑体"/>
          <w:bCs/>
          <w:sz w:val="24"/>
          <w:szCs w:val="32"/>
        </w:rPr>
        <w:br w:type="page"/>
      </w:r>
    </w:p>
    <w:p w14:paraId="17A444CB">
      <w:pPr>
        <w:pStyle w:val="4"/>
        <w:widowControl/>
        <w:spacing w:before="120" w:after="120"/>
        <w:jc w:val="center"/>
        <w:rPr>
          <w:rFonts w:hint="eastAsia" w:ascii="黑体" w:eastAsia="黑体" w:cs="黑体"/>
          <w:b w:val="0"/>
          <w:sz w:val="24"/>
        </w:rPr>
      </w:pPr>
      <w:r>
        <w:rPr>
          <w:rFonts w:hint="eastAsia" w:ascii="黑体" w:eastAsia="黑体" w:cs="黑体"/>
          <w:b w:val="0"/>
          <w:sz w:val="24"/>
        </w:rPr>
        <w:t>七、投标文件签署授权委托书</w:t>
      </w:r>
    </w:p>
    <w:p w14:paraId="4BC54D90">
      <w:pPr>
        <w:spacing w:line="360" w:lineRule="auto"/>
        <w:ind w:firstLine="420" w:firstLineChars="200"/>
        <w:rPr>
          <w:szCs w:val="21"/>
        </w:rPr>
      </w:pPr>
      <w:r>
        <w:rPr>
          <w:rFonts w:hint="eastAsia" w:cs="宋体"/>
          <w:szCs w:val="21"/>
          <w:lang w:bidi="ar"/>
        </w:rPr>
        <w:t>本授权委托书声明：我</w:t>
      </w:r>
      <w:r>
        <w:rPr>
          <w:szCs w:val="21"/>
          <w:u w:val="single"/>
          <w:lang w:bidi="ar"/>
        </w:rPr>
        <w:t xml:space="preserve">           </w:t>
      </w:r>
      <w:r>
        <w:rPr>
          <w:rFonts w:hint="eastAsia" w:cs="宋体"/>
          <w:szCs w:val="21"/>
          <w:lang w:bidi="ar"/>
        </w:rPr>
        <w:t>（姓名）系</w:t>
      </w:r>
      <w:r>
        <w:rPr>
          <w:szCs w:val="21"/>
          <w:u w:val="single"/>
          <w:lang w:bidi="ar"/>
        </w:rPr>
        <w:t xml:space="preserve">             </w:t>
      </w:r>
      <w:r>
        <w:rPr>
          <w:rFonts w:hint="eastAsia" w:cs="宋体"/>
          <w:szCs w:val="21"/>
          <w:lang w:bidi="ar"/>
        </w:rPr>
        <w:t>（投标人名称）的法定代表人（负责人），现授权委托</w:t>
      </w:r>
      <w:r>
        <w:rPr>
          <w:szCs w:val="21"/>
          <w:u w:val="single"/>
          <w:lang w:bidi="ar"/>
        </w:rPr>
        <w:t xml:space="preserve">            </w:t>
      </w:r>
      <w:r>
        <w:rPr>
          <w:rFonts w:hint="eastAsia" w:cs="宋体"/>
          <w:szCs w:val="21"/>
          <w:lang w:bidi="ar"/>
        </w:rPr>
        <w:t>（姓名）为我单位签署本项目已递交的投标文件的法定代表人（负责人）的授权委托代理人，代理人全权代表我所签署的本项目已递交的投标文件内容我均承认。</w:t>
      </w:r>
    </w:p>
    <w:p w14:paraId="398E48F3">
      <w:pPr>
        <w:spacing w:line="360" w:lineRule="auto"/>
        <w:ind w:firstLine="420" w:firstLineChars="200"/>
        <w:rPr>
          <w:szCs w:val="21"/>
        </w:rPr>
      </w:pPr>
      <w:r>
        <w:rPr>
          <w:rFonts w:hint="eastAsia" w:cs="宋体"/>
          <w:szCs w:val="21"/>
          <w:lang w:bidi="ar"/>
        </w:rPr>
        <w:t>代理人无转委托权，特此委托。</w:t>
      </w:r>
    </w:p>
    <w:p w14:paraId="597B5C89">
      <w:pPr>
        <w:spacing w:line="360" w:lineRule="auto"/>
        <w:ind w:firstLine="420" w:firstLineChars="200"/>
        <w:rPr>
          <w:szCs w:val="21"/>
        </w:rPr>
      </w:pPr>
    </w:p>
    <w:p w14:paraId="57AAB5A0">
      <w:pPr>
        <w:spacing w:line="360" w:lineRule="auto"/>
        <w:ind w:firstLine="420" w:firstLineChars="200"/>
        <w:rPr>
          <w:szCs w:val="21"/>
        </w:rPr>
      </w:pPr>
      <w:r>
        <w:rPr>
          <w:rFonts w:hint="eastAsia" w:cs="宋体"/>
          <w:szCs w:val="21"/>
          <w:lang w:bidi="ar"/>
        </w:rPr>
        <w:t>代理人：</w:t>
      </w:r>
      <w:r>
        <w:rPr>
          <w:szCs w:val="21"/>
          <w:u w:val="single"/>
          <w:lang w:bidi="ar"/>
        </w:rPr>
        <w:t xml:space="preserve">              </w:t>
      </w:r>
      <w:r>
        <w:rPr>
          <w:rFonts w:hint="eastAsia" w:cs="宋体"/>
          <w:szCs w:val="21"/>
          <w:lang w:bidi="ar"/>
        </w:rPr>
        <w:t>；</w:t>
      </w:r>
    </w:p>
    <w:p w14:paraId="16B08B98">
      <w:pPr>
        <w:spacing w:line="360" w:lineRule="auto"/>
        <w:ind w:firstLine="420" w:firstLineChars="200"/>
        <w:rPr>
          <w:szCs w:val="21"/>
        </w:rPr>
      </w:pPr>
      <w:r>
        <w:rPr>
          <w:rFonts w:hint="eastAsia" w:cs="宋体"/>
          <w:szCs w:val="21"/>
          <w:lang w:bidi="ar"/>
        </w:rPr>
        <w:t>身份证件号：</w:t>
      </w:r>
      <w:r>
        <w:rPr>
          <w:szCs w:val="21"/>
          <w:u w:val="single"/>
          <w:lang w:bidi="ar"/>
        </w:rPr>
        <w:t xml:space="preserve">                        </w:t>
      </w:r>
      <w:r>
        <w:rPr>
          <w:rFonts w:hint="eastAsia" w:cs="宋体"/>
          <w:szCs w:val="21"/>
          <w:lang w:bidi="ar"/>
        </w:rPr>
        <w:t>，职务：</w:t>
      </w:r>
      <w:r>
        <w:rPr>
          <w:szCs w:val="21"/>
          <w:u w:val="single"/>
          <w:lang w:bidi="ar"/>
        </w:rPr>
        <w:t xml:space="preserve">                </w:t>
      </w:r>
      <w:r>
        <w:rPr>
          <w:rFonts w:hint="eastAsia" w:cs="宋体"/>
          <w:szCs w:val="21"/>
          <w:lang w:bidi="ar"/>
        </w:rPr>
        <w:t>；</w:t>
      </w:r>
    </w:p>
    <w:p w14:paraId="6ED6801F">
      <w:pPr>
        <w:spacing w:line="360" w:lineRule="auto"/>
        <w:ind w:firstLine="420" w:firstLineChars="200"/>
        <w:rPr>
          <w:szCs w:val="21"/>
        </w:rPr>
      </w:pPr>
      <w:r>
        <w:rPr>
          <w:rFonts w:hint="eastAsia" w:cs="宋体"/>
          <w:szCs w:val="21"/>
          <w:lang w:bidi="ar"/>
        </w:rPr>
        <w:t>联系电话：</w:t>
      </w:r>
      <w:r>
        <w:rPr>
          <w:szCs w:val="21"/>
          <w:u w:val="single"/>
          <w:lang w:bidi="ar"/>
        </w:rPr>
        <w:t xml:space="preserve">         </w:t>
      </w:r>
      <w:r>
        <w:rPr>
          <w:rFonts w:hint="eastAsia" w:cs="宋体"/>
          <w:szCs w:val="21"/>
          <w:lang w:bidi="ar"/>
        </w:rPr>
        <w:t>，手机：</w:t>
      </w:r>
      <w:r>
        <w:rPr>
          <w:szCs w:val="21"/>
          <w:u w:val="single"/>
          <w:lang w:bidi="ar"/>
        </w:rPr>
        <w:t xml:space="preserve">                </w:t>
      </w:r>
      <w:r>
        <w:rPr>
          <w:rFonts w:hint="eastAsia" w:cs="宋体"/>
          <w:szCs w:val="21"/>
          <w:lang w:bidi="ar"/>
        </w:rPr>
        <w:t>，电子邮箱：</w:t>
      </w:r>
      <w:r>
        <w:rPr>
          <w:szCs w:val="21"/>
          <w:u w:val="single"/>
          <w:lang w:bidi="ar"/>
        </w:rPr>
        <w:t xml:space="preserve">                     </w:t>
      </w:r>
      <w:r>
        <w:rPr>
          <w:rFonts w:hint="eastAsia" w:cs="宋体"/>
          <w:szCs w:val="21"/>
          <w:lang w:bidi="ar"/>
        </w:rPr>
        <w:t>；</w:t>
      </w:r>
    </w:p>
    <w:p w14:paraId="4F43273D">
      <w:pPr>
        <w:spacing w:line="360" w:lineRule="auto"/>
        <w:ind w:firstLine="420" w:firstLineChars="200"/>
        <w:rPr>
          <w:szCs w:val="21"/>
        </w:rPr>
      </w:pPr>
      <w:r>
        <w:rPr>
          <w:rFonts w:hint="eastAsia" w:cs="宋体"/>
          <w:szCs w:val="21"/>
          <w:lang w:bidi="ar"/>
        </w:rPr>
        <w:t>授权委托日期：</w:t>
      </w:r>
      <w:r>
        <w:rPr>
          <w:szCs w:val="21"/>
          <w:u w:val="single"/>
          <w:lang w:bidi="ar"/>
        </w:rPr>
        <w:t xml:space="preserve">         </w:t>
      </w:r>
      <w:r>
        <w:rPr>
          <w:rFonts w:hint="eastAsia" w:cs="宋体"/>
          <w:szCs w:val="21"/>
          <w:lang w:bidi="ar"/>
        </w:rPr>
        <w:t>年</w:t>
      </w:r>
      <w:r>
        <w:rPr>
          <w:szCs w:val="21"/>
          <w:u w:val="single"/>
          <w:lang w:bidi="ar"/>
        </w:rPr>
        <w:t xml:space="preserve">     </w:t>
      </w:r>
      <w:r>
        <w:rPr>
          <w:rFonts w:hint="eastAsia" w:cs="宋体"/>
          <w:szCs w:val="21"/>
          <w:lang w:bidi="ar"/>
        </w:rPr>
        <w:t>月</w:t>
      </w:r>
      <w:r>
        <w:rPr>
          <w:szCs w:val="21"/>
          <w:lang w:bidi="ar"/>
        </w:rPr>
        <w:t xml:space="preserve"> </w:t>
      </w:r>
      <w:r>
        <w:rPr>
          <w:szCs w:val="21"/>
          <w:u w:val="single"/>
          <w:lang w:bidi="ar"/>
        </w:rPr>
        <w:t xml:space="preserve">      </w:t>
      </w:r>
      <w:r>
        <w:rPr>
          <w:rFonts w:hint="eastAsia" w:cs="宋体"/>
          <w:szCs w:val="21"/>
          <w:lang w:bidi="ar"/>
        </w:rPr>
        <w:t>日。</w:t>
      </w:r>
    </w:p>
    <w:p w14:paraId="3ED3DE86">
      <w:pPr>
        <w:spacing w:line="360" w:lineRule="auto"/>
        <w:rPr>
          <w:b/>
          <w:color w:val="FF0000"/>
          <w:szCs w:val="21"/>
        </w:rPr>
      </w:pPr>
      <w:r>
        <w:rPr>
          <w:rFonts w:hint="eastAsia" w:cs="宋体"/>
          <w:b/>
          <w:color w:val="FF0000"/>
          <w:szCs w:val="21"/>
          <w:lang w:bidi="ar"/>
        </w:rPr>
        <w:t>附：请提供代理人身份证扫描件（正反两面）；港澳台居民可提供来往通行证扫描件；非中国国籍管辖范围人员，可提供公安部门认可的身份证明材料扫描件。</w:t>
      </w:r>
    </w:p>
    <w:tbl>
      <w:tblPr>
        <w:tblStyle w:val="43"/>
        <w:tblW w:w="85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7"/>
        <w:gridCol w:w="4268"/>
      </w:tblGrid>
      <w:tr w14:paraId="5B2A9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Borders>
              <w:top w:val="single" w:color="auto" w:sz="4" w:space="0"/>
              <w:left w:val="single" w:color="auto" w:sz="4" w:space="0"/>
              <w:bottom w:val="single" w:color="auto" w:sz="4" w:space="0"/>
              <w:right w:val="single" w:color="auto" w:sz="4" w:space="0"/>
            </w:tcBorders>
            <w:shd w:val="clear" w:color="auto" w:fill="auto"/>
          </w:tcPr>
          <w:p w14:paraId="51B4C539">
            <w:pPr>
              <w:jc w:val="center"/>
            </w:pPr>
            <w:r>
              <w:rPr>
                <w:rFonts w:hint="eastAsia" w:cs="宋体"/>
                <w:lang w:bidi="ar"/>
              </w:rPr>
              <w:t>证件扫描件正面</w:t>
            </w:r>
          </w:p>
          <w:p w14:paraId="6A4A00A0">
            <w:pPr>
              <w:pStyle w:val="37"/>
              <w:spacing w:beforeAutospacing="0" w:after="120" w:afterAutospacing="0"/>
            </w:pPr>
          </w:p>
          <w:p w14:paraId="6BFAD977">
            <w:pPr>
              <w:pStyle w:val="37"/>
              <w:spacing w:beforeAutospacing="0" w:afterAutospacing="0" w:line="360" w:lineRule="auto"/>
            </w:pPr>
          </w:p>
          <w:p w14:paraId="7AE18302">
            <w:pPr>
              <w:pStyle w:val="37"/>
              <w:spacing w:beforeAutospacing="0" w:afterAutospacing="0" w:line="360" w:lineRule="auto"/>
            </w:pPr>
          </w:p>
          <w:p w14:paraId="58C5ABD0">
            <w:pPr>
              <w:pStyle w:val="37"/>
              <w:spacing w:beforeAutospacing="0" w:afterAutospacing="0" w:line="360" w:lineRule="auto"/>
            </w:pPr>
          </w:p>
        </w:tc>
        <w:tc>
          <w:tcPr>
            <w:tcW w:w="4265" w:type="dxa"/>
            <w:tcBorders>
              <w:top w:val="single" w:color="auto" w:sz="4" w:space="0"/>
              <w:left w:val="single" w:color="auto" w:sz="4" w:space="0"/>
              <w:bottom w:val="single" w:color="auto" w:sz="4" w:space="0"/>
              <w:right w:val="single" w:color="auto" w:sz="4" w:space="0"/>
            </w:tcBorders>
            <w:shd w:val="clear" w:color="auto" w:fill="auto"/>
          </w:tcPr>
          <w:p w14:paraId="14F140AD">
            <w:pPr>
              <w:jc w:val="center"/>
            </w:pPr>
            <w:r>
              <w:rPr>
                <w:rFonts w:hint="eastAsia" w:cs="宋体"/>
                <w:lang w:bidi="ar"/>
              </w:rPr>
              <w:t>证件扫描件反面</w:t>
            </w:r>
          </w:p>
          <w:p w14:paraId="6DCFCBA0">
            <w:pPr>
              <w:pStyle w:val="37"/>
              <w:spacing w:beforeAutospacing="0" w:after="120" w:afterAutospacing="0"/>
              <w:jc w:val="center"/>
            </w:pPr>
          </w:p>
          <w:p w14:paraId="489C5E1B">
            <w:pPr>
              <w:pStyle w:val="37"/>
              <w:spacing w:beforeAutospacing="0" w:afterAutospacing="0" w:line="360" w:lineRule="auto"/>
              <w:jc w:val="center"/>
            </w:pPr>
          </w:p>
        </w:tc>
      </w:tr>
    </w:tbl>
    <w:p w14:paraId="7A1F4E20">
      <w:pPr>
        <w:pStyle w:val="37"/>
        <w:rPr>
          <w:szCs w:val="22"/>
        </w:rPr>
      </w:pPr>
      <w:r>
        <w:rPr>
          <w:rFonts w:hint="eastAsia" w:ascii="黑体" w:hAnsi="宋体" w:eastAsia="黑体" w:cs="黑体"/>
          <w:b/>
          <w:bCs/>
          <w:lang w:bidi="ar"/>
        </w:rPr>
        <w:t>温馨提示</w:t>
      </w:r>
      <w:r>
        <w:rPr>
          <w:rFonts w:hint="eastAsia" w:ascii="黑体" w:hAnsi="宋体" w:eastAsia="黑体" w:cs="黑体"/>
          <w:lang w:bidi="ar"/>
        </w:rPr>
        <w:t>：</w:t>
      </w:r>
      <w:r>
        <w:rPr>
          <w:rFonts w:hint="eastAsia" w:cs="宋体"/>
          <w:sz w:val="21"/>
          <w:szCs w:val="21"/>
          <w:lang w:bidi="ar"/>
        </w:rPr>
        <w:t>为避免出现《深圳经济特区政府采购条例实施细则》第七十五条第二项所列情形，请投标供应商核实贵单位法定代表人、本项目投标授权代表人、项目负责人（如有）、主要技术人员（如有）等是否在贵单位缴纳社会保险。</w:t>
      </w:r>
    </w:p>
    <w:p w14:paraId="0A24154E"/>
    <w:p w14:paraId="174C8A3D">
      <w:pPr>
        <w:pStyle w:val="18"/>
        <w:rPr>
          <w:rFonts w:hint="eastAsia" w:hAnsi="宋体"/>
        </w:rPr>
      </w:pPr>
      <w:r>
        <w:br w:type="page"/>
      </w:r>
    </w:p>
    <w:p w14:paraId="1E7EED05">
      <w:pPr>
        <w:pStyle w:val="4"/>
        <w:jc w:val="center"/>
        <w:rPr>
          <w:rFonts w:hint="eastAsia" w:ascii="黑体" w:eastAsia="黑体"/>
          <w:b w:val="0"/>
          <w:kern w:val="0"/>
          <w:sz w:val="24"/>
          <w:szCs w:val="24"/>
        </w:rPr>
      </w:pPr>
      <w:r>
        <w:rPr>
          <w:rFonts w:hint="eastAsia" w:ascii="黑体" w:eastAsia="黑体"/>
          <w:b w:val="0"/>
          <w:kern w:val="0"/>
          <w:sz w:val="24"/>
          <w:szCs w:val="24"/>
        </w:rPr>
        <w:t>八、</w:t>
      </w:r>
      <w:bookmarkStart w:id="44" w:name="_Hlk72092634"/>
      <w:r>
        <w:rPr>
          <w:rFonts w:hint="eastAsia" w:ascii="黑体" w:eastAsia="黑体"/>
          <w:b w:val="0"/>
          <w:kern w:val="0"/>
          <w:sz w:val="24"/>
          <w:szCs w:val="24"/>
        </w:rPr>
        <w:t>实质性条款响应情况表</w:t>
      </w:r>
      <w:bookmarkEnd w:id="44"/>
    </w:p>
    <w:tbl>
      <w:tblPr>
        <w:tblStyle w:val="42"/>
        <w:tblW w:w="86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3120"/>
        <w:gridCol w:w="2700"/>
        <w:gridCol w:w="1256"/>
        <w:gridCol w:w="847"/>
      </w:tblGrid>
      <w:tr w14:paraId="5BC87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auto"/>
            <w:vAlign w:val="center"/>
          </w:tcPr>
          <w:p w14:paraId="3517BBDC">
            <w:pPr>
              <w:adjustRightInd w:val="0"/>
              <w:snapToGrid w:val="0"/>
              <w:spacing w:line="360" w:lineRule="auto"/>
              <w:jc w:val="center"/>
              <w:rPr>
                <w:rFonts w:hint="eastAsia" w:ascii="宋体" w:hAnsi="宋体" w:cs="宋体"/>
                <w:kern w:val="0"/>
                <w:szCs w:val="21"/>
              </w:rPr>
            </w:pPr>
            <w:bookmarkStart w:id="45" w:name="_Hlk72092651"/>
            <w:r>
              <w:rPr>
                <w:rFonts w:hint="eastAsia" w:ascii="宋体" w:hAnsi="宋体" w:cs="宋体"/>
                <w:kern w:val="0"/>
                <w:szCs w:val="21"/>
                <w:lang w:bidi="ar"/>
              </w:rPr>
              <w:t>序号</w:t>
            </w:r>
          </w:p>
        </w:tc>
        <w:tc>
          <w:tcPr>
            <w:tcW w:w="3120" w:type="dxa"/>
            <w:tcBorders>
              <w:top w:val="single" w:color="auto" w:sz="4" w:space="0"/>
              <w:left w:val="single" w:color="auto" w:sz="4" w:space="0"/>
              <w:bottom w:val="single" w:color="auto" w:sz="4" w:space="0"/>
              <w:right w:val="single" w:color="auto" w:sz="4" w:space="0"/>
            </w:tcBorders>
            <w:shd w:val="clear" w:color="auto" w:fill="auto"/>
            <w:vAlign w:val="center"/>
          </w:tcPr>
          <w:p w14:paraId="24D17F38">
            <w:pPr>
              <w:adjustRightInd w:val="0"/>
              <w:snapToGrid w:val="0"/>
              <w:spacing w:line="360" w:lineRule="auto"/>
              <w:jc w:val="center"/>
              <w:rPr>
                <w:rFonts w:hint="eastAsia" w:ascii="宋体" w:hAnsi="宋体" w:cs="宋体"/>
                <w:kern w:val="0"/>
                <w:szCs w:val="21"/>
              </w:rPr>
            </w:pPr>
            <w:r>
              <w:rPr>
                <w:rFonts w:hint="eastAsia" w:ascii="宋体" w:hAnsi="宋体" w:cs="宋体"/>
                <w:kern w:val="0"/>
                <w:szCs w:val="21"/>
                <w:lang w:bidi="ar"/>
              </w:rPr>
              <w:t>实质性条款具体内容</w:t>
            </w:r>
          </w:p>
        </w:tc>
        <w:tc>
          <w:tcPr>
            <w:tcW w:w="2700" w:type="dxa"/>
            <w:tcBorders>
              <w:top w:val="single" w:color="auto" w:sz="4" w:space="0"/>
              <w:left w:val="single" w:color="auto" w:sz="4" w:space="0"/>
              <w:bottom w:val="single" w:color="auto" w:sz="4" w:space="0"/>
              <w:right w:val="single" w:color="auto" w:sz="4" w:space="0"/>
            </w:tcBorders>
            <w:shd w:val="clear" w:color="auto" w:fill="auto"/>
            <w:vAlign w:val="center"/>
          </w:tcPr>
          <w:p w14:paraId="0535C456">
            <w:pPr>
              <w:adjustRightInd w:val="0"/>
              <w:snapToGrid w:val="0"/>
              <w:spacing w:line="360" w:lineRule="auto"/>
              <w:jc w:val="center"/>
              <w:rPr>
                <w:rFonts w:hint="eastAsia" w:ascii="宋体" w:hAnsi="宋体" w:cs="宋体"/>
                <w:kern w:val="0"/>
                <w:szCs w:val="21"/>
              </w:rPr>
            </w:pPr>
            <w:r>
              <w:rPr>
                <w:rFonts w:hint="eastAsia" w:cs="宋体"/>
                <w:lang w:bidi="ar"/>
              </w:rPr>
              <w:t>投标响应</w:t>
            </w:r>
          </w:p>
        </w:tc>
        <w:tc>
          <w:tcPr>
            <w:tcW w:w="1256" w:type="dxa"/>
            <w:tcBorders>
              <w:top w:val="single" w:color="auto" w:sz="4" w:space="0"/>
              <w:left w:val="single" w:color="auto" w:sz="4" w:space="0"/>
              <w:bottom w:val="single" w:color="auto" w:sz="4" w:space="0"/>
              <w:right w:val="single" w:color="auto" w:sz="4" w:space="0"/>
            </w:tcBorders>
            <w:shd w:val="clear" w:color="auto" w:fill="auto"/>
            <w:vAlign w:val="center"/>
          </w:tcPr>
          <w:p w14:paraId="54832557">
            <w:pPr>
              <w:adjustRightInd w:val="0"/>
              <w:snapToGrid w:val="0"/>
              <w:spacing w:line="360" w:lineRule="auto"/>
              <w:jc w:val="center"/>
              <w:rPr>
                <w:rFonts w:hint="eastAsia" w:ascii="宋体" w:hAnsi="宋体" w:cs="宋体"/>
                <w:kern w:val="0"/>
                <w:szCs w:val="21"/>
              </w:rPr>
            </w:pPr>
            <w:r>
              <w:rPr>
                <w:rFonts w:hint="eastAsia" w:cs="宋体"/>
                <w:lang w:bidi="ar"/>
              </w:rPr>
              <w:t>偏离情况</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14:paraId="5BD20775">
            <w:pPr>
              <w:adjustRightInd w:val="0"/>
              <w:snapToGrid w:val="0"/>
              <w:spacing w:line="360" w:lineRule="auto"/>
              <w:jc w:val="center"/>
              <w:rPr>
                <w:rFonts w:hint="eastAsia" w:ascii="宋体" w:hAnsi="宋体" w:cs="宋体"/>
                <w:kern w:val="0"/>
                <w:szCs w:val="21"/>
              </w:rPr>
            </w:pPr>
            <w:r>
              <w:rPr>
                <w:rFonts w:hint="eastAsia" w:cs="宋体"/>
                <w:lang w:bidi="ar"/>
              </w:rPr>
              <w:t>说明</w:t>
            </w:r>
          </w:p>
        </w:tc>
      </w:tr>
      <w:bookmarkEnd w:id="45"/>
      <w:tr w14:paraId="2FF94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Borders>
              <w:top w:val="single" w:color="auto" w:sz="4" w:space="0"/>
              <w:left w:val="single" w:color="auto" w:sz="4" w:space="0"/>
              <w:bottom w:val="single" w:color="auto" w:sz="4" w:space="0"/>
              <w:right w:val="single" w:color="auto" w:sz="4" w:space="0"/>
            </w:tcBorders>
            <w:shd w:val="clear" w:color="auto" w:fill="auto"/>
          </w:tcPr>
          <w:p w14:paraId="500F2318">
            <w:pPr>
              <w:adjustRightInd w:val="0"/>
              <w:snapToGrid w:val="0"/>
              <w:spacing w:line="360" w:lineRule="auto"/>
              <w:jc w:val="center"/>
              <w:rPr>
                <w:rFonts w:hint="eastAsia" w:ascii="宋体" w:hAnsi="宋体" w:cs="宋体"/>
                <w:kern w:val="0"/>
                <w:szCs w:val="21"/>
              </w:rPr>
            </w:pPr>
            <w:r>
              <w:rPr>
                <w:rFonts w:hint="eastAsia" w:ascii="宋体" w:hAnsi="宋体" w:cs="宋体"/>
                <w:kern w:val="0"/>
                <w:szCs w:val="21"/>
                <w:lang w:bidi="ar"/>
              </w:rPr>
              <w:t>1</w:t>
            </w:r>
          </w:p>
        </w:tc>
        <w:tc>
          <w:tcPr>
            <w:tcW w:w="3120" w:type="dxa"/>
            <w:tcBorders>
              <w:top w:val="single" w:color="auto" w:sz="4" w:space="0"/>
              <w:left w:val="single" w:color="auto" w:sz="4" w:space="0"/>
              <w:bottom w:val="single" w:color="auto" w:sz="4" w:space="0"/>
              <w:right w:val="single" w:color="auto" w:sz="4" w:space="0"/>
            </w:tcBorders>
            <w:shd w:val="clear" w:color="auto" w:fill="auto"/>
            <w:vAlign w:val="center"/>
          </w:tcPr>
          <w:p w14:paraId="1A3ABB7D">
            <w:pPr>
              <w:adjustRightInd w:val="0"/>
              <w:snapToGrid w:val="0"/>
              <w:spacing w:line="360" w:lineRule="auto"/>
              <w:jc w:val="center"/>
              <w:rPr>
                <w:rFonts w:hint="eastAsia" w:hAnsi="宋体"/>
                <w:kern w:val="0"/>
                <w:szCs w:val="21"/>
              </w:rPr>
            </w:pPr>
            <w:r>
              <w:rPr>
                <w:rFonts w:hAnsi="宋体"/>
                <w:kern w:val="0"/>
                <w:szCs w:val="21"/>
              </w:rPr>
              <w:t>满足本项目标★的条款要求。</w:t>
            </w:r>
          </w:p>
        </w:tc>
        <w:tc>
          <w:tcPr>
            <w:tcW w:w="2700" w:type="dxa"/>
            <w:tcBorders>
              <w:top w:val="single" w:color="auto" w:sz="4" w:space="0"/>
              <w:left w:val="single" w:color="auto" w:sz="4" w:space="0"/>
              <w:bottom w:val="single" w:color="auto" w:sz="4" w:space="0"/>
              <w:right w:val="single" w:color="auto" w:sz="4" w:space="0"/>
            </w:tcBorders>
            <w:shd w:val="clear" w:color="auto" w:fill="auto"/>
          </w:tcPr>
          <w:p w14:paraId="6392114F">
            <w:pPr>
              <w:adjustRightInd w:val="0"/>
              <w:snapToGrid w:val="0"/>
              <w:spacing w:line="360" w:lineRule="auto"/>
              <w:rPr>
                <w:rFonts w:hint="eastAsia" w:ascii="宋体" w:hAnsi="宋体" w:cs="宋体"/>
                <w:kern w:val="0"/>
                <w:szCs w:val="21"/>
              </w:rPr>
            </w:pPr>
          </w:p>
        </w:tc>
        <w:tc>
          <w:tcPr>
            <w:tcW w:w="1256" w:type="dxa"/>
            <w:tcBorders>
              <w:top w:val="single" w:color="auto" w:sz="4" w:space="0"/>
              <w:left w:val="single" w:color="auto" w:sz="4" w:space="0"/>
              <w:bottom w:val="single" w:color="auto" w:sz="4" w:space="0"/>
              <w:right w:val="single" w:color="auto" w:sz="4" w:space="0"/>
            </w:tcBorders>
            <w:shd w:val="clear" w:color="auto" w:fill="auto"/>
          </w:tcPr>
          <w:p w14:paraId="77AD40BD">
            <w:pPr>
              <w:adjustRightInd w:val="0"/>
              <w:snapToGrid w:val="0"/>
              <w:spacing w:line="360" w:lineRule="auto"/>
              <w:rPr>
                <w:rFonts w:hint="eastAsia" w:ascii="宋体" w:hAnsi="宋体" w:cs="宋体"/>
                <w:kern w:val="0"/>
                <w:szCs w:val="21"/>
              </w:rPr>
            </w:pPr>
          </w:p>
        </w:tc>
        <w:tc>
          <w:tcPr>
            <w:tcW w:w="847" w:type="dxa"/>
            <w:tcBorders>
              <w:top w:val="single" w:color="auto" w:sz="4" w:space="0"/>
              <w:left w:val="single" w:color="auto" w:sz="4" w:space="0"/>
              <w:bottom w:val="single" w:color="auto" w:sz="4" w:space="0"/>
              <w:right w:val="single" w:color="auto" w:sz="4" w:space="0"/>
            </w:tcBorders>
            <w:shd w:val="clear" w:color="auto" w:fill="auto"/>
          </w:tcPr>
          <w:p w14:paraId="47E5D856">
            <w:pPr>
              <w:adjustRightInd w:val="0"/>
              <w:snapToGrid w:val="0"/>
              <w:spacing w:line="360" w:lineRule="auto"/>
              <w:rPr>
                <w:rFonts w:hint="eastAsia" w:ascii="宋体" w:hAnsi="宋体" w:cs="宋体"/>
                <w:kern w:val="0"/>
                <w:szCs w:val="21"/>
              </w:rPr>
            </w:pPr>
          </w:p>
        </w:tc>
      </w:tr>
    </w:tbl>
    <w:p w14:paraId="643EFCC8">
      <w:pPr>
        <w:rPr>
          <w:b/>
          <w:sz w:val="24"/>
          <w:szCs w:val="22"/>
        </w:rPr>
      </w:pPr>
      <w:r>
        <w:rPr>
          <w:rFonts w:hint="eastAsia" w:cs="宋体"/>
          <w:b/>
          <w:sz w:val="24"/>
          <w:szCs w:val="22"/>
          <w:lang w:bidi="ar"/>
        </w:rPr>
        <w:t>注：</w:t>
      </w:r>
      <w:r>
        <w:rPr>
          <w:b/>
          <w:sz w:val="24"/>
          <w:szCs w:val="22"/>
          <w:lang w:bidi="ar"/>
        </w:rPr>
        <w:t>1.</w:t>
      </w:r>
      <w:r>
        <w:rPr>
          <w:rFonts w:hint="eastAsia" w:cs="宋体"/>
          <w:b/>
          <w:sz w:val="24"/>
          <w:szCs w:val="22"/>
          <w:lang w:bidi="ar"/>
        </w:rPr>
        <w:t>上表所列各项均为不可负偏离条款。</w:t>
      </w:r>
    </w:p>
    <w:p w14:paraId="0613A0FA">
      <w:pPr>
        <w:ind w:firstLine="482" w:firstLineChars="200"/>
        <w:rPr>
          <w:b/>
          <w:sz w:val="24"/>
          <w:szCs w:val="22"/>
        </w:rPr>
      </w:pPr>
      <w:r>
        <w:rPr>
          <w:b/>
          <w:sz w:val="24"/>
          <w:szCs w:val="22"/>
          <w:lang w:bidi="ar"/>
        </w:rPr>
        <w:t>2.</w:t>
      </w:r>
      <w:r>
        <w:rPr>
          <w:rFonts w:hint="eastAsia" w:cs="宋体"/>
          <w:b/>
          <w:sz w:val="24"/>
          <w:szCs w:val="22"/>
          <w:lang w:bidi="ar"/>
        </w:rPr>
        <w:t>“投标响应”一栏应当详细填写投标人自身响应情况，而不能不合理照搬照抄招实质性条款具体内容。</w:t>
      </w:r>
    </w:p>
    <w:p w14:paraId="6DE181C6">
      <w:pPr>
        <w:ind w:firstLine="482" w:firstLineChars="200"/>
        <w:rPr>
          <w:b/>
          <w:sz w:val="24"/>
          <w:szCs w:val="22"/>
        </w:rPr>
      </w:pPr>
      <w:r>
        <w:rPr>
          <w:b/>
          <w:sz w:val="24"/>
          <w:szCs w:val="22"/>
          <w:lang w:bidi="ar"/>
        </w:rPr>
        <w:t>3.</w:t>
      </w:r>
      <w:r>
        <w:rPr>
          <w:rFonts w:hint="eastAsia" w:cs="宋体"/>
          <w:b/>
          <w:sz w:val="24"/>
          <w:szCs w:val="22"/>
          <w:lang w:bidi="ar"/>
        </w:rPr>
        <w:t>“偏离情况”一栏应填写“正偏离”、“负偏离”或“无偏离”，</w:t>
      </w:r>
      <w:r>
        <w:rPr>
          <w:rFonts w:hint="eastAsia" w:cs="宋体"/>
          <w:b/>
          <w:sz w:val="24"/>
          <w:lang w:bidi="ar"/>
        </w:rPr>
        <w:t>“正偏离”表示“投标响应优于实质性条款具体内容要求”，“负偏离”表示“投标响应不满足实质性条款具体内容要求”，“无偏离”表示“投标响应与实质性条款具体内容要求一致”。</w:t>
      </w:r>
    </w:p>
    <w:p w14:paraId="5755D845">
      <w:pPr>
        <w:ind w:firstLine="482" w:firstLineChars="200"/>
        <w:rPr>
          <w:b/>
          <w:sz w:val="24"/>
        </w:rPr>
      </w:pPr>
      <w:r>
        <w:rPr>
          <w:b/>
          <w:sz w:val="24"/>
          <w:lang w:bidi="ar"/>
        </w:rPr>
        <w:t>4.</w:t>
      </w:r>
      <w:r>
        <w:rPr>
          <w:rFonts w:hint="eastAsia" w:cs="宋体"/>
          <w:b/>
          <w:sz w:val="24"/>
          <w:lang w:bidi="ar"/>
        </w:rPr>
        <w:t>评审委员会有权对投标响应情况作出判断（作出评审结论）。</w:t>
      </w:r>
    </w:p>
    <w:p w14:paraId="33D783EB">
      <w:pPr>
        <w:ind w:firstLine="482" w:firstLineChars="200"/>
        <w:rPr>
          <w:b/>
          <w:sz w:val="24"/>
          <w:szCs w:val="22"/>
        </w:rPr>
      </w:pPr>
      <w:r>
        <w:rPr>
          <w:b/>
          <w:sz w:val="24"/>
          <w:szCs w:val="22"/>
          <w:lang w:bidi="ar"/>
        </w:rPr>
        <w:t>5.</w:t>
      </w:r>
      <w:r>
        <w:rPr>
          <w:rFonts w:hint="eastAsia" w:cs="宋体"/>
          <w:b/>
          <w:sz w:val="24"/>
          <w:szCs w:val="22"/>
          <w:lang w:bidi="ar"/>
        </w:rPr>
        <w:t>实质性响应条款“投标响应情况”与投标文件其它内容冲突的，以实质性响应条款“投标响应情况”为准。</w:t>
      </w:r>
    </w:p>
    <w:p w14:paraId="762E1C73">
      <w:pPr>
        <w:ind w:firstLine="482" w:firstLineChars="200"/>
        <w:rPr>
          <w:b/>
          <w:sz w:val="24"/>
          <w:szCs w:val="22"/>
        </w:rPr>
      </w:pPr>
      <w:r>
        <w:rPr>
          <w:b/>
          <w:sz w:val="24"/>
          <w:szCs w:val="22"/>
          <w:lang w:bidi="ar"/>
        </w:rPr>
        <w:t>6.</w:t>
      </w:r>
      <w:r>
        <w:rPr>
          <w:rFonts w:hint="eastAsia" w:cs="宋体"/>
          <w:b/>
          <w:sz w:val="24"/>
          <w:szCs w:val="22"/>
          <w:lang w:bidi="ar"/>
        </w:rPr>
        <w:t>要求提供证明资料，在“说明”一栏中列明证明资料的位置</w:t>
      </w:r>
      <w:r>
        <w:rPr>
          <w:b/>
          <w:sz w:val="24"/>
          <w:szCs w:val="22"/>
          <w:lang w:bidi="ar"/>
        </w:rPr>
        <w:t>,</w:t>
      </w:r>
      <w:r>
        <w:rPr>
          <w:rFonts w:hint="eastAsia" w:cs="宋体"/>
          <w:b/>
          <w:sz w:val="24"/>
          <w:szCs w:val="22"/>
          <w:lang w:bidi="ar"/>
        </w:rPr>
        <w:t>以便评审；未要求提供证明材料的，投标人可以不提供。</w:t>
      </w:r>
    </w:p>
    <w:p w14:paraId="4E12B506"/>
    <w:p w14:paraId="7615EA3D">
      <w:pPr>
        <w:rPr>
          <w:b/>
          <w:bCs/>
          <w:sz w:val="24"/>
        </w:rPr>
      </w:pPr>
    </w:p>
    <w:p w14:paraId="0B7CAFE4">
      <w:pPr>
        <w:widowControl/>
        <w:jc w:val="left"/>
        <w:rPr>
          <w:rFonts w:hint="eastAsia" w:ascii="黑体" w:hAnsi="宋体" w:eastAsia="黑体"/>
          <w:sz w:val="24"/>
          <w:szCs w:val="20"/>
          <w:highlight w:val="yellow"/>
        </w:rPr>
      </w:pPr>
      <w:r>
        <w:rPr>
          <w:rFonts w:ascii="黑体" w:hAnsi="宋体" w:eastAsia="黑体"/>
          <w:sz w:val="24"/>
          <w:szCs w:val="20"/>
          <w:highlight w:val="yellow"/>
        </w:rPr>
        <w:br w:type="page"/>
      </w:r>
    </w:p>
    <w:p w14:paraId="0CF2F121">
      <w:pPr>
        <w:pStyle w:val="4"/>
        <w:rPr>
          <w:rFonts w:hint="eastAsia" w:ascii="黑体" w:hAnsi="黑体" w:eastAsia="黑体" w:cs="黑体"/>
          <w:b w:val="0"/>
          <w:bCs w:val="0"/>
          <w:sz w:val="24"/>
          <w:szCs w:val="28"/>
        </w:rPr>
      </w:pPr>
      <w:r>
        <w:rPr>
          <w:rFonts w:hint="eastAsia" w:ascii="黑体" w:hAnsi="黑体" w:eastAsia="黑体" w:cs="黑体"/>
          <w:b w:val="0"/>
          <w:bCs w:val="0"/>
          <w:sz w:val="24"/>
          <w:szCs w:val="28"/>
        </w:rPr>
        <w:t>九、研学旅行课程线路设计方案（格式自定）</w:t>
      </w:r>
    </w:p>
    <w:p w14:paraId="245AAF99">
      <w:pPr>
        <w:pStyle w:val="8"/>
        <w:ind w:firstLine="0"/>
        <w:jc w:val="center"/>
        <w:rPr>
          <w:rFonts w:hint="eastAsia" w:asciiTheme="minorEastAsia" w:hAnsiTheme="minorEastAsia" w:eastAsiaTheme="minorEastAsia" w:cstheme="minorEastAsia"/>
          <w:b/>
          <w:bCs/>
          <w:color w:val="FF0000"/>
          <w:sz w:val="22"/>
          <w:szCs w:val="18"/>
          <w:highlight w:val="yellow"/>
        </w:rPr>
      </w:pPr>
      <w:r>
        <w:rPr>
          <w:rFonts w:hint="eastAsia" w:asciiTheme="minorEastAsia" w:hAnsiTheme="minorEastAsia" w:eastAsiaTheme="minorEastAsia" w:cstheme="minorEastAsia"/>
          <w:b/>
          <w:bCs/>
          <w:color w:val="FF0000"/>
          <w:sz w:val="22"/>
          <w:szCs w:val="18"/>
          <w:highlight w:val="yellow"/>
        </w:rPr>
        <w:t>（特别提示：投标人须按本招标文件评标信息中这一评审因素要求，提供证明资料）</w:t>
      </w:r>
    </w:p>
    <w:p w14:paraId="0DF58723">
      <w:pPr>
        <w:pStyle w:val="4"/>
        <w:rPr>
          <w:rFonts w:hint="eastAsia" w:ascii="黑体" w:hAnsi="黑体" w:eastAsia="黑体" w:cs="黑体"/>
          <w:b w:val="0"/>
          <w:bCs w:val="0"/>
          <w:sz w:val="24"/>
          <w:szCs w:val="28"/>
        </w:rPr>
      </w:pPr>
      <w:r>
        <w:rPr>
          <w:rFonts w:hint="eastAsia" w:ascii="黑体" w:hAnsi="黑体" w:eastAsia="黑体" w:cs="黑体"/>
          <w:b w:val="0"/>
          <w:bCs w:val="0"/>
          <w:sz w:val="24"/>
          <w:szCs w:val="28"/>
        </w:rPr>
        <w:t>十、服务保障措施（格式自定）</w:t>
      </w:r>
    </w:p>
    <w:p w14:paraId="4AC0FF41">
      <w:pPr>
        <w:pStyle w:val="8"/>
        <w:ind w:firstLine="0"/>
        <w:jc w:val="center"/>
        <w:rPr>
          <w:rFonts w:hint="eastAsia" w:asciiTheme="minorEastAsia" w:hAnsiTheme="minorEastAsia" w:eastAsiaTheme="minorEastAsia" w:cstheme="minorEastAsia"/>
          <w:b/>
          <w:bCs/>
          <w:color w:val="FF0000"/>
          <w:sz w:val="22"/>
          <w:szCs w:val="18"/>
          <w:highlight w:val="yellow"/>
        </w:rPr>
      </w:pPr>
      <w:r>
        <w:rPr>
          <w:rFonts w:hint="eastAsia" w:asciiTheme="minorEastAsia" w:hAnsiTheme="minorEastAsia" w:eastAsiaTheme="minorEastAsia" w:cstheme="minorEastAsia"/>
          <w:b/>
          <w:bCs/>
          <w:color w:val="FF0000"/>
          <w:sz w:val="22"/>
          <w:szCs w:val="18"/>
          <w:highlight w:val="yellow"/>
        </w:rPr>
        <w:t>（特别提示：投标人须按本招标文件评标信息中这一评审因素要求，提供证明资料）</w:t>
      </w:r>
    </w:p>
    <w:p w14:paraId="0CF72D35">
      <w:pPr>
        <w:pStyle w:val="8"/>
        <w:ind w:firstLine="0"/>
        <w:rPr>
          <w:rFonts w:hint="eastAsia" w:asciiTheme="minorEastAsia" w:hAnsiTheme="minorEastAsia" w:eastAsiaTheme="minorEastAsia" w:cstheme="minorEastAsia"/>
          <w:sz w:val="24"/>
          <w:highlight w:val="yellow"/>
        </w:rPr>
      </w:pPr>
    </w:p>
    <w:p w14:paraId="2CF4A53F">
      <w:pPr>
        <w:pStyle w:val="4"/>
        <w:rPr>
          <w:rFonts w:hint="eastAsia" w:ascii="黑体" w:hAnsi="黑体" w:eastAsia="黑体" w:cs="黑体"/>
          <w:b w:val="0"/>
          <w:bCs w:val="0"/>
          <w:sz w:val="24"/>
          <w:szCs w:val="28"/>
        </w:rPr>
      </w:pPr>
      <w:r>
        <w:rPr>
          <w:rFonts w:hint="eastAsia" w:ascii="黑体" w:hAnsi="黑体" w:eastAsia="黑体" w:cs="黑体"/>
          <w:b w:val="0"/>
          <w:bCs w:val="0"/>
          <w:sz w:val="24"/>
          <w:szCs w:val="28"/>
        </w:rPr>
        <w:t>十一、应急安全预案（格式自定）</w:t>
      </w:r>
    </w:p>
    <w:p w14:paraId="6EDE64E1">
      <w:pPr>
        <w:pStyle w:val="8"/>
        <w:ind w:firstLine="0"/>
        <w:jc w:val="center"/>
        <w:rPr>
          <w:rFonts w:hint="eastAsia" w:asciiTheme="minorEastAsia" w:hAnsiTheme="minorEastAsia" w:eastAsiaTheme="minorEastAsia" w:cstheme="minorEastAsia"/>
          <w:b/>
          <w:bCs/>
          <w:color w:val="FF0000"/>
          <w:sz w:val="22"/>
          <w:szCs w:val="18"/>
          <w:highlight w:val="yellow"/>
        </w:rPr>
      </w:pPr>
      <w:r>
        <w:rPr>
          <w:rFonts w:hint="eastAsia" w:asciiTheme="minorEastAsia" w:hAnsiTheme="minorEastAsia" w:eastAsiaTheme="minorEastAsia" w:cstheme="minorEastAsia"/>
          <w:b/>
          <w:bCs/>
          <w:color w:val="FF0000"/>
          <w:sz w:val="22"/>
          <w:szCs w:val="18"/>
          <w:highlight w:val="yellow"/>
        </w:rPr>
        <w:t>（特别提示：投标人须按本招标文件评标信息中这一评审因素要求，提供证明资料）</w:t>
      </w:r>
    </w:p>
    <w:p w14:paraId="74B6CE2B">
      <w:pPr>
        <w:pStyle w:val="8"/>
        <w:ind w:firstLine="0"/>
        <w:rPr>
          <w:rFonts w:hint="eastAsia" w:asciiTheme="minorEastAsia" w:hAnsiTheme="minorEastAsia" w:eastAsiaTheme="minorEastAsia" w:cstheme="minorEastAsia"/>
          <w:sz w:val="24"/>
          <w:highlight w:val="yellow"/>
        </w:rPr>
      </w:pPr>
    </w:p>
    <w:p w14:paraId="73F2B77E">
      <w:pPr>
        <w:pStyle w:val="4"/>
        <w:rPr>
          <w:rFonts w:hint="eastAsia" w:ascii="黑体" w:hAnsi="黑体" w:eastAsia="黑体" w:cs="黑体"/>
          <w:b w:val="0"/>
          <w:bCs w:val="0"/>
          <w:sz w:val="24"/>
          <w:szCs w:val="28"/>
        </w:rPr>
      </w:pPr>
      <w:r>
        <w:rPr>
          <w:rFonts w:hint="eastAsia" w:ascii="黑体" w:hAnsi="黑体" w:eastAsia="黑体" w:cs="黑体"/>
          <w:b w:val="0"/>
          <w:bCs w:val="0"/>
          <w:sz w:val="24"/>
          <w:szCs w:val="28"/>
        </w:rPr>
        <w:t>十二、供应商同类项目业绩情况（格式自定）</w:t>
      </w:r>
    </w:p>
    <w:p w14:paraId="568B8CE3">
      <w:pPr>
        <w:pStyle w:val="8"/>
        <w:ind w:firstLine="0"/>
        <w:jc w:val="center"/>
        <w:rPr>
          <w:rFonts w:hint="eastAsia" w:asciiTheme="minorEastAsia" w:hAnsiTheme="minorEastAsia" w:eastAsiaTheme="minorEastAsia" w:cstheme="minorEastAsia"/>
          <w:b/>
          <w:bCs/>
          <w:color w:val="FF0000"/>
          <w:sz w:val="22"/>
          <w:szCs w:val="18"/>
          <w:highlight w:val="yellow"/>
        </w:rPr>
      </w:pPr>
      <w:r>
        <w:rPr>
          <w:rFonts w:hint="eastAsia" w:asciiTheme="minorEastAsia" w:hAnsiTheme="minorEastAsia" w:eastAsiaTheme="minorEastAsia" w:cstheme="minorEastAsia"/>
          <w:b/>
          <w:bCs/>
          <w:color w:val="FF0000"/>
          <w:sz w:val="22"/>
          <w:szCs w:val="18"/>
          <w:highlight w:val="yellow"/>
        </w:rPr>
        <w:t>（特别提示：投标人须按本招标文件评标信息中这一评审因素要求，提供证明资料）</w:t>
      </w:r>
    </w:p>
    <w:p w14:paraId="1AD3E0D8">
      <w:pPr>
        <w:rPr>
          <w:rFonts w:hint="eastAsia" w:asciiTheme="minorEastAsia" w:hAnsiTheme="minorEastAsia" w:eastAsiaTheme="minorEastAsia" w:cstheme="minorEastAsia"/>
          <w:sz w:val="24"/>
          <w:highlight w:val="yellow"/>
        </w:rPr>
      </w:pPr>
      <w:r>
        <w:rPr>
          <w:rFonts w:asciiTheme="minorEastAsia" w:hAnsiTheme="minorEastAsia" w:eastAsiaTheme="minorEastAsia" w:cstheme="minorEastAsia"/>
          <w:sz w:val="24"/>
          <w:highlight w:val="yellow"/>
        </w:rPr>
        <w:br w:type="page"/>
      </w:r>
    </w:p>
    <w:p w14:paraId="6E6A78A5">
      <w:pPr>
        <w:pStyle w:val="8"/>
        <w:ind w:firstLine="0"/>
        <w:rPr>
          <w:rFonts w:hint="eastAsia" w:asciiTheme="minorEastAsia" w:hAnsiTheme="minorEastAsia" w:eastAsiaTheme="minorEastAsia" w:cstheme="minorEastAsia"/>
          <w:sz w:val="24"/>
          <w:highlight w:val="yellow"/>
        </w:rPr>
      </w:pPr>
    </w:p>
    <w:p w14:paraId="35E8BA1E">
      <w:pPr>
        <w:pStyle w:val="4"/>
        <w:rPr>
          <w:rFonts w:hint="eastAsia" w:ascii="黑体" w:hAnsi="黑体" w:eastAsia="黑体" w:cs="黑体"/>
          <w:b w:val="0"/>
          <w:bCs w:val="0"/>
          <w:sz w:val="24"/>
          <w:szCs w:val="28"/>
        </w:rPr>
      </w:pPr>
      <w:r>
        <w:rPr>
          <w:rFonts w:hint="eastAsia" w:ascii="黑体" w:hAnsi="黑体" w:eastAsia="黑体" w:cs="黑体"/>
          <w:b w:val="0"/>
          <w:bCs w:val="0"/>
          <w:sz w:val="24"/>
          <w:szCs w:val="28"/>
        </w:rPr>
        <w:t>十三、投标人认为需要加以说明的其他内容</w:t>
      </w:r>
    </w:p>
    <w:p w14:paraId="646875A5">
      <w:pPr>
        <w:widowControl/>
        <w:jc w:val="center"/>
        <w:rPr>
          <w:rFonts w:hint="eastAsia" w:ascii="黑体" w:hAnsi="宋体" w:eastAsia="黑体"/>
          <w:kern w:val="0"/>
          <w:sz w:val="24"/>
          <w:szCs w:val="20"/>
        </w:rPr>
      </w:pPr>
      <w:r>
        <w:rPr>
          <w:rFonts w:hint="eastAsia" w:ascii="黑体" w:hAnsi="宋体" w:eastAsia="黑体"/>
          <w:kern w:val="0"/>
          <w:sz w:val="24"/>
          <w:szCs w:val="20"/>
        </w:rPr>
        <w:t>（一）采购违法行为风险知悉确认书</w:t>
      </w:r>
    </w:p>
    <w:p w14:paraId="5B0CD5BA">
      <w:pPr>
        <w:spacing w:after="120" w:afterLines="50" w:line="360" w:lineRule="exact"/>
        <w:ind w:firstLine="422" w:firstLineChars="200"/>
        <w:rPr>
          <w:rFonts w:hint="eastAsia" w:ascii="宋体" w:hAnsi="宋体" w:cs="宋体"/>
          <w:b/>
          <w:bCs/>
          <w:szCs w:val="21"/>
        </w:rPr>
      </w:pPr>
      <w:r>
        <w:rPr>
          <w:rFonts w:hint="eastAsia" w:ascii="宋体" w:hAnsi="宋体" w:cs="宋体"/>
          <w:b/>
          <w:bCs/>
          <w:szCs w:val="21"/>
          <w:lang w:bidi="ar"/>
        </w:rPr>
        <w:t>我单位在投标前已充分知悉以下情形为参与自行采购活动时的重大风险事项，并承诺已对下述风险提示事项重点排查，若存在下述情况，我单位愿意依法承担被记入供应商诚信档案、罚款、取消参与政府采购资格、吊销营业执照等处罚；构成犯罪的，依法承担刑事责任。</w:t>
      </w:r>
    </w:p>
    <w:tbl>
      <w:tblPr>
        <w:tblStyle w:val="43"/>
        <w:tblW w:w="9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1"/>
        <w:gridCol w:w="8223"/>
      </w:tblGrid>
      <w:tr w14:paraId="0B210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14:paraId="6278B276">
            <w:pPr>
              <w:spacing w:line="400" w:lineRule="exact"/>
              <w:jc w:val="center"/>
              <w:rPr>
                <w:rFonts w:hint="eastAsia" w:ascii="宋体" w:hAnsi="宋体" w:cs="宋体"/>
                <w:szCs w:val="21"/>
              </w:rPr>
            </w:pPr>
            <w:r>
              <w:rPr>
                <w:rFonts w:hint="eastAsia" w:ascii="宋体" w:hAnsi="宋体" w:cs="宋体"/>
                <w:szCs w:val="21"/>
                <w:lang w:bidi="ar"/>
              </w:rPr>
              <w:t>序号</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14:paraId="0CC25B30">
            <w:pPr>
              <w:spacing w:line="400" w:lineRule="exact"/>
              <w:jc w:val="center"/>
              <w:rPr>
                <w:rFonts w:hint="eastAsia" w:ascii="宋体" w:hAnsi="宋体" w:cs="宋体"/>
                <w:szCs w:val="21"/>
              </w:rPr>
            </w:pPr>
            <w:r>
              <w:rPr>
                <w:rFonts w:hint="eastAsia" w:ascii="宋体" w:hAnsi="宋体" w:cs="宋体"/>
                <w:b/>
                <w:bCs/>
                <w:szCs w:val="21"/>
                <w:lang w:bidi="ar"/>
              </w:rPr>
              <w:t>供应商参与投标禁止情形</w:t>
            </w:r>
          </w:p>
        </w:tc>
      </w:tr>
      <w:tr w14:paraId="3CE21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14:paraId="6F29B455">
            <w:pPr>
              <w:spacing w:line="400" w:lineRule="exact"/>
              <w:jc w:val="center"/>
              <w:rPr>
                <w:rFonts w:hint="eastAsia" w:ascii="宋体" w:hAnsi="宋体" w:cs="宋体"/>
                <w:szCs w:val="21"/>
              </w:rPr>
            </w:pPr>
            <w:r>
              <w:rPr>
                <w:rFonts w:hint="eastAsia" w:ascii="宋体" w:hAnsi="宋体" w:cs="宋体"/>
                <w:szCs w:val="21"/>
                <w:lang w:bidi="ar"/>
              </w:rPr>
              <w:t>1</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14:paraId="3C67E0BA">
            <w:pPr>
              <w:spacing w:line="400" w:lineRule="exact"/>
              <w:jc w:val="left"/>
              <w:rPr>
                <w:rFonts w:hint="eastAsia" w:ascii="宋体" w:hAnsi="宋体" w:cs="宋体"/>
                <w:szCs w:val="21"/>
              </w:rPr>
            </w:pPr>
            <w:r>
              <w:rPr>
                <w:rFonts w:hint="eastAsia" w:ascii="宋体" w:hAnsi="宋体" w:cs="宋体"/>
                <w:szCs w:val="21"/>
                <w:lang w:bidi="ar"/>
              </w:rPr>
              <w:t>与其他投标供应商的法定代表人、主要经营负责人、投标授权代表人、项目负责人、主要技术人员为</w:t>
            </w:r>
            <w:r>
              <w:rPr>
                <w:rFonts w:hint="eastAsia" w:ascii="宋体" w:hAnsi="宋体" w:cs="宋体"/>
                <w:b/>
                <w:bCs/>
                <w:szCs w:val="21"/>
                <w:lang w:bidi="ar"/>
              </w:rPr>
              <w:t>同一人、属同一单位或者在同一单位缴纳社会保险</w:t>
            </w:r>
            <w:r>
              <w:rPr>
                <w:rFonts w:hint="eastAsia" w:ascii="宋体" w:hAnsi="宋体" w:cs="宋体"/>
                <w:szCs w:val="21"/>
                <w:lang w:bidi="ar"/>
              </w:rPr>
              <w:t>。</w:t>
            </w:r>
          </w:p>
        </w:tc>
      </w:tr>
      <w:tr w14:paraId="4E7A1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14:paraId="22731F6F">
            <w:pPr>
              <w:spacing w:line="400" w:lineRule="exact"/>
              <w:jc w:val="center"/>
              <w:rPr>
                <w:rFonts w:hint="eastAsia" w:ascii="宋体" w:hAnsi="宋体" w:cs="宋体"/>
                <w:szCs w:val="21"/>
              </w:rPr>
            </w:pPr>
            <w:r>
              <w:rPr>
                <w:rFonts w:hint="eastAsia" w:ascii="宋体" w:hAnsi="宋体" w:cs="宋体"/>
                <w:szCs w:val="21"/>
                <w:lang w:bidi="ar"/>
              </w:rPr>
              <w:t>2</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14:paraId="2AFE511C">
            <w:pPr>
              <w:spacing w:line="400" w:lineRule="exact"/>
              <w:jc w:val="left"/>
              <w:rPr>
                <w:rFonts w:hint="eastAsia" w:ascii="宋体" w:hAnsi="宋体" w:cs="宋体"/>
                <w:szCs w:val="21"/>
              </w:rPr>
            </w:pPr>
            <w:r>
              <w:rPr>
                <w:rFonts w:hint="eastAsia" w:ascii="宋体" w:hAnsi="宋体" w:cs="宋体"/>
                <w:szCs w:val="21"/>
                <w:lang w:bidi="ar"/>
              </w:rPr>
              <w:t>参与本项目采购活动时，与其他投标供应商存在单位负责人为</w:t>
            </w:r>
            <w:r>
              <w:rPr>
                <w:rFonts w:hint="eastAsia" w:ascii="宋体" w:hAnsi="宋体" w:cs="宋体"/>
                <w:b/>
                <w:bCs/>
                <w:szCs w:val="21"/>
                <w:lang w:bidi="ar"/>
              </w:rPr>
              <w:t>同一人或直接控股、管理关系</w:t>
            </w:r>
            <w:r>
              <w:rPr>
                <w:rFonts w:hint="eastAsia" w:ascii="宋体" w:hAnsi="宋体" w:cs="宋体"/>
                <w:szCs w:val="21"/>
                <w:lang w:bidi="ar"/>
              </w:rPr>
              <w:t>。</w:t>
            </w:r>
          </w:p>
        </w:tc>
      </w:tr>
      <w:tr w14:paraId="00602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14:paraId="6A8F3AD6">
            <w:pPr>
              <w:spacing w:line="400" w:lineRule="exact"/>
              <w:jc w:val="center"/>
              <w:rPr>
                <w:rFonts w:hint="eastAsia" w:ascii="宋体" w:hAnsi="宋体" w:cs="宋体"/>
                <w:szCs w:val="21"/>
              </w:rPr>
            </w:pPr>
            <w:r>
              <w:rPr>
                <w:rFonts w:hint="eastAsia" w:ascii="宋体" w:hAnsi="宋体" w:cs="宋体"/>
                <w:szCs w:val="21"/>
                <w:lang w:bidi="ar"/>
              </w:rPr>
              <w:t>3</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14:paraId="365D17F4">
            <w:pPr>
              <w:spacing w:line="400" w:lineRule="exact"/>
              <w:jc w:val="left"/>
              <w:rPr>
                <w:rFonts w:hint="eastAsia" w:ascii="宋体" w:hAnsi="宋体" w:cs="宋体"/>
                <w:szCs w:val="21"/>
              </w:rPr>
            </w:pPr>
            <w:r>
              <w:rPr>
                <w:rFonts w:hint="eastAsia" w:ascii="宋体" w:hAnsi="宋体" w:cs="宋体"/>
                <w:szCs w:val="21"/>
                <w:lang w:bidi="ar"/>
              </w:rPr>
              <w:t>与其他投标供应商的投标文件或部分投标文件</w:t>
            </w:r>
            <w:r>
              <w:rPr>
                <w:rFonts w:hint="eastAsia" w:ascii="宋体" w:hAnsi="宋体" w:cs="宋体"/>
                <w:b/>
                <w:bCs/>
                <w:szCs w:val="21"/>
                <w:lang w:bidi="ar"/>
              </w:rPr>
              <w:t>相互混装或存在非正常一致</w:t>
            </w:r>
            <w:r>
              <w:rPr>
                <w:rFonts w:hint="eastAsia" w:ascii="宋体" w:hAnsi="宋体" w:cs="宋体"/>
                <w:szCs w:val="21"/>
                <w:lang w:bidi="ar"/>
              </w:rPr>
              <w:t>。</w:t>
            </w:r>
          </w:p>
        </w:tc>
      </w:tr>
      <w:tr w14:paraId="78243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14:paraId="6CC52885">
            <w:pPr>
              <w:spacing w:line="400" w:lineRule="exact"/>
              <w:jc w:val="center"/>
              <w:rPr>
                <w:rFonts w:hint="eastAsia" w:ascii="宋体" w:hAnsi="宋体" w:cs="宋体"/>
                <w:szCs w:val="21"/>
              </w:rPr>
            </w:pPr>
            <w:r>
              <w:rPr>
                <w:rFonts w:hint="eastAsia" w:ascii="宋体" w:hAnsi="宋体" w:cs="宋体"/>
                <w:szCs w:val="21"/>
                <w:lang w:bidi="ar"/>
              </w:rPr>
              <w:t>4</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14:paraId="4D87F1F1">
            <w:pPr>
              <w:spacing w:line="400" w:lineRule="exact"/>
              <w:jc w:val="left"/>
              <w:rPr>
                <w:rFonts w:hint="eastAsia" w:ascii="宋体" w:hAnsi="宋体" w:cs="宋体"/>
                <w:szCs w:val="21"/>
              </w:rPr>
            </w:pPr>
            <w:r>
              <w:rPr>
                <w:rFonts w:hint="eastAsia" w:ascii="宋体" w:hAnsi="宋体" w:cs="宋体"/>
                <w:szCs w:val="21"/>
                <w:lang w:bidi="ar"/>
              </w:rPr>
              <w:t>与其他投标供应商的投标文件由</w:t>
            </w:r>
            <w:r>
              <w:rPr>
                <w:rFonts w:hint="eastAsia" w:ascii="宋体" w:hAnsi="宋体" w:cs="宋体"/>
                <w:b/>
                <w:bCs/>
                <w:szCs w:val="21"/>
                <w:lang w:bidi="ar"/>
              </w:rPr>
              <w:t>同一单位或者同一人编制</w:t>
            </w:r>
            <w:r>
              <w:rPr>
                <w:rFonts w:hint="eastAsia" w:ascii="宋体" w:hAnsi="宋体" w:cs="宋体"/>
                <w:szCs w:val="21"/>
                <w:lang w:bidi="ar"/>
              </w:rPr>
              <w:t>，或者使用</w:t>
            </w:r>
            <w:r>
              <w:rPr>
                <w:rFonts w:hint="eastAsia" w:ascii="宋体" w:hAnsi="宋体" w:cs="宋体"/>
                <w:b/>
                <w:bCs/>
                <w:szCs w:val="21"/>
                <w:lang w:bidi="ar"/>
              </w:rPr>
              <w:t>同一设备编制</w:t>
            </w:r>
            <w:r>
              <w:rPr>
                <w:rFonts w:hint="eastAsia" w:ascii="宋体" w:hAnsi="宋体" w:cs="宋体"/>
                <w:szCs w:val="21"/>
                <w:lang w:bidi="ar"/>
              </w:rPr>
              <w:t>。</w:t>
            </w:r>
          </w:p>
        </w:tc>
      </w:tr>
      <w:tr w14:paraId="55BDB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14:paraId="7DFDE28E">
            <w:pPr>
              <w:spacing w:line="400" w:lineRule="exact"/>
              <w:jc w:val="center"/>
              <w:rPr>
                <w:rFonts w:hint="eastAsia" w:ascii="宋体" w:hAnsi="宋体" w:cs="宋体"/>
                <w:szCs w:val="21"/>
              </w:rPr>
            </w:pPr>
            <w:r>
              <w:rPr>
                <w:rFonts w:hint="eastAsia" w:ascii="宋体" w:hAnsi="宋体" w:cs="宋体"/>
                <w:szCs w:val="21"/>
                <w:lang w:bidi="ar"/>
              </w:rPr>
              <w:t>5</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14:paraId="09DF6001">
            <w:pPr>
              <w:spacing w:line="400" w:lineRule="exact"/>
              <w:jc w:val="left"/>
              <w:rPr>
                <w:rFonts w:hint="eastAsia" w:ascii="宋体" w:hAnsi="宋体" w:cs="宋体"/>
                <w:szCs w:val="21"/>
              </w:rPr>
            </w:pPr>
            <w:r>
              <w:rPr>
                <w:rFonts w:hint="eastAsia" w:ascii="宋体" w:hAnsi="宋体" w:cs="宋体"/>
                <w:szCs w:val="21"/>
                <w:lang w:bidi="ar"/>
              </w:rPr>
              <w:t>提供</w:t>
            </w:r>
            <w:r>
              <w:rPr>
                <w:rFonts w:hint="eastAsia" w:ascii="宋体" w:hAnsi="宋体" w:cs="宋体"/>
                <w:b/>
                <w:bCs/>
                <w:szCs w:val="21"/>
                <w:lang w:bidi="ar"/>
              </w:rPr>
              <w:t>未经出具机构核实</w:t>
            </w:r>
            <w:r>
              <w:rPr>
                <w:rFonts w:hint="eastAsia" w:ascii="宋体" w:hAnsi="宋体" w:cs="宋体"/>
                <w:szCs w:val="21"/>
                <w:lang w:bidi="ar"/>
              </w:rPr>
              <w:t>的虚假的检验检测报告、业绩材料、社保缴纳证明、学历学位证书、职称认证证书等材料。</w:t>
            </w:r>
          </w:p>
        </w:tc>
      </w:tr>
      <w:tr w14:paraId="53185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1" w:type="dxa"/>
            <w:tcBorders>
              <w:top w:val="single" w:color="auto" w:sz="4" w:space="0"/>
              <w:left w:val="single" w:color="auto" w:sz="4" w:space="0"/>
              <w:bottom w:val="single" w:color="auto" w:sz="4" w:space="0"/>
              <w:right w:val="single" w:color="auto" w:sz="4" w:space="0"/>
            </w:tcBorders>
            <w:shd w:val="clear" w:color="auto" w:fill="auto"/>
            <w:vAlign w:val="center"/>
          </w:tcPr>
          <w:p w14:paraId="44AB3621">
            <w:pPr>
              <w:spacing w:line="400" w:lineRule="exact"/>
              <w:jc w:val="center"/>
              <w:rPr>
                <w:rFonts w:hint="eastAsia" w:ascii="宋体" w:hAnsi="宋体" w:cs="宋体"/>
                <w:szCs w:val="21"/>
              </w:rPr>
            </w:pPr>
            <w:r>
              <w:rPr>
                <w:rFonts w:hint="eastAsia" w:ascii="宋体" w:hAnsi="宋体" w:cs="宋体"/>
                <w:szCs w:val="21"/>
                <w:lang w:bidi="ar"/>
              </w:rPr>
              <w:t>6</w:t>
            </w:r>
          </w:p>
        </w:tc>
        <w:tc>
          <w:tcPr>
            <w:tcW w:w="8223" w:type="dxa"/>
            <w:tcBorders>
              <w:top w:val="single" w:color="auto" w:sz="4" w:space="0"/>
              <w:left w:val="single" w:color="auto" w:sz="4" w:space="0"/>
              <w:bottom w:val="single" w:color="auto" w:sz="4" w:space="0"/>
              <w:right w:val="single" w:color="auto" w:sz="4" w:space="0"/>
            </w:tcBorders>
            <w:shd w:val="clear" w:color="auto" w:fill="auto"/>
            <w:vAlign w:val="center"/>
          </w:tcPr>
          <w:p w14:paraId="7D119BB9">
            <w:pPr>
              <w:spacing w:line="400" w:lineRule="exact"/>
              <w:jc w:val="left"/>
              <w:rPr>
                <w:rFonts w:hint="eastAsia" w:ascii="宋体" w:hAnsi="宋体" w:cs="宋体"/>
                <w:szCs w:val="21"/>
              </w:rPr>
            </w:pPr>
            <w:r>
              <w:rPr>
                <w:rFonts w:hint="eastAsia" w:ascii="宋体" w:hAnsi="宋体" w:cs="宋体"/>
                <w:szCs w:val="21"/>
                <w:lang w:bidi="ar"/>
              </w:rPr>
              <w:t>擅自将投标密钥出借他人使用或未妥善保管。</w:t>
            </w:r>
          </w:p>
        </w:tc>
      </w:tr>
    </w:tbl>
    <w:p w14:paraId="7450BD26">
      <w:pPr>
        <w:spacing w:before="120" w:beforeLines="50" w:line="380" w:lineRule="exact"/>
        <w:ind w:firstLine="422" w:firstLineChars="200"/>
        <w:rPr>
          <w:rFonts w:hint="eastAsia" w:ascii="宋体" w:hAnsi="宋体" w:cs="宋体"/>
          <w:b/>
          <w:szCs w:val="21"/>
        </w:rPr>
      </w:pPr>
      <w:r>
        <w:rPr>
          <w:rFonts w:hint="eastAsia" w:ascii="宋体" w:hAnsi="宋体" w:cs="宋体"/>
          <w:b/>
          <w:szCs w:val="21"/>
          <w:lang w:bidi="ar"/>
        </w:rPr>
        <w:t>一、我单位已充分知悉“隐瞒真实情况，提供虚假资料”的法定情形，包括但不限于：</w:t>
      </w:r>
    </w:p>
    <w:p w14:paraId="1B8DB6CD">
      <w:pPr>
        <w:spacing w:line="380" w:lineRule="exact"/>
        <w:ind w:firstLine="420" w:firstLineChars="200"/>
        <w:rPr>
          <w:rFonts w:hint="eastAsia" w:ascii="宋体" w:hAnsi="宋体" w:cs="宋体"/>
          <w:szCs w:val="21"/>
        </w:rPr>
      </w:pPr>
      <w:r>
        <w:rPr>
          <w:rFonts w:hint="eastAsia" w:ascii="宋体" w:hAnsi="宋体" w:cs="宋体"/>
          <w:szCs w:val="21"/>
          <w:lang w:bidi="ar"/>
        </w:rPr>
        <w:t>（一）通过转让或者租借等方式从其他单位获取资格或者资质证书投标的。</w:t>
      </w:r>
    </w:p>
    <w:p w14:paraId="5519F962">
      <w:pPr>
        <w:spacing w:line="380" w:lineRule="exact"/>
        <w:ind w:firstLine="420" w:firstLineChars="200"/>
        <w:rPr>
          <w:rFonts w:hint="eastAsia" w:ascii="宋体" w:hAnsi="宋体" w:cs="宋体"/>
          <w:szCs w:val="21"/>
        </w:rPr>
      </w:pPr>
      <w:r>
        <w:rPr>
          <w:rFonts w:hint="eastAsia" w:ascii="宋体" w:hAnsi="宋体" w:cs="宋体"/>
          <w:szCs w:val="21"/>
          <w:lang w:bidi="ar"/>
        </w:rPr>
        <w:t>（二）由其他单位或者其他单位负责人在投标供应商编制的投标文件上加盖印章或者签字的。</w:t>
      </w:r>
    </w:p>
    <w:p w14:paraId="217B9B03">
      <w:pPr>
        <w:spacing w:line="380" w:lineRule="exact"/>
        <w:ind w:firstLine="420" w:firstLineChars="200"/>
        <w:rPr>
          <w:rFonts w:hint="eastAsia" w:ascii="宋体" w:hAnsi="宋体" w:cs="宋体"/>
          <w:szCs w:val="21"/>
        </w:rPr>
      </w:pPr>
      <w:r>
        <w:rPr>
          <w:rFonts w:hint="eastAsia" w:ascii="宋体" w:hAnsi="宋体" w:cs="宋体"/>
          <w:szCs w:val="21"/>
          <w:lang w:bidi="ar"/>
        </w:rPr>
        <w:t>（三）项目负责人或者主要技术人员不是本单位人员的。</w:t>
      </w:r>
    </w:p>
    <w:p w14:paraId="0FF2668F">
      <w:pPr>
        <w:spacing w:line="380" w:lineRule="exact"/>
        <w:ind w:firstLine="420" w:firstLineChars="200"/>
        <w:rPr>
          <w:rFonts w:hint="eastAsia" w:ascii="宋体" w:hAnsi="宋体" w:cs="宋体"/>
          <w:szCs w:val="21"/>
        </w:rPr>
      </w:pPr>
      <w:r>
        <w:rPr>
          <w:rFonts w:hint="eastAsia" w:ascii="宋体" w:hAnsi="宋体" w:cs="宋体"/>
          <w:szCs w:val="21"/>
          <w:lang w:bidi="ar"/>
        </w:rPr>
        <w:t>（四）投标保证金不是从投标供应商基本账户转出的。</w:t>
      </w:r>
    </w:p>
    <w:p w14:paraId="09E73CEB">
      <w:pPr>
        <w:spacing w:line="380" w:lineRule="exact"/>
        <w:ind w:firstLine="420" w:firstLineChars="200"/>
        <w:rPr>
          <w:rFonts w:hint="eastAsia" w:ascii="宋体" w:hAnsi="宋体" w:cs="宋体"/>
          <w:szCs w:val="21"/>
        </w:rPr>
      </w:pPr>
      <w:r>
        <w:rPr>
          <w:rFonts w:hint="eastAsia" w:ascii="宋体" w:hAnsi="宋体" w:cs="宋体"/>
          <w:szCs w:val="21"/>
          <w:lang w:bidi="ar"/>
        </w:rPr>
        <w:t>（五）其他隐瞒真实情况、提供虚假资料的行为。</w:t>
      </w:r>
    </w:p>
    <w:p w14:paraId="43549A70">
      <w:pPr>
        <w:spacing w:line="380" w:lineRule="exact"/>
        <w:ind w:firstLine="422" w:firstLineChars="200"/>
        <w:rPr>
          <w:rFonts w:hint="eastAsia" w:ascii="宋体" w:hAnsi="宋体" w:cs="宋体"/>
          <w:b/>
          <w:szCs w:val="21"/>
        </w:rPr>
      </w:pPr>
      <w:r>
        <w:rPr>
          <w:rFonts w:hint="eastAsia" w:ascii="宋体" w:hAnsi="宋体" w:cs="宋体"/>
          <w:b/>
          <w:szCs w:val="21"/>
          <w:lang w:bidi="ar"/>
        </w:rPr>
        <w:t>二、我单位已充分知悉“与其他采购参加人串通投标”的法定情形，包括但不限于：</w:t>
      </w:r>
    </w:p>
    <w:p w14:paraId="16250982">
      <w:pPr>
        <w:spacing w:line="380" w:lineRule="exact"/>
        <w:ind w:firstLine="420" w:firstLineChars="200"/>
        <w:rPr>
          <w:rFonts w:hint="eastAsia" w:ascii="宋体" w:hAnsi="宋体" w:cs="宋体"/>
          <w:szCs w:val="21"/>
        </w:rPr>
      </w:pPr>
      <w:r>
        <w:rPr>
          <w:rFonts w:hint="eastAsia" w:ascii="宋体" w:hAnsi="宋体" w:cs="宋体"/>
          <w:szCs w:val="21"/>
          <w:lang w:bidi="ar"/>
        </w:rPr>
        <w:t>（一）投标供应商之间相互约定给予未中标的供应商利益补偿。</w:t>
      </w:r>
    </w:p>
    <w:p w14:paraId="52B14839">
      <w:pPr>
        <w:spacing w:line="380" w:lineRule="exact"/>
        <w:ind w:firstLine="420" w:firstLineChars="200"/>
        <w:rPr>
          <w:rFonts w:hint="eastAsia" w:ascii="宋体" w:hAnsi="宋体" w:cs="宋体"/>
          <w:szCs w:val="21"/>
        </w:rPr>
      </w:pPr>
      <w:r>
        <w:rPr>
          <w:rFonts w:hint="eastAsia" w:ascii="宋体" w:hAnsi="宋体" w:cs="宋体"/>
          <w:szCs w:val="21"/>
          <w:lang w:bidi="ar"/>
        </w:rPr>
        <w:t>（二）不同投标供应商的法定代表人、主要经营负责人、项目投标授权代表人、项目负责人、主要技术人员为同一人、属同一单位或者在同一单位缴纳社会保险。</w:t>
      </w:r>
    </w:p>
    <w:p w14:paraId="7DF608D0">
      <w:pPr>
        <w:spacing w:line="340" w:lineRule="exact"/>
        <w:ind w:firstLine="420" w:firstLineChars="200"/>
        <w:rPr>
          <w:rFonts w:hint="eastAsia" w:ascii="宋体" w:hAnsi="宋体" w:cs="宋体"/>
          <w:szCs w:val="21"/>
        </w:rPr>
      </w:pPr>
      <w:r>
        <w:rPr>
          <w:rFonts w:hint="eastAsia" w:ascii="宋体" w:hAnsi="宋体" w:cs="宋体"/>
          <w:szCs w:val="21"/>
          <w:lang w:bidi="ar"/>
        </w:rPr>
        <w:t>（三）不同投标供应商的投标文件由同一单位或者同一人编制，或者由同一人分阶段参与编制的。</w:t>
      </w:r>
    </w:p>
    <w:p w14:paraId="590A90E1">
      <w:pPr>
        <w:spacing w:line="340" w:lineRule="exact"/>
        <w:ind w:firstLine="420" w:firstLineChars="200"/>
        <w:rPr>
          <w:rFonts w:hint="eastAsia" w:ascii="宋体" w:hAnsi="宋体" w:cs="宋体"/>
          <w:szCs w:val="21"/>
        </w:rPr>
      </w:pPr>
      <w:r>
        <w:rPr>
          <w:rFonts w:hint="eastAsia" w:ascii="宋体" w:hAnsi="宋体" w:cs="宋体"/>
          <w:szCs w:val="21"/>
          <w:lang w:bidi="ar"/>
        </w:rPr>
        <w:t>（四）不同投标供应商的投标文件或部分投标文件相互混装。</w:t>
      </w:r>
    </w:p>
    <w:p w14:paraId="195DBFF2">
      <w:pPr>
        <w:spacing w:line="340" w:lineRule="exact"/>
        <w:ind w:firstLine="420" w:firstLineChars="200"/>
        <w:rPr>
          <w:rFonts w:hint="eastAsia" w:ascii="宋体" w:hAnsi="宋体" w:cs="宋体"/>
          <w:szCs w:val="21"/>
        </w:rPr>
      </w:pPr>
      <w:r>
        <w:rPr>
          <w:rFonts w:hint="eastAsia" w:ascii="宋体" w:hAnsi="宋体" w:cs="宋体"/>
          <w:szCs w:val="21"/>
          <w:lang w:bidi="ar"/>
        </w:rPr>
        <w:t>（五）不同投标供应商的投标文件内容存在非正常一致。</w:t>
      </w:r>
    </w:p>
    <w:p w14:paraId="1FE887B2">
      <w:pPr>
        <w:spacing w:line="340" w:lineRule="exact"/>
        <w:ind w:firstLine="420" w:firstLineChars="200"/>
        <w:rPr>
          <w:rFonts w:hint="eastAsia" w:ascii="宋体" w:hAnsi="宋体" w:cs="宋体"/>
          <w:szCs w:val="21"/>
        </w:rPr>
      </w:pPr>
      <w:r>
        <w:rPr>
          <w:rFonts w:hint="eastAsia" w:ascii="宋体" w:hAnsi="宋体" w:cs="宋体"/>
          <w:szCs w:val="21"/>
          <w:lang w:bidi="ar"/>
        </w:rPr>
        <w:t>（六）由同一单位工作人员为两家以上（含两家）供应商进行同一项投标活动的。</w:t>
      </w:r>
    </w:p>
    <w:p w14:paraId="03833BE9">
      <w:pPr>
        <w:spacing w:line="340" w:lineRule="exact"/>
        <w:ind w:firstLine="420" w:firstLineChars="200"/>
        <w:rPr>
          <w:rFonts w:hint="eastAsia" w:ascii="宋体" w:hAnsi="宋体" w:cs="宋体"/>
          <w:szCs w:val="21"/>
        </w:rPr>
      </w:pPr>
      <w:r>
        <w:rPr>
          <w:rFonts w:hint="eastAsia" w:ascii="宋体" w:hAnsi="宋体" w:cs="宋体"/>
          <w:szCs w:val="21"/>
          <w:lang w:bidi="ar"/>
        </w:rPr>
        <w:t>（七）不同投标人的投标报价呈规律性差异。</w:t>
      </w:r>
    </w:p>
    <w:p w14:paraId="00E83B28">
      <w:pPr>
        <w:spacing w:line="340" w:lineRule="exact"/>
        <w:ind w:firstLine="420" w:firstLineChars="200"/>
        <w:rPr>
          <w:rFonts w:hint="eastAsia" w:ascii="宋体" w:hAnsi="宋体" w:cs="宋体"/>
          <w:szCs w:val="21"/>
        </w:rPr>
      </w:pPr>
      <w:r>
        <w:rPr>
          <w:rFonts w:hint="eastAsia" w:ascii="宋体" w:hAnsi="宋体" w:cs="宋体"/>
          <w:szCs w:val="21"/>
          <w:lang w:bidi="ar"/>
        </w:rPr>
        <w:t>（八）不同投标人的投标保证金从同一单位或者个人的账户转出。</w:t>
      </w:r>
    </w:p>
    <w:p w14:paraId="42829097">
      <w:pPr>
        <w:spacing w:line="340" w:lineRule="exact"/>
        <w:ind w:firstLine="420" w:firstLineChars="200"/>
        <w:rPr>
          <w:rFonts w:hint="eastAsia" w:ascii="宋体" w:hAnsi="宋体" w:cs="宋体"/>
          <w:szCs w:val="21"/>
        </w:rPr>
      </w:pPr>
      <w:r>
        <w:rPr>
          <w:rFonts w:hint="eastAsia" w:ascii="宋体" w:hAnsi="宋体" w:cs="宋体"/>
          <w:szCs w:val="21"/>
          <w:lang w:bidi="ar"/>
        </w:rPr>
        <w:t>（九）主管部门依照法律、法规认定的其他情形。</w:t>
      </w:r>
    </w:p>
    <w:p w14:paraId="7F7D5F90">
      <w:pPr>
        <w:spacing w:line="340" w:lineRule="exact"/>
        <w:ind w:firstLine="422" w:firstLineChars="200"/>
        <w:rPr>
          <w:rFonts w:hint="eastAsia" w:ascii="宋体" w:hAnsi="宋体" w:cs="宋体"/>
          <w:b/>
          <w:szCs w:val="21"/>
        </w:rPr>
      </w:pPr>
      <w:r>
        <w:rPr>
          <w:rFonts w:hint="eastAsia" w:ascii="宋体" w:hAnsi="宋体" w:cs="宋体"/>
          <w:b/>
          <w:szCs w:val="21"/>
          <w:lang w:bidi="ar"/>
        </w:rPr>
        <w:t>三、我单位已充分知悉下列情形存在法律风险，在投标前已对相关风险事项进行排查。</w:t>
      </w:r>
    </w:p>
    <w:p w14:paraId="2AAE5D8C">
      <w:pPr>
        <w:spacing w:line="340" w:lineRule="exact"/>
        <w:ind w:firstLine="420" w:firstLineChars="200"/>
        <w:rPr>
          <w:rFonts w:hint="eastAsia" w:ascii="宋体" w:hAnsi="宋体" w:cs="宋体"/>
          <w:b/>
          <w:szCs w:val="21"/>
        </w:rPr>
      </w:pPr>
      <w:r>
        <w:rPr>
          <w:rFonts w:hint="eastAsia" w:ascii="宋体" w:hAnsi="宋体" w:cs="宋体"/>
          <w:szCs w:val="21"/>
          <w:lang w:bidi="ar"/>
        </w:rPr>
        <w:t>（一）对于从其他主体获取的投标资料，我单位应审慎核查，确保其真实性。</w:t>
      </w:r>
      <w:r>
        <w:rPr>
          <w:rFonts w:hint="eastAsia" w:ascii="宋体" w:hAnsi="宋体" w:cs="宋体"/>
          <w:b/>
          <w:szCs w:val="21"/>
          <w:lang w:bidi="ar"/>
        </w:rPr>
        <w:t>如主管部门查实投标文件中存在虚假资料的，无论相关资料是否由第三方或本公司员工提供，均不影响主管部门对供应商存在“隐瞒真实情况，提供虚假资料”违法行为的认定。</w:t>
      </w:r>
    </w:p>
    <w:p w14:paraId="786BF4B5">
      <w:pPr>
        <w:spacing w:line="340" w:lineRule="exact"/>
        <w:ind w:firstLine="420" w:firstLineChars="200"/>
        <w:rPr>
          <w:rFonts w:hint="eastAsia" w:ascii="宋体" w:hAnsi="宋体" w:cs="宋体"/>
          <w:szCs w:val="21"/>
        </w:rPr>
      </w:pPr>
      <w:r>
        <w:rPr>
          <w:rFonts w:hint="eastAsia" w:ascii="宋体" w:hAnsi="宋体" w:cs="宋体"/>
          <w:szCs w:val="21"/>
          <w:lang w:bidi="ar"/>
        </w:rPr>
        <w:t>（二）对于涉及国家机关出具的公文、证件、证明材料等文件，一旦涉嫌虚假，经查实，主管部门将依法从严处理，并移送有关部门追究法律责任；涉嫌犯罪的，移送司法机关处理。</w:t>
      </w:r>
    </w:p>
    <w:p w14:paraId="15289E4F">
      <w:pPr>
        <w:spacing w:line="340" w:lineRule="exact"/>
        <w:ind w:firstLine="420" w:firstLineChars="200"/>
        <w:rPr>
          <w:rFonts w:hint="eastAsia" w:ascii="宋体" w:hAnsi="宋体" w:cs="宋体"/>
          <w:szCs w:val="21"/>
        </w:rPr>
      </w:pPr>
      <w:r>
        <w:rPr>
          <w:rFonts w:hint="eastAsia" w:ascii="宋体" w:hAnsi="宋体" w:cs="宋体"/>
          <w:szCs w:val="21"/>
          <w:lang w:bidi="ar"/>
        </w:rPr>
        <w:t>（三）我单位对投标电子密钥负有妥善保管、及时变更和续期等主体责任；使用电子密钥在</w:t>
      </w:r>
      <w:r>
        <w:rPr>
          <w:rFonts w:hint="eastAsia"/>
          <w:lang w:bidi="ar"/>
        </w:rPr>
        <w:t>深圳自行采购网站</w:t>
      </w:r>
      <w:r>
        <w:rPr>
          <w:rFonts w:hint="eastAsia" w:ascii="宋体" w:hAnsi="宋体" w:cs="宋体"/>
          <w:szCs w:val="21"/>
          <w:lang w:bidi="ar"/>
        </w:rPr>
        <w:t>进行的活动，均具有法律效力，须承担相应的法律后果。若</w:t>
      </w:r>
      <w:r>
        <w:rPr>
          <w:rFonts w:hint="eastAsia" w:ascii="宋体" w:hAnsi="宋体" w:cs="宋体"/>
          <w:b/>
          <w:bCs/>
          <w:szCs w:val="21"/>
          <w:lang w:bidi="ar"/>
        </w:rPr>
        <w:t>擅自将投标密钥出借他人使用所造成的法律后果，由我单位自行承担</w:t>
      </w:r>
      <w:r>
        <w:rPr>
          <w:rFonts w:hint="eastAsia" w:ascii="宋体" w:hAnsi="宋体" w:cs="宋体"/>
          <w:szCs w:val="21"/>
          <w:lang w:bidi="ar"/>
        </w:rPr>
        <w:t>。</w:t>
      </w:r>
    </w:p>
    <w:p w14:paraId="3F8BECCD">
      <w:pPr>
        <w:spacing w:line="340" w:lineRule="exact"/>
        <w:ind w:firstLine="422" w:firstLineChars="200"/>
        <w:rPr>
          <w:rFonts w:hint="eastAsia" w:ascii="宋体" w:hAnsi="宋体" w:cs="宋体"/>
          <w:b/>
          <w:szCs w:val="21"/>
        </w:rPr>
      </w:pPr>
      <w:r>
        <w:rPr>
          <w:rFonts w:hint="eastAsia" w:ascii="宋体" w:hAnsi="宋体" w:cs="宋体"/>
          <w:b/>
          <w:szCs w:val="21"/>
          <w:lang w:bidi="ar"/>
        </w:rPr>
        <w:t>四、我单位已充分知悉政府采购违法、违规行为的法律后果。</w:t>
      </w:r>
    </w:p>
    <w:p w14:paraId="278B5561">
      <w:pPr>
        <w:spacing w:line="340" w:lineRule="exact"/>
        <w:ind w:firstLine="420" w:firstLineChars="200"/>
        <w:rPr>
          <w:rFonts w:hint="eastAsia" w:ascii="宋体" w:hAnsi="宋体" w:cs="宋体"/>
          <w:szCs w:val="21"/>
        </w:rPr>
      </w:pPr>
      <w:r>
        <w:rPr>
          <w:rFonts w:hint="eastAsia" w:ascii="宋体" w:hAnsi="宋体" w:cs="宋体"/>
          <w:szCs w:val="21"/>
          <w:lang w:bidi="ar"/>
        </w:rPr>
        <w:t>经查实，若我单位存在政府采购违法、违规行为，主管部门将依据《深圳经济特区政府采购条例》第五十七条的规定，处以一至三年内禁止参与本市政府采购，并记入供应商诚信档案，处采购金额千分之十以上千分之二十以下罚款；情节严重的，取消参与本市政府采购资格，处采购金额千分之二十以上千分之三十以下罚款，由市场监管部门依法吊销营业执照。</w:t>
      </w:r>
    </w:p>
    <w:p w14:paraId="09357290">
      <w:pPr>
        <w:spacing w:line="340" w:lineRule="exact"/>
        <w:ind w:firstLine="420" w:firstLineChars="200"/>
        <w:rPr>
          <w:rFonts w:hint="eastAsia" w:ascii="宋体" w:hAnsi="宋体" w:cs="宋体"/>
          <w:szCs w:val="21"/>
          <w:highlight w:val="yellow"/>
        </w:rPr>
      </w:pPr>
      <w:r>
        <w:rPr>
          <w:rFonts w:hint="eastAsia" w:ascii="宋体" w:hAnsi="宋体" w:cs="宋体"/>
          <w:szCs w:val="21"/>
          <w:highlight w:val="yellow"/>
          <w:lang w:bidi="ar"/>
        </w:rPr>
        <w:t>以下文字请投标供应商抄写并确认：“我单位已仔细阅读《采购违法行为风险知悉确认书》，充分知悉违法行为的法律后果，并承诺将严谨、诚信、依法依规参与采购活动”。</w:t>
      </w:r>
    </w:p>
    <w:tbl>
      <w:tblPr>
        <w:tblStyle w:val="202"/>
        <w:tblW w:w="8535" w:type="dxa"/>
        <w:tblInd w:w="0" w:type="dxa"/>
        <w:tblBorders>
          <w:top w:val="none" w:color="auto" w:sz="4" w:space="0"/>
          <w:left w:val="none" w:color="auto" w:sz="4" w:space="0"/>
          <w:bottom w:val="single" w:color="auto" w:sz="4" w:space="0"/>
          <w:right w:val="none" w:color="auto" w:sz="4" w:space="0"/>
          <w:insideH w:val="none" w:color="auto" w:sz="4" w:space="0"/>
          <w:insideV w:val="none" w:color="auto" w:sz="4" w:space="0"/>
        </w:tblBorders>
        <w:tblLayout w:type="fixed"/>
        <w:tblCellMar>
          <w:top w:w="0" w:type="dxa"/>
          <w:left w:w="108" w:type="dxa"/>
          <w:bottom w:w="0" w:type="dxa"/>
          <w:right w:w="108" w:type="dxa"/>
        </w:tblCellMar>
      </w:tblPr>
      <w:tblGrid>
        <w:gridCol w:w="8535"/>
      </w:tblGrid>
      <w:tr w14:paraId="4B83E6DA">
        <w:tblPrEx>
          <w:tblBorders>
            <w:top w:val="none" w:color="auto" w:sz="4" w:space="0"/>
            <w:left w:val="none" w:color="auto" w:sz="4" w:space="0"/>
            <w:bottom w:val="single" w:color="auto" w:sz="4" w:space="0"/>
            <w:right w:val="none" w:color="auto" w:sz="4" w:space="0"/>
            <w:insideH w:val="none" w:color="auto" w:sz="4" w:space="0"/>
            <w:insideV w:val="none" w:color="auto" w:sz="4" w:space="0"/>
          </w:tblBorders>
          <w:tblCellMar>
            <w:top w:w="0" w:type="dxa"/>
            <w:left w:w="108" w:type="dxa"/>
            <w:bottom w:w="0" w:type="dxa"/>
            <w:right w:w="108" w:type="dxa"/>
          </w:tblCellMar>
        </w:tblPrEx>
        <w:trPr>
          <w:trHeight w:val="304" w:hRule="atLeast"/>
        </w:trPr>
        <w:tc>
          <w:tcPr>
            <w:tcW w:w="8529" w:type="dxa"/>
            <w:tcBorders>
              <w:top w:val="nil"/>
              <w:left w:val="nil"/>
              <w:bottom w:val="single" w:color="000000" w:sz="8" w:space="0"/>
              <w:right w:val="nil"/>
            </w:tcBorders>
            <w:shd w:val="clear" w:color="auto" w:fill="auto"/>
          </w:tcPr>
          <w:p w14:paraId="71166B9F">
            <w:pPr>
              <w:autoSpaceDE w:val="0"/>
              <w:autoSpaceDN w:val="0"/>
              <w:spacing w:line="340" w:lineRule="exact"/>
              <w:ind w:firstLine="1866"/>
              <w:rPr>
                <w:rFonts w:hint="eastAsia" w:ascii="宋体" w:hAnsi="宋体" w:cs="宋体" w:eastAsiaTheme="minorEastAsia"/>
                <w:spacing w:val="-4"/>
                <w:kern w:val="0"/>
                <w:szCs w:val="21"/>
              </w:rPr>
            </w:pPr>
          </w:p>
        </w:tc>
      </w:tr>
      <w:tr w14:paraId="46FC1C2F">
        <w:tblPrEx>
          <w:tblBorders>
            <w:top w:val="none" w:color="auto" w:sz="4" w:space="0"/>
            <w:left w:val="none" w:color="auto" w:sz="4" w:space="0"/>
            <w:bottom w:val="single" w:color="auto" w:sz="4" w:space="0"/>
            <w:right w:val="none" w:color="auto" w:sz="4" w:space="0"/>
            <w:insideH w:val="none" w:color="auto" w:sz="4" w:space="0"/>
            <w:insideV w:val="none" w:color="auto" w:sz="4" w:space="0"/>
          </w:tblBorders>
          <w:tblCellMar>
            <w:top w:w="0" w:type="dxa"/>
            <w:left w:w="108" w:type="dxa"/>
            <w:bottom w:w="0" w:type="dxa"/>
            <w:right w:w="108" w:type="dxa"/>
          </w:tblCellMar>
        </w:tblPrEx>
        <w:tc>
          <w:tcPr>
            <w:tcW w:w="8529" w:type="dxa"/>
            <w:tcBorders>
              <w:top w:val="single" w:color="000000" w:sz="8" w:space="0"/>
              <w:left w:val="nil"/>
              <w:bottom w:val="single" w:color="000000" w:sz="8" w:space="0"/>
              <w:right w:val="nil"/>
            </w:tcBorders>
            <w:shd w:val="clear" w:color="auto" w:fill="auto"/>
          </w:tcPr>
          <w:p w14:paraId="1D116D93">
            <w:pPr>
              <w:autoSpaceDE w:val="0"/>
              <w:autoSpaceDN w:val="0"/>
              <w:spacing w:line="340" w:lineRule="exact"/>
              <w:ind w:firstLine="1866"/>
              <w:rPr>
                <w:rFonts w:hint="eastAsia" w:ascii="宋体" w:hAnsi="宋体" w:cs="宋体" w:eastAsiaTheme="minorEastAsia"/>
                <w:spacing w:val="-4"/>
                <w:kern w:val="0"/>
                <w:szCs w:val="21"/>
              </w:rPr>
            </w:pPr>
          </w:p>
        </w:tc>
      </w:tr>
      <w:tr w14:paraId="35FE9D09">
        <w:tblPrEx>
          <w:tblBorders>
            <w:top w:val="none" w:color="auto" w:sz="4" w:space="0"/>
            <w:left w:val="none" w:color="auto" w:sz="4" w:space="0"/>
            <w:bottom w:val="single" w:color="auto" w:sz="4" w:space="0"/>
            <w:right w:val="none" w:color="auto" w:sz="4" w:space="0"/>
            <w:insideH w:val="none" w:color="auto" w:sz="4" w:space="0"/>
            <w:insideV w:val="none" w:color="auto" w:sz="4" w:space="0"/>
          </w:tblBorders>
          <w:tblCellMar>
            <w:top w:w="0" w:type="dxa"/>
            <w:left w:w="108" w:type="dxa"/>
            <w:bottom w:w="0" w:type="dxa"/>
            <w:right w:w="108" w:type="dxa"/>
          </w:tblCellMar>
        </w:tblPrEx>
        <w:tc>
          <w:tcPr>
            <w:tcW w:w="8529" w:type="dxa"/>
            <w:tcBorders>
              <w:top w:val="single" w:color="000000" w:sz="8" w:space="0"/>
              <w:left w:val="nil"/>
              <w:bottom w:val="single" w:color="000000" w:sz="8" w:space="0"/>
              <w:right w:val="nil"/>
            </w:tcBorders>
            <w:shd w:val="clear" w:color="auto" w:fill="auto"/>
          </w:tcPr>
          <w:p w14:paraId="45588EBE">
            <w:pPr>
              <w:autoSpaceDE w:val="0"/>
              <w:autoSpaceDN w:val="0"/>
              <w:spacing w:line="340" w:lineRule="exact"/>
              <w:ind w:firstLine="1866"/>
              <w:rPr>
                <w:rFonts w:hint="eastAsia" w:ascii="宋体" w:hAnsi="宋体" w:cs="宋体" w:eastAsiaTheme="minorEastAsia"/>
                <w:spacing w:val="-4"/>
                <w:kern w:val="0"/>
                <w:szCs w:val="21"/>
              </w:rPr>
            </w:pPr>
          </w:p>
        </w:tc>
      </w:tr>
      <w:tr w14:paraId="6DA8823D">
        <w:tblPrEx>
          <w:tblBorders>
            <w:top w:val="none" w:color="auto" w:sz="4" w:space="0"/>
            <w:left w:val="none" w:color="auto" w:sz="4" w:space="0"/>
            <w:bottom w:val="single" w:color="auto" w:sz="4" w:space="0"/>
            <w:right w:val="none" w:color="auto" w:sz="4" w:space="0"/>
            <w:insideH w:val="none" w:color="auto" w:sz="4" w:space="0"/>
            <w:insideV w:val="none" w:color="auto" w:sz="4" w:space="0"/>
          </w:tblBorders>
          <w:tblCellMar>
            <w:top w:w="0" w:type="dxa"/>
            <w:left w:w="108" w:type="dxa"/>
            <w:bottom w:w="0" w:type="dxa"/>
            <w:right w:w="108" w:type="dxa"/>
          </w:tblCellMar>
        </w:tblPrEx>
        <w:tc>
          <w:tcPr>
            <w:tcW w:w="8529" w:type="dxa"/>
            <w:tcBorders>
              <w:top w:val="single" w:color="000000" w:sz="8" w:space="0"/>
              <w:left w:val="nil"/>
              <w:bottom w:val="single" w:color="auto" w:sz="8" w:space="0"/>
              <w:right w:val="nil"/>
            </w:tcBorders>
            <w:shd w:val="clear" w:color="auto" w:fill="auto"/>
          </w:tcPr>
          <w:p w14:paraId="67CBB7F4">
            <w:pPr>
              <w:autoSpaceDE w:val="0"/>
              <w:autoSpaceDN w:val="0"/>
              <w:spacing w:line="340" w:lineRule="exact"/>
              <w:ind w:firstLine="1866"/>
              <w:rPr>
                <w:rFonts w:hint="eastAsia" w:ascii="宋体" w:hAnsi="宋体" w:cs="宋体" w:eastAsiaTheme="minorEastAsia"/>
                <w:spacing w:val="-4"/>
                <w:kern w:val="0"/>
                <w:szCs w:val="21"/>
              </w:rPr>
            </w:pPr>
          </w:p>
        </w:tc>
      </w:tr>
    </w:tbl>
    <w:p w14:paraId="3590A8D9">
      <w:pPr>
        <w:widowControl/>
        <w:wordWrap w:val="0"/>
        <w:autoSpaceDE w:val="0"/>
        <w:autoSpaceDN w:val="0"/>
        <w:spacing w:line="340" w:lineRule="exact"/>
        <w:ind w:right="808" w:firstLine="404" w:firstLineChars="200"/>
        <w:jc w:val="right"/>
        <w:rPr>
          <w:rFonts w:hint="eastAsia" w:ascii="宋体" w:hAnsi="宋体" w:cs="宋体"/>
          <w:spacing w:val="-4"/>
          <w:kern w:val="0"/>
          <w:szCs w:val="21"/>
        </w:rPr>
      </w:pPr>
    </w:p>
    <w:p w14:paraId="0136D3F5">
      <w:pPr>
        <w:widowControl/>
        <w:wordWrap w:val="0"/>
        <w:autoSpaceDE w:val="0"/>
        <w:autoSpaceDN w:val="0"/>
        <w:spacing w:line="340" w:lineRule="exact"/>
        <w:ind w:right="808" w:firstLine="404" w:firstLineChars="200"/>
        <w:jc w:val="right"/>
        <w:rPr>
          <w:rFonts w:hint="eastAsia" w:ascii="宋体" w:hAnsi="宋体" w:cs="宋体"/>
          <w:spacing w:val="-4"/>
          <w:kern w:val="0"/>
          <w:szCs w:val="21"/>
          <w:u w:val="single"/>
        </w:rPr>
      </w:pPr>
      <w:r>
        <w:rPr>
          <w:rFonts w:hint="eastAsia" w:ascii="宋体" w:hAnsi="宋体" w:cs="宋体"/>
          <w:spacing w:val="-4"/>
          <w:kern w:val="0"/>
          <w:szCs w:val="21"/>
          <w:lang w:bidi="ar"/>
        </w:rPr>
        <w:t>单位负责人签名：</w:t>
      </w:r>
      <w:r>
        <w:rPr>
          <w:rFonts w:hint="eastAsia" w:ascii="宋体" w:hAnsi="宋体" w:cs="宋体"/>
          <w:spacing w:val="-4"/>
          <w:kern w:val="0"/>
          <w:szCs w:val="21"/>
          <w:u w:val="single"/>
          <w:lang w:bidi="ar"/>
        </w:rPr>
        <w:t xml:space="preserve">              </w:t>
      </w:r>
    </w:p>
    <w:p w14:paraId="186AD564">
      <w:pPr>
        <w:widowControl/>
        <w:wordWrap w:val="0"/>
        <w:autoSpaceDE w:val="0"/>
        <w:autoSpaceDN w:val="0"/>
        <w:spacing w:line="340" w:lineRule="exact"/>
        <w:ind w:right="808" w:firstLine="404" w:firstLineChars="200"/>
        <w:jc w:val="center"/>
        <w:rPr>
          <w:rFonts w:hint="eastAsia" w:ascii="宋体" w:hAnsi="宋体" w:cs="宋体"/>
          <w:spacing w:val="-4"/>
          <w:kern w:val="0"/>
          <w:szCs w:val="21"/>
          <w:u w:val="single"/>
        </w:rPr>
      </w:pPr>
      <w:r>
        <w:rPr>
          <w:rFonts w:hint="eastAsia" w:ascii="宋体" w:hAnsi="宋体" w:cs="宋体"/>
          <w:spacing w:val="-4"/>
          <w:kern w:val="0"/>
          <w:szCs w:val="21"/>
          <w:lang w:bidi="ar"/>
        </w:rPr>
        <w:t xml:space="preserve">                                 （加盖公章）</w:t>
      </w:r>
    </w:p>
    <w:p w14:paraId="6930E459">
      <w:pPr>
        <w:widowControl/>
        <w:wordWrap w:val="0"/>
        <w:autoSpaceDE w:val="0"/>
        <w:autoSpaceDN w:val="0"/>
        <w:spacing w:line="340" w:lineRule="exact"/>
        <w:ind w:right="808" w:firstLine="404" w:firstLineChars="200"/>
        <w:jc w:val="right"/>
        <w:rPr>
          <w:rFonts w:hint="eastAsia" w:ascii="宋体" w:hAnsi="宋体" w:cs="宋体"/>
          <w:spacing w:val="-4"/>
          <w:kern w:val="0"/>
          <w:szCs w:val="21"/>
          <w:u w:val="single"/>
        </w:rPr>
      </w:pPr>
      <w:r>
        <w:rPr>
          <w:rFonts w:hint="eastAsia" w:ascii="宋体" w:hAnsi="宋体" w:cs="宋体"/>
          <w:spacing w:val="-4"/>
          <w:kern w:val="0"/>
          <w:szCs w:val="21"/>
          <w:lang w:bidi="ar"/>
        </w:rPr>
        <w:t xml:space="preserve">     日期：</w:t>
      </w:r>
      <w:r>
        <w:rPr>
          <w:rFonts w:hint="eastAsia" w:ascii="宋体" w:hAnsi="宋体" w:cs="宋体"/>
          <w:spacing w:val="-4"/>
          <w:kern w:val="0"/>
          <w:szCs w:val="21"/>
          <w:u w:val="single"/>
          <w:lang w:bidi="ar"/>
        </w:rPr>
        <w:t xml:space="preserve">              </w:t>
      </w:r>
    </w:p>
    <w:p w14:paraId="41624AD1">
      <w:pPr>
        <w:widowControl/>
        <w:autoSpaceDE w:val="0"/>
        <w:autoSpaceDN w:val="0"/>
        <w:spacing w:line="340" w:lineRule="exact"/>
        <w:ind w:firstLine="406" w:firstLineChars="200"/>
        <w:jc w:val="left"/>
        <w:rPr>
          <w:rFonts w:hint="eastAsia" w:ascii="宋体" w:hAnsi="宋体" w:cs="宋体"/>
          <w:b/>
          <w:bCs/>
          <w:color w:val="FF0000"/>
          <w:spacing w:val="-4"/>
          <w:kern w:val="0"/>
          <w:szCs w:val="21"/>
        </w:rPr>
      </w:pPr>
    </w:p>
    <w:p w14:paraId="74068D23">
      <w:pPr>
        <w:widowControl/>
        <w:autoSpaceDE w:val="0"/>
        <w:autoSpaceDN w:val="0"/>
        <w:spacing w:line="340" w:lineRule="exact"/>
        <w:jc w:val="left"/>
        <w:rPr>
          <w:rFonts w:hint="eastAsia" w:ascii="宋体" w:hAnsi="宋体" w:cs="宋体"/>
          <w:b/>
          <w:bCs/>
          <w:color w:val="FF0000"/>
          <w:spacing w:val="-4"/>
          <w:kern w:val="0"/>
          <w:szCs w:val="21"/>
        </w:rPr>
      </w:pPr>
      <w:r>
        <w:rPr>
          <w:rFonts w:hint="eastAsia" w:ascii="宋体" w:hAnsi="宋体" w:cs="宋体"/>
          <w:b/>
          <w:bCs/>
          <w:color w:val="FF0000"/>
          <w:spacing w:val="-4"/>
          <w:kern w:val="0"/>
          <w:szCs w:val="21"/>
          <w:lang w:bidi="ar"/>
        </w:rPr>
        <w:t>注：1.《采购违法行为风险知悉确认书》需由投标供应商负责人</w:t>
      </w:r>
      <w:r>
        <w:rPr>
          <w:rFonts w:hint="eastAsia" w:ascii="宋体" w:hAnsi="宋体" w:cs="宋体"/>
          <w:b/>
          <w:bCs/>
          <w:color w:val="FF0000"/>
          <w:spacing w:val="-4"/>
          <w:kern w:val="0"/>
          <w:szCs w:val="21"/>
          <w:highlight w:val="yellow"/>
          <w:lang w:bidi="ar"/>
        </w:rPr>
        <w:t>签字并加盖单位公章</w:t>
      </w:r>
      <w:r>
        <w:rPr>
          <w:rFonts w:hint="eastAsia" w:ascii="宋体" w:hAnsi="宋体" w:cs="宋体"/>
          <w:b/>
          <w:bCs/>
          <w:color w:val="FF0000"/>
          <w:spacing w:val="-4"/>
          <w:kern w:val="0"/>
          <w:szCs w:val="21"/>
          <w:lang w:bidi="ar"/>
        </w:rPr>
        <w:t>后，扫描上传至投标文件一并提交。</w:t>
      </w:r>
    </w:p>
    <w:p w14:paraId="568F8A7A">
      <w:pPr>
        <w:pStyle w:val="37"/>
        <w:spacing w:beforeAutospacing="0" w:afterAutospacing="0"/>
        <w:jc w:val="both"/>
        <w:rPr>
          <w:color w:val="FF0000"/>
          <w:lang w:bidi="ar"/>
        </w:rPr>
      </w:pPr>
      <w:r>
        <w:rPr>
          <w:rFonts w:hint="eastAsia" w:ascii="宋体" w:hAnsi="宋体" w:cs="宋体"/>
          <w:b/>
          <w:bCs/>
          <w:color w:val="FF0000"/>
          <w:spacing w:val="-4"/>
          <w:sz w:val="21"/>
          <w:szCs w:val="21"/>
          <w:lang w:bidi="ar"/>
        </w:rPr>
        <w:t>2.根据《深圳市财政局关于在采购文件及深圳政府采购智慧平台增设供应商投标特别警示条款等事宜的通知》（深财购〔2025〕7号）的要求，《采购违法行为风险知悉确认书》用于对供应商违法行为的提醒，不作为供应商资格性审查及符合性审查条件。</w:t>
      </w:r>
    </w:p>
    <w:p w14:paraId="7866D173">
      <w:pPr>
        <w:widowControl/>
        <w:autoSpaceDE w:val="0"/>
        <w:autoSpaceDN w:val="0"/>
        <w:spacing w:line="400" w:lineRule="exact"/>
        <w:ind w:firstLine="404" w:firstLineChars="200"/>
        <w:jc w:val="left"/>
        <w:rPr>
          <w:rFonts w:hint="eastAsia" w:ascii="宋体" w:hAnsi="宋体" w:cs="宋体"/>
          <w:color w:val="FF0000"/>
          <w:spacing w:val="-4"/>
          <w:kern w:val="0"/>
          <w:szCs w:val="21"/>
        </w:rPr>
      </w:pPr>
    </w:p>
    <w:p w14:paraId="2644C127">
      <w:pPr>
        <w:widowControl/>
        <w:autoSpaceDE w:val="0"/>
        <w:autoSpaceDN w:val="0"/>
        <w:spacing w:line="400" w:lineRule="exact"/>
        <w:ind w:right="1414" w:firstLine="480" w:firstLineChars="200"/>
        <w:jc w:val="right"/>
        <w:rPr>
          <w:kern w:val="0"/>
          <w:sz w:val="24"/>
        </w:rPr>
      </w:pPr>
    </w:p>
    <w:p w14:paraId="41515AD0">
      <w:pPr>
        <w:rPr>
          <w:rFonts w:ascii="黑体" w:eastAsia="黑体" w:cs="黑体"/>
          <w:sz w:val="24"/>
          <w:szCs w:val="20"/>
          <w:lang w:bidi="ar"/>
        </w:rPr>
      </w:pPr>
      <w:r>
        <w:rPr>
          <w:rFonts w:hint="eastAsia" w:ascii="黑体" w:eastAsia="黑体" w:cs="黑体"/>
          <w:sz w:val="24"/>
          <w:szCs w:val="20"/>
          <w:lang w:bidi="ar"/>
        </w:rPr>
        <w:br w:type="page"/>
      </w:r>
    </w:p>
    <w:p w14:paraId="4729B82C">
      <w:pPr>
        <w:jc w:val="center"/>
        <w:rPr>
          <w:rFonts w:ascii="黑体" w:eastAsia="黑体" w:cs="黑体"/>
          <w:sz w:val="24"/>
          <w:szCs w:val="20"/>
        </w:rPr>
      </w:pPr>
      <w:r>
        <w:rPr>
          <w:rFonts w:hint="eastAsia" w:ascii="黑体" w:eastAsia="黑体" w:cs="黑体"/>
          <w:sz w:val="24"/>
          <w:szCs w:val="20"/>
          <w:lang w:bidi="ar"/>
        </w:rPr>
        <w:t>（二）订单融资情况</w:t>
      </w:r>
    </w:p>
    <w:p w14:paraId="39D0664A">
      <w:pPr>
        <w:ind w:firstLine="422" w:firstLineChars="200"/>
        <w:rPr>
          <w:rFonts w:hint="eastAsia" w:ascii="宋体" w:hAnsi="宋体" w:cs="宋体"/>
          <w:b/>
          <w:bCs/>
        </w:rPr>
      </w:pPr>
      <w:r>
        <w:rPr>
          <w:rFonts w:hint="eastAsia" w:ascii="宋体" w:hAnsi="宋体" w:cs="宋体"/>
          <w:b/>
          <w:bCs/>
          <w:lang w:bidi="ar"/>
        </w:rPr>
        <w:t>1、关于订单融资政策</w:t>
      </w:r>
    </w:p>
    <w:p w14:paraId="641D3080">
      <w:pPr>
        <w:pStyle w:val="37"/>
        <w:spacing w:beforeAutospacing="0" w:after="120" w:afterAutospacing="0"/>
        <w:ind w:firstLine="420" w:firstLineChars="200"/>
        <w:jc w:val="both"/>
        <w:rPr>
          <w:b/>
          <w:szCs w:val="21"/>
        </w:rPr>
      </w:pPr>
      <w:r>
        <w:rPr>
          <w:rFonts w:hint="eastAsia" w:cs="宋体"/>
          <w:bCs/>
          <w:kern w:val="2"/>
          <w:sz w:val="21"/>
          <w:szCs w:val="21"/>
          <w:lang w:bidi="ar"/>
        </w:rPr>
        <w:t>为深入贯彻落实国家深化政府采购制度改革精神，充分发挥政府采购扶持中小企业发展的政策功能，缓解中小微企业融资难、融资贵的问题，根据《深圳市财政局关于加大力度运用政府采购订单融资政策支持企业发展的通知》要求，参与深圳市自行采购活动供应商可凭借所获取的中标通知书与采购合同，向参与订单融资业务的金融机构提出融资申请，金融机构以各自信贷政策为基础，为中标（成交）供应商提供融资授信，订单融资具体流程可登录深圳要素交易金融服务平台</w:t>
      </w:r>
      <w:r>
        <w:rPr>
          <w:bCs/>
          <w:kern w:val="2"/>
          <w:sz w:val="21"/>
          <w:szCs w:val="21"/>
          <w:lang w:bidi="ar"/>
        </w:rPr>
        <w:t>(https://finance.szexgrp.com/gtm/web/guarantee/#/)</w:t>
      </w:r>
      <w:r>
        <w:rPr>
          <w:rFonts w:hint="eastAsia" w:cs="宋体"/>
          <w:bCs/>
          <w:kern w:val="2"/>
          <w:sz w:val="21"/>
          <w:szCs w:val="21"/>
          <w:lang w:bidi="ar"/>
        </w:rPr>
        <w:t>，相关政策法规参阅深圳市政府采购监管网（</w:t>
      </w:r>
      <w:r>
        <w:rPr>
          <w:bCs/>
          <w:kern w:val="2"/>
          <w:sz w:val="21"/>
          <w:szCs w:val="21"/>
          <w:lang w:bidi="ar"/>
        </w:rPr>
        <w:t>http://zfcg.sz.gov.cn/</w:t>
      </w:r>
      <w:r>
        <w:rPr>
          <w:rFonts w:hint="eastAsia" w:cs="宋体"/>
          <w:bCs/>
          <w:kern w:val="2"/>
          <w:sz w:val="21"/>
          <w:szCs w:val="21"/>
          <w:lang w:bidi="ar"/>
        </w:rPr>
        <w:t>）信息公开栏目。</w:t>
      </w:r>
    </w:p>
    <w:p w14:paraId="56701D3E">
      <w:pPr>
        <w:ind w:firstLine="422" w:firstLineChars="200"/>
        <w:rPr>
          <w:rFonts w:hint="eastAsia" w:ascii="宋体" w:hAnsi="宋体" w:cs="宋体"/>
          <w:b/>
          <w:bCs/>
        </w:rPr>
      </w:pPr>
      <w:r>
        <w:rPr>
          <w:rFonts w:hint="eastAsia" w:ascii="宋体" w:hAnsi="宋体" w:cs="宋体"/>
          <w:b/>
          <w:bCs/>
          <w:lang w:bidi="ar"/>
        </w:rPr>
        <w:t>2、供应商账户信息</w:t>
      </w:r>
    </w:p>
    <w:p w14:paraId="4A59B734">
      <w:pPr>
        <w:ind w:left="420" w:leftChars="200" w:firstLine="210" w:firstLineChars="100"/>
        <w:rPr>
          <w:szCs w:val="21"/>
        </w:rPr>
      </w:pPr>
      <w:r>
        <w:rPr>
          <w:rFonts w:hint="eastAsia" w:cs="宋体"/>
          <w:szCs w:val="21"/>
          <w:lang w:bidi="ar"/>
        </w:rPr>
        <w:t>投标人（单位全称）：</w:t>
      </w:r>
      <w:r>
        <w:rPr>
          <w:szCs w:val="21"/>
          <w:u w:val="thick"/>
          <w:lang w:bidi="ar"/>
        </w:rPr>
        <w:t xml:space="preserve">                           </w:t>
      </w:r>
      <w:r>
        <w:rPr>
          <w:rFonts w:hint="eastAsia" w:cs="宋体"/>
          <w:szCs w:val="21"/>
          <w:lang w:bidi="ar"/>
        </w:rPr>
        <w:t>；</w:t>
      </w:r>
      <w:r>
        <w:rPr>
          <w:szCs w:val="21"/>
          <w:lang w:bidi="ar"/>
        </w:rPr>
        <w:t xml:space="preserve">  </w:t>
      </w:r>
    </w:p>
    <w:p w14:paraId="08806C94">
      <w:pPr>
        <w:ind w:left="420" w:leftChars="200" w:firstLine="210" w:firstLineChars="100"/>
        <w:rPr>
          <w:szCs w:val="21"/>
        </w:rPr>
      </w:pPr>
      <w:r>
        <w:rPr>
          <w:rFonts w:hint="eastAsia" w:cs="宋体"/>
          <w:szCs w:val="21"/>
          <w:lang w:bidi="ar"/>
        </w:rPr>
        <w:t>投标人单位地址：</w:t>
      </w:r>
      <w:r>
        <w:rPr>
          <w:szCs w:val="21"/>
          <w:u w:val="thick"/>
          <w:lang w:bidi="ar"/>
        </w:rPr>
        <w:t xml:space="preserve">                    </w:t>
      </w:r>
      <w:r>
        <w:rPr>
          <w:rFonts w:hint="eastAsia" w:cs="宋体"/>
          <w:szCs w:val="21"/>
          <w:lang w:bidi="ar"/>
        </w:rPr>
        <w:t>；</w:t>
      </w:r>
    </w:p>
    <w:p w14:paraId="3EC4DFD8">
      <w:pPr>
        <w:ind w:left="420" w:leftChars="200" w:firstLine="210" w:firstLineChars="100"/>
        <w:rPr>
          <w:szCs w:val="21"/>
        </w:rPr>
      </w:pPr>
      <w:r>
        <w:rPr>
          <w:rFonts w:hint="eastAsia" w:cs="宋体"/>
          <w:szCs w:val="21"/>
          <w:lang w:bidi="ar"/>
        </w:rPr>
        <w:t>法定代表人（负责人）或其授权委托代理人：</w:t>
      </w:r>
      <w:r>
        <w:rPr>
          <w:szCs w:val="21"/>
          <w:u w:val="thick"/>
          <w:lang w:bidi="ar"/>
        </w:rPr>
        <w:t xml:space="preserve">                      </w:t>
      </w:r>
      <w:r>
        <w:rPr>
          <w:rFonts w:hint="eastAsia" w:cs="宋体"/>
          <w:szCs w:val="21"/>
          <w:lang w:bidi="ar"/>
        </w:rPr>
        <w:t>；</w:t>
      </w:r>
    </w:p>
    <w:p w14:paraId="72CE4D04">
      <w:pPr>
        <w:ind w:left="420" w:leftChars="200" w:firstLine="210" w:firstLineChars="100"/>
        <w:rPr>
          <w:szCs w:val="21"/>
          <w:u w:val="thick"/>
        </w:rPr>
      </w:pPr>
      <w:r>
        <w:rPr>
          <w:rFonts w:hint="eastAsia" w:cs="宋体"/>
          <w:szCs w:val="21"/>
          <w:lang w:bidi="ar"/>
        </w:rPr>
        <w:t>联系电话：</w:t>
      </w:r>
      <w:r>
        <w:rPr>
          <w:szCs w:val="21"/>
          <w:u w:val="thick"/>
          <w:lang w:bidi="ar"/>
        </w:rPr>
        <w:t xml:space="preserve">                     </w:t>
      </w:r>
      <w:r>
        <w:rPr>
          <w:rFonts w:hint="eastAsia" w:cs="宋体"/>
          <w:szCs w:val="21"/>
          <w:lang w:bidi="ar"/>
        </w:rPr>
        <w:t>；</w:t>
      </w:r>
    </w:p>
    <w:p w14:paraId="78C61DFA">
      <w:pPr>
        <w:ind w:left="420" w:leftChars="200" w:firstLine="210" w:firstLineChars="100"/>
        <w:rPr>
          <w:szCs w:val="21"/>
        </w:rPr>
      </w:pPr>
      <w:r>
        <w:rPr>
          <w:rFonts w:hint="eastAsia" w:cs="宋体"/>
          <w:szCs w:val="21"/>
          <w:lang w:bidi="ar"/>
        </w:rPr>
        <w:t>开户银行名称：</w:t>
      </w:r>
      <w:r>
        <w:rPr>
          <w:szCs w:val="21"/>
          <w:u w:val="thick"/>
          <w:lang w:bidi="ar"/>
        </w:rPr>
        <w:t xml:space="preserve">                                                 </w:t>
      </w:r>
      <w:r>
        <w:rPr>
          <w:rFonts w:hint="eastAsia" w:cs="宋体"/>
          <w:szCs w:val="21"/>
          <w:lang w:bidi="ar"/>
        </w:rPr>
        <w:t>；</w:t>
      </w:r>
    </w:p>
    <w:p w14:paraId="27BBF3F1">
      <w:pPr>
        <w:ind w:left="420" w:leftChars="200" w:firstLine="210" w:firstLineChars="100"/>
        <w:rPr>
          <w:szCs w:val="21"/>
          <w:u w:val="thick"/>
        </w:rPr>
      </w:pPr>
      <w:r>
        <w:rPr>
          <w:rFonts w:hint="eastAsia" w:cs="宋体"/>
          <w:szCs w:val="21"/>
          <w:lang w:bidi="ar"/>
        </w:rPr>
        <w:t>开户银行账号：</w:t>
      </w:r>
      <w:r>
        <w:rPr>
          <w:szCs w:val="21"/>
          <w:u w:val="thick"/>
          <w:lang w:bidi="ar"/>
        </w:rPr>
        <w:t xml:space="preserve">                                                  </w:t>
      </w:r>
      <w:r>
        <w:rPr>
          <w:rFonts w:hint="eastAsia" w:cs="宋体"/>
          <w:szCs w:val="21"/>
          <w:lang w:bidi="ar"/>
        </w:rPr>
        <w:t>；</w:t>
      </w:r>
    </w:p>
    <w:p w14:paraId="3BF733F4">
      <w:pPr>
        <w:ind w:left="420" w:leftChars="200" w:firstLine="210" w:firstLineChars="100"/>
        <w:rPr>
          <w:szCs w:val="21"/>
        </w:rPr>
      </w:pPr>
      <w:r>
        <w:rPr>
          <w:rFonts w:hint="eastAsia" w:cs="宋体"/>
          <w:szCs w:val="21"/>
          <w:lang w:bidi="ar"/>
        </w:rPr>
        <w:t>开户银行地址：</w:t>
      </w:r>
      <w:r>
        <w:rPr>
          <w:szCs w:val="21"/>
          <w:u w:val="thick"/>
          <w:lang w:bidi="ar"/>
        </w:rPr>
        <w:t xml:space="preserve">                                                  </w:t>
      </w:r>
      <w:r>
        <w:rPr>
          <w:rFonts w:hint="eastAsia" w:cs="宋体"/>
          <w:szCs w:val="21"/>
          <w:lang w:bidi="ar"/>
        </w:rPr>
        <w:t>。</w:t>
      </w:r>
    </w:p>
    <w:p w14:paraId="244D1DD5">
      <w:pPr>
        <w:rPr>
          <w:szCs w:val="21"/>
        </w:rPr>
      </w:pPr>
      <w:r>
        <w:rPr>
          <w:szCs w:val="21"/>
          <w:lang w:bidi="ar"/>
        </w:rPr>
        <w:t xml:space="preserve"> </w:t>
      </w:r>
      <w:r>
        <w:rPr>
          <w:rFonts w:hint="eastAsia" w:ascii="宋体" w:hAnsi="宋体" w:cs="宋体"/>
          <w:b/>
          <w:bCs/>
          <w:color w:val="FF0000"/>
          <w:spacing w:val="-4"/>
          <w:kern w:val="0"/>
          <w:szCs w:val="21"/>
          <w:lang w:bidi="ar"/>
        </w:rPr>
        <w:t>注：本项填写内容作为订单融资开展的参考信息，不作为供应商资格性审查及符合性审查条件。</w:t>
      </w:r>
    </w:p>
    <w:p w14:paraId="2E8C330C">
      <w:pPr>
        <w:widowControl/>
        <w:autoSpaceDE w:val="0"/>
        <w:autoSpaceDN w:val="0"/>
        <w:spacing w:line="400" w:lineRule="exact"/>
        <w:ind w:right="1414" w:firstLine="480" w:firstLineChars="200"/>
        <w:jc w:val="right"/>
        <w:rPr>
          <w:kern w:val="0"/>
          <w:sz w:val="24"/>
        </w:rPr>
      </w:pPr>
    </w:p>
    <w:p w14:paraId="7AE68931">
      <w:pPr>
        <w:rPr>
          <w:rFonts w:hint="eastAsia" w:ascii="黑体" w:hAnsi="宋体" w:eastAsia="黑体" w:cs="黑体"/>
          <w:kern w:val="0"/>
          <w:sz w:val="24"/>
          <w:szCs w:val="20"/>
          <w:lang w:bidi="ar"/>
        </w:rPr>
      </w:pPr>
      <w:r>
        <w:rPr>
          <w:rFonts w:hint="eastAsia" w:ascii="黑体" w:hAnsi="宋体" w:eastAsia="黑体" w:cs="黑体"/>
          <w:kern w:val="0"/>
          <w:sz w:val="24"/>
          <w:szCs w:val="20"/>
          <w:lang w:bidi="ar"/>
        </w:rPr>
        <w:br w:type="page"/>
      </w:r>
    </w:p>
    <w:p w14:paraId="7A35206B">
      <w:pPr>
        <w:widowControl/>
        <w:jc w:val="center"/>
        <w:rPr>
          <w:rFonts w:hint="eastAsia" w:ascii="黑体" w:hAnsi="宋体" w:eastAsia="黑体" w:cs="黑体"/>
          <w:kern w:val="0"/>
          <w:sz w:val="24"/>
          <w:szCs w:val="20"/>
        </w:rPr>
      </w:pPr>
      <w:r>
        <w:rPr>
          <w:rFonts w:hint="eastAsia" w:ascii="黑体" w:hAnsi="宋体" w:eastAsia="黑体" w:cs="黑体"/>
          <w:kern w:val="0"/>
          <w:sz w:val="24"/>
          <w:szCs w:val="20"/>
          <w:lang w:bidi="ar"/>
        </w:rPr>
        <w:t>（三）投标人认为需要加以说明的其他内容（格式自定）</w:t>
      </w:r>
    </w:p>
    <w:p w14:paraId="23E7D541">
      <w:pPr>
        <w:widowControl/>
        <w:jc w:val="left"/>
        <w:rPr>
          <w:rFonts w:hint="eastAsia" w:ascii="宋体" w:hAnsi="宋体"/>
          <w:b/>
          <w:bCs/>
          <w:kern w:val="0"/>
          <w:sz w:val="24"/>
          <w:szCs w:val="20"/>
        </w:rPr>
      </w:pPr>
      <w:r>
        <w:br w:type="page"/>
      </w:r>
    </w:p>
    <w:p w14:paraId="609DBF72">
      <w:pPr>
        <w:pStyle w:val="3"/>
        <w:rPr>
          <w:rFonts w:hint="eastAsia"/>
        </w:rPr>
      </w:pPr>
      <w:r>
        <w:rPr>
          <w:rFonts w:hint="eastAsia"/>
        </w:rPr>
        <w:t>第五章  合同条款及格式</w:t>
      </w:r>
    </w:p>
    <w:p w14:paraId="196C3A10">
      <w:pPr>
        <w:ind w:firstLine="411" w:firstLineChars="196"/>
      </w:pPr>
    </w:p>
    <w:p w14:paraId="0548A3EA">
      <w:pPr>
        <w:jc w:val="center"/>
        <w:outlineLvl w:val="0"/>
      </w:pPr>
      <w:r>
        <w:rPr>
          <w:rFonts w:hint="eastAsia"/>
          <w:b/>
          <w:sz w:val="24"/>
        </w:rPr>
        <w:t>（仅供参考，具体以项目需求及采购结果为准）</w:t>
      </w:r>
    </w:p>
    <w:p w14:paraId="4D76DEFB">
      <w:pPr>
        <w:rPr>
          <w:rFonts w:hint="eastAsia" w:ascii="宋体" w:hAnsi="宋体"/>
          <w:b/>
          <w:bCs/>
          <w:szCs w:val="21"/>
        </w:rPr>
      </w:pPr>
      <w:r>
        <w:rPr>
          <w:rFonts w:hint="eastAsia" w:ascii="宋体" w:hAnsi="宋体"/>
          <w:b/>
          <w:bCs/>
          <w:szCs w:val="21"/>
        </w:rPr>
        <w:t>甲方：</w:t>
      </w:r>
    </w:p>
    <w:p w14:paraId="09785726">
      <w:pPr>
        <w:rPr>
          <w:rFonts w:hint="eastAsia" w:ascii="宋体" w:hAnsi="宋体"/>
          <w:szCs w:val="21"/>
        </w:rPr>
      </w:pPr>
      <w:r>
        <w:rPr>
          <w:rFonts w:hint="eastAsia" w:ascii="宋体" w:hAnsi="宋体"/>
          <w:szCs w:val="21"/>
        </w:rPr>
        <w:t>地址：</w:t>
      </w:r>
    </w:p>
    <w:p w14:paraId="4C87254A">
      <w:pPr>
        <w:rPr>
          <w:rFonts w:hint="eastAsia" w:ascii="宋体" w:hAnsi="宋体"/>
          <w:szCs w:val="21"/>
        </w:rPr>
      </w:pPr>
      <w:r>
        <w:rPr>
          <w:rFonts w:hint="eastAsia" w:ascii="宋体" w:hAnsi="宋体"/>
          <w:szCs w:val="21"/>
        </w:rPr>
        <w:t>联系人：</w:t>
      </w:r>
      <w:r>
        <w:rPr>
          <w:rFonts w:ascii="宋体" w:hAnsi="宋体"/>
          <w:szCs w:val="21"/>
        </w:rPr>
        <w:t xml:space="preserve">                          </w:t>
      </w:r>
    </w:p>
    <w:p w14:paraId="1E5CBC45">
      <w:pPr>
        <w:rPr>
          <w:rFonts w:hint="eastAsia" w:ascii="宋体" w:hAnsi="宋体"/>
          <w:b/>
          <w:bCs/>
          <w:szCs w:val="21"/>
        </w:rPr>
      </w:pPr>
      <w:r>
        <w:rPr>
          <w:rFonts w:hint="eastAsia" w:ascii="宋体" w:hAnsi="宋体"/>
          <w:szCs w:val="21"/>
        </w:rPr>
        <w:t>联系电话：</w:t>
      </w:r>
    </w:p>
    <w:p w14:paraId="5DE6C5E4">
      <w:pPr>
        <w:rPr>
          <w:rFonts w:hint="eastAsia" w:ascii="宋体" w:hAnsi="宋体"/>
          <w:b/>
          <w:bCs/>
          <w:szCs w:val="21"/>
        </w:rPr>
      </w:pPr>
      <w:r>
        <w:rPr>
          <w:rFonts w:ascii="宋体" w:hAnsi="宋体"/>
          <w:b/>
          <w:bCs/>
          <w:szCs w:val="21"/>
        </w:rPr>
        <w:t xml:space="preserve"> </w:t>
      </w:r>
      <w:r>
        <w:rPr>
          <w:rFonts w:hint="eastAsia" w:ascii="宋体" w:hAnsi="宋体"/>
          <w:b/>
          <w:bCs/>
          <w:szCs w:val="21"/>
        </w:rPr>
        <w:t xml:space="preserve"> </w:t>
      </w:r>
      <w:r>
        <w:rPr>
          <w:rFonts w:ascii="宋体" w:hAnsi="宋体"/>
          <w:b/>
          <w:bCs/>
          <w:szCs w:val="21"/>
        </w:rPr>
        <w:t xml:space="preserve"> </w:t>
      </w:r>
    </w:p>
    <w:p w14:paraId="75AF90B9">
      <w:pPr>
        <w:rPr>
          <w:rFonts w:hint="eastAsia" w:ascii="宋体" w:hAnsi="宋体"/>
          <w:b/>
          <w:bCs/>
          <w:szCs w:val="21"/>
        </w:rPr>
      </w:pPr>
      <w:r>
        <w:rPr>
          <w:rFonts w:hint="eastAsia" w:ascii="宋体" w:hAnsi="宋体"/>
          <w:b/>
          <w:bCs/>
          <w:szCs w:val="21"/>
        </w:rPr>
        <w:t>乙方：</w:t>
      </w:r>
    </w:p>
    <w:p w14:paraId="678814CF">
      <w:pPr>
        <w:rPr>
          <w:rFonts w:hint="eastAsia" w:ascii="宋体" w:hAnsi="宋体"/>
          <w:szCs w:val="21"/>
        </w:rPr>
      </w:pPr>
      <w:r>
        <w:rPr>
          <w:rFonts w:hint="eastAsia" w:ascii="宋体" w:hAnsi="宋体"/>
          <w:szCs w:val="21"/>
        </w:rPr>
        <w:t>地址：</w:t>
      </w:r>
    </w:p>
    <w:p w14:paraId="74339455">
      <w:pPr>
        <w:rPr>
          <w:rFonts w:hint="eastAsia" w:ascii="宋体" w:hAnsi="宋体"/>
          <w:szCs w:val="21"/>
        </w:rPr>
      </w:pPr>
      <w:r>
        <w:rPr>
          <w:rFonts w:hint="eastAsia" w:ascii="宋体" w:hAnsi="宋体"/>
          <w:szCs w:val="21"/>
        </w:rPr>
        <w:t>联系人：</w:t>
      </w:r>
      <w:r>
        <w:rPr>
          <w:rFonts w:ascii="宋体" w:hAnsi="宋体"/>
          <w:szCs w:val="21"/>
        </w:rPr>
        <w:t xml:space="preserve">                          </w:t>
      </w:r>
    </w:p>
    <w:p w14:paraId="338E62CF">
      <w:pPr>
        <w:rPr>
          <w:rFonts w:hint="eastAsia" w:ascii="宋体" w:hAnsi="宋体"/>
          <w:b/>
          <w:bCs/>
          <w:szCs w:val="21"/>
        </w:rPr>
      </w:pPr>
      <w:r>
        <w:rPr>
          <w:rFonts w:hint="eastAsia" w:ascii="宋体" w:hAnsi="宋体"/>
          <w:szCs w:val="21"/>
        </w:rPr>
        <w:t>联系电话：</w:t>
      </w:r>
    </w:p>
    <w:p w14:paraId="65DE6976">
      <w:pPr>
        <w:rPr>
          <w:rFonts w:hint="eastAsia" w:ascii="宋体" w:hAnsi="宋体"/>
          <w:szCs w:val="21"/>
        </w:rPr>
      </w:pPr>
      <w:r>
        <w:rPr>
          <w:rFonts w:ascii="宋体" w:hAnsi="宋体"/>
          <w:b/>
          <w:bCs/>
          <w:szCs w:val="21"/>
        </w:rPr>
        <w:t xml:space="preserve">            </w:t>
      </w:r>
      <w:r>
        <w:rPr>
          <w:rFonts w:hint="eastAsia" w:ascii="宋体" w:hAnsi="宋体"/>
          <w:b/>
          <w:bCs/>
          <w:szCs w:val="21"/>
        </w:rPr>
        <w:t xml:space="preserve">          </w:t>
      </w:r>
    </w:p>
    <w:p w14:paraId="435B7D9C">
      <w:pPr>
        <w:rPr>
          <w:rFonts w:hint="eastAsia" w:ascii="宋体" w:hAnsi="宋体"/>
          <w:szCs w:val="21"/>
        </w:rPr>
      </w:pPr>
    </w:p>
    <w:p w14:paraId="69C300DD">
      <w:pPr>
        <w:ind w:firstLine="420" w:firstLineChars="200"/>
        <w:rPr>
          <w:rFonts w:hint="eastAsia" w:ascii="宋体" w:hAnsi="宋体"/>
          <w:szCs w:val="21"/>
        </w:rPr>
      </w:pPr>
      <w:r>
        <w:rPr>
          <w:rFonts w:hint="eastAsia" w:ascii="宋体" w:hAnsi="宋体"/>
          <w:szCs w:val="21"/>
        </w:rPr>
        <w:t>根据深圳公共资源交易中心（深圳交易集团有限公司政府采购业务分公司）*</w:t>
      </w:r>
      <w:r>
        <w:rPr>
          <w:rFonts w:ascii="宋体" w:hAnsi="宋体"/>
          <w:szCs w:val="21"/>
        </w:rPr>
        <w:t>**</w:t>
      </w:r>
      <w:r>
        <w:rPr>
          <w:rFonts w:hint="eastAsia" w:ascii="宋体" w:hAnsi="宋体"/>
          <w:szCs w:val="21"/>
        </w:rPr>
        <w:t>号项目结果，*</w:t>
      </w:r>
      <w:r>
        <w:rPr>
          <w:rFonts w:ascii="宋体" w:hAnsi="宋体"/>
          <w:szCs w:val="21"/>
        </w:rPr>
        <w:t>**</w:t>
      </w:r>
      <w:r>
        <w:rPr>
          <w:rFonts w:hint="eastAsia" w:ascii="宋体" w:hAnsi="宋体"/>
          <w:szCs w:val="21"/>
        </w:rPr>
        <w:t>单位为中标人。按照《中华人民共和国民法典》（第三编 合同）》和《深圳经济特区政府采购条例》，经深圳市（以下简称甲方）和单位（以下简称乙方）协商，就甲方委托乙方承担</w:t>
      </w:r>
      <w:r>
        <w:rPr>
          <w:rFonts w:hint="eastAsia" w:ascii="宋体" w:hAnsi="宋体"/>
          <w:b/>
          <w:bCs/>
          <w:snapToGrid w:val="0"/>
          <w:kern w:val="0"/>
          <w:szCs w:val="21"/>
          <w:u w:val="single"/>
          <w:lang w:val="zh-CN"/>
        </w:rPr>
        <w:t xml:space="preserve">                      服务项目</w:t>
      </w:r>
      <w:r>
        <w:rPr>
          <w:rFonts w:hint="eastAsia" w:ascii="宋体" w:hAnsi="宋体"/>
          <w:szCs w:val="21"/>
        </w:rPr>
        <w:t>，达成以下合同条款：</w:t>
      </w:r>
    </w:p>
    <w:p w14:paraId="3686B48E">
      <w:pPr>
        <w:ind w:firstLine="422" w:firstLineChars="200"/>
        <w:rPr>
          <w:rFonts w:hint="eastAsia" w:ascii="宋体" w:hAnsi="宋体"/>
          <w:b/>
          <w:bCs/>
          <w:szCs w:val="21"/>
        </w:rPr>
      </w:pPr>
      <w:r>
        <w:rPr>
          <w:rFonts w:hint="eastAsia" w:ascii="宋体" w:hAnsi="宋体"/>
          <w:b/>
          <w:bCs/>
          <w:szCs w:val="21"/>
        </w:rPr>
        <w:t>第一条　项目概况</w:t>
      </w:r>
    </w:p>
    <w:p w14:paraId="4CA60C91">
      <w:pPr>
        <w:ind w:firstLine="420" w:firstLineChars="200"/>
        <w:rPr>
          <w:rFonts w:hint="eastAsia" w:ascii="宋体" w:hAnsi="宋体"/>
          <w:szCs w:val="21"/>
        </w:rPr>
      </w:pPr>
      <w:r>
        <w:rPr>
          <w:rFonts w:hint="eastAsia" w:ascii="宋体" w:hAnsi="宋体"/>
          <w:szCs w:val="21"/>
        </w:rPr>
        <w:t xml:space="preserve">项目名称： </w:t>
      </w:r>
    </w:p>
    <w:p w14:paraId="77CE1DE9">
      <w:pPr>
        <w:ind w:firstLine="420" w:firstLineChars="200"/>
        <w:rPr>
          <w:rFonts w:hint="eastAsia" w:ascii="宋体" w:hAnsi="宋体"/>
          <w:szCs w:val="21"/>
        </w:rPr>
      </w:pPr>
      <w:r>
        <w:rPr>
          <w:rFonts w:hint="eastAsia" w:ascii="宋体" w:hAnsi="宋体"/>
          <w:szCs w:val="21"/>
        </w:rPr>
        <w:t xml:space="preserve">项目内容： </w:t>
      </w:r>
    </w:p>
    <w:p w14:paraId="20753462">
      <w:pPr>
        <w:ind w:firstLine="420" w:firstLineChars="200"/>
        <w:rPr>
          <w:rFonts w:hint="eastAsia" w:ascii="宋体" w:hAnsi="宋体"/>
          <w:szCs w:val="21"/>
        </w:rPr>
      </w:pPr>
      <w:r>
        <w:rPr>
          <w:rFonts w:hint="eastAsia" w:ascii="宋体" w:hAnsi="宋体"/>
          <w:szCs w:val="21"/>
        </w:rPr>
        <w:t xml:space="preserve">服务时间： </w:t>
      </w:r>
    </w:p>
    <w:p w14:paraId="45422560">
      <w:pPr>
        <w:ind w:firstLine="420" w:firstLineChars="200"/>
        <w:rPr>
          <w:rFonts w:hint="eastAsia" w:ascii="宋体" w:hAnsi="宋体"/>
          <w:szCs w:val="21"/>
        </w:rPr>
      </w:pPr>
      <w:r>
        <w:rPr>
          <w:rFonts w:hint="eastAsia" w:ascii="宋体" w:hAnsi="宋体"/>
          <w:szCs w:val="21"/>
        </w:rPr>
        <w:t>合同价款：合同总价为元，含一切税、费。</w:t>
      </w:r>
      <w:r>
        <w:t>本合同总价包括</w:t>
      </w:r>
      <w:r>
        <w:rPr>
          <w:rFonts w:hint="eastAsia" w:ascii="宋体" w:hAnsi="宋体"/>
          <w:szCs w:val="21"/>
        </w:rPr>
        <w:t>乙方为实施本项目*</w:t>
      </w:r>
      <w:r>
        <w:rPr>
          <w:rFonts w:ascii="宋体" w:hAnsi="宋体"/>
          <w:szCs w:val="21"/>
        </w:rPr>
        <w:t>**</w:t>
      </w:r>
      <w:r>
        <w:rPr>
          <w:rFonts w:hint="eastAsia" w:ascii="宋体" w:hAnsi="宋体"/>
          <w:szCs w:val="21"/>
        </w:rPr>
        <w:t>所需的设备仪器费、车辆租赁费、</w:t>
      </w:r>
      <w:r>
        <w:t>服务</w:t>
      </w:r>
      <w:r>
        <w:rPr>
          <w:rFonts w:hint="eastAsia"/>
        </w:rPr>
        <w:t>和</w:t>
      </w:r>
      <w:r>
        <w:t>技术费用</w:t>
      </w:r>
      <w:r>
        <w:rPr>
          <w:rFonts w:hint="eastAsia"/>
        </w:rPr>
        <w:t>等</w:t>
      </w:r>
      <w:r>
        <w:t>，为固定不变价格，且不随通货膨胀的影响而波动。合同总价包括</w:t>
      </w:r>
      <w:r>
        <w:rPr>
          <w:rFonts w:hint="eastAsia" w:ascii="宋体" w:hAnsi="宋体"/>
          <w:szCs w:val="21"/>
        </w:rPr>
        <w:t>乙方</w:t>
      </w:r>
      <w:r>
        <w:t>履行本合同义务所发生的一切费用和支出和以各种方式寄送技术资料到</w:t>
      </w:r>
      <w:r>
        <w:rPr>
          <w:rFonts w:hint="eastAsia"/>
        </w:rPr>
        <w:t>甲</w:t>
      </w:r>
      <w:r>
        <w:t>方办公室所发生的费用。</w:t>
      </w:r>
    </w:p>
    <w:p w14:paraId="2859B27E">
      <w:pPr>
        <w:pStyle w:val="8"/>
        <w:rPr>
          <w:rFonts w:hint="eastAsia" w:ascii="宋体" w:hAnsi="宋体"/>
          <w:szCs w:val="21"/>
        </w:rPr>
      </w:pPr>
      <w:r>
        <w:rPr>
          <w:rFonts w:hint="eastAsia" w:ascii="宋体" w:hAnsi="宋体"/>
          <w:szCs w:val="21"/>
        </w:rPr>
        <w:t>支付方式：分期支付。</w:t>
      </w:r>
    </w:p>
    <w:p w14:paraId="20408BD4">
      <w:pPr>
        <w:ind w:firstLine="422" w:firstLineChars="200"/>
        <w:rPr>
          <w:rFonts w:hint="eastAsia" w:ascii="宋体" w:hAnsi="宋体"/>
          <w:b/>
          <w:bCs/>
          <w:szCs w:val="21"/>
        </w:rPr>
      </w:pPr>
      <w:r>
        <w:rPr>
          <w:rFonts w:hint="eastAsia" w:ascii="宋体" w:hAnsi="宋体"/>
          <w:b/>
          <w:bCs/>
          <w:szCs w:val="21"/>
        </w:rPr>
        <w:t>第二条  服务范围</w:t>
      </w:r>
    </w:p>
    <w:p w14:paraId="57D554E5">
      <w:pPr>
        <w:ind w:firstLine="420" w:firstLineChars="200"/>
        <w:rPr>
          <w:rFonts w:hint="eastAsia" w:ascii="宋体" w:hAnsi="宋体"/>
          <w:szCs w:val="21"/>
        </w:rPr>
      </w:pPr>
      <w:r>
        <w:rPr>
          <w:rFonts w:hint="eastAsia" w:ascii="宋体" w:hAnsi="宋体"/>
          <w:szCs w:val="21"/>
        </w:rPr>
        <w:t xml:space="preserve">1、  </w:t>
      </w:r>
    </w:p>
    <w:p w14:paraId="52DB8DF0">
      <w:pPr>
        <w:ind w:firstLine="420" w:firstLineChars="200"/>
        <w:rPr>
          <w:rFonts w:hint="eastAsia" w:ascii="宋体" w:hAnsi="宋体"/>
          <w:szCs w:val="21"/>
        </w:rPr>
      </w:pPr>
      <w:r>
        <w:rPr>
          <w:rFonts w:hint="eastAsia" w:ascii="宋体" w:hAnsi="宋体"/>
          <w:szCs w:val="21"/>
        </w:rPr>
        <w:t xml:space="preserve">2、  </w:t>
      </w:r>
    </w:p>
    <w:p w14:paraId="7A902B29">
      <w:pPr>
        <w:ind w:firstLine="420" w:firstLineChars="200"/>
        <w:rPr>
          <w:rFonts w:hint="eastAsia" w:ascii="宋体" w:hAnsi="宋体"/>
          <w:szCs w:val="21"/>
        </w:rPr>
      </w:pPr>
      <w:r>
        <w:rPr>
          <w:rFonts w:hint="eastAsia" w:ascii="宋体" w:hAnsi="宋体"/>
          <w:szCs w:val="21"/>
        </w:rPr>
        <w:t xml:space="preserve">3、  </w:t>
      </w:r>
    </w:p>
    <w:p w14:paraId="7F7D7386">
      <w:pPr>
        <w:ind w:firstLine="420" w:firstLineChars="200"/>
        <w:rPr>
          <w:rFonts w:hint="eastAsia" w:ascii="宋体" w:hAnsi="宋体"/>
          <w:szCs w:val="21"/>
        </w:rPr>
      </w:pPr>
      <w:r>
        <w:rPr>
          <w:rFonts w:hint="eastAsia" w:ascii="宋体" w:hAnsi="宋体"/>
          <w:szCs w:val="21"/>
        </w:rPr>
        <w:t>4、 其他合同未明示的相关工作。</w:t>
      </w:r>
    </w:p>
    <w:p w14:paraId="79E45181">
      <w:pPr>
        <w:ind w:firstLine="422" w:firstLineChars="200"/>
        <w:rPr>
          <w:rFonts w:hint="eastAsia" w:ascii="宋体" w:hAnsi="宋体"/>
          <w:b/>
          <w:bCs/>
          <w:szCs w:val="21"/>
        </w:rPr>
      </w:pPr>
      <w:r>
        <w:rPr>
          <w:rFonts w:hint="eastAsia" w:ascii="宋体" w:hAnsi="宋体"/>
          <w:b/>
          <w:bCs/>
          <w:szCs w:val="21"/>
        </w:rPr>
        <w:t>第三条  时间要求及阶段成果</w:t>
      </w:r>
    </w:p>
    <w:p w14:paraId="1D8E85DC">
      <w:pPr>
        <w:ind w:firstLine="420" w:firstLineChars="200"/>
        <w:rPr>
          <w:rFonts w:hint="eastAsia" w:ascii="宋体" w:hAnsi="宋体"/>
          <w:szCs w:val="21"/>
        </w:rPr>
      </w:pPr>
      <w:r>
        <w:rPr>
          <w:rFonts w:hint="eastAsia" w:ascii="宋体" w:hAnsi="宋体"/>
          <w:szCs w:val="21"/>
        </w:rPr>
        <w:t>1、合同签订天内完成项目实施的准备工作，包括工作大纲和试验细则的编制；</w:t>
      </w:r>
    </w:p>
    <w:p w14:paraId="38F86344">
      <w:pPr>
        <w:ind w:firstLine="420" w:firstLineChars="200"/>
        <w:rPr>
          <w:rFonts w:hint="eastAsia" w:ascii="宋体" w:hAnsi="宋体"/>
          <w:szCs w:val="21"/>
        </w:rPr>
      </w:pPr>
      <w:r>
        <w:rPr>
          <w:rFonts w:hint="eastAsia" w:ascii="宋体" w:hAnsi="宋体"/>
          <w:szCs w:val="21"/>
        </w:rPr>
        <w:t xml:space="preserve">2、 </w:t>
      </w:r>
    </w:p>
    <w:p w14:paraId="1C356BEF">
      <w:pPr>
        <w:ind w:firstLine="420" w:firstLineChars="200"/>
        <w:rPr>
          <w:rFonts w:hint="eastAsia" w:ascii="宋体" w:hAnsi="宋体"/>
          <w:szCs w:val="21"/>
        </w:rPr>
      </w:pPr>
      <w:r>
        <w:rPr>
          <w:rFonts w:hint="eastAsia" w:ascii="宋体" w:hAnsi="宋体"/>
          <w:szCs w:val="21"/>
        </w:rPr>
        <w:t>3、</w:t>
      </w:r>
    </w:p>
    <w:p w14:paraId="634FA828">
      <w:pPr>
        <w:ind w:firstLine="420" w:firstLineChars="200"/>
        <w:rPr>
          <w:rFonts w:hint="eastAsia" w:ascii="宋体" w:hAnsi="宋体"/>
          <w:szCs w:val="21"/>
        </w:rPr>
      </w:pPr>
      <w:r>
        <w:rPr>
          <w:rFonts w:hint="eastAsia" w:ascii="宋体" w:hAnsi="宋体"/>
          <w:szCs w:val="21"/>
        </w:rPr>
        <w:t>4、</w:t>
      </w:r>
    </w:p>
    <w:p w14:paraId="32F4117D">
      <w:pPr>
        <w:ind w:firstLine="422" w:firstLineChars="200"/>
        <w:rPr>
          <w:rFonts w:hint="eastAsia" w:ascii="宋体" w:hAnsi="宋体"/>
          <w:b/>
          <w:bCs/>
          <w:szCs w:val="21"/>
        </w:rPr>
      </w:pPr>
      <w:r>
        <w:rPr>
          <w:rFonts w:hint="eastAsia" w:ascii="宋体" w:hAnsi="宋体"/>
          <w:b/>
          <w:bCs/>
          <w:szCs w:val="21"/>
        </w:rPr>
        <w:t>第四条  服务资料归属</w:t>
      </w:r>
    </w:p>
    <w:p w14:paraId="05830179">
      <w:pPr>
        <w:ind w:firstLine="420" w:firstLineChars="200"/>
      </w:pPr>
      <w:r>
        <w:t>1</w:t>
      </w:r>
      <w:r>
        <w:rPr>
          <w:rFonts w:hint="eastAsia"/>
        </w:rPr>
        <w:t>、</w:t>
      </w:r>
      <w:r>
        <w:t>所有提交给</w:t>
      </w:r>
      <w:r>
        <w:rPr>
          <w:rFonts w:hint="eastAsia"/>
        </w:rPr>
        <w:t>甲</w:t>
      </w:r>
      <w:r>
        <w:t>方的服务</w:t>
      </w:r>
      <w:r>
        <w:rPr>
          <w:rFonts w:hint="eastAsia"/>
        </w:rPr>
        <w:t>文件</w:t>
      </w:r>
      <w:r>
        <w:t>及相关的资料的最后文本，包括为履行技术服务范围所编制的图纸、计划和证明资料等，都属于</w:t>
      </w:r>
      <w:r>
        <w:rPr>
          <w:rFonts w:hint="eastAsia"/>
        </w:rPr>
        <w:t>甲</w:t>
      </w:r>
      <w:r>
        <w:t>方的财产，</w:t>
      </w:r>
      <w:r>
        <w:rPr>
          <w:rFonts w:hint="eastAsia" w:ascii="宋体" w:hAnsi="宋体"/>
          <w:szCs w:val="21"/>
        </w:rPr>
        <w:t>乙</w:t>
      </w:r>
      <w:r>
        <w:t>方在提交给</w:t>
      </w:r>
      <w:r>
        <w:rPr>
          <w:rFonts w:hint="eastAsia"/>
        </w:rPr>
        <w:t>甲</w:t>
      </w:r>
      <w:r>
        <w:t>方之前应将上述资料进行整理归类和编制索引</w:t>
      </w:r>
      <w:r>
        <w:rPr>
          <w:rFonts w:hint="eastAsia"/>
        </w:rPr>
        <w:t>。</w:t>
      </w:r>
    </w:p>
    <w:p w14:paraId="274382B1">
      <w:pPr>
        <w:ind w:firstLine="420" w:firstLineChars="200"/>
      </w:pPr>
      <w:r>
        <w:t>2</w:t>
      </w:r>
      <w:r>
        <w:rPr>
          <w:rFonts w:hint="eastAsia"/>
        </w:rPr>
        <w:t>、</w:t>
      </w:r>
      <w:r>
        <w:rPr>
          <w:rFonts w:hint="eastAsia" w:ascii="宋体" w:hAnsi="宋体"/>
          <w:szCs w:val="21"/>
        </w:rPr>
        <w:t>乙</w:t>
      </w:r>
      <w:r>
        <w:t>方未经</w:t>
      </w:r>
      <w:r>
        <w:rPr>
          <w:rFonts w:hint="eastAsia"/>
        </w:rPr>
        <w:t>甲</w:t>
      </w:r>
      <w:r>
        <w:t>方的书面同意，不得将上述资料用于与本服务项目之外的任何项目</w:t>
      </w:r>
      <w:r>
        <w:rPr>
          <w:rFonts w:hint="eastAsia"/>
        </w:rPr>
        <w:t>。</w:t>
      </w:r>
    </w:p>
    <w:p w14:paraId="1B3FF56C">
      <w:pPr>
        <w:ind w:firstLine="420" w:firstLineChars="200"/>
      </w:pPr>
      <w:r>
        <w:rPr>
          <w:rFonts w:hint="eastAsia"/>
        </w:rPr>
        <w:t>3、</w:t>
      </w:r>
      <w:r>
        <w:t>合同履行</w:t>
      </w:r>
      <w:r>
        <w:rPr>
          <w:rFonts w:hint="eastAsia"/>
        </w:rPr>
        <w:t>完毕，</w:t>
      </w:r>
      <w:r>
        <w:t>未经</w:t>
      </w:r>
      <w:r>
        <w:rPr>
          <w:rFonts w:hint="eastAsia"/>
        </w:rPr>
        <w:t>甲</w:t>
      </w:r>
      <w:r>
        <w:t>方的书面同意</w:t>
      </w:r>
      <w:r>
        <w:rPr>
          <w:rFonts w:hint="eastAsia"/>
        </w:rPr>
        <w:t>，</w:t>
      </w:r>
      <w:r>
        <w:rPr>
          <w:rFonts w:hint="eastAsia" w:ascii="宋体" w:hAnsi="宋体"/>
          <w:szCs w:val="21"/>
        </w:rPr>
        <w:t>乙</w:t>
      </w:r>
      <w:r>
        <w:t>方</w:t>
      </w:r>
      <w:r>
        <w:rPr>
          <w:rFonts w:hint="eastAsia"/>
        </w:rPr>
        <w:t>不得保存在</w:t>
      </w:r>
      <w:r>
        <w:t>履行合同过程中所获得或接触到的任何</w:t>
      </w:r>
      <w:r>
        <w:rPr>
          <w:rFonts w:hint="eastAsia" w:ascii="宋体" w:hAnsi="宋体"/>
          <w:szCs w:val="21"/>
        </w:rPr>
        <w:t>内部数据资料。</w:t>
      </w:r>
    </w:p>
    <w:p w14:paraId="64F315EF">
      <w:pPr>
        <w:ind w:firstLine="422" w:firstLineChars="200"/>
        <w:rPr>
          <w:rFonts w:hint="eastAsia" w:ascii="宋体" w:hAnsi="宋体"/>
          <w:b/>
          <w:bCs/>
          <w:szCs w:val="21"/>
        </w:rPr>
      </w:pPr>
      <w:r>
        <w:rPr>
          <w:rFonts w:hint="eastAsia" w:ascii="宋体" w:hAnsi="宋体"/>
          <w:b/>
          <w:bCs/>
          <w:szCs w:val="21"/>
        </w:rPr>
        <w:t>第五条  甲方的义务</w:t>
      </w:r>
    </w:p>
    <w:p w14:paraId="181F5FC0">
      <w:pPr>
        <w:ind w:firstLine="420" w:firstLineChars="200"/>
        <w:rPr>
          <w:rFonts w:hint="eastAsia" w:ascii="宋体" w:hAnsi="宋体"/>
          <w:szCs w:val="21"/>
        </w:rPr>
      </w:pPr>
      <w:r>
        <w:rPr>
          <w:rFonts w:hint="eastAsia" w:ascii="宋体" w:hAnsi="宋体"/>
          <w:szCs w:val="21"/>
        </w:rPr>
        <w:t>1、负责与本服务项目有关的第三方的协调，提供开展服务工作的外部条件。</w:t>
      </w:r>
    </w:p>
    <w:p w14:paraId="464D3F01">
      <w:pPr>
        <w:ind w:firstLine="420" w:firstLineChars="200"/>
        <w:rPr>
          <w:rFonts w:hint="eastAsia" w:ascii="宋体" w:hAnsi="宋体"/>
          <w:szCs w:val="21"/>
        </w:rPr>
      </w:pPr>
      <w:r>
        <w:rPr>
          <w:rFonts w:hint="eastAsia" w:ascii="宋体" w:hAnsi="宋体"/>
          <w:szCs w:val="21"/>
        </w:rPr>
        <w:t>2、向乙方提供与本项目服务工作有关的资料。</w:t>
      </w:r>
    </w:p>
    <w:p w14:paraId="6B88624F">
      <w:pPr>
        <w:ind w:firstLine="420" w:firstLineChars="200"/>
        <w:rPr>
          <w:rFonts w:hint="eastAsia" w:ascii="宋体" w:hAnsi="宋体"/>
          <w:szCs w:val="21"/>
        </w:rPr>
      </w:pPr>
      <w:r>
        <w:rPr>
          <w:rFonts w:hint="eastAsia" w:ascii="宋体" w:hAnsi="宋体"/>
          <w:szCs w:val="21"/>
        </w:rPr>
        <w:t>3、负责组织有关专家对项目试验成果评估报告的评审。</w:t>
      </w:r>
    </w:p>
    <w:p w14:paraId="1D4ADD4C">
      <w:pPr>
        <w:ind w:firstLine="422" w:firstLineChars="200"/>
        <w:rPr>
          <w:rFonts w:hint="eastAsia" w:ascii="宋体" w:hAnsi="宋体"/>
          <w:b/>
          <w:bCs/>
          <w:szCs w:val="21"/>
        </w:rPr>
      </w:pPr>
      <w:r>
        <w:rPr>
          <w:rFonts w:hint="eastAsia" w:ascii="宋体" w:hAnsi="宋体"/>
          <w:b/>
          <w:bCs/>
          <w:szCs w:val="21"/>
        </w:rPr>
        <w:t>第六条　乙方的义务</w:t>
      </w:r>
    </w:p>
    <w:p w14:paraId="334C8D2A">
      <w:pPr>
        <w:ind w:firstLine="420" w:firstLineChars="200"/>
        <w:rPr>
          <w:rFonts w:hint="eastAsia" w:ascii="宋体" w:hAnsi="宋体"/>
          <w:szCs w:val="21"/>
        </w:rPr>
      </w:pPr>
      <w:r>
        <w:rPr>
          <w:rFonts w:hint="eastAsia" w:ascii="宋体" w:hAnsi="宋体"/>
          <w:szCs w:val="21"/>
        </w:rPr>
        <w:t>１、应按照招标文件、投标文件要求按期完成本项目服务工作。</w:t>
      </w:r>
    </w:p>
    <w:p w14:paraId="78743881">
      <w:pPr>
        <w:ind w:firstLine="420" w:firstLineChars="200"/>
        <w:rPr>
          <w:rFonts w:hint="eastAsia" w:ascii="宋体" w:hAnsi="宋体"/>
          <w:szCs w:val="21"/>
        </w:rPr>
      </w:pPr>
      <w:r>
        <w:rPr>
          <w:rFonts w:hint="eastAsia" w:ascii="宋体" w:hAnsi="宋体"/>
          <w:szCs w:val="21"/>
        </w:rPr>
        <w:t>2、负责组织项目的实施，保证工程进度和成桥荷载试验工作质量，并满足交通部交工验收相关标准。</w:t>
      </w:r>
    </w:p>
    <w:p w14:paraId="27398637">
      <w:pPr>
        <w:ind w:firstLine="420" w:firstLineChars="200"/>
        <w:rPr>
          <w:rFonts w:hint="eastAsia" w:ascii="宋体" w:hAnsi="宋体"/>
          <w:szCs w:val="21"/>
        </w:rPr>
      </w:pPr>
      <w:r>
        <w:rPr>
          <w:rFonts w:hint="eastAsia" w:ascii="宋体" w:hAnsi="宋体"/>
          <w:szCs w:val="21"/>
        </w:rPr>
        <w:t>3、</w:t>
      </w:r>
      <w:r>
        <w:rPr>
          <w:rFonts w:hint="eastAsia" w:ascii="宋体" w:hAnsi="宋体"/>
        </w:rPr>
        <w:t>向甲方提交检测资料等各套，一套电子版文件。</w:t>
      </w:r>
    </w:p>
    <w:p w14:paraId="0544E52A">
      <w:pPr>
        <w:ind w:firstLine="420" w:firstLineChars="200"/>
        <w:rPr>
          <w:rFonts w:hint="eastAsia" w:ascii="宋体" w:hAnsi="宋体"/>
          <w:szCs w:val="21"/>
        </w:rPr>
      </w:pPr>
      <w:r>
        <w:rPr>
          <w:rFonts w:hint="eastAsia" w:ascii="宋体" w:hAnsi="宋体"/>
          <w:szCs w:val="21"/>
        </w:rPr>
        <w:t>4、在履行合同期间或合同规定期限内，不得泄露与本合同规定业务活动有关的保密资料。</w:t>
      </w:r>
    </w:p>
    <w:p w14:paraId="6B7BFA61">
      <w:pPr>
        <w:ind w:firstLine="422" w:firstLineChars="200"/>
        <w:rPr>
          <w:rFonts w:hint="eastAsia" w:ascii="宋体" w:hAnsi="宋体"/>
          <w:b/>
          <w:bCs/>
          <w:szCs w:val="21"/>
        </w:rPr>
      </w:pPr>
      <w:r>
        <w:rPr>
          <w:rFonts w:hint="eastAsia" w:ascii="宋体" w:hAnsi="宋体"/>
          <w:b/>
          <w:bCs/>
          <w:szCs w:val="21"/>
        </w:rPr>
        <w:t>第七条  甲方的权利</w:t>
      </w:r>
    </w:p>
    <w:p w14:paraId="3B181D0C">
      <w:pPr>
        <w:ind w:firstLine="420" w:firstLineChars="200"/>
        <w:rPr>
          <w:rFonts w:hint="eastAsia" w:ascii="宋体" w:hAnsi="宋体"/>
          <w:szCs w:val="21"/>
        </w:rPr>
      </w:pPr>
      <w:r>
        <w:rPr>
          <w:rFonts w:ascii="宋体" w:hAnsi="宋体"/>
          <w:szCs w:val="21"/>
        </w:rPr>
        <w:t>1</w:t>
      </w:r>
      <w:r>
        <w:rPr>
          <w:rFonts w:hint="eastAsia" w:ascii="宋体" w:hAnsi="宋体"/>
          <w:szCs w:val="21"/>
        </w:rPr>
        <w:t>、有权向乙方询问工作进展情况及相关的内容。</w:t>
      </w:r>
    </w:p>
    <w:p w14:paraId="2D37CB55">
      <w:pPr>
        <w:ind w:firstLine="420" w:firstLineChars="200"/>
        <w:rPr>
          <w:rFonts w:hint="eastAsia" w:ascii="宋体" w:hAnsi="宋体"/>
          <w:szCs w:val="21"/>
        </w:rPr>
      </w:pPr>
      <w:r>
        <w:rPr>
          <w:rFonts w:ascii="宋体" w:hAnsi="宋体"/>
          <w:szCs w:val="21"/>
        </w:rPr>
        <w:t>2</w:t>
      </w:r>
      <w:r>
        <w:rPr>
          <w:rFonts w:hint="eastAsia" w:ascii="宋体" w:hAnsi="宋体"/>
          <w:szCs w:val="21"/>
        </w:rPr>
        <w:t>、有权阐述对具体问题的意见和建议。</w:t>
      </w:r>
    </w:p>
    <w:p w14:paraId="0868A53B">
      <w:pPr>
        <w:ind w:firstLine="420" w:firstLineChars="200"/>
        <w:rPr>
          <w:rFonts w:hint="eastAsia" w:ascii="宋体" w:hAnsi="宋体"/>
          <w:szCs w:val="21"/>
        </w:rPr>
      </w:pPr>
      <w:r>
        <w:rPr>
          <w:rFonts w:ascii="宋体" w:hAnsi="宋体"/>
          <w:szCs w:val="21"/>
        </w:rPr>
        <w:t>3</w:t>
      </w:r>
      <w:r>
        <w:rPr>
          <w:rFonts w:hint="eastAsia" w:ascii="宋体" w:hAnsi="宋体"/>
          <w:szCs w:val="21"/>
        </w:rPr>
        <w:t>、当甲方认定乙方人员不按合同履行其职责，或与第三人串通给甲方造成经济损失的，甲方有权要求更换人员，直至终止合同并要求乙方承担相应的赔偿责任。</w:t>
      </w:r>
    </w:p>
    <w:p w14:paraId="35C4B344">
      <w:pPr>
        <w:ind w:firstLine="422" w:firstLineChars="200"/>
        <w:rPr>
          <w:rFonts w:hint="eastAsia" w:ascii="宋体" w:hAnsi="宋体"/>
          <w:b/>
          <w:bCs/>
          <w:szCs w:val="21"/>
        </w:rPr>
      </w:pPr>
      <w:r>
        <w:rPr>
          <w:rFonts w:hint="eastAsia" w:ascii="宋体" w:hAnsi="宋体"/>
          <w:b/>
          <w:bCs/>
          <w:szCs w:val="21"/>
        </w:rPr>
        <w:t>第八条  乙方的权利</w:t>
      </w:r>
    </w:p>
    <w:p w14:paraId="79DC89FB">
      <w:pPr>
        <w:ind w:firstLine="420" w:firstLineChars="200"/>
        <w:rPr>
          <w:rFonts w:hint="eastAsia" w:ascii="宋体" w:hAnsi="宋体"/>
          <w:szCs w:val="21"/>
        </w:rPr>
      </w:pPr>
      <w:r>
        <w:rPr>
          <w:rFonts w:ascii="宋体" w:hAnsi="宋体"/>
          <w:szCs w:val="21"/>
        </w:rPr>
        <w:t>1</w:t>
      </w:r>
      <w:r>
        <w:rPr>
          <w:rFonts w:hint="eastAsia" w:ascii="宋体" w:hAnsi="宋体"/>
          <w:szCs w:val="21"/>
        </w:rPr>
        <w:t>、乙方在本项目服务过程中，如甲方提供的资料不明确时可向甲方提出书面报告。</w:t>
      </w:r>
    </w:p>
    <w:p w14:paraId="3159F83B">
      <w:pPr>
        <w:ind w:firstLine="420" w:firstLineChars="200"/>
        <w:rPr>
          <w:rFonts w:hint="eastAsia" w:ascii="宋体" w:hAnsi="宋体"/>
          <w:szCs w:val="21"/>
        </w:rPr>
      </w:pPr>
      <w:r>
        <w:rPr>
          <w:rFonts w:ascii="宋体" w:hAnsi="宋体"/>
          <w:szCs w:val="21"/>
        </w:rPr>
        <w:t>2</w:t>
      </w:r>
      <w:r>
        <w:rPr>
          <w:rFonts w:hint="eastAsia" w:ascii="宋体" w:hAnsi="宋体"/>
          <w:szCs w:val="21"/>
        </w:rPr>
        <w:t>、乙方在本项目服务过程中，有权对第三方提出与本服务业务有关的问题进行核对或查问。</w:t>
      </w:r>
    </w:p>
    <w:p w14:paraId="33B7F705">
      <w:pPr>
        <w:ind w:firstLine="420" w:firstLineChars="200"/>
        <w:rPr>
          <w:rFonts w:hint="eastAsia" w:ascii="宋体" w:hAnsi="宋体"/>
          <w:szCs w:val="21"/>
        </w:rPr>
      </w:pPr>
      <w:r>
        <w:rPr>
          <w:rFonts w:ascii="宋体" w:hAnsi="宋体"/>
          <w:szCs w:val="21"/>
        </w:rPr>
        <w:t>3</w:t>
      </w:r>
      <w:r>
        <w:rPr>
          <w:rFonts w:hint="eastAsia" w:ascii="宋体" w:hAnsi="宋体"/>
          <w:szCs w:val="21"/>
        </w:rPr>
        <w:t>、乙方在本项目服务过程中，有到工程现场勘察的权利。</w:t>
      </w:r>
    </w:p>
    <w:p w14:paraId="1EF1EF76">
      <w:pPr>
        <w:ind w:firstLine="422" w:firstLineChars="200"/>
        <w:rPr>
          <w:rFonts w:hint="eastAsia" w:ascii="宋体" w:hAnsi="宋体"/>
          <w:b/>
          <w:bCs/>
          <w:szCs w:val="21"/>
        </w:rPr>
      </w:pPr>
      <w:r>
        <w:rPr>
          <w:rFonts w:hint="eastAsia" w:ascii="宋体" w:hAnsi="宋体"/>
          <w:b/>
          <w:bCs/>
          <w:szCs w:val="21"/>
        </w:rPr>
        <w:t>第九条  甲方的责任</w:t>
      </w:r>
    </w:p>
    <w:p w14:paraId="386960F3">
      <w:pPr>
        <w:ind w:firstLine="420" w:firstLineChars="200"/>
        <w:rPr>
          <w:rFonts w:hint="eastAsia" w:ascii="宋体" w:hAnsi="宋体"/>
          <w:szCs w:val="21"/>
        </w:rPr>
      </w:pPr>
      <w:r>
        <w:rPr>
          <w:rFonts w:hint="eastAsia" w:ascii="宋体" w:hAnsi="宋体"/>
          <w:szCs w:val="21"/>
        </w:rPr>
        <w:t>1、应当履行本合同约定的义务，如有违反则应当承担违约责任，赔偿给乙方造成的损失。</w:t>
      </w:r>
    </w:p>
    <w:p w14:paraId="7E2E0ED7">
      <w:pPr>
        <w:ind w:firstLine="420" w:firstLineChars="200"/>
        <w:rPr>
          <w:rFonts w:hint="eastAsia" w:ascii="宋体" w:hAnsi="宋体"/>
          <w:szCs w:val="21"/>
        </w:rPr>
      </w:pPr>
      <w:r>
        <w:rPr>
          <w:rFonts w:hint="eastAsia" w:ascii="宋体" w:hAnsi="宋体"/>
          <w:szCs w:val="21"/>
        </w:rPr>
        <w:t>2、甲方向乙方提出赔偿要求不能成立时，则应补偿由于该赔偿或其他要求所导致乙方的各种费用的支出。</w:t>
      </w:r>
    </w:p>
    <w:p w14:paraId="4AE89C8D">
      <w:pPr>
        <w:ind w:firstLine="422" w:firstLineChars="200"/>
        <w:rPr>
          <w:rFonts w:hint="eastAsia" w:ascii="宋体" w:hAnsi="宋体"/>
          <w:b/>
          <w:bCs/>
          <w:szCs w:val="21"/>
        </w:rPr>
      </w:pPr>
      <w:r>
        <w:rPr>
          <w:rFonts w:hint="eastAsia" w:ascii="宋体" w:hAnsi="宋体"/>
          <w:b/>
          <w:bCs/>
          <w:szCs w:val="21"/>
        </w:rPr>
        <w:t>第十条  乙方的责任</w:t>
      </w:r>
    </w:p>
    <w:p w14:paraId="2EB45081">
      <w:pPr>
        <w:ind w:firstLine="420" w:firstLineChars="200"/>
        <w:rPr>
          <w:rFonts w:hint="eastAsia" w:ascii="宋体" w:hAnsi="宋体"/>
          <w:szCs w:val="21"/>
        </w:rPr>
      </w:pPr>
      <w:r>
        <w:rPr>
          <w:rFonts w:hint="eastAsia" w:ascii="宋体" w:hAnsi="宋体"/>
          <w:szCs w:val="21"/>
        </w:rPr>
        <w:t>1、乙方的责任期即本合同有效期。如因非乙方的责任造成进度的推迟或延误而超过约定的日期，双方应进一步约定相应延长合同有效期。</w:t>
      </w:r>
    </w:p>
    <w:p w14:paraId="78826952">
      <w:pPr>
        <w:ind w:firstLine="420" w:firstLineChars="200"/>
        <w:rPr>
          <w:rFonts w:hint="eastAsia" w:ascii="宋体" w:hAnsi="宋体"/>
          <w:szCs w:val="21"/>
        </w:rPr>
      </w:pPr>
      <w:r>
        <w:rPr>
          <w:rFonts w:hint="eastAsia" w:ascii="宋体" w:hAnsi="宋体"/>
          <w:szCs w:val="21"/>
        </w:rPr>
        <w:t>2、乙方的责任期内，应当履行本合同中约定的义务，因乙方的单方过失造成的经济损失，应当向甲方进行赔偿。</w:t>
      </w:r>
    </w:p>
    <w:p w14:paraId="1F119F53">
      <w:pPr>
        <w:ind w:firstLine="420" w:firstLineChars="200"/>
        <w:rPr>
          <w:rFonts w:hint="eastAsia" w:ascii="宋体" w:hAnsi="宋体"/>
          <w:szCs w:val="21"/>
        </w:rPr>
      </w:pPr>
      <w:r>
        <w:rPr>
          <w:rFonts w:hint="eastAsia" w:ascii="宋体" w:hAnsi="宋体"/>
          <w:szCs w:val="21"/>
        </w:rPr>
        <w:t>3、乙方对甲方或第三方所提出的问题不能及时核对或答复，导致合同不能全部或部分履行，乙方应承担责任。</w:t>
      </w:r>
    </w:p>
    <w:p w14:paraId="04E8ACE0">
      <w:pPr>
        <w:ind w:firstLine="420" w:firstLineChars="200"/>
        <w:rPr>
          <w:rFonts w:hint="eastAsia" w:ascii="宋体" w:hAnsi="宋体"/>
          <w:szCs w:val="21"/>
        </w:rPr>
      </w:pPr>
      <w:r>
        <w:rPr>
          <w:rFonts w:hint="eastAsia" w:ascii="宋体" w:hAnsi="宋体"/>
          <w:szCs w:val="21"/>
        </w:rPr>
        <w:t>4、乙方向甲方提出赔偿要求不能成立时，则应补偿由于该赔偿或其他要求所导致甲方的各种费用的支出。</w:t>
      </w:r>
    </w:p>
    <w:p w14:paraId="151D732F">
      <w:pPr>
        <w:ind w:firstLine="422" w:firstLineChars="200"/>
        <w:rPr>
          <w:rFonts w:hint="eastAsia" w:ascii="宋体" w:hAnsi="宋体"/>
          <w:b/>
          <w:bCs/>
          <w:szCs w:val="21"/>
        </w:rPr>
      </w:pPr>
      <w:r>
        <w:rPr>
          <w:rFonts w:hint="eastAsia" w:ascii="宋体" w:hAnsi="宋体"/>
          <w:b/>
          <w:bCs/>
          <w:szCs w:val="21"/>
        </w:rPr>
        <w:t>第十一条  人员要求</w:t>
      </w:r>
    </w:p>
    <w:p w14:paraId="1EE43ABD">
      <w:pPr>
        <w:ind w:firstLine="420" w:firstLineChars="200"/>
        <w:rPr>
          <w:rFonts w:hint="eastAsia" w:ascii="宋体" w:hAnsi="宋体"/>
          <w:szCs w:val="21"/>
        </w:rPr>
      </w:pPr>
      <w:r>
        <w:rPr>
          <w:rFonts w:hint="eastAsia" w:ascii="宋体" w:hAnsi="宋体"/>
          <w:szCs w:val="21"/>
        </w:rPr>
        <w:t>1、参加本项目试验的人员必须具有国家和有关部门规定的相应资质。</w:t>
      </w:r>
    </w:p>
    <w:p w14:paraId="32BC2430">
      <w:pPr>
        <w:ind w:firstLine="420" w:firstLineChars="200"/>
        <w:rPr>
          <w:rFonts w:hint="eastAsia" w:ascii="宋体" w:hAnsi="宋体"/>
          <w:szCs w:val="21"/>
        </w:rPr>
      </w:pPr>
      <w:r>
        <w:rPr>
          <w:rFonts w:hint="eastAsia" w:ascii="宋体" w:hAnsi="宋体"/>
          <w:szCs w:val="21"/>
        </w:rPr>
        <w:t>2、参加本项目的试验人员的配置必须与投标文件中的服务承诺书和试验服务组织实施方案一致。</w:t>
      </w:r>
    </w:p>
    <w:p w14:paraId="38EAD162">
      <w:pPr>
        <w:ind w:firstLine="420" w:firstLineChars="200"/>
        <w:rPr>
          <w:rFonts w:hint="eastAsia" w:ascii="宋体" w:hAnsi="宋体"/>
          <w:szCs w:val="21"/>
        </w:rPr>
      </w:pPr>
      <w:r>
        <w:rPr>
          <w:rFonts w:hint="eastAsia" w:ascii="宋体" w:hAnsi="宋体"/>
          <w:szCs w:val="21"/>
        </w:rPr>
        <w:t>3、必须以直属试验人员参与本项目服务，不得使用挂靠队伍。</w:t>
      </w:r>
    </w:p>
    <w:p w14:paraId="69A7F543">
      <w:pPr>
        <w:ind w:firstLine="422" w:firstLineChars="200"/>
        <w:rPr>
          <w:rFonts w:hint="eastAsia" w:ascii="宋体" w:hAnsi="宋体"/>
          <w:b/>
          <w:bCs/>
          <w:szCs w:val="21"/>
        </w:rPr>
      </w:pPr>
      <w:r>
        <w:rPr>
          <w:rFonts w:hint="eastAsia" w:ascii="宋体" w:hAnsi="宋体"/>
          <w:b/>
          <w:bCs/>
          <w:szCs w:val="21"/>
        </w:rPr>
        <w:t>第十二条  乙方服务工具要求</w:t>
      </w:r>
    </w:p>
    <w:p w14:paraId="2AF80942">
      <w:pPr>
        <w:ind w:firstLine="420" w:firstLineChars="200"/>
        <w:rPr>
          <w:rFonts w:hint="eastAsia" w:ascii="宋体" w:hAnsi="宋体"/>
          <w:szCs w:val="21"/>
        </w:rPr>
      </w:pPr>
      <w:r>
        <w:rPr>
          <w:rFonts w:hint="eastAsia" w:ascii="宋体" w:hAnsi="宋体"/>
          <w:szCs w:val="21"/>
        </w:rPr>
        <w:t>1、乙方应配备中标项目所需的足够数量的仪器、仪表以及工具等设备。用户不需向乙方提供施工工具和仪器、仪表。</w:t>
      </w:r>
    </w:p>
    <w:p w14:paraId="1DA9A292">
      <w:pPr>
        <w:ind w:firstLine="420" w:firstLineChars="200"/>
        <w:rPr>
          <w:rFonts w:hint="eastAsia" w:ascii="宋体" w:hAnsi="宋体"/>
          <w:szCs w:val="21"/>
        </w:rPr>
      </w:pPr>
      <w:r>
        <w:rPr>
          <w:rFonts w:hint="eastAsia" w:ascii="宋体" w:hAnsi="宋体"/>
          <w:szCs w:val="21"/>
        </w:rPr>
        <w:t>2、乙方在提供服务过程中应自备车辆。</w:t>
      </w:r>
    </w:p>
    <w:p w14:paraId="58F72560">
      <w:pPr>
        <w:ind w:firstLine="422" w:firstLineChars="200"/>
        <w:rPr>
          <w:rFonts w:hint="eastAsia" w:ascii="宋体" w:hAnsi="宋体"/>
          <w:b/>
          <w:bCs/>
          <w:szCs w:val="21"/>
        </w:rPr>
      </w:pPr>
      <w:r>
        <w:rPr>
          <w:rFonts w:hint="eastAsia" w:ascii="宋体" w:hAnsi="宋体"/>
          <w:b/>
          <w:bCs/>
          <w:szCs w:val="21"/>
        </w:rPr>
        <w:t>第十三条  保密要求</w:t>
      </w:r>
    </w:p>
    <w:p w14:paraId="2753C8D5">
      <w:pPr>
        <w:ind w:firstLine="420" w:firstLineChars="200"/>
        <w:rPr>
          <w:rFonts w:hint="eastAsia" w:ascii="宋体" w:hAnsi="宋体"/>
          <w:szCs w:val="21"/>
        </w:rPr>
      </w:pPr>
      <w:r>
        <w:rPr>
          <w:rFonts w:hint="eastAsia" w:ascii="宋体" w:hAnsi="宋体"/>
          <w:szCs w:val="21"/>
        </w:rPr>
        <w:t>1、</w:t>
      </w:r>
      <w:r>
        <w:rPr>
          <w:rFonts w:ascii="宋体" w:hAnsi="宋体"/>
          <w:szCs w:val="21"/>
        </w:rPr>
        <w:t>由甲方收集的、开发的、整理的、复制的、研究的和准备的与本合同项下工作有关的所有资料在提供给乙方时，均被视为保密的，不得泄漏给除甲方或其指定的代表之外的任何人、企业或公司，不管本合同因何种原因终止，本条款一直约束乙方。</w:t>
      </w:r>
    </w:p>
    <w:p w14:paraId="1C47E433">
      <w:pPr>
        <w:ind w:firstLine="420" w:firstLineChars="200"/>
        <w:rPr>
          <w:rFonts w:hint="eastAsia" w:ascii="宋体" w:hAnsi="宋体"/>
          <w:szCs w:val="21"/>
        </w:rPr>
      </w:pPr>
      <w:r>
        <w:rPr>
          <w:rFonts w:hint="eastAsia" w:ascii="宋体" w:hAnsi="宋体"/>
          <w:szCs w:val="21"/>
        </w:rPr>
        <w:t>2、</w:t>
      </w:r>
      <w:r>
        <w:rPr>
          <w:rFonts w:ascii="宋体" w:hAnsi="宋体"/>
          <w:szCs w:val="21"/>
        </w:rPr>
        <w:t>乙方在履行合同过程中所获得或接触到的任何</w:t>
      </w:r>
      <w:r>
        <w:rPr>
          <w:rFonts w:hint="eastAsia" w:ascii="宋体" w:hAnsi="宋体"/>
          <w:szCs w:val="21"/>
        </w:rPr>
        <w:t>内部数据资料，未经甲方同意，不得向第三方透露。</w:t>
      </w:r>
    </w:p>
    <w:p w14:paraId="44CFE64C">
      <w:pPr>
        <w:ind w:firstLine="420" w:firstLineChars="200"/>
        <w:rPr>
          <w:rFonts w:hint="eastAsia" w:ascii="宋体" w:hAnsi="宋体"/>
          <w:szCs w:val="21"/>
        </w:rPr>
      </w:pPr>
      <w:r>
        <w:rPr>
          <w:rFonts w:hint="eastAsia" w:ascii="宋体" w:hAnsi="宋体"/>
          <w:szCs w:val="21"/>
        </w:rPr>
        <w:t>3、</w:t>
      </w:r>
      <w:r>
        <w:rPr>
          <w:rFonts w:ascii="宋体" w:hAnsi="宋体"/>
          <w:szCs w:val="21"/>
        </w:rPr>
        <w:t>乙方</w:t>
      </w:r>
      <w:r>
        <w:rPr>
          <w:rFonts w:hint="eastAsia" w:ascii="宋体" w:hAnsi="宋体"/>
          <w:szCs w:val="21"/>
        </w:rPr>
        <w:t>实施项目的一切程序都应符合国家安全、保密的有关规定和标准。</w:t>
      </w:r>
    </w:p>
    <w:p w14:paraId="13F642DF">
      <w:pPr>
        <w:ind w:firstLine="420" w:firstLineChars="200"/>
        <w:rPr>
          <w:rFonts w:hint="eastAsia" w:ascii="宋体" w:hAnsi="宋体"/>
          <w:szCs w:val="21"/>
        </w:rPr>
      </w:pPr>
      <w:r>
        <w:rPr>
          <w:rFonts w:hint="eastAsia" w:ascii="宋体" w:hAnsi="宋体"/>
          <w:szCs w:val="21"/>
        </w:rPr>
        <w:t>4、</w:t>
      </w:r>
      <w:r>
        <w:rPr>
          <w:rFonts w:ascii="宋体" w:hAnsi="宋体"/>
          <w:szCs w:val="21"/>
        </w:rPr>
        <w:t>乙方</w:t>
      </w:r>
      <w:r>
        <w:rPr>
          <w:rFonts w:hint="eastAsia" w:ascii="宋体" w:hAnsi="宋体"/>
          <w:szCs w:val="21"/>
        </w:rPr>
        <w:t>参加项目的有关人员均需同甲方签订保密协议。</w:t>
      </w:r>
    </w:p>
    <w:p w14:paraId="02088CC6">
      <w:pPr>
        <w:ind w:firstLine="422" w:firstLineChars="200"/>
        <w:rPr>
          <w:rFonts w:hint="eastAsia" w:ascii="宋体" w:hAnsi="宋体"/>
          <w:b/>
          <w:bCs/>
          <w:szCs w:val="21"/>
        </w:rPr>
      </w:pPr>
      <w:r>
        <w:rPr>
          <w:rFonts w:hint="eastAsia" w:ascii="宋体" w:hAnsi="宋体"/>
          <w:b/>
          <w:bCs/>
          <w:szCs w:val="21"/>
        </w:rPr>
        <w:t xml:space="preserve">第十四条  验收     </w:t>
      </w:r>
    </w:p>
    <w:p w14:paraId="3EF56A46">
      <w:pPr>
        <w:ind w:firstLine="420" w:firstLineChars="200"/>
        <w:rPr>
          <w:rFonts w:hint="eastAsia" w:ascii="宋体" w:hAnsi="宋体"/>
          <w:szCs w:val="21"/>
        </w:rPr>
      </w:pPr>
      <w:r>
        <w:rPr>
          <w:rFonts w:hint="eastAsia" w:ascii="宋体" w:hAnsi="宋体"/>
          <w:szCs w:val="21"/>
        </w:rPr>
        <w:t>1、下列文件的验收分为</w:t>
      </w:r>
      <w:r>
        <w:rPr>
          <w:rFonts w:hint="eastAsia" w:ascii="宋体" w:hAnsi="宋体"/>
          <w:szCs w:val="21"/>
          <w:u w:val="single"/>
        </w:rPr>
        <w:t xml:space="preserve">          三</w:t>
      </w:r>
      <w:r>
        <w:rPr>
          <w:rFonts w:hint="eastAsia" w:ascii="宋体" w:hAnsi="宋体"/>
          <w:szCs w:val="21"/>
        </w:rPr>
        <w:t>个阶段:</w:t>
      </w:r>
    </w:p>
    <w:p w14:paraId="76079CA0">
      <w:pPr>
        <w:ind w:firstLine="420" w:firstLineChars="200"/>
        <w:rPr>
          <w:rFonts w:hint="eastAsia" w:ascii="宋体" w:hAnsi="宋体"/>
          <w:szCs w:val="21"/>
        </w:rPr>
      </w:pPr>
      <w:r>
        <w:rPr>
          <w:rFonts w:hint="eastAsia" w:ascii="宋体" w:hAnsi="宋体"/>
          <w:szCs w:val="21"/>
        </w:rPr>
        <w:t>2、其余文件和工作由用户组织有关技术人员根据国家和行业有关规范、规程、标准和用户需求直接验收。</w:t>
      </w:r>
    </w:p>
    <w:p w14:paraId="3846D3C6">
      <w:pPr>
        <w:ind w:firstLine="420" w:firstLineChars="200"/>
        <w:rPr>
          <w:rFonts w:hint="eastAsia" w:ascii="宋体" w:hAnsi="宋体"/>
          <w:szCs w:val="21"/>
        </w:rPr>
      </w:pPr>
      <w:r>
        <w:rPr>
          <w:rFonts w:hint="eastAsia" w:ascii="宋体" w:hAnsi="宋体"/>
          <w:szCs w:val="21"/>
        </w:rPr>
        <w:t>3、验收依据为招标文件、投标文件，国家和行业有关规范、规程和标准。</w:t>
      </w:r>
    </w:p>
    <w:p w14:paraId="63AF9B7A">
      <w:pPr>
        <w:ind w:firstLine="422" w:firstLineChars="200"/>
        <w:rPr>
          <w:rFonts w:hint="eastAsia" w:ascii="宋体" w:hAnsi="宋体"/>
          <w:b/>
          <w:bCs/>
          <w:szCs w:val="21"/>
        </w:rPr>
      </w:pPr>
      <w:r>
        <w:rPr>
          <w:rFonts w:hint="eastAsia" w:ascii="宋体" w:hAnsi="宋体"/>
          <w:b/>
          <w:bCs/>
          <w:szCs w:val="21"/>
        </w:rPr>
        <w:t>第十五条  付款方式</w:t>
      </w:r>
    </w:p>
    <w:p w14:paraId="0B6B7388">
      <w:pPr>
        <w:ind w:firstLine="420" w:firstLineChars="200"/>
        <w:rPr>
          <w:rFonts w:hint="eastAsia" w:ascii="宋体" w:hAnsi="宋体"/>
          <w:szCs w:val="21"/>
        </w:rPr>
      </w:pPr>
      <w:r>
        <w:rPr>
          <w:rFonts w:hint="eastAsia" w:ascii="宋体" w:hAnsi="宋体"/>
          <w:szCs w:val="21"/>
        </w:rPr>
        <w:t>1、合同签订后   天内乙方向甲方开具合法有效的发票后，甲方于   天内向乙方支付合同总价%的款项。</w:t>
      </w:r>
    </w:p>
    <w:p w14:paraId="48BCD87F">
      <w:pPr>
        <w:ind w:firstLine="420" w:firstLineChars="200"/>
        <w:rPr>
          <w:rFonts w:hint="eastAsia" w:ascii="宋体" w:hAnsi="宋体"/>
          <w:szCs w:val="21"/>
        </w:rPr>
      </w:pPr>
      <w:r>
        <w:rPr>
          <w:rFonts w:hint="eastAsia" w:ascii="宋体" w:hAnsi="宋体"/>
          <w:szCs w:val="21"/>
        </w:rPr>
        <w:t>2、检测完成并提交评估报告后  天内，乙方向甲方开具合法有效发票后 天，甲方向乙方支付合同总价%的款项。</w:t>
      </w:r>
    </w:p>
    <w:p w14:paraId="45EAA6E4">
      <w:pPr>
        <w:ind w:firstLine="420" w:firstLineChars="200"/>
        <w:rPr>
          <w:rFonts w:hint="eastAsia" w:ascii="宋体" w:hAnsi="宋体"/>
          <w:szCs w:val="21"/>
        </w:rPr>
      </w:pPr>
      <w:r>
        <w:rPr>
          <w:rFonts w:hint="eastAsia" w:ascii="宋体" w:hAnsi="宋体"/>
          <w:szCs w:val="21"/>
        </w:rPr>
        <w:t>3、报告通过专家评审后，甲方向乙方支付合同总价%的款项。</w:t>
      </w:r>
    </w:p>
    <w:p w14:paraId="4C281C65">
      <w:pPr>
        <w:ind w:firstLine="422" w:firstLineChars="200"/>
        <w:rPr>
          <w:rFonts w:hint="eastAsia" w:ascii="宋体" w:hAnsi="宋体"/>
          <w:b/>
          <w:bCs/>
          <w:szCs w:val="21"/>
        </w:rPr>
      </w:pPr>
      <w:r>
        <w:rPr>
          <w:rFonts w:hint="eastAsia" w:ascii="宋体" w:hAnsi="宋体"/>
          <w:b/>
          <w:bCs/>
          <w:szCs w:val="21"/>
        </w:rPr>
        <w:t>第十六条  争议解决办法</w:t>
      </w:r>
    </w:p>
    <w:p w14:paraId="4DF95A61">
      <w:pPr>
        <w:ind w:firstLine="420" w:firstLineChars="200"/>
        <w:rPr>
          <w:rFonts w:hint="eastAsia" w:ascii="宋体" w:hAnsi="宋体"/>
          <w:szCs w:val="21"/>
        </w:rPr>
      </w:pPr>
      <w:r>
        <w:rPr>
          <w:rFonts w:hint="eastAsia" w:ascii="宋体" w:hAnsi="宋体"/>
          <w:szCs w:val="21"/>
        </w:rPr>
        <w:t>执行本合同发生的争议，由甲乙双方协商解决，如协商不成的，应提交甲方所在地人民法院诉讼解决。</w:t>
      </w:r>
    </w:p>
    <w:p w14:paraId="2D4C2CC1">
      <w:pPr>
        <w:ind w:firstLine="422" w:firstLineChars="200"/>
        <w:rPr>
          <w:rFonts w:hint="eastAsia" w:ascii="宋体" w:hAnsi="宋体"/>
          <w:b/>
          <w:bCs/>
          <w:szCs w:val="21"/>
        </w:rPr>
      </w:pPr>
      <w:r>
        <w:rPr>
          <w:rFonts w:hint="eastAsia" w:ascii="宋体" w:hAnsi="宋体"/>
          <w:b/>
          <w:bCs/>
          <w:szCs w:val="21"/>
        </w:rPr>
        <w:t>第十七条  风险责任</w:t>
      </w:r>
    </w:p>
    <w:p w14:paraId="6B32086B">
      <w:pPr>
        <w:ind w:firstLine="420" w:firstLineChars="200"/>
        <w:rPr>
          <w:rFonts w:hint="eastAsia" w:ascii="宋体" w:hAnsi="宋体"/>
          <w:szCs w:val="21"/>
        </w:rPr>
      </w:pPr>
      <w:r>
        <w:rPr>
          <w:rFonts w:hint="eastAsia" w:ascii="宋体" w:hAnsi="宋体"/>
          <w:szCs w:val="21"/>
        </w:rPr>
        <w:t>１、乙方应完全地按照招标文件的要求和乙方投标文件的承诺完成本项目，出于自身财务、技术、人力等原因导致项目失败的，应承担全部责任。</w:t>
      </w:r>
    </w:p>
    <w:p w14:paraId="44742DBC">
      <w:pPr>
        <w:ind w:firstLine="420" w:firstLineChars="200"/>
        <w:rPr>
          <w:rFonts w:hint="eastAsia" w:ascii="宋体" w:hAnsi="宋体"/>
          <w:szCs w:val="21"/>
        </w:rPr>
      </w:pPr>
      <w:r>
        <w:rPr>
          <w:rFonts w:hint="eastAsia" w:ascii="宋体" w:hAnsi="宋体"/>
          <w:szCs w:val="21"/>
        </w:rPr>
        <w:t>2、乙方在实施荷载试验过程中应对自身的安全生产负责，若非因甲方原因发生的各种事故甲方不承担任何责任。</w:t>
      </w:r>
    </w:p>
    <w:p w14:paraId="0C1402FC">
      <w:pPr>
        <w:ind w:firstLine="422" w:firstLineChars="200"/>
        <w:rPr>
          <w:rFonts w:hint="eastAsia" w:ascii="宋体" w:hAnsi="宋体"/>
          <w:b/>
          <w:bCs/>
          <w:szCs w:val="21"/>
        </w:rPr>
      </w:pPr>
      <w:r>
        <w:rPr>
          <w:rFonts w:hint="eastAsia" w:ascii="宋体" w:hAnsi="宋体"/>
          <w:b/>
          <w:bCs/>
          <w:szCs w:val="21"/>
        </w:rPr>
        <w:t>第十八条  违约责任</w:t>
      </w:r>
    </w:p>
    <w:p w14:paraId="22E0A5E1">
      <w:pPr>
        <w:pStyle w:val="19"/>
        <w:spacing w:line="240" w:lineRule="auto"/>
        <w:rPr>
          <w:rFonts w:hint="eastAsia" w:ascii="宋体" w:hAnsi="宋体"/>
          <w:szCs w:val="21"/>
        </w:rPr>
      </w:pPr>
      <w:r>
        <w:rPr>
          <w:rFonts w:hint="eastAsia" w:ascii="宋体" w:hAnsi="宋体"/>
          <w:szCs w:val="21"/>
        </w:rPr>
        <w:t>１、因乙方原因，未能按规定时间完成有关工作的，每延误一天，甲方可在支付合同余款中扣除合同价款千分之一。</w:t>
      </w:r>
    </w:p>
    <w:p w14:paraId="298239F7">
      <w:pPr>
        <w:ind w:firstLine="420" w:firstLineChars="200"/>
        <w:rPr>
          <w:rFonts w:hint="eastAsia" w:ascii="宋体" w:hAnsi="宋体"/>
          <w:szCs w:val="21"/>
        </w:rPr>
      </w:pPr>
      <w:r>
        <w:rPr>
          <w:rFonts w:hint="eastAsia" w:ascii="宋体" w:hAnsi="宋体"/>
          <w:szCs w:val="21"/>
        </w:rPr>
        <w:t>2、由于乙方原因造成试验成果质量低劣，不能满足大纲要求时，应继续完善试验工作，其费用由乙方承担。</w:t>
      </w:r>
    </w:p>
    <w:p w14:paraId="71B81A4C">
      <w:pPr>
        <w:ind w:firstLine="420" w:firstLineChars="200"/>
        <w:rPr>
          <w:rFonts w:hint="eastAsia" w:ascii="宋体" w:hAnsi="宋体"/>
          <w:szCs w:val="21"/>
        </w:rPr>
      </w:pPr>
      <w:r>
        <w:rPr>
          <w:rFonts w:hint="eastAsia" w:ascii="宋体" w:hAnsi="宋体"/>
          <w:szCs w:val="21"/>
        </w:rPr>
        <w:t>3、乙方交付的成果经验收不合格，应于7日内无条件修改，费用由乙方自行承担，在甲方要求整改后再次验收不合格的，甲方有权解除合同、要求乙方返还甲方已支付的合同款项，并有权要求乙方按合同总额   %支付违约金。。</w:t>
      </w:r>
    </w:p>
    <w:p w14:paraId="4EFE48AF">
      <w:pPr>
        <w:ind w:firstLine="420" w:firstLineChars="200"/>
        <w:rPr>
          <w:rFonts w:hint="eastAsia" w:ascii="宋体" w:hAnsi="宋体"/>
          <w:szCs w:val="21"/>
        </w:rPr>
      </w:pPr>
      <w:r>
        <w:rPr>
          <w:rFonts w:hint="eastAsia" w:ascii="宋体" w:hAnsi="宋体"/>
          <w:szCs w:val="21"/>
        </w:rPr>
        <w:t>4、若甲方发现乙方派出的试验服务人员或提供的试验仪器设备不符合合同要求，乙方应在3天之内按要求派出人员或提供满足投标文件承诺的仪器设备，否则甲方有权终止合同，并保留追究乙方责任及要求赔偿损失的权利。</w:t>
      </w:r>
    </w:p>
    <w:p w14:paraId="1BDA3EAE">
      <w:pPr>
        <w:ind w:firstLine="420" w:firstLineChars="200"/>
        <w:rPr>
          <w:rFonts w:hint="eastAsia" w:ascii="宋体" w:hAnsi="宋体"/>
          <w:szCs w:val="21"/>
        </w:rPr>
      </w:pPr>
      <w:r>
        <w:rPr>
          <w:rFonts w:hint="eastAsia" w:ascii="宋体" w:hAnsi="宋体"/>
          <w:szCs w:val="21"/>
        </w:rPr>
        <w:t>5、乙方或其工作人员违反本合同约定的保密义务，甲方有权要求乙方按合同总额   %支付违约金；造成不良影响或对甲方造成损失的，甲方有权要求乙方消除影响，承担赔偿责任，并有权解除合同。</w:t>
      </w:r>
    </w:p>
    <w:p w14:paraId="5A320463">
      <w:pPr>
        <w:ind w:firstLine="420" w:firstLineChars="200"/>
        <w:rPr>
          <w:rFonts w:hint="eastAsia" w:ascii="宋体" w:hAnsi="宋体"/>
          <w:szCs w:val="21"/>
        </w:rPr>
      </w:pPr>
      <w:r>
        <w:rPr>
          <w:rFonts w:hint="eastAsia" w:ascii="宋体" w:hAnsi="宋体"/>
          <w:szCs w:val="21"/>
        </w:rPr>
        <w:t>6、因乙方提供的服务成果受到侵权指控或者引发法律纠纷，影响甲方使用服务成果或者导致合同目的不能实现的，甲方有权要求乙方按合同总额   %支付违约金，并有权解除合同。</w:t>
      </w:r>
    </w:p>
    <w:p w14:paraId="121406CD">
      <w:pPr>
        <w:ind w:firstLine="422" w:firstLineChars="200"/>
        <w:rPr>
          <w:rFonts w:hint="eastAsia" w:ascii="宋体" w:hAnsi="宋体"/>
          <w:b/>
          <w:bCs/>
          <w:szCs w:val="21"/>
        </w:rPr>
      </w:pPr>
      <w:r>
        <w:rPr>
          <w:rFonts w:hint="eastAsia" w:ascii="宋体" w:hAnsi="宋体"/>
          <w:b/>
          <w:bCs/>
          <w:szCs w:val="21"/>
        </w:rPr>
        <w:t>第十九条  其他</w:t>
      </w:r>
    </w:p>
    <w:p w14:paraId="47858B94">
      <w:pPr>
        <w:ind w:firstLine="420" w:firstLineChars="200"/>
        <w:rPr>
          <w:rFonts w:hint="eastAsia" w:ascii="宋体" w:hAnsi="宋体"/>
          <w:szCs w:val="21"/>
        </w:rPr>
      </w:pPr>
      <w:r>
        <w:rPr>
          <w:rFonts w:hint="eastAsia" w:ascii="宋体" w:hAnsi="宋体"/>
          <w:szCs w:val="21"/>
        </w:rPr>
        <w:t>1、本协议书与下列文件一起构成合同文件，如下述文件之间有任何抵触、矛盾或歧义，应按以下顺序解释：</w:t>
      </w:r>
    </w:p>
    <w:p w14:paraId="67D757EB">
      <w:pPr>
        <w:ind w:firstLine="420" w:firstLineChars="200"/>
        <w:rPr>
          <w:rFonts w:hint="eastAsia" w:ascii="宋体" w:hAnsi="宋体"/>
          <w:szCs w:val="21"/>
        </w:rPr>
      </w:pPr>
      <w:r>
        <w:rPr>
          <w:rFonts w:hint="eastAsia" w:ascii="宋体" w:hAnsi="宋体"/>
          <w:szCs w:val="21"/>
        </w:rPr>
        <w:t>（1）合同协议书及其变更、补充协议</w:t>
      </w:r>
    </w:p>
    <w:p w14:paraId="05544254">
      <w:pPr>
        <w:ind w:firstLine="420" w:firstLineChars="200"/>
        <w:rPr>
          <w:rFonts w:hint="eastAsia" w:ascii="宋体" w:hAnsi="宋体"/>
          <w:szCs w:val="21"/>
        </w:rPr>
      </w:pPr>
      <w:r>
        <w:rPr>
          <w:rFonts w:hint="eastAsia" w:ascii="宋体" w:hAnsi="宋体"/>
          <w:szCs w:val="21"/>
        </w:rPr>
        <w:t>（2）合同专用条款</w:t>
      </w:r>
    </w:p>
    <w:p w14:paraId="40BADB6B">
      <w:pPr>
        <w:ind w:firstLine="420" w:firstLineChars="200"/>
        <w:rPr>
          <w:rFonts w:hint="eastAsia" w:ascii="宋体" w:hAnsi="宋体"/>
          <w:szCs w:val="21"/>
        </w:rPr>
      </w:pPr>
      <w:r>
        <w:rPr>
          <w:rFonts w:hint="eastAsia" w:ascii="宋体" w:hAnsi="宋体"/>
          <w:szCs w:val="21"/>
        </w:rPr>
        <w:t>（3）合同通用条款</w:t>
      </w:r>
    </w:p>
    <w:p w14:paraId="71BE06BF">
      <w:pPr>
        <w:ind w:firstLine="420" w:firstLineChars="200"/>
        <w:rPr>
          <w:rFonts w:hint="eastAsia" w:ascii="宋体" w:hAnsi="宋体"/>
          <w:szCs w:val="21"/>
        </w:rPr>
      </w:pPr>
      <w:r>
        <w:rPr>
          <w:rFonts w:hint="eastAsia" w:ascii="宋体" w:hAnsi="宋体"/>
          <w:szCs w:val="21"/>
        </w:rPr>
        <w:t>（4）中标（成交）通知书</w:t>
      </w:r>
    </w:p>
    <w:p w14:paraId="042156FD">
      <w:pPr>
        <w:ind w:firstLine="420" w:firstLineChars="200"/>
        <w:rPr>
          <w:rFonts w:hint="eastAsia" w:ascii="宋体" w:hAnsi="宋体"/>
          <w:szCs w:val="21"/>
        </w:rPr>
      </w:pPr>
      <w:r>
        <w:rPr>
          <w:rFonts w:hint="eastAsia" w:ascii="宋体" w:hAnsi="宋体"/>
          <w:szCs w:val="21"/>
        </w:rPr>
        <w:t>（5）投标（响应）文件</w:t>
      </w:r>
    </w:p>
    <w:p w14:paraId="17127881">
      <w:pPr>
        <w:ind w:firstLine="420" w:firstLineChars="200"/>
        <w:rPr>
          <w:rFonts w:hint="eastAsia" w:ascii="宋体" w:hAnsi="宋体"/>
          <w:szCs w:val="21"/>
        </w:rPr>
      </w:pPr>
      <w:r>
        <w:rPr>
          <w:rFonts w:hint="eastAsia" w:ascii="宋体" w:hAnsi="宋体"/>
          <w:szCs w:val="21"/>
        </w:rPr>
        <w:t>（6）采购文件</w:t>
      </w:r>
    </w:p>
    <w:p w14:paraId="2DA41C7D">
      <w:pPr>
        <w:ind w:firstLine="420" w:firstLineChars="200"/>
        <w:rPr>
          <w:rFonts w:hint="eastAsia" w:ascii="宋体" w:hAnsi="宋体"/>
          <w:szCs w:val="21"/>
        </w:rPr>
      </w:pPr>
      <w:r>
        <w:rPr>
          <w:rFonts w:hint="eastAsia" w:ascii="宋体" w:hAnsi="宋体"/>
          <w:szCs w:val="21"/>
        </w:rPr>
        <w:t>（7）有关技术文件，图纸</w:t>
      </w:r>
    </w:p>
    <w:p w14:paraId="6A169D6C">
      <w:pPr>
        <w:ind w:firstLine="420" w:firstLineChars="200"/>
        <w:rPr>
          <w:rFonts w:hint="eastAsia" w:ascii="宋体" w:hAnsi="宋体"/>
          <w:szCs w:val="21"/>
        </w:rPr>
      </w:pPr>
      <w:r>
        <w:rPr>
          <w:rFonts w:hint="eastAsia" w:ascii="宋体" w:hAnsi="宋体"/>
          <w:szCs w:val="21"/>
        </w:rPr>
        <w:t>（8）国家法律、行政法规和规章制度规定或合同约定的作为合同组成部分的其他文件。</w:t>
      </w:r>
    </w:p>
    <w:p w14:paraId="1FE0CE64">
      <w:pPr>
        <w:ind w:firstLine="420" w:firstLineChars="200"/>
        <w:rPr>
          <w:rFonts w:hint="eastAsia" w:ascii="宋体" w:hAnsi="宋体"/>
          <w:szCs w:val="21"/>
        </w:rPr>
      </w:pPr>
      <w:r>
        <w:rPr>
          <w:rFonts w:hint="eastAsia" w:ascii="宋体" w:hAnsi="宋体"/>
          <w:szCs w:val="21"/>
        </w:rPr>
        <w:t>2、下列文件均为本合同的组成部分：</w:t>
      </w:r>
    </w:p>
    <w:p w14:paraId="58FC7FB7">
      <w:pPr>
        <w:ind w:firstLine="420" w:firstLineChars="200"/>
        <w:rPr>
          <w:rFonts w:hint="eastAsia" w:ascii="宋体" w:hAnsi="宋体"/>
          <w:szCs w:val="21"/>
        </w:rPr>
      </w:pPr>
      <w:r>
        <w:rPr>
          <w:rFonts w:hint="eastAsia" w:ascii="宋体" w:hAnsi="宋体"/>
          <w:szCs w:val="21"/>
        </w:rPr>
        <w:t>（1）招标文件、答疑及补充通知；</w:t>
      </w:r>
    </w:p>
    <w:p w14:paraId="5A864BD3">
      <w:pPr>
        <w:ind w:firstLine="420" w:firstLineChars="200"/>
        <w:rPr>
          <w:rFonts w:hint="eastAsia" w:ascii="宋体" w:hAnsi="宋体"/>
          <w:szCs w:val="21"/>
        </w:rPr>
      </w:pPr>
      <w:r>
        <w:rPr>
          <w:rFonts w:hint="eastAsia" w:ascii="宋体" w:hAnsi="宋体"/>
          <w:szCs w:val="21"/>
        </w:rPr>
        <w:t>（2）投标文件；</w:t>
      </w:r>
    </w:p>
    <w:p w14:paraId="0E43982C">
      <w:pPr>
        <w:ind w:firstLine="420" w:firstLineChars="200"/>
        <w:rPr>
          <w:rFonts w:hint="eastAsia" w:ascii="宋体" w:hAnsi="宋体"/>
          <w:szCs w:val="21"/>
        </w:rPr>
      </w:pPr>
      <w:r>
        <w:rPr>
          <w:rFonts w:hint="eastAsia" w:ascii="宋体" w:hAnsi="宋体"/>
          <w:szCs w:val="21"/>
        </w:rPr>
        <w:t>（3）本合同执行中共同签署的补充与修正文件。</w:t>
      </w:r>
    </w:p>
    <w:p w14:paraId="7E517D61">
      <w:pPr>
        <w:ind w:firstLine="420" w:firstLineChars="200"/>
        <w:rPr>
          <w:rFonts w:hint="eastAsia" w:ascii="宋体" w:hAnsi="宋体"/>
          <w:szCs w:val="21"/>
        </w:rPr>
      </w:pPr>
      <w:r>
        <w:rPr>
          <w:rFonts w:hint="eastAsia" w:ascii="宋体" w:hAnsi="宋体"/>
          <w:szCs w:val="21"/>
        </w:rPr>
        <w:t>本合同一式份，甲、乙方双方各执份，具有同等法律效力。本合同自双方法人代表签字（盖章）认可之日起生效。</w:t>
      </w:r>
    </w:p>
    <w:p w14:paraId="1F5E4CD8">
      <w:pPr>
        <w:ind w:firstLine="420" w:firstLineChars="200"/>
        <w:rPr>
          <w:rFonts w:hint="eastAsia" w:ascii="宋体" w:hAnsi="宋体"/>
          <w:szCs w:val="21"/>
        </w:rPr>
      </w:pPr>
      <w:r>
        <w:rPr>
          <w:rFonts w:hint="eastAsia" w:ascii="宋体" w:hAnsi="宋体"/>
          <w:szCs w:val="21"/>
        </w:rPr>
        <w:t>本合同未尽事宜，双方友好协商，达成解决方案，经双方签字后，可作为本合同的有效附件。</w:t>
      </w:r>
    </w:p>
    <w:p w14:paraId="1642A96C">
      <w:pPr>
        <w:ind w:firstLine="420" w:firstLineChars="200"/>
        <w:rPr>
          <w:rFonts w:hint="eastAsia" w:ascii="宋体" w:hAnsi="宋体"/>
          <w:szCs w:val="21"/>
        </w:rPr>
      </w:pPr>
    </w:p>
    <w:p w14:paraId="689853B1">
      <w:pPr>
        <w:ind w:firstLine="420" w:firstLineChars="200"/>
        <w:rPr>
          <w:rFonts w:hint="eastAsia" w:ascii="宋体" w:hAnsi="宋体"/>
          <w:szCs w:val="21"/>
        </w:rPr>
      </w:pPr>
    </w:p>
    <w:p w14:paraId="72F73760">
      <w:pPr>
        <w:spacing w:line="360" w:lineRule="auto"/>
        <w:ind w:firstLine="560"/>
        <w:jc w:val="left"/>
        <w:rPr>
          <w:rFonts w:hint="eastAsia" w:ascii="宋体" w:hAnsi="宋体"/>
          <w:szCs w:val="21"/>
        </w:rPr>
      </w:pPr>
      <w:r>
        <w:rPr>
          <w:rFonts w:hint="eastAsia" w:ascii="宋体" w:hAnsi="宋体"/>
          <w:szCs w:val="21"/>
        </w:rPr>
        <w:t>甲方（采购人）：   （盖章）       乙方（供应商）：    （盖章）</w:t>
      </w:r>
    </w:p>
    <w:p w14:paraId="428C23F5">
      <w:pPr>
        <w:spacing w:line="360" w:lineRule="auto"/>
        <w:ind w:firstLine="560"/>
        <w:jc w:val="left"/>
        <w:rPr>
          <w:rFonts w:hint="eastAsia" w:ascii="宋体" w:hAnsi="宋体"/>
          <w:szCs w:val="21"/>
        </w:rPr>
      </w:pPr>
      <w:r>
        <w:rPr>
          <w:rFonts w:hint="eastAsia" w:ascii="宋体" w:hAnsi="宋体"/>
          <w:szCs w:val="21"/>
        </w:rPr>
        <w:t xml:space="preserve">法定代表人：                     法定代表人： </w:t>
      </w:r>
    </w:p>
    <w:p w14:paraId="107D76ED">
      <w:pPr>
        <w:spacing w:line="360" w:lineRule="auto"/>
        <w:ind w:firstLine="560"/>
        <w:jc w:val="left"/>
        <w:rPr>
          <w:rFonts w:hint="eastAsia" w:ascii="宋体" w:hAnsi="宋体"/>
          <w:szCs w:val="21"/>
        </w:rPr>
      </w:pPr>
      <w:r>
        <w:rPr>
          <w:rFonts w:hint="eastAsia" w:ascii="宋体" w:hAnsi="宋体"/>
          <w:szCs w:val="21"/>
        </w:rPr>
        <w:t>委托代理人：                     委托代理人：</w:t>
      </w:r>
    </w:p>
    <w:p w14:paraId="5A8DD7B5">
      <w:pPr>
        <w:ind w:firstLine="420" w:firstLineChars="200"/>
        <w:rPr>
          <w:rFonts w:hint="eastAsia" w:ascii="宋体" w:hAnsi="宋体"/>
          <w:szCs w:val="21"/>
        </w:rPr>
      </w:pPr>
      <w:r>
        <w:rPr>
          <w:rFonts w:hint="eastAsia" w:ascii="宋体" w:hAnsi="宋体"/>
          <w:szCs w:val="21"/>
        </w:rPr>
        <w:t>日期：   年     月    日         日期：   年     月    日</w:t>
      </w:r>
    </w:p>
    <w:p w14:paraId="01A1911E">
      <w:pPr>
        <w:widowControl/>
        <w:jc w:val="left"/>
        <w:rPr>
          <w:rFonts w:hint="eastAsia" w:ascii="宋体" w:hAnsi="宋体"/>
          <w:szCs w:val="21"/>
        </w:rPr>
      </w:pPr>
      <w:r>
        <w:rPr>
          <w:rFonts w:ascii="宋体" w:hAnsi="宋体"/>
          <w:szCs w:val="21"/>
        </w:rPr>
        <w:br w:type="page"/>
      </w:r>
    </w:p>
    <w:p w14:paraId="00266395">
      <w:pPr>
        <w:pStyle w:val="3"/>
        <w:spacing w:before="120" w:beforeLines="50" w:after="120" w:afterLines="50"/>
        <w:ind w:left="562"/>
        <w:rPr>
          <w:rFonts w:hint="eastAsia"/>
          <w:sz w:val="28"/>
          <w:szCs w:val="28"/>
        </w:rPr>
      </w:pPr>
      <w:r>
        <w:rPr>
          <w:rFonts w:hint="eastAsia"/>
          <w:sz w:val="28"/>
          <w:szCs w:val="28"/>
        </w:rPr>
        <w:t>第二册  通用条款（公开招标）</w:t>
      </w:r>
    </w:p>
    <w:p w14:paraId="6F24FA3B">
      <w:pPr>
        <w:pStyle w:val="79"/>
        <w:keepNext/>
        <w:keepLines/>
        <w:numPr>
          <w:ilvl w:val="0"/>
          <w:numId w:val="11"/>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rPr>
      </w:pPr>
      <w:bookmarkStart w:id="46" w:name="_Hlk72399513"/>
      <w:bookmarkStart w:id="47" w:name="_Hlk72439706"/>
      <w:r>
        <w:rPr>
          <w:rFonts w:hint="eastAsia" w:ascii="Cambria" w:hAnsi="Cambria" w:cs="宋体"/>
          <w:b/>
          <w:bCs/>
          <w:sz w:val="28"/>
          <w:szCs w:val="28"/>
        </w:rPr>
        <w:t>总则</w:t>
      </w:r>
    </w:p>
    <w:bookmarkEnd w:id="46"/>
    <w:p w14:paraId="45CEEC0E">
      <w:pPr>
        <w:ind w:firstLine="420" w:firstLineChars="200"/>
        <w:rPr>
          <w:rFonts w:hint="eastAsia" w:ascii="黑体" w:hAnsi="宋体" w:eastAsia="黑体"/>
          <w:szCs w:val="21"/>
        </w:rPr>
      </w:pPr>
      <w:r>
        <w:rPr>
          <w:rFonts w:hint="eastAsia" w:ascii="黑体" w:hAnsi="宋体" w:eastAsia="黑体"/>
          <w:szCs w:val="21"/>
        </w:rPr>
        <w:t>1. 通用条款说明</w:t>
      </w:r>
    </w:p>
    <w:p w14:paraId="03C4970A">
      <w:pPr>
        <w:ind w:firstLine="420" w:firstLineChars="200"/>
        <w:rPr>
          <w:rFonts w:hint="eastAsia" w:ascii="宋体" w:hAnsi="宋体"/>
          <w:szCs w:val="21"/>
        </w:rPr>
      </w:pPr>
      <w:r>
        <w:rPr>
          <w:rFonts w:hint="eastAsia" w:ascii="宋体" w:hAnsi="宋体"/>
          <w:szCs w:val="21"/>
        </w:rPr>
        <w:t>1.1采购代理机构发出招标文件通用条款版本，列出深圳市自行采购项目进行招标采购所适用的通用条款内容。</w:t>
      </w:r>
      <w:bookmarkStart w:id="48" w:name="_Hlk72399729"/>
      <w:r>
        <w:rPr>
          <w:rFonts w:hint="eastAsia" w:ascii="宋体" w:hAnsi="宋体"/>
          <w:szCs w:val="21"/>
        </w:rPr>
        <w:t>如有需要，采购代理机构可以对通用条款的内容进行补充。</w:t>
      </w:r>
      <w:bookmarkEnd w:id="48"/>
    </w:p>
    <w:p w14:paraId="4D18BBCF">
      <w:pPr>
        <w:ind w:firstLine="420" w:firstLineChars="200"/>
        <w:rPr>
          <w:rFonts w:hint="eastAsia" w:ascii="宋体" w:hAnsi="宋体"/>
          <w:szCs w:val="21"/>
        </w:rPr>
      </w:pPr>
      <w:r>
        <w:rPr>
          <w:rFonts w:hint="eastAsia" w:ascii="宋体" w:hAnsi="宋体"/>
          <w:szCs w:val="21"/>
        </w:rPr>
        <w:t>1.2招标文件分为第一册“专用条款”和第二册“通用条款”。</w:t>
      </w:r>
    </w:p>
    <w:p w14:paraId="7B205A52">
      <w:pPr>
        <w:ind w:firstLine="420" w:firstLineChars="200"/>
        <w:rPr>
          <w:rFonts w:hint="eastAsia" w:ascii="宋体" w:hAnsi="宋体"/>
          <w:szCs w:val="21"/>
        </w:rPr>
      </w:pPr>
      <w:r>
        <w:rPr>
          <w:rFonts w:hint="eastAsia" w:ascii="宋体" w:hAnsi="宋体"/>
          <w:szCs w:val="21"/>
        </w:rPr>
        <w:t>1.3“专用条款”是对本次采购项目的具体要求，包含招标公告、对通用条款的补充内容及其他关键信息、用户需求书、投标文件格式及附件、合同条款及格式等内容。</w:t>
      </w:r>
    </w:p>
    <w:p w14:paraId="05A6ABBA">
      <w:pPr>
        <w:ind w:firstLine="420" w:firstLineChars="200"/>
        <w:rPr>
          <w:rFonts w:hint="eastAsia" w:ascii="宋体" w:hAnsi="宋体"/>
          <w:szCs w:val="21"/>
        </w:rPr>
      </w:pPr>
      <w:r>
        <w:rPr>
          <w:rFonts w:hint="eastAsia" w:ascii="宋体" w:hAnsi="宋体"/>
          <w:szCs w:val="21"/>
        </w:rPr>
        <w:t>1.4“通用条款”是适用于自行采购公开招标项目的基础性条款，具有普遍性和通用性。</w:t>
      </w:r>
    </w:p>
    <w:p w14:paraId="7849DD2A">
      <w:pPr>
        <w:ind w:firstLine="420" w:firstLineChars="200"/>
        <w:rPr>
          <w:rFonts w:hint="eastAsia" w:ascii="宋体" w:hAnsi="宋体"/>
          <w:szCs w:val="21"/>
        </w:rPr>
      </w:pPr>
      <w:r>
        <w:rPr>
          <w:rFonts w:hint="eastAsia" w:ascii="宋体" w:hAnsi="宋体"/>
          <w:szCs w:val="21"/>
        </w:rPr>
        <w:t>1.5 “专用条款”和“通用条款”表述不一致或有冲突时，以“专用条款”为准。</w:t>
      </w:r>
    </w:p>
    <w:p w14:paraId="73294E1D">
      <w:pPr>
        <w:ind w:firstLine="420" w:firstLineChars="200"/>
        <w:rPr>
          <w:rFonts w:hint="eastAsia" w:ascii="黑体" w:hAnsi="宋体" w:eastAsia="黑体"/>
          <w:szCs w:val="21"/>
        </w:rPr>
      </w:pPr>
      <w:r>
        <w:rPr>
          <w:rFonts w:hint="eastAsia" w:ascii="黑体" w:hAnsi="宋体" w:eastAsia="黑体"/>
          <w:szCs w:val="21"/>
        </w:rPr>
        <w:t>2．招标说明</w:t>
      </w:r>
    </w:p>
    <w:p w14:paraId="50AD94D4">
      <w:pPr>
        <w:ind w:firstLine="422" w:firstLineChars="200"/>
        <w:rPr>
          <w:rFonts w:hint="eastAsia" w:ascii="宋体" w:hAnsi="宋体"/>
          <w:b/>
          <w:bCs/>
          <w:color w:val="FF0000"/>
          <w:szCs w:val="21"/>
        </w:rPr>
      </w:pPr>
      <w:r>
        <w:rPr>
          <w:rFonts w:hint="eastAsia" w:ascii="宋体" w:hAnsi="宋体"/>
          <w:b/>
          <w:bCs/>
          <w:color w:val="FF0000"/>
          <w:szCs w:val="21"/>
        </w:rPr>
        <w:t>本项目为自行采购项目，参照《深圳经济特区政府采购条例》、《深圳经济特区政府采购条例实施细则》及政府采购其他法律法规，通过公开招标方式确定中标供应商。</w:t>
      </w:r>
    </w:p>
    <w:p w14:paraId="09821FF2">
      <w:pPr>
        <w:ind w:firstLine="420" w:firstLineChars="200"/>
        <w:rPr>
          <w:rFonts w:hint="eastAsia" w:ascii="黑体" w:hAnsi="宋体" w:eastAsia="黑体"/>
          <w:szCs w:val="21"/>
        </w:rPr>
      </w:pPr>
      <w:r>
        <w:rPr>
          <w:rFonts w:hint="eastAsia" w:ascii="黑体" w:hAnsi="宋体" w:eastAsia="黑体"/>
          <w:szCs w:val="21"/>
        </w:rPr>
        <w:t>3．定义</w:t>
      </w:r>
    </w:p>
    <w:p w14:paraId="422D139A">
      <w:pPr>
        <w:ind w:firstLine="420" w:firstLineChars="200"/>
        <w:rPr>
          <w:rFonts w:hint="eastAsia" w:ascii="宋体" w:hAnsi="宋体"/>
          <w:szCs w:val="21"/>
        </w:rPr>
      </w:pPr>
      <w:r>
        <w:rPr>
          <w:rFonts w:hint="eastAsia" w:ascii="宋体" w:hAnsi="宋体"/>
          <w:szCs w:val="21"/>
        </w:rPr>
        <w:t>招标文件中下列术语应解释为：</w:t>
      </w:r>
    </w:p>
    <w:p w14:paraId="1287F3C7">
      <w:pPr>
        <w:ind w:firstLine="420" w:firstLineChars="200"/>
        <w:rPr>
          <w:rFonts w:hint="eastAsia" w:ascii="宋体" w:hAnsi="宋体"/>
          <w:szCs w:val="21"/>
        </w:rPr>
      </w:pPr>
      <w:r>
        <w:rPr>
          <w:rFonts w:hint="eastAsia" w:ascii="宋体" w:hAnsi="宋体"/>
          <w:szCs w:val="21"/>
        </w:rPr>
        <w:t>3.1“采购人”：指依法进行</w:t>
      </w:r>
      <w:r>
        <w:rPr>
          <w:rFonts w:hint="eastAsia" w:ascii="宋体" w:hAnsi="宋体"/>
          <w:b/>
          <w:bCs/>
          <w:color w:val="FF0000"/>
          <w:szCs w:val="21"/>
        </w:rPr>
        <w:t>自行采购</w:t>
      </w:r>
      <w:r>
        <w:rPr>
          <w:rFonts w:hint="eastAsia" w:ascii="宋体" w:hAnsi="宋体"/>
          <w:szCs w:val="21"/>
        </w:rPr>
        <w:t xml:space="preserve">的国家机关、事业单位、团体组织； </w:t>
      </w:r>
    </w:p>
    <w:p w14:paraId="569381D4">
      <w:pPr>
        <w:ind w:firstLine="420" w:firstLineChars="200"/>
        <w:rPr>
          <w:rFonts w:hint="eastAsia" w:ascii="宋体" w:hAnsi="宋体"/>
          <w:szCs w:val="21"/>
        </w:rPr>
      </w:pPr>
      <w:r>
        <w:rPr>
          <w:rFonts w:hint="eastAsia" w:ascii="宋体" w:hAnsi="宋体"/>
          <w:szCs w:val="21"/>
        </w:rPr>
        <w:t>3.2 “政府集中采购机构”</w:t>
      </w:r>
      <w:r>
        <w:rPr>
          <w:rFonts w:hint="eastAsia" w:ascii="Arial" w:hAnsi="Arial" w:cs="Arial"/>
          <w:szCs w:val="21"/>
          <w:shd w:val="clear" w:color="auto" w:fill="FFFFFF"/>
        </w:rPr>
        <w:t>是指市政府设立的，组织实施采购项目，并对采购活动提供服务的专门机构；</w:t>
      </w:r>
      <w:r>
        <w:rPr>
          <w:rFonts w:hint="eastAsia" w:ascii="宋体" w:hAnsi="宋体"/>
          <w:szCs w:val="21"/>
        </w:rPr>
        <w:t>本文件所述的“采购代理机构”指</w:t>
      </w:r>
      <w:r>
        <w:rPr>
          <w:rFonts w:hint="eastAsia" w:ascii="宋体" w:hAnsi="宋体"/>
          <w:b/>
          <w:bCs/>
          <w:szCs w:val="21"/>
        </w:rPr>
        <w:t>深圳公共资源交易中心（</w:t>
      </w:r>
      <w:r>
        <w:rPr>
          <w:rFonts w:hint="eastAsia" w:asciiTheme="minorEastAsia" w:hAnsiTheme="minorEastAsia" w:eastAsiaTheme="minorEastAsia"/>
          <w:b/>
          <w:bCs/>
        </w:rPr>
        <w:t>深圳交易集团有限公司政府采购业务分公司）</w:t>
      </w:r>
      <w:r>
        <w:rPr>
          <w:rFonts w:hint="eastAsia" w:ascii="宋体" w:hAnsi="宋体"/>
          <w:szCs w:val="21"/>
        </w:rPr>
        <w:t>；</w:t>
      </w:r>
    </w:p>
    <w:p w14:paraId="5F8EB8C9">
      <w:pPr>
        <w:ind w:firstLine="420" w:firstLineChars="200"/>
        <w:rPr>
          <w:rFonts w:hint="eastAsia" w:ascii="宋体" w:hAnsi="宋体"/>
          <w:szCs w:val="21"/>
        </w:rPr>
      </w:pPr>
      <w:r>
        <w:rPr>
          <w:rFonts w:hint="eastAsia" w:ascii="宋体" w:hAnsi="宋体"/>
          <w:szCs w:val="21"/>
        </w:rPr>
        <w:t>3.3“投标人”，即供应商，指参加投标竞争并愿意按照招标文件要求向采购人提供货物、工程或者服务的依法成立的法人、其他组织或者自然人；</w:t>
      </w:r>
    </w:p>
    <w:p w14:paraId="451AD9D1">
      <w:pPr>
        <w:ind w:firstLine="420" w:firstLineChars="200"/>
        <w:rPr>
          <w:rFonts w:hint="eastAsia" w:ascii="宋体" w:hAnsi="宋体"/>
          <w:szCs w:val="21"/>
        </w:rPr>
      </w:pPr>
      <w:r>
        <w:rPr>
          <w:rFonts w:hint="eastAsia" w:ascii="宋体" w:hAnsi="宋体"/>
          <w:szCs w:val="21"/>
        </w:rPr>
        <w:t>3.4“评审委员会”是依据《深圳经济特区政府采购条例》、《深圳经济特区政府采购条例实施细则》等有关规定组建的专门负责本次招标其评审工作的临时性机构；</w:t>
      </w:r>
    </w:p>
    <w:p w14:paraId="0A8109F0">
      <w:pPr>
        <w:ind w:firstLine="420" w:firstLineChars="200"/>
        <w:rPr>
          <w:rFonts w:hint="eastAsia" w:ascii="宋体" w:hAnsi="宋体"/>
          <w:szCs w:val="21"/>
        </w:rPr>
      </w:pPr>
      <w:r>
        <w:rPr>
          <w:rFonts w:hint="eastAsia" w:ascii="宋体" w:hAnsi="宋体"/>
          <w:szCs w:val="21"/>
        </w:rPr>
        <w:t>3.5“日期”指公历日；</w:t>
      </w:r>
    </w:p>
    <w:p w14:paraId="5ED54F2C">
      <w:pPr>
        <w:ind w:firstLine="420" w:firstLineChars="200"/>
        <w:rPr>
          <w:rFonts w:hint="eastAsia" w:ascii="宋体" w:hAnsi="宋体"/>
          <w:szCs w:val="21"/>
        </w:rPr>
      </w:pPr>
      <w:r>
        <w:rPr>
          <w:rFonts w:hint="eastAsia" w:ascii="宋体" w:hAnsi="宋体"/>
          <w:szCs w:val="21"/>
        </w:rPr>
        <w:t>3.6“合同”指由本次招标所产生的合同或合约文件；</w:t>
      </w:r>
    </w:p>
    <w:p w14:paraId="64774CD2">
      <w:pPr>
        <w:ind w:firstLine="420" w:firstLineChars="200"/>
        <w:rPr>
          <w:rFonts w:hint="eastAsia" w:ascii="宋体" w:hAnsi="宋体"/>
          <w:szCs w:val="21"/>
        </w:rPr>
      </w:pPr>
      <w:r>
        <w:rPr>
          <w:rFonts w:hint="eastAsia" w:ascii="宋体" w:hAnsi="宋体"/>
          <w:szCs w:val="21"/>
        </w:rPr>
        <w:t>3.7“电子投标文件”指利用</w:t>
      </w:r>
      <w:r>
        <w:rPr>
          <w:rFonts w:hint="eastAsia" w:ascii="宋体" w:hAnsi="宋体"/>
          <w:b/>
          <w:bCs/>
          <w:szCs w:val="21"/>
        </w:rPr>
        <w:t>深圳公共资源交易中心（深圳交易集团有限公司政府采购业务分公司）</w:t>
      </w:r>
      <w:r>
        <w:rPr>
          <w:rFonts w:hint="eastAsia" w:ascii="宋体" w:hAnsi="宋体"/>
          <w:szCs w:val="21"/>
        </w:rPr>
        <w:t>网站提供的深圳市自行采购系统投标文件制作专用软件（以下简称：投标文件制作软件）制作的投标文件,适用于网上投标；（投标文件制作软件可从“下载地址：https://www.szggzy.com/jyfw/details.html?contentId=2053275深圳市自行采购系统投标文件编制工具”下载）</w:t>
      </w:r>
    </w:p>
    <w:p w14:paraId="76C22BC3">
      <w:pPr>
        <w:ind w:firstLine="420" w:firstLineChars="200"/>
        <w:rPr>
          <w:rFonts w:hint="eastAsia" w:ascii="宋体" w:hAnsi="宋体"/>
          <w:szCs w:val="21"/>
        </w:rPr>
      </w:pPr>
      <w:r>
        <w:rPr>
          <w:rFonts w:hint="eastAsia" w:ascii="宋体" w:hAnsi="宋体"/>
          <w:szCs w:val="21"/>
        </w:rPr>
        <w:t>3.8“网上投标”指通过</w:t>
      </w:r>
      <w:r>
        <w:rPr>
          <w:rFonts w:hint="eastAsia" w:ascii="宋体" w:hAnsi="宋体"/>
          <w:b/>
          <w:bCs/>
          <w:color w:val="FF0000"/>
          <w:szCs w:val="21"/>
        </w:rPr>
        <w:t>深圳市自行采购系统</w:t>
      </w:r>
      <w:r>
        <w:rPr>
          <w:rFonts w:hint="eastAsia" w:ascii="宋体" w:hAnsi="宋体"/>
          <w:szCs w:val="21"/>
        </w:rPr>
        <w:t>网站上传电子投标文件；</w:t>
      </w:r>
    </w:p>
    <w:p w14:paraId="76BA1990">
      <w:pPr>
        <w:ind w:firstLine="420" w:firstLineChars="200"/>
        <w:rPr>
          <w:rFonts w:hint="eastAsia" w:ascii="宋体" w:hAnsi="宋体"/>
          <w:szCs w:val="21"/>
        </w:rPr>
      </w:pPr>
      <w:r>
        <w:rPr>
          <w:rFonts w:hint="eastAsia" w:ascii="宋体" w:hAnsi="宋体"/>
          <w:szCs w:val="21"/>
        </w:rPr>
        <w:t>3.9招标文件中的标题或题名仅起引导作用，而不应视为对招标文件内容的理解和解释。</w:t>
      </w:r>
    </w:p>
    <w:p w14:paraId="50BEB882">
      <w:pPr>
        <w:ind w:firstLine="420" w:firstLineChars="200"/>
        <w:rPr>
          <w:rFonts w:hint="eastAsia" w:ascii="黑体" w:hAnsi="宋体" w:eastAsia="黑体"/>
          <w:szCs w:val="21"/>
        </w:rPr>
      </w:pPr>
      <w:r>
        <w:rPr>
          <w:rFonts w:hint="eastAsia" w:ascii="黑体" w:hAnsi="宋体" w:eastAsia="黑体"/>
          <w:szCs w:val="21"/>
        </w:rPr>
        <w:t xml:space="preserve">4. </w:t>
      </w:r>
      <w:bookmarkStart w:id="49" w:name="_Hlk72398643"/>
      <w:r>
        <w:rPr>
          <w:rFonts w:hint="eastAsia" w:ascii="黑体" w:hAnsi="宋体" w:eastAsia="黑体"/>
          <w:szCs w:val="21"/>
        </w:rPr>
        <w:t>自行采购供应商责任</w:t>
      </w:r>
    </w:p>
    <w:p w14:paraId="4FDA63DD">
      <w:pPr>
        <w:ind w:firstLine="420" w:firstLineChars="200"/>
        <w:rPr>
          <w:rFonts w:hint="eastAsia" w:ascii="宋体" w:hAnsi="宋体"/>
          <w:szCs w:val="21"/>
        </w:rPr>
      </w:pPr>
      <w:r>
        <w:rPr>
          <w:rFonts w:hint="eastAsia" w:ascii="宋体" w:hAnsi="宋体"/>
          <w:szCs w:val="21"/>
        </w:rPr>
        <w:t>4.1欢迎诚信、有实力和有社会责任心的供应商参与自行采购事业。</w:t>
      </w:r>
    </w:p>
    <w:p w14:paraId="105F7290">
      <w:pPr>
        <w:ind w:firstLine="420" w:firstLineChars="200"/>
        <w:rPr>
          <w:rFonts w:hint="eastAsia" w:ascii="宋体" w:hAnsi="宋体"/>
          <w:szCs w:val="21"/>
        </w:rPr>
      </w:pPr>
      <w:r>
        <w:rPr>
          <w:rFonts w:hint="eastAsia" w:ascii="宋体" w:hAnsi="宋体"/>
          <w:szCs w:val="21"/>
        </w:rPr>
        <w:t>4.2投标人应当遵循公平竞争的原则，不得恶意串通，不得妨碍其他投标人的竞争行为，不得损害采购人或者其他投标人的合法权益。如违反上述要求，经核实后，供应商的投标无效。</w:t>
      </w:r>
    </w:p>
    <w:p w14:paraId="1593A3BF">
      <w:pPr>
        <w:ind w:firstLine="420" w:firstLineChars="200"/>
        <w:rPr>
          <w:rFonts w:hint="eastAsia" w:ascii="黑体" w:hAnsi="宋体" w:eastAsia="黑体"/>
          <w:szCs w:val="21"/>
        </w:rPr>
      </w:pPr>
      <w:r>
        <w:rPr>
          <w:rFonts w:hint="eastAsia" w:ascii="黑体" w:hAnsi="宋体" w:eastAsia="黑体"/>
          <w:szCs w:val="21"/>
        </w:rPr>
        <w:t>5．投标人参加自行采购的条件</w:t>
      </w:r>
    </w:p>
    <w:p w14:paraId="744A8183">
      <w:pPr>
        <w:ind w:firstLine="420" w:firstLineChars="200"/>
        <w:jc w:val="left"/>
        <w:rPr>
          <w:rFonts w:hint="eastAsia" w:ascii="宋体" w:hAnsi="宋体"/>
          <w:szCs w:val="21"/>
        </w:rPr>
      </w:pPr>
      <w:r>
        <w:rPr>
          <w:rFonts w:hint="eastAsia" w:ascii="宋体" w:hAnsi="宋体"/>
          <w:szCs w:val="21"/>
        </w:rPr>
        <w:t>5.1投标人应在投标前到</w:t>
      </w:r>
      <w:r>
        <w:rPr>
          <w:rFonts w:hint="eastAsia" w:ascii="宋体" w:hAnsi="宋体"/>
          <w:b/>
          <w:bCs/>
          <w:szCs w:val="21"/>
        </w:rPr>
        <w:t>深圳市自行采购系统（具体在深圳交易集团有限公司政府采购业务分公司进行办理）</w:t>
      </w:r>
      <w:r>
        <w:rPr>
          <w:rFonts w:hint="eastAsia" w:ascii="宋体" w:hAnsi="宋体"/>
          <w:szCs w:val="21"/>
        </w:rPr>
        <w:t>进行注册并办理电子密钥。《深圳政府采购自行采购系统用户操作指引（供应商）》详见www.szggzy.com网站“交易服务指南-政府采购-资料下载”。</w:t>
      </w:r>
    </w:p>
    <w:p w14:paraId="6CDA071E">
      <w:pPr>
        <w:ind w:firstLine="420" w:firstLineChars="200"/>
        <w:rPr>
          <w:rFonts w:hint="eastAsia" w:ascii="宋体" w:hAnsi="宋体"/>
          <w:szCs w:val="21"/>
        </w:rPr>
      </w:pPr>
      <w:r>
        <w:rPr>
          <w:rFonts w:hint="eastAsia" w:ascii="宋体" w:hAnsi="宋体"/>
          <w:szCs w:val="21"/>
        </w:rPr>
        <w:t>5.2投标人资格要求</w:t>
      </w:r>
    </w:p>
    <w:p w14:paraId="0EC249A8">
      <w:pPr>
        <w:ind w:firstLine="420" w:firstLineChars="200"/>
        <w:rPr>
          <w:rFonts w:hint="eastAsia" w:ascii="宋体" w:hAnsi="宋体"/>
          <w:szCs w:val="21"/>
        </w:rPr>
      </w:pPr>
      <w:r>
        <w:rPr>
          <w:rFonts w:hint="eastAsia" w:ascii="宋体" w:hAnsi="宋体"/>
          <w:szCs w:val="21"/>
        </w:rPr>
        <w:t>参加本项目的投标人应具备的资格条件详见本项目招标公告中 “投标人资格要求”的内容。</w:t>
      </w:r>
    </w:p>
    <w:p w14:paraId="3F8FB0C3">
      <w:pPr>
        <w:ind w:firstLine="420" w:firstLineChars="200"/>
        <w:rPr>
          <w:rFonts w:hint="eastAsia" w:ascii="宋体" w:hAnsi="宋体"/>
          <w:szCs w:val="21"/>
        </w:rPr>
      </w:pPr>
      <w:r>
        <w:rPr>
          <w:rFonts w:hint="eastAsia" w:ascii="宋体" w:hAnsi="宋体"/>
          <w:szCs w:val="21"/>
        </w:rPr>
        <w:t>5.3联合体投标</w:t>
      </w:r>
    </w:p>
    <w:p w14:paraId="27230809">
      <w:pPr>
        <w:ind w:firstLine="420" w:firstLineChars="200"/>
        <w:rPr>
          <w:rFonts w:hint="eastAsia" w:ascii="宋体" w:hAnsi="宋体"/>
          <w:szCs w:val="21"/>
        </w:rPr>
      </w:pPr>
      <w:r>
        <w:rPr>
          <w:rFonts w:hint="eastAsia" w:ascii="宋体" w:hAnsi="宋体"/>
          <w:szCs w:val="21"/>
        </w:rPr>
        <w:t>5.3.1以下有关联合体投标的条款仅适用于允许投标人组成联合体投标的项目。</w:t>
      </w:r>
    </w:p>
    <w:p w14:paraId="13CDE3EC">
      <w:pPr>
        <w:ind w:firstLine="420" w:firstLineChars="200"/>
        <w:rPr>
          <w:rFonts w:hint="eastAsia" w:ascii="宋体" w:hAnsi="宋体"/>
          <w:szCs w:val="21"/>
        </w:rPr>
      </w:pPr>
      <w:r>
        <w:rPr>
          <w:rFonts w:hint="eastAsia" w:ascii="宋体" w:hAnsi="宋体"/>
          <w:szCs w:val="21"/>
        </w:rPr>
        <w:t>5.3.2  由两个或两个以上的自然人、法人或者其他组织可以组成一个联合体，以一个供应商的身份共同投标时，应符合以下原则：</w:t>
      </w:r>
    </w:p>
    <w:p w14:paraId="3D8D15DC">
      <w:pPr>
        <w:ind w:firstLine="420" w:firstLineChars="200"/>
        <w:rPr>
          <w:rFonts w:hint="eastAsia" w:ascii="宋体" w:hAnsi="宋体"/>
          <w:szCs w:val="21"/>
        </w:rPr>
      </w:pPr>
      <w:r>
        <w:rPr>
          <w:rFonts w:hint="eastAsia" w:ascii="宋体" w:hAnsi="宋体"/>
          <w:szCs w:val="21"/>
        </w:rPr>
        <w:t xml:space="preserve">（1）投标联合体各方参加采购活动应当具备下列条件： </w:t>
      </w:r>
    </w:p>
    <w:p w14:paraId="70658CE8">
      <w:pPr>
        <w:ind w:firstLine="420" w:firstLineChars="200"/>
        <w:rPr>
          <w:rFonts w:hint="eastAsia" w:ascii="宋体" w:hAnsi="宋体"/>
          <w:szCs w:val="21"/>
        </w:rPr>
      </w:pPr>
      <w:r>
        <w:rPr>
          <w:rFonts w:hint="eastAsia" w:ascii="宋体" w:hAnsi="宋体"/>
          <w:szCs w:val="21"/>
        </w:rPr>
        <w:t xml:space="preserve">1、具有独立承担民事责任的能力； </w:t>
      </w:r>
    </w:p>
    <w:p w14:paraId="227AEF9D">
      <w:pPr>
        <w:ind w:firstLine="420" w:firstLineChars="200"/>
        <w:rPr>
          <w:rFonts w:hint="eastAsia" w:ascii="宋体" w:hAnsi="宋体"/>
          <w:szCs w:val="21"/>
        </w:rPr>
      </w:pPr>
      <w:r>
        <w:rPr>
          <w:rFonts w:hint="eastAsia" w:ascii="宋体" w:hAnsi="宋体"/>
          <w:szCs w:val="21"/>
        </w:rPr>
        <w:t xml:space="preserve">2、有良好的商业信誉和健全的财务会计制度； </w:t>
      </w:r>
    </w:p>
    <w:p w14:paraId="5889809D">
      <w:pPr>
        <w:ind w:firstLine="420" w:firstLineChars="200"/>
        <w:rPr>
          <w:rFonts w:hint="eastAsia" w:ascii="宋体" w:hAnsi="宋体"/>
          <w:szCs w:val="21"/>
        </w:rPr>
      </w:pPr>
      <w:r>
        <w:rPr>
          <w:rFonts w:hint="eastAsia" w:ascii="宋体" w:hAnsi="宋体"/>
          <w:szCs w:val="21"/>
        </w:rPr>
        <w:t xml:space="preserve">3、具有履行合同所必需的设备和专业技术能力； </w:t>
      </w:r>
    </w:p>
    <w:p w14:paraId="45000D70">
      <w:pPr>
        <w:ind w:firstLine="420" w:firstLineChars="200"/>
        <w:rPr>
          <w:rFonts w:hint="eastAsia" w:ascii="宋体" w:hAnsi="宋体"/>
          <w:szCs w:val="21"/>
        </w:rPr>
      </w:pPr>
      <w:r>
        <w:rPr>
          <w:rFonts w:hint="eastAsia" w:ascii="宋体" w:hAnsi="宋体"/>
          <w:szCs w:val="21"/>
        </w:rPr>
        <w:t xml:space="preserve">4、有依法缴纳税收和社会保障资金的良好记录； </w:t>
      </w:r>
    </w:p>
    <w:p w14:paraId="5C182F2B">
      <w:pPr>
        <w:ind w:firstLine="420" w:firstLineChars="200"/>
        <w:rPr>
          <w:rFonts w:hint="eastAsia" w:ascii="宋体" w:hAnsi="宋体"/>
          <w:szCs w:val="21"/>
        </w:rPr>
      </w:pPr>
      <w:r>
        <w:rPr>
          <w:rFonts w:hint="eastAsia" w:ascii="宋体" w:hAnsi="宋体"/>
          <w:szCs w:val="21"/>
        </w:rPr>
        <w:t xml:space="preserve">5、参加采购活动前三年内，在经营活动中没有重大违法记录； </w:t>
      </w:r>
    </w:p>
    <w:p w14:paraId="76D46D28">
      <w:pPr>
        <w:ind w:firstLine="420" w:firstLineChars="200"/>
        <w:rPr>
          <w:rFonts w:hint="eastAsia" w:ascii="宋体" w:hAnsi="宋体"/>
          <w:szCs w:val="21"/>
        </w:rPr>
      </w:pPr>
      <w:r>
        <w:rPr>
          <w:rFonts w:hint="eastAsia" w:ascii="宋体" w:hAnsi="宋体"/>
          <w:szCs w:val="21"/>
        </w:rPr>
        <w:t xml:space="preserve">6、法律、行政法规规定的其他条件。 </w:t>
      </w:r>
    </w:p>
    <w:p w14:paraId="35D4A580">
      <w:pPr>
        <w:ind w:firstLine="420" w:firstLineChars="200"/>
        <w:rPr>
          <w:rFonts w:hint="eastAsia" w:ascii="宋体" w:hAnsi="宋体"/>
          <w:szCs w:val="21"/>
        </w:rPr>
      </w:pPr>
      <w:r>
        <w:rPr>
          <w:rFonts w:hint="eastAsia" w:ascii="宋体" w:hAnsi="宋体"/>
          <w:szCs w:val="21"/>
        </w:rPr>
        <w:t>（2）在投标截止前，投标联合体各方均应注册成</w:t>
      </w:r>
      <w:r>
        <w:rPr>
          <w:rFonts w:hint="eastAsia" w:ascii="宋体" w:hAnsi="宋体"/>
          <w:b/>
          <w:bCs/>
          <w:color w:val="FF0000"/>
          <w:szCs w:val="21"/>
        </w:rPr>
        <w:t>深圳市自行采购系统</w:t>
      </w:r>
      <w:r>
        <w:rPr>
          <w:rFonts w:hint="eastAsia" w:ascii="宋体" w:hAnsi="宋体"/>
          <w:szCs w:val="21"/>
        </w:rPr>
        <w:t>供应商；</w:t>
      </w:r>
    </w:p>
    <w:p w14:paraId="1435DA10">
      <w:pPr>
        <w:ind w:firstLine="420" w:firstLineChars="200"/>
        <w:rPr>
          <w:rFonts w:hint="eastAsia" w:ascii="宋体" w:hAnsi="宋体"/>
          <w:szCs w:val="21"/>
        </w:rPr>
      </w:pPr>
      <w:r>
        <w:rPr>
          <w:rFonts w:hint="eastAsia" w:ascii="宋体" w:hAnsi="宋体"/>
          <w:szCs w:val="21"/>
        </w:rPr>
        <w:t>（3）联合体中有同类资质的供应商按照联合体分工承担相同工作的，应当按照资质等级较低的供应商确定资质等级；</w:t>
      </w:r>
    </w:p>
    <w:p w14:paraId="70974D59">
      <w:pPr>
        <w:ind w:firstLine="420" w:firstLineChars="200"/>
        <w:rPr>
          <w:szCs w:val="21"/>
        </w:rPr>
      </w:pPr>
      <w:r>
        <w:rPr>
          <w:rFonts w:hint="eastAsia"/>
          <w:szCs w:val="21"/>
        </w:rPr>
        <w:t>（</w:t>
      </w:r>
      <w:r>
        <w:rPr>
          <w:szCs w:val="21"/>
        </w:rPr>
        <w:t>4</w:t>
      </w:r>
      <w:r>
        <w:rPr>
          <w:rFonts w:hint="eastAsia"/>
          <w:szCs w:val="21"/>
        </w:rPr>
        <w:t>）是否允许联合体参加投标，应当由采购人和采购代理机构根据项目的实际情况和潜在供应商的数量自主决定，如果决定接受联合体投标则应当在招标公告中明示；</w:t>
      </w:r>
    </w:p>
    <w:p w14:paraId="2D2E088D">
      <w:pPr>
        <w:ind w:firstLine="420" w:firstLineChars="200"/>
        <w:rPr>
          <w:rFonts w:hint="eastAsia" w:ascii="宋体" w:hAnsi="宋体"/>
          <w:szCs w:val="21"/>
        </w:rPr>
      </w:pPr>
      <w:r>
        <w:rPr>
          <w:rFonts w:hint="eastAsia" w:ascii="宋体" w:hAnsi="宋体"/>
          <w:szCs w:val="21"/>
        </w:rPr>
        <w:t>（5）投标人的投标文件及中标后签署的合同协议对联合体各方均具法律约束力；</w:t>
      </w:r>
    </w:p>
    <w:p w14:paraId="641731BD">
      <w:pPr>
        <w:ind w:firstLine="420" w:firstLineChars="200"/>
        <w:rPr>
          <w:rFonts w:hint="eastAsia" w:ascii="宋体" w:hAnsi="宋体"/>
          <w:szCs w:val="21"/>
        </w:rPr>
      </w:pPr>
      <w:r>
        <w:rPr>
          <w:rFonts w:hint="eastAsia" w:ascii="宋体" w:hAnsi="宋体"/>
          <w:szCs w:val="21"/>
        </w:rPr>
        <w:t>（6）联合体各方应当签订联合体投标协议，明确约定各方拟承担的工作和责任，并将该协议随投标文件一并递交给采购代理机构；</w:t>
      </w:r>
    </w:p>
    <w:p w14:paraId="49E74AAD">
      <w:pPr>
        <w:ind w:firstLine="420" w:firstLineChars="200"/>
        <w:rPr>
          <w:rFonts w:hint="eastAsia" w:ascii="宋体" w:hAnsi="宋体"/>
          <w:szCs w:val="21"/>
        </w:rPr>
      </w:pPr>
      <w:r>
        <w:rPr>
          <w:rFonts w:hint="eastAsia" w:ascii="宋体" w:hAnsi="宋体"/>
          <w:szCs w:val="21"/>
        </w:rPr>
        <w:t>（7）联合体中标后，联合体各方应当共同与采购人签订合同，就中标项目向采购人承担连带责任；</w:t>
      </w:r>
    </w:p>
    <w:p w14:paraId="5C6BA207">
      <w:pPr>
        <w:ind w:firstLine="420" w:firstLineChars="200"/>
        <w:rPr>
          <w:rFonts w:hint="eastAsia" w:ascii="宋体" w:hAnsi="宋体"/>
          <w:szCs w:val="21"/>
        </w:rPr>
      </w:pPr>
      <w:r>
        <w:rPr>
          <w:rFonts w:hint="eastAsia" w:ascii="宋体" w:hAnsi="宋体"/>
          <w:szCs w:val="21"/>
        </w:rPr>
        <w:t>（8）以联合体形式参加采购活动的，联合体各方不得再单独参加或者与其他供应商另外组成联合体参加同一合同项下的采购活动，出现上述情况者，其投标和与此有关联合体、总包单位的投标将被拒绝；</w:t>
      </w:r>
    </w:p>
    <w:p w14:paraId="0E2EA99C">
      <w:pPr>
        <w:ind w:firstLine="420" w:firstLineChars="200"/>
        <w:rPr>
          <w:rFonts w:hint="eastAsia" w:ascii="宋体" w:hAnsi="宋体"/>
          <w:szCs w:val="21"/>
        </w:rPr>
      </w:pPr>
      <w:r>
        <w:rPr>
          <w:rFonts w:hint="eastAsia" w:ascii="宋体" w:hAnsi="宋体"/>
          <w:szCs w:val="21"/>
        </w:rPr>
        <w:t>（9）本通用条款中“投标人”一词亦指联合体各方，专用条款另有规定或说明的除外。</w:t>
      </w:r>
    </w:p>
    <w:p w14:paraId="722317DD">
      <w:pPr>
        <w:ind w:firstLine="420" w:firstLineChars="200"/>
        <w:rPr>
          <w:rFonts w:hint="eastAsia" w:ascii="黑体" w:hAnsi="宋体" w:eastAsia="黑体"/>
          <w:szCs w:val="21"/>
        </w:rPr>
      </w:pPr>
      <w:r>
        <w:rPr>
          <w:rFonts w:hint="eastAsia" w:ascii="黑体" w:hAnsi="宋体" w:eastAsia="黑体"/>
          <w:szCs w:val="21"/>
        </w:rPr>
        <w:t>6．政策导向</w:t>
      </w:r>
    </w:p>
    <w:p w14:paraId="215A27DD">
      <w:pPr>
        <w:ind w:firstLine="420" w:firstLineChars="200"/>
        <w:rPr>
          <w:rFonts w:hint="eastAsia" w:ascii="宋体" w:hAnsi="宋体"/>
          <w:szCs w:val="21"/>
        </w:rPr>
      </w:pPr>
      <w:r>
        <w:rPr>
          <w:rFonts w:hint="eastAsia" w:ascii="宋体" w:hAnsi="宋体"/>
          <w:szCs w:val="21"/>
        </w:rPr>
        <w:t>6.1  采购扶持贫困地区、中小企业、监狱企业和残疾人福利性单位发展，支持节能减排、环境保护。</w:t>
      </w:r>
    </w:p>
    <w:p w14:paraId="69185D6D">
      <w:pPr>
        <w:ind w:firstLine="420" w:firstLineChars="200"/>
        <w:rPr>
          <w:szCs w:val="21"/>
          <w:shd w:val="clear" w:color="auto" w:fill="FFFFFF"/>
        </w:rPr>
      </w:pPr>
      <w:r>
        <w:rPr>
          <w:rFonts w:hint="eastAsia" w:ascii="宋体" w:hAnsi="宋体"/>
          <w:szCs w:val="21"/>
        </w:rPr>
        <w:t>6.2  本项目落实深圳市政府采购供应商诚信管理政策要求。</w:t>
      </w:r>
    </w:p>
    <w:p w14:paraId="0EB5D071">
      <w:pPr>
        <w:ind w:firstLine="420" w:firstLineChars="200"/>
        <w:rPr>
          <w:rFonts w:hint="eastAsia" w:ascii="黑体" w:hAnsi="宋体" w:eastAsia="黑体"/>
          <w:szCs w:val="21"/>
        </w:rPr>
      </w:pPr>
      <w:r>
        <w:rPr>
          <w:rFonts w:hint="eastAsia" w:ascii="黑体" w:hAnsi="宋体" w:eastAsia="黑体"/>
          <w:szCs w:val="21"/>
        </w:rPr>
        <w:t>7. 本项目若涉及采购货物，则合格的货物及相应服务应满足以下要求：</w:t>
      </w:r>
    </w:p>
    <w:p w14:paraId="00D65B66">
      <w:pPr>
        <w:ind w:firstLine="420" w:firstLineChars="200"/>
        <w:rPr>
          <w:rFonts w:hint="eastAsia" w:ascii="宋体" w:hAnsi="宋体"/>
          <w:szCs w:val="21"/>
        </w:rPr>
      </w:pPr>
      <w:r>
        <w:rPr>
          <w:rFonts w:hint="eastAsia" w:ascii="宋体" w:hAnsi="宋体"/>
          <w:szCs w:val="21"/>
        </w:rPr>
        <w:t>7.1  必须是全新、未使用过的原装合格正品（包括零部件），如安装或配置了软件的，须为正版软件。</w:t>
      </w:r>
    </w:p>
    <w:p w14:paraId="7B7E5F08">
      <w:pPr>
        <w:ind w:firstLine="420" w:firstLineChars="200"/>
        <w:rPr>
          <w:rFonts w:hint="eastAsia" w:ascii="宋体" w:hAnsi="宋体"/>
          <w:szCs w:val="21"/>
        </w:rPr>
      </w:pPr>
      <w:r>
        <w:rPr>
          <w:rFonts w:hint="eastAsia" w:ascii="宋体" w:hAnsi="宋体"/>
          <w:szCs w:val="21"/>
        </w:rPr>
        <w:t>7.2  国产的货物及其有关服务必须符合中华人民共和国的设计、制造生产标准及行业标准。招标公告有其他要求的，亦应符合其要求。</w:t>
      </w:r>
    </w:p>
    <w:p w14:paraId="2ED18104">
      <w:pPr>
        <w:ind w:firstLine="420" w:firstLineChars="200"/>
        <w:rPr>
          <w:rFonts w:hint="eastAsia" w:ascii="宋体" w:hAnsi="宋体"/>
          <w:szCs w:val="21"/>
        </w:rPr>
      </w:pPr>
      <w:r>
        <w:rPr>
          <w:rFonts w:hint="eastAsia" w:ascii="宋体" w:hAnsi="宋体"/>
          <w:szCs w:val="21"/>
        </w:rPr>
        <w:t>7.3  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14:paraId="0E35CBAB">
      <w:pPr>
        <w:ind w:firstLine="420" w:firstLineChars="200"/>
        <w:rPr>
          <w:rFonts w:hint="eastAsia" w:ascii="宋体" w:hAnsi="宋体"/>
          <w:szCs w:val="21"/>
        </w:rPr>
      </w:pPr>
      <w:r>
        <w:rPr>
          <w:rFonts w:hint="eastAsia" w:ascii="宋体" w:hAnsi="宋体"/>
          <w:szCs w:val="21"/>
        </w:rPr>
        <w:t>7.4  投标人</w:t>
      </w:r>
      <w:bookmarkStart w:id="50" w:name="_Hlk72152753"/>
      <w:r>
        <w:rPr>
          <w:rFonts w:hint="eastAsia" w:ascii="宋体" w:hAnsi="宋体"/>
          <w:szCs w:val="21"/>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50"/>
    </w:p>
    <w:p w14:paraId="0746FDFB">
      <w:pPr>
        <w:ind w:firstLine="420" w:firstLineChars="200"/>
        <w:rPr>
          <w:rFonts w:hint="eastAsia" w:ascii="宋体" w:hAnsi="宋体"/>
          <w:szCs w:val="21"/>
        </w:rPr>
      </w:pPr>
      <w:r>
        <w:rPr>
          <w:rFonts w:hint="eastAsia" w:ascii="宋体" w:hAnsi="宋体"/>
          <w:szCs w:val="21"/>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14:paraId="46416573">
      <w:pPr>
        <w:ind w:firstLine="420" w:firstLineChars="200"/>
        <w:rPr>
          <w:rFonts w:hint="eastAsia" w:ascii="宋体" w:hAnsi="宋体"/>
          <w:szCs w:val="21"/>
        </w:rPr>
      </w:pPr>
      <w:r>
        <w:rPr>
          <w:rFonts w:hint="eastAsia" w:ascii="宋体" w:hAnsi="宋体"/>
          <w:szCs w:val="21"/>
        </w:rPr>
        <w:t>7.6  工期要求：投标人在投标时对其所投项目应提交交货进度、交货计划等，在合同规定的时间内完成项目实施工作。</w:t>
      </w:r>
    </w:p>
    <w:p w14:paraId="24F782F0">
      <w:pPr>
        <w:ind w:firstLine="420" w:firstLineChars="200"/>
        <w:rPr>
          <w:rFonts w:hint="eastAsia" w:ascii="宋体" w:hAnsi="宋体"/>
          <w:szCs w:val="21"/>
        </w:rPr>
      </w:pPr>
      <w:r>
        <w:rPr>
          <w:rFonts w:hint="eastAsia" w:ascii="宋体" w:hAnsi="宋体"/>
          <w:szCs w:val="21"/>
        </w:rPr>
        <w:t>7.7  投标人必须承担的设备运输、安装调试、验收检测和提供设备操作说明书、图纸等其他相关及类似的义务。</w:t>
      </w:r>
    </w:p>
    <w:p w14:paraId="79DC48B9">
      <w:pPr>
        <w:ind w:firstLine="420" w:firstLineChars="200"/>
        <w:rPr>
          <w:rFonts w:hint="eastAsia" w:ascii="黑体" w:hAnsi="宋体" w:eastAsia="黑体"/>
          <w:szCs w:val="21"/>
        </w:rPr>
      </w:pPr>
      <w:r>
        <w:rPr>
          <w:rFonts w:hint="eastAsia" w:ascii="黑体" w:hAnsi="宋体" w:eastAsia="黑体"/>
          <w:szCs w:val="21"/>
        </w:rPr>
        <w:t>8．投标费用</w:t>
      </w:r>
    </w:p>
    <w:p w14:paraId="2984AA14">
      <w:pPr>
        <w:ind w:firstLine="420" w:firstLineChars="200"/>
        <w:rPr>
          <w:rFonts w:hint="eastAsia" w:ascii="宋体" w:hAnsi="宋体"/>
          <w:szCs w:val="21"/>
        </w:rPr>
      </w:pPr>
      <w:r>
        <w:rPr>
          <w:rFonts w:hint="eastAsia" w:ascii="宋体" w:hAnsi="宋体"/>
          <w:szCs w:val="21"/>
        </w:rPr>
        <w:t>不论投标结果如何，投标人应承担其编制投标文件与递交投标文件所涉及的一切费用。</w:t>
      </w:r>
    </w:p>
    <w:p w14:paraId="1CFBB159">
      <w:pPr>
        <w:ind w:firstLine="420" w:firstLineChars="200"/>
        <w:rPr>
          <w:rFonts w:hint="eastAsia" w:ascii="黑体" w:hAnsi="宋体" w:eastAsia="黑体"/>
          <w:szCs w:val="21"/>
        </w:rPr>
      </w:pPr>
      <w:r>
        <w:rPr>
          <w:rFonts w:hint="eastAsia" w:ascii="黑体" w:hAnsi="宋体" w:eastAsia="黑体"/>
          <w:szCs w:val="21"/>
        </w:rPr>
        <w:t>9．踏勘现场</w:t>
      </w:r>
    </w:p>
    <w:p w14:paraId="606B1BDF">
      <w:pPr>
        <w:ind w:firstLine="420" w:firstLineChars="200"/>
        <w:rPr>
          <w:rFonts w:hint="eastAsia" w:ascii="宋体" w:hAnsi="宋体"/>
          <w:szCs w:val="21"/>
        </w:rPr>
      </w:pPr>
      <w:r>
        <w:rPr>
          <w:rFonts w:hint="eastAsia" w:ascii="宋体" w:hAnsi="宋体"/>
          <w:szCs w:val="21"/>
        </w:rPr>
        <w:t>9.1如有需要（详见专用条款），采购人或采购代理机构将组织投标人对项目现场及周围环境进行踏勘，以便投标人获取有关编制投标文件和签署合同所需的资料。踏勘现场所发生的费用由投标人自行承担。投标人应按招标文件所约定的时间、地点踏勘现场。</w:t>
      </w:r>
    </w:p>
    <w:p w14:paraId="0B41C006">
      <w:pPr>
        <w:ind w:firstLine="420" w:firstLineChars="200"/>
        <w:rPr>
          <w:rFonts w:hint="eastAsia" w:ascii="宋体" w:hAnsi="宋体"/>
          <w:szCs w:val="21"/>
        </w:rPr>
      </w:pPr>
      <w:r>
        <w:rPr>
          <w:rFonts w:hint="eastAsia" w:ascii="宋体" w:hAnsi="宋体"/>
          <w:szCs w:val="21"/>
        </w:rPr>
        <w:t>9.2投标人及其人员经过采购人的允许，可以进入采购人的项目现场踏勘。若招标文件要求投标人于统一时间地点踏勘现场的，投标人应当按时前往。</w:t>
      </w:r>
    </w:p>
    <w:p w14:paraId="03A60F8F">
      <w:pPr>
        <w:ind w:firstLine="420" w:firstLineChars="200"/>
        <w:rPr>
          <w:rFonts w:hint="eastAsia" w:ascii="宋体" w:hAnsi="宋体"/>
          <w:szCs w:val="21"/>
        </w:rPr>
      </w:pPr>
      <w:r>
        <w:rPr>
          <w:rFonts w:hint="eastAsia" w:ascii="宋体" w:hAnsi="宋体"/>
          <w:szCs w:val="21"/>
        </w:rPr>
        <w:t>9.3采购人应当通过采购代理机构向投标人提供有关现场的书面资料和数据。</w:t>
      </w:r>
    </w:p>
    <w:p w14:paraId="38297B0A">
      <w:pPr>
        <w:ind w:firstLine="420" w:firstLineChars="200"/>
        <w:rPr>
          <w:rFonts w:hint="eastAsia" w:ascii="宋体" w:hAnsi="宋体"/>
          <w:szCs w:val="21"/>
        </w:rPr>
      </w:pPr>
      <w:r>
        <w:rPr>
          <w:rFonts w:hint="eastAsia" w:ascii="宋体" w:hAnsi="宋体"/>
          <w:szCs w:val="21"/>
        </w:rPr>
        <w:t>9.4任何人或任何组织在踏勘现场时向投标人提供的任何书面资料或口头承诺，未经采购代理机构在网上发布或书面通知，均作无效处理。</w:t>
      </w:r>
    </w:p>
    <w:p w14:paraId="559791C0">
      <w:pPr>
        <w:ind w:firstLine="420" w:firstLineChars="200"/>
        <w:rPr>
          <w:rFonts w:hint="eastAsia" w:ascii="宋体" w:hAnsi="宋体"/>
          <w:szCs w:val="21"/>
        </w:rPr>
      </w:pPr>
      <w:r>
        <w:rPr>
          <w:rFonts w:hint="eastAsia" w:ascii="宋体" w:hAnsi="宋体"/>
          <w:szCs w:val="21"/>
        </w:rPr>
        <w:t>9.5未参与踏勘现场不作为否定投标人资格的理由。</w:t>
      </w:r>
    </w:p>
    <w:p w14:paraId="65BBC041">
      <w:pPr>
        <w:ind w:firstLine="420" w:firstLineChars="200"/>
        <w:rPr>
          <w:rFonts w:hint="eastAsia" w:ascii="宋体" w:hAnsi="宋体"/>
          <w:szCs w:val="21"/>
        </w:rPr>
      </w:pPr>
      <w:r>
        <w:rPr>
          <w:rFonts w:hint="eastAsia" w:ascii="黑体" w:hAnsi="宋体" w:eastAsia="黑体"/>
          <w:szCs w:val="21"/>
        </w:rPr>
        <w:t>10．标前会议</w:t>
      </w:r>
    </w:p>
    <w:p w14:paraId="16881D0D">
      <w:pPr>
        <w:ind w:firstLine="420" w:firstLineChars="200"/>
        <w:rPr>
          <w:rFonts w:hint="eastAsia" w:ascii="宋体" w:hAnsi="宋体"/>
          <w:szCs w:val="21"/>
        </w:rPr>
      </w:pPr>
      <w:r>
        <w:rPr>
          <w:rFonts w:hint="eastAsia" w:ascii="宋体" w:hAnsi="宋体"/>
          <w:szCs w:val="21"/>
        </w:rPr>
        <w:t>10.1如采购人或采购代理机构认为有必要组织标前会议，投标人应按照招标文件规定的时间或采购代理机构另行书面通知（包括采购代理机构网站发布方式，如更正公告等）的时间和地点，参与标前会议。</w:t>
      </w:r>
    </w:p>
    <w:p w14:paraId="6ABE592D">
      <w:pPr>
        <w:ind w:firstLine="420" w:firstLineChars="200"/>
        <w:rPr>
          <w:rFonts w:hint="eastAsia" w:ascii="宋体" w:hAnsi="宋体"/>
          <w:szCs w:val="21"/>
        </w:rPr>
      </w:pPr>
      <w:r>
        <w:rPr>
          <w:rFonts w:hint="eastAsia" w:ascii="宋体" w:hAnsi="宋体"/>
          <w:szCs w:val="21"/>
        </w:rPr>
        <w:t>10.2任何人或任何组织在标前会议时向投标人提供的任何书面资料或口头承诺，未经采购代理机构在网上发布或书面通知，均作无效处理。</w:t>
      </w:r>
    </w:p>
    <w:p w14:paraId="3B3984DA">
      <w:pPr>
        <w:ind w:firstLine="420" w:firstLineChars="200"/>
        <w:rPr>
          <w:rFonts w:hint="eastAsia" w:ascii="宋体" w:hAnsi="宋体"/>
          <w:szCs w:val="21"/>
        </w:rPr>
      </w:pPr>
      <w:r>
        <w:rPr>
          <w:rFonts w:hint="eastAsia" w:ascii="宋体" w:hAnsi="宋体"/>
          <w:szCs w:val="21"/>
        </w:rPr>
        <w:t>10.3未参与标前会议不作为否定投标人资格的理由。</w:t>
      </w:r>
    </w:p>
    <w:bookmarkEnd w:id="49"/>
    <w:p w14:paraId="4C23D099">
      <w:pPr>
        <w:ind w:firstLine="411" w:firstLineChars="196"/>
        <w:rPr>
          <w:rFonts w:hint="eastAsia" w:ascii="宋体" w:hAnsi="宋体"/>
        </w:rPr>
      </w:pPr>
    </w:p>
    <w:p w14:paraId="42703A2D">
      <w:pPr>
        <w:pStyle w:val="79"/>
        <w:keepNext/>
        <w:keepLines/>
        <w:numPr>
          <w:ilvl w:val="0"/>
          <w:numId w:val="11"/>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rPr>
      </w:pPr>
      <w:r>
        <w:rPr>
          <w:rFonts w:hint="eastAsia" w:ascii="Cambria" w:hAnsi="Cambria" w:cs="宋体"/>
          <w:b/>
          <w:bCs/>
          <w:sz w:val="28"/>
          <w:szCs w:val="28"/>
        </w:rPr>
        <w:t>招标文件</w:t>
      </w:r>
    </w:p>
    <w:p w14:paraId="693FD62D">
      <w:pPr>
        <w:ind w:firstLine="420" w:firstLineChars="200"/>
        <w:rPr>
          <w:rFonts w:hint="eastAsia" w:ascii="黑体" w:hAnsi="宋体" w:eastAsia="黑体"/>
          <w:szCs w:val="21"/>
        </w:rPr>
      </w:pPr>
      <w:r>
        <w:rPr>
          <w:rFonts w:hint="eastAsia" w:ascii="黑体" w:hAnsi="宋体" w:eastAsia="黑体"/>
          <w:szCs w:val="21"/>
        </w:rPr>
        <w:t>11．</w:t>
      </w:r>
      <w:bookmarkStart w:id="51" w:name="_Hlk72399819"/>
      <w:r>
        <w:rPr>
          <w:rFonts w:hint="eastAsia" w:ascii="黑体" w:hAnsi="宋体" w:eastAsia="黑体"/>
          <w:szCs w:val="21"/>
        </w:rPr>
        <w:t>招标文件的编制与组成</w:t>
      </w:r>
    </w:p>
    <w:p w14:paraId="7094410D">
      <w:pPr>
        <w:snapToGrid w:val="0"/>
        <w:ind w:firstLine="420" w:firstLineChars="200"/>
        <w:rPr>
          <w:rFonts w:hint="eastAsia" w:ascii="宋体" w:hAnsi="宋体"/>
          <w:szCs w:val="21"/>
        </w:rPr>
      </w:pPr>
      <w:r>
        <w:rPr>
          <w:rFonts w:hint="eastAsia" w:ascii="宋体" w:hAnsi="宋体"/>
          <w:szCs w:val="21"/>
        </w:rPr>
        <w:t>11.1招标文件除以下内容外，采购代理机构在招标期间发出的澄清或修改等相关公告或通知内容，均是招标文件的组成部分，对投标人起约束作用；</w:t>
      </w:r>
    </w:p>
    <w:p w14:paraId="5CD9F860">
      <w:pPr>
        <w:ind w:firstLine="420" w:firstLineChars="200"/>
        <w:rPr>
          <w:rFonts w:hint="eastAsia" w:ascii="宋体" w:hAnsi="宋体"/>
          <w:szCs w:val="21"/>
        </w:rPr>
      </w:pPr>
      <w:r>
        <w:rPr>
          <w:rFonts w:hint="eastAsia" w:ascii="宋体" w:hAnsi="宋体"/>
          <w:szCs w:val="21"/>
        </w:rPr>
        <w:t>招标文件包括下列内容：</w:t>
      </w:r>
    </w:p>
    <w:p w14:paraId="419DBF75">
      <w:pPr>
        <w:ind w:firstLine="422" w:firstLineChars="200"/>
        <w:rPr>
          <w:rFonts w:hint="eastAsia" w:ascii="宋体" w:hAnsi="宋体"/>
          <w:b/>
          <w:szCs w:val="21"/>
        </w:rPr>
      </w:pPr>
      <w:r>
        <w:rPr>
          <w:rFonts w:hint="eastAsia" w:ascii="宋体" w:hAnsi="宋体"/>
          <w:b/>
          <w:szCs w:val="21"/>
        </w:rPr>
        <w:t>第一册  专用条款</w:t>
      </w:r>
    </w:p>
    <w:p w14:paraId="5F621CB3">
      <w:pPr>
        <w:ind w:firstLine="422" w:firstLineChars="200"/>
        <w:rPr>
          <w:rFonts w:hint="eastAsia" w:ascii="宋体" w:hAnsi="宋体"/>
          <w:b/>
          <w:szCs w:val="21"/>
        </w:rPr>
      </w:pPr>
      <w:r>
        <w:rPr>
          <w:rFonts w:hint="eastAsia" w:ascii="宋体" w:hAnsi="宋体"/>
          <w:b/>
          <w:szCs w:val="21"/>
        </w:rPr>
        <w:t>关键信息</w:t>
      </w:r>
    </w:p>
    <w:p w14:paraId="28C966AD">
      <w:pPr>
        <w:ind w:firstLine="420" w:firstLineChars="200"/>
        <w:rPr>
          <w:rFonts w:hint="eastAsia" w:ascii="宋体" w:hAnsi="宋体"/>
          <w:szCs w:val="21"/>
        </w:rPr>
      </w:pPr>
      <w:r>
        <w:rPr>
          <w:rFonts w:hint="eastAsia" w:ascii="宋体" w:hAnsi="宋体"/>
          <w:szCs w:val="21"/>
        </w:rPr>
        <w:t>第一章  招标公告</w:t>
      </w:r>
    </w:p>
    <w:p w14:paraId="6467183A">
      <w:pPr>
        <w:ind w:firstLine="420" w:firstLineChars="200"/>
        <w:rPr>
          <w:rFonts w:hint="eastAsia" w:ascii="宋体" w:hAnsi="宋体"/>
          <w:szCs w:val="21"/>
        </w:rPr>
      </w:pPr>
      <w:r>
        <w:rPr>
          <w:rFonts w:hint="eastAsia" w:ascii="宋体" w:hAnsi="宋体"/>
          <w:szCs w:val="21"/>
        </w:rPr>
        <w:t>第二章  对通用条款的补充内容及其他关键信息</w:t>
      </w:r>
    </w:p>
    <w:p w14:paraId="0ECBB114">
      <w:pPr>
        <w:ind w:firstLine="420" w:firstLineChars="200"/>
        <w:rPr>
          <w:rFonts w:hint="eastAsia" w:ascii="宋体" w:hAnsi="宋体"/>
          <w:szCs w:val="21"/>
        </w:rPr>
      </w:pPr>
      <w:r>
        <w:rPr>
          <w:rFonts w:hint="eastAsia" w:ascii="宋体" w:hAnsi="宋体"/>
          <w:szCs w:val="21"/>
        </w:rPr>
        <w:t>第三章  用户需求书</w:t>
      </w:r>
    </w:p>
    <w:p w14:paraId="3BAE96D9">
      <w:pPr>
        <w:ind w:firstLine="420" w:firstLineChars="200"/>
        <w:rPr>
          <w:rFonts w:hint="eastAsia" w:ascii="宋体" w:hAnsi="宋体"/>
          <w:szCs w:val="21"/>
        </w:rPr>
      </w:pPr>
      <w:r>
        <w:rPr>
          <w:rFonts w:hint="eastAsia"/>
          <w:szCs w:val="21"/>
        </w:rPr>
        <w:t>第四章</w:t>
      </w:r>
      <w:r>
        <w:rPr>
          <w:szCs w:val="21"/>
        </w:rPr>
        <w:t xml:space="preserve">  </w:t>
      </w:r>
      <w:r>
        <w:rPr>
          <w:rFonts w:hint="eastAsia"/>
          <w:szCs w:val="21"/>
        </w:rPr>
        <w:t>投标文件格式及附件</w:t>
      </w:r>
    </w:p>
    <w:p w14:paraId="1402C4FD">
      <w:pPr>
        <w:ind w:firstLine="420" w:firstLineChars="200"/>
        <w:rPr>
          <w:rFonts w:hint="eastAsia" w:ascii="宋体" w:hAnsi="宋体"/>
          <w:szCs w:val="21"/>
        </w:rPr>
      </w:pPr>
      <w:r>
        <w:rPr>
          <w:rFonts w:hint="eastAsia" w:ascii="宋体" w:hAnsi="宋体"/>
          <w:szCs w:val="21"/>
        </w:rPr>
        <w:t>第五章  合同条款及格式</w:t>
      </w:r>
    </w:p>
    <w:p w14:paraId="30DA6841">
      <w:pPr>
        <w:ind w:firstLine="422" w:firstLineChars="200"/>
        <w:rPr>
          <w:rFonts w:hint="eastAsia" w:ascii="宋体" w:hAnsi="宋体"/>
          <w:b/>
          <w:szCs w:val="21"/>
        </w:rPr>
      </w:pPr>
      <w:r>
        <w:rPr>
          <w:rFonts w:hint="eastAsia" w:ascii="宋体" w:hAnsi="宋体"/>
          <w:b/>
          <w:szCs w:val="21"/>
        </w:rPr>
        <w:t>第二册  通用条款</w:t>
      </w:r>
    </w:p>
    <w:p w14:paraId="3F09C322">
      <w:pPr>
        <w:ind w:firstLine="420" w:firstLineChars="200"/>
        <w:rPr>
          <w:rFonts w:hint="eastAsia" w:ascii="宋体" w:hAnsi="宋体"/>
          <w:szCs w:val="21"/>
        </w:rPr>
      </w:pPr>
      <w:r>
        <w:rPr>
          <w:rFonts w:hint="eastAsia" w:ascii="宋体" w:hAnsi="宋体"/>
          <w:szCs w:val="21"/>
        </w:rPr>
        <w:t>第一章  总则</w:t>
      </w:r>
    </w:p>
    <w:p w14:paraId="3C8DB9A1">
      <w:pPr>
        <w:ind w:firstLine="420" w:firstLineChars="200"/>
        <w:rPr>
          <w:rFonts w:hint="eastAsia" w:ascii="宋体" w:hAnsi="宋体"/>
          <w:szCs w:val="21"/>
        </w:rPr>
      </w:pPr>
      <w:r>
        <w:rPr>
          <w:rFonts w:hint="eastAsia" w:ascii="宋体" w:hAnsi="宋体"/>
          <w:szCs w:val="21"/>
        </w:rPr>
        <w:t>第二章  招标文件</w:t>
      </w:r>
    </w:p>
    <w:p w14:paraId="75F74A08">
      <w:pPr>
        <w:ind w:firstLine="420" w:firstLineChars="200"/>
        <w:rPr>
          <w:rFonts w:hint="eastAsia" w:ascii="宋体" w:hAnsi="宋体"/>
          <w:szCs w:val="21"/>
        </w:rPr>
      </w:pPr>
      <w:r>
        <w:rPr>
          <w:rFonts w:hint="eastAsia" w:ascii="宋体" w:hAnsi="宋体"/>
          <w:szCs w:val="21"/>
        </w:rPr>
        <w:t>第三章  投标文件的编制</w:t>
      </w:r>
    </w:p>
    <w:p w14:paraId="09CC046F">
      <w:pPr>
        <w:ind w:firstLine="420" w:firstLineChars="200"/>
        <w:rPr>
          <w:rFonts w:hint="eastAsia" w:ascii="宋体" w:hAnsi="宋体"/>
          <w:szCs w:val="21"/>
        </w:rPr>
      </w:pPr>
      <w:r>
        <w:rPr>
          <w:rFonts w:hint="eastAsia" w:ascii="宋体" w:hAnsi="宋体"/>
          <w:szCs w:val="21"/>
        </w:rPr>
        <w:t>第四章  投标文件的递交</w:t>
      </w:r>
    </w:p>
    <w:p w14:paraId="16479E9B">
      <w:pPr>
        <w:ind w:firstLine="420" w:firstLineChars="200"/>
        <w:rPr>
          <w:rFonts w:hint="eastAsia" w:ascii="宋体" w:hAnsi="宋体"/>
          <w:szCs w:val="21"/>
        </w:rPr>
      </w:pPr>
      <w:r>
        <w:rPr>
          <w:rFonts w:hint="eastAsia" w:ascii="宋体" w:hAnsi="宋体"/>
          <w:szCs w:val="21"/>
        </w:rPr>
        <w:t>第五章  开标</w:t>
      </w:r>
    </w:p>
    <w:p w14:paraId="74224CA0">
      <w:pPr>
        <w:ind w:firstLine="420" w:firstLineChars="200"/>
        <w:rPr>
          <w:rFonts w:hint="eastAsia" w:ascii="宋体" w:hAnsi="宋体"/>
          <w:szCs w:val="21"/>
        </w:rPr>
      </w:pPr>
      <w:r>
        <w:rPr>
          <w:rFonts w:hint="eastAsia" w:ascii="宋体" w:hAnsi="宋体"/>
          <w:szCs w:val="21"/>
        </w:rPr>
        <w:t>第六章  评审要求</w:t>
      </w:r>
    </w:p>
    <w:p w14:paraId="7F229408">
      <w:pPr>
        <w:ind w:firstLine="420" w:firstLineChars="200"/>
        <w:rPr>
          <w:rFonts w:hint="eastAsia" w:ascii="宋体" w:hAnsi="宋体"/>
          <w:szCs w:val="21"/>
        </w:rPr>
      </w:pPr>
      <w:r>
        <w:rPr>
          <w:rFonts w:hint="eastAsia" w:ascii="宋体" w:hAnsi="宋体"/>
          <w:szCs w:val="21"/>
        </w:rPr>
        <w:t>第七章  评审程序及评审方法</w:t>
      </w:r>
    </w:p>
    <w:p w14:paraId="6F83DDEA">
      <w:pPr>
        <w:ind w:firstLine="420" w:firstLineChars="200"/>
        <w:rPr>
          <w:rFonts w:hint="eastAsia" w:ascii="宋体" w:hAnsi="宋体"/>
          <w:szCs w:val="21"/>
        </w:rPr>
      </w:pPr>
      <w:r>
        <w:rPr>
          <w:rFonts w:hint="eastAsia" w:ascii="宋体" w:hAnsi="宋体"/>
          <w:szCs w:val="21"/>
        </w:rPr>
        <w:t>第八章  定标及公示</w:t>
      </w:r>
    </w:p>
    <w:p w14:paraId="2224E831">
      <w:pPr>
        <w:ind w:firstLine="420" w:firstLineChars="200"/>
        <w:rPr>
          <w:rFonts w:hint="eastAsia" w:ascii="宋体" w:hAnsi="宋体"/>
          <w:szCs w:val="21"/>
        </w:rPr>
      </w:pPr>
      <w:r>
        <w:rPr>
          <w:rFonts w:hint="eastAsia" w:ascii="宋体" w:hAnsi="宋体"/>
          <w:szCs w:val="21"/>
        </w:rPr>
        <w:t>第九章  公开招标失败的后续处理</w:t>
      </w:r>
    </w:p>
    <w:p w14:paraId="7CA26661">
      <w:pPr>
        <w:ind w:firstLine="420" w:firstLineChars="200"/>
        <w:rPr>
          <w:rFonts w:hint="eastAsia" w:ascii="宋体" w:hAnsi="宋体"/>
          <w:szCs w:val="21"/>
        </w:rPr>
      </w:pPr>
      <w:r>
        <w:rPr>
          <w:rFonts w:hint="eastAsia" w:ascii="宋体" w:hAnsi="宋体"/>
          <w:szCs w:val="21"/>
        </w:rPr>
        <w:t>第十章  合同的授予与备案</w:t>
      </w:r>
    </w:p>
    <w:p w14:paraId="4CF1A2FE">
      <w:pPr>
        <w:ind w:firstLine="420" w:firstLineChars="200"/>
        <w:rPr>
          <w:rFonts w:hint="eastAsia" w:ascii="宋体" w:hAnsi="宋体"/>
          <w:szCs w:val="21"/>
        </w:rPr>
      </w:pPr>
      <w:r>
        <w:rPr>
          <w:rFonts w:hint="eastAsia" w:ascii="宋体" w:hAnsi="宋体"/>
          <w:szCs w:val="21"/>
        </w:rPr>
        <w:t>第十一章  质疑处理</w:t>
      </w:r>
    </w:p>
    <w:p w14:paraId="189C0664">
      <w:pPr>
        <w:ind w:firstLine="420" w:firstLineChars="200"/>
        <w:rPr>
          <w:rFonts w:hint="eastAsia" w:ascii="宋体" w:hAnsi="宋体"/>
          <w:szCs w:val="21"/>
        </w:rPr>
      </w:pPr>
      <w:r>
        <w:rPr>
          <w:rFonts w:hint="eastAsia" w:ascii="宋体" w:hAnsi="宋体"/>
          <w:szCs w:val="21"/>
        </w:rPr>
        <w:t>11.2 投标人下载招标文件后，应仔细检查招标文件的所有内容，如有疑问应在答疑截止时间之前向采购代理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14:paraId="1523E98B">
      <w:pPr>
        <w:ind w:firstLine="420" w:firstLineChars="200"/>
        <w:rPr>
          <w:rFonts w:hint="eastAsia" w:ascii="宋体" w:hAnsi="宋体"/>
          <w:szCs w:val="21"/>
        </w:rPr>
      </w:pPr>
      <w:r>
        <w:rPr>
          <w:rFonts w:hint="eastAsia" w:ascii="宋体" w:hAnsi="宋体"/>
          <w:szCs w:val="21"/>
        </w:rPr>
        <w:t>11.3任何人或任何组织向投标人提交的任何书面或口头资料，未经采购代理机构在网上发布或书面通知，均作无效处理，不得作为招标文件的组成部分。采购代理机构对投标人由此而做出的推论、理解和结论概不负责。</w:t>
      </w:r>
    </w:p>
    <w:p w14:paraId="677D91E9">
      <w:pPr>
        <w:ind w:firstLine="420" w:firstLineChars="200"/>
        <w:rPr>
          <w:rFonts w:hint="eastAsia" w:ascii="宋体" w:hAnsi="宋体"/>
          <w:szCs w:val="21"/>
        </w:rPr>
      </w:pPr>
      <w:r>
        <w:rPr>
          <w:rFonts w:hint="eastAsia" w:ascii="宋体" w:hAnsi="宋体"/>
          <w:szCs w:val="21"/>
        </w:rPr>
        <w:t>11.4</w:t>
      </w:r>
      <w:r>
        <w:rPr>
          <w:rFonts w:hint="eastAsia" w:ascii="宋体" w:hAnsi="宋体"/>
          <w:szCs w:val="21"/>
          <w:highlight w:val="cyan"/>
        </w:rPr>
        <w:t>在项目产生质疑、投诉等阶段，主管部门、采购人、代理机构、评审委员会等可以要求供应商提供原件进行核查。</w:t>
      </w:r>
    </w:p>
    <w:p w14:paraId="3B1F9072">
      <w:pPr>
        <w:ind w:firstLine="420" w:firstLineChars="200"/>
        <w:rPr>
          <w:rFonts w:hint="eastAsia" w:ascii="黑体" w:hAnsi="宋体" w:eastAsia="黑体"/>
          <w:szCs w:val="21"/>
        </w:rPr>
      </w:pPr>
      <w:r>
        <w:rPr>
          <w:rFonts w:hint="eastAsia" w:ascii="黑体" w:hAnsi="宋体" w:eastAsia="黑体"/>
          <w:szCs w:val="21"/>
        </w:rPr>
        <w:t>12．招标文件的澄清</w:t>
      </w:r>
    </w:p>
    <w:p w14:paraId="0F699287">
      <w:pPr>
        <w:ind w:firstLine="420" w:firstLineChars="200"/>
        <w:rPr>
          <w:rFonts w:hint="eastAsia" w:ascii="宋体" w:hAnsi="宋体"/>
          <w:szCs w:val="21"/>
        </w:rPr>
      </w:pPr>
      <w:r>
        <w:rPr>
          <w:rFonts w:hint="eastAsia" w:ascii="宋体" w:hAnsi="宋体"/>
          <w:szCs w:val="21"/>
        </w:rPr>
        <w:t>12.1招标文件澄清的目的是澄清、解答投标人在查阅招标文件后或现场踏勘中可能提出的与投标有关的疑问或询问。</w:t>
      </w:r>
    </w:p>
    <w:p w14:paraId="37255CC9">
      <w:pPr>
        <w:ind w:firstLine="420" w:firstLineChars="200"/>
        <w:rPr>
          <w:rFonts w:hint="eastAsia" w:ascii="宋体" w:hAnsi="宋体"/>
          <w:color w:val="FF0000"/>
          <w:szCs w:val="21"/>
          <w:highlight w:val="cyan"/>
        </w:rPr>
      </w:pPr>
      <w:r>
        <w:rPr>
          <w:rFonts w:hint="eastAsia" w:ascii="宋体" w:hAnsi="宋体"/>
          <w:color w:val="FF0000"/>
          <w:szCs w:val="21"/>
          <w:highlight w:val="cyan"/>
        </w:rPr>
        <w:t>12.2投标人如对招标文件内容有疑问，应当在招标公告规定的澄清（提问）截止时间前将疑问内容加盖公章书面提交至采购代理机构。</w:t>
      </w:r>
    </w:p>
    <w:p w14:paraId="0BE51A3B">
      <w:pPr>
        <w:ind w:firstLine="420" w:firstLineChars="200"/>
        <w:rPr>
          <w:rFonts w:hint="eastAsia" w:ascii="宋体" w:hAnsi="宋体"/>
          <w:szCs w:val="21"/>
        </w:rPr>
      </w:pPr>
      <w:r>
        <w:rPr>
          <w:rFonts w:hint="eastAsia" w:ascii="宋体" w:hAnsi="宋体"/>
          <w:szCs w:val="21"/>
        </w:rPr>
        <w:t>12.3不论是采购代理机构根据需要主动对招标文件进行必要的澄清或是根据投标人的要求对招标文件做出澄清，采购代理机构都将在投标截止日期前以书面形式（包括采购代理机构网站发布方式）答复或发送给所有投标人。答复内容是招标文件的组成部分，对投标人起约束作用，其有效性按照本通用条款第13.3、13.4款规定执行。</w:t>
      </w:r>
    </w:p>
    <w:p w14:paraId="27846873">
      <w:pPr>
        <w:ind w:firstLine="420" w:firstLineChars="200"/>
        <w:rPr>
          <w:rFonts w:hint="eastAsia" w:ascii="黑体" w:hAnsi="宋体" w:eastAsia="黑体"/>
          <w:szCs w:val="21"/>
        </w:rPr>
      </w:pPr>
      <w:r>
        <w:rPr>
          <w:rFonts w:hint="eastAsia" w:ascii="黑体" w:hAnsi="宋体" w:eastAsia="黑体"/>
          <w:szCs w:val="21"/>
        </w:rPr>
        <w:t>13．招标文件的修改</w:t>
      </w:r>
    </w:p>
    <w:p w14:paraId="413CF562">
      <w:pPr>
        <w:ind w:firstLine="420" w:firstLineChars="200"/>
        <w:rPr>
          <w:rFonts w:hint="eastAsia" w:ascii="宋体" w:hAnsi="宋体"/>
          <w:szCs w:val="21"/>
        </w:rPr>
      </w:pPr>
      <w:r>
        <w:rPr>
          <w:rFonts w:hint="eastAsia" w:ascii="宋体" w:hAnsi="宋体"/>
          <w:szCs w:val="21"/>
        </w:rPr>
        <w:t>13.1招标文件发出后，在投标截止日期前任何时候，确需要变更招标文件内容的，采购代理机构可主动或在解答投标人提出的澄清问题时对招标文件进行修改。</w:t>
      </w:r>
    </w:p>
    <w:p w14:paraId="470B65AC">
      <w:pPr>
        <w:ind w:firstLine="420" w:firstLineChars="200"/>
        <w:rPr>
          <w:rFonts w:hint="eastAsia" w:ascii="宋体" w:hAnsi="宋体"/>
          <w:szCs w:val="21"/>
        </w:rPr>
      </w:pPr>
      <w:r>
        <w:rPr>
          <w:rFonts w:hint="eastAsia" w:ascii="宋体" w:hAnsi="宋体"/>
          <w:szCs w:val="21"/>
        </w:rPr>
        <w:t>13.2招标文件的修改以书面形式（包括采购代理机构网站发布方式，如更正公告等）发送给所有投标人，招标文件的修改内容作为招标文件的组成部分，并具有约束力。</w:t>
      </w:r>
    </w:p>
    <w:p w14:paraId="660D2001">
      <w:pPr>
        <w:ind w:firstLine="420" w:firstLineChars="200"/>
        <w:rPr>
          <w:rFonts w:hint="eastAsia" w:ascii="宋体" w:hAnsi="宋体"/>
          <w:szCs w:val="21"/>
        </w:rPr>
      </w:pPr>
      <w:r>
        <w:rPr>
          <w:rFonts w:hint="eastAsia" w:ascii="宋体" w:hAnsi="宋体"/>
          <w:szCs w:val="21"/>
        </w:rPr>
        <w:t>13.3招标文件、招标文件澄清答复内容、招标文件修改补充内容均以书面形式（包括采购代理机构网站公开发布方式，如更正公告等）明确的内容为准。当招标文件、修改补充通知、招标文件澄清答复内容相互矛盾时，以最后发出的内容为准。</w:t>
      </w:r>
    </w:p>
    <w:p w14:paraId="2B38F052">
      <w:pPr>
        <w:ind w:firstLine="420" w:firstLineChars="200"/>
        <w:rPr>
          <w:rFonts w:hint="eastAsia" w:ascii="宋体" w:hAnsi="宋体"/>
          <w:szCs w:val="21"/>
        </w:rPr>
      </w:pPr>
      <w:r>
        <w:rPr>
          <w:rFonts w:hint="eastAsia" w:ascii="宋体" w:hAnsi="宋体"/>
          <w:szCs w:val="21"/>
        </w:rPr>
        <w:t>13.4采购代理机构保证招标文件澄清答复内容和招标文件修改补充内容在投标截止时间前以书面形式（包括采购代理机构网站发布方式，如更正公告等）发送给所有投标人。为使投标人在编制投标文件时有充分时间对招标文件的修改部分进行研究，采购代理机构可以酌情延长递交投标文件的截止日期。</w:t>
      </w:r>
      <w:bookmarkEnd w:id="51"/>
    </w:p>
    <w:p w14:paraId="517EADA2">
      <w:pPr>
        <w:rPr>
          <w:rFonts w:hint="eastAsia" w:ascii="宋体" w:hAnsi="宋体"/>
          <w:szCs w:val="21"/>
        </w:rPr>
      </w:pPr>
    </w:p>
    <w:p w14:paraId="1E7E8B43">
      <w:pPr>
        <w:pStyle w:val="79"/>
        <w:keepNext/>
        <w:keepLines/>
        <w:numPr>
          <w:ilvl w:val="0"/>
          <w:numId w:val="11"/>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rPr>
      </w:pPr>
      <w:r>
        <w:rPr>
          <w:rFonts w:hint="eastAsia" w:ascii="Cambria" w:hAnsi="Cambria" w:cs="宋体"/>
          <w:b/>
          <w:bCs/>
          <w:sz w:val="28"/>
          <w:szCs w:val="28"/>
        </w:rPr>
        <w:t>投标文件的编制</w:t>
      </w:r>
    </w:p>
    <w:p w14:paraId="72DDC19D">
      <w:pPr>
        <w:ind w:firstLine="420" w:firstLineChars="200"/>
        <w:rPr>
          <w:rFonts w:hint="eastAsia" w:ascii="黑体" w:hAnsi="宋体" w:eastAsia="黑体"/>
          <w:szCs w:val="21"/>
        </w:rPr>
      </w:pPr>
      <w:r>
        <w:rPr>
          <w:rFonts w:hint="eastAsia" w:ascii="黑体" w:hAnsi="宋体" w:eastAsia="黑体"/>
          <w:szCs w:val="21"/>
        </w:rPr>
        <w:t>14．</w:t>
      </w:r>
      <w:bookmarkStart w:id="52" w:name="_Hlk72400236"/>
      <w:r>
        <w:rPr>
          <w:rFonts w:hint="eastAsia" w:ascii="黑体" w:hAnsi="宋体" w:eastAsia="黑体"/>
          <w:szCs w:val="21"/>
        </w:rPr>
        <w:t>投标文件的语言及度量单位</w:t>
      </w:r>
    </w:p>
    <w:p w14:paraId="1E03760E">
      <w:pPr>
        <w:ind w:firstLine="420" w:firstLineChars="200"/>
        <w:rPr>
          <w:rFonts w:hint="eastAsia" w:ascii="宋体" w:hAnsi="宋体"/>
          <w:szCs w:val="21"/>
        </w:rPr>
      </w:pPr>
      <w:r>
        <w:rPr>
          <w:rFonts w:hint="eastAsia" w:ascii="宋体" w:hAnsi="宋体"/>
          <w:szCs w:val="21"/>
        </w:rPr>
        <w:t>14.1 投标人与采购代理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14:paraId="20A91634">
      <w:pPr>
        <w:ind w:firstLine="420" w:firstLineChars="200"/>
        <w:rPr>
          <w:rFonts w:hint="eastAsia" w:ascii="宋体" w:hAnsi="宋体"/>
          <w:szCs w:val="21"/>
        </w:rPr>
      </w:pPr>
      <w:r>
        <w:rPr>
          <w:rFonts w:hint="eastAsia" w:ascii="宋体" w:hAnsi="宋体"/>
          <w:szCs w:val="21"/>
        </w:rPr>
        <w:t>14.2 除技术规范另有规定外，投标文件使用的度量单位，均采用中华人民共和国法定计量单位。</w:t>
      </w:r>
    </w:p>
    <w:bookmarkEnd w:id="52"/>
    <w:p w14:paraId="1D924F40">
      <w:pPr>
        <w:ind w:firstLine="420" w:firstLineChars="200"/>
        <w:rPr>
          <w:rFonts w:hint="eastAsia" w:ascii="黑体" w:hAnsi="宋体" w:eastAsia="黑体"/>
          <w:szCs w:val="21"/>
        </w:rPr>
      </w:pPr>
      <w:r>
        <w:rPr>
          <w:rFonts w:hint="eastAsia" w:ascii="黑体" w:hAnsi="宋体" w:eastAsia="黑体"/>
          <w:szCs w:val="21"/>
        </w:rPr>
        <w:t>15．</w:t>
      </w:r>
      <w:bookmarkStart w:id="53" w:name="_Hlk72401567"/>
      <w:r>
        <w:rPr>
          <w:rFonts w:hint="eastAsia" w:ascii="黑体" w:hAnsi="宋体" w:eastAsia="黑体"/>
          <w:szCs w:val="21"/>
        </w:rPr>
        <w:t>投标文件的组成</w:t>
      </w:r>
    </w:p>
    <w:p w14:paraId="46F704D4">
      <w:pPr>
        <w:ind w:firstLine="420" w:firstLineChars="200"/>
        <w:rPr>
          <w:rFonts w:hint="eastAsia" w:ascii="宋体" w:hAnsi="宋体"/>
          <w:szCs w:val="21"/>
        </w:rPr>
      </w:pPr>
      <w:r>
        <w:rPr>
          <w:rFonts w:hint="eastAsia" w:ascii="宋体" w:hAnsi="宋体"/>
          <w:szCs w:val="21"/>
        </w:rPr>
        <w:t>具体内容在招标文件专用条款中进行规定。</w:t>
      </w:r>
    </w:p>
    <w:p w14:paraId="13B4D4C1">
      <w:pPr>
        <w:ind w:firstLine="420" w:firstLineChars="200"/>
        <w:rPr>
          <w:rFonts w:hint="eastAsia" w:ascii="黑体" w:hAnsi="宋体" w:eastAsia="黑体"/>
          <w:szCs w:val="21"/>
        </w:rPr>
      </w:pPr>
      <w:r>
        <w:rPr>
          <w:rFonts w:hint="eastAsia" w:ascii="黑体" w:hAnsi="宋体" w:eastAsia="黑体"/>
          <w:szCs w:val="21"/>
        </w:rPr>
        <w:t>16．投标文件格式</w:t>
      </w:r>
    </w:p>
    <w:p w14:paraId="71E9D954">
      <w:pPr>
        <w:ind w:firstLine="420" w:firstLineChars="200"/>
        <w:rPr>
          <w:rFonts w:hint="eastAsia" w:ascii="宋体" w:hAnsi="宋体"/>
          <w:szCs w:val="21"/>
        </w:rPr>
      </w:pPr>
      <w:r>
        <w:rPr>
          <w:rFonts w:hint="eastAsia" w:ascii="宋体" w:hAnsi="宋体"/>
          <w:szCs w:val="21"/>
        </w:rPr>
        <w:t>投标文件包括本通用条款第15条中规定的内容。如招标文件提供了投标文件格式，则</w:t>
      </w:r>
      <w:r>
        <w:rPr>
          <w:rFonts w:hint="eastAsia" w:ascii="宋体" w:hAnsi="宋体"/>
          <w:b/>
          <w:bCs/>
          <w:szCs w:val="21"/>
        </w:rPr>
        <w:t>投标人提交的投标文件应毫无例外地使用招标文件所提供的相应格式</w:t>
      </w:r>
      <w:r>
        <w:rPr>
          <w:rFonts w:hint="eastAsia" w:ascii="宋体" w:hAnsi="宋体"/>
          <w:szCs w:val="21"/>
        </w:rPr>
        <w:t>（表格均可按同样格式扩展）。</w:t>
      </w:r>
    </w:p>
    <w:p w14:paraId="69FCFF1E">
      <w:pPr>
        <w:ind w:firstLine="420" w:firstLineChars="200"/>
        <w:rPr>
          <w:rFonts w:hint="eastAsia" w:ascii="黑体" w:hAnsi="宋体" w:eastAsia="黑体"/>
          <w:szCs w:val="21"/>
        </w:rPr>
      </w:pPr>
      <w:r>
        <w:rPr>
          <w:rFonts w:hint="eastAsia" w:ascii="黑体" w:hAnsi="宋体" w:eastAsia="黑体"/>
          <w:szCs w:val="21"/>
        </w:rPr>
        <w:t>17．投标货币</w:t>
      </w:r>
    </w:p>
    <w:p w14:paraId="6D2311EC">
      <w:pPr>
        <w:ind w:firstLine="420" w:firstLineChars="200"/>
        <w:rPr>
          <w:rFonts w:hint="eastAsia" w:ascii="宋体" w:hAnsi="宋体"/>
          <w:szCs w:val="21"/>
        </w:rPr>
      </w:pPr>
      <w:r>
        <w:rPr>
          <w:rFonts w:hint="eastAsia" w:ascii="宋体" w:hAnsi="宋体"/>
          <w:szCs w:val="21"/>
        </w:rPr>
        <w:t>本项目的投标报价应以人民币计。</w:t>
      </w:r>
    </w:p>
    <w:bookmarkEnd w:id="53"/>
    <w:p w14:paraId="7D524030">
      <w:pPr>
        <w:ind w:firstLine="420" w:firstLineChars="200"/>
        <w:rPr>
          <w:rFonts w:hint="eastAsia" w:ascii="黑体" w:hAnsi="宋体" w:eastAsia="黑体"/>
          <w:szCs w:val="21"/>
        </w:rPr>
      </w:pPr>
      <w:r>
        <w:rPr>
          <w:rFonts w:hint="eastAsia" w:ascii="黑体" w:hAnsi="宋体" w:eastAsia="黑体"/>
          <w:szCs w:val="21"/>
        </w:rPr>
        <w:t>18．</w:t>
      </w:r>
      <w:bookmarkStart w:id="54" w:name="_Hlk72401735"/>
      <w:r>
        <w:rPr>
          <w:rFonts w:hint="eastAsia" w:ascii="黑体" w:hAnsi="宋体" w:eastAsia="黑体"/>
          <w:szCs w:val="21"/>
        </w:rPr>
        <w:t>证明投标文件投标技术方案的合格性和符合招标文件规定的文件要求</w:t>
      </w:r>
    </w:p>
    <w:p w14:paraId="23022A57">
      <w:pPr>
        <w:ind w:firstLine="420" w:firstLineChars="200"/>
        <w:rPr>
          <w:rFonts w:hint="eastAsia" w:ascii="宋体" w:hAnsi="宋体"/>
          <w:szCs w:val="21"/>
        </w:rPr>
      </w:pPr>
      <w:r>
        <w:rPr>
          <w:rFonts w:hint="eastAsia" w:ascii="宋体" w:hAnsi="宋体"/>
          <w:szCs w:val="21"/>
        </w:rPr>
        <w:t>18.1 投标人应提交证明文件，证明其投标技术方案项下的货物和服务的合格性符合招标文件规定。该投标技术方案及其证明文件均作为投标文件组成部分。</w:t>
      </w:r>
    </w:p>
    <w:p w14:paraId="73FC64E5">
      <w:pPr>
        <w:ind w:firstLine="420" w:firstLineChars="200"/>
        <w:rPr>
          <w:rFonts w:hint="eastAsia" w:ascii="宋体" w:hAnsi="宋体"/>
          <w:szCs w:val="21"/>
        </w:rPr>
      </w:pPr>
      <w:r>
        <w:rPr>
          <w:rFonts w:hint="eastAsia" w:ascii="宋体" w:hAnsi="宋体"/>
          <w:szCs w:val="21"/>
        </w:rPr>
        <w:t>18.2 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14:paraId="0B571474">
      <w:pPr>
        <w:ind w:firstLine="420" w:firstLineChars="200"/>
        <w:rPr>
          <w:rFonts w:hint="eastAsia" w:ascii="宋体" w:hAnsi="宋体"/>
          <w:szCs w:val="21"/>
        </w:rPr>
      </w:pPr>
      <w:r>
        <w:rPr>
          <w:rFonts w:hint="eastAsia" w:ascii="宋体" w:hAnsi="宋体"/>
          <w:szCs w:val="21"/>
        </w:rPr>
        <w:t>18.2.1主要技术指标和性能的详细说明。</w:t>
      </w:r>
    </w:p>
    <w:p w14:paraId="4748C4CB">
      <w:pPr>
        <w:ind w:firstLine="420" w:firstLineChars="200"/>
        <w:rPr>
          <w:rFonts w:hint="eastAsia" w:ascii="宋体" w:hAnsi="宋体"/>
          <w:szCs w:val="21"/>
        </w:rPr>
      </w:pPr>
      <w:r>
        <w:rPr>
          <w:rFonts w:hint="eastAsia" w:ascii="宋体" w:hAnsi="宋体"/>
          <w:szCs w:val="21"/>
        </w:rPr>
        <w:t>18.2.2投标产品从采购人开始使用至招标文件中规定的周期内正常、连续地使用所必须的备件和专用工具清单，包括备件和专用工具的货源及现行价格。</w:t>
      </w:r>
    </w:p>
    <w:p w14:paraId="65AB3838">
      <w:pPr>
        <w:ind w:firstLine="420" w:firstLineChars="200"/>
        <w:rPr>
          <w:rFonts w:hint="eastAsia" w:ascii="宋体" w:hAnsi="宋体"/>
          <w:szCs w:val="21"/>
        </w:rPr>
      </w:pPr>
      <w:r>
        <w:rPr>
          <w:rFonts w:hint="eastAsia" w:ascii="宋体" w:hAnsi="宋体"/>
          <w:szCs w:val="21"/>
        </w:rPr>
        <w:t>18.2.3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14:paraId="409B801C">
      <w:pPr>
        <w:ind w:firstLine="420" w:firstLineChars="200"/>
        <w:rPr>
          <w:rFonts w:hint="eastAsia" w:ascii="宋体" w:hAnsi="宋体"/>
          <w:szCs w:val="21"/>
        </w:rPr>
      </w:pPr>
      <w:r>
        <w:rPr>
          <w:rFonts w:hint="eastAsia" w:ascii="宋体" w:hAnsi="宋体"/>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hint="eastAsia"/>
          <w:szCs w:val="21"/>
        </w:rPr>
        <w:t>清晰度要求能够使用电脑阅读、识别和判断</w:t>
      </w:r>
      <w:r>
        <w:rPr>
          <w:rFonts w:hint="eastAsia" w:ascii="宋体" w:hAnsi="宋体"/>
          <w:szCs w:val="21"/>
        </w:rPr>
        <w:t>；</w:t>
      </w:r>
    </w:p>
    <w:p w14:paraId="50DCD720">
      <w:pPr>
        <w:ind w:firstLine="420" w:firstLineChars="200"/>
        <w:rPr>
          <w:rFonts w:hint="eastAsia" w:ascii="宋体" w:hAnsi="宋体"/>
          <w:szCs w:val="21"/>
        </w:rPr>
      </w:pPr>
      <w:r>
        <w:rPr>
          <w:rFonts w:hint="eastAsia" w:ascii="宋体" w:hAnsi="宋体"/>
          <w:szCs w:val="21"/>
        </w:rPr>
        <w:t>18.2.5我国政府机构出具的产品检验和核准证件应为证件正面、背面和附件标注的全部具体内容；产品检验和核准证件的尺寸和清晰度应该能够在电脑上被阅读、识别和判断，提供原件扫描件。</w:t>
      </w:r>
    </w:p>
    <w:p w14:paraId="704007BE">
      <w:pPr>
        <w:ind w:firstLine="420" w:firstLineChars="200"/>
        <w:rPr>
          <w:rFonts w:hint="eastAsia" w:ascii="宋体" w:hAnsi="宋体"/>
          <w:szCs w:val="21"/>
        </w:rPr>
      </w:pPr>
      <w:r>
        <w:rPr>
          <w:rFonts w:hint="eastAsia" w:ascii="宋体" w:hAnsi="宋体"/>
          <w:szCs w:val="21"/>
        </w:rPr>
        <w:t>18.3相关资料不符合18.2款要求的，评审委员会有权认定为投标技术方案不合格响应，其相关分数予以扣减或作投标无效处理。</w:t>
      </w:r>
    </w:p>
    <w:p w14:paraId="13A516E4">
      <w:pPr>
        <w:ind w:firstLine="420" w:firstLineChars="200"/>
        <w:rPr>
          <w:rFonts w:hint="eastAsia" w:ascii="宋体" w:hAnsi="宋体"/>
          <w:szCs w:val="21"/>
        </w:rPr>
      </w:pPr>
      <w:r>
        <w:rPr>
          <w:rFonts w:hint="eastAsia" w:ascii="宋体" w:hAnsi="宋体"/>
          <w:szCs w:val="21"/>
        </w:rPr>
        <w:t>18.4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hint="eastAsia"/>
          <w:szCs w:val="21"/>
        </w:rPr>
        <w:t>满足要求</w:t>
      </w:r>
      <w:r>
        <w:rPr>
          <w:rFonts w:hint="eastAsia" w:ascii="宋体" w:hAnsi="宋体"/>
          <w:szCs w:val="21"/>
        </w:rPr>
        <w:t>，由评审委员会来评判。</w:t>
      </w:r>
    </w:p>
    <w:p w14:paraId="49A96342">
      <w:pPr>
        <w:ind w:firstLine="420" w:firstLineChars="200"/>
        <w:rPr>
          <w:rFonts w:hint="eastAsia" w:ascii="宋体" w:hAnsi="宋体"/>
          <w:szCs w:val="21"/>
        </w:rPr>
      </w:pPr>
      <w:r>
        <w:rPr>
          <w:rFonts w:hint="eastAsia" w:ascii="宋体" w:hAnsi="宋体"/>
          <w:szCs w:val="21"/>
        </w:rPr>
        <w:t>18.5除非另有规定或说明，投标人对同一项目投标时，不得同时提供两套或两套以上的投标方案。</w:t>
      </w:r>
    </w:p>
    <w:bookmarkEnd w:id="54"/>
    <w:p w14:paraId="26D8C009">
      <w:pPr>
        <w:ind w:firstLine="420" w:firstLineChars="200"/>
        <w:rPr>
          <w:rFonts w:hint="eastAsia" w:ascii="黑体" w:hAnsi="宋体" w:eastAsia="黑体"/>
          <w:szCs w:val="21"/>
        </w:rPr>
      </w:pPr>
      <w:r>
        <w:rPr>
          <w:rFonts w:hint="eastAsia" w:ascii="黑体" w:hAnsi="宋体" w:eastAsia="黑体"/>
          <w:szCs w:val="21"/>
        </w:rPr>
        <w:t>19．</w:t>
      </w:r>
      <w:bookmarkStart w:id="55" w:name="_Hlk72402034"/>
      <w:r>
        <w:rPr>
          <w:rFonts w:hint="eastAsia" w:ascii="黑体" w:hAnsi="宋体" w:eastAsia="黑体"/>
          <w:szCs w:val="21"/>
        </w:rPr>
        <w:t>投标文件其他证明文件的要求</w:t>
      </w:r>
    </w:p>
    <w:p w14:paraId="17D70B8D">
      <w:pPr>
        <w:ind w:firstLine="420" w:firstLineChars="200"/>
        <w:rPr>
          <w:rFonts w:hint="eastAsia" w:ascii="宋体" w:hAnsi="宋体"/>
          <w:color w:val="FF0000"/>
          <w:szCs w:val="21"/>
        </w:rPr>
      </w:pPr>
      <w:r>
        <w:rPr>
          <w:rFonts w:hint="eastAsia" w:ascii="宋体" w:hAnsi="宋体"/>
          <w:szCs w:val="21"/>
        </w:rPr>
        <w:t>19.1采用综合评分法的项目，对项目招标文件《评标信息》评分项中涉及的相关业绩、社保情况等内容以及《资格性审查表》和《符合性审查表》中涉及的证明材料，投标人应提供相关部门出具的证明材料扫描件或照片。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56" w:name="_Hlk71407299"/>
    </w:p>
    <w:bookmarkEnd w:id="56"/>
    <w:p w14:paraId="24DF53D7">
      <w:pPr>
        <w:ind w:firstLine="420" w:firstLineChars="200"/>
        <w:rPr>
          <w:rFonts w:hint="eastAsia" w:ascii="宋体" w:hAnsi="宋体"/>
          <w:szCs w:val="21"/>
        </w:rPr>
      </w:pPr>
      <w:r>
        <w:rPr>
          <w:rFonts w:hint="eastAsia" w:ascii="宋体" w:hAnsi="宋体"/>
          <w:szCs w:val="21"/>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14:paraId="50B11991">
      <w:pPr>
        <w:ind w:firstLine="420" w:firstLineChars="200"/>
        <w:rPr>
          <w:rFonts w:hint="eastAsia" w:ascii="黑体" w:hAnsi="宋体" w:eastAsia="黑体"/>
          <w:szCs w:val="21"/>
        </w:rPr>
      </w:pPr>
      <w:r>
        <w:rPr>
          <w:rFonts w:hint="eastAsia" w:ascii="黑体" w:hAnsi="宋体" w:eastAsia="黑体"/>
          <w:szCs w:val="21"/>
        </w:rPr>
        <w:t>20．投标有效期</w:t>
      </w:r>
    </w:p>
    <w:bookmarkEnd w:id="55"/>
    <w:p w14:paraId="0CBD9DD7">
      <w:pPr>
        <w:ind w:firstLine="420" w:firstLineChars="200"/>
        <w:rPr>
          <w:rFonts w:hint="eastAsia" w:ascii="宋体" w:hAnsi="宋体"/>
          <w:szCs w:val="21"/>
        </w:rPr>
      </w:pPr>
      <w:bookmarkStart w:id="57" w:name="_Hlk72402214"/>
      <w:r>
        <w:rPr>
          <w:rFonts w:hint="eastAsia" w:ascii="宋体" w:hAnsi="宋体"/>
          <w:szCs w:val="21"/>
        </w:rPr>
        <w:t>20.1 投标有效期为</w:t>
      </w:r>
      <w:r>
        <w:rPr>
          <w:rFonts w:hint="eastAsia" w:ascii="Arial" w:hAnsi="Arial" w:cs="Arial"/>
          <w:szCs w:val="21"/>
        </w:rPr>
        <w:t>从投标截止之日算起的日历天数。</w:t>
      </w:r>
      <w:r>
        <w:rPr>
          <w:rFonts w:hint="eastAsia" w:ascii="宋体" w:hAnsi="宋体"/>
          <w:szCs w:val="21"/>
        </w:rPr>
        <w:t>在此期限内，所有投标文件均保持有效。</w:t>
      </w:r>
    </w:p>
    <w:p w14:paraId="196CA5FD">
      <w:pPr>
        <w:ind w:firstLine="420" w:firstLineChars="200"/>
        <w:rPr>
          <w:rFonts w:hint="eastAsia" w:ascii="宋体" w:hAnsi="宋体"/>
          <w:szCs w:val="21"/>
        </w:rPr>
      </w:pPr>
      <w:r>
        <w:rPr>
          <w:rFonts w:hint="eastAsia" w:ascii="宋体" w:hAnsi="宋体"/>
          <w:szCs w:val="21"/>
        </w:rPr>
        <w:t>20.2 在特殊情况下，采购代理机构在原定的投标有效期满之前，采购代理机构可以根据需要以书面形式（包括采购代理机构网站公开发布方式）向投标人提出延长投标有效期的要求，对此要求投标人须以书面形式予以答复，投标人可以拒绝采购代理机构此项要求，其投标在原投标有效期满后不再有效。同意延长投标有效期的投标人不能要求也不允许修改其投标文件。</w:t>
      </w:r>
    </w:p>
    <w:p w14:paraId="0BACA056">
      <w:pPr>
        <w:ind w:firstLine="420" w:firstLineChars="200"/>
        <w:rPr>
          <w:rFonts w:hint="eastAsia" w:ascii="宋体" w:hAnsi="宋体"/>
          <w:szCs w:val="21"/>
        </w:rPr>
      </w:pPr>
      <w:r>
        <w:rPr>
          <w:rFonts w:hint="eastAsia" w:ascii="宋体" w:hAnsi="宋体"/>
          <w:szCs w:val="21"/>
        </w:rPr>
        <w:t>20.3 中标供应商的投标文件有效期，截止于完成本招标文件规定的全部项目内容，并通过竣工验收及保修期结束。</w:t>
      </w:r>
    </w:p>
    <w:bookmarkEnd w:id="57"/>
    <w:p w14:paraId="48BC4936">
      <w:pPr>
        <w:ind w:firstLine="420" w:firstLineChars="200"/>
        <w:rPr>
          <w:rFonts w:hint="eastAsia" w:ascii="黑体" w:hAnsi="宋体" w:eastAsia="黑体"/>
          <w:szCs w:val="21"/>
        </w:rPr>
      </w:pPr>
      <w:r>
        <w:rPr>
          <w:rFonts w:hint="eastAsia" w:ascii="黑体" w:hAnsi="宋体" w:eastAsia="黑体"/>
          <w:szCs w:val="21"/>
        </w:rPr>
        <w:t>21．</w:t>
      </w:r>
      <w:bookmarkStart w:id="58" w:name="_Hlk72402325"/>
      <w:r>
        <w:rPr>
          <w:rFonts w:hint="eastAsia" w:ascii="黑体" w:hAnsi="宋体" w:eastAsia="黑体"/>
          <w:szCs w:val="21"/>
        </w:rPr>
        <w:t xml:space="preserve">关于投标保证金 </w:t>
      </w:r>
    </w:p>
    <w:p w14:paraId="5C09E316">
      <w:pPr>
        <w:ind w:firstLine="420" w:firstLineChars="200"/>
        <w:rPr>
          <w:rFonts w:hint="eastAsia" w:ascii="宋体" w:hAnsi="宋体"/>
          <w:szCs w:val="21"/>
        </w:rPr>
      </w:pPr>
      <w:r>
        <w:rPr>
          <w:rFonts w:hint="eastAsia" w:ascii="宋体" w:hAnsi="宋体"/>
          <w:szCs w:val="21"/>
        </w:rPr>
        <w:t>21.1</w:t>
      </w:r>
      <w:r>
        <w:rPr>
          <w:rFonts w:hint="eastAsia"/>
          <w:szCs w:val="21"/>
        </w:rPr>
        <w:t>根据《深圳市财政局关于调整政府采购投标（响应）保证金管理政策的通知》（深财购〔</w:t>
      </w:r>
      <w:r>
        <w:rPr>
          <w:szCs w:val="21"/>
        </w:rPr>
        <w:t>2021</w:t>
      </w:r>
      <w:r>
        <w:rPr>
          <w:rFonts w:hint="eastAsia"/>
          <w:szCs w:val="21"/>
        </w:rPr>
        <w:t>〕</w:t>
      </w:r>
      <w:r>
        <w:rPr>
          <w:szCs w:val="21"/>
        </w:rPr>
        <w:t>51</w:t>
      </w:r>
      <w:r>
        <w:rPr>
          <w:rFonts w:hint="eastAsia"/>
          <w:szCs w:val="21"/>
        </w:rPr>
        <w:t>号）文的规定，本项目不收取投标保证金。</w:t>
      </w:r>
    </w:p>
    <w:p w14:paraId="41563514">
      <w:pPr>
        <w:ind w:firstLine="420" w:firstLineChars="200"/>
        <w:rPr>
          <w:rFonts w:hint="eastAsia" w:ascii="黑体" w:hAnsi="宋体" w:eastAsia="黑体"/>
          <w:szCs w:val="21"/>
        </w:rPr>
      </w:pPr>
      <w:r>
        <w:rPr>
          <w:rFonts w:hint="eastAsia" w:ascii="黑体" w:hAnsi="宋体" w:eastAsia="黑体"/>
          <w:szCs w:val="21"/>
        </w:rPr>
        <w:t>22．投标人的替代方案</w:t>
      </w:r>
    </w:p>
    <w:p w14:paraId="47740AF4">
      <w:pPr>
        <w:ind w:firstLine="420" w:firstLineChars="200"/>
        <w:rPr>
          <w:rFonts w:hint="eastAsia" w:ascii="宋体" w:hAnsi="宋体"/>
          <w:szCs w:val="21"/>
        </w:rPr>
      </w:pPr>
      <w:r>
        <w:rPr>
          <w:rFonts w:hint="eastAsia" w:ascii="宋体" w:hAnsi="宋体"/>
          <w:szCs w:val="21"/>
        </w:rPr>
        <w:t>22.1投标人所提交的投标文件应完全满足招标文件（包括图纸和技术规范所示的基本技术设计）的要求。除非项目明确允许投标人提交替代方案，否则投标人有关替代方案的条款将初审不通过，作投标无效处理。</w:t>
      </w:r>
    </w:p>
    <w:p w14:paraId="1AFABC72">
      <w:pPr>
        <w:ind w:firstLine="420" w:firstLineChars="200"/>
        <w:rPr>
          <w:rFonts w:hint="eastAsia" w:ascii="宋体" w:hAnsi="宋体"/>
          <w:szCs w:val="21"/>
        </w:rPr>
      </w:pPr>
      <w:r>
        <w:rPr>
          <w:rFonts w:hint="eastAsia" w:ascii="宋体" w:hAnsi="宋体"/>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bookmarkEnd w:id="58"/>
    <w:p w14:paraId="27E553FE">
      <w:pPr>
        <w:ind w:firstLine="420" w:firstLineChars="200"/>
        <w:rPr>
          <w:rFonts w:hint="eastAsia" w:ascii="黑体" w:hAnsi="宋体" w:eastAsia="黑体"/>
          <w:szCs w:val="21"/>
        </w:rPr>
      </w:pPr>
      <w:r>
        <w:rPr>
          <w:rFonts w:hint="eastAsia" w:ascii="黑体" w:hAnsi="宋体" w:eastAsia="黑体"/>
          <w:szCs w:val="21"/>
        </w:rPr>
        <w:t>23．</w:t>
      </w:r>
      <w:bookmarkStart w:id="59" w:name="_Hlk72402860"/>
      <w:r>
        <w:rPr>
          <w:rFonts w:hint="eastAsia" w:ascii="黑体" w:hAnsi="宋体" w:eastAsia="黑体"/>
          <w:szCs w:val="21"/>
        </w:rPr>
        <w:t>投标文件的制作要求</w:t>
      </w:r>
    </w:p>
    <w:p w14:paraId="574DBD56">
      <w:pPr>
        <w:ind w:firstLine="420" w:firstLineChars="200"/>
        <w:rPr>
          <w:rFonts w:hint="eastAsia" w:ascii="宋体" w:hAnsi="宋体"/>
          <w:szCs w:val="21"/>
        </w:rPr>
      </w:pPr>
      <w:r>
        <w:rPr>
          <w:rFonts w:hint="eastAsia" w:ascii="宋体" w:hAnsi="宋体"/>
          <w:szCs w:val="21"/>
        </w:rPr>
        <w:t>23.1投标人应准备所投项目的电子投标文件一份。</w:t>
      </w:r>
    </w:p>
    <w:p w14:paraId="4A31275C">
      <w:pPr>
        <w:ind w:firstLine="420" w:firstLineChars="200"/>
        <w:rPr>
          <w:rFonts w:hint="eastAsia" w:ascii="宋体" w:hAnsi="宋体"/>
          <w:szCs w:val="21"/>
        </w:rPr>
      </w:pPr>
      <w:r>
        <w:rPr>
          <w:rFonts w:hint="eastAsia" w:ascii="宋体" w:hAnsi="宋体"/>
          <w:szCs w:val="21"/>
        </w:rPr>
        <w:t>23.2投标人在使用《投标书编制软件》编制投标书时须注意：</w:t>
      </w:r>
    </w:p>
    <w:p w14:paraId="33725182">
      <w:pPr>
        <w:ind w:firstLine="420" w:firstLineChars="200"/>
        <w:rPr>
          <w:rFonts w:hint="eastAsia" w:ascii="宋体" w:hAnsi="宋体"/>
          <w:szCs w:val="21"/>
        </w:rPr>
      </w:pPr>
      <w:r>
        <w:rPr>
          <w:rFonts w:hint="eastAsia" w:ascii="宋体" w:hAnsi="宋体"/>
          <w:szCs w:val="21"/>
        </w:rPr>
        <w:t>23.2.1导入《投标书编制软件》的招标文件项目编号、包号应与以此制作的投标文件项目编号、包号一致。例如，不能将甲项目A包的招标书导入《投标书编制软件》，制作乙项目B包的投标书。</w:t>
      </w:r>
    </w:p>
    <w:p w14:paraId="31CBE914">
      <w:pPr>
        <w:ind w:firstLine="420" w:firstLineChars="200"/>
        <w:rPr>
          <w:rFonts w:hint="eastAsia" w:ascii="宋体" w:hAnsi="宋体"/>
          <w:szCs w:val="21"/>
        </w:rPr>
      </w:pPr>
      <w:r>
        <w:rPr>
          <w:rFonts w:hint="eastAsia" w:ascii="宋体" w:hAnsi="宋体"/>
          <w:szCs w:val="21"/>
        </w:rPr>
        <w:t>23.2.2不能用非本公司的电子密钥加密本公司的投标文件，或者用其它公司的登录用户上传本公司的投标文件。</w:t>
      </w:r>
    </w:p>
    <w:p w14:paraId="75D93576">
      <w:pPr>
        <w:ind w:firstLine="420" w:firstLineChars="200"/>
        <w:rPr>
          <w:rFonts w:hint="eastAsia" w:ascii="宋体" w:hAnsi="宋体"/>
          <w:szCs w:val="21"/>
        </w:rPr>
      </w:pPr>
      <w:r>
        <w:rPr>
          <w:rFonts w:hint="eastAsia" w:ascii="宋体" w:hAnsi="宋体"/>
          <w:szCs w:val="21"/>
        </w:rPr>
        <w:t>23.2.3要求用《投标书编制软件》编制投标书的包，不能用其它方式编制投标书。编制投标文件时，电脑须连通互联网。</w:t>
      </w:r>
    </w:p>
    <w:p w14:paraId="5D34E6A2">
      <w:pPr>
        <w:ind w:firstLine="420" w:firstLineChars="200"/>
        <w:rPr>
          <w:rFonts w:hint="eastAsia" w:ascii="宋体" w:hAnsi="宋体"/>
          <w:szCs w:val="21"/>
        </w:rPr>
      </w:pPr>
      <w:r>
        <w:rPr>
          <w:rFonts w:hint="eastAsia" w:ascii="宋体" w:hAnsi="宋体"/>
          <w:szCs w:val="21"/>
        </w:rPr>
        <w:t>23.2.4投标文件不能带病毒。采购代理机构将用专业杀毒软件对投标文件进行病毒检测，如果这两种软件均报告发现病毒，则采购代理机构认为该投标文件带病毒。</w:t>
      </w:r>
    </w:p>
    <w:p w14:paraId="4C93F4CF">
      <w:pPr>
        <w:ind w:firstLine="420" w:firstLineChars="200"/>
        <w:rPr>
          <w:rFonts w:hint="eastAsia" w:ascii="宋体" w:hAnsi="宋体"/>
          <w:szCs w:val="21"/>
        </w:rPr>
      </w:pPr>
      <w:r>
        <w:rPr>
          <w:rFonts w:hint="eastAsia" w:ascii="宋体" w:hAnsi="宋体"/>
          <w:szCs w:val="21"/>
        </w:rPr>
        <w:t>23.2.5</w:t>
      </w:r>
      <w:r>
        <w:rPr>
          <w:rFonts w:hint="eastAsia" w:ascii="宋体" w:hAnsi="宋体"/>
          <w:szCs w:val="21"/>
          <w:highlight w:val="cyan"/>
        </w:rPr>
        <w:t>投标人在编辑投标文件时，在投标文件目录中属于本节点内容的需在对应节点中填写，填写到其他节点后果由供应商自行承担。</w:t>
      </w:r>
    </w:p>
    <w:p w14:paraId="586246AB">
      <w:pPr>
        <w:ind w:firstLine="420" w:firstLineChars="200"/>
        <w:rPr>
          <w:rFonts w:hint="eastAsia" w:ascii="宋体" w:hAnsi="宋体"/>
          <w:szCs w:val="21"/>
        </w:rPr>
      </w:pPr>
      <w:r>
        <w:rPr>
          <w:rFonts w:hint="eastAsia" w:ascii="宋体" w:hAnsi="宋体"/>
          <w:szCs w:val="21"/>
        </w:rPr>
        <w:t>23.2.6采购代理机构不接受投标截止时间后递交的纸质、电子、传真等所有形式的投标文件。由于对网上自行采购系统操作不熟悉或自身电脑、网络等原因导致不能在投标截止时间之前上传投标文件，采购代理机构概不负责。建议于开标前一个工作日完成投标文件的制作与上传，如上传确有困难，请及时咨询。</w:t>
      </w:r>
    </w:p>
    <w:p w14:paraId="5C28A3CE">
      <w:pPr>
        <w:ind w:firstLine="420" w:firstLineChars="200"/>
        <w:rPr>
          <w:rFonts w:hint="eastAsia" w:ascii="宋体" w:hAnsi="宋体"/>
          <w:szCs w:val="21"/>
        </w:rPr>
      </w:pPr>
      <w:r>
        <w:rPr>
          <w:rFonts w:hint="eastAsia" w:ascii="宋体" w:hAnsi="宋体"/>
          <w:szCs w:val="21"/>
        </w:rPr>
        <w:t>23.2.7如果开标时出现网络故障、技术故障，影响了采购活动，采购代理机构有权采取措施如延期、接受无法从网上上传的投标书等，以保障采购活动的公开、公平和公正。</w:t>
      </w:r>
    </w:p>
    <w:p w14:paraId="2CE33BA5">
      <w:pPr>
        <w:ind w:firstLine="420" w:firstLineChars="200"/>
        <w:rPr>
          <w:rFonts w:hint="eastAsia" w:ascii="宋体" w:hAnsi="宋体"/>
          <w:szCs w:val="21"/>
        </w:rPr>
      </w:pPr>
      <w:r>
        <w:rPr>
          <w:rFonts w:hint="eastAsia" w:ascii="宋体" w:hAnsi="宋体"/>
          <w:szCs w:val="21"/>
        </w:rPr>
        <w:t>23.3电报、电话、传真形式的投标概不接受。</w:t>
      </w:r>
    </w:p>
    <w:p w14:paraId="3C83C8CE">
      <w:pPr>
        <w:ind w:firstLine="422" w:firstLineChars="200"/>
        <w:rPr>
          <w:rFonts w:hint="eastAsia" w:ascii="宋体" w:hAnsi="宋体"/>
          <w:b/>
          <w:szCs w:val="21"/>
        </w:rPr>
      </w:pPr>
      <w:r>
        <w:rPr>
          <w:rFonts w:hint="eastAsia" w:ascii="宋体" w:hAnsi="宋体"/>
          <w:b/>
          <w:szCs w:val="21"/>
        </w:rPr>
        <w:t>23.4经投标人电子密钥加密的投标文件无须盖章或签字，</w:t>
      </w:r>
      <w:r>
        <w:rPr>
          <w:rFonts w:hint="eastAsia" w:ascii="宋体" w:hAnsi="宋体"/>
          <w:szCs w:val="21"/>
        </w:rPr>
        <w:t>专用条款另有要求的除外。</w:t>
      </w:r>
    </w:p>
    <w:p w14:paraId="6D04643A">
      <w:pPr>
        <w:ind w:firstLine="422" w:firstLineChars="200"/>
        <w:rPr>
          <w:rFonts w:hint="eastAsia" w:ascii="宋体" w:hAnsi="宋体"/>
        </w:rPr>
      </w:pPr>
      <w:r>
        <w:rPr>
          <w:rFonts w:hint="eastAsia" w:ascii="宋体" w:hAnsi="宋体"/>
          <w:b/>
          <w:szCs w:val="21"/>
        </w:rPr>
        <w:t>23.5</w:t>
      </w:r>
      <w:r>
        <w:rPr>
          <w:rFonts w:hint="eastAsia" w:ascii="宋体" w:hAnsi="宋体"/>
          <w:szCs w:val="21"/>
        </w:rPr>
        <w:t xml:space="preserve"> 各类资格（资质）文件提供扫描件，专用条款另有要求的除外。</w:t>
      </w:r>
      <w:bookmarkEnd w:id="59"/>
    </w:p>
    <w:p w14:paraId="630CD496">
      <w:pPr>
        <w:ind w:firstLine="411" w:firstLineChars="196"/>
        <w:rPr>
          <w:rFonts w:hint="eastAsia" w:ascii="宋体" w:hAnsi="宋体"/>
          <w:szCs w:val="21"/>
        </w:rPr>
      </w:pPr>
    </w:p>
    <w:p w14:paraId="20C24F93">
      <w:pPr>
        <w:pStyle w:val="79"/>
        <w:keepNext/>
        <w:keepLines/>
        <w:numPr>
          <w:ilvl w:val="0"/>
          <w:numId w:val="11"/>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rPr>
      </w:pPr>
      <w:r>
        <w:rPr>
          <w:rFonts w:hint="eastAsia" w:ascii="Cambria" w:hAnsi="Cambria" w:cs="宋体"/>
          <w:b/>
          <w:bCs/>
          <w:sz w:val="28"/>
          <w:szCs w:val="28"/>
        </w:rPr>
        <w:t>投标文件的递交</w:t>
      </w:r>
    </w:p>
    <w:p w14:paraId="5D954150">
      <w:pPr>
        <w:ind w:firstLine="420" w:firstLineChars="200"/>
        <w:rPr>
          <w:rFonts w:hint="eastAsia" w:ascii="黑体" w:hAnsi="宋体" w:eastAsia="黑体"/>
          <w:szCs w:val="21"/>
        </w:rPr>
      </w:pPr>
      <w:bookmarkStart w:id="60" w:name="_Hlk72405459"/>
      <w:r>
        <w:rPr>
          <w:rFonts w:hint="eastAsia" w:ascii="黑体" w:hAnsi="宋体" w:eastAsia="黑体"/>
          <w:szCs w:val="21"/>
        </w:rPr>
        <w:t>24．投标文件的保密</w:t>
      </w:r>
    </w:p>
    <w:p w14:paraId="5DCB48E4">
      <w:pPr>
        <w:ind w:firstLine="420" w:firstLineChars="200"/>
        <w:rPr>
          <w:rFonts w:hint="eastAsia" w:ascii="宋体" w:hAnsi="宋体"/>
          <w:szCs w:val="21"/>
          <w:highlight w:val="cyan"/>
        </w:rPr>
      </w:pPr>
      <w:r>
        <w:rPr>
          <w:rFonts w:hint="eastAsia" w:ascii="宋体" w:hAnsi="宋体"/>
          <w:szCs w:val="21"/>
        </w:rPr>
        <w:t>24.1在投标文件制作完成后，生成后会选择是否加密投标文件，如不加密则直接点击生成文件即可，如需加密请插入CA锁，点击加密后生成文件，需输入CA锁密码即可加密成功。加密后会提示文件生成成功！</w:t>
      </w:r>
      <w:r>
        <w:rPr>
          <w:rFonts w:hint="eastAsia" w:ascii="宋体" w:hAnsi="宋体"/>
          <w:szCs w:val="21"/>
          <w:highlight w:val="cyan"/>
        </w:rPr>
        <w:t>(注意：如对投标文件加密的，则投标人必须在开标当日用加密文件时使用的锁在项目规定时间内解密！逾期未解密的作投标无效处理。)</w:t>
      </w:r>
    </w:p>
    <w:p w14:paraId="054F21CB">
      <w:pPr>
        <w:ind w:firstLine="422" w:firstLineChars="200"/>
        <w:rPr>
          <w:rFonts w:hint="eastAsia" w:ascii="宋体" w:hAnsi="宋体"/>
          <w:b/>
          <w:szCs w:val="21"/>
        </w:rPr>
      </w:pPr>
      <w:r>
        <w:rPr>
          <w:rFonts w:hint="eastAsia" w:ascii="宋体" w:hAnsi="宋体"/>
          <w:b/>
          <w:szCs w:val="21"/>
        </w:rPr>
        <w:t>24.2若采购项目出现延期情况：</w:t>
      </w:r>
    </w:p>
    <w:p w14:paraId="0D1FEF4B">
      <w:pPr>
        <w:ind w:firstLine="422" w:firstLineChars="200"/>
        <w:rPr>
          <w:rFonts w:hint="eastAsia" w:ascii="黑体" w:hAnsi="宋体" w:eastAsia="黑体"/>
          <w:b/>
          <w:szCs w:val="21"/>
          <w:highlight w:val="cyan"/>
        </w:rPr>
      </w:pPr>
      <w:r>
        <w:rPr>
          <w:rFonts w:hint="eastAsia" w:ascii="宋体" w:hAnsi="宋体"/>
          <w:b/>
          <w:szCs w:val="21"/>
          <w:highlight w:val="cyan"/>
        </w:rPr>
        <w:t>如果供下载的招标文件有更新，投标人必须重新下载招标文件、重新制作投标文件、重新上传投标文件。</w:t>
      </w:r>
    </w:p>
    <w:p w14:paraId="7E52D8F9">
      <w:pPr>
        <w:ind w:firstLine="420" w:firstLineChars="200"/>
        <w:rPr>
          <w:rFonts w:hint="eastAsia" w:ascii="黑体" w:hAnsi="宋体" w:eastAsia="黑体"/>
          <w:szCs w:val="21"/>
        </w:rPr>
      </w:pPr>
      <w:r>
        <w:rPr>
          <w:rFonts w:hint="eastAsia" w:ascii="黑体" w:hAnsi="宋体" w:eastAsia="黑体"/>
          <w:szCs w:val="21"/>
        </w:rPr>
        <w:t>25．上传投标文件及投标截止日期</w:t>
      </w:r>
    </w:p>
    <w:p w14:paraId="62F95C89">
      <w:pPr>
        <w:ind w:firstLine="420" w:firstLineChars="200"/>
        <w:rPr>
          <w:rFonts w:hint="eastAsia" w:ascii="宋体" w:hAnsi="宋体"/>
          <w:szCs w:val="21"/>
        </w:rPr>
      </w:pPr>
      <w:r>
        <w:rPr>
          <w:rFonts w:hint="eastAsia" w:ascii="宋体" w:hAnsi="宋体"/>
          <w:szCs w:val="21"/>
        </w:rPr>
        <w:t>25.1实行网上投标，投标人必须在招标文件规定的投标截止时间前用电子密钥登录“深圳市自行采购系统（https://trade.szggzy.com/ggzy/center/#/login）”上传投标文件。如上传过程中遇到问题，可拨打采购公告中的技术支持电话。如多次上传均告失败，请在投标截止时间之前携带电子投标文件送达至</w:t>
      </w:r>
      <w:r>
        <w:rPr>
          <w:rFonts w:hint="eastAsia" w:ascii="宋体" w:hAnsi="宋体"/>
          <w:b/>
          <w:bCs/>
          <w:szCs w:val="21"/>
        </w:rPr>
        <w:t>深圳公共资源交易中心（深圳交易集团有限公司政府采购业务分公司）3楼服务大厅（地址：深圳市南山区沙河西路3185号南山智谷A座深圳交易集团总部大楼）协助上传，但上传过程中投标截止时间到达仍无法上传成功的，由投标人自行负责</w:t>
      </w:r>
      <w:r>
        <w:rPr>
          <w:rFonts w:hint="eastAsia" w:ascii="宋体" w:hAnsi="宋体"/>
          <w:szCs w:val="21"/>
        </w:rPr>
        <w:t>。</w:t>
      </w:r>
    </w:p>
    <w:p w14:paraId="7A38216C">
      <w:pPr>
        <w:ind w:firstLine="420" w:firstLineChars="200"/>
        <w:rPr>
          <w:rFonts w:hint="eastAsia" w:ascii="宋体" w:hAnsi="宋体"/>
          <w:szCs w:val="21"/>
        </w:rPr>
      </w:pPr>
      <w:r>
        <w:rPr>
          <w:rFonts w:hint="eastAsia" w:ascii="宋体" w:hAnsi="宋体"/>
          <w:szCs w:val="21"/>
        </w:rPr>
        <w:t>25.2采购代理机构可以按本通用条款第13条规定，通过修改招标文件自行决定酌情延长投标截止期。在此情况下，采购代理机构、采购人和投标人受投标截止期制约的所有权利和义务均应延长至新的截止期。</w:t>
      </w:r>
    </w:p>
    <w:p w14:paraId="312EA070">
      <w:pPr>
        <w:ind w:firstLine="420" w:firstLineChars="200"/>
        <w:rPr>
          <w:rFonts w:hint="eastAsia" w:ascii="宋体" w:hAnsi="宋体"/>
          <w:szCs w:val="21"/>
        </w:rPr>
      </w:pPr>
      <w:r>
        <w:rPr>
          <w:rFonts w:hint="eastAsia" w:ascii="宋体" w:hAnsi="宋体"/>
          <w:szCs w:val="21"/>
        </w:rPr>
        <w:t>25.3投标截止时间以后不得上传投标文件。</w:t>
      </w:r>
    </w:p>
    <w:bookmarkEnd w:id="60"/>
    <w:p w14:paraId="3D77DC94">
      <w:pPr>
        <w:ind w:firstLine="420" w:firstLineChars="200"/>
        <w:rPr>
          <w:rFonts w:hint="eastAsia" w:ascii="黑体" w:hAnsi="宋体" w:eastAsia="黑体"/>
          <w:szCs w:val="21"/>
        </w:rPr>
      </w:pPr>
      <w:r>
        <w:rPr>
          <w:rFonts w:hint="eastAsia" w:ascii="黑体" w:hAnsi="宋体" w:eastAsia="黑体"/>
          <w:szCs w:val="21"/>
        </w:rPr>
        <w:t>26. 样品、现场演示、方案讲解</w:t>
      </w:r>
    </w:p>
    <w:p w14:paraId="1E5432D4">
      <w:pPr>
        <w:ind w:firstLine="420" w:firstLineChars="200"/>
        <w:rPr>
          <w:rFonts w:hint="eastAsia" w:ascii="宋体" w:hAnsi="宋体"/>
          <w:szCs w:val="21"/>
        </w:rPr>
      </w:pPr>
      <w:r>
        <w:rPr>
          <w:rFonts w:hint="eastAsia" w:ascii="宋体" w:hAnsi="宋体"/>
          <w:szCs w:val="21"/>
        </w:rPr>
        <w:t>26.1 样品、现场演示、方案讲解等事项在招标文件专用条款中进行规定。</w:t>
      </w:r>
    </w:p>
    <w:p w14:paraId="0619CFD8">
      <w:pPr>
        <w:ind w:firstLine="420" w:firstLineChars="200"/>
        <w:rPr>
          <w:rFonts w:hint="eastAsia" w:ascii="黑体" w:hAnsi="宋体" w:eastAsia="黑体"/>
          <w:szCs w:val="21"/>
        </w:rPr>
      </w:pPr>
      <w:bookmarkStart w:id="61" w:name="_Hlk72428346"/>
      <w:r>
        <w:rPr>
          <w:rFonts w:hint="eastAsia" w:ascii="黑体" w:hAnsi="宋体" w:eastAsia="黑体"/>
          <w:szCs w:val="21"/>
        </w:rPr>
        <w:t>27．投标文件的修改和撤销</w:t>
      </w:r>
    </w:p>
    <w:p w14:paraId="45C1FEF5">
      <w:pPr>
        <w:ind w:firstLine="420" w:firstLineChars="200"/>
        <w:rPr>
          <w:rFonts w:hint="eastAsia" w:ascii="宋体" w:hAnsi="宋体"/>
          <w:szCs w:val="21"/>
        </w:rPr>
      </w:pPr>
      <w:r>
        <w:rPr>
          <w:rFonts w:hint="eastAsia" w:ascii="宋体" w:hAnsi="宋体"/>
          <w:szCs w:val="21"/>
        </w:rPr>
        <w:t>27.1投标方在提交投标文件后可对其投标文件进行修改并重新上传投标文件或在网上进行撤销投标的操作。</w:t>
      </w:r>
    </w:p>
    <w:p w14:paraId="285A1FE9">
      <w:pPr>
        <w:ind w:firstLine="420" w:firstLineChars="200"/>
        <w:rPr>
          <w:rFonts w:hint="eastAsia" w:ascii="宋体" w:hAnsi="宋体"/>
          <w:szCs w:val="21"/>
        </w:rPr>
      </w:pPr>
      <w:r>
        <w:rPr>
          <w:rFonts w:hint="eastAsia" w:ascii="宋体" w:hAnsi="宋体"/>
          <w:szCs w:val="21"/>
        </w:rPr>
        <w:t>27.2投标截止时间以后不得修改投标文件。</w:t>
      </w:r>
    </w:p>
    <w:p w14:paraId="2FA78AB7">
      <w:pPr>
        <w:ind w:firstLine="420" w:firstLineChars="200"/>
        <w:rPr>
          <w:rFonts w:hint="eastAsia" w:ascii="宋体" w:hAnsi="宋体"/>
          <w:szCs w:val="21"/>
        </w:rPr>
      </w:pPr>
      <w:r>
        <w:rPr>
          <w:rFonts w:hint="eastAsia" w:ascii="宋体" w:hAnsi="宋体"/>
          <w:szCs w:val="21"/>
        </w:rPr>
        <w:t>27.3从投标截止期至投标人在投标文件中确定的投标有效期之间的这段时间内，投标人不得撤回其投标。</w:t>
      </w:r>
    </w:p>
    <w:p w14:paraId="299C5200">
      <w:pPr>
        <w:ind w:firstLine="420" w:firstLineChars="200"/>
        <w:rPr>
          <w:rFonts w:hint="eastAsia" w:ascii="宋体" w:hAnsi="宋体"/>
          <w:szCs w:val="21"/>
        </w:rPr>
      </w:pPr>
      <w:r>
        <w:rPr>
          <w:rFonts w:hint="eastAsia" w:ascii="宋体" w:hAnsi="宋体"/>
          <w:szCs w:val="21"/>
        </w:rPr>
        <w:t>27.4采购代理机构不退还投标文件，专用条款另有规定的除外。</w:t>
      </w:r>
    </w:p>
    <w:bookmarkEnd w:id="61"/>
    <w:p w14:paraId="61FA3273">
      <w:pPr>
        <w:pStyle w:val="79"/>
        <w:keepNext/>
        <w:keepLines/>
        <w:numPr>
          <w:ilvl w:val="0"/>
          <w:numId w:val="11"/>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rPr>
      </w:pPr>
      <w:r>
        <w:rPr>
          <w:rFonts w:hint="eastAsia" w:ascii="Cambria" w:hAnsi="Cambria" w:cs="宋体"/>
          <w:b/>
          <w:bCs/>
          <w:sz w:val="28"/>
          <w:szCs w:val="28"/>
        </w:rPr>
        <w:t>开标</w:t>
      </w:r>
    </w:p>
    <w:p w14:paraId="2884268A">
      <w:pPr>
        <w:ind w:firstLine="420" w:firstLineChars="200"/>
        <w:rPr>
          <w:rFonts w:hint="eastAsia" w:ascii="黑体" w:hAnsi="宋体" w:eastAsia="黑体"/>
          <w:szCs w:val="21"/>
        </w:rPr>
      </w:pPr>
      <w:r>
        <w:rPr>
          <w:rFonts w:hint="eastAsia" w:ascii="黑体" w:hAnsi="宋体" w:eastAsia="黑体"/>
          <w:szCs w:val="21"/>
        </w:rPr>
        <w:t>28．开标</w:t>
      </w:r>
    </w:p>
    <w:p w14:paraId="5C81C73B">
      <w:pPr>
        <w:ind w:firstLine="420" w:firstLineChars="200"/>
        <w:rPr>
          <w:rFonts w:hint="eastAsia" w:ascii="宋体" w:hAnsi="宋体"/>
          <w:szCs w:val="21"/>
        </w:rPr>
      </w:pPr>
      <w:r>
        <w:rPr>
          <w:rFonts w:hint="eastAsia" w:ascii="宋体" w:hAnsi="宋体"/>
          <w:szCs w:val="21"/>
        </w:rPr>
        <w:t>28.1如对投标文件加密的，则投标人须在开标当日的开标时间至解密截止时间内进行解密，逾期未解密的作投标无效处理。解密方法：登录“深圳市自行采购系统（https://trade.szggzy.com/ggzy/center/#/login）”，使用本单位制作电子投标文件同一个电子密钥进行在线解密、查询开标情况。</w:t>
      </w:r>
    </w:p>
    <w:p w14:paraId="7E2DA71F">
      <w:pPr>
        <w:ind w:firstLine="420" w:firstLineChars="200"/>
        <w:rPr>
          <w:rFonts w:hint="eastAsia" w:ascii="宋体" w:hAnsi="宋体"/>
          <w:szCs w:val="21"/>
        </w:rPr>
      </w:pPr>
      <w:r>
        <w:rPr>
          <w:rFonts w:hint="eastAsia" w:ascii="宋体" w:hAnsi="宋体"/>
          <w:szCs w:val="21"/>
        </w:rPr>
        <w:t>28.2采购代理机构将在满足开标条件</w:t>
      </w:r>
      <w:r>
        <w:rPr>
          <w:rFonts w:hint="eastAsia" w:ascii="宋体" w:hAnsi="宋体"/>
          <w:szCs w:val="21"/>
          <w:highlight w:val="cyan"/>
        </w:rPr>
        <w:t>【解密时间结束，未对投标文件加密的供应商（未加密的投标文件无需解密）及对投标文件加密并在解密时间结束前成功解密的投标供应商数量满足开标条件后】</w:t>
      </w:r>
      <w:r>
        <w:rPr>
          <w:rFonts w:hint="eastAsia" w:ascii="宋体" w:hAnsi="宋体"/>
          <w:szCs w:val="21"/>
        </w:rPr>
        <w:t>对投标文件进行开标，并在网上公布开标结果。</w:t>
      </w:r>
    </w:p>
    <w:p w14:paraId="7288956C">
      <w:pPr>
        <w:pStyle w:val="79"/>
        <w:keepNext/>
        <w:keepLines/>
        <w:numPr>
          <w:ilvl w:val="0"/>
          <w:numId w:val="11"/>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rPr>
      </w:pPr>
      <w:r>
        <w:rPr>
          <w:rFonts w:hint="eastAsia" w:ascii="Cambria" w:hAnsi="Cambria" w:cs="宋体"/>
          <w:b/>
          <w:bCs/>
          <w:sz w:val="28"/>
          <w:szCs w:val="28"/>
        </w:rPr>
        <w:t>评审要求</w:t>
      </w:r>
    </w:p>
    <w:p w14:paraId="25F55BF3">
      <w:pPr>
        <w:ind w:firstLine="420" w:firstLineChars="200"/>
        <w:rPr>
          <w:rFonts w:hint="eastAsia" w:ascii="黑体" w:hAnsi="宋体" w:eastAsia="黑体"/>
          <w:szCs w:val="21"/>
        </w:rPr>
      </w:pPr>
      <w:r>
        <w:rPr>
          <w:rFonts w:hint="eastAsia" w:ascii="黑体" w:hAnsi="宋体" w:eastAsia="黑体"/>
          <w:szCs w:val="21"/>
        </w:rPr>
        <w:t>29．评审委员会组成</w:t>
      </w:r>
    </w:p>
    <w:p w14:paraId="5A1ADA62">
      <w:pPr>
        <w:ind w:firstLine="420" w:firstLineChars="200"/>
        <w:rPr>
          <w:rFonts w:hint="eastAsia" w:ascii="宋体" w:hAnsi="宋体"/>
          <w:szCs w:val="21"/>
        </w:rPr>
      </w:pPr>
      <w:r>
        <w:rPr>
          <w:rFonts w:hint="eastAsia" w:ascii="宋体" w:hAnsi="宋体"/>
          <w:szCs w:val="21"/>
        </w:rPr>
        <w:t>29.1网上开标结束后召开评审会议，评审委员会由采购代理机构依法组建，负责评审活动。</w:t>
      </w:r>
    </w:p>
    <w:p w14:paraId="32642735">
      <w:pPr>
        <w:ind w:firstLine="420" w:firstLineChars="200"/>
        <w:rPr>
          <w:rFonts w:hint="eastAsia" w:ascii="宋体" w:hAnsi="宋体"/>
          <w:color w:val="FF0000"/>
          <w:szCs w:val="21"/>
        </w:rPr>
      </w:pPr>
      <w:bookmarkStart w:id="62" w:name="_Hlk72436580"/>
      <w:r>
        <w:rPr>
          <w:rFonts w:hint="eastAsia" w:ascii="宋体" w:hAnsi="宋体"/>
          <w:szCs w:val="21"/>
        </w:rPr>
        <w:t>评审委员会由采购人代表和评审专家组成，成员人数应当为5人以上单数（部分条件下为7人以上单数），其中评审专家不得少于成员总数的三分之二。</w:t>
      </w:r>
      <w:bookmarkEnd w:id="62"/>
      <w:r>
        <w:rPr>
          <w:rFonts w:hint="eastAsia" w:ascii="宋体" w:hAnsi="宋体"/>
          <w:szCs w:val="21"/>
        </w:rPr>
        <w:t>评定</w:t>
      </w:r>
      <w:r>
        <w:rPr>
          <w:rFonts w:hint="eastAsia"/>
          <w:szCs w:val="21"/>
        </w:rPr>
        <w:t>分离项目评审专家均由评审专家组成。</w:t>
      </w:r>
      <w:r>
        <w:rPr>
          <w:rFonts w:hint="eastAsia" w:ascii="宋体" w:hAnsi="宋体"/>
          <w:szCs w:val="21"/>
        </w:rPr>
        <w:t>评审专家一般是从深圳市政府采购评审专家库中随机抽取。采购人代表须持本单位签发的《评审授权书》参加评审。</w:t>
      </w:r>
      <w:r>
        <w:rPr>
          <w:rFonts w:hint="eastAsia" w:ascii="宋体" w:hAnsi="宋体"/>
          <w:color w:val="FF0000"/>
          <w:szCs w:val="21"/>
        </w:rPr>
        <w:t>根据财政部门要求，将食材、物业管理、清扫保洁、保安服务、家具、窗帘、园林绿化、社工服务、“城市管家”九类采购项目作为严管项目，实行“通用品目+专业品目”组合抽取制。严管项目的范围由市财政部门根据监管需要适时调整。上述所称专业品目是指，与项目采购标的相对应的品目，具体由采购人商采购代理机构根据项目需求自主确定。通用品目具体由会计、审计、法律、人力资源管理、资产评估、金融服务品目下的所有专家合并组成。专业品目下产生的专家人数占抽取总人数的比例不得超过50%（含本数），除此之外的专家均从通用品目库中随机抽取。注：论证专家抽取规则无需按此要求执行，具体严管项目的范围由市财政部门根据监管需要适时调整。</w:t>
      </w:r>
    </w:p>
    <w:p w14:paraId="1B922E1F">
      <w:pPr>
        <w:ind w:firstLine="420" w:firstLineChars="200"/>
        <w:rPr>
          <w:rFonts w:hint="eastAsia" w:ascii="宋体" w:hAnsi="宋体"/>
          <w:szCs w:val="21"/>
        </w:rPr>
      </w:pPr>
      <w:r>
        <w:rPr>
          <w:rFonts w:hint="eastAsia" w:ascii="宋体" w:hAnsi="宋体"/>
          <w:szCs w:val="21"/>
        </w:rPr>
        <w:t>29.2评审定标应当遵循公平、公正、科学、择优的原则。</w:t>
      </w:r>
    </w:p>
    <w:p w14:paraId="09528FA9">
      <w:pPr>
        <w:ind w:firstLine="420" w:firstLineChars="200"/>
        <w:rPr>
          <w:rFonts w:hint="eastAsia" w:ascii="宋体" w:hAnsi="宋体"/>
          <w:szCs w:val="21"/>
        </w:rPr>
      </w:pPr>
      <w:r>
        <w:rPr>
          <w:rFonts w:hint="eastAsia" w:ascii="宋体" w:hAnsi="宋体"/>
          <w:szCs w:val="21"/>
        </w:rPr>
        <w:t>29.3评审活动依法进行，任何单位和个人不得非法干预评标过程和结果。</w:t>
      </w:r>
    </w:p>
    <w:p w14:paraId="5DF400C4">
      <w:pPr>
        <w:ind w:firstLine="420" w:firstLineChars="200"/>
        <w:rPr>
          <w:rFonts w:hint="eastAsia" w:ascii="宋体" w:hAnsi="宋体"/>
          <w:szCs w:val="21"/>
        </w:rPr>
      </w:pPr>
      <w:r>
        <w:rPr>
          <w:rFonts w:hint="eastAsia" w:ascii="宋体" w:hAnsi="宋体"/>
          <w:szCs w:val="21"/>
        </w:rPr>
        <w:t>29.4评审过程中不允许违背评标程序或采用招标文件未载明的评标方法或评标因素进行评标。</w:t>
      </w:r>
    </w:p>
    <w:p w14:paraId="28FA697C">
      <w:pPr>
        <w:ind w:firstLine="420" w:firstLineChars="200"/>
        <w:rPr>
          <w:rFonts w:hint="eastAsia" w:ascii="宋体" w:hAnsi="宋体"/>
          <w:bCs/>
          <w:szCs w:val="21"/>
        </w:rPr>
      </w:pPr>
      <w:r>
        <w:rPr>
          <w:rFonts w:hint="eastAsia" w:ascii="宋体" w:hAnsi="宋体"/>
          <w:bCs/>
          <w:szCs w:val="21"/>
        </w:rPr>
        <w:t>29.5 开标后，直到签订合同为止，凡属于对投标文件的审查、澄清、评价和比较的有关资料以及中标候选人的推荐情况、与评审有关的其他任何情况均严格保密（</w:t>
      </w:r>
      <w:r>
        <w:rPr>
          <w:rFonts w:hint="eastAsia"/>
          <w:szCs w:val="21"/>
        </w:rPr>
        <w:t>信息公开的内容除外</w:t>
      </w:r>
      <w:r>
        <w:rPr>
          <w:rFonts w:hint="eastAsia" w:ascii="宋体" w:hAnsi="宋体"/>
          <w:bCs/>
          <w:szCs w:val="21"/>
        </w:rPr>
        <w:t>）。</w:t>
      </w:r>
    </w:p>
    <w:p w14:paraId="22670CEB">
      <w:pPr>
        <w:ind w:firstLine="420" w:firstLineChars="200"/>
        <w:rPr>
          <w:rFonts w:hint="eastAsia" w:ascii="黑体" w:hAnsi="宋体" w:eastAsia="黑体"/>
          <w:szCs w:val="21"/>
        </w:rPr>
      </w:pPr>
      <w:r>
        <w:rPr>
          <w:rFonts w:hint="eastAsia" w:ascii="黑体" w:hAnsi="宋体" w:eastAsia="黑体"/>
          <w:szCs w:val="21"/>
        </w:rPr>
        <w:t>30．向评审委员会提供的资料</w:t>
      </w:r>
    </w:p>
    <w:p w14:paraId="32887156">
      <w:pPr>
        <w:ind w:firstLine="420" w:firstLineChars="200"/>
        <w:rPr>
          <w:rFonts w:hint="eastAsia" w:ascii="宋体" w:hAnsi="宋体"/>
          <w:szCs w:val="21"/>
        </w:rPr>
      </w:pPr>
      <w:r>
        <w:rPr>
          <w:rFonts w:hint="eastAsia" w:ascii="宋体" w:hAnsi="宋体"/>
          <w:szCs w:val="21"/>
        </w:rPr>
        <w:t>30.1公开发布的招标文件，包括图纸、服务清单、答疑文件等；</w:t>
      </w:r>
    </w:p>
    <w:p w14:paraId="0DC2D6F4">
      <w:pPr>
        <w:ind w:firstLine="420" w:firstLineChars="200"/>
        <w:rPr>
          <w:rFonts w:hint="eastAsia" w:ascii="宋体" w:hAnsi="宋体"/>
          <w:szCs w:val="21"/>
        </w:rPr>
      </w:pPr>
      <w:r>
        <w:rPr>
          <w:rFonts w:hint="eastAsia" w:ascii="宋体" w:hAnsi="宋体"/>
          <w:szCs w:val="21"/>
        </w:rPr>
        <w:t>30.2其他评标必须的资料。</w:t>
      </w:r>
    </w:p>
    <w:p w14:paraId="465C19BF">
      <w:pPr>
        <w:ind w:firstLine="420" w:firstLineChars="200"/>
        <w:rPr>
          <w:rFonts w:hint="eastAsia" w:ascii="宋体" w:hAnsi="宋体"/>
          <w:szCs w:val="21"/>
        </w:rPr>
      </w:pPr>
      <w:r>
        <w:rPr>
          <w:rFonts w:hint="eastAsia" w:ascii="宋体" w:hAnsi="宋体"/>
          <w:szCs w:val="21"/>
        </w:rPr>
        <w:t>30.3评审委员会应当认真研究招标文件，至少应了解熟悉以下内容：</w:t>
      </w:r>
    </w:p>
    <w:p w14:paraId="0AA9A345">
      <w:pPr>
        <w:ind w:firstLine="420" w:firstLineChars="200"/>
        <w:rPr>
          <w:rFonts w:hint="eastAsia" w:ascii="宋体" w:hAnsi="宋体"/>
          <w:szCs w:val="21"/>
        </w:rPr>
      </w:pPr>
      <w:r>
        <w:rPr>
          <w:rFonts w:hint="eastAsia" w:ascii="宋体" w:hAnsi="宋体"/>
          <w:szCs w:val="21"/>
        </w:rPr>
        <w:t>（1）招标的目的；</w:t>
      </w:r>
    </w:p>
    <w:p w14:paraId="43295F18">
      <w:pPr>
        <w:ind w:firstLine="420" w:firstLineChars="200"/>
        <w:rPr>
          <w:rFonts w:hint="eastAsia" w:ascii="宋体" w:hAnsi="宋体"/>
          <w:szCs w:val="21"/>
        </w:rPr>
      </w:pPr>
      <w:r>
        <w:rPr>
          <w:rFonts w:hint="eastAsia" w:ascii="宋体" w:hAnsi="宋体"/>
          <w:szCs w:val="21"/>
        </w:rPr>
        <w:t>（2）招标项目需求的范围和性质；</w:t>
      </w:r>
    </w:p>
    <w:p w14:paraId="381BABC5">
      <w:pPr>
        <w:ind w:firstLine="420" w:firstLineChars="200"/>
        <w:rPr>
          <w:rFonts w:hint="eastAsia" w:ascii="宋体" w:hAnsi="宋体"/>
          <w:szCs w:val="21"/>
        </w:rPr>
      </w:pPr>
      <w:r>
        <w:rPr>
          <w:rFonts w:hint="eastAsia" w:ascii="宋体" w:hAnsi="宋体"/>
          <w:szCs w:val="21"/>
        </w:rPr>
        <w:t>（3）招标文件规定的投标人的资格、财政预算限额、商务条款；</w:t>
      </w:r>
    </w:p>
    <w:p w14:paraId="5962B252">
      <w:pPr>
        <w:ind w:firstLine="420" w:firstLineChars="200"/>
        <w:rPr>
          <w:rFonts w:hint="eastAsia" w:ascii="宋体" w:hAnsi="宋体"/>
          <w:szCs w:val="21"/>
        </w:rPr>
      </w:pPr>
      <w:r>
        <w:rPr>
          <w:rFonts w:hint="eastAsia" w:ascii="宋体" w:hAnsi="宋体"/>
          <w:szCs w:val="21"/>
        </w:rPr>
        <w:t>（4）招标文件规定的评标程序、评标方法和评标因素；</w:t>
      </w:r>
    </w:p>
    <w:p w14:paraId="047F53B2">
      <w:pPr>
        <w:ind w:firstLine="420" w:firstLineChars="200"/>
        <w:rPr>
          <w:rFonts w:hint="eastAsia" w:ascii="宋体" w:hAnsi="宋体"/>
          <w:szCs w:val="21"/>
        </w:rPr>
      </w:pPr>
      <w:r>
        <w:rPr>
          <w:rFonts w:hint="eastAsia" w:ascii="宋体" w:hAnsi="宋体"/>
          <w:szCs w:val="21"/>
        </w:rPr>
        <w:t>（5）招标文件所列示的资格性审查表及符合性审查表。</w:t>
      </w:r>
    </w:p>
    <w:p w14:paraId="01A0B098">
      <w:pPr>
        <w:ind w:firstLine="420" w:firstLineChars="200"/>
        <w:rPr>
          <w:rFonts w:hint="eastAsia" w:ascii="黑体" w:hAnsi="宋体" w:eastAsia="黑体"/>
          <w:szCs w:val="21"/>
        </w:rPr>
      </w:pPr>
      <w:r>
        <w:rPr>
          <w:rFonts w:hint="eastAsia" w:ascii="黑体" w:hAnsi="宋体" w:eastAsia="黑体"/>
          <w:szCs w:val="21"/>
        </w:rPr>
        <w:t>31．独立评审</w:t>
      </w:r>
    </w:p>
    <w:p w14:paraId="63181C27">
      <w:pPr>
        <w:ind w:firstLine="420" w:firstLineChars="200"/>
        <w:rPr>
          <w:rFonts w:hint="eastAsia" w:ascii="宋体" w:hAnsi="宋体"/>
          <w:bCs/>
          <w:szCs w:val="21"/>
        </w:rPr>
      </w:pPr>
      <w:r>
        <w:rPr>
          <w:rFonts w:hint="eastAsia" w:ascii="宋体" w:hAnsi="宋体"/>
          <w:bCs/>
          <w:szCs w:val="21"/>
        </w:rPr>
        <w:t>31.1</w:t>
      </w:r>
      <w:r>
        <w:rPr>
          <w:rFonts w:hint="eastAsia" w:ascii="宋体" w:hAnsi="宋体"/>
          <w:szCs w:val="21"/>
        </w:rPr>
        <w:t>评审委员会</w:t>
      </w:r>
      <w:r>
        <w:rPr>
          <w:rFonts w:hint="eastAsia" w:ascii="宋体" w:hAnsi="宋体"/>
          <w:bCs/>
          <w:szCs w:val="21"/>
        </w:rPr>
        <w:t>成员的评标活动应当独立进行，并应遵循投标文件初审、澄清有关问题、比较与评价、确定中标供应商、编写评审报告的工作程序。</w:t>
      </w:r>
    </w:p>
    <w:p w14:paraId="76E21620">
      <w:pPr>
        <w:ind w:firstLine="411" w:firstLineChars="196"/>
        <w:rPr>
          <w:rFonts w:hint="eastAsia" w:ascii="宋体" w:hAnsi="宋体"/>
          <w:bCs/>
          <w:szCs w:val="21"/>
        </w:rPr>
      </w:pPr>
    </w:p>
    <w:p w14:paraId="0A5424CC">
      <w:pPr>
        <w:pStyle w:val="79"/>
        <w:keepNext/>
        <w:keepLines/>
        <w:numPr>
          <w:ilvl w:val="0"/>
          <w:numId w:val="11"/>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rPr>
      </w:pPr>
      <w:r>
        <w:rPr>
          <w:rFonts w:hint="eastAsia" w:ascii="Cambria" w:hAnsi="Cambria" w:cs="宋体"/>
          <w:b/>
          <w:bCs/>
          <w:sz w:val="28"/>
          <w:szCs w:val="28"/>
        </w:rPr>
        <w:t>评审程序及评审方法</w:t>
      </w:r>
    </w:p>
    <w:p w14:paraId="734FBE81">
      <w:pPr>
        <w:ind w:firstLine="420" w:firstLineChars="200"/>
        <w:rPr>
          <w:rFonts w:hint="eastAsia" w:ascii="黑体" w:hAnsi="宋体" w:eastAsia="黑体"/>
          <w:szCs w:val="21"/>
        </w:rPr>
      </w:pPr>
      <w:r>
        <w:rPr>
          <w:rFonts w:hint="eastAsia" w:ascii="黑体" w:hAnsi="宋体" w:eastAsia="黑体"/>
          <w:szCs w:val="21"/>
        </w:rPr>
        <w:t>32．投标文件初审</w:t>
      </w:r>
    </w:p>
    <w:p w14:paraId="68C92805">
      <w:pPr>
        <w:ind w:firstLine="420" w:firstLineChars="200"/>
        <w:rPr>
          <w:rFonts w:hint="eastAsia" w:ascii="宋体" w:hAnsi="宋体"/>
          <w:szCs w:val="21"/>
        </w:rPr>
      </w:pPr>
      <w:r>
        <w:rPr>
          <w:rFonts w:hint="eastAsia" w:ascii="宋体" w:hAnsi="宋体"/>
          <w:szCs w:val="21"/>
        </w:rPr>
        <w:t>32.1投标文件初审包括资格性审查和符合性审查。</w:t>
      </w:r>
    </w:p>
    <w:p w14:paraId="40750F2B">
      <w:pPr>
        <w:ind w:firstLine="420" w:firstLineChars="200"/>
        <w:rPr>
          <w:rFonts w:hint="eastAsia" w:ascii="宋体" w:hAnsi="宋体"/>
          <w:szCs w:val="21"/>
        </w:rPr>
      </w:pPr>
      <w:r>
        <w:rPr>
          <w:rFonts w:hint="eastAsia" w:ascii="宋体" w:hAnsi="宋体"/>
          <w:szCs w:val="21"/>
        </w:rPr>
        <w:t>资格性审查：依据法律法规和招标文件的规定，对投标文件中的资格证明等进行审查，以确定投标供应商是否具备投标资格。</w:t>
      </w:r>
    </w:p>
    <w:p w14:paraId="54942D23">
      <w:pPr>
        <w:ind w:firstLine="420" w:firstLineChars="200"/>
        <w:rPr>
          <w:rFonts w:hint="eastAsia" w:ascii="宋体" w:hAnsi="宋体"/>
          <w:szCs w:val="21"/>
        </w:rPr>
      </w:pPr>
      <w:r>
        <w:rPr>
          <w:rFonts w:hint="eastAsia" w:ascii="宋体" w:hAnsi="宋体"/>
          <w:szCs w:val="21"/>
        </w:rPr>
        <w:t>符合性审查：依据招标文件的规定，对投标文件的有效性、完整性和对招标文件的响应程度进行审查，以确定是否满足符合性审查的要求。</w:t>
      </w:r>
    </w:p>
    <w:p w14:paraId="3E9E1F5B">
      <w:pPr>
        <w:ind w:firstLine="420" w:firstLineChars="200"/>
        <w:rPr>
          <w:rFonts w:hint="eastAsia" w:ascii="宋体" w:hAnsi="宋体"/>
          <w:szCs w:val="21"/>
        </w:rPr>
      </w:pPr>
      <w:r>
        <w:rPr>
          <w:rFonts w:hint="eastAsia" w:ascii="宋体" w:hAnsi="宋体"/>
          <w:szCs w:val="21"/>
        </w:rPr>
        <w:t>32.2 投标文件初审内容请详见《资格性审查表》和《符合性审查表》部分。投标人若有一条审查不通过则按投标无效处理。</w:t>
      </w:r>
    </w:p>
    <w:p w14:paraId="27592688">
      <w:pPr>
        <w:ind w:firstLine="420" w:firstLineChars="200"/>
        <w:rPr>
          <w:rFonts w:hint="eastAsia" w:ascii="宋体" w:hAnsi="宋体"/>
          <w:bCs/>
          <w:szCs w:val="21"/>
        </w:rPr>
      </w:pPr>
      <w:r>
        <w:rPr>
          <w:rFonts w:hint="eastAsia" w:ascii="宋体" w:hAnsi="宋体"/>
          <w:bCs/>
          <w:szCs w:val="21"/>
        </w:rPr>
        <w:t>32.3 投标文件初审中关于供应商家数的计算:</w:t>
      </w:r>
    </w:p>
    <w:p w14:paraId="23631F55">
      <w:pPr>
        <w:ind w:firstLine="420" w:firstLineChars="200"/>
        <w:rPr>
          <w:rFonts w:hint="eastAsia" w:ascii="宋体" w:hAnsi="宋体"/>
          <w:bCs/>
          <w:szCs w:val="21"/>
        </w:rPr>
      </w:pPr>
      <w:r>
        <w:rPr>
          <w:rFonts w:hint="eastAsia" w:ascii="宋体" w:hAnsi="宋体"/>
          <w:bCs/>
          <w:szCs w:val="21"/>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14:paraId="585198B9">
      <w:pPr>
        <w:ind w:firstLine="420" w:firstLineChars="200"/>
        <w:rPr>
          <w:rFonts w:hint="eastAsia" w:ascii="宋体" w:hAnsi="宋体"/>
          <w:bCs/>
          <w:szCs w:val="21"/>
        </w:rPr>
      </w:pPr>
      <w:r>
        <w:rPr>
          <w:rFonts w:hint="eastAsia" w:ascii="宋体" w:hAnsi="宋体"/>
          <w:bCs/>
          <w:szCs w:val="21"/>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审委员会按照招标文件规定的方式确定一个投标人获得中标人推荐资格，招标文件未规定的采取随机抽取方式确定，其他同品牌投标人不作为中标候选人。</w:t>
      </w:r>
    </w:p>
    <w:p w14:paraId="08CB1833">
      <w:pPr>
        <w:ind w:firstLine="420" w:firstLineChars="200"/>
        <w:rPr>
          <w:rFonts w:hint="eastAsia" w:ascii="宋体" w:hAnsi="宋体"/>
          <w:bCs/>
          <w:szCs w:val="21"/>
        </w:rPr>
      </w:pPr>
      <w:r>
        <w:rPr>
          <w:rFonts w:hint="eastAsia" w:ascii="宋体" w:hAnsi="宋体"/>
          <w:bCs/>
          <w:szCs w:val="21"/>
        </w:rPr>
        <w:t>32.3.3非单一产品采购项目，采购人应当根据采购项目技术构成、产品价格比重等合理确定核心产品，并在招标文件中载明。多家投标人提供的核心产品品牌相同的，按前两款规定处理。</w:t>
      </w:r>
    </w:p>
    <w:p w14:paraId="388B034B">
      <w:pPr>
        <w:ind w:firstLine="420" w:firstLineChars="200"/>
        <w:rPr>
          <w:rFonts w:hint="eastAsia" w:ascii="宋体" w:hAnsi="宋体"/>
          <w:szCs w:val="21"/>
        </w:rPr>
      </w:pPr>
      <w:r>
        <w:rPr>
          <w:rFonts w:hint="eastAsia" w:ascii="宋体" w:hAnsi="宋体"/>
          <w:szCs w:val="21"/>
        </w:rPr>
        <w:t>32.4投标人投标文件作无效处理的情形，具体包括但不限于以下：</w:t>
      </w:r>
    </w:p>
    <w:p w14:paraId="57E0ED71">
      <w:pPr>
        <w:ind w:firstLine="420" w:firstLineChars="200"/>
        <w:rPr>
          <w:szCs w:val="21"/>
        </w:rPr>
      </w:pPr>
      <w:r>
        <w:rPr>
          <w:rFonts w:hint="eastAsia" w:ascii="宋体" w:hAnsi="宋体"/>
          <w:szCs w:val="21"/>
        </w:rPr>
        <w:t>32.4.1</w:t>
      </w:r>
      <w:r>
        <w:rPr>
          <w:rFonts w:hint="eastAsia"/>
          <w:szCs w:val="21"/>
        </w:rPr>
        <w:t>不同投标人的投标文件由同一单位或者同一个人编制，或者由同一个人分阶段参与编制；</w:t>
      </w:r>
    </w:p>
    <w:p w14:paraId="1610656A">
      <w:pPr>
        <w:ind w:firstLine="420" w:firstLineChars="200"/>
        <w:rPr>
          <w:szCs w:val="21"/>
        </w:rPr>
      </w:pPr>
      <w:r>
        <w:rPr>
          <w:rFonts w:hint="eastAsia" w:ascii="宋体" w:hAnsi="宋体"/>
          <w:szCs w:val="21"/>
        </w:rPr>
        <w:t>32.4.2</w:t>
      </w:r>
      <w:r>
        <w:rPr>
          <w:rFonts w:hint="eastAsia"/>
          <w:szCs w:val="21"/>
        </w:rPr>
        <w:t>不同投标人委托同一单位或者个人办理投标事宜；</w:t>
      </w:r>
    </w:p>
    <w:p w14:paraId="1CEE4F46">
      <w:pPr>
        <w:ind w:firstLine="420" w:firstLineChars="200"/>
        <w:rPr>
          <w:rFonts w:hint="eastAsia" w:ascii="宋体" w:hAnsi="宋体"/>
          <w:szCs w:val="21"/>
        </w:rPr>
      </w:pPr>
      <w:r>
        <w:rPr>
          <w:rFonts w:hint="eastAsia" w:ascii="宋体" w:hAnsi="宋体"/>
          <w:szCs w:val="21"/>
        </w:rPr>
        <w:t>32.4.3不同投标人的投标文件载明的项目管理成员或者联系人员为同一人；</w:t>
      </w:r>
    </w:p>
    <w:p w14:paraId="303F8347">
      <w:pPr>
        <w:ind w:firstLine="420" w:firstLineChars="200"/>
        <w:rPr>
          <w:rFonts w:hint="eastAsia" w:ascii="宋体" w:hAnsi="宋体"/>
          <w:szCs w:val="21"/>
        </w:rPr>
      </w:pPr>
      <w:r>
        <w:rPr>
          <w:rFonts w:hint="eastAsia" w:ascii="宋体" w:hAnsi="宋体"/>
          <w:szCs w:val="21"/>
        </w:rPr>
        <w:t>32.4.4不同投标人的投标文件异常一致或者投标报价呈规律性差异；</w:t>
      </w:r>
    </w:p>
    <w:p w14:paraId="016BB846">
      <w:pPr>
        <w:ind w:firstLine="420" w:firstLineChars="200"/>
        <w:rPr>
          <w:rFonts w:hint="eastAsia" w:ascii="宋体" w:hAnsi="宋体"/>
          <w:szCs w:val="21"/>
        </w:rPr>
      </w:pPr>
      <w:r>
        <w:rPr>
          <w:rFonts w:hint="eastAsia" w:ascii="宋体" w:hAnsi="宋体"/>
          <w:szCs w:val="21"/>
        </w:rPr>
        <w:t>32.4.5不同投标供应商的投标文件或部分投标文件相互混装；</w:t>
      </w:r>
    </w:p>
    <w:p w14:paraId="6F046183">
      <w:pPr>
        <w:ind w:firstLine="420" w:firstLineChars="200"/>
        <w:rPr>
          <w:rFonts w:hint="eastAsia" w:ascii="宋体" w:hAnsi="宋体"/>
          <w:szCs w:val="21"/>
        </w:rPr>
      </w:pPr>
      <w:r>
        <w:rPr>
          <w:rFonts w:hint="eastAsia" w:ascii="宋体" w:hAnsi="宋体"/>
          <w:szCs w:val="21"/>
        </w:rPr>
        <w:t>32.4.6投标供应商之间相互约定给予未中标的供应商利益补偿；</w:t>
      </w:r>
    </w:p>
    <w:p w14:paraId="231D8E6C">
      <w:pPr>
        <w:ind w:firstLine="420" w:firstLineChars="200"/>
        <w:rPr>
          <w:rFonts w:hint="eastAsia" w:ascii="宋体" w:hAnsi="宋体"/>
          <w:szCs w:val="21"/>
        </w:rPr>
      </w:pPr>
      <w:r>
        <w:rPr>
          <w:rFonts w:hint="eastAsia" w:ascii="宋体" w:hAnsi="宋体"/>
          <w:szCs w:val="21"/>
        </w:rPr>
        <w:t>32.4.7不同投标供应商的法定代表人、主要经营负责人、项目投标授权代表人、项目负责人、主要技术人员为同一人、属同一单位或者同一单位缴纳社会保险；</w:t>
      </w:r>
    </w:p>
    <w:p w14:paraId="7C071EDA">
      <w:pPr>
        <w:ind w:firstLine="420" w:firstLineChars="200"/>
        <w:rPr>
          <w:rFonts w:hint="eastAsia" w:ascii="宋体" w:hAnsi="宋体"/>
          <w:szCs w:val="21"/>
        </w:rPr>
      </w:pPr>
      <w:r>
        <w:rPr>
          <w:rFonts w:hint="eastAsia" w:ascii="宋体" w:hAnsi="宋体"/>
          <w:szCs w:val="21"/>
        </w:rPr>
        <w:t>32.4.8不同投标供应商的投标文件内容存在非正常一致；</w:t>
      </w:r>
    </w:p>
    <w:p w14:paraId="4F92679E">
      <w:pPr>
        <w:ind w:firstLine="420" w:firstLineChars="200"/>
        <w:rPr>
          <w:rFonts w:hint="eastAsia" w:ascii="宋体" w:hAnsi="宋体"/>
          <w:szCs w:val="21"/>
        </w:rPr>
      </w:pPr>
      <w:r>
        <w:rPr>
          <w:rFonts w:hint="eastAsia" w:ascii="宋体" w:hAnsi="宋体"/>
          <w:szCs w:val="21"/>
        </w:rPr>
        <w:t>32.4.9在同一单位工作人员为两家以上（含两家）供应商进行同一项投标活动；</w:t>
      </w:r>
    </w:p>
    <w:p w14:paraId="4E7B59EE">
      <w:pPr>
        <w:ind w:firstLine="420" w:firstLineChars="200"/>
        <w:rPr>
          <w:rFonts w:hint="eastAsia" w:ascii="宋体" w:hAnsi="宋体"/>
          <w:szCs w:val="21"/>
        </w:rPr>
      </w:pPr>
      <w:r>
        <w:rPr>
          <w:rFonts w:hint="eastAsia" w:ascii="宋体" w:hAnsi="宋体"/>
          <w:szCs w:val="21"/>
        </w:rPr>
        <w:t>32.4.10主管部门依照法律、法规认定的其他情形。</w:t>
      </w:r>
    </w:p>
    <w:p w14:paraId="651101F7">
      <w:pPr>
        <w:ind w:firstLine="420" w:firstLineChars="200"/>
        <w:rPr>
          <w:rFonts w:hint="eastAsia" w:ascii="宋体" w:hAnsi="宋体"/>
          <w:szCs w:val="21"/>
        </w:rPr>
      </w:pPr>
      <w:r>
        <w:rPr>
          <w:rFonts w:hint="eastAsia" w:ascii="宋体" w:hAnsi="宋体"/>
          <w:szCs w:val="21"/>
        </w:rPr>
        <w:t>32.5对不属于《资格性审查表》和《符合性审查表》所列的其他情形，除专用条款另有规定和32.4条款所列情形外，不得作为投标无效的理由。</w:t>
      </w:r>
    </w:p>
    <w:p w14:paraId="2AFE2659">
      <w:pPr>
        <w:ind w:firstLine="420" w:firstLineChars="200"/>
        <w:rPr>
          <w:rFonts w:hint="eastAsia" w:ascii="黑体" w:hAnsi="宋体" w:eastAsia="黑体"/>
          <w:szCs w:val="21"/>
        </w:rPr>
      </w:pPr>
      <w:r>
        <w:rPr>
          <w:rFonts w:hint="eastAsia" w:ascii="黑体" w:hAnsi="宋体" w:eastAsia="黑体"/>
          <w:szCs w:val="21"/>
        </w:rPr>
        <w:t>33．澄清有关问题</w:t>
      </w:r>
    </w:p>
    <w:p w14:paraId="32C27FE1">
      <w:pPr>
        <w:ind w:firstLine="420" w:firstLineChars="200"/>
        <w:rPr>
          <w:rFonts w:hint="eastAsia" w:ascii="宋体" w:hAnsi="宋体"/>
          <w:szCs w:val="21"/>
        </w:rPr>
      </w:pPr>
      <w:bookmarkStart w:id="63" w:name="_Hlk71407321"/>
      <w:r>
        <w:rPr>
          <w:rFonts w:hint="eastAsia" w:ascii="宋体" w:hAnsi="宋体"/>
          <w:szCs w:val="21"/>
        </w:rPr>
        <w:t>33.1对招标文件中描述有歧义或前后不一致的地方（不含</w:t>
      </w:r>
      <w:r>
        <w:rPr>
          <w:rFonts w:hint="eastAsia"/>
          <w:szCs w:val="21"/>
        </w:rPr>
        <w:t>招标文件存在歧义、重大缺陷导致评审工作无法进行的情况）</w:t>
      </w:r>
      <w:r>
        <w:rPr>
          <w:rFonts w:hint="eastAsia" w:ascii="宋体" w:hAnsi="宋体"/>
          <w:szCs w:val="21"/>
        </w:rPr>
        <w:t>，评审委员会有权进行评判，但对同一条款的评判应适用于每个投标人。</w:t>
      </w:r>
      <w:bookmarkEnd w:id="63"/>
    </w:p>
    <w:p w14:paraId="53C04815">
      <w:pPr>
        <w:ind w:firstLine="420" w:firstLineChars="200"/>
        <w:rPr>
          <w:rFonts w:hint="eastAsia" w:ascii="宋体" w:hAnsi="宋体"/>
          <w:szCs w:val="21"/>
        </w:rPr>
      </w:pPr>
      <w:r>
        <w:rPr>
          <w:rFonts w:hint="eastAsia" w:ascii="宋体" w:hAnsi="宋体"/>
          <w:szCs w:val="21"/>
        </w:rPr>
        <w:t>33.2</w:t>
      </w:r>
      <w:r>
        <w:rPr>
          <w:rFonts w:hint="eastAsia"/>
          <w:szCs w:val="21"/>
        </w:rPr>
        <w:t>评审委员会发现招标文件存在歧义、重大缺陷导致评审工作无法进行，或者招标文件内容违反国家有关强制性规定的，应当停止评审工作，与</w:t>
      </w:r>
      <w:r>
        <w:rPr>
          <w:rFonts w:hint="eastAsia" w:ascii="宋体" w:hAnsi="宋体"/>
          <w:szCs w:val="21"/>
        </w:rPr>
        <w:t>采购代理机构</w:t>
      </w:r>
      <w:r>
        <w:rPr>
          <w:rFonts w:hint="eastAsia"/>
          <w:szCs w:val="21"/>
        </w:rPr>
        <w:t>沟通并作书面记录。经确认后，项目应当修改招标文件，重新组织采购活动。</w:t>
      </w:r>
    </w:p>
    <w:p w14:paraId="4AEC0EB5">
      <w:pPr>
        <w:ind w:firstLine="420" w:firstLineChars="200"/>
        <w:rPr>
          <w:rFonts w:hint="eastAsia" w:ascii="宋体" w:hAnsi="宋体"/>
          <w:szCs w:val="21"/>
        </w:rPr>
      </w:pPr>
      <w:r>
        <w:rPr>
          <w:rFonts w:hint="eastAsia" w:ascii="宋体" w:hAnsi="宋体"/>
          <w:szCs w:val="21"/>
        </w:rPr>
        <w:t>33.3对于投标文件中含义不明确、同类问题表述不一致或者有明显文字和计算错误的内容，评审委员会应当以书面形式要求投标人作出必要的澄清、说明或者补正。</w:t>
      </w:r>
    </w:p>
    <w:p w14:paraId="03A1D9ED">
      <w:pPr>
        <w:ind w:firstLine="420" w:firstLineChars="200"/>
        <w:rPr>
          <w:rFonts w:hint="eastAsia" w:ascii="宋体" w:hAnsi="宋体"/>
          <w:szCs w:val="21"/>
        </w:rPr>
      </w:pPr>
      <w:r>
        <w:rPr>
          <w:rFonts w:hint="eastAsia" w:ascii="宋体" w:hAnsi="宋体"/>
          <w:szCs w:val="21"/>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14:paraId="6DC35574">
      <w:pPr>
        <w:ind w:firstLine="420" w:firstLineChars="200"/>
        <w:rPr>
          <w:rFonts w:hint="eastAsia" w:ascii="宋体" w:hAnsi="宋体"/>
          <w:szCs w:val="21"/>
        </w:rPr>
      </w:pPr>
      <w:r>
        <w:rPr>
          <w:rFonts w:hint="eastAsia" w:ascii="宋体" w:hAnsi="宋体"/>
          <w:szCs w:val="21"/>
        </w:rPr>
        <w:t>根据本通用条款第34条，凡属于评审委员会在评审中发现的算术错误进行核实的修改不在此列。</w:t>
      </w:r>
    </w:p>
    <w:p w14:paraId="20FB6A48">
      <w:pPr>
        <w:ind w:firstLine="420" w:firstLineChars="200"/>
        <w:rPr>
          <w:rFonts w:hint="eastAsia" w:ascii="黑体" w:hAnsi="宋体" w:eastAsia="黑体"/>
          <w:szCs w:val="21"/>
        </w:rPr>
      </w:pPr>
      <w:bookmarkStart w:id="64" w:name="_Toc73521669"/>
      <w:bookmarkStart w:id="65" w:name="_Toc73518151"/>
      <w:bookmarkStart w:id="66" w:name="_Toc73521581"/>
      <w:bookmarkStart w:id="67" w:name="_Toc100052400"/>
      <w:bookmarkStart w:id="68" w:name="_Toc73517673"/>
      <w:r>
        <w:rPr>
          <w:rFonts w:hint="eastAsia" w:ascii="黑体" w:hAnsi="宋体" w:eastAsia="黑体"/>
          <w:szCs w:val="21"/>
        </w:rPr>
        <w:t>34．错误的修正</w:t>
      </w:r>
      <w:bookmarkEnd w:id="64"/>
      <w:bookmarkEnd w:id="65"/>
      <w:bookmarkEnd w:id="66"/>
      <w:bookmarkEnd w:id="67"/>
      <w:bookmarkEnd w:id="68"/>
    </w:p>
    <w:p w14:paraId="59911861">
      <w:pPr>
        <w:ind w:firstLine="420" w:firstLineChars="200"/>
        <w:rPr>
          <w:rFonts w:hint="eastAsia" w:ascii="宋体" w:hAnsi="宋体"/>
          <w:szCs w:val="21"/>
        </w:rPr>
      </w:pPr>
      <w:r>
        <w:rPr>
          <w:rFonts w:hint="eastAsia" w:ascii="宋体" w:hAnsi="宋体"/>
          <w:szCs w:val="21"/>
        </w:rPr>
        <w:t>投标文件报价出现前后不一致的，除专用条款另有规定外，按照下列规定修正：</w:t>
      </w:r>
    </w:p>
    <w:p w14:paraId="63BA480E">
      <w:pPr>
        <w:ind w:firstLine="420" w:firstLineChars="200"/>
        <w:rPr>
          <w:rFonts w:hint="eastAsia" w:ascii="宋体" w:hAnsi="宋体"/>
          <w:szCs w:val="21"/>
        </w:rPr>
      </w:pPr>
      <w:r>
        <w:rPr>
          <w:rFonts w:hint="eastAsia" w:ascii="宋体" w:hAnsi="宋体"/>
          <w:szCs w:val="21"/>
        </w:rPr>
        <w:t>34.1投标文件中开标一览表投标报价内容与投标文件中投标报价相应内容不一致的，以开标一览表为准；</w:t>
      </w:r>
    </w:p>
    <w:p w14:paraId="505A9F2D">
      <w:pPr>
        <w:ind w:firstLine="420" w:firstLineChars="200"/>
        <w:rPr>
          <w:rFonts w:hint="eastAsia" w:ascii="宋体" w:hAnsi="宋体"/>
          <w:szCs w:val="21"/>
        </w:rPr>
      </w:pPr>
      <w:r>
        <w:rPr>
          <w:rFonts w:hint="eastAsia" w:ascii="宋体" w:hAnsi="宋体"/>
          <w:szCs w:val="21"/>
        </w:rPr>
        <w:t>34.2大写金额和小写金额不一致的，以大写金额为准；</w:t>
      </w:r>
    </w:p>
    <w:p w14:paraId="1BA8E5CE">
      <w:pPr>
        <w:ind w:firstLine="420" w:firstLineChars="200"/>
        <w:rPr>
          <w:rFonts w:hint="eastAsia" w:ascii="宋体" w:hAnsi="宋体"/>
          <w:szCs w:val="21"/>
        </w:rPr>
      </w:pPr>
      <w:r>
        <w:rPr>
          <w:rFonts w:hint="eastAsia" w:ascii="宋体" w:hAnsi="宋体"/>
          <w:szCs w:val="21"/>
        </w:rPr>
        <w:t>34.3单价金额小数点或者百分比有明显错位，以开标一览表的总价为准，并修改单价；</w:t>
      </w:r>
    </w:p>
    <w:p w14:paraId="53194654">
      <w:pPr>
        <w:ind w:firstLine="420" w:firstLineChars="200"/>
        <w:rPr>
          <w:rFonts w:hint="eastAsia" w:ascii="宋体" w:hAnsi="宋体"/>
          <w:szCs w:val="21"/>
        </w:rPr>
      </w:pPr>
      <w:r>
        <w:rPr>
          <w:rFonts w:hint="eastAsia" w:ascii="宋体" w:hAnsi="宋体"/>
          <w:szCs w:val="21"/>
        </w:rPr>
        <w:t>34.4总价金额与按单价汇总金额不一致的，以单价金额计算结果为准。</w:t>
      </w:r>
    </w:p>
    <w:p w14:paraId="73936734">
      <w:pPr>
        <w:ind w:firstLine="420" w:firstLineChars="200"/>
        <w:rPr>
          <w:rFonts w:hint="eastAsia" w:ascii="宋体" w:hAnsi="宋体"/>
          <w:szCs w:val="21"/>
        </w:rPr>
      </w:pPr>
      <w:r>
        <w:rPr>
          <w:rFonts w:hint="eastAsia" w:ascii="宋体" w:hAnsi="宋体"/>
          <w:szCs w:val="21"/>
        </w:rPr>
        <w:t>34.5同时出现两种以上不一致的，按照前款规定的顺序修正。修正后的报价按照本通用条款33条的规定，经投标人确认后产生约束力，投标人不确认的，其投标无效。</w:t>
      </w:r>
    </w:p>
    <w:p w14:paraId="1CFCD480">
      <w:pPr>
        <w:ind w:firstLine="420" w:firstLineChars="200"/>
        <w:rPr>
          <w:rFonts w:hint="eastAsia" w:ascii="黑体" w:hAnsi="宋体" w:eastAsia="黑体"/>
          <w:szCs w:val="21"/>
        </w:rPr>
      </w:pPr>
      <w:r>
        <w:rPr>
          <w:rFonts w:hint="eastAsia" w:ascii="黑体" w:hAnsi="宋体" w:eastAsia="黑体"/>
          <w:szCs w:val="21"/>
        </w:rPr>
        <w:t>35．投标文件的比较与评价</w:t>
      </w:r>
    </w:p>
    <w:p w14:paraId="33276DF9">
      <w:pPr>
        <w:ind w:firstLine="420" w:firstLineChars="200"/>
        <w:rPr>
          <w:rFonts w:hint="eastAsia" w:ascii="宋体" w:hAnsi="宋体"/>
          <w:szCs w:val="21"/>
        </w:rPr>
      </w:pPr>
      <w:r>
        <w:rPr>
          <w:rFonts w:hint="eastAsia" w:ascii="宋体" w:hAnsi="宋体"/>
          <w:szCs w:val="21"/>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14:paraId="06F4626A">
      <w:pPr>
        <w:ind w:firstLine="420" w:firstLineChars="200"/>
        <w:rPr>
          <w:rFonts w:hint="eastAsia" w:ascii="宋体" w:hAnsi="宋体"/>
          <w:szCs w:val="21"/>
        </w:rPr>
      </w:pPr>
      <w:r>
        <w:rPr>
          <w:rFonts w:hint="eastAsia" w:ascii="宋体" w:hAnsi="宋体"/>
          <w:szCs w:val="21"/>
        </w:rPr>
        <w:t>评审委员会成员对需要共同认定的事项存在争议的，应当按照少数服从多数的原则作出结论。持不同意见的评审委员会成员应当书面作出说明，否则视为无异议。</w:t>
      </w:r>
    </w:p>
    <w:p w14:paraId="654D0267">
      <w:pPr>
        <w:ind w:firstLine="420" w:firstLineChars="200"/>
        <w:rPr>
          <w:rFonts w:hint="eastAsia" w:ascii="黑体" w:hAnsi="宋体" w:eastAsia="黑体"/>
          <w:szCs w:val="21"/>
        </w:rPr>
      </w:pPr>
      <w:r>
        <w:rPr>
          <w:rFonts w:hint="eastAsia" w:ascii="黑体" w:hAnsi="宋体" w:eastAsia="黑体"/>
          <w:szCs w:val="21"/>
        </w:rPr>
        <w:t>36. 实地考察或资料查验</w:t>
      </w:r>
    </w:p>
    <w:p w14:paraId="19D5FBC9">
      <w:pPr>
        <w:ind w:firstLine="420" w:firstLineChars="200"/>
        <w:rPr>
          <w:rFonts w:hint="eastAsia" w:ascii="宋体" w:hAnsi="宋体"/>
          <w:szCs w:val="21"/>
        </w:rPr>
      </w:pPr>
      <w:r>
        <w:rPr>
          <w:rFonts w:hint="eastAsia" w:ascii="宋体" w:hAnsi="宋体"/>
          <w:szCs w:val="21"/>
        </w:rPr>
        <w:t>36.1在评审过程中，评审委员会有权决定是否对本项目投标人进行实地考察或资料查验（原件）。投标人应随时做好接受实地考察或资料查验的准备。</w:t>
      </w:r>
    </w:p>
    <w:p w14:paraId="5FC204EF">
      <w:pPr>
        <w:ind w:firstLine="420" w:firstLineChars="200"/>
        <w:rPr>
          <w:rFonts w:hint="eastAsia" w:ascii="黑体" w:hAnsi="宋体" w:eastAsia="黑体"/>
          <w:szCs w:val="21"/>
        </w:rPr>
      </w:pPr>
      <w:r>
        <w:rPr>
          <w:rFonts w:hint="eastAsia" w:ascii="黑体" w:hAnsi="宋体" w:eastAsia="黑体"/>
          <w:szCs w:val="21"/>
        </w:rPr>
        <w:t>37．评审方法</w:t>
      </w:r>
    </w:p>
    <w:p w14:paraId="4D7CD8D2">
      <w:pPr>
        <w:ind w:firstLine="422" w:firstLineChars="200"/>
        <w:rPr>
          <w:rFonts w:hint="eastAsia" w:ascii="宋体" w:hAnsi="宋体"/>
          <w:b/>
          <w:bCs/>
          <w:szCs w:val="21"/>
        </w:rPr>
      </w:pPr>
      <w:r>
        <w:rPr>
          <w:rFonts w:hint="eastAsia" w:ascii="宋体" w:hAnsi="宋体"/>
          <w:b/>
          <w:bCs/>
          <w:szCs w:val="21"/>
        </w:rPr>
        <w:t>37.1.1最低价法</w:t>
      </w:r>
    </w:p>
    <w:p w14:paraId="6FCA93BF">
      <w:pPr>
        <w:ind w:firstLine="420" w:firstLineChars="200"/>
        <w:rPr>
          <w:rFonts w:hint="eastAsia" w:ascii="ˎ̥" w:hAnsi="ˎ̥"/>
          <w:szCs w:val="21"/>
        </w:rPr>
      </w:pPr>
      <w:bookmarkStart w:id="69" w:name="_Hlk72438142"/>
      <w:r>
        <w:rPr>
          <w:rFonts w:hint="eastAsia" w:ascii="ˎ̥" w:hAnsi="ˎ̥"/>
          <w:szCs w:val="21"/>
        </w:rPr>
        <w:t>最低价法，是指完全满足招标文件实质性要求，按照报价由低到高的顺序，依据招标文件中规定的数量或者比例推荐候选中标供应商。</w:t>
      </w:r>
    </w:p>
    <w:p w14:paraId="0D1E86BB">
      <w:pPr>
        <w:ind w:firstLine="422" w:firstLineChars="200"/>
        <w:rPr>
          <w:rFonts w:hint="eastAsia" w:ascii="宋体" w:hAnsi="宋体"/>
          <w:b/>
          <w:bCs/>
          <w:szCs w:val="21"/>
        </w:rPr>
      </w:pPr>
      <w:r>
        <w:rPr>
          <w:rFonts w:hint="eastAsia" w:ascii="宋体" w:hAnsi="宋体"/>
          <w:b/>
          <w:bCs/>
          <w:szCs w:val="21"/>
        </w:rPr>
        <w:t>37.1.2综合评分法</w:t>
      </w:r>
    </w:p>
    <w:p w14:paraId="1ED1B96B">
      <w:pPr>
        <w:ind w:firstLine="420" w:firstLineChars="200"/>
        <w:rPr>
          <w:rFonts w:hint="eastAsia" w:ascii="ˎ̥" w:hAnsi="ˎ̥"/>
          <w:szCs w:val="21"/>
        </w:rPr>
      </w:pPr>
      <w:r>
        <w:rPr>
          <w:rFonts w:hint="eastAsia" w:ascii="ˎ̥" w:hAnsi="ˎ̥"/>
          <w:szCs w:val="21"/>
        </w:rPr>
        <w:t>综合评分法，是指在满足招标文件全部实质性要求的前提下，按照招标文件中规定的各项因素进行综合评审，评审总得分排名前列的投标人，作为推荐的候选中标供应商。</w:t>
      </w:r>
      <w:bookmarkEnd w:id="69"/>
      <w:r>
        <w:rPr>
          <w:rFonts w:hint="eastAsia" w:ascii="宋体" w:hAnsi="宋体"/>
          <w:bCs/>
          <w:color w:val="FF0000"/>
          <w:szCs w:val="21"/>
        </w:rPr>
        <w:t xml:space="preserve">  </w:t>
      </w:r>
      <w:r>
        <w:rPr>
          <w:rFonts w:hint="eastAsia" w:ascii="宋体" w:hAnsi="宋体"/>
          <w:bCs/>
          <w:szCs w:val="21"/>
        </w:rPr>
        <w:t xml:space="preserve">                                                                                                                                                                                                                                                                                                                                                                                                                                                                                                                                                                                                                                                                                                                                                                                                                                                                                                                                                                                                                                                                                                                                                                                                                                                                                                                                                                                                                                                                                                                                                                                                                                                                                                                                                                                                                                                                                                                                                                                                                                                                                                                                                                                                                                                                                                                                                                                                                                                                                                                                                                                                                                                                                                                                                                                                                                                                                                                                                                                                                           </w:t>
      </w:r>
    </w:p>
    <w:p w14:paraId="58457656">
      <w:pPr>
        <w:ind w:firstLine="422" w:firstLineChars="200"/>
        <w:rPr>
          <w:rFonts w:hint="eastAsia" w:ascii="宋体" w:hAnsi="宋体"/>
          <w:b/>
          <w:bCs/>
          <w:szCs w:val="21"/>
        </w:rPr>
      </w:pPr>
      <w:r>
        <w:rPr>
          <w:rFonts w:hint="eastAsia" w:ascii="宋体" w:hAnsi="宋体"/>
          <w:b/>
          <w:bCs/>
          <w:szCs w:val="21"/>
        </w:rPr>
        <w:t>37.2 本项目采用的评审方法见本项目招标文件第一册“专用条款”的相关内容。</w:t>
      </w:r>
    </w:p>
    <w:p w14:paraId="562AA51A">
      <w:pPr>
        <w:ind w:firstLine="422" w:firstLineChars="200"/>
        <w:rPr>
          <w:rFonts w:hint="eastAsia" w:ascii="宋体" w:hAnsi="宋体"/>
          <w:b/>
          <w:bCs/>
          <w:szCs w:val="21"/>
        </w:rPr>
      </w:pPr>
      <w:r>
        <w:rPr>
          <w:rFonts w:hint="eastAsia" w:ascii="宋体" w:hAnsi="宋体"/>
          <w:b/>
          <w:bCs/>
          <w:szCs w:val="21"/>
        </w:rPr>
        <w:t>37.3重新评审的情形</w:t>
      </w:r>
    </w:p>
    <w:p w14:paraId="3A326CB4">
      <w:pPr>
        <w:ind w:firstLine="420" w:firstLineChars="200"/>
        <w:rPr>
          <w:rFonts w:hint="eastAsia" w:ascii="宋体" w:hAnsi="宋体"/>
          <w:b/>
          <w:bCs/>
          <w:szCs w:val="21"/>
        </w:rPr>
      </w:pPr>
      <w:r>
        <w:rPr>
          <w:rFonts w:hint="eastAsia" w:ascii="宋体" w:hAnsi="宋体" w:cs="宋体"/>
          <w:kern w:val="0"/>
          <w:szCs w:val="21"/>
        </w:rPr>
        <w:t>评审结果汇总完成后，除下列情形外，任何人不得修改评审结果：</w:t>
      </w:r>
    </w:p>
    <w:p w14:paraId="09CEA4C7">
      <w:pPr>
        <w:ind w:firstLine="420" w:firstLineChars="200"/>
        <w:rPr>
          <w:rFonts w:hint="eastAsia" w:ascii="宋体" w:hAnsi="宋体" w:cs="宋体"/>
          <w:kern w:val="0"/>
          <w:szCs w:val="21"/>
        </w:rPr>
      </w:pPr>
      <w:r>
        <w:rPr>
          <w:rFonts w:hint="eastAsia" w:ascii="宋体" w:hAnsi="宋体" w:cs="宋体"/>
          <w:kern w:val="0"/>
          <w:szCs w:val="21"/>
        </w:rPr>
        <w:t>37.3.1分值汇总计算错误的；</w:t>
      </w:r>
    </w:p>
    <w:p w14:paraId="5EB30320">
      <w:pPr>
        <w:ind w:firstLine="420" w:firstLineChars="200"/>
        <w:rPr>
          <w:rFonts w:hint="eastAsia" w:ascii="宋体" w:hAnsi="宋体" w:cs="宋体"/>
          <w:kern w:val="0"/>
          <w:szCs w:val="21"/>
        </w:rPr>
      </w:pPr>
      <w:r>
        <w:rPr>
          <w:rFonts w:hint="eastAsia" w:ascii="宋体" w:hAnsi="宋体" w:cs="宋体"/>
          <w:kern w:val="0"/>
          <w:szCs w:val="21"/>
        </w:rPr>
        <w:t>37.3.2分项评分超出评分标准范围的；</w:t>
      </w:r>
    </w:p>
    <w:p w14:paraId="0B875394">
      <w:pPr>
        <w:ind w:firstLine="420" w:firstLineChars="200"/>
        <w:rPr>
          <w:rFonts w:hint="eastAsia" w:ascii="宋体" w:hAnsi="宋体" w:cs="宋体"/>
          <w:kern w:val="0"/>
          <w:szCs w:val="21"/>
        </w:rPr>
      </w:pPr>
      <w:r>
        <w:rPr>
          <w:rFonts w:hint="eastAsia" w:ascii="宋体" w:hAnsi="宋体" w:cs="宋体"/>
          <w:kern w:val="0"/>
          <w:szCs w:val="21"/>
        </w:rPr>
        <w:t>37.3.3评审委员会成员对客观评审因素评分不一致的；</w:t>
      </w:r>
    </w:p>
    <w:p w14:paraId="3F2C1782">
      <w:pPr>
        <w:ind w:firstLine="420" w:firstLineChars="200"/>
        <w:rPr>
          <w:rFonts w:hint="eastAsia" w:ascii="宋体" w:hAnsi="宋体" w:cs="宋体"/>
          <w:kern w:val="0"/>
          <w:szCs w:val="21"/>
        </w:rPr>
      </w:pPr>
      <w:r>
        <w:rPr>
          <w:rFonts w:hint="eastAsia" w:ascii="宋体" w:hAnsi="宋体" w:cs="宋体"/>
          <w:kern w:val="0"/>
          <w:szCs w:val="21"/>
        </w:rPr>
        <w:t>37.3.4经评审委员会认定评分畸高、畸低的。</w:t>
      </w:r>
    </w:p>
    <w:p w14:paraId="77F2BCAA">
      <w:pPr>
        <w:ind w:firstLine="420" w:firstLineChars="200"/>
        <w:rPr>
          <w:rFonts w:hint="eastAsia" w:ascii="宋体" w:hAnsi="宋体" w:cs="宋体"/>
          <w:kern w:val="0"/>
          <w:szCs w:val="21"/>
        </w:rPr>
      </w:pPr>
      <w:r>
        <w:rPr>
          <w:rFonts w:hint="eastAsia" w:ascii="宋体" w:hAnsi="宋体" w:cs="宋体"/>
          <w:kern w:val="0"/>
          <w:szCs w:val="21"/>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14:paraId="33B11E75">
      <w:pPr>
        <w:ind w:firstLine="420" w:firstLineChars="200"/>
        <w:rPr>
          <w:rFonts w:hint="eastAsia" w:ascii="宋体" w:hAnsi="宋体" w:cs="宋体"/>
          <w:kern w:val="0"/>
          <w:szCs w:val="21"/>
        </w:rPr>
      </w:pPr>
      <w:r>
        <w:rPr>
          <w:rFonts w:hint="eastAsia" w:ascii="宋体" w:hAnsi="宋体" w:cs="宋体"/>
          <w:kern w:val="0"/>
          <w:szCs w:val="21"/>
        </w:rPr>
        <w:t>投标人对本条第一款情形提出质疑的，采购人或者采购代理机构可以组织原评审委员会进行重新评审，重新评审改变评审结果的，应当书面报告本级财政部门。</w:t>
      </w:r>
    </w:p>
    <w:p w14:paraId="70EFDD24">
      <w:pPr>
        <w:ind w:firstLine="422" w:firstLineChars="200"/>
        <w:rPr>
          <w:rFonts w:hint="eastAsia" w:ascii="宋体" w:hAnsi="宋体"/>
          <w:b/>
          <w:bCs/>
          <w:szCs w:val="21"/>
        </w:rPr>
      </w:pPr>
      <w:r>
        <w:rPr>
          <w:rFonts w:hint="eastAsia" w:ascii="宋体" w:hAnsi="宋体"/>
          <w:b/>
          <w:bCs/>
          <w:szCs w:val="21"/>
        </w:rPr>
        <w:t xml:space="preserve"> 37.4重新组建评审委员会的情形</w:t>
      </w:r>
    </w:p>
    <w:p w14:paraId="1BACD0BD">
      <w:pPr>
        <w:ind w:firstLine="420" w:firstLineChars="200"/>
        <w:rPr>
          <w:rFonts w:hint="eastAsia" w:ascii="宋体" w:hAnsi="宋体" w:cs="宋体"/>
          <w:kern w:val="0"/>
          <w:szCs w:val="21"/>
        </w:rPr>
      </w:pPr>
      <w:r>
        <w:rPr>
          <w:rFonts w:hint="eastAsia" w:ascii="宋体" w:hAnsi="宋体" w:cs="宋体"/>
          <w:kern w:val="0"/>
          <w:szCs w:val="21"/>
        </w:rPr>
        <w:t>评审委员会或者其成员存在下列情形导致评审结果无效的，重新组建评审委员会进行评标，并书面报告本级财政部门：</w:t>
      </w:r>
    </w:p>
    <w:p w14:paraId="31510B44">
      <w:pPr>
        <w:ind w:firstLine="420" w:firstLineChars="200"/>
        <w:rPr>
          <w:rFonts w:hint="eastAsia" w:ascii="宋体" w:hAnsi="宋体" w:cs="宋体"/>
          <w:kern w:val="0"/>
          <w:szCs w:val="21"/>
        </w:rPr>
      </w:pPr>
      <w:r>
        <w:rPr>
          <w:rFonts w:hint="eastAsia" w:ascii="宋体" w:hAnsi="宋体" w:cs="宋体"/>
          <w:kern w:val="0"/>
          <w:szCs w:val="21"/>
        </w:rPr>
        <w:t>37.4.1评审委员会组成不符合《政府采购货物和服务招标投标管理办法》规定的；</w:t>
      </w:r>
    </w:p>
    <w:p w14:paraId="159BA5E5">
      <w:pPr>
        <w:ind w:firstLine="420" w:firstLineChars="200"/>
        <w:rPr>
          <w:rFonts w:hint="eastAsia" w:ascii="宋体" w:hAnsi="宋体" w:cs="宋体"/>
          <w:kern w:val="0"/>
          <w:szCs w:val="21"/>
        </w:rPr>
      </w:pPr>
      <w:r>
        <w:rPr>
          <w:rFonts w:hint="eastAsia" w:ascii="宋体" w:hAnsi="宋体" w:cs="宋体"/>
          <w:kern w:val="0"/>
          <w:szCs w:val="21"/>
        </w:rPr>
        <w:t>37.4.2有《政府采购货物和服务招标投标管理办法》第六十二条第一至五项情形的；</w:t>
      </w:r>
    </w:p>
    <w:p w14:paraId="6113335B">
      <w:pPr>
        <w:ind w:firstLine="420" w:firstLineChars="200"/>
        <w:rPr>
          <w:rFonts w:hint="eastAsia" w:ascii="宋体" w:hAnsi="宋体" w:cs="宋体"/>
          <w:kern w:val="0"/>
          <w:szCs w:val="21"/>
        </w:rPr>
      </w:pPr>
      <w:r>
        <w:rPr>
          <w:rFonts w:hint="eastAsia" w:ascii="宋体" w:hAnsi="宋体" w:cs="宋体"/>
          <w:kern w:val="0"/>
          <w:szCs w:val="21"/>
        </w:rPr>
        <w:t>37.4.3评审委员会及其成员独立评标受到非法干预的；</w:t>
      </w:r>
    </w:p>
    <w:p w14:paraId="4A5867C1">
      <w:pPr>
        <w:ind w:firstLine="420" w:firstLineChars="200"/>
        <w:rPr>
          <w:rFonts w:hint="eastAsia" w:ascii="宋体" w:hAnsi="宋体" w:cs="宋体"/>
          <w:kern w:val="0"/>
          <w:szCs w:val="21"/>
        </w:rPr>
      </w:pPr>
      <w:r>
        <w:rPr>
          <w:rFonts w:hint="eastAsia" w:ascii="宋体" w:hAnsi="宋体" w:cs="宋体"/>
          <w:kern w:val="0"/>
          <w:szCs w:val="21"/>
        </w:rPr>
        <w:t>37.4.4有政府采购法实施条例第七十五条规定的违法行为的。</w:t>
      </w:r>
    </w:p>
    <w:p w14:paraId="69DE2828">
      <w:pPr>
        <w:ind w:firstLine="420" w:firstLineChars="200"/>
        <w:rPr>
          <w:rFonts w:hint="eastAsia" w:ascii="宋体" w:hAnsi="宋体" w:cs="宋体"/>
          <w:kern w:val="0"/>
          <w:szCs w:val="21"/>
        </w:rPr>
      </w:pPr>
      <w:r>
        <w:rPr>
          <w:rFonts w:hint="eastAsia" w:ascii="宋体" w:hAnsi="宋体" w:cs="宋体"/>
          <w:kern w:val="0"/>
          <w:szCs w:val="21"/>
        </w:rPr>
        <w:t>有违法违规行为的原评审委员会成员不得参加重新组建的评审委员会。</w:t>
      </w:r>
    </w:p>
    <w:p w14:paraId="1884269E">
      <w:pPr>
        <w:ind w:firstLine="411" w:firstLineChars="196"/>
        <w:rPr>
          <w:rFonts w:hint="eastAsia" w:ascii="宋体" w:hAnsi="宋体"/>
          <w:szCs w:val="21"/>
        </w:rPr>
      </w:pPr>
    </w:p>
    <w:p w14:paraId="3CE7BB83">
      <w:pPr>
        <w:pStyle w:val="79"/>
        <w:keepNext/>
        <w:keepLines/>
        <w:numPr>
          <w:ilvl w:val="0"/>
          <w:numId w:val="11"/>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rPr>
      </w:pPr>
      <w:r>
        <w:rPr>
          <w:rFonts w:hint="eastAsia" w:ascii="Cambria" w:hAnsi="Cambria" w:cs="宋体"/>
          <w:b/>
          <w:bCs/>
          <w:sz w:val="28"/>
          <w:szCs w:val="28"/>
        </w:rPr>
        <w:t>定标及公示</w:t>
      </w:r>
    </w:p>
    <w:p w14:paraId="29C025A5">
      <w:pPr>
        <w:ind w:firstLine="420" w:firstLineChars="200"/>
        <w:rPr>
          <w:rFonts w:hint="eastAsia" w:ascii="黑体" w:hAnsi="宋体" w:eastAsia="黑体"/>
          <w:szCs w:val="21"/>
        </w:rPr>
      </w:pPr>
      <w:r>
        <w:rPr>
          <w:rFonts w:hint="eastAsia" w:ascii="黑体" w:hAnsi="宋体" w:eastAsia="黑体"/>
          <w:szCs w:val="21"/>
        </w:rPr>
        <w:t>38．定标方法</w:t>
      </w:r>
    </w:p>
    <w:p w14:paraId="6F18CEE4">
      <w:pPr>
        <w:ind w:firstLine="420" w:firstLineChars="200"/>
        <w:rPr>
          <w:rFonts w:hint="eastAsia" w:ascii="宋体" w:hAnsi="宋体"/>
          <w:szCs w:val="21"/>
        </w:rPr>
      </w:pPr>
      <w:bookmarkStart w:id="70" w:name="_Hlk73782795"/>
      <w:r>
        <w:rPr>
          <w:rFonts w:hint="eastAsia" w:ascii="宋体" w:hAnsi="宋体"/>
          <w:szCs w:val="21"/>
        </w:rPr>
        <w:t>38.1非评定分离项目定标方法</w:t>
      </w:r>
    </w:p>
    <w:p w14:paraId="45D4151C">
      <w:pPr>
        <w:ind w:firstLine="420" w:firstLineChars="200"/>
        <w:rPr>
          <w:rFonts w:hint="eastAsia" w:ascii="宋体" w:hAnsi="宋体"/>
          <w:szCs w:val="21"/>
        </w:rPr>
      </w:pPr>
      <w:r>
        <w:rPr>
          <w:rFonts w:hint="eastAsia" w:ascii="宋体" w:hAnsi="宋体"/>
          <w:szCs w:val="21"/>
        </w:rPr>
        <w:t>38.1.1评审委员会依据本项目招标文件所约定的评审方法进行评审和比较，向采购代理机构提交书面评审报告，并根据评审方法比较评价结果从优到劣进行排序，确定候选中标供应商。</w:t>
      </w:r>
    </w:p>
    <w:p w14:paraId="6BC80739">
      <w:pPr>
        <w:ind w:firstLine="420" w:firstLineChars="200"/>
        <w:rPr>
          <w:rFonts w:hint="eastAsia" w:ascii="ˎ̥" w:hAnsi="ˎ̥"/>
          <w:szCs w:val="21"/>
        </w:rPr>
      </w:pPr>
      <w:r>
        <w:rPr>
          <w:rFonts w:hint="eastAsia" w:ascii="宋体" w:hAnsi="宋体"/>
          <w:szCs w:val="21"/>
        </w:rPr>
        <w:t>38.1.2</w:t>
      </w:r>
      <w:r>
        <w:rPr>
          <w:rFonts w:ascii="ˎ̥" w:hAnsi="ˎ̥"/>
        </w:rPr>
        <w:t>采用最低价法的，评</w:t>
      </w:r>
      <w:r>
        <w:rPr>
          <w:rFonts w:hint="eastAsia" w:ascii="ˎ̥" w:hAnsi="ˎ̥"/>
        </w:rPr>
        <w:t>审</w:t>
      </w:r>
      <w:r>
        <w:rPr>
          <w:rFonts w:ascii="ˎ̥" w:hAnsi="ˎ̥"/>
        </w:rPr>
        <w:t>结果按投标报价由低到高顺序排列。投标报价相同的并列。投标文件满足招标文件全部实质性要求且投标报价最低的</w:t>
      </w:r>
      <w:r>
        <w:rPr>
          <w:rFonts w:hint="eastAsia" w:ascii="ˎ̥" w:hAnsi="ˎ̥"/>
        </w:rPr>
        <w:t>投标人为中标供应商</w:t>
      </w:r>
      <w:r>
        <w:rPr>
          <w:rFonts w:hint="eastAsia" w:ascii="ˎ̥" w:hAnsi="ˎ̥"/>
          <w:szCs w:val="21"/>
        </w:rPr>
        <w:t>。</w:t>
      </w:r>
    </w:p>
    <w:p w14:paraId="7856B531">
      <w:pPr>
        <w:ind w:firstLine="420" w:firstLineChars="200"/>
        <w:rPr>
          <w:rFonts w:hint="eastAsia" w:ascii="ˎ̥" w:hAnsi="ˎ̥"/>
          <w:szCs w:val="21"/>
        </w:rPr>
      </w:pPr>
      <w:r>
        <w:rPr>
          <w:rFonts w:hint="eastAsia" w:ascii="宋体" w:hAnsi="宋体"/>
          <w:szCs w:val="21"/>
        </w:rPr>
        <w:t>38.1.3采</w:t>
      </w:r>
      <w:r>
        <w:rPr>
          <w:rFonts w:hint="eastAsia" w:ascii="ˎ̥" w:hAnsi="ˎ̥"/>
          <w:szCs w:val="21"/>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中标供应商。出现得分且投标报价相同的并列情况时，采取随机抽取的方式确定，具体操作办法及流程由评审委员会确定（如“专用条款”中另有规定的以“专用条款”相关规定内容为准）。</w:t>
      </w:r>
    </w:p>
    <w:p w14:paraId="2A2E13C4">
      <w:pPr>
        <w:ind w:firstLine="420" w:firstLineChars="200"/>
        <w:rPr>
          <w:rFonts w:hint="eastAsia" w:ascii="宋体" w:hAnsi="宋体"/>
          <w:szCs w:val="21"/>
        </w:rPr>
      </w:pPr>
      <w:r>
        <w:rPr>
          <w:rFonts w:hint="eastAsia" w:ascii="宋体" w:hAnsi="宋体"/>
          <w:szCs w:val="21"/>
        </w:rPr>
        <w:t>38.2评定分离项目定标方法</w:t>
      </w:r>
    </w:p>
    <w:p w14:paraId="3D3384C7">
      <w:pPr>
        <w:ind w:firstLine="420" w:firstLineChars="200"/>
        <w:rPr>
          <w:rFonts w:hint="eastAsia" w:ascii="宋体" w:hAnsi="宋体"/>
          <w:szCs w:val="21"/>
        </w:rPr>
      </w:pPr>
      <w:r>
        <w:rPr>
          <w:rFonts w:hint="eastAsia" w:ascii="宋体" w:hAnsi="宋体"/>
          <w:szCs w:val="21"/>
        </w:rPr>
        <w:t>38.2.1评定分离是指在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14:paraId="64613E22">
      <w:pPr>
        <w:ind w:firstLine="420" w:firstLineChars="200"/>
        <w:rPr>
          <w:szCs w:val="21"/>
        </w:rPr>
      </w:pPr>
      <w:r>
        <w:rPr>
          <w:rFonts w:hint="eastAsia" w:ascii="宋体" w:hAnsi="宋体"/>
          <w:szCs w:val="21"/>
        </w:rPr>
        <w:t xml:space="preserve">38.2.2 </w:t>
      </w:r>
      <w:bookmarkStart w:id="71" w:name="_Hlk71469733"/>
      <w:r>
        <w:rPr>
          <w:rFonts w:hint="eastAsia"/>
          <w:szCs w:val="21"/>
        </w:rPr>
        <w:t>适用评定分离的采购项目，采用综合评分法评审。</w:t>
      </w:r>
      <w:r>
        <w:rPr>
          <w:rFonts w:hint="eastAsia" w:ascii="宋体" w:hAnsi="宋体"/>
          <w:szCs w:val="21"/>
        </w:rPr>
        <w:t>评审委员会按照评审结果，推荐</w:t>
      </w:r>
      <w:r>
        <w:rPr>
          <w:rFonts w:hint="eastAsia"/>
          <w:szCs w:val="21"/>
        </w:rPr>
        <w:t>三个合格的候选中标供应商。</w:t>
      </w:r>
    </w:p>
    <w:p w14:paraId="05774380">
      <w:pPr>
        <w:ind w:firstLine="420" w:firstLineChars="200"/>
        <w:rPr>
          <w:rFonts w:hint="eastAsia" w:ascii="宋体" w:hAnsi="宋体"/>
          <w:szCs w:val="21"/>
        </w:rPr>
      </w:pPr>
      <w:r>
        <w:rPr>
          <w:rFonts w:hint="eastAsia" w:ascii="宋体" w:hAnsi="宋体"/>
          <w:szCs w:val="21"/>
        </w:rPr>
        <w:t>38.2.3</w:t>
      </w:r>
      <w:bookmarkStart w:id="72" w:name="_Hlk71469688"/>
      <w:r>
        <w:rPr>
          <w:rFonts w:hint="eastAsia"/>
          <w:szCs w:val="21"/>
        </w:rPr>
        <w:t>适用评定分离的采购项目，</w:t>
      </w:r>
      <w:r>
        <w:rPr>
          <w:rFonts w:hint="eastAsia" w:ascii="宋体" w:hAnsi="宋体"/>
          <w:szCs w:val="21"/>
        </w:rPr>
        <w:t>按照自定法确定中标供应商：自定法是指采购人组织定标委员会，由定标委员会在三家候选中标供应商中确定中标供应商。</w:t>
      </w:r>
      <w:bookmarkEnd w:id="71"/>
      <w:bookmarkEnd w:id="72"/>
    </w:p>
    <w:p w14:paraId="138270B6">
      <w:pPr>
        <w:ind w:firstLine="420" w:firstLineChars="200"/>
        <w:rPr>
          <w:rFonts w:hint="eastAsia" w:ascii="宋体" w:hAnsi="宋体"/>
          <w:szCs w:val="21"/>
        </w:rPr>
      </w:pPr>
      <w:r>
        <w:rPr>
          <w:rFonts w:hint="eastAsia" w:ascii="宋体" w:hAnsi="宋体"/>
          <w:szCs w:val="21"/>
        </w:rPr>
        <w:t>38.2.4采购代理机构</w:t>
      </w:r>
      <w:r>
        <w:rPr>
          <w:rFonts w:hint="eastAsia"/>
          <w:szCs w:val="21"/>
        </w:rPr>
        <w:t>应当自评审结束之日起两个工作日内将候选中标供应商名单及其投标文件、评审报告送交采购人</w:t>
      </w:r>
      <w:r>
        <w:rPr>
          <w:rFonts w:hint="eastAsia" w:ascii="宋体" w:hAnsi="宋体"/>
          <w:szCs w:val="21"/>
        </w:rPr>
        <w:t>。</w:t>
      </w:r>
      <w:r>
        <w:rPr>
          <w:rFonts w:hint="eastAsia"/>
          <w:szCs w:val="21"/>
        </w:rPr>
        <w:t>采购人应当安排专人对定标过程进行书面记录，形成定标报告，作为采购文件的组成部分存档，并及时将定标结果反馈</w:t>
      </w:r>
      <w:r>
        <w:rPr>
          <w:rFonts w:hint="eastAsia" w:ascii="宋体" w:hAnsi="宋体"/>
          <w:szCs w:val="21"/>
        </w:rPr>
        <w:t>采购代理机构</w:t>
      </w:r>
      <w:r>
        <w:rPr>
          <w:rFonts w:hint="eastAsia"/>
          <w:szCs w:val="21"/>
        </w:rPr>
        <w:t>。具体定标程序及相关要求以参照《深圳市财政局关于印发</w:t>
      </w:r>
      <w:r>
        <w:rPr>
          <w:rFonts w:hint="eastAsia" w:ascii="宋体" w:hAnsi="宋体"/>
          <w:szCs w:val="21"/>
        </w:rPr>
        <w:t>〈</w:t>
      </w:r>
      <w:r>
        <w:rPr>
          <w:rFonts w:hint="eastAsia"/>
          <w:szCs w:val="21"/>
        </w:rPr>
        <w:t>深圳市政府采购评标定标分离管理办法</w:t>
      </w:r>
      <w:r>
        <w:rPr>
          <w:rFonts w:hint="eastAsia" w:ascii="宋体" w:hAnsi="宋体"/>
          <w:szCs w:val="21"/>
        </w:rPr>
        <w:t>〉</w:t>
      </w:r>
      <w:r>
        <w:rPr>
          <w:rFonts w:hint="eastAsia"/>
          <w:szCs w:val="21"/>
        </w:rPr>
        <w:t>的通知》（深财规【</w:t>
      </w:r>
      <w:r>
        <w:rPr>
          <w:szCs w:val="21"/>
        </w:rPr>
        <w:t>2020</w:t>
      </w:r>
      <w:r>
        <w:rPr>
          <w:rFonts w:hint="eastAsia"/>
          <w:szCs w:val="21"/>
        </w:rPr>
        <w:t>】</w:t>
      </w:r>
      <w:r>
        <w:rPr>
          <w:szCs w:val="21"/>
        </w:rPr>
        <w:t>1</w:t>
      </w:r>
      <w:r>
        <w:rPr>
          <w:rFonts w:hint="eastAsia"/>
          <w:szCs w:val="21"/>
        </w:rPr>
        <w:t>号）执行。</w:t>
      </w:r>
    </w:p>
    <w:p w14:paraId="52ACD0F5">
      <w:pPr>
        <w:ind w:firstLine="420" w:firstLineChars="200"/>
        <w:rPr>
          <w:rFonts w:hint="eastAsia" w:ascii="宋体" w:hAnsi="宋体"/>
          <w:szCs w:val="21"/>
        </w:rPr>
      </w:pPr>
      <w:r>
        <w:rPr>
          <w:rFonts w:hint="eastAsia" w:ascii="宋体" w:hAnsi="宋体"/>
          <w:szCs w:val="21"/>
        </w:rPr>
        <w:t>说明：采购人及投标供应商应按照上述方法提前做好相关准备。</w:t>
      </w:r>
    </w:p>
    <w:p w14:paraId="6E5F6493">
      <w:pPr>
        <w:ind w:firstLine="420" w:firstLineChars="200"/>
        <w:rPr>
          <w:rFonts w:hint="eastAsia" w:ascii="宋体" w:hAnsi="宋体"/>
          <w:szCs w:val="21"/>
        </w:rPr>
      </w:pPr>
      <w:r>
        <w:rPr>
          <w:rFonts w:hint="eastAsia" w:ascii="宋体" w:hAnsi="宋体"/>
          <w:szCs w:val="21"/>
        </w:rPr>
        <w:t>38.3专用条款另有规定的，按专用条款相关要求定标。</w:t>
      </w:r>
      <w:bookmarkEnd w:id="70"/>
    </w:p>
    <w:p w14:paraId="393405A1">
      <w:pPr>
        <w:ind w:firstLine="420" w:firstLineChars="200"/>
        <w:rPr>
          <w:rFonts w:hint="eastAsia" w:ascii="黑体" w:hAnsi="宋体" w:eastAsia="黑体"/>
          <w:szCs w:val="21"/>
        </w:rPr>
      </w:pPr>
      <w:r>
        <w:rPr>
          <w:rFonts w:hint="eastAsia" w:ascii="黑体" w:hAnsi="宋体" w:eastAsia="黑体"/>
          <w:szCs w:val="21"/>
        </w:rPr>
        <w:t>39．编写评审报告</w:t>
      </w:r>
    </w:p>
    <w:p w14:paraId="2494371A">
      <w:pPr>
        <w:ind w:firstLine="420" w:firstLineChars="200"/>
        <w:rPr>
          <w:rFonts w:hint="eastAsia" w:ascii="宋体" w:hAnsi="宋体"/>
          <w:szCs w:val="21"/>
        </w:rPr>
      </w:pPr>
      <w:r>
        <w:rPr>
          <w:rFonts w:hint="eastAsia" w:ascii="宋体" w:hAnsi="宋体"/>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14:paraId="27BD1886">
      <w:pPr>
        <w:ind w:firstLine="420" w:firstLineChars="200"/>
        <w:rPr>
          <w:rFonts w:hint="eastAsia" w:ascii="黑体" w:hAnsi="宋体" w:eastAsia="黑体"/>
          <w:szCs w:val="21"/>
        </w:rPr>
      </w:pPr>
      <w:r>
        <w:rPr>
          <w:rFonts w:hint="eastAsia" w:ascii="黑体" w:hAnsi="宋体" w:eastAsia="黑体"/>
          <w:szCs w:val="21"/>
        </w:rPr>
        <w:t>40．中标公告</w:t>
      </w:r>
    </w:p>
    <w:p w14:paraId="6A25805B">
      <w:pPr>
        <w:ind w:firstLine="420" w:firstLineChars="200"/>
        <w:rPr>
          <w:rFonts w:hint="eastAsia" w:ascii="宋体" w:hAnsi="宋体"/>
          <w:szCs w:val="21"/>
        </w:rPr>
      </w:pPr>
      <w:r>
        <w:rPr>
          <w:rFonts w:hint="eastAsia" w:ascii="宋体" w:hAnsi="宋体"/>
          <w:szCs w:val="21"/>
        </w:rPr>
        <w:t>40.1</w:t>
      </w:r>
      <w:bookmarkStart w:id="73" w:name="_Hlk72438709"/>
      <w:r>
        <w:rPr>
          <w:rFonts w:hint="eastAsia" w:ascii="宋体" w:hAnsi="宋体"/>
          <w:szCs w:val="21"/>
        </w:rPr>
        <w:t>为体现“公开、公平、公正”的原则，评审结束后经采购人确认（确定）评审结果，采购代理机构将在深圳交易集团（深圳公共资源交易中心）官网</w:t>
      </w:r>
      <w:r>
        <w:rPr>
          <w:rFonts w:hint="eastAsia" w:ascii="宋体" w:hAnsi="宋体"/>
          <w:b/>
          <w:bCs/>
          <w:szCs w:val="21"/>
        </w:rPr>
        <w:t>https://www.szexgrp.com/jyfw/zfcg-view.html?id=zfcg</w:t>
      </w:r>
      <w:r>
        <w:rPr>
          <w:rFonts w:hint="eastAsia" w:ascii="宋体" w:hAnsi="宋体"/>
          <w:szCs w:val="21"/>
        </w:rPr>
        <w:t>上发布中标结果公告。</w:t>
      </w:r>
      <w:bookmarkEnd w:id="73"/>
      <w:bookmarkStart w:id="74" w:name="_Hlk72438751"/>
      <w:r>
        <w:rPr>
          <w:rFonts w:hint="eastAsia" w:ascii="宋体" w:hAnsi="宋体"/>
          <w:szCs w:val="21"/>
        </w:rPr>
        <w:t>供应商如对评审结果有异议，可在发布公示日期起七个工作日内向采购代理机构提出。监督电话：0755-86500050。若在公示期内未提出质疑，则视为认同该评审结果。</w:t>
      </w:r>
    </w:p>
    <w:bookmarkEnd w:id="74"/>
    <w:p w14:paraId="38F2C721">
      <w:pPr>
        <w:ind w:firstLine="420" w:firstLineChars="200"/>
        <w:rPr>
          <w:rFonts w:hint="eastAsia" w:ascii="宋体" w:hAnsi="宋体"/>
          <w:szCs w:val="21"/>
        </w:rPr>
      </w:pPr>
      <w:r>
        <w:rPr>
          <w:rFonts w:hint="eastAsia" w:ascii="宋体" w:hAnsi="宋体"/>
          <w:szCs w:val="21"/>
        </w:rPr>
        <w:t>40.2质疑、投诉供应商应保证质疑、投诉内容的真实性和可靠性，并承担相应的法律责任。</w:t>
      </w:r>
    </w:p>
    <w:p w14:paraId="6A11F8F7">
      <w:pPr>
        <w:ind w:firstLine="420" w:firstLineChars="200"/>
        <w:rPr>
          <w:rFonts w:hint="eastAsia" w:ascii="黑体" w:hAnsi="宋体" w:eastAsia="黑体"/>
          <w:szCs w:val="21"/>
        </w:rPr>
      </w:pPr>
      <w:r>
        <w:rPr>
          <w:rFonts w:hint="eastAsia" w:ascii="黑体" w:hAnsi="宋体" w:eastAsia="黑体"/>
          <w:szCs w:val="21"/>
        </w:rPr>
        <w:t>41．中标通知书</w:t>
      </w:r>
    </w:p>
    <w:p w14:paraId="49A334E6">
      <w:pPr>
        <w:ind w:firstLine="420" w:firstLineChars="200"/>
        <w:rPr>
          <w:rFonts w:hint="eastAsia" w:ascii="宋体" w:hAnsi="宋体"/>
          <w:szCs w:val="21"/>
        </w:rPr>
      </w:pPr>
      <w:r>
        <w:rPr>
          <w:rFonts w:hint="eastAsia" w:ascii="宋体" w:hAnsi="宋体"/>
          <w:szCs w:val="21"/>
        </w:rPr>
        <w:t>41.1</w:t>
      </w:r>
      <w:bookmarkStart w:id="75" w:name="_Hlk72438863"/>
      <w:r>
        <w:rPr>
          <w:rFonts w:hint="eastAsia" w:ascii="宋体" w:hAnsi="宋体"/>
          <w:szCs w:val="21"/>
        </w:rPr>
        <w:t>中标公告公布以后无异常的情况下,中标供应商和采购人可自行在</w:t>
      </w:r>
      <w:r>
        <w:rPr>
          <w:rFonts w:hint="eastAsia" w:ascii="宋体" w:hAnsi="宋体"/>
          <w:b/>
          <w:bCs/>
          <w:szCs w:val="21"/>
        </w:rPr>
        <w:t>“</w:t>
      </w:r>
      <w:r>
        <w:rPr>
          <w:rFonts w:hint="eastAsia" w:ascii="宋体" w:hAnsi="宋体"/>
          <w:szCs w:val="21"/>
        </w:rPr>
        <w:t>深圳市自行采购系统（https://trade.szggzy.com/ggzy/center/#/login）</w:t>
      </w:r>
      <w:r>
        <w:rPr>
          <w:rFonts w:hint="eastAsia" w:ascii="宋体" w:hAnsi="宋体"/>
          <w:b/>
          <w:bCs/>
          <w:szCs w:val="21"/>
        </w:rPr>
        <w:t>”</w:t>
      </w:r>
      <w:r>
        <w:rPr>
          <w:rFonts w:hint="eastAsia" w:ascii="宋体" w:hAnsi="宋体"/>
          <w:szCs w:val="21"/>
        </w:rPr>
        <w:t>上打印</w:t>
      </w:r>
      <w:r>
        <w:rPr>
          <w:rFonts w:hint="eastAsia" w:ascii="宋体" w:hAnsi="宋体"/>
          <w:b/>
          <w:szCs w:val="21"/>
        </w:rPr>
        <w:t>《数字中标通知书》</w:t>
      </w:r>
      <w:r>
        <w:rPr>
          <w:rFonts w:hint="eastAsia" w:ascii="宋体" w:hAnsi="宋体"/>
          <w:szCs w:val="21"/>
        </w:rPr>
        <w:t>。</w:t>
      </w:r>
      <w:bookmarkEnd w:id="75"/>
    </w:p>
    <w:p w14:paraId="4AF5C217">
      <w:pPr>
        <w:ind w:firstLine="420" w:firstLineChars="200"/>
        <w:rPr>
          <w:rFonts w:hint="eastAsia" w:ascii="宋体" w:hAnsi="宋体"/>
          <w:szCs w:val="21"/>
        </w:rPr>
      </w:pPr>
      <w:r>
        <w:rPr>
          <w:rFonts w:hint="eastAsia" w:ascii="宋体" w:hAnsi="宋体"/>
          <w:szCs w:val="21"/>
        </w:rPr>
        <w:t>41.2中标通知书是合同的重要组成部分。</w:t>
      </w:r>
    </w:p>
    <w:p w14:paraId="61B84B1A">
      <w:pPr>
        <w:ind w:firstLine="420" w:firstLineChars="200"/>
        <w:rPr>
          <w:rFonts w:hint="eastAsia" w:ascii="宋体" w:hAnsi="宋体"/>
          <w:szCs w:val="21"/>
        </w:rPr>
      </w:pPr>
      <w:bookmarkStart w:id="76" w:name="_Hlk71407340"/>
      <w:r>
        <w:rPr>
          <w:rFonts w:hint="eastAsia" w:ascii="宋体" w:hAnsi="宋体"/>
          <w:szCs w:val="21"/>
        </w:rPr>
        <w:t>41.3因质疑投诉或其它原因导致项目结果变更或采购终止的，采购代理机构有权吊销中标通知书。</w:t>
      </w:r>
      <w:bookmarkEnd w:id="76"/>
    </w:p>
    <w:p w14:paraId="60F1418B">
      <w:pPr>
        <w:pStyle w:val="79"/>
        <w:keepNext/>
        <w:keepLines/>
        <w:numPr>
          <w:ilvl w:val="0"/>
          <w:numId w:val="11"/>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rPr>
      </w:pPr>
      <w:r>
        <w:rPr>
          <w:rFonts w:hint="eastAsia" w:ascii="Cambria" w:hAnsi="Cambria" w:cs="宋体"/>
          <w:b/>
          <w:bCs/>
          <w:sz w:val="28"/>
          <w:szCs w:val="28"/>
        </w:rPr>
        <w:t>公开招标失败的后续处理</w:t>
      </w:r>
    </w:p>
    <w:p w14:paraId="46EAB3AF">
      <w:pPr>
        <w:ind w:firstLine="420" w:firstLineChars="200"/>
        <w:rPr>
          <w:rFonts w:hint="eastAsia" w:ascii="黑体" w:hAnsi="宋体" w:eastAsia="黑体"/>
          <w:szCs w:val="21"/>
        </w:rPr>
      </w:pPr>
      <w:r>
        <w:rPr>
          <w:rFonts w:hint="eastAsia" w:ascii="黑体" w:hAnsi="宋体" w:eastAsia="黑体"/>
          <w:szCs w:val="21"/>
        </w:rPr>
        <w:t>42．公开招标失败的处理</w:t>
      </w:r>
    </w:p>
    <w:p w14:paraId="3841A5C3">
      <w:pPr>
        <w:ind w:firstLine="411" w:firstLineChars="196"/>
        <w:rPr>
          <w:rFonts w:hint="eastAsia" w:ascii="宋体" w:hAnsi="宋体"/>
        </w:rPr>
      </w:pPr>
      <w:r>
        <w:rPr>
          <w:rFonts w:hint="eastAsia" w:ascii="宋体" w:hAnsi="宋体"/>
          <w:szCs w:val="21"/>
        </w:rPr>
        <w:t>42.1本项目公开招标过程中若由于投标截止后</w:t>
      </w:r>
      <w:r>
        <w:rPr>
          <w:rFonts w:hint="eastAsia" w:ascii="宋体" w:hAnsi="宋体"/>
        </w:rPr>
        <w:t>实际递交投标文件的供应商数量不足、经</w:t>
      </w:r>
      <w:r>
        <w:rPr>
          <w:rFonts w:hint="eastAsia" w:ascii="宋体" w:hAnsi="宋体"/>
          <w:szCs w:val="21"/>
        </w:rPr>
        <w:t>评审委员会</w:t>
      </w:r>
      <w:r>
        <w:rPr>
          <w:rFonts w:hint="eastAsia" w:ascii="宋体" w:hAnsi="宋体"/>
        </w:rPr>
        <w:t>评审对招标文件作实质响应的供应商不足等原因造成公开招标失败，可由</w:t>
      </w:r>
      <w:r>
        <w:rPr>
          <w:rFonts w:hint="eastAsia" w:ascii="宋体" w:hAnsi="宋体"/>
          <w:szCs w:val="21"/>
        </w:rPr>
        <w:t>采购代理机构</w:t>
      </w:r>
      <w:r>
        <w:rPr>
          <w:rFonts w:hint="eastAsia" w:ascii="宋体" w:hAnsi="宋体"/>
        </w:rPr>
        <w:t>重新组织采购。</w:t>
      </w:r>
    </w:p>
    <w:p w14:paraId="569D5D20">
      <w:pPr>
        <w:ind w:firstLine="411" w:firstLineChars="196"/>
        <w:rPr>
          <w:rFonts w:hint="eastAsia" w:ascii="宋体" w:hAnsi="宋体"/>
          <w:szCs w:val="21"/>
        </w:rPr>
      </w:pPr>
      <w:r>
        <w:rPr>
          <w:rFonts w:hint="eastAsia" w:ascii="宋体" w:hAnsi="宋体"/>
          <w:szCs w:val="21"/>
        </w:rPr>
        <w:t>42.2对公开招标失败的项目，评审委员会在出具该项目招标失败结论的同时，可以提出重新采购组织形式的建议，以及进一步完善招标文件的资格、技术、商务要求的修改建议。</w:t>
      </w:r>
    </w:p>
    <w:p w14:paraId="02D20DF9">
      <w:pPr>
        <w:ind w:firstLine="411" w:firstLineChars="196"/>
        <w:rPr>
          <w:rFonts w:hint="eastAsia" w:ascii="宋体" w:hAnsi="宋体"/>
          <w:szCs w:val="21"/>
        </w:rPr>
      </w:pPr>
      <w:r>
        <w:rPr>
          <w:rFonts w:hint="eastAsia" w:ascii="宋体" w:hAnsi="宋体"/>
          <w:szCs w:val="21"/>
        </w:rPr>
        <w:t>42.3重新组织采购有以下两种组织形式：</w:t>
      </w:r>
    </w:p>
    <w:p w14:paraId="141AAE86">
      <w:pPr>
        <w:ind w:firstLine="411" w:firstLineChars="196"/>
        <w:rPr>
          <w:rFonts w:hint="eastAsia" w:ascii="宋体" w:hAnsi="宋体"/>
        </w:rPr>
      </w:pPr>
      <w:r>
        <w:rPr>
          <w:rFonts w:hint="eastAsia" w:ascii="宋体" w:hAnsi="宋体"/>
        </w:rPr>
        <w:t>（1）由</w:t>
      </w:r>
      <w:r>
        <w:rPr>
          <w:rFonts w:hint="eastAsia" w:ascii="宋体" w:hAnsi="宋体"/>
          <w:szCs w:val="21"/>
        </w:rPr>
        <w:t>采购代理机构</w:t>
      </w:r>
      <w:r>
        <w:rPr>
          <w:rFonts w:hint="eastAsia" w:ascii="宋体" w:hAnsi="宋体"/>
        </w:rPr>
        <w:t>重新组织公开招标；</w:t>
      </w:r>
    </w:p>
    <w:p w14:paraId="542A44BF">
      <w:pPr>
        <w:ind w:firstLine="411" w:firstLineChars="196"/>
        <w:rPr>
          <w:rFonts w:hint="eastAsia" w:ascii="宋体" w:hAnsi="宋体"/>
        </w:rPr>
      </w:pPr>
      <w:r>
        <w:rPr>
          <w:rFonts w:hint="eastAsia" w:ascii="宋体" w:hAnsi="宋体"/>
          <w:highlight w:val="cyan"/>
        </w:rPr>
        <w:t>（2）如需要根据实际情况向采购人主管部门提出非公开招标方式申请的，经</w:t>
      </w:r>
      <w:r>
        <w:rPr>
          <w:rFonts w:hint="eastAsia" w:ascii="宋体" w:hAnsi="宋体"/>
        </w:rPr>
        <w:t>采购人主管部门批准，公开招标失败采购项目可转为竞争性谈判或单一来源谈判方式采购。</w:t>
      </w:r>
    </w:p>
    <w:p w14:paraId="5E8988E3">
      <w:pPr>
        <w:ind w:firstLine="411" w:firstLineChars="196"/>
        <w:rPr>
          <w:rFonts w:hint="eastAsia" w:ascii="宋体" w:hAnsi="宋体"/>
        </w:rPr>
      </w:pPr>
      <w:r>
        <w:rPr>
          <w:rFonts w:hint="eastAsia" w:ascii="宋体" w:hAnsi="宋体"/>
        </w:rPr>
        <w:t>42.4公开招标失败的采购项目重新组织公开招标，由</w:t>
      </w:r>
      <w:r>
        <w:rPr>
          <w:rFonts w:hint="eastAsia" w:ascii="宋体" w:hAnsi="宋体"/>
          <w:szCs w:val="21"/>
        </w:rPr>
        <w:t>采购代理机构</w:t>
      </w:r>
      <w:r>
        <w:rPr>
          <w:rFonts w:hint="eastAsia" w:ascii="宋体" w:hAnsi="宋体"/>
        </w:rPr>
        <w:t>重新按公开招标流程组织采购活动。</w:t>
      </w:r>
    </w:p>
    <w:p w14:paraId="50B3A951">
      <w:pPr>
        <w:ind w:firstLine="420" w:firstLineChars="200"/>
        <w:rPr>
          <w:rFonts w:hint="eastAsia" w:ascii="黑体" w:hAnsi="宋体" w:eastAsia="黑体"/>
          <w:sz w:val="24"/>
          <w:highlight w:val="cyan"/>
        </w:rPr>
      </w:pPr>
      <w:r>
        <w:rPr>
          <w:rFonts w:hint="eastAsia" w:ascii="宋体" w:hAnsi="宋体"/>
          <w:highlight w:val="cyan"/>
        </w:rPr>
        <w:t>42.5公开招标失败的采购项目转为竞争性谈判或单一来源谈判方式采购的，按规定要求组织自行采购工作。</w:t>
      </w:r>
    </w:p>
    <w:p w14:paraId="39428B19">
      <w:pPr>
        <w:pStyle w:val="79"/>
        <w:keepNext/>
        <w:keepLines/>
        <w:numPr>
          <w:ilvl w:val="0"/>
          <w:numId w:val="11"/>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rPr>
      </w:pPr>
      <w:bookmarkStart w:id="77" w:name="_Hlk72439043"/>
      <w:r>
        <w:rPr>
          <w:rFonts w:hint="eastAsia" w:ascii="Cambria" w:hAnsi="Cambria" w:cs="宋体"/>
          <w:b/>
          <w:bCs/>
          <w:sz w:val="28"/>
          <w:szCs w:val="28"/>
        </w:rPr>
        <w:t>合同的授予与备案</w:t>
      </w:r>
      <w:bookmarkEnd w:id="77"/>
    </w:p>
    <w:p w14:paraId="1274F88B">
      <w:pPr>
        <w:ind w:firstLine="420" w:firstLineChars="200"/>
        <w:rPr>
          <w:rFonts w:hint="eastAsia" w:ascii="黑体" w:hAnsi="宋体" w:eastAsia="黑体"/>
          <w:szCs w:val="21"/>
        </w:rPr>
      </w:pPr>
      <w:bookmarkStart w:id="78" w:name="_Toc73521674"/>
      <w:bookmarkStart w:id="79" w:name="_Toc73517679"/>
      <w:bookmarkStart w:id="80" w:name="_Toc73521586"/>
      <w:bookmarkStart w:id="81" w:name="_Toc73518157"/>
      <w:bookmarkStart w:id="82" w:name="_Toc100052408"/>
      <w:bookmarkStart w:id="83" w:name="_Hlk72439088"/>
      <w:r>
        <w:rPr>
          <w:rFonts w:hint="eastAsia" w:ascii="黑体" w:hAnsi="宋体" w:eastAsia="黑体"/>
          <w:szCs w:val="21"/>
        </w:rPr>
        <w:t>43．合同授予标准</w:t>
      </w:r>
      <w:bookmarkEnd w:id="78"/>
      <w:bookmarkEnd w:id="79"/>
      <w:bookmarkEnd w:id="80"/>
      <w:bookmarkEnd w:id="81"/>
      <w:bookmarkEnd w:id="82"/>
    </w:p>
    <w:p w14:paraId="7BE04C4D">
      <w:pPr>
        <w:ind w:firstLine="420" w:firstLineChars="200"/>
        <w:rPr>
          <w:rFonts w:hint="eastAsia" w:ascii="宋体" w:hAnsi="宋体"/>
          <w:szCs w:val="21"/>
        </w:rPr>
      </w:pPr>
      <w:r>
        <w:rPr>
          <w:rFonts w:hint="eastAsia" w:ascii="宋体" w:hAnsi="宋体"/>
          <w:szCs w:val="21"/>
        </w:rPr>
        <w:t>本项目的合同将授予经本招标文件规定评审确定的中标供应商。</w:t>
      </w:r>
    </w:p>
    <w:p w14:paraId="21E8898C">
      <w:pPr>
        <w:ind w:firstLine="420" w:firstLineChars="200"/>
        <w:rPr>
          <w:rFonts w:hint="eastAsia" w:ascii="黑体" w:hAnsi="宋体" w:eastAsia="黑体"/>
          <w:szCs w:val="21"/>
        </w:rPr>
      </w:pPr>
      <w:bookmarkStart w:id="84" w:name="_Toc73521675"/>
      <w:bookmarkStart w:id="85" w:name="_Toc73518158"/>
      <w:bookmarkStart w:id="86" w:name="_Toc100052409"/>
      <w:bookmarkStart w:id="87" w:name="_Toc73521587"/>
      <w:bookmarkStart w:id="88" w:name="_Toc73517680"/>
      <w:r>
        <w:rPr>
          <w:rFonts w:hint="eastAsia" w:ascii="黑体" w:hAnsi="宋体" w:eastAsia="黑体"/>
          <w:szCs w:val="21"/>
        </w:rPr>
        <w:t>44．</w:t>
      </w:r>
      <w:bookmarkEnd w:id="84"/>
      <w:bookmarkEnd w:id="85"/>
      <w:bookmarkEnd w:id="86"/>
      <w:bookmarkEnd w:id="87"/>
      <w:bookmarkEnd w:id="88"/>
      <w:r>
        <w:rPr>
          <w:rFonts w:hint="eastAsia" w:ascii="黑体" w:hAnsi="宋体" w:eastAsia="黑体"/>
          <w:szCs w:val="21"/>
        </w:rPr>
        <w:t>接受和拒绝任何或所有投标的权力</w:t>
      </w:r>
    </w:p>
    <w:p w14:paraId="267834F2">
      <w:pPr>
        <w:ind w:firstLine="420" w:firstLineChars="200"/>
        <w:rPr>
          <w:rFonts w:hint="eastAsia" w:ascii="宋体" w:hAnsi="宋体"/>
          <w:szCs w:val="21"/>
        </w:rPr>
      </w:pPr>
      <w:r>
        <w:rPr>
          <w:rFonts w:hint="eastAsia" w:ascii="宋体" w:hAnsi="宋体"/>
          <w:szCs w:val="21"/>
        </w:rPr>
        <w:t>采购代理机构和采购人保留在投标之前任何时候接受或拒绝任何投标或所有投标，以及宣布招标无效的权力，对受影响的投标人不承担任何责任，也无义务向受影响的投标人解释采取这一行动的理由。</w:t>
      </w:r>
    </w:p>
    <w:p w14:paraId="099D0308">
      <w:pPr>
        <w:ind w:firstLine="420" w:firstLineChars="200"/>
        <w:rPr>
          <w:rFonts w:hint="eastAsia" w:ascii="黑体" w:hAnsi="宋体" w:eastAsia="黑体"/>
          <w:szCs w:val="21"/>
        </w:rPr>
      </w:pPr>
      <w:bookmarkStart w:id="89" w:name="_Toc73521589"/>
      <w:bookmarkStart w:id="90" w:name="_Toc73521677"/>
      <w:bookmarkStart w:id="91" w:name="_Toc73518160"/>
      <w:bookmarkStart w:id="92" w:name="_Toc73517682"/>
      <w:bookmarkStart w:id="93" w:name="_Toc100052410"/>
      <w:r>
        <w:rPr>
          <w:rFonts w:hint="eastAsia" w:ascii="黑体" w:hAnsi="宋体" w:eastAsia="黑体"/>
          <w:szCs w:val="21"/>
        </w:rPr>
        <w:t>45．合同的签订</w:t>
      </w:r>
      <w:bookmarkEnd w:id="89"/>
      <w:bookmarkEnd w:id="90"/>
      <w:bookmarkEnd w:id="91"/>
      <w:bookmarkEnd w:id="92"/>
      <w:bookmarkEnd w:id="93"/>
    </w:p>
    <w:p w14:paraId="2F3A67C9">
      <w:pPr>
        <w:ind w:firstLine="420" w:firstLineChars="200"/>
        <w:rPr>
          <w:rFonts w:hint="eastAsia" w:ascii="宋体" w:hAnsi="宋体"/>
          <w:szCs w:val="21"/>
        </w:rPr>
      </w:pPr>
      <w:r>
        <w:rPr>
          <w:rFonts w:hint="eastAsia" w:ascii="宋体" w:hAnsi="宋体"/>
          <w:szCs w:val="21"/>
        </w:rPr>
        <w:t>45.1中标人将于中标通知书发出之日起十个工作日内，按照采购文件（招标文件和投标文件等）内容与采购人签订采购合同；合同的实质性内容应当符合招标文件的规定；</w:t>
      </w:r>
    </w:p>
    <w:p w14:paraId="5E046A80">
      <w:pPr>
        <w:ind w:firstLine="420" w:firstLineChars="200"/>
        <w:rPr>
          <w:rFonts w:hint="eastAsia" w:ascii="宋体" w:hAnsi="宋体"/>
          <w:szCs w:val="21"/>
        </w:rPr>
      </w:pPr>
      <w:r>
        <w:rPr>
          <w:rFonts w:hint="eastAsia" w:ascii="宋体" w:hAnsi="宋体"/>
          <w:szCs w:val="21"/>
        </w:rPr>
        <w:t>45.2中标人如不按本通用条款第45.1款的规定与采购人签订合同，</w:t>
      </w:r>
      <w:r>
        <w:rPr>
          <w:rFonts w:hint="eastAsia" w:ascii="宋体" w:hAnsi="宋体" w:cs="宋体"/>
          <w:kern w:val="0"/>
          <w:szCs w:val="21"/>
        </w:rPr>
        <w:t>情节严重的，由同级财政部门记入供应商诚信档案，予以通报</w:t>
      </w:r>
      <w:r>
        <w:rPr>
          <w:rFonts w:hint="eastAsia" w:ascii="宋体" w:hAnsi="宋体"/>
          <w:szCs w:val="21"/>
        </w:rPr>
        <w:t>；</w:t>
      </w:r>
    </w:p>
    <w:p w14:paraId="321B4B00">
      <w:pPr>
        <w:ind w:firstLine="420" w:firstLineChars="200"/>
        <w:rPr>
          <w:rFonts w:hint="eastAsia" w:ascii="宋体" w:hAnsi="宋体"/>
          <w:szCs w:val="21"/>
        </w:rPr>
      </w:pPr>
      <w:r>
        <w:rPr>
          <w:rFonts w:hint="eastAsia" w:ascii="宋体" w:hAnsi="宋体"/>
          <w:szCs w:val="21"/>
        </w:rPr>
        <w:t>45.3中标人应当按照合同约定履行义务，完成中标项目，不得将中标项目转让（转包）给他人。</w:t>
      </w:r>
    </w:p>
    <w:p w14:paraId="66BB9485">
      <w:pPr>
        <w:ind w:firstLine="420" w:firstLineChars="200"/>
        <w:rPr>
          <w:rFonts w:hint="eastAsia" w:ascii="黑体" w:hAnsi="宋体" w:eastAsia="黑体"/>
          <w:szCs w:val="21"/>
        </w:rPr>
      </w:pPr>
      <w:bookmarkStart w:id="94" w:name="_Toc73518161"/>
      <w:bookmarkStart w:id="95" w:name="_Toc73517683"/>
      <w:bookmarkStart w:id="96" w:name="_Toc73521590"/>
      <w:bookmarkStart w:id="97" w:name="_Toc73521678"/>
      <w:bookmarkStart w:id="98" w:name="_Toc100052411"/>
      <w:r>
        <w:rPr>
          <w:rFonts w:hint="eastAsia" w:ascii="黑体" w:hAnsi="宋体" w:eastAsia="黑体"/>
          <w:szCs w:val="21"/>
        </w:rPr>
        <w:t>46．履约担保</w:t>
      </w:r>
      <w:bookmarkEnd w:id="94"/>
      <w:bookmarkEnd w:id="95"/>
      <w:bookmarkEnd w:id="96"/>
      <w:bookmarkEnd w:id="97"/>
      <w:bookmarkEnd w:id="98"/>
    </w:p>
    <w:p w14:paraId="2D12CE29">
      <w:pPr>
        <w:ind w:firstLine="420" w:firstLineChars="200"/>
        <w:rPr>
          <w:rFonts w:hint="eastAsia" w:ascii="宋体" w:hAnsi="宋体"/>
          <w:szCs w:val="21"/>
        </w:rPr>
      </w:pPr>
      <w:r>
        <w:rPr>
          <w:rFonts w:hint="eastAsia" w:ascii="宋体" w:hAnsi="宋体"/>
          <w:szCs w:val="21"/>
        </w:rPr>
        <w:t>46.1在签订项目合同的同时，中标人应按“对通用条款的补充内容”中规定的金额向采购人提交履约担保；</w:t>
      </w:r>
    </w:p>
    <w:p w14:paraId="50DFD030">
      <w:pPr>
        <w:ind w:firstLine="420" w:firstLineChars="200"/>
        <w:rPr>
          <w:rFonts w:hint="eastAsia" w:ascii="宋体" w:hAnsi="宋体"/>
          <w:szCs w:val="21"/>
        </w:rPr>
      </w:pPr>
      <w:r>
        <w:rPr>
          <w:rFonts w:hint="eastAsia" w:ascii="宋体" w:hAnsi="宋体"/>
          <w:szCs w:val="21"/>
        </w:rPr>
        <w:t>46.2，允许供应商自主选择以支票、汇票、本票、保函等非现金方式提交履约担保；</w:t>
      </w:r>
      <w:r>
        <w:rPr>
          <w:rFonts w:hint="eastAsia"/>
          <w:szCs w:val="21"/>
        </w:rPr>
        <w:t>中标人提交履约担保不是合同签订的前提条件，不要求中标人提供除法律、法规明确规定外的其他担保。</w:t>
      </w:r>
    </w:p>
    <w:p w14:paraId="0FA6E07A">
      <w:pPr>
        <w:ind w:firstLine="420" w:firstLineChars="200"/>
        <w:rPr>
          <w:rFonts w:hint="eastAsia" w:ascii="黑体" w:hAnsi="宋体" w:eastAsia="黑体"/>
          <w:szCs w:val="21"/>
        </w:rPr>
      </w:pPr>
      <w:r>
        <w:rPr>
          <w:rFonts w:hint="eastAsia" w:ascii="黑体" w:hAnsi="宋体" w:eastAsia="黑体"/>
          <w:szCs w:val="21"/>
        </w:rPr>
        <w:t>47. 合同备案</w:t>
      </w:r>
    </w:p>
    <w:p w14:paraId="13C3184B">
      <w:pPr>
        <w:ind w:firstLine="420" w:firstLineChars="200"/>
        <w:rPr>
          <w:rFonts w:hint="eastAsia" w:ascii="黑体" w:hAnsi="宋体" w:eastAsia="黑体"/>
          <w:szCs w:val="21"/>
          <w:highlight w:val="cyan"/>
        </w:rPr>
      </w:pPr>
      <w:r>
        <w:rPr>
          <w:rFonts w:hint="eastAsia" w:ascii="黑体" w:hAnsi="宋体" w:eastAsia="黑体"/>
          <w:szCs w:val="21"/>
          <w:highlight w:val="cyan"/>
        </w:rPr>
        <w:t>自行采购项目，无需办理政府采购合同备案。</w:t>
      </w:r>
    </w:p>
    <w:p w14:paraId="085E37F2">
      <w:pPr>
        <w:ind w:firstLine="420" w:firstLineChars="200"/>
        <w:rPr>
          <w:rFonts w:hint="eastAsia" w:ascii="黑体" w:hAnsi="宋体" w:eastAsia="黑体"/>
          <w:szCs w:val="21"/>
        </w:rPr>
      </w:pPr>
      <w:r>
        <w:rPr>
          <w:rFonts w:hint="eastAsia" w:ascii="黑体" w:hAnsi="宋体" w:eastAsia="黑体"/>
          <w:szCs w:val="21"/>
        </w:rPr>
        <w:t>48. 合同变更</w:t>
      </w:r>
    </w:p>
    <w:p w14:paraId="0492B479">
      <w:pPr>
        <w:ind w:firstLine="420" w:firstLineChars="200"/>
        <w:rPr>
          <w:rFonts w:hint="eastAsia" w:ascii="宋体" w:hAnsi="宋体"/>
          <w:szCs w:val="21"/>
        </w:rPr>
      </w:pPr>
      <w:r>
        <w:rPr>
          <w:rFonts w:hint="eastAsia" w:ascii="宋体" w:hAnsi="宋体"/>
          <w:szCs w:val="21"/>
        </w:rPr>
        <w:t>合同变更事宜参照《深圳市财政局关于优化政府采购合同备案的通知》（深财发保〔2022〕2号）相关规定，按采购人内控制度执行。</w:t>
      </w:r>
    </w:p>
    <w:p w14:paraId="7B7FE6C9">
      <w:pPr>
        <w:ind w:firstLine="420" w:firstLineChars="200"/>
        <w:rPr>
          <w:rFonts w:hint="eastAsia" w:ascii="黑体" w:hAnsi="宋体" w:eastAsia="黑体"/>
          <w:szCs w:val="21"/>
        </w:rPr>
      </w:pPr>
      <w:r>
        <w:rPr>
          <w:rFonts w:hint="eastAsia" w:ascii="黑体" w:hAnsi="宋体" w:eastAsia="黑体"/>
          <w:szCs w:val="21"/>
        </w:rPr>
        <w:t>49. 项目验收</w:t>
      </w:r>
    </w:p>
    <w:p w14:paraId="2385E70E">
      <w:pPr>
        <w:widowControl/>
        <w:ind w:firstLine="420" w:firstLineChars="200"/>
        <w:jc w:val="left"/>
        <w:rPr>
          <w:rFonts w:hint="eastAsia" w:ascii="宋体" w:hAnsi="宋体"/>
          <w:szCs w:val="21"/>
        </w:rPr>
      </w:pPr>
      <w:r>
        <w:rPr>
          <w:rFonts w:hint="eastAsia" w:ascii="宋体" w:hAnsi="宋体"/>
          <w:szCs w:val="21"/>
        </w:rPr>
        <w:t xml:space="preserve">49.1采购人应当按照招标文件和合同规定的标准和方法，及时组织验收。 </w:t>
      </w:r>
    </w:p>
    <w:p w14:paraId="78E699EA">
      <w:pPr>
        <w:ind w:firstLine="420" w:firstLineChars="200"/>
        <w:rPr>
          <w:rFonts w:hint="eastAsia" w:ascii="黑体" w:hAnsi="宋体" w:eastAsia="黑体"/>
          <w:szCs w:val="21"/>
        </w:rPr>
      </w:pPr>
      <w:r>
        <w:rPr>
          <w:rFonts w:hint="eastAsia" w:ascii="黑体" w:hAnsi="宋体" w:eastAsia="黑体"/>
          <w:szCs w:val="21"/>
        </w:rPr>
        <w:t>50. 宣传</w:t>
      </w:r>
    </w:p>
    <w:p w14:paraId="02116F47">
      <w:pPr>
        <w:ind w:firstLine="420" w:firstLineChars="200"/>
        <w:rPr>
          <w:rFonts w:hint="eastAsia" w:ascii="宋体" w:hAnsi="宋体"/>
          <w:szCs w:val="21"/>
        </w:rPr>
      </w:pPr>
      <w:r>
        <w:rPr>
          <w:rFonts w:hint="eastAsia" w:ascii="宋体" w:hAnsi="宋体"/>
          <w:szCs w:val="21"/>
        </w:rPr>
        <w:t>凡与采购活动有关的宣传或广告，若当中提及本项目采购，必须事先将具体对外宣传方案报采购人预算主管部门，并征得其同意。对外市场宣传包括但不限于以下形式：</w:t>
      </w:r>
    </w:p>
    <w:p w14:paraId="03D4090A">
      <w:pPr>
        <w:ind w:firstLine="420" w:firstLineChars="200"/>
        <w:rPr>
          <w:rFonts w:hint="eastAsia" w:ascii="宋体" w:hAnsi="宋体"/>
          <w:szCs w:val="21"/>
        </w:rPr>
      </w:pPr>
      <w:r>
        <w:rPr>
          <w:rFonts w:hint="eastAsia" w:ascii="宋体" w:hAnsi="宋体"/>
          <w:szCs w:val="21"/>
        </w:rPr>
        <w:t>a.名片、宣传册、广告标语等；</w:t>
      </w:r>
    </w:p>
    <w:p w14:paraId="3A319AE5">
      <w:pPr>
        <w:ind w:firstLine="420" w:firstLineChars="200"/>
        <w:rPr>
          <w:rFonts w:hint="eastAsia" w:ascii="宋体" w:hAnsi="宋体"/>
          <w:szCs w:val="21"/>
        </w:rPr>
      </w:pPr>
      <w:r>
        <w:rPr>
          <w:rFonts w:hint="eastAsia" w:ascii="宋体" w:hAnsi="宋体"/>
          <w:szCs w:val="21"/>
        </w:rPr>
        <w:t>b.案例介绍、推广等；</w:t>
      </w:r>
    </w:p>
    <w:p w14:paraId="0A9B9230">
      <w:pPr>
        <w:ind w:firstLine="420" w:firstLineChars="200"/>
        <w:rPr>
          <w:rFonts w:hint="eastAsia" w:ascii="宋体" w:hAnsi="宋体"/>
          <w:szCs w:val="21"/>
        </w:rPr>
      </w:pPr>
      <w:r>
        <w:rPr>
          <w:rFonts w:hint="eastAsia" w:ascii="宋体" w:hAnsi="宋体"/>
          <w:szCs w:val="21"/>
        </w:rPr>
        <w:t>c.工作人员向其他消费群体宣传。</w:t>
      </w:r>
    </w:p>
    <w:p w14:paraId="56ACCD48">
      <w:pPr>
        <w:ind w:firstLine="420" w:firstLineChars="200"/>
        <w:rPr>
          <w:rFonts w:hint="eastAsia" w:ascii="黑体" w:hAnsi="宋体" w:eastAsia="黑体"/>
          <w:szCs w:val="21"/>
        </w:rPr>
      </w:pPr>
      <w:r>
        <w:rPr>
          <w:rFonts w:hint="eastAsia" w:ascii="黑体" w:hAnsi="宋体" w:eastAsia="黑体"/>
          <w:szCs w:val="21"/>
        </w:rPr>
        <w:t>51. 供应商违法责任</w:t>
      </w:r>
    </w:p>
    <w:p w14:paraId="0EE5CB4D">
      <w:pPr>
        <w:ind w:firstLine="420" w:firstLineChars="200"/>
        <w:rPr>
          <w:rFonts w:hint="eastAsia" w:ascii="宋体" w:hAnsi="宋体"/>
          <w:szCs w:val="21"/>
        </w:rPr>
      </w:pPr>
      <w:r>
        <w:rPr>
          <w:rFonts w:hint="eastAsia" w:ascii="宋体" w:hAnsi="宋体"/>
          <w:szCs w:val="21"/>
        </w:rPr>
        <w:t>51.1《深圳经济特区政府采购条例》第五十七条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14:paraId="50AD97FE">
      <w:pPr>
        <w:ind w:firstLine="420" w:firstLineChars="200"/>
        <w:rPr>
          <w:rFonts w:hint="eastAsia" w:ascii="宋体" w:hAnsi="宋体"/>
          <w:szCs w:val="21"/>
        </w:rPr>
      </w:pPr>
      <w:r>
        <w:rPr>
          <w:rFonts w:hint="eastAsia" w:ascii="宋体" w:hAnsi="宋体"/>
          <w:szCs w:val="21"/>
        </w:rPr>
        <w:t>（1）在采购活动中应当回避而未回避的；</w:t>
      </w:r>
    </w:p>
    <w:p w14:paraId="3D0F7AB2">
      <w:pPr>
        <w:ind w:firstLine="420" w:firstLineChars="200"/>
        <w:rPr>
          <w:rFonts w:hint="eastAsia" w:ascii="宋体" w:hAnsi="宋体"/>
          <w:szCs w:val="21"/>
        </w:rPr>
      </w:pPr>
      <w:r>
        <w:rPr>
          <w:rFonts w:hint="eastAsia" w:ascii="宋体" w:hAnsi="宋体"/>
          <w:szCs w:val="21"/>
        </w:rPr>
        <w:t>（2）未按本条例规定签订、履行采购合同，造成严重后果的；</w:t>
      </w:r>
    </w:p>
    <w:p w14:paraId="5B756255">
      <w:pPr>
        <w:ind w:firstLine="420" w:firstLineChars="200"/>
        <w:rPr>
          <w:rFonts w:hint="eastAsia" w:ascii="宋体" w:hAnsi="宋体"/>
          <w:szCs w:val="21"/>
        </w:rPr>
      </w:pPr>
      <w:r>
        <w:rPr>
          <w:rFonts w:hint="eastAsia" w:ascii="宋体" w:hAnsi="宋体"/>
          <w:szCs w:val="21"/>
        </w:rPr>
        <w:t>（3）隐瞒真实情况，提供虚假资料的；</w:t>
      </w:r>
    </w:p>
    <w:p w14:paraId="5BFFB02F">
      <w:pPr>
        <w:ind w:firstLine="420" w:firstLineChars="200"/>
        <w:rPr>
          <w:rFonts w:hint="eastAsia" w:ascii="宋体" w:hAnsi="宋体"/>
          <w:szCs w:val="21"/>
        </w:rPr>
      </w:pPr>
      <w:r>
        <w:rPr>
          <w:rFonts w:hint="eastAsia" w:ascii="宋体" w:hAnsi="宋体"/>
          <w:szCs w:val="21"/>
        </w:rPr>
        <w:t>（4）以非法手段排斥其他供应商参与竞争的；</w:t>
      </w:r>
    </w:p>
    <w:p w14:paraId="46741D26">
      <w:pPr>
        <w:ind w:firstLine="420" w:firstLineChars="200"/>
        <w:rPr>
          <w:rFonts w:hint="eastAsia" w:ascii="宋体" w:hAnsi="宋体"/>
          <w:szCs w:val="21"/>
        </w:rPr>
      </w:pPr>
      <w:r>
        <w:rPr>
          <w:rFonts w:hint="eastAsia" w:ascii="宋体" w:hAnsi="宋体"/>
          <w:szCs w:val="21"/>
        </w:rPr>
        <w:t>（5）与其他采购参加人串通投标的；</w:t>
      </w:r>
    </w:p>
    <w:p w14:paraId="39BE07BE">
      <w:pPr>
        <w:ind w:firstLine="420" w:firstLineChars="200"/>
        <w:rPr>
          <w:rFonts w:hint="eastAsia" w:ascii="宋体" w:hAnsi="宋体"/>
          <w:szCs w:val="21"/>
        </w:rPr>
      </w:pPr>
      <w:r>
        <w:rPr>
          <w:rFonts w:hint="eastAsia" w:ascii="宋体" w:hAnsi="宋体"/>
          <w:szCs w:val="21"/>
        </w:rPr>
        <w:t>（6）恶意投诉的；</w:t>
      </w:r>
    </w:p>
    <w:p w14:paraId="043E282F">
      <w:pPr>
        <w:ind w:firstLine="420" w:firstLineChars="200"/>
        <w:rPr>
          <w:rFonts w:hint="eastAsia" w:ascii="宋体" w:hAnsi="宋体"/>
          <w:szCs w:val="21"/>
        </w:rPr>
      </w:pPr>
      <w:r>
        <w:rPr>
          <w:rFonts w:hint="eastAsia" w:ascii="宋体" w:hAnsi="宋体"/>
          <w:szCs w:val="21"/>
        </w:rPr>
        <w:t>（7）向采购项目相关人行贿或者提供其他不当利益的；</w:t>
      </w:r>
    </w:p>
    <w:p w14:paraId="0CB3D9BA">
      <w:pPr>
        <w:ind w:firstLine="420" w:firstLineChars="200"/>
        <w:rPr>
          <w:rFonts w:hint="eastAsia" w:ascii="宋体" w:hAnsi="宋体"/>
          <w:szCs w:val="21"/>
        </w:rPr>
      </w:pPr>
      <w:r>
        <w:rPr>
          <w:rFonts w:hint="eastAsia" w:ascii="宋体" w:hAnsi="宋体"/>
          <w:szCs w:val="21"/>
        </w:rPr>
        <w:t>（8）阻碍、抗拒主管部门监督检查的；</w:t>
      </w:r>
    </w:p>
    <w:p w14:paraId="64DB64D8">
      <w:pPr>
        <w:ind w:firstLine="420" w:firstLineChars="200"/>
        <w:rPr>
          <w:rFonts w:hint="eastAsia" w:ascii="宋体" w:hAnsi="宋体"/>
          <w:szCs w:val="21"/>
        </w:rPr>
      </w:pPr>
      <w:r>
        <w:rPr>
          <w:rFonts w:hint="eastAsia" w:ascii="宋体" w:hAnsi="宋体"/>
          <w:szCs w:val="21"/>
        </w:rPr>
        <w:t>（9）其他违反本条例规定的行为。</w:t>
      </w:r>
    </w:p>
    <w:p w14:paraId="17A3AC9C">
      <w:pPr>
        <w:ind w:firstLine="420" w:firstLineChars="200"/>
        <w:rPr>
          <w:rFonts w:hint="eastAsia" w:ascii="宋体" w:hAnsi="宋体"/>
          <w:szCs w:val="21"/>
        </w:rPr>
      </w:pPr>
      <w:r>
        <w:rPr>
          <w:rFonts w:hint="eastAsia" w:ascii="宋体" w:hAnsi="宋体"/>
          <w:szCs w:val="21"/>
        </w:rPr>
        <w:t>51.2 根据《深圳市财政局关于调整政府采购投标（响应）保证金管理政策的通知 》（深财购〔2021〕51 号）的要求，供应商在采购活动中出现《深圳经济特区政府采购条例实施细则》第八十条所列情形的，</w:t>
      </w:r>
      <w:bookmarkStart w:id="99" w:name="_Hlk72440769"/>
      <w:r>
        <w:rPr>
          <w:rFonts w:hint="eastAsia" w:ascii="宋体" w:hAnsi="宋体"/>
          <w:szCs w:val="21"/>
        </w:rPr>
        <w:t>采购代理机构或采购人不予退还其交纳的谈判保证金，情节严重的，并由主管部门</w:t>
      </w:r>
      <w:bookmarkEnd w:id="99"/>
      <w:r>
        <w:rPr>
          <w:rFonts w:hint="eastAsia" w:ascii="宋体" w:hAnsi="宋体"/>
          <w:szCs w:val="21"/>
        </w:rPr>
        <w:t>记入供应商诚信档案，予以通报：</w:t>
      </w:r>
    </w:p>
    <w:p w14:paraId="3C516F4C">
      <w:pPr>
        <w:ind w:firstLine="420" w:firstLineChars="200"/>
        <w:rPr>
          <w:rFonts w:hint="eastAsia" w:ascii="宋体" w:hAnsi="宋体"/>
          <w:szCs w:val="21"/>
        </w:rPr>
      </w:pPr>
      <w:r>
        <w:rPr>
          <w:rFonts w:hint="eastAsia" w:ascii="宋体" w:hAnsi="宋体"/>
          <w:szCs w:val="21"/>
        </w:rPr>
        <w:t>（1）投标截止后，撤销投标的；</w:t>
      </w:r>
    </w:p>
    <w:p w14:paraId="5547D74F">
      <w:pPr>
        <w:ind w:firstLine="420" w:firstLineChars="200"/>
        <w:rPr>
          <w:rFonts w:hint="eastAsia" w:ascii="宋体" w:hAnsi="宋体"/>
          <w:szCs w:val="21"/>
        </w:rPr>
      </w:pPr>
      <w:r>
        <w:rPr>
          <w:rFonts w:hint="eastAsia" w:ascii="宋体" w:hAnsi="宋体"/>
          <w:szCs w:val="21"/>
        </w:rPr>
        <w:t>（2）中标后无正当理由未在规定期限内签订合同的；</w:t>
      </w:r>
    </w:p>
    <w:p w14:paraId="546B4D53">
      <w:pPr>
        <w:ind w:firstLine="420" w:firstLineChars="200"/>
        <w:rPr>
          <w:rFonts w:hint="eastAsia" w:ascii="宋体" w:hAnsi="宋体"/>
          <w:szCs w:val="21"/>
        </w:rPr>
      </w:pPr>
      <w:r>
        <w:rPr>
          <w:rFonts w:hint="eastAsia" w:ascii="宋体" w:hAnsi="宋体"/>
          <w:szCs w:val="21"/>
        </w:rPr>
        <w:t>（3）将中标项目转让给他人、或者在投标文件中未说明且未经采购人、采购招标机构同意，将中标项目分包给他人的；</w:t>
      </w:r>
    </w:p>
    <w:p w14:paraId="387FEC3F">
      <w:pPr>
        <w:ind w:firstLine="420" w:firstLineChars="200"/>
      </w:pPr>
      <w:r>
        <w:rPr>
          <w:rFonts w:hint="eastAsia" w:ascii="宋体" w:hAnsi="宋体"/>
          <w:szCs w:val="21"/>
        </w:rPr>
        <w:t>（4）拒绝履行合同义务的。</w:t>
      </w:r>
    </w:p>
    <w:bookmarkEnd w:id="83"/>
    <w:p w14:paraId="78DF6493">
      <w:pPr>
        <w:pStyle w:val="79"/>
        <w:keepNext/>
        <w:keepLines/>
        <w:numPr>
          <w:ilvl w:val="0"/>
          <w:numId w:val="11"/>
        </w:numPr>
        <w:tabs>
          <w:tab w:val="left" w:pos="720"/>
        </w:tabs>
        <w:adjustRightInd w:val="0"/>
        <w:spacing w:before="120" w:beforeLines="50" w:after="120" w:afterLines="50"/>
        <w:ind w:firstLineChars="0"/>
        <w:jc w:val="center"/>
        <w:textAlignment w:val="baseline"/>
        <w:outlineLvl w:val="1"/>
        <w:rPr>
          <w:rFonts w:ascii="Cambria" w:hAnsi="Cambria" w:cs="宋体"/>
          <w:b/>
          <w:bCs/>
          <w:sz w:val="28"/>
          <w:szCs w:val="28"/>
        </w:rPr>
      </w:pPr>
      <w:r>
        <w:rPr>
          <w:rFonts w:hint="eastAsia" w:ascii="Cambria" w:hAnsi="Cambria" w:cs="宋体"/>
          <w:b/>
          <w:bCs/>
          <w:sz w:val="28"/>
          <w:szCs w:val="28"/>
        </w:rPr>
        <w:t>质疑处理</w:t>
      </w:r>
    </w:p>
    <w:p w14:paraId="6C695CC3">
      <w:pPr>
        <w:ind w:firstLine="420" w:firstLineChars="200"/>
        <w:rPr>
          <w:rFonts w:hint="eastAsia" w:ascii="黑体" w:hAnsi="宋体" w:eastAsia="黑体"/>
          <w:szCs w:val="21"/>
        </w:rPr>
      </w:pPr>
      <w:r>
        <w:rPr>
          <w:rFonts w:hint="eastAsia" w:ascii="黑体" w:hAnsi="宋体" w:eastAsia="黑体"/>
          <w:szCs w:val="21"/>
        </w:rPr>
        <w:t>52.质疑提出与答复</w:t>
      </w:r>
    </w:p>
    <w:p w14:paraId="7CEE3FC0">
      <w:pPr>
        <w:ind w:firstLine="420" w:firstLineChars="200"/>
        <w:rPr>
          <w:rFonts w:hint="eastAsia" w:ascii="宋体" w:hAnsi="宋体"/>
          <w:szCs w:val="21"/>
        </w:rPr>
      </w:pPr>
      <w:r>
        <w:rPr>
          <w:rFonts w:hint="eastAsia" w:ascii="宋体" w:hAnsi="宋体"/>
          <w:szCs w:val="21"/>
        </w:rPr>
        <w:t>52.1提出质疑</w:t>
      </w:r>
    </w:p>
    <w:p w14:paraId="63F933CD">
      <w:pPr>
        <w:ind w:firstLine="420" w:firstLineChars="200"/>
        <w:rPr>
          <w:rFonts w:hint="eastAsia" w:ascii="宋体" w:hAnsi="宋体"/>
          <w:szCs w:val="21"/>
        </w:rPr>
      </w:pPr>
      <w:r>
        <w:rPr>
          <w:rFonts w:hint="eastAsia" w:ascii="宋体" w:hAnsi="宋体"/>
          <w:szCs w:val="21"/>
        </w:rPr>
        <w:t>参与采购活动的供应商认为自己的权益在采购活动中受到损害的，应当自知道或者应当知道其权益受到损害之日起七个工作日内向采购人、采购代理机构以书面形式提出质疑。</w:t>
      </w:r>
    </w:p>
    <w:p w14:paraId="687A1FC9">
      <w:pPr>
        <w:ind w:firstLine="420" w:firstLineChars="200"/>
        <w:rPr>
          <w:rFonts w:hint="eastAsia" w:ascii="宋体" w:hAnsi="宋体"/>
          <w:szCs w:val="21"/>
        </w:rPr>
      </w:pPr>
      <w:r>
        <w:rPr>
          <w:rFonts w:hint="eastAsia" w:ascii="宋体" w:hAnsi="宋体"/>
          <w:szCs w:val="21"/>
        </w:rPr>
        <w:t>52.2法律依据</w:t>
      </w:r>
    </w:p>
    <w:p w14:paraId="12BDB7FA">
      <w:pPr>
        <w:ind w:firstLine="420" w:firstLineChars="200"/>
        <w:rPr>
          <w:rFonts w:hint="eastAsia" w:ascii="宋体" w:hAnsi="宋体"/>
          <w:szCs w:val="21"/>
        </w:rPr>
      </w:pPr>
      <w:r>
        <w:rPr>
          <w:rFonts w:hint="eastAsia" w:ascii="宋体" w:hAnsi="宋体"/>
          <w:szCs w:val="21"/>
        </w:rPr>
        <w:t>《中华人民共和国政府采购法》、《中华人民共和国政府采购法实施条例》、《深圳经济特区政府采购条例》、《深圳经济特区政府采购条例实施细则》、《政府采购质疑和投诉办法》（财政部令第94号）和其他有关法律法规规定。</w:t>
      </w:r>
    </w:p>
    <w:p w14:paraId="5187B530">
      <w:pPr>
        <w:ind w:firstLine="420" w:firstLineChars="200"/>
        <w:rPr>
          <w:rFonts w:hint="eastAsia" w:ascii="宋体" w:hAnsi="宋体"/>
          <w:szCs w:val="21"/>
        </w:rPr>
      </w:pPr>
      <w:r>
        <w:rPr>
          <w:rFonts w:hint="eastAsia" w:ascii="宋体" w:hAnsi="宋体"/>
          <w:szCs w:val="21"/>
        </w:rPr>
        <w:t>52.3质疑条件</w:t>
      </w:r>
    </w:p>
    <w:p w14:paraId="6F716D76">
      <w:pPr>
        <w:ind w:firstLine="420" w:firstLineChars="200"/>
        <w:rPr>
          <w:rFonts w:hint="eastAsia" w:ascii="宋体" w:hAnsi="宋体"/>
          <w:szCs w:val="21"/>
        </w:rPr>
      </w:pPr>
      <w:r>
        <w:rPr>
          <w:rFonts w:hint="eastAsia" w:ascii="宋体" w:hAnsi="宋体"/>
          <w:szCs w:val="21"/>
        </w:rPr>
        <w:t>52.3.1提出质疑的供应商应当是参与所质疑项目采购活动的供应商；</w:t>
      </w:r>
      <w:bookmarkStart w:id="100" w:name="_Hlk75374941"/>
      <w:r>
        <w:rPr>
          <w:rFonts w:hint="eastAsia" w:ascii="宋体" w:hAnsi="宋体"/>
          <w:szCs w:val="21"/>
        </w:rPr>
        <w:t>以联合体形式参与的，质疑应当由组成联合体的所有成员共同提出</w:t>
      </w:r>
      <w:bookmarkEnd w:id="100"/>
      <w:r>
        <w:rPr>
          <w:rFonts w:hint="eastAsia" w:ascii="宋体" w:hAnsi="宋体"/>
          <w:szCs w:val="21"/>
        </w:rPr>
        <w:t>；</w:t>
      </w:r>
    </w:p>
    <w:p w14:paraId="54FD36BE">
      <w:pPr>
        <w:ind w:firstLine="420" w:firstLineChars="200"/>
        <w:rPr>
          <w:rFonts w:hint="eastAsia" w:ascii="宋体" w:hAnsi="宋体"/>
          <w:szCs w:val="21"/>
        </w:rPr>
      </w:pPr>
      <w:r>
        <w:rPr>
          <w:rFonts w:hint="eastAsia" w:ascii="宋体" w:hAnsi="宋体"/>
          <w:szCs w:val="21"/>
        </w:rPr>
        <w:t>52.3.2应当在法定质疑期内一次性提出针对同一采购程序环节的质疑，法定质疑期为自知道或应当知道权益受到损害之日起7个工作日内。应当知道其权益受到损害之日是指：对采购文件的质疑，为采购文件公布之日；对采购过程的质疑，为各采购程序环节结束之日；对中标（成交）结果以及评审委员会组成人员的质疑，为中标（成交）结果公示之日；</w:t>
      </w:r>
    </w:p>
    <w:p w14:paraId="6274CF3D">
      <w:pPr>
        <w:ind w:firstLine="420" w:firstLineChars="200"/>
        <w:rPr>
          <w:rFonts w:hint="eastAsia" w:ascii="宋体" w:hAnsi="宋体"/>
          <w:szCs w:val="21"/>
        </w:rPr>
      </w:pPr>
      <w:r>
        <w:rPr>
          <w:rFonts w:hint="eastAsia" w:ascii="宋体" w:hAnsi="宋体"/>
          <w:szCs w:val="21"/>
        </w:rPr>
        <w:t xml:space="preserve">52.3.3应提交书面质疑函，质疑函应当包括以下内容： </w:t>
      </w:r>
    </w:p>
    <w:p w14:paraId="0081909A">
      <w:pPr>
        <w:ind w:firstLine="420" w:firstLineChars="200"/>
        <w:rPr>
          <w:rFonts w:hint="eastAsia" w:ascii="宋体" w:hAnsi="宋体"/>
          <w:szCs w:val="21"/>
        </w:rPr>
      </w:pPr>
      <w:r>
        <w:rPr>
          <w:rFonts w:hint="eastAsia" w:ascii="宋体" w:hAnsi="宋体"/>
          <w:szCs w:val="21"/>
        </w:rPr>
        <w:t>（1）供应商的名称（或者姓名）、地址、邮编、邮箱、联系人及联系电话；</w:t>
      </w:r>
    </w:p>
    <w:p w14:paraId="4D5330B0">
      <w:pPr>
        <w:ind w:firstLine="420" w:firstLineChars="200"/>
        <w:rPr>
          <w:rFonts w:hint="eastAsia" w:ascii="宋体" w:hAnsi="宋体"/>
          <w:szCs w:val="21"/>
        </w:rPr>
      </w:pPr>
      <w:r>
        <w:rPr>
          <w:rFonts w:hint="eastAsia" w:ascii="宋体" w:hAnsi="宋体"/>
          <w:szCs w:val="21"/>
        </w:rPr>
        <w:t>（2）质疑项目的名称、编号；</w:t>
      </w:r>
    </w:p>
    <w:p w14:paraId="2910450D">
      <w:pPr>
        <w:ind w:firstLine="420" w:firstLineChars="200"/>
        <w:rPr>
          <w:rFonts w:hint="eastAsia" w:ascii="宋体" w:hAnsi="宋体"/>
          <w:szCs w:val="21"/>
        </w:rPr>
      </w:pPr>
      <w:r>
        <w:rPr>
          <w:rFonts w:hint="eastAsia" w:ascii="宋体" w:hAnsi="宋体"/>
          <w:szCs w:val="21"/>
        </w:rPr>
        <w:t>（3）具体、明确的质疑对象、质疑事项和质疑请求；</w:t>
      </w:r>
    </w:p>
    <w:p w14:paraId="6F658E92">
      <w:pPr>
        <w:ind w:firstLine="420" w:firstLineChars="200"/>
        <w:rPr>
          <w:rFonts w:hint="eastAsia" w:ascii="宋体" w:hAnsi="宋体"/>
          <w:szCs w:val="21"/>
        </w:rPr>
      </w:pPr>
      <w:r>
        <w:rPr>
          <w:rFonts w:hint="eastAsia" w:ascii="宋体" w:hAnsi="宋体"/>
          <w:szCs w:val="21"/>
        </w:rPr>
        <w:t>（4）因质疑事项而受损害的权益；</w:t>
      </w:r>
    </w:p>
    <w:p w14:paraId="08C40EF0">
      <w:pPr>
        <w:ind w:firstLine="420" w:firstLineChars="200"/>
        <w:rPr>
          <w:rFonts w:hint="eastAsia" w:ascii="宋体" w:hAnsi="宋体"/>
          <w:szCs w:val="21"/>
        </w:rPr>
      </w:pPr>
      <w:r>
        <w:rPr>
          <w:rFonts w:hint="eastAsia" w:ascii="宋体" w:hAnsi="宋体"/>
          <w:szCs w:val="21"/>
        </w:rPr>
        <w:t>（5）事实依据；</w:t>
      </w:r>
    </w:p>
    <w:p w14:paraId="52DC0263">
      <w:pPr>
        <w:ind w:firstLine="420" w:firstLineChars="200"/>
        <w:rPr>
          <w:rFonts w:hint="eastAsia" w:ascii="宋体" w:hAnsi="宋体"/>
          <w:szCs w:val="21"/>
        </w:rPr>
      </w:pPr>
      <w:r>
        <w:rPr>
          <w:rFonts w:hint="eastAsia" w:ascii="宋体" w:hAnsi="宋体"/>
          <w:szCs w:val="21"/>
        </w:rPr>
        <w:t>（6）必要的法律依据；</w:t>
      </w:r>
    </w:p>
    <w:p w14:paraId="51A823CA">
      <w:pPr>
        <w:ind w:firstLine="420" w:firstLineChars="200"/>
        <w:rPr>
          <w:rFonts w:hint="eastAsia" w:ascii="宋体" w:hAnsi="宋体"/>
          <w:szCs w:val="21"/>
        </w:rPr>
      </w:pPr>
      <w:r>
        <w:rPr>
          <w:rFonts w:hint="eastAsia" w:ascii="宋体" w:hAnsi="宋体"/>
          <w:szCs w:val="21"/>
        </w:rPr>
        <w:t>（7）提出质疑的日期。</w:t>
      </w:r>
    </w:p>
    <w:p w14:paraId="0D579B3C">
      <w:pPr>
        <w:ind w:firstLine="420" w:firstLineChars="200"/>
        <w:rPr>
          <w:rFonts w:hint="eastAsia" w:ascii="宋体" w:hAnsi="宋体"/>
          <w:szCs w:val="21"/>
        </w:rPr>
      </w:pPr>
      <w:r>
        <w:rPr>
          <w:rFonts w:hint="eastAsia" w:ascii="宋体" w:hAnsi="宋体"/>
          <w:szCs w:val="21"/>
        </w:rPr>
        <w:t>供应商为自然人的，应当由本人签字；供应商为法人或者其他组织的，应当由法定代表人（负责人），或者其授权代理人签字或者盖章，并加盖公章。</w:t>
      </w:r>
    </w:p>
    <w:p w14:paraId="0738AA64">
      <w:pPr>
        <w:ind w:firstLine="420" w:firstLineChars="200"/>
        <w:rPr>
          <w:rFonts w:hint="eastAsia" w:ascii="宋体" w:hAnsi="宋体"/>
          <w:szCs w:val="21"/>
        </w:rPr>
      </w:pPr>
      <w:r>
        <w:rPr>
          <w:rFonts w:hint="eastAsia" w:ascii="宋体" w:hAnsi="宋体"/>
          <w:szCs w:val="21"/>
        </w:rPr>
        <w:t>52.4提交材料</w:t>
      </w:r>
    </w:p>
    <w:p w14:paraId="1574C593">
      <w:pPr>
        <w:ind w:firstLine="420" w:firstLineChars="200"/>
        <w:rPr>
          <w:rFonts w:hint="eastAsia" w:ascii="宋体" w:hAnsi="宋体"/>
          <w:szCs w:val="21"/>
        </w:rPr>
      </w:pPr>
      <w:r>
        <w:rPr>
          <w:rFonts w:hint="eastAsia" w:ascii="宋体" w:hAnsi="宋体"/>
          <w:szCs w:val="21"/>
        </w:rPr>
        <w:t>供应商质疑实行实名制。供应商为自然人的，应当提交本人身份证复印件；供应商为法人或者其他组织的，应当根据自身性质提交营业执照复印件或者其他证明文件（如事业单位法人证书等）复印件。</w:t>
      </w:r>
    </w:p>
    <w:p w14:paraId="57E9F68C">
      <w:pPr>
        <w:ind w:firstLine="420" w:firstLineChars="200"/>
        <w:rPr>
          <w:rFonts w:hint="eastAsia" w:ascii="宋体" w:hAnsi="宋体"/>
          <w:szCs w:val="21"/>
        </w:rPr>
      </w:pPr>
      <w:r>
        <w:rPr>
          <w:rFonts w:hint="eastAsia" w:ascii="宋体" w:hAnsi="宋体"/>
          <w:szCs w:val="21"/>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w:t>
      </w:r>
    </w:p>
    <w:p w14:paraId="42716405">
      <w:pPr>
        <w:ind w:firstLine="420" w:firstLineChars="200"/>
        <w:rPr>
          <w:rFonts w:hint="eastAsia" w:ascii="宋体" w:hAnsi="宋体"/>
          <w:szCs w:val="21"/>
        </w:rPr>
      </w:pPr>
      <w:r>
        <w:rPr>
          <w:rFonts w:hint="eastAsia" w:ascii="宋体" w:hAnsi="宋体"/>
          <w:szCs w:val="21"/>
        </w:rPr>
        <w:t>52.5收文地点</w:t>
      </w:r>
    </w:p>
    <w:p w14:paraId="477A5A6F">
      <w:pPr>
        <w:ind w:firstLine="422" w:firstLineChars="200"/>
        <w:rPr>
          <w:rFonts w:hint="eastAsia" w:ascii="宋体" w:hAnsi="宋体"/>
          <w:b/>
          <w:bCs/>
          <w:szCs w:val="21"/>
        </w:rPr>
      </w:pPr>
      <w:r>
        <w:rPr>
          <w:rFonts w:hint="eastAsia" w:ascii="宋体" w:hAnsi="宋体"/>
          <w:b/>
          <w:bCs/>
          <w:szCs w:val="21"/>
        </w:rPr>
        <w:t>地址：深圳公共资源交易中心（深圳交易集团有限公司政府采购业务分公司）深圳市南山区沙河西路3185号南山智谷A座（深圳交易集团总部大楼）27楼，质疑咨询电话：0755-</w:t>
      </w:r>
      <w:r>
        <w:rPr>
          <w:rFonts w:hint="eastAsia" w:ascii="宋体" w:hAnsi="宋体"/>
          <w:b/>
        </w:rPr>
        <w:t>86500050</w:t>
      </w:r>
      <w:r>
        <w:rPr>
          <w:rFonts w:hint="eastAsia" w:ascii="宋体" w:hAnsi="宋体"/>
          <w:b/>
          <w:bCs/>
          <w:szCs w:val="21"/>
        </w:rPr>
        <w:t>。</w:t>
      </w:r>
    </w:p>
    <w:p w14:paraId="21CA6E54">
      <w:pPr>
        <w:ind w:firstLine="420" w:firstLineChars="200"/>
        <w:rPr>
          <w:rFonts w:hint="eastAsia" w:ascii="宋体" w:hAnsi="宋体"/>
          <w:szCs w:val="21"/>
        </w:rPr>
      </w:pPr>
      <w:r>
        <w:rPr>
          <w:rFonts w:hint="eastAsia" w:ascii="宋体" w:hAnsi="宋体"/>
          <w:szCs w:val="21"/>
        </w:rPr>
        <w:t>52.6收文办理程序</w:t>
      </w:r>
    </w:p>
    <w:p w14:paraId="66641C8A">
      <w:pPr>
        <w:ind w:firstLine="420" w:firstLineChars="200"/>
        <w:rPr>
          <w:rFonts w:hint="eastAsia" w:ascii="宋体" w:hAnsi="宋体"/>
          <w:szCs w:val="21"/>
        </w:rPr>
      </w:pPr>
      <w:r>
        <w:rPr>
          <w:rFonts w:hint="eastAsia" w:ascii="宋体" w:hAnsi="宋体"/>
          <w:szCs w:val="21"/>
        </w:rPr>
        <w:t>52.6.1供应商提交的质疑符合受理条件的，采购代理机构自收到质疑材料之日起即为受理，应当向供应商出具质疑函收文回执并可以要求其递交质疑的法定代表人（负责人）或者授权代理人签署质疑文书送达地址确认书。</w:t>
      </w:r>
    </w:p>
    <w:p w14:paraId="5AC23BAE">
      <w:pPr>
        <w:ind w:firstLine="420" w:firstLineChars="200"/>
        <w:rPr>
          <w:rFonts w:hint="eastAsia" w:ascii="仿宋" w:hAnsi="仿宋" w:eastAsia="仿宋"/>
          <w:szCs w:val="21"/>
        </w:rPr>
      </w:pPr>
      <w:r>
        <w:rPr>
          <w:rFonts w:hint="eastAsia" w:ascii="宋体" w:hAnsi="宋体"/>
          <w:szCs w:val="21"/>
        </w:rPr>
        <w:t>52.6.2供应商提交的质疑材料不符合质疑条件的，视情况处理：</w:t>
      </w:r>
    </w:p>
    <w:p w14:paraId="1DBA4814">
      <w:pPr>
        <w:ind w:firstLine="420" w:firstLineChars="200"/>
        <w:rPr>
          <w:rFonts w:hint="eastAsia" w:ascii="宋体" w:hAnsi="宋体"/>
          <w:szCs w:val="21"/>
        </w:rPr>
      </w:pPr>
      <w:r>
        <w:rPr>
          <w:rFonts w:hint="eastAsia" w:ascii="宋体" w:hAnsi="宋体"/>
          <w:szCs w:val="21"/>
        </w:rPr>
        <w:t>供应商提交的质疑材料不全或者未按要求签字或者盖章的，采购代理机构应当一次性告知供应商需补正的内容和补正期限。</w:t>
      </w:r>
    </w:p>
    <w:p w14:paraId="03FBB86F">
      <w:pPr>
        <w:ind w:firstLine="420" w:firstLineChars="200"/>
        <w:rPr>
          <w:rFonts w:hint="eastAsia" w:ascii="宋体" w:hAnsi="宋体"/>
          <w:szCs w:val="21"/>
        </w:rPr>
      </w:pPr>
      <w:r>
        <w:rPr>
          <w:rFonts w:hint="eastAsia" w:ascii="宋体" w:hAnsi="宋体"/>
          <w:szCs w:val="21"/>
        </w:rPr>
        <w:t>供应商提交的质疑存在下列情形之一的，不予受理：</w:t>
      </w:r>
    </w:p>
    <w:p w14:paraId="24910D70">
      <w:pPr>
        <w:ind w:firstLine="420" w:firstLineChars="200"/>
        <w:rPr>
          <w:rFonts w:hint="eastAsia" w:ascii="宋体" w:hAnsi="宋体"/>
          <w:szCs w:val="21"/>
        </w:rPr>
      </w:pPr>
      <w:r>
        <w:rPr>
          <w:rFonts w:hint="eastAsia" w:ascii="宋体" w:hAnsi="宋体"/>
          <w:szCs w:val="21"/>
        </w:rPr>
        <w:t>（1）质疑主体不满足要求的；</w:t>
      </w:r>
    </w:p>
    <w:p w14:paraId="1A4F7C17">
      <w:pPr>
        <w:ind w:firstLine="420" w:firstLineChars="200"/>
        <w:rPr>
          <w:rFonts w:hint="eastAsia" w:ascii="宋体" w:hAnsi="宋体"/>
          <w:szCs w:val="21"/>
        </w:rPr>
      </w:pPr>
      <w:r>
        <w:rPr>
          <w:rFonts w:hint="eastAsia" w:ascii="宋体" w:hAnsi="宋体"/>
          <w:szCs w:val="21"/>
        </w:rPr>
        <w:t>（2）供应商自身权益未受到损害的；</w:t>
      </w:r>
    </w:p>
    <w:p w14:paraId="44823410">
      <w:pPr>
        <w:ind w:firstLine="420" w:firstLineChars="200"/>
        <w:rPr>
          <w:rFonts w:hint="eastAsia" w:ascii="宋体" w:hAnsi="宋体"/>
          <w:szCs w:val="21"/>
        </w:rPr>
      </w:pPr>
      <w:r>
        <w:rPr>
          <w:rFonts w:hint="eastAsia" w:ascii="宋体" w:hAnsi="宋体"/>
          <w:szCs w:val="21"/>
        </w:rPr>
        <w:t>（3）供应商未在法定质疑期限内提出质疑的；</w:t>
      </w:r>
    </w:p>
    <w:p w14:paraId="38581EF9">
      <w:pPr>
        <w:ind w:firstLine="420" w:firstLineChars="200"/>
        <w:rPr>
          <w:rFonts w:hint="eastAsia" w:ascii="宋体" w:hAnsi="宋体"/>
          <w:szCs w:val="21"/>
        </w:rPr>
      </w:pPr>
      <w:r>
        <w:rPr>
          <w:rFonts w:hint="eastAsia" w:ascii="宋体" w:hAnsi="宋体"/>
          <w:szCs w:val="21"/>
        </w:rPr>
        <w:t>（4）质疑材料不全或者未按要求签字或者盖章的情况下，要求补正后，逾期未补正或者补正后仍不符合规定的；</w:t>
      </w:r>
    </w:p>
    <w:p w14:paraId="54822062">
      <w:pPr>
        <w:ind w:firstLine="420" w:firstLineChars="200"/>
        <w:rPr>
          <w:rFonts w:hint="eastAsia" w:ascii="宋体" w:hAnsi="宋体"/>
          <w:szCs w:val="21"/>
        </w:rPr>
      </w:pPr>
      <w:r>
        <w:rPr>
          <w:rFonts w:hint="eastAsia" w:ascii="宋体" w:hAnsi="宋体"/>
          <w:szCs w:val="21"/>
        </w:rPr>
        <w:t>（5）其他不符合受理条件情形的。</w:t>
      </w:r>
    </w:p>
    <w:p w14:paraId="003192CA">
      <w:pPr>
        <w:ind w:firstLine="420" w:firstLineChars="200"/>
        <w:rPr>
          <w:rFonts w:hint="eastAsia" w:ascii="宋体" w:hAnsi="宋体"/>
          <w:szCs w:val="21"/>
        </w:rPr>
      </w:pPr>
      <w:r>
        <w:rPr>
          <w:rFonts w:hint="eastAsia" w:ascii="宋体" w:hAnsi="宋体"/>
          <w:szCs w:val="21"/>
        </w:rPr>
        <w:t>质疑事项不予受理的，采购代理机构应当向供应商出具不符合质疑条件告知书。</w:t>
      </w:r>
    </w:p>
    <w:p w14:paraId="0C80C2EE">
      <w:pPr>
        <w:ind w:firstLine="420" w:firstLineChars="200"/>
        <w:rPr>
          <w:rFonts w:hint="eastAsia" w:ascii="宋体" w:hAnsi="宋体"/>
          <w:szCs w:val="21"/>
        </w:rPr>
      </w:pPr>
      <w:r>
        <w:rPr>
          <w:rFonts w:hint="eastAsia" w:ascii="宋体" w:hAnsi="宋体"/>
          <w:szCs w:val="21"/>
        </w:rPr>
        <w:t>52.7质疑答复时限</w:t>
      </w:r>
    </w:p>
    <w:p w14:paraId="6AF13B61">
      <w:pPr>
        <w:ind w:firstLine="420" w:firstLineChars="200"/>
        <w:rPr>
          <w:rFonts w:hint="eastAsia" w:ascii="宋体" w:hAnsi="宋体"/>
          <w:szCs w:val="21"/>
        </w:rPr>
      </w:pPr>
      <w:r>
        <w:rPr>
          <w:rFonts w:hint="eastAsia" w:ascii="宋体" w:hAnsi="宋体"/>
          <w:szCs w:val="21"/>
        </w:rPr>
        <w:t>自收文之日起七个工作日内。</w:t>
      </w:r>
    </w:p>
    <w:p w14:paraId="050EDB88">
      <w:pPr>
        <w:ind w:firstLine="420" w:firstLineChars="200"/>
        <w:rPr>
          <w:rFonts w:hint="eastAsia" w:ascii="宋体" w:hAnsi="宋体"/>
          <w:szCs w:val="21"/>
        </w:rPr>
      </w:pPr>
      <w:r>
        <w:rPr>
          <w:rFonts w:hint="eastAsia" w:ascii="宋体" w:hAnsi="宋体"/>
          <w:szCs w:val="21"/>
        </w:rPr>
        <w:t>52.8投诉</w:t>
      </w:r>
    </w:p>
    <w:p w14:paraId="7A133F28">
      <w:pPr>
        <w:ind w:firstLine="420" w:firstLineChars="200"/>
        <w:rPr>
          <w:rFonts w:hint="eastAsia" w:ascii="宋体" w:hAnsi="宋体"/>
          <w:szCs w:val="21"/>
        </w:rPr>
      </w:pPr>
      <w:r>
        <w:rPr>
          <w:rFonts w:hint="eastAsia" w:ascii="宋体" w:hAnsi="宋体"/>
          <w:szCs w:val="21"/>
        </w:rPr>
        <w:t>对质疑答复不满意或者未在规定时间内答复的，提出质疑的供应商可以在答复期满后15个工作日内</w:t>
      </w:r>
      <w:r>
        <w:rPr>
          <w:rFonts w:hint="eastAsia" w:ascii="宋体" w:hAnsi="宋体"/>
          <w:szCs w:val="21"/>
          <w:highlight w:val="cyan"/>
        </w:rPr>
        <w:t>向采购文件第一册专用条款，第二章 对通用条款的补充内容及其他关键信息，一、对通用条款的补充内容中规定的单位投诉。</w:t>
      </w:r>
    </w:p>
    <w:p w14:paraId="17ABBEDD">
      <w:pPr>
        <w:ind w:firstLine="420" w:firstLineChars="200"/>
        <w:rPr>
          <w:rFonts w:hint="eastAsia" w:ascii="黑体" w:hAnsi="宋体" w:eastAsia="黑体"/>
          <w:szCs w:val="21"/>
        </w:rPr>
      </w:pPr>
      <w:r>
        <w:rPr>
          <w:rFonts w:hint="eastAsia" w:ascii="黑体" w:hAnsi="宋体" w:eastAsia="黑体"/>
          <w:szCs w:val="21"/>
        </w:rPr>
        <w:t>53.质疑后续处理</w:t>
      </w:r>
    </w:p>
    <w:p w14:paraId="3494A2D8">
      <w:pPr>
        <w:ind w:firstLine="420" w:firstLineChars="200"/>
        <w:rPr>
          <w:rFonts w:hint="eastAsia" w:ascii="宋体" w:hAnsi="宋体"/>
          <w:szCs w:val="21"/>
        </w:rPr>
      </w:pPr>
      <w:r>
        <w:rPr>
          <w:rFonts w:hint="eastAsia" w:ascii="宋体" w:hAnsi="宋体"/>
          <w:szCs w:val="21"/>
        </w:rPr>
        <w:t>53.1供应商质疑不成立，或者成立但未对中标、成交结果构成影响的，继续开展采购活动。</w:t>
      </w:r>
    </w:p>
    <w:p w14:paraId="27E5E111">
      <w:pPr>
        <w:ind w:firstLine="420" w:firstLineChars="200"/>
        <w:jc w:val="left"/>
        <w:rPr>
          <w:rFonts w:hint="eastAsia" w:ascii="宋体" w:hAnsi="宋体"/>
          <w:szCs w:val="21"/>
        </w:rPr>
      </w:pPr>
      <w:r>
        <w:rPr>
          <w:rFonts w:hint="eastAsia" w:ascii="宋体" w:hAnsi="宋体"/>
          <w:szCs w:val="21"/>
        </w:rPr>
        <w:t>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合格供应商符合法定数量时，可以从合格的中标或者成交候选人中另行确定中标、成交供应商的，应当依法另行确定中标、成交供应商；否则应当重新开展采购活动。</w:t>
      </w:r>
    </w:p>
    <w:p w14:paraId="361C4D19">
      <w:pPr>
        <w:ind w:firstLine="420" w:firstLineChars="200"/>
        <w:jc w:val="left"/>
        <w:rPr>
          <w:szCs w:val="21"/>
        </w:rPr>
      </w:pPr>
      <w:r>
        <w:rPr>
          <w:rFonts w:hint="eastAsia" w:ascii="宋体" w:hAnsi="宋体"/>
          <w:szCs w:val="21"/>
        </w:rPr>
        <w:t>53.3被质疑供应商应配合提供质疑答辩意见,并提供相关证据材料,逾期不作书面答辩的,视同放弃答辩权利,依法承担由此可能产生的不利法律后果。</w:t>
      </w:r>
    </w:p>
    <w:p w14:paraId="5CB02891">
      <w:pPr>
        <w:jc w:val="center"/>
      </w:pPr>
      <w:r>
        <w:t>---- END ----</w:t>
      </w:r>
      <w:bookmarkEnd w:id="47"/>
    </w:p>
    <w:p w14:paraId="400B384B">
      <w:pPr>
        <w:rPr>
          <w:rFonts w:hint="eastAsia" w:ascii="宋体" w:hAnsi="宋体"/>
          <w:szCs w:val="21"/>
        </w:rPr>
      </w:pPr>
    </w:p>
    <w:p w14:paraId="6D4C5946">
      <w:pPr>
        <w:pStyle w:val="3"/>
        <w:rPr>
          <w:rFonts w:hint="eastAsia"/>
          <w:szCs w:val="21"/>
        </w:rPr>
      </w:pPr>
    </w:p>
    <w:sectPr>
      <w:headerReference r:id="rId4" w:type="first"/>
      <w:headerReference r:id="rId3" w:type="default"/>
      <w:footerReference r:id="rId5" w:type="default"/>
      <w:footerReference r:id="rId6" w:type="even"/>
      <w:pgSz w:w="11907" w:h="16840"/>
      <w:pgMar w:top="1361" w:right="1417" w:bottom="1417" w:left="1417" w:header="851" w:footer="992" w:gutter="0"/>
      <w:cols w:space="425" w:num="1"/>
      <w:titlePg/>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B72902F4-CA9F-4DEE-9F17-1DF81625CC71}"/>
  </w:font>
  <w:font w:name="Arial">
    <w:panose1 w:val="020B0604020202020204"/>
    <w:charset w:val="01"/>
    <w:family w:val="swiss"/>
    <w:pitch w:val="default"/>
    <w:sig w:usb0="E0002EFF" w:usb1="C000785B" w:usb2="00000009" w:usb3="00000000" w:csb0="400001FF" w:csb1="FFFF0000"/>
    <w:embedRegular r:id="rId2" w:fontKey="{00FA2B57-B3C2-4855-A6C7-589D79366847}"/>
  </w:font>
  <w:font w:name="黑体">
    <w:panose1 w:val="02010609060101010101"/>
    <w:charset w:val="86"/>
    <w:family w:val="auto"/>
    <w:pitch w:val="default"/>
    <w:sig w:usb0="800002BF" w:usb1="38CF7CFA" w:usb2="00000016" w:usb3="00000000" w:csb0="00040001" w:csb1="00000000"/>
    <w:embedRegular r:id="rId3" w:fontKey="{3A2D40F8-8C68-4FE9-BBC0-846600FB1E8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7F" w:usb3="00000000" w:csb0="203F01FF" w:csb1="DFFF0000"/>
  </w:font>
  <w:font w:name="隶书">
    <w:panose1 w:val="02010509060101010101"/>
    <w:charset w:val="86"/>
    <w:family w:val="modern"/>
    <w:pitch w:val="default"/>
    <w:sig w:usb0="00000001" w:usb1="080E0000" w:usb2="0000000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embedRegular r:id="rId4" w:fontKey="{C45D3597-0D71-4FFF-BDB5-C920F27B37BF}"/>
  </w:font>
  <w:font w:name="长城仿宋">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embedRegular r:id="rId5" w:fontKey="{9AE57F23-DC85-465C-97E0-3004BAA94D5C}"/>
  </w:font>
  <w:font w:name="Helvetica">
    <w:altName w:val="Arial"/>
    <w:panose1 w:val="020B0604020202020204"/>
    <w:charset w:val="00"/>
    <w:family w:val="swiss"/>
    <w:pitch w:val="default"/>
    <w:sig w:usb0="00000000" w:usb1="00000000" w:usb2="00000009" w:usb3="00000000" w:csb0="000001FF" w:csb1="00000000"/>
  </w:font>
  <w:font w:name="Tahoma">
    <w:panose1 w:val="020B0604030504040204"/>
    <w:charset w:val="00"/>
    <w:family w:val="swiss"/>
    <w:pitch w:val="default"/>
    <w:sig w:usb0="E1002EFF" w:usb1="C000605B" w:usb2="00000029" w:usb3="00000000" w:csb0="200101FF" w:csb1="20280000"/>
  </w:font>
  <w:font w:name="文鼎粗黑">
    <w:altName w:val="黑体"/>
    <w:panose1 w:val="00000000000000000000"/>
    <w:charset w:val="86"/>
    <w:family w:val="modern"/>
    <w:pitch w:val="default"/>
    <w:sig w:usb0="00000000" w:usb1="00000000" w:usb2="00000010" w:usb3="00000000" w:csb0="00040000" w:csb1="00000000"/>
  </w:font>
  <w:font w:name="Arial (W1)">
    <w:altName w:val="Arial"/>
    <w:panose1 w:val="00000000000000000000"/>
    <w:charset w:val="00"/>
    <w:family w:val="swiss"/>
    <w:pitch w:val="default"/>
    <w:sig w:usb0="00000000" w:usb1="00000000" w:usb2="00000009" w:usb3="00000000" w:csb0="000001FF" w:csb1="00000000"/>
  </w:font>
  <w:font w:name="Cambria">
    <w:panose1 w:val="02040503050406030204"/>
    <w:charset w:val="00"/>
    <w:family w:val="roman"/>
    <w:pitch w:val="default"/>
    <w:sig w:usb0="E00006FF" w:usb1="420024FF" w:usb2="02000000" w:usb3="00000000" w:csb0="2000019F" w:csb1="00000000"/>
    <w:embedRegular r:id="rId6" w:fontKey="{7E821074-C5C7-4AA5-A7D8-A2D37B3EA567}"/>
  </w:font>
  <w:font w:name="ˎ̥">
    <w:altName w:val="Times New Roman"/>
    <w:panose1 w:val="00000000000000000000"/>
    <w:charset w:val="00"/>
    <w:family w:val="roman"/>
    <w:pitch w:val="default"/>
    <w:sig w:usb0="00000000" w:usb1="00000000" w:usb2="00000000" w:usb3="00000000" w:csb0="00040001" w:csb1="00000000"/>
    <w:embedRegular r:id="rId7" w:fontKey="{C77C8ADE-56DC-404C-AB22-01DA8D508C31}"/>
  </w:font>
  <w:font w:name="??">
    <w:altName w:val="Times New Roman"/>
    <w:panose1 w:val="00000000000000000000"/>
    <w:charset w:val="01"/>
    <w:family w:val="auto"/>
    <w:pitch w:val="default"/>
    <w:sig w:usb0="00000000" w:usb1="00000000" w:usb2="00000000" w:usb3="00000000" w:csb0="00040001" w:csb1="00000000"/>
  </w:font>
  <w:font w:name="汉仪细等线简">
    <w:altName w:val="宋体"/>
    <w:panose1 w:val="00000000000000000000"/>
    <w:charset w:val="86"/>
    <w:family w:val="modern"/>
    <w:pitch w:val="default"/>
    <w:sig w:usb0="00000000" w:usb1="00000000" w:usb2="00000012" w:usb3="00000000" w:csb0="00040000" w:csb1="00000000"/>
  </w:font>
  <w:font w:name="H Yb 2gj">
    <w:altName w:val="黑体"/>
    <w:panose1 w:val="00000000000000000000"/>
    <w:charset w:val="00"/>
    <w:family w:val="auto"/>
    <w:pitch w:val="default"/>
    <w:sig w:usb0="00000000" w:usb1="00000000" w:usb2="00000000" w:usb3="00000000" w:csb0="00040001" w:csb1="00000000"/>
  </w:font>
  <w:font w:name="幼圆">
    <w:panose1 w:val="02010509060101010101"/>
    <w:charset w:val="86"/>
    <w:family w:val="modern"/>
    <w:pitch w:val="default"/>
    <w:sig w:usb0="00000001" w:usb1="080E0000" w:usb2="00000000" w:usb3="00000000" w:csb0="00040000" w:csb1="00000000"/>
  </w:font>
  <w:font w:name="方正小标宋简体">
    <w:panose1 w:val="02010600010101010101"/>
    <w:charset w:val="86"/>
    <w:family w:val="auto"/>
    <w:pitch w:val="default"/>
    <w:sig w:usb0="00000001" w:usb1="080E0000" w:usb2="00000000" w:usb3="00000000" w:csb0="00040000" w:csb1="00000000"/>
    <w:embedRegular r:id="rId8" w:fontKey="{818D5142-6AC1-4B28-8753-437FE7F78A3C}"/>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C22497">
    <w:pPr>
      <w:pStyle w:val="27"/>
      <w:framePr w:wrap="around" w:vAnchor="text" w:hAnchor="margin" w:xAlign="center" w:y="1"/>
      <w:rPr>
        <w:rStyle w:val="46"/>
      </w:rPr>
    </w:pPr>
    <w:r>
      <w:t xml:space="preserve">- </w:t>
    </w:r>
    <w:r>
      <w:fldChar w:fldCharType="begin"/>
    </w:r>
    <w:r>
      <w:instrText xml:space="preserve"> PAGE </w:instrText>
    </w:r>
    <w:r>
      <w:fldChar w:fldCharType="separate"/>
    </w:r>
    <w:r>
      <w:t>46</w:t>
    </w:r>
    <w:r>
      <w:fldChar w:fldCharType="end"/>
    </w:r>
    <w:r>
      <w:t xml:space="preserve"> -</w:t>
    </w:r>
  </w:p>
  <w:p w14:paraId="5FAE86B2">
    <w:pPr>
      <w:pStyle w:val="2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583EAB">
    <w:pPr>
      <w:pStyle w:val="27"/>
      <w:framePr w:wrap="around" w:vAnchor="text" w:hAnchor="margin" w:xAlign="center" w:y="1"/>
      <w:rPr>
        <w:rStyle w:val="46"/>
      </w:rPr>
    </w:pPr>
    <w:r>
      <w:rPr>
        <w:rStyle w:val="46"/>
      </w:rPr>
      <w:fldChar w:fldCharType="begin"/>
    </w:r>
    <w:r>
      <w:rPr>
        <w:rStyle w:val="46"/>
      </w:rPr>
      <w:instrText xml:space="preserve">PAGE  </w:instrText>
    </w:r>
    <w:r>
      <w:rPr>
        <w:rStyle w:val="46"/>
      </w:rPr>
      <w:fldChar w:fldCharType="separate"/>
    </w:r>
    <w:r>
      <w:rPr>
        <w:rStyle w:val="46"/>
      </w:rPr>
      <w:t>10</w:t>
    </w:r>
    <w:r>
      <w:rPr>
        <w:rStyle w:val="46"/>
      </w:rPr>
      <w:fldChar w:fldCharType="end"/>
    </w:r>
  </w:p>
  <w:p w14:paraId="7E28DE70">
    <w:pPr>
      <w:pStyle w:val="2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B547F6">
    <w:pPr>
      <w:pBdr>
        <w:top w:val="none" w:color="auto" w:sz="0" w:space="1"/>
        <w:left w:val="none" w:color="auto" w:sz="0" w:space="4"/>
        <w:bottom w:val="none" w:color="auto" w:sz="0" w:space="1"/>
        <w:right w:val="none" w:color="auto" w:sz="0" w:space="4"/>
      </w:pBdr>
      <w:tabs>
        <w:tab w:val="center" w:pos="4153"/>
        <w:tab w:val="right" w:pos="8306"/>
      </w:tabs>
      <w:snapToGrid w:val="0"/>
      <w:rPr>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AABE5">
    <w:pPr>
      <w:pStyle w:val="28"/>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BBF41D"/>
    <w:multiLevelType w:val="multilevel"/>
    <w:tmpl w:val="A7BBF41D"/>
    <w:lvl w:ilvl="0" w:tentative="0">
      <w:start w:val="2"/>
      <w:numFmt w:val="decimal"/>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BB2B9361"/>
    <w:multiLevelType w:val="singleLevel"/>
    <w:tmpl w:val="BB2B9361"/>
    <w:lvl w:ilvl="0" w:tentative="0">
      <w:start w:val="2"/>
      <w:numFmt w:val="chineseCounting"/>
      <w:suff w:val="nothing"/>
      <w:lvlText w:val="%1、"/>
      <w:lvlJc w:val="left"/>
      <w:rPr>
        <w:rFonts w:hint="eastAsia"/>
      </w:rPr>
    </w:lvl>
  </w:abstractNum>
  <w:abstractNum w:abstractNumId="2">
    <w:nsid w:val="FFFFFF7C"/>
    <w:multiLevelType w:val="singleLevel"/>
    <w:tmpl w:val="FFFFFF7C"/>
    <w:lvl w:ilvl="0" w:tentative="0">
      <w:start w:val="1"/>
      <w:numFmt w:val="decimal"/>
      <w:pStyle w:val="65"/>
      <w:lvlText w:val="%1."/>
      <w:lvlJc w:val="left"/>
      <w:pPr>
        <w:tabs>
          <w:tab w:val="left" w:pos="2040"/>
        </w:tabs>
        <w:ind w:left="2040" w:leftChars="800" w:hanging="360" w:hangingChars="200"/>
      </w:pPr>
    </w:lvl>
  </w:abstractNum>
  <w:abstractNum w:abstractNumId="3">
    <w:nsid w:val="FFFFFF89"/>
    <w:multiLevelType w:val="singleLevel"/>
    <w:tmpl w:val="FFFFFF89"/>
    <w:lvl w:ilvl="0" w:tentative="0">
      <w:start w:val="1"/>
      <w:numFmt w:val="bullet"/>
      <w:pStyle w:val="14"/>
      <w:lvlText w:val=""/>
      <w:lvlJc w:val="left"/>
      <w:pPr>
        <w:tabs>
          <w:tab w:val="left" w:pos="360"/>
        </w:tabs>
        <w:ind w:left="360" w:hanging="360" w:hangingChars="200"/>
      </w:pPr>
      <w:rPr>
        <w:rFonts w:hint="default" w:ascii="Wingdings" w:hAnsi="Wingdings"/>
      </w:rPr>
    </w:lvl>
  </w:abstractNum>
  <w:abstractNum w:abstractNumId="4">
    <w:nsid w:val="0000000B"/>
    <w:multiLevelType w:val="multilevel"/>
    <w:tmpl w:val="0000000B"/>
    <w:lvl w:ilvl="0" w:tentative="0">
      <w:start w:val="1"/>
      <w:numFmt w:val="japaneseCounting"/>
      <w:lvlText w:val="第%1章"/>
      <w:lvlJc w:val="left"/>
      <w:pPr>
        <w:ind w:left="1080" w:hanging="108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2503483"/>
    <w:multiLevelType w:val="multilevel"/>
    <w:tmpl w:val="12503483"/>
    <w:lvl w:ilvl="0" w:tentative="0">
      <w:start w:val="1"/>
      <w:numFmt w:val="bullet"/>
      <w:pStyle w:val="113"/>
      <w:lvlText w:val=""/>
      <w:lvlJc w:val="left"/>
      <w:pPr>
        <w:tabs>
          <w:tab w:val="left" w:pos="420"/>
        </w:tabs>
        <w:ind w:left="420" w:hanging="420"/>
      </w:pPr>
      <w:rPr>
        <w:rFonts w:hint="default" w:ascii="Wingdings" w:hAnsi="Wingdings"/>
      </w:rPr>
    </w:lvl>
    <w:lvl w:ilvl="1" w:tentative="0">
      <w:start w:val="1"/>
      <w:numFmt w:val="bullet"/>
      <w:pStyle w:val="112"/>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6">
    <w:nsid w:val="160D20D0"/>
    <w:multiLevelType w:val="multilevel"/>
    <w:tmpl w:val="160D20D0"/>
    <w:lvl w:ilvl="0" w:tentative="0">
      <w:start w:val="1"/>
      <w:numFmt w:val="bullet"/>
      <w:pStyle w:val="81"/>
      <w:lvlText w:val=""/>
      <w:lvlJc w:val="left"/>
      <w:pPr>
        <w:tabs>
          <w:tab w:val="left" w:pos="840"/>
        </w:tabs>
        <w:ind w:left="840" w:hanging="420"/>
      </w:pPr>
      <w:rPr>
        <w:rFonts w:hint="default" w:ascii="Wingdings" w:hAnsi="Wingdings"/>
      </w:rPr>
    </w:lvl>
    <w:lvl w:ilvl="1" w:tentative="0">
      <w:start w:val="1"/>
      <w:numFmt w:val="bullet"/>
      <w:pStyle w:val="8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7">
    <w:nsid w:val="2F395B7B"/>
    <w:multiLevelType w:val="multilevel"/>
    <w:tmpl w:val="2F395B7B"/>
    <w:lvl w:ilvl="0" w:tentative="0">
      <w:start w:val="1"/>
      <w:numFmt w:val="bullet"/>
      <w:pStyle w:val="173"/>
      <w:lvlText w:val=""/>
      <w:lvlJc w:val="left"/>
      <w:pPr>
        <w:tabs>
          <w:tab w:val="left" w:pos="360"/>
        </w:tabs>
        <w:ind w:left="360" w:hanging="360"/>
      </w:pPr>
      <w:rPr>
        <w:rFonts w:hint="default" w:ascii="Symbol" w:hAnsi="Symbol"/>
      </w:rPr>
    </w:lvl>
    <w:lvl w:ilvl="1" w:tentative="0">
      <w:start w:val="1"/>
      <w:numFmt w:val="bullet"/>
      <w:lvlText w:val=""/>
      <w:lvlJc w:val="left"/>
      <w:pPr>
        <w:tabs>
          <w:tab w:val="left" w:pos="1140"/>
        </w:tabs>
        <w:ind w:left="1140" w:hanging="420"/>
      </w:pPr>
      <w:rPr>
        <w:rFonts w:hint="default" w:ascii="Wingdings" w:hAnsi="Wingdings"/>
      </w:rPr>
    </w:lvl>
    <w:lvl w:ilvl="2" w:tentative="0">
      <w:start w:val="1"/>
      <w:numFmt w:val="bullet"/>
      <w:lvlText w:val=""/>
      <w:lvlJc w:val="left"/>
      <w:pPr>
        <w:tabs>
          <w:tab w:val="left" w:pos="1800"/>
        </w:tabs>
        <w:ind w:left="1800" w:hanging="360"/>
      </w:pPr>
      <w:rPr>
        <w:rFonts w:hint="default" w:ascii="Wingdings" w:hAnsi="Wingdings"/>
      </w:rPr>
    </w:lvl>
    <w:lvl w:ilvl="3" w:tentative="0">
      <w:start w:val="1"/>
      <w:numFmt w:val="bullet"/>
      <w:lvlText w:val=""/>
      <w:lvlJc w:val="left"/>
      <w:pPr>
        <w:tabs>
          <w:tab w:val="left" w:pos="2520"/>
        </w:tabs>
        <w:ind w:left="2520" w:hanging="360"/>
      </w:pPr>
      <w:rPr>
        <w:rFonts w:hint="default" w:ascii="Symbol" w:hAnsi="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rPr>
    </w:lvl>
    <w:lvl w:ilvl="6" w:tentative="0">
      <w:start w:val="1"/>
      <w:numFmt w:val="bullet"/>
      <w:lvlText w:val=""/>
      <w:lvlJc w:val="left"/>
      <w:pPr>
        <w:tabs>
          <w:tab w:val="left" w:pos="4680"/>
        </w:tabs>
        <w:ind w:left="4680" w:hanging="360"/>
      </w:pPr>
      <w:rPr>
        <w:rFonts w:hint="default" w:ascii="Symbol" w:hAnsi="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rPr>
    </w:lvl>
  </w:abstractNum>
  <w:abstractNum w:abstractNumId="8">
    <w:nsid w:val="69831BDD"/>
    <w:multiLevelType w:val="multilevel"/>
    <w:tmpl w:val="69831BDD"/>
    <w:lvl w:ilvl="0" w:tentative="0">
      <w:start w:val="1"/>
      <w:numFmt w:val="japaneseCounting"/>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9">
    <w:nsid w:val="7AEF7716"/>
    <w:multiLevelType w:val="multilevel"/>
    <w:tmpl w:val="7AEF7716"/>
    <w:lvl w:ilvl="0" w:tentative="0">
      <w:start w:val="1"/>
      <w:numFmt w:val="chineseCountingThousand"/>
      <w:pStyle w:val="126"/>
      <w:lvlText w:val="%1"/>
      <w:lvlJc w:val="left"/>
      <w:pPr>
        <w:tabs>
          <w:tab w:val="left" w:pos="1290"/>
        </w:tabs>
        <w:ind w:left="630" w:hanging="420"/>
      </w:pPr>
      <w:rPr>
        <w:rFonts w:hint="eastAsia"/>
        <w:sz w:val="32"/>
        <w:szCs w:val="32"/>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7F540BA1"/>
    <w:multiLevelType w:val="multilevel"/>
    <w:tmpl w:val="7F540BA1"/>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3"/>
  </w:num>
  <w:num w:numId="2">
    <w:abstractNumId w:val="2"/>
  </w:num>
  <w:num w:numId="3">
    <w:abstractNumId w:val="6"/>
  </w:num>
  <w:num w:numId="4">
    <w:abstractNumId w:val="5"/>
  </w:num>
  <w:num w:numId="5">
    <w:abstractNumId w:val="9"/>
  </w:num>
  <w:num w:numId="6">
    <w:abstractNumId w:val="7"/>
  </w:num>
  <w:num w:numId="7">
    <w:abstractNumId w:val="1"/>
  </w:num>
  <w:num w:numId="8">
    <w:abstractNumId w:val="8"/>
  </w:num>
  <w:num w:numId="9">
    <w:abstractNumId w:val="10"/>
  </w:num>
  <w:num w:numId="10">
    <w:abstractNumId w:val="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大白熊与小花花">
    <w15:presenceInfo w15:providerId="None" w15:userId="大白熊与小花花"/>
  </w15:person>
  <w15:person w15:author="政府采购业务部吴工">
    <w15:presenceInfo w15:providerId="None" w15:userId="政府采购业务部吴工"/>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xNTA3MDZhNmI3YTFlMGJlZjIxYzIwZTdjOGQ4YWQifQ=="/>
  </w:docVars>
  <w:rsids>
    <w:rsidRoot w:val="006C5683"/>
    <w:rsid w:val="00000AD9"/>
    <w:rsid w:val="000041AD"/>
    <w:rsid w:val="000043C0"/>
    <w:rsid w:val="000050CA"/>
    <w:rsid w:val="000051C6"/>
    <w:rsid w:val="00005215"/>
    <w:rsid w:val="00005A10"/>
    <w:rsid w:val="00005D3D"/>
    <w:rsid w:val="00006F7B"/>
    <w:rsid w:val="00007355"/>
    <w:rsid w:val="00007951"/>
    <w:rsid w:val="00007DB0"/>
    <w:rsid w:val="00010063"/>
    <w:rsid w:val="00010102"/>
    <w:rsid w:val="00011EA6"/>
    <w:rsid w:val="00012B21"/>
    <w:rsid w:val="00012CCE"/>
    <w:rsid w:val="0001300F"/>
    <w:rsid w:val="00013262"/>
    <w:rsid w:val="000135A1"/>
    <w:rsid w:val="0001480D"/>
    <w:rsid w:val="00014A5C"/>
    <w:rsid w:val="00015388"/>
    <w:rsid w:val="00015BDD"/>
    <w:rsid w:val="00015C88"/>
    <w:rsid w:val="000162DC"/>
    <w:rsid w:val="000169F2"/>
    <w:rsid w:val="00016D97"/>
    <w:rsid w:val="0001716B"/>
    <w:rsid w:val="00017F81"/>
    <w:rsid w:val="00020691"/>
    <w:rsid w:val="000211EA"/>
    <w:rsid w:val="00021953"/>
    <w:rsid w:val="000234B2"/>
    <w:rsid w:val="00025AE4"/>
    <w:rsid w:val="0002684B"/>
    <w:rsid w:val="000269F0"/>
    <w:rsid w:val="00027645"/>
    <w:rsid w:val="00027DAC"/>
    <w:rsid w:val="000300AE"/>
    <w:rsid w:val="000300EE"/>
    <w:rsid w:val="000302B6"/>
    <w:rsid w:val="0003106D"/>
    <w:rsid w:val="00031700"/>
    <w:rsid w:val="00031F6E"/>
    <w:rsid w:val="0003277F"/>
    <w:rsid w:val="00032948"/>
    <w:rsid w:val="00032ACA"/>
    <w:rsid w:val="00032B0A"/>
    <w:rsid w:val="0003315D"/>
    <w:rsid w:val="00033DE7"/>
    <w:rsid w:val="0003541F"/>
    <w:rsid w:val="00035817"/>
    <w:rsid w:val="00035CD1"/>
    <w:rsid w:val="00036A2B"/>
    <w:rsid w:val="000377D2"/>
    <w:rsid w:val="00040D3C"/>
    <w:rsid w:val="00040E5A"/>
    <w:rsid w:val="000417D2"/>
    <w:rsid w:val="00042897"/>
    <w:rsid w:val="00042C84"/>
    <w:rsid w:val="00043739"/>
    <w:rsid w:val="00043A89"/>
    <w:rsid w:val="00045739"/>
    <w:rsid w:val="00046D30"/>
    <w:rsid w:val="000510B6"/>
    <w:rsid w:val="00051133"/>
    <w:rsid w:val="00051EB5"/>
    <w:rsid w:val="00051F3F"/>
    <w:rsid w:val="000521D8"/>
    <w:rsid w:val="00052BC1"/>
    <w:rsid w:val="00053A89"/>
    <w:rsid w:val="00054D1F"/>
    <w:rsid w:val="0005582B"/>
    <w:rsid w:val="00056247"/>
    <w:rsid w:val="00056292"/>
    <w:rsid w:val="00056C11"/>
    <w:rsid w:val="00057302"/>
    <w:rsid w:val="00057332"/>
    <w:rsid w:val="0005785A"/>
    <w:rsid w:val="00057D00"/>
    <w:rsid w:val="00057DC0"/>
    <w:rsid w:val="00060B1F"/>
    <w:rsid w:val="0006267A"/>
    <w:rsid w:val="00062D0D"/>
    <w:rsid w:val="0006335B"/>
    <w:rsid w:val="00063C25"/>
    <w:rsid w:val="00064231"/>
    <w:rsid w:val="000647AF"/>
    <w:rsid w:val="00064892"/>
    <w:rsid w:val="00064C7A"/>
    <w:rsid w:val="00066026"/>
    <w:rsid w:val="000661FF"/>
    <w:rsid w:val="00066537"/>
    <w:rsid w:val="0006660A"/>
    <w:rsid w:val="0006670C"/>
    <w:rsid w:val="00067960"/>
    <w:rsid w:val="0007003A"/>
    <w:rsid w:val="00070210"/>
    <w:rsid w:val="000707BF"/>
    <w:rsid w:val="000722CF"/>
    <w:rsid w:val="0007277D"/>
    <w:rsid w:val="00072C34"/>
    <w:rsid w:val="000734CD"/>
    <w:rsid w:val="00074403"/>
    <w:rsid w:val="00074CF0"/>
    <w:rsid w:val="000750DC"/>
    <w:rsid w:val="00075735"/>
    <w:rsid w:val="0007583C"/>
    <w:rsid w:val="00076057"/>
    <w:rsid w:val="000770EC"/>
    <w:rsid w:val="00081E95"/>
    <w:rsid w:val="00082667"/>
    <w:rsid w:val="00082AD2"/>
    <w:rsid w:val="00083DC6"/>
    <w:rsid w:val="000840D4"/>
    <w:rsid w:val="00084857"/>
    <w:rsid w:val="00084F26"/>
    <w:rsid w:val="0008503C"/>
    <w:rsid w:val="000850AF"/>
    <w:rsid w:val="0008517A"/>
    <w:rsid w:val="000852EB"/>
    <w:rsid w:val="00086539"/>
    <w:rsid w:val="000869D8"/>
    <w:rsid w:val="00086CA6"/>
    <w:rsid w:val="00090213"/>
    <w:rsid w:val="000903AC"/>
    <w:rsid w:val="000904F3"/>
    <w:rsid w:val="00092FC7"/>
    <w:rsid w:val="00093133"/>
    <w:rsid w:val="0009395E"/>
    <w:rsid w:val="00094603"/>
    <w:rsid w:val="000954D5"/>
    <w:rsid w:val="00095723"/>
    <w:rsid w:val="0009618D"/>
    <w:rsid w:val="0009709B"/>
    <w:rsid w:val="000975E3"/>
    <w:rsid w:val="00097B87"/>
    <w:rsid w:val="00097DDA"/>
    <w:rsid w:val="000A1DD1"/>
    <w:rsid w:val="000A21A5"/>
    <w:rsid w:val="000A2A76"/>
    <w:rsid w:val="000A3908"/>
    <w:rsid w:val="000A4C29"/>
    <w:rsid w:val="000A5EA4"/>
    <w:rsid w:val="000A69DB"/>
    <w:rsid w:val="000A6E2B"/>
    <w:rsid w:val="000A79D3"/>
    <w:rsid w:val="000A7F0F"/>
    <w:rsid w:val="000B05E2"/>
    <w:rsid w:val="000B0C99"/>
    <w:rsid w:val="000B0F8B"/>
    <w:rsid w:val="000B2213"/>
    <w:rsid w:val="000B2568"/>
    <w:rsid w:val="000B41BB"/>
    <w:rsid w:val="000B5357"/>
    <w:rsid w:val="000B5853"/>
    <w:rsid w:val="000B5918"/>
    <w:rsid w:val="000B597F"/>
    <w:rsid w:val="000B634D"/>
    <w:rsid w:val="000B7465"/>
    <w:rsid w:val="000B7E42"/>
    <w:rsid w:val="000C14CB"/>
    <w:rsid w:val="000C18BC"/>
    <w:rsid w:val="000C1EE4"/>
    <w:rsid w:val="000C1FF9"/>
    <w:rsid w:val="000C21C4"/>
    <w:rsid w:val="000C4151"/>
    <w:rsid w:val="000C4425"/>
    <w:rsid w:val="000C4B12"/>
    <w:rsid w:val="000C4FCB"/>
    <w:rsid w:val="000C5EA0"/>
    <w:rsid w:val="000C5FA7"/>
    <w:rsid w:val="000C65E4"/>
    <w:rsid w:val="000C7E71"/>
    <w:rsid w:val="000D16AA"/>
    <w:rsid w:val="000D1A7D"/>
    <w:rsid w:val="000D2309"/>
    <w:rsid w:val="000D2CCA"/>
    <w:rsid w:val="000D366B"/>
    <w:rsid w:val="000D38F9"/>
    <w:rsid w:val="000D4664"/>
    <w:rsid w:val="000D5D6B"/>
    <w:rsid w:val="000D62C8"/>
    <w:rsid w:val="000D7A20"/>
    <w:rsid w:val="000E0BFC"/>
    <w:rsid w:val="000E161C"/>
    <w:rsid w:val="000E266E"/>
    <w:rsid w:val="000E2B61"/>
    <w:rsid w:val="000E470B"/>
    <w:rsid w:val="000E4A66"/>
    <w:rsid w:val="000E4DE8"/>
    <w:rsid w:val="000E50F5"/>
    <w:rsid w:val="000E5906"/>
    <w:rsid w:val="000E5E99"/>
    <w:rsid w:val="000E73D9"/>
    <w:rsid w:val="000F0C3B"/>
    <w:rsid w:val="000F0E9F"/>
    <w:rsid w:val="000F151A"/>
    <w:rsid w:val="000F1540"/>
    <w:rsid w:val="000F2065"/>
    <w:rsid w:val="000F256D"/>
    <w:rsid w:val="000F2A88"/>
    <w:rsid w:val="000F2C23"/>
    <w:rsid w:val="000F2D1B"/>
    <w:rsid w:val="000F3658"/>
    <w:rsid w:val="000F3697"/>
    <w:rsid w:val="000F3B37"/>
    <w:rsid w:val="000F3F12"/>
    <w:rsid w:val="000F4478"/>
    <w:rsid w:val="000F565B"/>
    <w:rsid w:val="000F5C6C"/>
    <w:rsid w:val="000F5F3F"/>
    <w:rsid w:val="00100570"/>
    <w:rsid w:val="0010184B"/>
    <w:rsid w:val="00101CE5"/>
    <w:rsid w:val="00101DD0"/>
    <w:rsid w:val="00102555"/>
    <w:rsid w:val="001029C0"/>
    <w:rsid w:val="00102B4B"/>
    <w:rsid w:val="00103AB9"/>
    <w:rsid w:val="00103E80"/>
    <w:rsid w:val="00104CC6"/>
    <w:rsid w:val="001061A4"/>
    <w:rsid w:val="00107187"/>
    <w:rsid w:val="00107272"/>
    <w:rsid w:val="00107D54"/>
    <w:rsid w:val="00110B62"/>
    <w:rsid w:val="001110F0"/>
    <w:rsid w:val="00111581"/>
    <w:rsid w:val="00111CEB"/>
    <w:rsid w:val="00111F8F"/>
    <w:rsid w:val="0011235F"/>
    <w:rsid w:val="0011245C"/>
    <w:rsid w:val="00114BCB"/>
    <w:rsid w:val="0011500F"/>
    <w:rsid w:val="00115A55"/>
    <w:rsid w:val="0011665D"/>
    <w:rsid w:val="00116AAC"/>
    <w:rsid w:val="0011754F"/>
    <w:rsid w:val="00117D55"/>
    <w:rsid w:val="001204B2"/>
    <w:rsid w:val="001212EF"/>
    <w:rsid w:val="001217DC"/>
    <w:rsid w:val="00121F81"/>
    <w:rsid w:val="0012203F"/>
    <w:rsid w:val="00123CC6"/>
    <w:rsid w:val="00125689"/>
    <w:rsid w:val="00125C8A"/>
    <w:rsid w:val="001261FC"/>
    <w:rsid w:val="00126CD7"/>
    <w:rsid w:val="001306FE"/>
    <w:rsid w:val="00130827"/>
    <w:rsid w:val="001308A2"/>
    <w:rsid w:val="00131140"/>
    <w:rsid w:val="001312D1"/>
    <w:rsid w:val="00132FD3"/>
    <w:rsid w:val="00133A61"/>
    <w:rsid w:val="001341E8"/>
    <w:rsid w:val="001362BD"/>
    <w:rsid w:val="0013673A"/>
    <w:rsid w:val="00137F86"/>
    <w:rsid w:val="001410EB"/>
    <w:rsid w:val="00141B41"/>
    <w:rsid w:val="0014335A"/>
    <w:rsid w:val="00143554"/>
    <w:rsid w:val="00143653"/>
    <w:rsid w:val="00143934"/>
    <w:rsid w:val="00143B3A"/>
    <w:rsid w:val="00143E43"/>
    <w:rsid w:val="00143FFC"/>
    <w:rsid w:val="001453B3"/>
    <w:rsid w:val="00146ABB"/>
    <w:rsid w:val="00147338"/>
    <w:rsid w:val="00147A48"/>
    <w:rsid w:val="00150143"/>
    <w:rsid w:val="0015073C"/>
    <w:rsid w:val="001509AB"/>
    <w:rsid w:val="001529F9"/>
    <w:rsid w:val="00152E91"/>
    <w:rsid w:val="00153C18"/>
    <w:rsid w:val="0015460B"/>
    <w:rsid w:val="001566E7"/>
    <w:rsid w:val="00156CA9"/>
    <w:rsid w:val="00157465"/>
    <w:rsid w:val="0015771E"/>
    <w:rsid w:val="00157E23"/>
    <w:rsid w:val="00157FC3"/>
    <w:rsid w:val="00160ACE"/>
    <w:rsid w:val="00161C4F"/>
    <w:rsid w:val="00161C84"/>
    <w:rsid w:val="00161F2A"/>
    <w:rsid w:val="00161FDF"/>
    <w:rsid w:val="001626BD"/>
    <w:rsid w:val="00162C33"/>
    <w:rsid w:val="0016340E"/>
    <w:rsid w:val="001645C4"/>
    <w:rsid w:val="00164C26"/>
    <w:rsid w:val="00164E23"/>
    <w:rsid w:val="0016595F"/>
    <w:rsid w:val="00166A2C"/>
    <w:rsid w:val="00166BF2"/>
    <w:rsid w:val="00166CC3"/>
    <w:rsid w:val="00166F71"/>
    <w:rsid w:val="00167DF2"/>
    <w:rsid w:val="001709DE"/>
    <w:rsid w:val="00170A9E"/>
    <w:rsid w:val="0017121A"/>
    <w:rsid w:val="00171401"/>
    <w:rsid w:val="00171777"/>
    <w:rsid w:val="001719FB"/>
    <w:rsid w:val="00172664"/>
    <w:rsid w:val="0017270B"/>
    <w:rsid w:val="00172B65"/>
    <w:rsid w:val="00172EF5"/>
    <w:rsid w:val="001732E1"/>
    <w:rsid w:val="00175189"/>
    <w:rsid w:val="00175D12"/>
    <w:rsid w:val="0017613E"/>
    <w:rsid w:val="00177167"/>
    <w:rsid w:val="00177F97"/>
    <w:rsid w:val="0018099E"/>
    <w:rsid w:val="00181A71"/>
    <w:rsid w:val="0018261B"/>
    <w:rsid w:val="0018274C"/>
    <w:rsid w:val="001834A7"/>
    <w:rsid w:val="0018373B"/>
    <w:rsid w:val="00183B40"/>
    <w:rsid w:val="00183C79"/>
    <w:rsid w:val="00183C8B"/>
    <w:rsid w:val="00183E75"/>
    <w:rsid w:val="001845CF"/>
    <w:rsid w:val="00185A98"/>
    <w:rsid w:val="001865BB"/>
    <w:rsid w:val="00187518"/>
    <w:rsid w:val="00187743"/>
    <w:rsid w:val="00187CEC"/>
    <w:rsid w:val="0019046F"/>
    <w:rsid w:val="0019096C"/>
    <w:rsid w:val="00191EA7"/>
    <w:rsid w:val="00192164"/>
    <w:rsid w:val="001928BD"/>
    <w:rsid w:val="00193EB7"/>
    <w:rsid w:val="00193F48"/>
    <w:rsid w:val="001944F0"/>
    <w:rsid w:val="00194ACA"/>
    <w:rsid w:val="00194C98"/>
    <w:rsid w:val="00194FB7"/>
    <w:rsid w:val="00196357"/>
    <w:rsid w:val="00196B4E"/>
    <w:rsid w:val="001975A1"/>
    <w:rsid w:val="001A027A"/>
    <w:rsid w:val="001A08E4"/>
    <w:rsid w:val="001A0D2C"/>
    <w:rsid w:val="001A11D8"/>
    <w:rsid w:val="001A12B5"/>
    <w:rsid w:val="001A174B"/>
    <w:rsid w:val="001A1C72"/>
    <w:rsid w:val="001A2976"/>
    <w:rsid w:val="001A3980"/>
    <w:rsid w:val="001A3B1B"/>
    <w:rsid w:val="001A3D2F"/>
    <w:rsid w:val="001A422B"/>
    <w:rsid w:val="001A440A"/>
    <w:rsid w:val="001A47C6"/>
    <w:rsid w:val="001A4A55"/>
    <w:rsid w:val="001A5C6F"/>
    <w:rsid w:val="001A6A4F"/>
    <w:rsid w:val="001A76B7"/>
    <w:rsid w:val="001B015C"/>
    <w:rsid w:val="001B1339"/>
    <w:rsid w:val="001B1B58"/>
    <w:rsid w:val="001B1D3B"/>
    <w:rsid w:val="001B1F55"/>
    <w:rsid w:val="001B2049"/>
    <w:rsid w:val="001B2934"/>
    <w:rsid w:val="001B4A37"/>
    <w:rsid w:val="001B4BB2"/>
    <w:rsid w:val="001B6FAD"/>
    <w:rsid w:val="001C04B2"/>
    <w:rsid w:val="001C13DE"/>
    <w:rsid w:val="001C1FDE"/>
    <w:rsid w:val="001C2063"/>
    <w:rsid w:val="001C21E1"/>
    <w:rsid w:val="001C3426"/>
    <w:rsid w:val="001C3B5E"/>
    <w:rsid w:val="001C4768"/>
    <w:rsid w:val="001C5839"/>
    <w:rsid w:val="001C583F"/>
    <w:rsid w:val="001C6431"/>
    <w:rsid w:val="001C6AF6"/>
    <w:rsid w:val="001C7129"/>
    <w:rsid w:val="001C77E1"/>
    <w:rsid w:val="001C7ADA"/>
    <w:rsid w:val="001D0FD3"/>
    <w:rsid w:val="001D121D"/>
    <w:rsid w:val="001D1C29"/>
    <w:rsid w:val="001D1E1B"/>
    <w:rsid w:val="001D3543"/>
    <w:rsid w:val="001D35FD"/>
    <w:rsid w:val="001D3B85"/>
    <w:rsid w:val="001D3DF1"/>
    <w:rsid w:val="001D4151"/>
    <w:rsid w:val="001D4BB9"/>
    <w:rsid w:val="001D501B"/>
    <w:rsid w:val="001D58E5"/>
    <w:rsid w:val="001D5EAE"/>
    <w:rsid w:val="001E07AA"/>
    <w:rsid w:val="001E0FAB"/>
    <w:rsid w:val="001E1880"/>
    <w:rsid w:val="001E2502"/>
    <w:rsid w:val="001E292F"/>
    <w:rsid w:val="001E351C"/>
    <w:rsid w:val="001E38F8"/>
    <w:rsid w:val="001E474D"/>
    <w:rsid w:val="001E506D"/>
    <w:rsid w:val="001E5194"/>
    <w:rsid w:val="001E5A81"/>
    <w:rsid w:val="001E62FB"/>
    <w:rsid w:val="001E6A0B"/>
    <w:rsid w:val="001E6B23"/>
    <w:rsid w:val="001E77DA"/>
    <w:rsid w:val="001E7A2F"/>
    <w:rsid w:val="001E7AB0"/>
    <w:rsid w:val="001E7DD0"/>
    <w:rsid w:val="001F0349"/>
    <w:rsid w:val="001F077B"/>
    <w:rsid w:val="001F0B74"/>
    <w:rsid w:val="001F2648"/>
    <w:rsid w:val="001F35BF"/>
    <w:rsid w:val="001F41B9"/>
    <w:rsid w:val="001F4BE8"/>
    <w:rsid w:val="001F4EB8"/>
    <w:rsid w:val="001F560A"/>
    <w:rsid w:val="001F5FF7"/>
    <w:rsid w:val="001F6318"/>
    <w:rsid w:val="001F65B1"/>
    <w:rsid w:val="001F6B83"/>
    <w:rsid w:val="001F6F6A"/>
    <w:rsid w:val="001F7595"/>
    <w:rsid w:val="001F7C3B"/>
    <w:rsid w:val="001F7FE7"/>
    <w:rsid w:val="002000B8"/>
    <w:rsid w:val="00200B4C"/>
    <w:rsid w:val="00201D62"/>
    <w:rsid w:val="00203267"/>
    <w:rsid w:val="00203897"/>
    <w:rsid w:val="0020391D"/>
    <w:rsid w:val="00205AE4"/>
    <w:rsid w:val="00205CDC"/>
    <w:rsid w:val="00205F9C"/>
    <w:rsid w:val="002060F7"/>
    <w:rsid w:val="00207BC6"/>
    <w:rsid w:val="00210771"/>
    <w:rsid w:val="00210C22"/>
    <w:rsid w:val="00211885"/>
    <w:rsid w:val="00212ADF"/>
    <w:rsid w:val="00212B9E"/>
    <w:rsid w:val="002134CF"/>
    <w:rsid w:val="00213A60"/>
    <w:rsid w:val="0021429B"/>
    <w:rsid w:val="00215699"/>
    <w:rsid w:val="002159DE"/>
    <w:rsid w:val="00215B1C"/>
    <w:rsid w:val="00215E99"/>
    <w:rsid w:val="002162E6"/>
    <w:rsid w:val="0021667D"/>
    <w:rsid w:val="002166A1"/>
    <w:rsid w:val="002166A6"/>
    <w:rsid w:val="00216BB6"/>
    <w:rsid w:val="002170F0"/>
    <w:rsid w:val="00217BA3"/>
    <w:rsid w:val="0022048B"/>
    <w:rsid w:val="002207F8"/>
    <w:rsid w:val="0022175C"/>
    <w:rsid w:val="00222261"/>
    <w:rsid w:val="00222773"/>
    <w:rsid w:val="00223AB6"/>
    <w:rsid w:val="00223AC8"/>
    <w:rsid w:val="00223C96"/>
    <w:rsid w:val="00224852"/>
    <w:rsid w:val="00225935"/>
    <w:rsid w:val="0022634D"/>
    <w:rsid w:val="00226437"/>
    <w:rsid w:val="0022711A"/>
    <w:rsid w:val="00227512"/>
    <w:rsid w:val="0022766E"/>
    <w:rsid w:val="002278D5"/>
    <w:rsid w:val="00227C13"/>
    <w:rsid w:val="00227D49"/>
    <w:rsid w:val="00227FC7"/>
    <w:rsid w:val="00230C3C"/>
    <w:rsid w:val="00230F66"/>
    <w:rsid w:val="00233A54"/>
    <w:rsid w:val="00234440"/>
    <w:rsid w:val="002347C9"/>
    <w:rsid w:val="00235A73"/>
    <w:rsid w:val="00236E72"/>
    <w:rsid w:val="002411BD"/>
    <w:rsid w:val="00242209"/>
    <w:rsid w:val="00244711"/>
    <w:rsid w:val="00244AE4"/>
    <w:rsid w:val="00245EBE"/>
    <w:rsid w:val="00246305"/>
    <w:rsid w:val="00246C63"/>
    <w:rsid w:val="002472C1"/>
    <w:rsid w:val="00247343"/>
    <w:rsid w:val="002473F4"/>
    <w:rsid w:val="00250600"/>
    <w:rsid w:val="002506E1"/>
    <w:rsid w:val="00250F42"/>
    <w:rsid w:val="00252934"/>
    <w:rsid w:val="00252EBA"/>
    <w:rsid w:val="0025361A"/>
    <w:rsid w:val="002545EF"/>
    <w:rsid w:val="00254B44"/>
    <w:rsid w:val="00254E99"/>
    <w:rsid w:val="00255B9B"/>
    <w:rsid w:val="00256596"/>
    <w:rsid w:val="0025705E"/>
    <w:rsid w:val="0026027A"/>
    <w:rsid w:val="00260533"/>
    <w:rsid w:val="002605CE"/>
    <w:rsid w:val="00261367"/>
    <w:rsid w:val="00261A54"/>
    <w:rsid w:val="00261C21"/>
    <w:rsid w:val="00261D37"/>
    <w:rsid w:val="00262D6B"/>
    <w:rsid w:val="00262ED0"/>
    <w:rsid w:val="00263607"/>
    <w:rsid w:val="002638EE"/>
    <w:rsid w:val="00263F9C"/>
    <w:rsid w:val="00264965"/>
    <w:rsid w:val="00264EB5"/>
    <w:rsid w:val="002656E1"/>
    <w:rsid w:val="00265CFF"/>
    <w:rsid w:val="002662AC"/>
    <w:rsid w:val="00267D21"/>
    <w:rsid w:val="00267F98"/>
    <w:rsid w:val="002707F2"/>
    <w:rsid w:val="00270B4E"/>
    <w:rsid w:val="00271500"/>
    <w:rsid w:val="00272E57"/>
    <w:rsid w:val="002734A9"/>
    <w:rsid w:val="00274663"/>
    <w:rsid w:val="00275641"/>
    <w:rsid w:val="0027569A"/>
    <w:rsid w:val="002767D9"/>
    <w:rsid w:val="0027757E"/>
    <w:rsid w:val="00280184"/>
    <w:rsid w:val="00280F4B"/>
    <w:rsid w:val="00281152"/>
    <w:rsid w:val="002821E9"/>
    <w:rsid w:val="002827D2"/>
    <w:rsid w:val="00282D7B"/>
    <w:rsid w:val="00283488"/>
    <w:rsid w:val="002835B7"/>
    <w:rsid w:val="0028361E"/>
    <w:rsid w:val="00284B7C"/>
    <w:rsid w:val="00284C1F"/>
    <w:rsid w:val="002851AF"/>
    <w:rsid w:val="00286129"/>
    <w:rsid w:val="0028787B"/>
    <w:rsid w:val="00287E1B"/>
    <w:rsid w:val="00290263"/>
    <w:rsid w:val="002908A7"/>
    <w:rsid w:val="00291768"/>
    <w:rsid w:val="00291796"/>
    <w:rsid w:val="00292C52"/>
    <w:rsid w:val="00292F66"/>
    <w:rsid w:val="0029315D"/>
    <w:rsid w:val="00293A33"/>
    <w:rsid w:val="00293CFB"/>
    <w:rsid w:val="00293EB5"/>
    <w:rsid w:val="0029449E"/>
    <w:rsid w:val="0029488D"/>
    <w:rsid w:val="00294E82"/>
    <w:rsid w:val="002951FD"/>
    <w:rsid w:val="0029530C"/>
    <w:rsid w:val="002955E3"/>
    <w:rsid w:val="00296020"/>
    <w:rsid w:val="0029693F"/>
    <w:rsid w:val="002969C6"/>
    <w:rsid w:val="00296F46"/>
    <w:rsid w:val="00296F8A"/>
    <w:rsid w:val="00297AD1"/>
    <w:rsid w:val="00297CCD"/>
    <w:rsid w:val="002A11CE"/>
    <w:rsid w:val="002A13E2"/>
    <w:rsid w:val="002A180F"/>
    <w:rsid w:val="002A199B"/>
    <w:rsid w:val="002A1B36"/>
    <w:rsid w:val="002A211A"/>
    <w:rsid w:val="002A2BC2"/>
    <w:rsid w:val="002A37E6"/>
    <w:rsid w:val="002A409A"/>
    <w:rsid w:val="002A4BFA"/>
    <w:rsid w:val="002A4D7B"/>
    <w:rsid w:val="002A4DFC"/>
    <w:rsid w:val="002A7EEA"/>
    <w:rsid w:val="002B0660"/>
    <w:rsid w:val="002B18D6"/>
    <w:rsid w:val="002B1B98"/>
    <w:rsid w:val="002B22D4"/>
    <w:rsid w:val="002B3259"/>
    <w:rsid w:val="002B3984"/>
    <w:rsid w:val="002B4595"/>
    <w:rsid w:val="002B45EE"/>
    <w:rsid w:val="002B4BF3"/>
    <w:rsid w:val="002B55C8"/>
    <w:rsid w:val="002B5E4B"/>
    <w:rsid w:val="002B660D"/>
    <w:rsid w:val="002B6C0C"/>
    <w:rsid w:val="002B723D"/>
    <w:rsid w:val="002B7969"/>
    <w:rsid w:val="002B7C07"/>
    <w:rsid w:val="002B7D1C"/>
    <w:rsid w:val="002C0031"/>
    <w:rsid w:val="002C0485"/>
    <w:rsid w:val="002C0762"/>
    <w:rsid w:val="002C0C86"/>
    <w:rsid w:val="002C1397"/>
    <w:rsid w:val="002C257A"/>
    <w:rsid w:val="002C2BEC"/>
    <w:rsid w:val="002C30C0"/>
    <w:rsid w:val="002C4F4B"/>
    <w:rsid w:val="002C5836"/>
    <w:rsid w:val="002C6EC0"/>
    <w:rsid w:val="002C7A58"/>
    <w:rsid w:val="002D0356"/>
    <w:rsid w:val="002D07C0"/>
    <w:rsid w:val="002D08AE"/>
    <w:rsid w:val="002D0F98"/>
    <w:rsid w:val="002D18D7"/>
    <w:rsid w:val="002D1DFB"/>
    <w:rsid w:val="002D2F66"/>
    <w:rsid w:val="002D3196"/>
    <w:rsid w:val="002D45BF"/>
    <w:rsid w:val="002D4A85"/>
    <w:rsid w:val="002D4B65"/>
    <w:rsid w:val="002D5AFC"/>
    <w:rsid w:val="002D6162"/>
    <w:rsid w:val="002D64DF"/>
    <w:rsid w:val="002D71EF"/>
    <w:rsid w:val="002D7F4C"/>
    <w:rsid w:val="002E00F3"/>
    <w:rsid w:val="002E242E"/>
    <w:rsid w:val="002E255F"/>
    <w:rsid w:val="002E2CED"/>
    <w:rsid w:val="002E2FEC"/>
    <w:rsid w:val="002E38DB"/>
    <w:rsid w:val="002E4AB1"/>
    <w:rsid w:val="002E4F8A"/>
    <w:rsid w:val="002E505D"/>
    <w:rsid w:val="002E73B8"/>
    <w:rsid w:val="002F0823"/>
    <w:rsid w:val="002F113B"/>
    <w:rsid w:val="002F2471"/>
    <w:rsid w:val="002F2B7A"/>
    <w:rsid w:val="002F3105"/>
    <w:rsid w:val="002F4864"/>
    <w:rsid w:val="002F5E6C"/>
    <w:rsid w:val="002F6DD7"/>
    <w:rsid w:val="002F72FF"/>
    <w:rsid w:val="002F75CC"/>
    <w:rsid w:val="002F7987"/>
    <w:rsid w:val="002F79D4"/>
    <w:rsid w:val="003005C9"/>
    <w:rsid w:val="00300BF3"/>
    <w:rsid w:val="0030143F"/>
    <w:rsid w:val="00301894"/>
    <w:rsid w:val="00301BCD"/>
    <w:rsid w:val="003024C7"/>
    <w:rsid w:val="00302CD4"/>
    <w:rsid w:val="00303636"/>
    <w:rsid w:val="00303ACF"/>
    <w:rsid w:val="00303C6B"/>
    <w:rsid w:val="0030463E"/>
    <w:rsid w:val="003047AB"/>
    <w:rsid w:val="00304ED6"/>
    <w:rsid w:val="0030661C"/>
    <w:rsid w:val="00306D5D"/>
    <w:rsid w:val="00306FF4"/>
    <w:rsid w:val="003074C6"/>
    <w:rsid w:val="0030757F"/>
    <w:rsid w:val="00307A08"/>
    <w:rsid w:val="0031060A"/>
    <w:rsid w:val="00310B78"/>
    <w:rsid w:val="00310EE1"/>
    <w:rsid w:val="003110CD"/>
    <w:rsid w:val="003122B0"/>
    <w:rsid w:val="00312390"/>
    <w:rsid w:val="003138EB"/>
    <w:rsid w:val="0031450D"/>
    <w:rsid w:val="00315880"/>
    <w:rsid w:val="00315A06"/>
    <w:rsid w:val="0031678B"/>
    <w:rsid w:val="0031683C"/>
    <w:rsid w:val="00317146"/>
    <w:rsid w:val="003176EA"/>
    <w:rsid w:val="00317D36"/>
    <w:rsid w:val="00321473"/>
    <w:rsid w:val="003225FB"/>
    <w:rsid w:val="00323A7C"/>
    <w:rsid w:val="00323BE9"/>
    <w:rsid w:val="00323C32"/>
    <w:rsid w:val="00323CC7"/>
    <w:rsid w:val="003241C6"/>
    <w:rsid w:val="003242A8"/>
    <w:rsid w:val="00324827"/>
    <w:rsid w:val="00324A1D"/>
    <w:rsid w:val="00324C55"/>
    <w:rsid w:val="003250B4"/>
    <w:rsid w:val="00325607"/>
    <w:rsid w:val="00325742"/>
    <w:rsid w:val="0032631C"/>
    <w:rsid w:val="00327AB3"/>
    <w:rsid w:val="00327F9E"/>
    <w:rsid w:val="00330527"/>
    <w:rsid w:val="0033071E"/>
    <w:rsid w:val="003318A6"/>
    <w:rsid w:val="003321A8"/>
    <w:rsid w:val="00332EB1"/>
    <w:rsid w:val="003331BB"/>
    <w:rsid w:val="00333E63"/>
    <w:rsid w:val="00334044"/>
    <w:rsid w:val="0033497C"/>
    <w:rsid w:val="00334C1F"/>
    <w:rsid w:val="00334FA0"/>
    <w:rsid w:val="00335188"/>
    <w:rsid w:val="00335234"/>
    <w:rsid w:val="003373B8"/>
    <w:rsid w:val="00340402"/>
    <w:rsid w:val="003413F4"/>
    <w:rsid w:val="00342DC1"/>
    <w:rsid w:val="00342EF7"/>
    <w:rsid w:val="003432B6"/>
    <w:rsid w:val="00343F41"/>
    <w:rsid w:val="0034427F"/>
    <w:rsid w:val="00344BF3"/>
    <w:rsid w:val="00345CC1"/>
    <w:rsid w:val="00345EA7"/>
    <w:rsid w:val="0034629D"/>
    <w:rsid w:val="0034652C"/>
    <w:rsid w:val="00346606"/>
    <w:rsid w:val="0034680C"/>
    <w:rsid w:val="00346B62"/>
    <w:rsid w:val="00346E40"/>
    <w:rsid w:val="00346E73"/>
    <w:rsid w:val="00350219"/>
    <w:rsid w:val="00350368"/>
    <w:rsid w:val="0035067B"/>
    <w:rsid w:val="00350949"/>
    <w:rsid w:val="00350B6E"/>
    <w:rsid w:val="00351A4A"/>
    <w:rsid w:val="00351D95"/>
    <w:rsid w:val="00351E32"/>
    <w:rsid w:val="00351FB4"/>
    <w:rsid w:val="00352E52"/>
    <w:rsid w:val="00353860"/>
    <w:rsid w:val="00353C7B"/>
    <w:rsid w:val="00354CD9"/>
    <w:rsid w:val="003556C1"/>
    <w:rsid w:val="00355EEE"/>
    <w:rsid w:val="00356B23"/>
    <w:rsid w:val="003603E5"/>
    <w:rsid w:val="00360494"/>
    <w:rsid w:val="00360C00"/>
    <w:rsid w:val="00360E7E"/>
    <w:rsid w:val="00361935"/>
    <w:rsid w:val="0036239D"/>
    <w:rsid w:val="003626AE"/>
    <w:rsid w:val="003632AA"/>
    <w:rsid w:val="0036508D"/>
    <w:rsid w:val="003651C8"/>
    <w:rsid w:val="0036548D"/>
    <w:rsid w:val="00366321"/>
    <w:rsid w:val="003669F1"/>
    <w:rsid w:val="00366F10"/>
    <w:rsid w:val="003700A3"/>
    <w:rsid w:val="003706AA"/>
    <w:rsid w:val="00370B40"/>
    <w:rsid w:val="00371C15"/>
    <w:rsid w:val="003720AD"/>
    <w:rsid w:val="00372CDF"/>
    <w:rsid w:val="0037330D"/>
    <w:rsid w:val="00373411"/>
    <w:rsid w:val="00373D40"/>
    <w:rsid w:val="00373F52"/>
    <w:rsid w:val="003741F6"/>
    <w:rsid w:val="00374A29"/>
    <w:rsid w:val="00374DD6"/>
    <w:rsid w:val="00374FA4"/>
    <w:rsid w:val="003756C6"/>
    <w:rsid w:val="00375EF9"/>
    <w:rsid w:val="00375EFF"/>
    <w:rsid w:val="00376E35"/>
    <w:rsid w:val="003773E4"/>
    <w:rsid w:val="00377F6C"/>
    <w:rsid w:val="00380094"/>
    <w:rsid w:val="00380256"/>
    <w:rsid w:val="0038165D"/>
    <w:rsid w:val="003817CA"/>
    <w:rsid w:val="00381812"/>
    <w:rsid w:val="00382BE9"/>
    <w:rsid w:val="00382D6B"/>
    <w:rsid w:val="00383071"/>
    <w:rsid w:val="00383BBC"/>
    <w:rsid w:val="0038418D"/>
    <w:rsid w:val="003849DF"/>
    <w:rsid w:val="00384F0A"/>
    <w:rsid w:val="00385444"/>
    <w:rsid w:val="00385717"/>
    <w:rsid w:val="00385F39"/>
    <w:rsid w:val="00386070"/>
    <w:rsid w:val="003863FD"/>
    <w:rsid w:val="003900A5"/>
    <w:rsid w:val="00390941"/>
    <w:rsid w:val="00390C0A"/>
    <w:rsid w:val="003917AD"/>
    <w:rsid w:val="00391FAB"/>
    <w:rsid w:val="00392539"/>
    <w:rsid w:val="00392677"/>
    <w:rsid w:val="00393431"/>
    <w:rsid w:val="00393633"/>
    <w:rsid w:val="003939C4"/>
    <w:rsid w:val="00393B41"/>
    <w:rsid w:val="003945E2"/>
    <w:rsid w:val="00394981"/>
    <w:rsid w:val="003953A8"/>
    <w:rsid w:val="003958E6"/>
    <w:rsid w:val="00395D76"/>
    <w:rsid w:val="00396F7B"/>
    <w:rsid w:val="00396FA3"/>
    <w:rsid w:val="00397077"/>
    <w:rsid w:val="0039788E"/>
    <w:rsid w:val="00397BCF"/>
    <w:rsid w:val="00397F0D"/>
    <w:rsid w:val="003A0DC3"/>
    <w:rsid w:val="003A1CF5"/>
    <w:rsid w:val="003A2812"/>
    <w:rsid w:val="003A2D0C"/>
    <w:rsid w:val="003A3304"/>
    <w:rsid w:val="003A3551"/>
    <w:rsid w:val="003A38F0"/>
    <w:rsid w:val="003A443D"/>
    <w:rsid w:val="003A4708"/>
    <w:rsid w:val="003A4BAB"/>
    <w:rsid w:val="003A6A5A"/>
    <w:rsid w:val="003A72E9"/>
    <w:rsid w:val="003B06AD"/>
    <w:rsid w:val="003B06B9"/>
    <w:rsid w:val="003B0979"/>
    <w:rsid w:val="003B1033"/>
    <w:rsid w:val="003B15E9"/>
    <w:rsid w:val="003B175A"/>
    <w:rsid w:val="003B2FC6"/>
    <w:rsid w:val="003B3231"/>
    <w:rsid w:val="003B357A"/>
    <w:rsid w:val="003B4714"/>
    <w:rsid w:val="003B499C"/>
    <w:rsid w:val="003B4CCD"/>
    <w:rsid w:val="003B522D"/>
    <w:rsid w:val="003B53D4"/>
    <w:rsid w:val="003B599F"/>
    <w:rsid w:val="003B7298"/>
    <w:rsid w:val="003C0036"/>
    <w:rsid w:val="003C0FF8"/>
    <w:rsid w:val="003C18C4"/>
    <w:rsid w:val="003C4333"/>
    <w:rsid w:val="003C43DA"/>
    <w:rsid w:val="003C4FD5"/>
    <w:rsid w:val="003C5585"/>
    <w:rsid w:val="003C5740"/>
    <w:rsid w:val="003C57DD"/>
    <w:rsid w:val="003C582B"/>
    <w:rsid w:val="003C614D"/>
    <w:rsid w:val="003C77E9"/>
    <w:rsid w:val="003C7C63"/>
    <w:rsid w:val="003D152F"/>
    <w:rsid w:val="003D19EE"/>
    <w:rsid w:val="003D2333"/>
    <w:rsid w:val="003D2374"/>
    <w:rsid w:val="003D2B3A"/>
    <w:rsid w:val="003D3241"/>
    <w:rsid w:val="003D4419"/>
    <w:rsid w:val="003D4804"/>
    <w:rsid w:val="003D5413"/>
    <w:rsid w:val="003D73E4"/>
    <w:rsid w:val="003D7685"/>
    <w:rsid w:val="003D7E9A"/>
    <w:rsid w:val="003E0366"/>
    <w:rsid w:val="003E100C"/>
    <w:rsid w:val="003E1678"/>
    <w:rsid w:val="003E2C1D"/>
    <w:rsid w:val="003E2FFE"/>
    <w:rsid w:val="003E37AA"/>
    <w:rsid w:val="003E37BB"/>
    <w:rsid w:val="003E3871"/>
    <w:rsid w:val="003E411A"/>
    <w:rsid w:val="003E4310"/>
    <w:rsid w:val="003E47DE"/>
    <w:rsid w:val="003E4FFA"/>
    <w:rsid w:val="003E6E11"/>
    <w:rsid w:val="003E72DC"/>
    <w:rsid w:val="003E7BA8"/>
    <w:rsid w:val="003F04B3"/>
    <w:rsid w:val="003F0536"/>
    <w:rsid w:val="003F10D3"/>
    <w:rsid w:val="003F1548"/>
    <w:rsid w:val="003F2B3D"/>
    <w:rsid w:val="003F2EDF"/>
    <w:rsid w:val="003F3105"/>
    <w:rsid w:val="003F3BBA"/>
    <w:rsid w:val="003F3C44"/>
    <w:rsid w:val="003F4091"/>
    <w:rsid w:val="003F4172"/>
    <w:rsid w:val="003F4249"/>
    <w:rsid w:val="003F4E3B"/>
    <w:rsid w:val="003F5086"/>
    <w:rsid w:val="003F5108"/>
    <w:rsid w:val="003F57AA"/>
    <w:rsid w:val="003F5D2C"/>
    <w:rsid w:val="003F64BC"/>
    <w:rsid w:val="003F6CAF"/>
    <w:rsid w:val="003F7679"/>
    <w:rsid w:val="003F78A0"/>
    <w:rsid w:val="004001D3"/>
    <w:rsid w:val="00400C13"/>
    <w:rsid w:val="00400F3A"/>
    <w:rsid w:val="00401A86"/>
    <w:rsid w:val="00401E65"/>
    <w:rsid w:val="00402311"/>
    <w:rsid w:val="0040239F"/>
    <w:rsid w:val="00402C97"/>
    <w:rsid w:val="00403364"/>
    <w:rsid w:val="00403411"/>
    <w:rsid w:val="004038BE"/>
    <w:rsid w:val="0040415C"/>
    <w:rsid w:val="00404AA4"/>
    <w:rsid w:val="00404C61"/>
    <w:rsid w:val="004050C9"/>
    <w:rsid w:val="004051F0"/>
    <w:rsid w:val="00406314"/>
    <w:rsid w:val="00406376"/>
    <w:rsid w:val="00406389"/>
    <w:rsid w:val="004063C0"/>
    <w:rsid w:val="0040682D"/>
    <w:rsid w:val="00406896"/>
    <w:rsid w:val="00411B37"/>
    <w:rsid w:val="004125ED"/>
    <w:rsid w:val="00412B4D"/>
    <w:rsid w:val="00413B39"/>
    <w:rsid w:val="00413D4D"/>
    <w:rsid w:val="0041450E"/>
    <w:rsid w:val="0041456E"/>
    <w:rsid w:val="00414BE5"/>
    <w:rsid w:val="00415370"/>
    <w:rsid w:val="00415781"/>
    <w:rsid w:val="00415F31"/>
    <w:rsid w:val="00416485"/>
    <w:rsid w:val="00416D6F"/>
    <w:rsid w:val="00416F40"/>
    <w:rsid w:val="00417769"/>
    <w:rsid w:val="004177B0"/>
    <w:rsid w:val="00417F0D"/>
    <w:rsid w:val="00417FE4"/>
    <w:rsid w:val="0042049A"/>
    <w:rsid w:val="00421795"/>
    <w:rsid w:val="00421EF2"/>
    <w:rsid w:val="00422668"/>
    <w:rsid w:val="00423C6D"/>
    <w:rsid w:val="004252CD"/>
    <w:rsid w:val="0042602D"/>
    <w:rsid w:val="00427004"/>
    <w:rsid w:val="0042772E"/>
    <w:rsid w:val="00430CF3"/>
    <w:rsid w:val="00431AC1"/>
    <w:rsid w:val="00431DE1"/>
    <w:rsid w:val="004329C9"/>
    <w:rsid w:val="00432B89"/>
    <w:rsid w:val="00432CD5"/>
    <w:rsid w:val="00433CDB"/>
    <w:rsid w:val="00435D29"/>
    <w:rsid w:val="00435E5A"/>
    <w:rsid w:val="004363FA"/>
    <w:rsid w:val="004364CC"/>
    <w:rsid w:val="00436829"/>
    <w:rsid w:val="00436C29"/>
    <w:rsid w:val="00437141"/>
    <w:rsid w:val="004405B0"/>
    <w:rsid w:val="00441905"/>
    <w:rsid w:val="00441FF9"/>
    <w:rsid w:val="0044382F"/>
    <w:rsid w:val="00443B96"/>
    <w:rsid w:val="00443E1D"/>
    <w:rsid w:val="004442EB"/>
    <w:rsid w:val="0044447B"/>
    <w:rsid w:val="00444A7F"/>
    <w:rsid w:val="00444FA3"/>
    <w:rsid w:val="00446553"/>
    <w:rsid w:val="004466DA"/>
    <w:rsid w:val="00446A92"/>
    <w:rsid w:val="00446CEB"/>
    <w:rsid w:val="00447664"/>
    <w:rsid w:val="00447719"/>
    <w:rsid w:val="0045016B"/>
    <w:rsid w:val="004501B4"/>
    <w:rsid w:val="0045082F"/>
    <w:rsid w:val="00450C00"/>
    <w:rsid w:val="0045135E"/>
    <w:rsid w:val="004522E5"/>
    <w:rsid w:val="00452434"/>
    <w:rsid w:val="0045273C"/>
    <w:rsid w:val="00452C53"/>
    <w:rsid w:val="004539C7"/>
    <w:rsid w:val="00453F8A"/>
    <w:rsid w:val="00454597"/>
    <w:rsid w:val="004548E6"/>
    <w:rsid w:val="0045543A"/>
    <w:rsid w:val="00455880"/>
    <w:rsid w:val="00455D1D"/>
    <w:rsid w:val="004561F9"/>
    <w:rsid w:val="0045637C"/>
    <w:rsid w:val="004569A3"/>
    <w:rsid w:val="00456A7F"/>
    <w:rsid w:val="004578ED"/>
    <w:rsid w:val="00457B0C"/>
    <w:rsid w:val="004611B6"/>
    <w:rsid w:val="004615A1"/>
    <w:rsid w:val="00461997"/>
    <w:rsid w:val="00462CE0"/>
    <w:rsid w:val="00463F8B"/>
    <w:rsid w:val="004649AD"/>
    <w:rsid w:val="004650E7"/>
    <w:rsid w:val="0046687B"/>
    <w:rsid w:val="004674FB"/>
    <w:rsid w:val="00470418"/>
    <w:rsid w:val="004704DA"/>
    <w:rsid w:val="004704EA"/>
    <w:rsid w:val="00470567"/>
    <w:rsid w:val="0047056A"/>
    <w:rsid w:val="0047071D"/>
    <w:rsid w:val="00471464"/>
    <w:rsid w:val="004727C4"/>
    <w:rsid w:val="00473579"/>
    <w:rsid w:val="004742D3"/>
    <w:rsid w:val="00474E5A"/>
    <w:rsid w:val="004754AE"/>
    <w:rsid w:val="0047558F"/>
    <w:rsid w:val="0047561A"/>
    <w:rsid w:val="00475FD5"/>
    <w:rsid w:val="0047770B"/>
    <w:rsid w:val="00477AFC"/>
    <w:rsid w:val="00477EA3"/>
    <w:rsid w:val="004812F4"/>
    <w:rsid w:val="0048231B"/>
    <w:rsid w:val="00482BD9"/>
    <w:rsid w:val="004838D4"/>
    <w:rsid w:val="004845AC"/>
    <w:rsid w:val="00484C31"/>
    <w:rsid w:val="004850AC"/>
    <w:rsid w:val="00485E3C"/>
    <w:rsid w:val="00486F09"/>
    <w:rsid w:val="004877FB"/>
    <w:rsid w:val="00487B3A"/>
    <w:rsid w:val="004906DB"/>
    <w:rsid w:val="00490B57"/>
    <w:rsid w:val="00490C0F"/>
    <w:rsid w:val="00491FF2"/>
    <w:rsid w:val="004925EE"/>
    <w:rsid w:val="00492735"/>
    <w:rsid w:val="004945E8"/>
    <w:rsid w:val="004946D8"/>
    <w:rsid w:val="00494FC9"/>
    <w:rsid w:val="00495228"/>
    <w:rsid w:val="004963B6"/>
    <w:rsid w:val="00497252"/>
    <w:rsid w:val="0049795E"/>
    <w:rsid w:val="004A1808"/>
    <w:rsid w:val="004A2013"/>
    <w:rsid w:val="004A201B"/>
    <w:rsid w:val="004A2B7A"/>
    <w:rsid w:val="004A2DA3"/>
    <w:rsid w:val="004A3EB3"/>
    <w:rsid w:val="004A4377"/>
    <w:rsid w:val="004A4A51"/>
    <w:rsid w:val="004A57EB"/>
    <w:rsid w:val="004A5824"/>
    <w:rsid w:val="004A59D3"/>
    <w:rsid w:val="004A6D7C"/>
    <w:rsid w:val="004A6F11"/>
    <w:rsid w:val="004A74DD"/>
    <w:rsid w:val="004A7855"/>
    <w:rsid w:val="004B00D1"/>
    <w:rsid w:val="004B0B57"/>
    <w:rsid w:val="004B1245"/>
    <w:rsid w:val="004B1278"/>
    <w:rsid w:val="004B1CAB"/>
    <w:rsid w:val="004B2FF9"/>
    <w:rsid w:val="004B3506"/>
    <w:rsid w:val="004B36ED"/>
    <w:rsid w:val="004B3D73"/>
    <w:rsid w:val="004B40DB"/>
    <w:rsid w:val="004B47BC"/>
    <w:rsid w:val="004B4EF6"/>
    <w:rsid w:val="004B612E"/>
    <w:rsid w:val="004B623B"/>
    <w:rsid w:val="004B6554"/>
    <w:rsid w:val="004B6B22"/>
    <w:rsid w:val="004B6C50"/>
    <w:rsid w:val="004B77CB"/>
    <w:rsid w:val="004C0DA0"/>
    <w:rsid w:val="004C38BA"/>
    <w:rsid w:val="004C3E02"/>
    <w:rsid w:val="004C422D"/>
    <w:rsid w:val="004C4CEB"/>
    <w:rsid w:val="004C5CBA"/>
    <w:rsid w:val="004C60AC"/>
    <w:rsid w:val="004C6C09"/>
    <w:rsid w:val="004C6EA3"/>
    <w:rsid w:val="004C7C1E"/>
    <w:rsid w:val="004D000F"/>
    <w:rsid w:val="004D055D"/>
    <w:rsid w:val="004D0842"/>
    <w:rsid w:val="004D1240"/>
    <w:rsid w:val="004D133B"/>
    <w:rsid w:val="004D49EE"/>
    <w:rsid w:val="004D4AE0"/>
    <w:rsid w:val="004D4C0B"/>
    <w:rsid w:val="004D512D"/>
    <w:rsid w:val="004D6042"/>
    <w:rsid w:val="004D62C0"/>
    <w:rsid w:val="004D69FC"/>
    <w:rsid w:val="004D77BD"/>
    <w:rsid w:val="004D77DE"/>
    <w:rsid w:val="004D7BF4"/>
    <w:rsid w:val="004D7C92"/>
    <w:rsid w:val="004E0356"/>
    <w:rsid w:val="004E0D46"/>
    <w:rsid w:val="004E295C"/>
    <w:rsid w:val="004E38B2"/>
    <w:rsid w:val="004E3936"/>
    <w:rsid w:val="004E4277"/>
    <w:rsid w:val="004E490B"/>
    <w:rsid w:val="004E57F7"/>
    <w:rsid w:val="004E5D9C"/>
    <w:rsid w:val="004E6707"/>
    <w:rsid w:val="004E6985"/>
    <w:rsid w:val="004E6B8E"/>
    <w:rsid w:val="004E7DEE"/>
    <w:rsid w:val="004F0543"/>
    <w:rsid w:val="004F126D"/>
    <w:rsid w:val="004F22C9"/>
    <w:rsid w:val="004F2385"/>
    <w:rsid w:val="004F326E"/>
    <w:rsid w:val="004F3A97"/>
    <w:rsid w:val="004F486D"/>
    <w:rsid w:val="004F5591"/>
    <w:rsid w:val="004F5D14"/>
    <w:rsid w:val="004F68DC"/>
    <w:rsid w:val="004F7FAD"/>
    <w:rsid w:val="00500F7A"/>
    <w:rsid w:val="005012AD"/>
    <w:rsid w:val="005016E5"/>
    <w:rsid w:val="00501A56"/>
    <w:rsid w:val="00501ACA"/>
    <w:rsid w:val="00502317"/>
    <w:rsid w:val="005027BB"/>
    <w:rsid w:val="00503415"/>
    <w:rsid w:val="005037E1"/>
    <w:rsid w:val="00503B5C"/>
    <w:rsid w:val="0050456A"/>
    <w:rsid w:val="005068E1"/>
    <w:rsid w:val="005077C5"/>
    <w:rsid w:val="00507F3A"/>
    <w:rsid w:val="0051168A"/>
    <w:rsid w:val="005117D2"/>
    <w:rsid w:val="005118A6"/>
    <w:rsid w:val="005122F4"/>
    <w:rsid w:val="0051292D"/>
    <w:rsid w:val="005131DC"/>
    <w:rsid w:val="00513ADB"/>
    <w:rsid w:val="0051405F"/>
    <w:rsid w:val="0051444F"/>
    <w:rsid w:val="005148C5"/>
    <w:rsid w:val="005156A6"/>
    <w:rsid w:val="00516393"/>
    <w:rsid w:val="005179A5"/>
    <w:rsid w:val="00520B4F"/>
    <w:rsid w:val="00524AD7"/>
    <w:rsid w:val="005254FD"/>
    <w:rsid w:val="005268A9"/>
    <w:rsid w:val="0052720F"/>
    <w:rsid w:val="00527421"/>
    <w:rsid w:val="005275C4"/>
    <w:rsid w:val="00527D36"/>
    <w:rsid w:val="00531076"/>
    <w:rsid w:val="00531393"/>
    <w:rsid w:val="00531D28"/>
    <w:rsid w:val="005328A8"/>
    <w:rsid w:val="0053385A"/>
    <w:rsid w:val="00533920"/>
    <w:rsid w:val="00534F16"/>
    <w:rsid w:val="00535141"/>
    <w:rsid w:val="00535324"/>
    <w:rsid w:val="005363B4"/>
    <w:rsid w:val="0053712D"/>
    <w:rsid w:val="00537DA5"/>
    <w:rsid w:val="005403F4"/>
    <w:rsid w:val="00541136"/>
    <w:rsid w:val="00541C39"/>
    <w:rsid w:val="0054216F"/>
    <w:rsid w:val="00542F18"/>
    <w:rsid w:val="005439C6"/>
    <w:rsid w:val="00544853"/>
    <w:rsid w:val="00544CA5"/>
    <w:rsid w:val="005450E2"/>
    <w:rsid w:val="005459FD"/>
    <w:rsid w:val="00545B19"/>
    <w:rsid w:val="005462D7"/>
    <w:rsid w:val="005470DD"/>
    <w:rsid w:val="005476CE"/>
    <w:rsid w:val="00547BCB"/>
    <w:rsid w:val="0055035F"/>
    <w:rsid w:val="005507FD"/>
    <w:rsid w:val="005511C0"/>
    <w:rsid w:val="005518FE"/>
    <w:rsid w:val="0055232C"/>
    <w:rsid w:val="0055278E"/>
    <w:rsid w:val="005533E8"/>
    <w:rsid w:val="00553C8A"/>
    <w:rsid w:val="00555488"/>
    <w:rsid w:val="0055549A"/>
    <w:rsid w:val="00555B18"/>
    <w:rsid w:val="00555C9C"/>
    <w:rsid w:val="0055641F"/>
    <w:rsid w:val="00556A4D"/>
    <w:rsid w:val="00556B00"/>
    <w:rsid w:val="00556E87"/>
    <w:rsid w:val="00557319"/>
    <w:rsid w:val="0055764E"/>
    <w:rsid w:val="00560528"/>
    <w:rsid w:val="0056081F"/>
    <w:rsid w:val="00561923"/>
    <w:rsid w:val="005622F8"/>
    <w:rsid w:val="0056310A"/>
    <w:rsid w:val="00563236"/>
    <w:rsid w:val="0056336F"/>
    <w:rsid w:val="005636C6"/>
    <w:rsid w:val="00565366"/>
    <w:rsid w:val="00565AF7"/>
    <w:rsid w:val="005663EB"/>
    <w:rsid w:val="00570C34"/>
    <w:rsid w:val="00571020"/>
    <w:rsid w:val="0057189C"/>
    <w:rsid w:val="005719D3"/>
    <w:rsid w:val="00571BD2"/>
    <w:rsid w:val="00571CD7"/>
    <w:rsid w:val="00571D59"/>
    <w:rsid w:val="00572338"/>
    <w:rsid w:val="00572E3E"/>
    <w:rsid w:val="005732E0"/>
    <w:rsid w:val="005738F7"/>
    <w:rsid w:val="0057420B"/>
    <w:rsid w:val="005756C1"/>
    <w:rsid w:val="0057593B"/>
    <w:rsid w:val="0057799B"/>
    <w:rsid w:val="00580280"/>
    <w:rsid w:val="00580B9E"/>
    <w:rsid w:val="0058135A"/>
    <w:rsid w:val="00583358"/>
    <w:rsid w:val="00583726"/>
    <w:rsid w:val="005839BF"/>
    <w:rsid w:val="00584058"/>
    <w:rsid w:val="005844A5"/>
    <w:rsid w:val="005846B4"/>
    <w:rsid w:val="0058483F"/>
    <w:rsid w:val="005850E5"/>
    <w:rsid w:val="005851E0"/>
    <w:rsid w:val="00585571"/>
    <w:rsid w:val="005856F9"/>
    <w:rsid w:val="00585B91"/>
    <w:rsid w:val="00586BF1"/>
    <w:rsid w:val="00587DC4"/>
    <w:rsid w:val="005903E4"/>
    <w:rsid w:val="005907D5"/>
    <w:rsid w:val="005913EE"/>
    <w:rsid w:val="00592461"/>
    <w:rsid w:val="00592B29"/>
    <w:rsid w:val="00592B43"/>
    <w:rsid w:val="00592F2B"/>
    <w:rsid w:val="005950D6"/>
    <w:rsid w:val="0059519C"/>
    <w:rsid w:val="00595524"/>
    <w:rsid w:val="00597221"/>
    <w:rsid w:val="005974F3"/>
    <w:rsid w:val="0059751C"/>
    <w:rsid w:val="00597919"/>
    <w:rsid w:val="005A034E"/>
    <w:rsid w:val="005A0A5B"/>
    <w:rsid w:val="005A0B9F"/>
    <w:rsid w:val="005A0EFC"/>
    <w:rsid w:val="005A1692"/>
    <w:rsid w:val="005A286E"/>
    <w:rsid w:val="005A28BD"/>
    <w:rsid w:val="005A3DC0"/>
    <w:rsid w:val="005A44E7"/>
    <w:rsid w:val="005A5337"/>
    <w:rsid w:val="005A5D8E"/>
    <w:rsid w:val="005A63D8"/>
    <w:rsid w:val="005A6CC1"/>
    <w:rsid w:val="005A7C14"/>
    <w:rsid w:val="005A7C48"/>
    <w:rsid w:val="005A7DBE"/>
    <w:rsid w:val="005A7E1A"/>
    <w:rsid w:val="005B0476"/>
    <w:rsid w:val="005B0DE9"/>
    <w:rsid w:val="005B1482"/>
    <w:rsid w:val="005B152C"/>
    <w:rsid w:val="005B1C64"/>
    <w:rsid w:val="005B1DE8"/>
    <w:rsid w:val="005B2590"/>
    <w:rsid w:val="005B25BC"/>
    <w:rsid w:val="005B2807"/>
    <w:rsid w:val="005B3606"/>
    <w:rsid w:val="005B3BFF"/>
    <w:rsid w:val="005B3DCC"/>
    <w:rsid w:val="005B3E08"/>
    <w:rsid w:val="005B49B6"/>
    <w:rsid w:val="005B56EE"/>
    <w:rsid w:val="005B672C"/>
    <w:rsid w:val="005B747D"/>
    <w:rsid w:val="005B7733"/>
    <w:rsid w:val="005B7A22"/>
    <w:rsid w:val="005C0602"/>
    <w:rsid w:val="005C0D5D"/>
    <w:rsid w:val="005C0D70"/>
    <w:rsid w:val="005C191A"/>
    <w:rsid w:val="005C2AA9"/>
    <w:rsid w:val="005C330D"/>
    <w:rsid w:val="005C40C7"/>
    <w:rsid w:val="005C4114"/>
    <w:rsid w:val="005C4B98"/>
    <w:rsid w:val="005C4EFF"/>
    <w:rsid w:val="005C4F43"/>
    <w:rsid w:val="005D0189"/>
    <w:rsid w:val="005D0B55"/>
    <w:rsid w:val="005D160D"/>
    <w:rsid w:val="005D356C"/>
    <w:rsid w:val="005D4A04"/>
    <w:rsid w:val="005D4ABA"/>
    <w:rsid w:val="005D4CF7"/>
    <w:rsid w:val="005D5347"/>
    <w:rsid w:val="005D5CC5"/>
    <w:rsid w:val="005D5F31"/>
    <w:rsid w:val="005D5FE6"/>
    <w:rsid w:val="005D61EA"/>
    <w:rsid w:val="005D6759"/>
    <w:rsid w:val="005D787B"/>
    <w:rsid w:val="005E031D"/>
    <w:rsid w:val="005E03AC"/>
    <w:rsid w:val="005E04B5"/>
    <w:rsid w:val="005E0D5C"/>
    <w:rsid w:val="005E12BE"/>
    <w:rsid w:val="005E191A"/>
    <w:rsid w:val="005E2C81"/>
    <w:rsid w:val="005E384C"/>
    <w:rsid w:val="005E4D3C"/>
    <w:rsid w:val="005E7158"/>
    <w:rsid w:val="005E7ECB"/>
    <w:rsid w:val="005E7F63"/>
    <w:rsid w:val="005F0C00"/>
    <w:rsid w:val="005F1037"/>
    <w:rsid w:val="005F2BF8"/>
    <w:rsid w:val="005F2EA8"/>
    <w:rsid w:val="005F4E3A"/>
    <w:rsid w:val="005F5573"/>
    <w:rsid w:val="005F5D1D"/>
    <w:rsid w:val="005F60C9"/>
    <w:rsid w:val="005F64C6"/>
    <w:rsid w:val="005F6F05"/>
    <w:rsid w:val="006008F1"/>
    <w:rsid w:val="0060125F"/>
    <w:rsid w:val="00601714"/>
    <w:rsid w:val="00601735"/>
    <w:rsid w:val="00601A07"/>
    <w:rsid w:val="00601F57"/>
    <w:rsid w:val="00602BD2"/>
    <w:rsid w:val="00604980"/>
    <w:rsid w:val="00605BDB"/>
    <w:rsid w:val="0060614D"/>
    <w:rsid w:val="00607C27"/>
    <w:rsid w:val="00607E54"/>
    <w:rsid w:val="0061005A"/>
    <w:rsid w:val="006101C5"/>
    <w:rsid w:val="00610871"/>
    <w:rsid w:val="00610E48"/>
    <w:rsid w:val="0061160D"/>
    <w:rsid w:val="0061286C"/>
    <w:rsid w:val="00612E83"/>
    <w:rsid w:val="00613C47"/>
    <w:rsid w:val="00615086"/>
    <w:rsid w:val="00615B0A"/>
    <w:rsid w:val="00615D40"/>
    <w:rsid w:val="00616201"/>
    <w:rsid w:val="00616225"/>
    <w:rsid w:val="00616917"/>
    <w:rsid w:val="0061705E"/>
    <w:rsid w:val="00617A8B"/>
    <w:rsid w:val="00620C43"/>
    <w:rsid w:val="00621904"/>
    <w:rsid w:val="00622248"/>
    <w:rsid w:val="00622FEA"/>
    <w:rsid w:val="0062344F"/>
    <w:rsid w:val="00623CDF"/>
    <w:rsid w:val="00623DB1"/>
    <w:rsid w:val="00623DB4"/>
    <w:rsid w:val="006245F3"/>
    <w:rsid w:val="00624DBE"/>
    <w:rsid w:val="00625450"/>
    <w:rsid w:val="0062624F"/>
    <w:rsid w:val="006319C1"/>
    <w:rsid w:val="006319CA"/>
    <w:rsid w:val="00632D91"/>
    <w:rsid w:val="00633B3E"/>
    <w:rsid w:val="00634B64"/>
    <w:rsid w:val="00634EC0"/>
    <w:rsid w:val="006351C3"/>
    <w:rsid w:val="0063627F"/>
    <w:rsid w:val="0063642A"/>
    <w:rsid w:val="0063736E"/>
    <w:rsid w:val="006376C4"/>
    <w:rsid w:val="006378DC"/>
    <w:rsid w:val="0064009E"/>
    <w:rsid w:val="006403E7"/>
    <w:rsid w:val="00642D72"/>
    <w:rsid w:val="006443CB"/>
    <w:rsid w:val="006448B8"/>
    <w:rsid w:val="00644F80"/>
    <w:rsid w:val="00645874"/>
    <w:rsid w:val="006458E5"/>
    <w:rsid w:val="00646E5D"/>
    <w:rsid w:val="006472B4"/>
    <w:rsid w:val="00650B30"/>
    <w:rsid w:val="00650F81"/>
    <w:rsid w:val="00650FC7"/>
    <w:rsid w:val="006531B0"/>
    <w:rsid w:val="00653C24"/>
    <w:rsid w:val="00653D68"/>
    <w:rsid w:val="00654275"/>
    <w:rsid w:val="0065446D"/>
    <w:rsid w:val="00654894"/>
    <w:rsid w:val="00656067"/>
    <w:rsid w:val="00657381"/>
    <w:rsid w:val="0065746B"/>
    <w:rsid w:val="00660693"/>
    <w:rsid w:val="00660D86"/>
    <w:rsid w:val="006611D6"/>
    <w:rsid w:val="00661918"/>
    <w:rsid w:val="006623F6"/>
    <w:rsid w:val="00662A5A"/>
    <w:rsid w:val="0066335C"/>
    <w:rsid w:val="006636D0"/>
    <w:rsid w:val="00663834"/>
    <w:rsid w:val="006647D7"/>
    <w:rsid w:val="00664F1B"/>
    <w:rsid w:val="006653D7"/>
    <w:rsid w:val="00665BFF"/>
    <w:rsid w:val="006665BA"/>
    <w:rsid w:val="00666A4F"/>
    <w:rsid w:val="00666B7F"/>
    <w:rsid w:val="00666DEC"/>
    <w:rsid w:val="00667477"/>
    <w:rsid w:val="00670094"/>
    <w:rsid w:val="006703D9"/>
    <w:rsid w:val="00670ADE"/>
    <w:rsid w:val="006714B8"/>
    <w:rsid w:val="00671C51"/>
    <w:rsid w:val="00672DFC"/>
    <w:rsid w:val="00672F5B"/>
    <w:rsid w:val="00673BD7"/>
    <w:rsid w:val="00673DEE"/>
    <w:rsid w:val="006744F6"/>
    <w:rsid w:val="006745F8"/>
    <w:rsid w:val="00674E69"/>
    <w:rsid w:val="0067553E"/>
    <w:rsid w:val="00675A33"/>
    <w:rsid w:val="0067602A"/>
    <w:rsid w:val="00676070"/>
    <w:rsid w:val="006763ED"/>
    <w:rsid w:val="00676433"/>
    <w:rsid w:val="0067720F"/>
    <w:rsid w:val="0067738E"/>
    <w:rsid w:val="00677F23"/>
    <w:rsid w:val="00680936"/>
    <w:rsid w:val="00680BBE"/>
    <w:rsid w:val="00680D8C"/>
    <w:rsid w:val="00680D99"/>
    <w:rsid w:val="00680E4E"/>
    <w:rsid w:val="006821B2"/>
    <w:rsid w:val="00682725"/>
    <w:rsid w:val="00682A1B"/>
    <w:rsid w:val="00682D73"/>
    <w:rsid w:val="00682ED3"/>
    <w:rsid w:val="006843F8"/>
    <w:rsid w:val="006846E8"/>
    <w:rsid w:val="0068541E"/>
    <w:rsid w:val="00685E9D"/>
    <w:rsid w:val="00685EBD"/>
    <w:rsid w:val="0068605C"/>
    <w:rsid w:val="006861AC"/>
    <w:rsid w:val="006861C3"/>
    <w:rsid w:val="0068639D"/>
    <w:rsid w:val="00686AF3"/>
    <w:rsid w:val="00690F1F"/>
    <w:rsid w:val="006915BD"/>
    <w:rsid w:val="00691A6B"/>
    <w:rsid w:val="00692582"/>
    <w:rsid w:val="00692592"/>
    <w:rsid w:val="00692A2F"/>
    <w:rsid w:val="0069322C"/>
    <w:rsid w:val="00693652"/>
    <w:rsid w:val="006939E7"/>
    <w:rsid w:val="00693D3E"/>
    <w:rsid w:val="006942F7"/>
    <w:rsid w:val="006956FB"/>
    <w:rsid w:val="00695BC7"/>
    <w:rsid w:val="006969AD"/>
    <w:rsid w:val="00696F7B"/>
    <w:rsid w:val="0069796F"/>
    <w:rsid w:val="006A01FB"/>
    <w:rsid w:val="006A1093"/>
    <w:rsid w:val="006A1D3D"/>
    <w:rsid w:val="006A2150"/>
    <w:rsid w:val="006A2216"/>
    <w:rsid w:val="006A241D"/>
    <w:rsid w:val="006A3288"/>
    <w:rsid w:val="006A43E6"/>
    <w:rsid w:val="006A4442"/>
    <w:rsid w:val="006A4AEE"/>
    <w:rsid w:val="006A526F"/>
    <w:rsid w:val="006A70BE"/>
    <w:rsid w:val="006A7934"/>
    <w:rsid w:val="006B0001"/>
    <w:rsid w:val="006B04AF"/>
    <w:rsid w:val="006B059F"/>
    <w:rsid w:val="006B0939"/>
    <w:rsid w:val="006B0A56"/>
    <w:rsid w:val="006B2048"/>
    <w:rsid w:val="006B20A6"/>
    <w:rsid w:val="006B32D5"/>
    <w:rsid w:val="006B342E"/>
    <w:rsid w:val="006B3812"/>
    <w:rsid w:val="006B3B80"/>
    <w:rsid w:val="006B6870"/>
    <w:rsid w:val="006B6F32"/>
    <w:rsid w:val="006B7130"/>
    <w:rsid w:val="006B73CC"/>
    <w:rsid w:val="006B7695"/>
    <w:rsid w:val="006B7C0F"/>
    <w:rsid w:val="006C0176"/>
    <w:rsid w:val="006C2994"/>
    <w:rsid w:val="006C35EC"/>
    <w:rsid w:val="006C4150"/>
    <w:rsid w:val="006C4382"/>
    <w:rsid w:val="006C5683"/>
    <w:rsid w:val="006C5E33"/>
    <w:rsid w:val="006C5E48"/>
    <w:rsid w:val="006C6434"/>
    <w:rsid w:val="006C6984"/>
    <w:rsid w:val="006C6CD8"/>
    <w:rsid w:val="006C70BB"/>
    <w:rsid w:val="006C7528"/>
    <w:rsid w:val="006C7EB1"/>
    <w:rsid w:val="006D013F"/>
    <w:rsid w:val="006D017F"/>
    <w:rsid w:val="006D08BD"/>
    <w:rsid w:val="006D0F8E"/>
    <w:rsid w:val="006D1414"/>
    <w:rsid w:val="006D1416"/>
    <w:rsid w:val="006D1D3F"/>
    <w:rsid w:val="006D253B"/>
    <w:rsid w:val="006D325A"/>
    <w:rsid w:val="006D407B"/>
    <w:rsid w:val="006D4242"/>
    <w:rsid w:val="006D44E6"/>
    <w:rsid w:val="006D45F0"/>
    <w:rsid w:val="006D4C8F"/>
    <w:rsid w:val="006D52A0"/>
    <w:rsid w:val="006D57CB"/>
    <w:rsid w:val="006D5819"/>
    <w:rsid w:val="006D5E6F"/>
    <w:rsid w:val="006D693F"/>
    <w:rsid w:val="006D6CDD"/>
    <w:rsid w:val="006D7604"/>
    <w:rsid w:val="006D765E"/>
    <w:rsid w:val="006E03D1"/>
    <w:rsid w:val="006E0455"/>
    <w:rsid w:val="006E150D"/>
    <w:rsid w:val="006E3289"/>
    <w:rsid w:val="006E33E4"/>
    <w:rsid w:val="006E4238"/>
    <w:rsid w:val="006E5F01"/>
    <w:rsid w:val="006E5F88"/>
    <w:rsid w:val="006E7404"/>
    <w:rsid w:val="006E7A36"/>
    <w:rsid w:val="006E7B97"/>
    <w:rsid w:val="006F12C8"/>
    <w:rsid w:val="006F1DE7"/>
    <w:rsid w:val="006F1EA3"/>
    <w:rsid w:val="006F2627"/>
    <w:rsid w:val="006F2BF8"/>
    <w:rsid w:val="006F31E2"/>
    <w:rsid w:val="006F3568"/>
    <w:rsid w:val="006F40AD"/>
    <w:rsid w:val="006F4A5F"/>
    <w:rsid w:val="006F4D7B"/>
    <w:rsid w:val="006F524D"/>
    <w:rsid w:val="006F6360"/>
    <w:rsid w:val="006F6436"/>
    <w:rsid w:val="006F65C5"/>
    <w:rsid w:val="006F687A"/>
    <w:rsid w:val="006F68EF"/>
    <w:rsid w:val="006F6D38"/>
    <w:rsid w:val="006F6D4C"/>
    <w:rsid w:val="006F6E67"/>
    <w:rsid w:val="006F7157"/>
    <w:rsid w:val="006F78E0"/>
    <w:rsid w:val="00701210"/>
    <w:rsid w:val="00702428"/>
    <w:rsid w:val="00702B1B"/>
    <w:rsid w:val="00702ED6"/>
    <w:rsid w:val="007032B3"/>
    <w:rsid w:val="00703C62"/>
    <w:rsid w:val="00704164"/>
    <w:rsid w:val="007044BF"/>
    <w:rsid w:val="00706388"/>
    <w:rsid w:val="00706A58"/>
    <w:rsid w:val="00707517"/>
    <w:rsid w:val="007078ED"/>
    <w:rsid w:val="00710187"/>
    <w:rsid w:val="007110E1"/>
    <w:rsid w:val="007115CE"/>
    <w:rsid w:val="00711B18"/>
    <w:rsid w:val="00714394"/>
    <w:rsid w:val="00714ED6"/>
    <w:rsid w:val="007151B7"/>
    <w:rsid w:val="007153FC"/>
    <w:rsid w:val="00715E8D"/>
    <w:rsid w:val="0071648F"/>
    <w:rsid w:val="00716D8A"/>
    <w:rsid w:val="00717854"/>
    <w:rsid w:val="00720CCE"/>
    <w:rsid w:val="00721C26"/>
    <w:rsid w:val="00721F7E"/>
    <w:rsid w:val="00722C0F"/>
    <w:rsid w:val="00722E29"/>
    <w:rsid w:val="00723ECB"/>
    <w:rsid w:val="00724606"/>
    <w:rsid w:val="00724A36"/>
    <w:rsid w:val="00724A60"/>
    <w:rsid w:val="00724E85"/>
    <w:rsid w:val="00725113"/>
    <w:rsid w:val="0072525D"/>
    <w:rsid w:val="00725A26"/>
    <w:rsid w:val="00726E8A"/>
    <w:rsid w:val="00727047"/>
    <w:rsid w:val="00727C5E"/>
    <w:rsid w:val="00734510"/>
    <w:rsid w:val="00734887"/>
    <w:rsid w:val="00736530"/>
    <w:rsid w:val="007365B6"/>
    <w:rsid w:val="007373C8"/>
    <w:rsid w:val="007401E2"/>
    <w:rsid w:val="00740205"/>
    <w:rsid w:val="00740D67"/>
    <w:rsid w:val="007411E5"/>
    <w:rsid w:val="00741605"/>
    <w:rsid w:val="00742AD3"/>
    <w:rsid w:val="00742F72"/>
    <w:rsid w:val="00743319"/>
    <w:rsid w:val="007436F2"/>
    <w:rsid w:val="0074436D"/>
    <w:rsid w:val="007446DA"/>
    <w:rsid w:val="007462C2"/>
    <w:rsid w:val="00746772"/>
    <w:rsid w:val="00746951"/>
    <w:rsid w:val="00746F65"/>
    <w:rsid w:val="00746FFF"/>
    <w:rsid w:val="007472C3"/>
    <w:rsid w:val="0074791E"/>
    <w:rsid w:val="0075028E"/>
    <w:rsid w:val="00750948"/>
    <w:rsid w:val="0075115D"/>
    <w:rsid w:val="00751A33"/>
    <w:rsid w:val="00751F77"/>
    <w:rsid w:val="00752C5F"/>
    <w:rsid w:val="00753890"/>
    <w:rsid w:val="007555DF"/>
    <w:rsid w:val="007569DC"/>
    <w:rsid w:val="00756D6A"/>
    <w:rsid w:val="0075711E"/>
    <w:rsid w:val="007579F2"/>
    <w:rsid w:val="007602CB"/>
    <w:rsid w:val="00761434"/>
    <w:rsid w:val="00761FD5"/>
    <w:rsid w:val="007620C9"/>
    <w:rsid w:val="00762372"/>
    <w:rsid w:val="00762BB6"/>
    <w:rsid w:val="0076341D"/>
    <w:rsid w:val="0076446D"/>
    <w:rsid w:val="007647EF"/>
    <w:rsid w:val="0076542B"/>
    <w:rsid w:val="00765DD8"/>
    <w:rsid w:val="00766B33"/>
    <w:rsid w:val="00766D36"/>
    <w:rsid w:val="007671DC"/>
    <w:rsid w:val="00767607"/>
    <w:rsid w:val="00767ACD"/>
    <w:rsid w:val="00767C0D"/>
    <w:rsid w:val="00767E70"/>
    <w:rsid w:val="007705B5"/>
    <w:rsid w:val="00770B08"/>
    <w:rsid w:val="007720B8"/>
    <w:rsid w:val="0077247C"/>
    <w:rsid w:val="0077270D"/>
    <w:rsid w:val="00773874"/>
    <w:rsid w:val="007738D5"/>
    <w:rsid w:val="00774B47"/>
    <w:rsid w:val="00775D3B"/>
    <w:rsid w:val="0077615A"/>
    <w:rsid w:val="00777483"/>
    <w:rsid w:val="007806A0"/>
    <w:rsid w:val="00782346"/>
    <w:rsid w:val="007828DB"/>
    <w:rsid w:val="007838CD"/>
    <w:rsid w:val="007840F3"/>
    <w:rsid w:val="00784EC7"/>
    <w:rsid w:val="00785491"/>
    <w:rsid w:val="007858C0"/>
    <w:rsid w:val="00785C4E"/>
    <w:rsid w:val="00786128"/>
    <w:rsid w:val="00786550"/>
    <w:rsid w:val="0078679A"/>
    <w:rsid w:val="007871FE"/>
    <w:rsid w:val="007902AD"/>
    <w:rsid w:val="00790606"/>
    <w:rsid w:val="007908ED"/>
    <w:rsid w:val="00790F74"/>
    <w:rsid w:val="007912E8"/>
    <w:rsid w:val="00792288"/>
    <w:rsid w:val="00792447"/>
    <w:rsid w:val="007928C6"/>
    <w:rsid w:val="007929C0"/>
    <w:rsid w:val="007951F4"/>
    <w:rsid w:val="00795BF6"/>
    <w:rsid w:val="0079694C"/>
    <w:rsid w:val="00796F99"/>
    <w:rsid w:val="00797AF9"/>
    <w:rsid w:val="00797FBD"/>
    <w:rsid w:val="007A0187"/>
    <w:rsid w:val="007A19AC"/>
    <w:rsid w:val="007A2640"/>
    <w:rsid w:val="007A268F"/>
    <w:rsid w:val="007A4A53"/>
    <w:rsid w:val="007A4C93"/>
    <w:rsid w:val="007A4E17"/>
    <w:rsid w:val="007A5936"/>
    <w:rsid w:val="007A5AC6"/>
    <w:rsid w:val="007A6A01"/>
    <w:rsid w:val="007A7D0A"/>
    <w:rsid w:val="007A7F6D"/>
    <w:rsid w:val="007B04A8"/>
    <w:rsid w:val="007B0799"/>
    <w:rsid w:val="007B0FBD"/>
    <w:rsid w:val="007B1BAF"/>
    <w:rsid w:val="007B2393"/>
    <w:rsid w:val="007B2FE8"/>
    <w:rsid w:val="007B30DB"/>
    <w:rsid w:val="007B30F2"/>
    <w:rsid w:val="007B35F7"/>
    <w:rsid w:val="007B4DD5"/>
    <w:rsid w:val="007B4F72"/>
    <w:rsid w:val="007B5148"/>
    <w:rsid w:val="007B5A16"/>
    <w:rsid w:val="007B64D8"/>
    <w:rsid w:val="007B660D"/>
    <w:rsid w:val="007B7219"/>
    <w:rsid w:val="007C03FE"/>
    <w:rsid w:val="007C0E04"/>
    <w:rsid w:val="007C17D3"/>
    <w:rsid w:val="007C1E98"/>
    <w:rsid w:val="007C1FA2"/>
    <w:rsid w:val="007C2823"/>
    <w:rsid w:val="007C2827"/>
    <w:rsid w:val="007C3536"/>
    <w:rsid w:val="007C3A26"/>
    <w:rsid w:val="007C4032"/>
    <w:rsid w:val="007C4CE1"/>
    <w:rsid w:val="007C537A"/>
    <w:rsid w:val="007C563F"/>
    <w:rsid w:val="007C57D1"/>
    <w:rsid w:val="007C6B3E"/>
    <w:rsid w:val="007C6F13"/>
    <w:rsid w:val="007C7130"/>
    <w:rsid w:val="007C74E5"/>
    <w:rsid w:val="007C7DAB"/>
    <w:rsid w:val="007C7F57"/>
    <w:rsid w:val="007D0348"/>
    <w:rsid w:val="007D0E43"/>
    <w:rsid w:val="007D13E7"/>
    <w:rsid w:val="007D153B"/>
    <w:rsid w:val="007D1E37"/>
    <w:rsid w:val="007D358B"/>
    <w:rsid w:val="007D4624"/>
    <w:rsid w:val="007D563E"/>
    <w:rsid w:val="007D5A49"/>
    <w:rsid w:val="007D5FC1"/>
    <w:rsid w:val="007D6E81"/>
    <w:rsid w:val="007D6EB6"/>
    <w:rsid w:val="007D715A"/>
    <w:rsid w:val="007D789C"/>
    <w:rsid w:val="007E0161"/>
    <w:rsid w:val="007E08DB"/>
    <w:rsid w:val="007E0B17"/>
    <w:rsid w:val="007E0D90"/>
    <w:rsid w:val="007E0E9E"/>
    <w:rsid w:val="007E0EBF"/>
    <w:rsid w:val="007E12DC"/>
    <w:rsid w:val="007E1760"/>
    <w:rsid w:val="007E21FB"/>
    <w:rsid w:val="007E3B9D"/>
    <w:rsid w:val="007E3EE9"/>
    <w:rsid w:val="007E420B"/>
    <w:rsid w:val="007E46BC"/>
    <w:rsid w:val="007E4932"/>
    <w:rsid w:val="007E4CAD"/>
    <w:rsid w:val="007E502C"/>
    <w:rsid w:val="007E516A"/>
    <w:rsid w:val="007E5BD7"/>
    <w:rsid w:val="007E6761"/>
    <w:rsid w:val="007E75F0"/>
    <w:rsid w:val="007E7968"/>
    <w:rsid w:val="007E7992"/>
    <w:rsid w:val="007E79C4"/>
    <w:rsid w:val="007F013A"/>
    <w:rsid w:val="007F0730"/>
    <w:rsid w:val="007F1D54"/>
    <w:rsid w:val="007F20A0"/>
    <w:rsid w:val="007F2A15"/>
    <w:rsid w:val="007F2D90"/>
    <w:rsid w:val="007F321F"/>
    <w:rsid w:val="007F3D9B"/>
    <w:rsid w:val="007F3F6F"/>
    <w:rsid w:val="007F48A9"/>
    <w:rsid w:val="007F4A1F"/>
    <w:rsid w:val="007F4E28"/>
    <w:rsid w:val="007F4E6E"/>
    <w:rsid w:val="007F4F82"/>
    <w:rsid w:val="007F6D96"/>
    <w:rsid w:val="007F7CFA"/>
    <w:rsid w:val="0080033E"/>
    <w:rsid w:val="00801D7A"/>
    <w:rsid w:val="008020F2"/>
    <w:rsid w:val="00802462"/>
    <w:rsid w:val="008036FC"/>
    <w:rsid w:val="00803F74"/>
    <w:rsid w:val="00804653"/>
    <w:rsid w:val="00804C48"/>
    <w:rsid w:val="0080505A"/>
    <w:rsid w:val="00805478"/>
    <w:rsid w:val="00806639"/>
    <w:rsid w:val="008066AC"/>
    <w:rsid w:val="00806A84"/>
    <w:rsid w:val="008073A4"/>
    <w:rsid w:val="00807C6C"/>
    <w:rsid w:val="00807C7A"/>
    <w:rsid w:val="008101E4"/>
    <w:rsid w:val="008115ED"/>
    <w:rsid w:val="00811A42"/>
    <w:rsid w:val="0081254B"/>
    <w:rsid w:val="008132BB"/>
    <w:rsid w:val="0081340B"/>
    <w:rsid w:val="00813788"/>
    <w:rsid w:val="00813F40"/>
    <w:rsid w:val="00814FED"/>
    <w:rsid w:val="00815822"/>
    <w:rsid w:val="00815B93"/>
    <w:rsid w:val="00815BA2"/>
    <w:rsid w:val="00816585"/>
    <w:rsid w:val="00816AD2"/>
    <w:rsid w:val="00817364"/>
    <w:rsid w:val="00817BB4"/>
    <w:rsid w:val="00817E4F"/>
    <w:rsid w:val="00820667"/>
    <w:rsid w:val="00820F5B"/>
    <w:rsid w:val="00821021"/>
    <w:rsid w:val="00821251"/>
    <w:rsid w:val="008214BB"/>
    <w:rsid w:val="00821B58"/>
    <w:rsid w:val="00822136"/>
    <w:rsid w:val="00822D4E"/>
    <w:rsid w:val="00822FBA"/>
    <w:rsid w:val="0082398C"/>
    <w:rsid w:val="00824FAD"/>
    <w:rsid w:val="00824FF1"/>
    <w:rsid w:val="00825196"/>
    <w:rsid w:val="008256AC"/>
    <w:rsid w:val="00826173"/>
    <w:rsid w:val="00826F4C"/>
    <w:rsid w:val="008302D6"/>
    <w:rsid w:val="008305FD"/>
    <w:rsid w:val="00831573"/>
    <w:rsid w:val="008318E5"/>
    <w:rsid w:val="00833946"/>
    <w:rsid w:val="00833C51"/>
    <w:rsid w:val="008349A6"/>
    <w:rsid w:val="00835271"/>
    <w:rsid w:val="00835679"/>
    <w:rsid w:val="008360DF"/>
    <w:rsid w:val="008365D4"/>
    <w:rsid w:val="0083731C"/>
    <w:rsid w:val="008377DA"/>
    <w:rsid w:val="00837BD7"/>
    <w:rsid w:val="008403A7"/>
    <w:rsid w:val="00840591"/>
    <w:rsid w:val="0084119A"/>
    <w:rsid w:val="00841F21"/>
    <w:rsid w:val="00842991"/>
    <w:rsid w:val="008429B0"/>
    <w:rsid w:val="00843900"/>
    <w:rsid w:val="00844C5B"/>
    <w:rsid w:val="00845083"/>
    <w:rsid w:val="0084581F"/>
    <w:rsid w:val="00845898"/>
    <w:rsid w:val="00845A15"/>
    <w:rsid w:val="0084632F"/>
    <w:rsid w:val="00851810"/>
    <w:rsid w:val="00852528"/>
    <w:rsid w:val="008541F1"/>
    <w:rsid w:val="008543F7"/>
    <w:rsid w:val="008545DC"/>
    <w:rsid w:val="00854A7E"/>
    <w:rsid w:val="00854A98"/>
    <w:rsid w:val="00855209"/>
    <w:rsid w:val="00855B06"/>
    <w:rsid w:val="00856B95"/>
    <w:rsid w:val="00856D1A"/>
    <w:rsid w:val="00857D29"/>
    <w:rsid w:val="0086161C"/>
    <w:rsid w:val="0086225C"/>
    <w:rsid w:val="008629A8"/>
    <w:rsid w:val="00863225"/>
    <w:rsid w:val="00863ADA"/>
    <w:rsid w:val="00864BF6"/>
    <w:rsid w:val="00865266"/>
    <w:rsid w:val="00865BAA"/>
    <w:rsid w:val="008677CB"/>
    <w:rsid w:val="0087056E"/>
    <w:rsid w:val="00870CB6"/>
    <w:rsid w:val="00870CC5"/>
    <w:rsid w:val="00870DD7"/>
    <w:rsid w:val="008737AE"/>
    <w:rsid w:val="00873F17"/>
    <w:rsid w:val="00873FEA"/>
    <w:rsid w:val="0087419B"/>
    <w:rsid w:val="00874592"/>
    <w:rsid w:val="008750AF"/>
    <w:rsid w:val="008751C1"/>
    <w:rsid w:val="00876C1B"/>
    <w:rsid w:val="00876E70"/>
    <w:rsid w:val="008804E1"/>
    <w:rsid w:val="00880ABB"/>
    <w:rsid w:val="00880E30"/>
    <w:rsid w:val="008815B6"/>
    <w:rsid w:val="008818F6"/>
    <w:rsid w:val="00881D45"/>
    <w:rsid w:val="008829F8"/>
    <w:rsid w:val="0088398E"/>
    <w:rsid w:val="00883C2A"/>
    <w:rsid w:val="00885182"/>
    <w:rsid w:val="0088647E"/>
    <w:rsid w:val="00887E02"/>
    <w:rsid w:val="00890382"/>
    <w:rsid w:val="0089046A"/>
    <w:rsid w:val="00891106"/>
    <w:rsid w:val="008916CB"/>
    <w:rsid w:val="0089189B"/>
    <w:rsid w:val="00892833"/>
    <w:rsid w:val="00893479"/>
    <w:rsid w:val="0089375D"/>
    <w:rsid w:val="008943CB"/>
    <w:rsid w:val="008946B9"/>
    <w:rsid w:val="008960A2"/>
    <w:rsid w:val="00896376"/>
    <w:rsid w:val="00896E62"/>
    <w:rsid w:val="008979BC"/>
    <w:rsid w:val="008A056E"/>
    <w:rsid w:val="008A0882"/>
    <w:rsid w:val="008A10C1"/>
    <w:rsid w:val="008A181A"/>
    <w:rsid w:val="008A1A6F"/>
    <w:rsid w:val="008A1C47"/>
    <w:rsid w:val="008A2289"/>
    <w:rsid w:val="008A26F5"/>
    <w:rsid w:val="008A3766"/>
    <w:rsid w:val="008A3F08"/>
    <w:rsid w:val="008A4F66"/>
    <w:rsid w:val="008A525C"/>
    <w:rsid w:val="008A5290"/>
    <w:rsid w:val="008A593A"/>
    <w:rsid w:val="008A6A60"/>
    <w:rsid w:val="008A6B89"/>
    <w:rsid w:val="008A6C5A"/>
    <w:rsid w:val="008A6CCA"/>
    <w:rsid w:val="008B1417"/>
    <w:rsid w:val="008B1B85"/>
    <w:rsid w:val="008B1B8C"/>
    <w:rsid w:val="008B2170"/>
    <w:rsid w:val="008B25B1"/>
    <w:rsid w:val="008B2C59"/>
    <w:rsid w:val="008B2DF3"/>
    <w:rsid w:val="008B353B"/>
    <w:rsid w:val="008B3761"/>
    <w:rsid w:val="008B376A"/>
    <w:rsid w:val="008B444E"/>
    <w:rsid w:val="008B569F"/>
    <w:rsid w:val="008B71B6"/>
    <w:rsid w:val="008B7220"/>
    <w:rsid w:val="008C0669"/>
    <w:rsid w:val="008C08A5"/>
    <w:rsid w:val="008C1DD7"/>
    <w:rsid w:val="008C26FA"/>
    <w:rsid w:val="008C36BB"/>
    <w:rsid w:val="008C38A4"/>
    <w:rsid w:val="008C4566"/>
    <w:rsid w:val="008C46B6"/>
    <w:rsid w:val="008C46C3"/>
    <w:rsid w:val="008C522A"/>
    <w:rsid w:val="008C5E71"/>
    <w:rsid w:val="008C64E3"/>
    <w:rsid w:val="008C6A8B"/>
    <w:rsid w:val="008C7409"/>
    <w:rsid w:val="008C77F7"/>
    <w:rsid w:val="008D00EA"/>
    <w:rsid w:val="008D0D1E"/>
    <w:rsid w:val="008D1175"/>
    <w:rsid w:val="008D13C7"/>
    <w:rsid w:val="008D1627"/>
    <w:rsid w:val="008D1DA0"/>
    <w:rsid w:val="008D284E"/>
    <w:rsid w:val="008D3E1A"/>
    <w:rsid w:val="008D4D90"/>
    <w:rsid w:val="008D4ED3"/>
    <w:rsid w:val="008D54BF"/>
    <w:rsid w:val="008D5DC6"/>
    <w:rsid w:val="008D6A11"/>
    <w:rsid w:val="008E0D4B"/>
    <w:rsid w:val="008E1A5C"/>
    <w:rsid w:val="008E1C27"/>
    <w:rsid w:val="008E1E54"/>
    <w:rsid w:val="008E2057"/>
    <w:rsid w:val="008E264D"/>
    <w:rsid w:val="008E2DA6"/>
    <w:rsid w:val="008E31EC"/>
    <w:rsid w:val="008E3512"/>
    <w:rsid w:val="008E3C88"/>
    <w:rsid w:val="008E4E17"/>
    <w:rsid w:val="008E5337"/>
    <w:rsid w:val="008E610D"/>
    <w:rsid w:val="008E6F8D"/>
    <w:rsid w:val="008E78F2"/>
    <w:rsid w:val="008E7B12"/>
    <w:rsid w:val="008F022C"/>
    <w:rsid w:val="008F0377"/>
    <w:rsid w:val="008F0E38"/>
    <w:rsid w:val="008F2A60"/>
    <w:rsid w:val="008F310D"/>
    <w:rsid w:val="008F3758"/>
    <w:rsid w:val="008F3888"/>
    <w:rsid w:val="008F3A90"/>
    <w:rsid w:val="008F3B22"/>
    <w:rsid w:val="008F43C7"/>
    <w:rsid w:val="008F4823"/>
    <w:rsid w:val="008F551B"/>
    <w:rsid w:val="008F606D"/>
    <w:rsid w:val="008F6597"/>
    <w:rsid w:val="008F7150"/>
    <w:rsid w:val="008F71CC"/>
    <w:rsid w:val="008F721C"/>
    <w:rsid w:val="008F757D"/>
    <w:rsid w:val="00900662"/>
    <w:rsid w:val="00900BFF"/>
    <w:rsid w:val="00901953"/>
    <w:rsid w:val="00901DF8"/>
    <w:rsid w:val="00902166"/>
    <w:rsid w:val="00902A0C"/>
    <w:rsid w:val="009040A1"/>
    <w:rsid w:val="009043AA"/>
    <w:rsid w:val="0090473B"/>
    <w:rsid w:val="0090487F"/>
    <w:rsid w:val="00904A1E"/>
    <w:rsid w:val="00905282"/>
    <w:rsid w:val="0090574B"/>
    <w:rsid w:val="00905908"/>
    <w:rsid w:val="00905F22"/>
    <w:rsid w:val="00906C96"/>
    <w:rsid w:val="009075A4"/>
    <w:rsid w:val="009101AF"/>
    <w:rsid w:val="00910400"/>
    <w:rsid w:val="00911808"/>
    <w:rsid w:val="00911DF3"/>
    <w:rsid w:val="00912F37"/>
    <w:rsid w:val="009131C8"/>
    <w:rsid w:val="009145FB"/>
    <w:rsid w:val="00914811"/>
    <w:rsid w:val="00915283"/>
    <w:rsid w:val="00915786"/>
    <w:rsid w:val="00917141"/>
    <w:rsid w:val="0091746C"/>
    <w:rsid w:val="00917D06"/>
    <w:rsid w:val="009207DB"/>
    <w:rsid w:val="00921879"/>
    <w:rsid w:val="00922024"/>
    <w:rsid w:val="00922A45"/>
    <w:rsid w:val="009233CE"/>
    <w:rsid w:val="00923C3F"/>
    <w:rsid w:val="00924853"/>
    <w:rsid w:val="009252E0"/>
    <w:rsid w:val="00925501"/>
    <w:rsid w:val="00926982"/>
    <w:rsid w:val="00926B5A"/>
    <w:rsid w:val="00926D4C"/>
    <w:rsid w:val="009270C4"/>
    <w:rsid w:val="00931743"/>
    <w:rsid w:val="00931AF8"/>
    <w:rsid w:val="009325F7"/>
    <w:rsid w:val="00932BCF"/>
    <w:rsid w:val="00933396"/>
    <w:rsid w:val="00933761"/>
    <w:rsid w:val="00934D73"/>
    <w:rsid w:val="00935042"/>
    <w:rsid w:val="00936CC6"/>
    <w:rsid w:val="0093740F"/>
    <w:rsid w:val="00937B4A"/>
    <w:rsid w:val="00937BE9"/>
    <w:rsid w:val="00937C1D"/>
    <w:rsid w:val="00940804"/>
    <w:rsid w:val="00940E9B"/>
    <w:rsid w:val="00940FC3"/>
    <w:rsid w:val="009410B3"/>
    <w:rsid w:val="0094131D"/>
    <w:rsid w:val="0094166C"/>
    <w:rsid w:val="00941D3B"/>
    <w:rsid w:val="00942120"/>
    <w:rsid w:val="009425F7"/>
    <w:rsid w:val="00943827"/>
    <w:rsid w:val="00943BC0"/>
    <w:rsid w:val="00943E23"/>
    <w:rsid w:val="00944BF0"/>
    <w:rsid w:val="00944F29"/>
    <w:rsid w:val="00946136"/>
    <w:rsid w:val="00946CD9"/>
    <w:rsid w:val="00947046"/>
    <w:rsid w:val="00947A00"/>
    <w:rsid w:val="009505F4"/>
    <w:rsid w:val="00951216"/>
    <w:rsid w:val="0095279B"/>
    <w:rsid w:val="00953006"/>
    <w:rsid w:val="0095316C"/>
    <w:rsid w:val="00954282"/>
    <w:rsid w:val="00954427"/>
    <w:rsid w:val="009545B9"/>
    <w:rsid w:val="009564ED"/>
    <w:rsid w:val="00956CA2"/>
    <w:rsid w:val="00960310"/>
    <w:rsid w:val="00960385"/>
    <w:rsid w:val="0096079B"/>
    <w:rsid w:val="00960CA9"/>
    <w:rsid w:val="00961D3A"/>
    <w:rsid w:val="0096218D"/>
    <w:rsid w:val="00964509"/>
    <w:rsid w:val="00964525"/>
    <w:rsid w:val="0096501B"/>
    <w:rsid w:val="0096627F"/>
    <w:rsid w:val="0096662B"/>
    <w:rsid w:val="009666AF"/>
    <w:rsid w:val="00966D65"/>
    <w:rsid w:val="00967180"/>
    <w:rsid w:val="0096797D"/>
    <w:rsid w:val="00967B7F"/>
    <w:rsid w:val="00970704"/>
    <w:rsid w:val="00970B65"/>
    <w:rsid w:val="00971127"/>
    <w:rsid w:val="0097119E"/>
    <w:rsid w:val="00971E87"/>
    <w:rsid w:val="00971EB0"/>
    <w:rsid w:val="0097272C"/>
    <w:rsid w:val="009734B8"/>
    <w:rsid w:val="00973514"/>
    <w:rsid w:val="009741E7"/>
    <w:rsid w:val="00974EEC"/>
    <w:rsid w:val="00975B47"/>
    <w:rsid w:val="00975C75"/>
    <w:rsid w:val="00975E5B"/>
    <w:rsid w:val="0097681E"/>
    <w:rsid w:val="00977506"/>
    <w:rsid w:val="0098177A"/>
    <w:rsid w:val="00982633"/>
    <w:rsid w:val="00983583"/>
    <w:rsid w:val="00983EFD"/>
    <w:rsid w:val="009855B0"/>
    <w:rsid w:val="009859A8"/>
    <w:rsid w:val="00985A7D"/>
    <w:rsid w:val="00986257"/>
    <w:rsid w:val="0098658A"/>
    <w:rsid w:val="00986861"/>
    <w:rsid w:val="00987CBC"/>
    <w:rsid w:val="00990E34"/>
    <w:rsid w:val="00991EB0"/>
    <w:rsid w:val="0099212B"/>
    <w:rsid w:val="0099245F"/>
    <w:rsid w:val="009928FA"/>
    <w:rsid w:val="009937B4"/>
    <w:rsid w:val="009940B6"/>
    <w:rsid w:val="00994B5F"/>
    <w:rsid w:val="00995768"/>
    <w:rsid w:val="00996326"/>
    <w:rsid w:val="00996B7D"/>
    <w:rsid w:val="00996F95"/>
    <w:rsid w:val="009976A3"/>
    <w:rsid w:val="00997745"/>
    <w:rsid w:val="00997EA5"/>
    <w:rsid w:val="009A07D5"/>
    <w:rsid w:val="009A1BC9"/>
    <w:rsid w:val="009A1FE7"/>
    <w:rsid w:val="009A28D9"/>
    <w:rsid w:val="009A2967"/>
    <w:rsid w:val="009A36B7"/>
    <w:rsid w:val="009A3720"/>
    <w:rsid w:val="009A42CF"/>
    <w:rsid w:val="009A44E8"/>
    <w:rsid w:val="009A4A49"/>
    <w:rsid w:val="009A581E"/>
    <w:rsid w:val="009A679E"/>
    <w:rsid w:val="009B0460"/>
    <w:rsid w:val="009B1DA5"/>
    <w:rsid w:val="009B1E1D"/>
    <w:rsid w:val="009B2602"/>
    <w:rsid w:val="009B28FD"/>
    <w:rsid w:val="009B2AD6"/>
    <w:rsid w:val="009B3172"/>
    <w:rsid w:val="009B32D0"/>
    <w:rsid w:val="009B4575"/>
    <w:rsid w:val="009B45C7"/>
    <w:rsid w:val="009B461D"/>
    <w:rsid w:val="009B5594"/>
    <w:rsid w:val="009B59ED"/>
    <w:rsid w:val="009B6EE8"/>
    <w:rsid w:val="009B729E"/>
    <w:rsid w:val="009B7498"/>
    <w:rsid w:val="009C0191"/>
    <w:rsid w:val="009C264B"/>
    <w:rsid w:val="009C34F1"/>
    <w:rsid w:val="009C381A"/>
    <w:rsid w:val="009C3B80"/>
    <w:rsid w:val="009C3D84"/>
    <w:rsid w:val="009C42E2"/>
    <w:rsid w:val="009C48C6"/>
    <w:rsid w:val="009C5D76"/>
    <w:rsid w:val="009C5DFB"/>
    <w:rsid w:val="009C5FDE"/>
    <w:rsid w:val="009C6C92"/>
    <w:rsid w:val="009C7B1D"/>
    <w:rsid w:val="009C7F10"/>
    <w:rsid w:val="009C7FF8"/>
    <w:rsid w:val="009D03F1"/>
    <w:rsid w:val="009D07CE"/>
    <w:rsid w:val="009D0921"/>
    <w:rsid w:val="009D101B"/>
    <w:rsid w:val="009D118E"/>
    <w:rsid w:val="009D1CF4"/>
    <w:rsid w:val="009D2A26"/>
    <w:rsid w:val="009D2C21"/>
    <w:rsid w:val="009D380F"/>
    <w:rsid w:val="009D57A7"/>
    <w:rsid w:val="009D6546"/>
    <w:rsid w:val="009D65EE"/>
    <w:rsid w:val="009D6FE7"/>
    <w:rsid w:val="009E0393"/>
    <w:rsid w:val="009E04BB"/>
    <w:rsid w:val="009E0525"/>
    <w:rsid w:val="009E05A9"/>
    <w:rsid w:val="009E1370"/>
    <w:rsid w:val="009E20A6"/>
    <w:rsid w:val="009E233F"/>
    <w:rsid w:val="009E2F30"/>
    <w:rsid w:val="009E323A"/>
    <w:rsid w:val="009E328B"/>
    <w:rsid w:val="009E396A"/>
    <w:rsid w:val="009E4130"/>
    <w:rsid w:val="009E441E"/>
    <w:rsid w:val="009E6122"/>
    <w:rsid w:val="009E6DD0"/>
    <w:rsid w:val="009E6DEE"/>
    <w:rsid w:val="009E6E87"/>
    <w:rsid w:val="009E700C"/>
    <w:rsid w:val="009E7491"/>
    <w:rsid w:val="009F082A"/>
    <w:rsid w:val="009F0BD9"/>
    <w:rsid w:val="009F12B4"/>
    <w:rsid w:val="009F33FA"/>
    <w:rsid w:val="009F347C"/>
    <w:rsid w:val="009F4A46"/>
    <w:rsid w:val="009F4D19"/>
    <w:rsid w:val="009F54D7"/>
    <w:rsid w:val="009F6619"/>
    <w:rsid w:val="009F68FF"/>
    <w:rsid w:val="009F6FEE"/>
    <w:rsid w:val="009F768E"/>
    <w:rsid w:val="009F7F88"/>
    <w:rsid w:val="00A00E77"/>
    <w:rsid w:val="00A01A4C"/>
    <w:rsid w:val="00A01C1F"/>
    <w:rsid w:val="00A01C98"/>
    <w:rsid w:val="00A04B6F"/>
    <w:rsid w:val="00A054CB"/>
    <w:rsid w:val="00A05DF4"/>
    <w:rsid w:val="00A05E8F"/>
    <w:rsid w:val="00A0690B"/>
    <w:rsid w:val="00A06A54"/>
    <w:rsid w:val="00A0787D"/>
    <w:rsid w:val="00A10423"/>
    <w:rsid w:val="00A10498"/>
    <w:rsid w:val="00A10A6F"/>
    <w:rsid w:val="00A118B4"/>
    <w:rsid w:val="00A129C6"/>
    <w:rsid w:val="00A14BDD"/>
    <w:rsid w:val="00A15A52"/>
    <w:rsid w:val="00A16698"/>
    <w:rsid w:val="00A1706F"/>
    <w:rsid w:val="00A1721D"/>
    <w:rsid w:val="00A17791"/>
    <w:rsid w:val="00A17A42"/>
    <w:rsid w:val="00A17F01"/>
    <w:rsid w:val="00A20EDD"/>
    <w:rsid w:val="00A210DB"/>
    <w:rsid w:val="00A21667"/>
    <w:rsid w:val="00A220FB"/>
    <w:rsid w:val="00A223A5"/>
    <w:rsid w:val="00A22536"/>
    <w:rsid w:val="00A244A1"/>
    <w:rsid w:val="00A24BC5"/>
    <w:rsid w:val="00A2504C"/>
    <w:rsid w:val="00A26747"/>
    <w:rsid w:val="00A26E5D"/>
    <w:rsid w:val="00A276A6"/>
    <w:rsid w:val="00A276FF"/>
    <w:rsid w:val="00A30164"/>
    <w:rsid w:val="00A30C82"/>
    <w:rsid w:val="00A31A01"/>
    <w:rsid w:val="00A31B33"/>
    <w:rsid w:val="00A321B3"/>
    <w:rsid w:val="00A32211"/>
    <w:rsid w:val="00A3287C"/>
    <w:rsid w:val="00A33758"/>
    <w:rsid w:val="00A33FDC"/>
    <w:rsid w:val="00A34114"/>
    <w:rsid w:val="00A34C81"/>
    <w:rsid w:val="00A34E19"/>
    <w:rsid w:val="00A34FF0"/>
    <w:rsid w:val="00A35165"/>
    <w:rsid w:val="00A35BE0"/>
    <w:rsid w:val="00A35C90"/>
    <w:rsid w:val="00A362F9"/>
    <w:rsid w:val="00A36F35"/>
    <w:rsid w:val="00A373CC"/>
    <w:rsid w:val="00A3760C"/>
    <w:rsid w:val="00A37704"/>
    <w:rsid w:val="00A37E59"/>
    <w:rsid w:val="00A40108"/>
    <w:rsid w:val="00A40D0C"/>
    <w:rsid w:val="00A41302"/>
    <w:rsid w:val="00A41C59"/>
    <w:rsid w:val="00A42310"/>
    <w:rsid w:val="00A4350C"/>
    <w:rsid w:val="00A43644"/>
    <w:rsid w:val="00A4383B"/>
    <w:rsid w:val="00A44BB6"/>
    <w:rsid w:val="00A45734"/>
    <w:rsid w:val="00A45B90"/>
    <w:rsid w:val="00A461B1"/>
    <w:rsid w:val="00A462F7"/>
    <w:rsid w:val="00A46659"/>
    <w:rsid w:val="00A46F1A"/>
    <w:rsid w:val="00A47029"/>
    <w:rsid w:val="00A477C3"/>
    <w:rsid w:val="00A50299"/>
    <w:rsid w:val="00A5067A"/>
    <w:rsid w:val="00A533D5"/>
    <w:rsid w:val="00A53A31"/>
    <w:rsid w:val="00A53C68"/>
    <w:rsid w:val="00A5510E"/>
    <w:rsid w:val="00A559F4"/>
    <w:rsid w:val="00A56308"/>
    <w:rsid w:val="00A56547"/>
    <w:rsid w:val="00A57079"/>
    <w:rsid w:val="00A570E0"/>
    <w:rsid w:val="00A606A0"/>
    <w:rsid w:val="00A6077B"/>
    <w:rsid w:val="00A60A60"/>
    <w:rsid w:val="00A61263"/>
    <w:rsid w:val="00A614AD"/>
    <w:rsid w:val="00A61886"/>
    <w:rsid w:val="00A61E92"/>
    <w:rsid w:val="00A621AB"/>
    <w:rsid w:val="00A62757"/>
    <w:rsid w:val="00A639E0"/>
    <w:rsid w:val="00A63D89"/>
    <w:rsid w:val="00A64368"/>
    <w:rsid w:val="00A64393"/>
    <w:rsid w:val="00A647EC"/>
    <w:rsid w:val="00A6526E"/>
    <w:rsid w:val="00A65DA4"/>
    <w:rsid w:val="00A66E04"/>
    <w:rsid w:val="00A67194"/>
    <w:rsid w:val="00A671B3"/>
    <w:rsid w:val="00A6735F"/>
    <w:rsid w:val="00A676F1"/>
    <w:rsid w:val="00A67968"/>
    <w:rsid w:val="00A7040E"/>
    <w:rsid w:val="00A70D5A"/>
    <w:rsid w:val="00A71E1C"/>
    <w:rsid w:val="00A734F2"/>
    <w:rsid w:val="00A73DEE"/>
    <w:rsid w:val="00A74254"/>
    <w:rsid w:val="00A74678"/>
    <w:rsid w:val="00A75AEA"/>
    <w:rsid w:val="00A75EA3"/>
    <w:rsid w:val="00A76063"/>
    <w:rsid w:val="00A767EB"/>
    <w:rsid w:val="00A771BF"/>
    <w:rsid w:val="00A77299"/>
    <w:rsid w:val="00A803C1"/>
    <w:rsid w:val="00A805F1"/>
    <w:rsid w:val="00A815B6"/>
    <w:rsid w:val="00A81953"/>
    <w:rsid w:val="00A82067"/>
    <w:rsid w:val="00A827C9"/>
    <w:rsid w:val="00A83BF3"/>
    <w:rsid w:val="00A85B31"/>
    <w:rsid w:val="00A860FD"/>
    <w:rsid w:val="00A861F3"/>
    <w:rsid w:val="00A866EA"/>
    <w:rsid w:val="00A86C48"/>
    <w:rsid w:val="00A90DB1"/>
    <w:rsid w:val="00A9147B"/>
    <w:rsid w:val="00A9177F"/>
    <w:rsid w:val="00A91BA8"/>
    <w:rsid w:val="00A91EF1"/>
    <w:rsid w:val="00A91EF2"/>
    <w:rsid w:val="00A9325C"/>
    <w:rsid w:val="00A93680"/>
    <w:rsid w:val="00A9430B"/>
    <w:rsid w:val="00A94483"/>
    <w:rsid w:val="00A94529"/>
    <w:rsid w:val="00A94C42"/>
    <w:rsid w:val="00A959CA"/>
    <w:rsid w:val="00A96FC6"/>
    <w:rsid w:val="00A971AF"/>
    <w:rsid w:val="00A97A16"/>
    <w:rsid w:val="00A97B61"/>
    <w:rsid w:val="00A97C2E"/>
    <w:rsid w:val="00A97CE3"/>
    <w:rsid w:val="00A97E0C"/>
    <w:rsid w:val="00AA01DA"/>
    <w:rsid w:val="00AA0925"/>
    <w:rsid w:val="00AA11BA"/>
    <w:rsid w:val="00AA182B"/>
    <w:rsid w:val="00AA2394"/>
    <w:rsid w:val="00AA2D62"/>
    <w:rsid w:val="00AA2E2C"/>
    <w:rsid w:val="00AA2E90"/>
    <w:rsid w:val="00AA3077"/>
    <w:rsid w:val="00AA36B9"/>
    <w:rsid w:val="00AA375B"/>
    <w:rsid w:val="00AA38AF"/>
    <w:rsid w:val="00AA41DE"/>
    <w:rsid w:val="00AA450C"/>
    <w:rsid w:val="00AA4B62"/>
    <w:rsid w:val="00AA571A"/>
    <w:rsid w:val="00AA5EB3"/>
    <w:rsid w:val="00AA6916"/>
    <w:rsid w:val="00AB022F"/>
    <w:rsid w:val="00AB110E"/>
    <w:rsid w:val="00AB11CF"/>
    <w:rsid w:val="00AB1287"/>
    <w:rsid w:val="00AB1CE8"/>
    <w:rsid w:val="00AB2470"/>
    <w:rsid w:val="00AB3EC9"/>
    <w:rsid w:val="00AB3FCD"/>
    <w:rsid w:val="00AB43FC"/>
    <w:rsid w:val="00AB4506"/>
    <w:rsid w:val="00AB5190"/>
    <w:rsid w:val="00AB5513"/>
    <w:rsid w:val="00AB6DFC"/>
    <w:rsid w:val="00AB6E0F"/>
    <w:rsid w:val="00AB7354"/>
    <w:rsid w:val="00AB75DD"/>
    <w:rsid w:val="00AB7C46"/>
    <w:rsid w:val="00AC071C"/>
    <w:rsid w:val="00AC2076"/>
    <w:rsid w:val="00AC3637"/>
    <w:rsid w:val="00AC3D4F"/>
    <w:rsid w:val="00AC3D5B"/>
    <w:rsid w:val="00AC3DB7"/>
    <w:rsid w:val="00AC4699"/>
    <w:rsid w:val="00AC57CD"/>
    <w:rsid w:val="00AC59DF"/>
    <w:rsid w:val="00AC63A8"/>
    <w:rsid w:val="00AC72C7"/>
    <w:rsid w:val="00AC7899"/>
    <w:rsid w:val="00AD13D6"/>
    <w:rsid w:val="00AD2C42"/>
    <w:rsid w:val="00AD4087"/>
    <w:rsid w:val="00AD5BEE"/>
    <w:rsid w:val="00AD6466"/>
    <w:rsid w:val="00AD6A21"/>
    <w:rsid w:val="00AD6BE0"/>
    <w:rsid w:val="00AD752F"/>
    <w:rsid w:val="00AE05DD"/>
    <w:rsid w:val="00AE0C8D"/>
    <w:rsid w:val="00AE0E2A"/>
    <w:rsid w:val="00AE1131"/>
    <w:rsid w:val="00AE1411"/>
    <w:rsid w:val="00AE2071"/>
    <w:rsid w:val="00AE2330"/>
    <w:rsid w:val="00AE27D6"/>
    <w:rsid w:val="00AE3354"/>
    <w:rsid w:val="00AE55BC"/>
    <w:rsid w:val="00AE56D1"/>
    <w:rsid w:val="00AE5A99"/>
    <w:rsid w:val="00AE62E7"/>
    <w:rsid w:val="00AE686D"/>
    <w:rsid w:val="00AE6B27"/>
    <w:rsid w:val="00AE77AC"/>
    <w:rsid w:val="00AF0DC0"/>
    <w:rsid w:val="00AF0F96"/>
    <w:rsid w:val="00AF17E4"/>
    <w:rsid w:val="00AF1CE6"/>
    <w:rsid w:val="00AF21D7"/>
    <w:rsid w:val="00AF282C"/>
    <w:rsid w:val="00AF28EB"/>
    <w:rsid w:val="00AF31BA"/>
    <w:rsid w:val="00AF36B6"/>
    <w:rsid w:val="00AF42CB"/>
    <w:rsid w:val="00AF4803"/>
    <w:rsid w:val="00AF4D10"/>
    <w:rsid w:val="00AF58CB"/>
    <w:rsid w:val="00AF5DB8"/>
    <w:rsid w:val="00AF7217"/>
    <w:rsid w:val="00AF726F"/>
    <w:rsid w:val="00AF783F"/>
    <w:rsid w:val="00B00506"/>
    <w:rsid w:val="00B005E2"/>
    <w:rsid w:val="00B00673"/>
    <w:rsid w:val="00B00AE7"/>
    <w:rsid w:val="00B00ED5"/>
    <w:rsid w:val="00B02315"/>
    <w:rsid w:val="00B02BF0"/>
    <w:rsid w:val="00B034DD"/>
    <w:rsid w:val="00B03AB4"/>
    <w:rsid w:val="00B04C3C"/>
    <w:rsid w:val="00B05B91"/>
    <w:rsid w:val="00B06ED4"/>
    <w:rsid w:val="00B077CC"/>
    <w:rsid w:val="00B07A28"/>
    <w:rsid w:val="00B07C8A"/>
    <w:rsid w:val="00B1123F"/>
    <w:rsid w:val="00B11A4E"/>
    <w:rsid w:val="00B13397"/>
    <w:rsid w:val="00B1400D"/>
    <w:rsid w:val="00B144AA"/>
    <w:rsid w:val="00B147C9"/>
    <w:rsid w:val="00B15BB2"/>
    <w:rsid w:val="00B1666B"/>
    <w:rsid w:val="00B16B5D"/>
    <w:rsid w:val="00B16CEE"/>
    <w:rsid w:val="00B16EBE"/>
    <w:rsid w:val="00B20655"/>
    <w:rsid w:val="00B20BD6"/>
    <w:rsid w:val="00B21443"/>
    <w:rsid w:val="00B21D0E"/>
    <w:rsid w:val="00B22C57"/>
    <w:rsid w:val="00B23C76"/>
    <w:rsid w:val="00B23EEE"/>
    <w:rsid w:val="00B25E1E"/>
    <w:rsid w:val="00B267F7"/>
    <w:rsid w:val="00B27298"/>
    <w:rsid w:val="00B27384"/>
    <w:rsid w:val="00B276E4"/>
    <w:rsid w:val="00B27A6D"/>
    <w:rsid w:val="00B309F9"/>
    <w:rsid w:val="00B30DAD"/>
    <w:rsid w:val="00B31593"/>
    <w:rsid w:val="00B31782"/>
    <w:rsid w:val="00B34709"/>
    <w:rsid w:val="00B34F80"/>
    <w:rsid w:val="00B36928"/>
    <w:rsid w:val="00B37293"/>
    <w:rsid w:val="00B4076A"/>
    <w:rsid w:val="00B413EB"/>
    <w:rsid w:val="00B4253E"/>
    <w:rsid w:val="00B426B6"/>
    <w:rsid w:val="00B42C20"/>
    <w:rsid w:val="00B43AD9"/>
    <w:rsid w:val="00B443D5"/>
    <w:rsid w:val="00B44482"/>
    <w:rsid w:val="00B4498A"/>
    <w:rsid w:val="00B44CAB"/>
    <w:rsid w:val="00B45012"/>
    <w:rsid w:val="00B450D9"/>
    <w:rsid w:val="00B45D36"/>
    <w:rsid w:val="00B46FF2"/>
    <w:rsid w:val="00B539EB"/>
    <w:rsid w:val="00B53D7D"/>
    <w:rsid w:val="00B54B76"/>
    <w:rsid w:val="00B55AE3"/>
    <w:rsid w:val="00B560E5"/>
    <w:rsid w:val="00B576E1"/>
    <w:rsid w:val="00B6088D"/>
    <w:rsid w:val="00B608F1"/>
    <w:rsid w:val="00B60A96"/>
    <w:rsid w:val="00B60F79"/>
    <w:rsid w:val="00B617E2"/>
    <w:rsid w:val="00B6252C"/>
    <w:rsid w:val="00B62653"/>
    <w:rsid w:val="00B62819"/>
    <w:rsid w:val="00B62CBE"/>
    <w:rsid w:val="00B62EFD"/>
    <w:rsid w:val="00B63999"/>
    <w:rsid w:val="00B63B4A"/>
    <w:rsid w:val="00B63DA0"/>
    <w:rsid w:val="00B64F8D"/>
    <w:rsid w:val="00B6533C"/>
    <w:rsid w:val="00B6731A"/>
    <w:rsid w:val="00B673CA"/>
    <w:rsid w:val="00B678A4"/>
    <w:rsid w:val="00B70316"/>
    <w:rsid w:val="00B70903"/>
    <w:rsid w:val="00B70930"/>
    <w:rsid w:val="00B7108D"/>
    <w:rsid w:val="00B7117A"/>
    <w:rsid w:val="00B7128A"/>
    <w:rsid w:val="00B713F0"/>
    <w:rsid w:val="00B71BD7"/>
    <w:rsid w:val="00B72053"/>
    <w:rsid w:val="00B72B7F"/>
    <w:rsid w:val="00B73D1E"/>
    <w:rsid w:val="00B74530"/>
    <w:rsid w:val="00B74E4D"/>
    <w:rsid w:val="00B75D3F"/>
    <w:rsid w:val="00B75D4C"/>
    <w:rsid w:val="00B76F2C"/>
    <w:rsid w:val="00B774EE"/>
    <w:rsid w:val="00B77723"/>
    <w:rsid w:val="00B77863"/>
    <w:rsid w:val="00B80008"/>
    <w:rsid w:val="00B801AC"/>
    <w:rsid w:val="00B809E2"/>
    <w:rsid w:val="00B815D3"/>
    <w:rsid w:val="00B81BB3"/>
    <w:rsid w:val="00B8270D"/>
    <w:rsid w:val="00B827E7"/>
    <w:rsid w:val="00B82B33"/>
    <w:rsid w:val="00B8384C"/>
    <w:rsid w:val="00B84030"/>
    <w:rsid w:val="00B843A1"/>
    <w:rsid w:val="00B854BE"/>
    <w:rsid w:val="00B85704"/>
    <w:rsid w:val="00B868D6"/>
    <w:rsid w:val="00B86965"/>
    <w:rsid w:val="00B86D0A"/>
    <w:rsid w:val="00B8748B"/>
    <w:rsid w:val="00B87B3F"/>
    <w:rsid w:val="00B91818"/>
    <w:rsid w:val="00B922D6"/>
    <w:rsid w:val="00B93E18"/>
    <w:rsid w:val="00B93E2C"/>
    <w:rsid w:val="00B948E8"/>
    <w:rsid w:val="00B94BE5"/>
    <w:rsid w:val="00B9556B"/>
    <w:rsid w:val="00B96069"/>
    <w:rsid w:val="00B968F3"/>
    <w:rsid w:val="00B96E78"/>
    <w:rsid w:val="00BA0A76"/>
    <w:rsid w:val="00BA11A9"/>
    <w:rsid w:val="00BA30C2"/>
    <w:rsid w:val="00BA31C6"/>
    <w:rsid w:val="00BA4B0A"/>
    <w:rsid w:val="00BA699B"/>
    <w:rsid w:val="00BA76AB"/>
    <w:rsid w:val="00BA7A5F"/>
    <w:rsid w:val="00BB0225"/>
    <w:rsid w:val="00BB0423"/>
    <w:rsid w:val="00BB0F8B"/>
    <w:rsid w:val="00BB1D73"/>
    <w:rsid w:val="00BB2CE4"/>
    <w:rsid w:val="00BB3C27"/>
    <w:rsid w:val="00BB4008"/>
    <w:rsid w:val="00BB42D2"/>
    <w:rsid w:val="00BB5449"/>
    <w:rsid w:val="00BB5C00"/>
    <w:rsid w:val="00BB6ECF"/>
    <w:rsid w:val="00BB74B3"/>
    <w:rsid w:val="00BB777A"/>
    <w:rsid w:val="00BB7E0B"/>
    <w:rsid w:val="00BC0560"/>
    <w:rsid w:val="00BC06FE"/>
    <w:rsid w:val="00BC1765"/>
    <w:rsid w:val="00BC1FD6"/>
    <w:rsid w:val="00BC25D7"/>
    <w:rsid w:val="00BC320C"/>
    <w:rsid w:val="00BC43C2"/>
    <w:rsid w:val="00BC464D"/>
    <w:rsid w:val="00BC4883"/>
    <w:rsid w:val="00BC5454"/>
    <w:rsid w:val="00BC5F7F"/>
    <w:rsid w:val="00BC74EE"/>
    <w:rsid w:val="00BC777E"/>
    <w:rsid w:val="00BC7E23"/>
    <w:rsid w:val="00BD219A"/>
    <w:rsid w:val="00BD2C42"/>
    <w:rsid w:val="00BD2EF9"/>
    <w:rsid w:val="00BD2F1D"/>
    <w:rsid w:val="00BD3997"/>
    <w:rsid w:val="00BD5081"/>
    <w:rsid w:val="00BD5D7E"/>
    <w:rsid w:val="00BD62E5"/>
    <w:rsid w:val="00BD68BB"/>
    <w:rsid w:val="00BD6EF9"/>
    <w:rsid w:val="00BD754C"/>
    <w:rsid w:val="00BD78C6"/>
    <w:rsid w:val="00BD7F54"/>
    <w:rsid w:val="00BE01E1"/>
    <w:rsid w:val="00BE0849"/>
    <w:rsid w:val="00BE15DA"/>
    <w:rsid w:val="00BE19AD"/>
    <w:rsid w:val="00BE1B2F"/>
    <w:rsid w:val="00BE369C"/>
    <w:rsid w:val="00BE4FBC"/>
    <w:rsid w:val="00BE5338"/>
    <w:rsid w:val="00BE534A"/>
    <w:rsid w:val="00BE5A5B"/>
    <w:rsid w:val="00BE5B7C"/>
    <w:rsid w:val="00BE61C4"/>
    <w:rsid w:val="00BE72FD"/>
    <w:rsid w:val="00BE733C"/>
    <w:rsid w:val="00BE73D4"/>
    <w:rsid w:val="00BE791F"/>
    <w:rsid w:val="00BE7AF2"/>
    <w:rsid w:val="00BF1EF8"/>
    <w:rsid w:val="00BF25A9"/>
    <w:rsid w:val="00BF2DE5"/>
    <w:rsid w:val="00BF39B7"/>
    <w:rsid w:val="00BF4111"/>
    <w:rsid w:val="00BF486D"/>
    <w:rsid w:val="00BF4C49"/>
    <w:rsid w:val="00BF4D1A"/>
    <w:rsid w:val="00BF5168"/>
    <w:rsid w:val="00BF5A5B"/>
    <w:rsid w:val="00BF6338"/>
    <w:rsid w:val="00BF6D56"/>
    <w:rsid w:val="00BF7CE1"/>
    <w:rsid w:val="00C00D03"/>
    <w:rsid w:val="00C00D9C"/>
    <w:rsid w:val="00C01DFC"/>
    <w:rsid w:val="00C02513"/>
    <w:rsid w:val="00C0270E"/>
    <w:rsid w:val="00C0282B"/>
    <w:rsid w:val="00C03C4E"/>
    <w:rsid w:val="00C044E4"/>
    <w:rsid w:val="00C047A4"/>
    <w:rsid w:val="00C05013"/>
    <w:rsid w:val="00C053B5"/>
    <w:rsid w:val="00C067AD"/>
    <w:rsid w:val="00C067E0"/>
    <w:rsid w:val="00C071C7"/>
    <w:rsid w:val="00C0773D"/>
    <w:rsid w:val="00C1025D"/>
    <w:rsid w:val="00C110C7"/>
    <w:rsid w:val="00C11733"/>
    <w:rsid w:val="00C12CC1"/>
    <w:rsid w:val="00C12D93"/>
    <w:rsid w:val="00C12EE2"/>
    <w:rsid w:val="00C13103"/>
    <w:rsid w:val="00C139DE"/>
    <w:rsid w:val="00C13B55"/>
    <w:rsid w:val="00C13CB8"/>
    <w:rsid w:val="00C14CD4"/>
    <w:rsid w:val="00C151CE"/>
    <w:rsid w:val="00C15BBB"/>
    <w:rsid w:val="00C16078"/>
    <w:rsid w:val="00C16439"/>
    <w:rsid w:val="00C20336"/>
    <w:rsid w:val="00C206DC"/>
    <w:rsid w:val="00C2092E"/>
    <w:rsid w:val="00C20F37"/>
    <w:rsid w:val="00C211AE"/>
    <w:rsid w:val="00C213FD"/>
    <w:rsid w:val="00C21C42"/>
    <w:rsid w:val="00C22441"/>
    <w:rsid w:val="00C23520"/>
    <w:rsid w:val="00C23FE1"/>
    <w:rsid w:val="00C24AE3"/>
    <w:rsid w:val="00C24F88"/>
    <w:rsid w:val="00C25082"/>
    <w:rsid w:val="00C2570A"/>
    <w:rsid w:val="00C25B91"/>
    <w:rsid w:val="00C265D4"/>
    <w:rsid w:val="00C26DC6"/>
    <w:rsid w:val="00C27447"/>
    <w:rsid w:val="00C275FC"/>
    <w:rsid w:val="00C2772B"/>
    <w:rsid w:val="00C3030F"/>
    <w:rsid w:val="00C30615"/>
    <w:rsid w:val="00C30715"/>
    <w:rsid w:val="00C30D84"/>
    <w:rsid w:val="00C3131B"/>
    <w:rsid w:val="00C317A7"/>
    <w:rsid w:val="00C31B0E"/>
    <w:rsid w:val="00C33383"/>
    <w:rsid w:val="00C33614"/>
    <w:rsid w:val="00C33AEC"/>
    <w:rsid w:val="00C35493"/>
    <w:rsid w:val="00C35C8E"/>
    <w:rsid w:val="00C361E9"/>
    <w:rsid w:val="00C3671E"/>
    <w:rsid w:val="00C36B1D"/>
    <w:rsid w:val="00C36EED"/>
    <w:rsid w:val="00C3742C"/>
    <w:rsid w:val="00C37661"/>
    <w:rsid w:val="00C37F81"/>
    <w:rsid w:val="00C410D2"/>
    <w:rsid w:val="00C411E0"/>
    <w:rsid w:val="00C41363"/>
    <w:rsid w:val="00C42209"/>
    <w:rsid w:val="00C429D5"/>
    <w:rsid w:val="00C42A78"/>
    <w:rsid w:val="00C42AD9"/>
    <w:rsid w:val="00C42DC9"/>
    <w:rsid w:val="00C437D6"/>
    <w:rsid w:val="00C45897"/>
    <w:rsid w:val="00C4601D"/>
    <w:rsid w:val="00C470F6"/>
    <w:rsid w:val="00C47B1C"/>
    <w:rsid w:val="00C504EF"/>
    <w:rsid w:val="00C509D2"/>
    <w:rsid w:val="00C51CCA"/>
    <w:rsid w:val="00C52FDA"/>
    <w:rsid w:val="00C53131"/>
    <w:rsid w:val="00C54473"/>
    <w:rsid w:val="00C55693"/>
    <w:rsid w:val="00C55945"/>
    <w:rsid w:val="00C55D94"/>
    <w:rsid w:val="00C55DCB"/>
    <w:rsid w:val="00C55FBB"/>
    <w:rsid w:val="00C56DCE"/>
    <w:rsid w:val="00C57582"/>
    <w:rsid w:val="00C5787F"/>
    <w:rsid w:val="00C608EF"/>
    <w:rsid w:val="00C60E9C"/>
    <w:rsid w:val="00C612BB"/>
    <w:rsid w:val="00C612BF"/>
    <w:rsid w:val="00C61338"/>
    <w:rsid w:val="00C6207E"/>
    <w:rsid w:val="00C62A28"/>
    <w:rsid w:val="00C6324D"/>
    <w:rsid w:val="00C64FAE"/>
    <w:rsid w:val="00C653CC"/>
    <w:rsid w:val="00C65B09"/>
    <w:rsid w:val="00C66344"/>
    <w:rsid w:val="00C66EDC"/>
    <w:rsid w:val="00C674F7"/>
    <w:rsid w:val="00C67D05"/>
    <w:rsid w:val="00C714EE"/>
    <w:rsid w:val="00C731E1"/>
    <w:rsid w:val="00C7335A"/>
    <w:rsid w:val="00C741A7"/>
    <w:rsid w:val="00C745D7"/>
    <w:rsid w:val="00C74DFB"/>
    <w:rsid w:val="00C74F7C"/>
    <w:rsid w:val="00C75F87"/>
    <w:rsid w:val="00C7702A"/>
    <w:rsid w:val="00C773C8"/>
    <w:rsid w:val="00C773CE"/>
    <w:rsid w:val="00C806B8"/>
    <w:rsid w:val="00C80A25"/>
    <w:rsid w:val="00C80E5E"/>
    <w:rsid w:val="00C81C07"/>
    <w:rsid w:val="00C82930"/>
    <w:rsid w:val="00C82C9E"/>
    <w:rsid w:val="00C83945"/>
    <w:rsid w:val="00C83DB7"/>
    <w:rsid w:val="00C83EE2"/>
    <w:rsid w:val="00C841BF"/>
    <w:rsid w:val="00C84BF3"/>
    <w:rsid w:val="00C8531E"/>
    <w:rsid w:val="00C85560"/>
    <w:rsid w:val="00C85A50"/>
    <w:rsid w:val="00C85B6C"/>
    <w:rsid w:val="00C85ECE"/>
    <w:rsid w:val="00C85F1C"/>
    <w:rsid w:val="00C86BFE"/>
    <w:rsid w:val="00C86D8A"/>
    <w:rsid w:val="00C86FF3"/>
    <w:rsid w:val="00C8757D"/>
    <w:rsid w:val="00C87E2F"/>
    <w:rsid w:val="00C900B0"/>
    <w:rsid w:val="00C900ED"/>
    <w:rsid w:val="00C9080B"/>
    <w:rsid w:val="00C90EA7"/>
    <w:rsid w:val="00C90EF9"/>
    <w:rsid w:val="00C9146C"/>
    <w:rsid w:val="00C9164E"/>
    <w:rsid w:val="00C92931"/>
    <w:rsid w:val="00C92949"/>
    <w:rsid w:val="00C9312F"/>
    <w:rsid w:val="00C93A97"/>
    <w:rsid w:val="00C94499"/>
    <w:rsid w:val="00C9491A"/>
    <w:rsid w:val="00C94BE9"/>
    <w:rsid w:val="00C95DD7"/>
    <w:rsid w:val="00C95ED6"/>
    <w:rsid w:val="00C965B2"/>
    <w:rsid w:val="00C96BBB"/>
    <w:rsid w:val="00CA04D5"/>
    <w:rsid w:val="00CA1AC8"/>
    <w:rsid w:val="00CA1FB0"/>
    <w:rsid w:val="00CA24D1"/>
    <w:rsid w:val="00CA381C"/>
    <w:rsid w:val="00CA39CC"/>
    <w:rsid w:val="00CA403D"/>
    <w:rsid w:val="00CA4743"/>
    <w:rsid w:val="00CA4818"/>
    <w:rsid w:val="00CA57FE"/>
    <w:rsid w:val="00CA5FF6"/>
    <w:rsid w:val="00CA6F32"/>
    <w:rsid w:val="00CA735E"/>
    <w:rsid w:val="00CA7BEE"/>
    <w:rsid w:val="00CB01B1"/>
    <w:rsid w:val="00CB0B34"/>
    <w:rsid w:val="00CB0EE0"/>
    <w:rsid w:val="00CB138F"/>
    <w:rsid w:val="00CB13CF"/>
    <w:rsid w:val="00CB13E0"/>
    <w:rsid w:val="00CB2343"/>
    <w:rsid w:val="00CB2F02"/>
    <w:rsid w:val="00CB387F"/>
    <w:rsid w:val="00CB44CC"/>
    <w:rsid w:val="00CB4506"/>
    <w:rsid w:val="00CB4522"/>
    <w:rsid w:val="00CB4741"/>
    <w:rsid w:val="00CB7145"/>
    <w:rsid w:val="00CB76B8"/>
    <w:rsid w:val="00CB7703"/>
    <w:rsid w:val="00CB77EE"/>
    <w:rsid w:val="00CB783B"/>
    <w:rsid w:val="00CB7AE2"/>
    <w:rsid w:val="00CC1C1E"/>
    <w:rsid w:val="00CC2611"/>
    <w:rsid w:val="00CC2803"/>
    <w:rsid w:val="00CC2813"/>
    <w:rsid w:val="00CC295E"/>
    <w:rsid w:val="00CC48D6"/>
    <w:rsid w:val="00CC544C"/>
    <w:rsid w:val="00CC559E"/>
    <w:rsid w:val="00CC707F"/>
    <w:rsid w:val="00CC708A"/>
    <w:rsid w:val="00CC79CD"/>
    <w:rsid w:val="00CD0E5B"/>
    <w:rsid w:val="00CD1841"/>
    <w:rsid w:val="00CD1BF1"/>
    <w:rsid w:val="00CD27CD"/>
    <w:rsid w:val="00CD34A5"/>
    <w:rsid w:val="00CD352D"/>
    <w:rsid w:val="00CD42CF"/>
    <w:rsid w:val="00CD4BF8"/>
    <w:rsid w:val="00CD52CD"/>
    <w:rsid w:val="00CD58F5"/>
    <w:rsid w:val="00CD644F"/>
    <w:rsid w:val="00CD64D2"/>
    <w:rsid w:val="00CD6525"/>
    <w:rsid w:val="00CD652E"/>
    <w:rsid w:val="00CD68DD"/>
    <w:rsid w:val="00CD6A0A"/>
    <w:rsid w:val="00CD6EF2"/>
    <w:rsid w:val="00CD786B"/>
    <w:rsid w:val="00CD7B8B"/>
    <w:rsid w:val="00CE01F8"/>
    <w:rsid w:val="00CE08BB"/>
    <w:rsid w:val="00CE0D51"/>
    <w:rsid w:val="00CE1657"/>
    <w:rsid w:val="00CE24B9"/>
    <w:rsid w:val="00CE2ADD"/>
    <w:rsid w:val="00CE2B04"/>
    <w:rsid w:val="00CE2C27"/>
    <w:rsid w:val="00CE2C87"/>
    <w:rsid w:val="00CE3E8B"/>
    <w:rsid w:val="00CE47DC"/>
    <w:rsid w:val="00CE5298"/>
    <w:rsid w:val="00CE5322"/>
    <w:rsid w:val="00CE58EB"/>
    <w:rsid w:val="00CE69E4"/>
    <w:rsid w:val="00CF0041"/>
    <w:rsid w:val="00CF02F9"/>
    <w:rsid w:val="00CF0D4B"/>
    <w:rsid w:val="00CF2605"/>
    <w:rsid w:val="00CF2804"/>
    <w:rsid w:val="00CF35B2"/>
    <w:rsid w:val="00CF38D4"/>
    <w:rsid w:val="00CF395A"/>
    <w:rsid w:val="00CF3D4C"/>
    <w:rsid w:val="00CF5C07"/>
    <w:rsid w:val="00CF5CFC"/>
    <w:rsid w:val="00D00655"/>
    <w:rsid w:val="00D00AF5"/>
    <w:rsid w:val="00D00E75"/>
    <w:rsid w:val="00D01917"/>
    <w:rsid w:val="00D01EBC"/>
    <w:rsid w:val="00D03DE1"/>
    <w:rsid w:val="00D03EDD"/>
    <w:rsid w:val="00D03EEF"/>
    <w:rsid w:val="00D03F69"/>
    <w:rsid w:val="00D04F08"/>
    <w:rsid w:val="00D050BB"/>
    <w:rsid w:val="00D07087"/>
    <w:rsid w:val="00D074CA"/>
    <w:rsid w:val="00D07A1B"/>
    <w:rsid w:val="00D07ACD"/>
    <w:rsid w:val="00D07DE3"/>
    <w:rsid w:val="00D07E2A"/>
    <w:rsid w:val="00D07EA6"/>
    <w:rsid w:val="00D11582"/>
    <w:rsid w:val="00D11666"/>
    <w:rsid w:val="00D11D07"/>
    <w:rsid w:val="00D124D3"/>
    <w:rsid w:val="00D138F2"/>
    <w:rsid w:val="00D1489F"/>
    <w:rsid w:val="00D1491B"/>
    <w:rsid w:val="00D159F8"/>
    <w:rsid w:val="00D15DD2"/>
    <w:rsid w:val="00D16E55"/>
    <w:rsid w:val="00D16ECF"/>
    <w:rsid w:val="00D17C04"/>
    <w:rsid w:val="00D17CFB"/>
    <w:rsid w:val="00D17E3E"/>
    <w:rsid w:val="00D2046D"/>
    <w:rsid w:val="00D217BC"/>
    <w:rsid w:val="00D21820"/>
    <w:rsid w:val="00D21F48"/>
    <w:rsid w:val="00D2255E"/>
    <w:rsid w:val="00D226B9"/>
    <w:rsid w:val="00D23437"/>
    <w:rsid w:val="00D2372E"/>
    <w:rsid w:val="00D2373E"/>
    <w:rsid w:val="00D239F4"/>
    <w:rsid w:val="00D2459A"/>
    <w:rsid w:val="00D248D9"/>
    <w:rsid w:val="00D24CD7"/>
    <w:rsid w:val="00D259E0"/>
    <w:rsid w:val="00D27131"/>
    <w:rsid w:val="00D27DDD"/>
    <w:rsid w:val="00D31AD0"/>
    <w:rsid w:val="00D31B9E"/>
    <w:rsid w:val="00D31BBD"/>
    <w:rsid w:val="00D3214E"/>
    <w:rsid w:val="00D3251C"/>
    <w:rsid w:val="00D32658"/>
    <w:rsid w:val="00D34E83"/>
    <w:rsid w:val="00D35189"/>
    <w:rsid w:val="00D352D0"/>
    <w:rsid w:val="00D35F44"/>
    <w:rsid w:val="00D3701D"/>
    <w:rsid w:val="00D37354"/>
    <w:rsid w:val="00D404B1"/>
    <w:rsid w:val="00D40C33"/>
    <w:rsid w:val="00D4104F"/>
    <w:rsid w:val="00D41EE5"/>
    <w:rsid w:val="00D4313E"/>
    <w:rsid w:val="00D43988"/>
    <w:rsid w:val="00D4707E"/>
    <w:rsid w:val="00D47238"/>
    <w:rsid w:val="00D4761E"/>
    <w:rsid w:val="00D4762C"/>
    <w:rsid w:val="00D47867"/>
    <w:rsid w:val="00D47EAF"/>
    <w:rsid w:val="00D50B2A"/>
    <w:rsid w:val="00D5132A"/>
    <w:rsid w:val="00D51517"/>
    <w:rsid w:val="00D52D7F"/>
    <w:rsid w:val="00D52FE8"/>
    <w:rsid w:val="00D53034"/>
    <w:rsid w:val="00D53103"/>
    <w:rsid w:val="00D541A8"/>
    <w:rsid w:val="00D54E13"/>
    <w:rsid w:val="00D54F79"/>
    <w:rsid w:val="00D55A05"/>
    <w:rsid w:val="00D562A8"/>
    <w:rsid w:val="00D56D22"/>
    <w:rsid w:val="00D5724E"/>
    <w:rsid w:val="00D60210"/>
    <w:rsid w:val="00D61A9F"/>
    <w:rsid w:val="00D61EDD"/>
    <w:rsid w:val="00D628AF"/>
    <w:rsid w:val="00D6294B"/>
    <w:rsid w:val="00D62A4A"/>
    <w:rsid w:val="00D62A88"/>
    <w:rsid w:val="00D654F8"/>
    <w:rsid w:val="00D66697"/>
    <w:rsid w:val="00D6732B"/>
    <w:rsid w:val="00D676B3"/>
    <w:rsid w:val="00D6787A"/>
    <w:rsid w:val="00D67ACA"/>
    <w:rsid w:val="00D67F69"/>
    <w:rsid w:val="00D71103"/>
    <w:rsid w:val="00D71213"/>
    <w:rsid w:val="00D713E4"/>
    <w:rsid w:val="00D72BF9"/>
    <w:rsid w:val="00D72FAD"/>
    <w:rsid w:val="00D7314F"/>
    <w:rsid w:val="00D73259"/>
    <w:rsid w:val="00D73AF1"/>
    <w:rsid w:val="00D73E64"/>
    <w:rsid w:val="00D74504"/>
    <w:rsid w:val="00D74639"/>
    <w:rsid w:val="00D74926"/>
    <w:rsid w:val="00D74E38"/>
    <w:rsid w:val="00D75449"/>
    <w:rsid w:val="00D770D5"/>
    <w:rsid w:val="00D809B7"/>
    <w:rsid w:val="00D81004"/>
    <w:rsid w:val="00D812A9"/>
    <w:rsid w:val="00D813B0"/>
    <w:rsid w:val="00D8141C"/>
    <w:rsid w:val="00D81A57"/>
    <w:rsid w:val="00D82664"/>
    <w:rsid w:val="00D8269A"/>
    <w:rsid w:val="00D82962"/>
    <w:rsid w:val="00D82A4C"/>
    <w:rsid w:val="00D83A65"/>
    <w:rsid w:val="00D846CF"/>
    <w:rsid w:val="00D85498"/>
    <w:rsid w:val="00D85683"/>
    <w:rsid w:val="00D86320"/>
    <w:rsid w:val="00D86D21"/>
    <w:rsid w:val="00D86D72"/>
    <w:rsid w:val="00D8772B"/>
    <w:rsid w:val="00D90114"/>
    <w:rsid w:val="00D90679"/>
    <w:rsid w:val="00D90F20"/>
    <w:rsid w:val="00D90F8A"/>
    <w:rsid w:val="00D91621"/>
    <w:rsid w:val="00D916E9"/>
    <w:rsid w:val="00D9180B"/>
    <w:rsid w:val="00D925BC"/>
    <w:rsid w:val="00D929B7"/>
    <w:rsid w:val="00D9330D"/>
    <w:rsid w:val="00D94EB6"/>
    <w:rsid w:val="00D95111"/>
    <w:rsid w:val="00D954B6"/>
    <w:rsid w:val="00D9553A"/>
    <w:rsid w:val="00D958D2"/>
    <w:rsid w:val="00D95A4C"/>
    <w:rsid w:val="00D95C5C"/>
    <w:rsid w:val="00D9623F"/>
    <w:rsid w:val="00D964B0"/>
    <w:rsid w:val="00D96B91"/>
    <w:rsid w:val="00D9740F"/>
    <w:rsid w:val="00D97545"/>
    <w:rsid w:val="00D9770C"/>
    <w:rsid w:val="00D977A2"/>
    <w:rsid w:val="00D9787B"/>
    <w:rsid w:val="00D97BA1"/>
    <w:rsid w:val="00D97F28"/>
    <w:rsid w:val="00DA09FC"/>
    <w:rsid w:val="00DA28A7"/>
    <w:rsid w:val="00DA2BB0"/>
    <w:rsid w:val="00DA2BCC"/>
    <w:rsid w:val="00DA2FCA"/>
    <w:rsid w:val="00DA348E"/>
    <w:rsid w:val="00DA373A"/>
    <w:rsid w:val="00DA456A"/>
    <w:rsid w:val="00DA5162"/>
    <w:rsid w:val="00DA59D2"/>
    <w:rsid w:val="00DA5A9C"/>
    <w:rsid w:val="00DA5F60"/>
    <w:rsid w:val="00DA60A9"/>
    <w:rsid w:val="00DA6E30"/>
    <w:rsid w:val="00DA6E9D"/>
    <w:rsid w:val="00DA6FF3"/>
    <w:rsid w:val="00DA7525"/>
    <w:rsid w:val="00DB1595"/>
    <w:rsid w:val="00DB2329"/>
    <w:rsid w:val="00DB297D"/>
    <w:rsid w:val="00DB2B7E"/>
    <w:rsid w:val="00DB2BA7"/>
    <w:rsid w:val="00DB2F6C"/>
    <w:rsid w:val="00DB345D"/>
    <w:rsid w:val="00DB53A2"/>
    <w:rsid w:val="00DB5719"/>
    <w:rsid w:val="00DB624E"/>
    <w:rsid w:val="00DB7C6B"/>
    <w:rsid w:val="00DC02EA"/>
    <w:rsid w:val="00DC0860"/>
    <w:rsid w:val="00DC1309"/>
    <w:rsid w:val="00DC1343"/>
    <w:rsid w:val="00DC16F9"/>
    <w:rsid w:val="00DC1CA6"/>
    <w:rsid w:val="00DC20CF"/>
    <w:rsid w:val="00DC27E3"/>
    <w:rsid w:val="00DC3472"/>
    <w:rsid w:val="00DC4B44"/>
    <w:rsid w:val="00DC5C38"/>
    <w:rsid w:val="00DC5C39"/>
    <w:rsid w:val="00DC61A3"/>
    <w:rsid w:val="00DC6EB6"/>
    <w:rsid w:val="00DC7E69"/>
    <w:rsid w:val="00DD0467"/>
    <w:rsid w:val="00DD15EF"/>
    <w:rsid w:val="00DD1738"/>
    <w:rsid w:val="00DD190E"/>
    <w:rsid w:val="00DD2547"/>
    <w:rsid w:val="00DD3316"/>
    <w:rsid w:val="00DD3E02"/>
    <w:rsid w:val="00DD5654"/>
    <w:rsid w:val="00DD594C"/>
    <w:rsid w:val="00DD5E57"/>
    <w:rsid w:val="00DD5E97"/>
    <w:rsid w:val="00DD5F57"/>
    <w:rsid w:val="00DD60E3"/>
    <w:rsid w:val="00DD667B"/>
    <w:rsid w:val="00DD7F9B"/>
    <w:rsid w:val="00DE18A9"/>
    <w:rsid w:val="00DE2E1E"/>
    <w:rsid w:val="00DE3385"/>
    <w:rsid w:val="00DE3503"/>
    <w:rsid w:val="00DE396F"/>
    <w:rsid w:val="00DE3CA1"/>
    <w:rsid w:val="00DE4007"/>
    <w:rsid w:val="00DE4638"/>
    <w:rsid w:val="00DE4651"/>
    <w:rsid w:val="00DE47B6"/>
    <w:rsid w:val="00DE534A"/>
    <w:rsid w:val="00DE55FD"/>
    <w:rsid w:val="00DE7265"/>
    <w:rsid w:val="00DE7525"/>
    <w:rsid w:val="00DF2247"/>
    <w:rsid w:val="00DF225E"/>
    <w:rsid w:val="00DF2353"/>
    <w:rsid w:val="00DF387D"/>
    <w:rsid w:val="00DF3AB2"/>
    <w:rsid w:val="00DF5784"/>
    <w:rsid w:val="00DF58B8"/>
    <w:rsid w:val="00DF5FF8"/>
    <w:rsid w:val="00DF6EE5"/>
    <w:rsid w:val="00E0077B"/>
    <w:rsid w:val="00E00898"/>
    <w:rsid w:val="00E01BEF"/>
    <w:rsid w:val="00E029E1"/>
    <w:rsid w:val="00E03634"/>
    <w:rsid w:val="00E050B6"/>
    <w:rsid w:val="00E0557E"/>
    <w:rsid w:val="00E05D14"/>
    <w:rsid w:val="00E0628E"/>
    <w:rsid w:val="00E06460"/>
    <w:rsid w:val="00E073CF"/>
    <w:rsid w:val="00E074A3"/>
    <w:rsid w:val="00E07997"/>
    <w:rsid w:val="00E07A6A"/>
    <w:rsid w:val="00E07EB8"/>
    <w:rsid w:val="00E10388"/>
    <w:rsid w:val="00E107B2"/>
    <w:rsid w:val="00E10EB1"/>
    <w:rsid w:val="00E114CF"/>
    <w:rsid w:val="00E115E0"/>
    <w:rsid w:val="00E1200C"/>
    <w:rsid w:val="00E120E4"/>
    <w:rsid w:val="00E12928"/>
    <w:rsid w:val="00E13636"/>
    <w:rsid w:val="00E13D02"/>
    <w:rsid w:val="00E149F4"/>
    <w:rsid w:val="00E15421"/>
    <w:rsid w:val="00E15D99"/>
    <w:rsid w:val="00E174FE"/>
    <w:rsid w:val="00E17ECD"/>
    <w:rsid w:val="00E17F53"/>
    <w:rsid w:val="00E20354"/>
    <w:rsid w:val="00E207DB"/>
    <w:rsid w:val="00E21F5A"/>
    <w:rsid w:val="00E234C7"/>
    <w:rsid w:val="00E24EC1"/>
    <w:rsid w:val="00E25124"/>
    <w:rsid w:val="00E25A4F"/>
    <w:rsid w:val="00E261F8"/>
    <w:rsid w:val="00E26B25"/>
    <w:rsid w:val="00E26BD5"/>
    <w:rsid w:val="00E26E25"/>
    <w:rsid w:val="00E27DF3"/>
    <w:rsid w:val="00E3110A"/>
    <w:rsid w:val="00E319CB"/>
    <w:rsid w:val="00E319DC"/>
    <w:rsid w:val="00E324AD"/>
    <w:rsid w:val="00E3342D"/>
    <w:rsid w:val="00E33683"/>
    <w:rsid w:val="00E33734"/>
    <w:rsid w:val="00E34AA9"/>
    <w:rsid w:val="00E368F3"/>
    <w:rsid w:val="00E36A4F"/>
    <w:rsid w:val="00E37D5F"/>
    <w:rsid w:val="00E40942"/>
    <w:rsid w:val="00E4125E"/>
    <w:rsid w:val="00E41E22"/>
    <w:rsid w:val="00E4239D"/>
    <w:rsid w:val="00E429A0"/>
    <w:rsid w:val="00E42D39"/>
    <w:rsid w:val="00E4337B"/>
    <w:rsid w:val="00E4483E"/>
    <w:rsid w:val="00E44CD4"/>
    <w:rsid w:val="00E45B91"/>
    <w:rsid w:val="00E46804"/>
    <w:rsid w:val="00E46C57"/>
    <w:rsid w:val="00E47A7B"/>
    <w:rsid w:val="00E513EE"/>
    <w:rsid w:val="00E5176B"/>
    <w:rsid w:val="00E51813"/>
    <w:rsid w:val="00E527C9"/>
    <w:rsid w:val="00E528BA"/>
    <w:rsid w:val="00E53497"/>
    <w:rsid w:val="00E534DF"/>
    <w:rsid w:val="00E537A9"/>
    <w:rsid w:val="00E55A50"/>
    <w:rsid w:val="00E565C2"/>
    <w:rsid w:val="00E56D70"/>
    <w:rsid w:val="00E56E1E"/>
    <w:rsid w:val="00E60269"/>
    <w:rsid w:val="00E60887"/>
    <w:rsid w:val="00E60C32"/>
    <w:rsid w:val="00E61582"/>
    <w:rsid w:val="00E61619"/>
    <w:rsid w:val="00E61E25"/>
    <w:rsid w:val="00E6272B"/>
    <w:rsid w:val="00E627F6"/>
    <w:rsid w:val="00E62CF0"/>
    <w:rsid w:val="00E62F1A"/>
    <w:rsid w:val="00E63F1D"/>
    <w:rsid w:val="00E63FA5"/>
    <w:rsid w:val="00E646D5"/>
    <w:rsid w:val="00E64964"/>
    <w:rsid w:val="00E64EEE"/>
    <w:rsid w:val="00E663AD"/>
    <w:rsid w:val="00E66F49"/>
    <w:rsid w:val="00E67F4F"/>
    <w:rsid w:val="00E721A9"/>
    <w:rsid w:val="00E727F8"/>
    <w:rsid w:val="00E73549"/>
    <w:rsid w:val="00E73EB9"/>
    <w:rsid w:val="00E74861"/>
    <w:rsid w:val="00E748DD"/>
    <w:rsid w:val="00E74EC9"/>
    <w:rsid w:val="00E750A5"/>
    <w:rsid w:val="00E75733"/>
    <w:rsid w:val="00E75A9D"/>
    <w:rsid w:val="00E76B19"/>
    <w:rsid w:val="00E80CF7"/>
    <w:rsid w:val="00E81581"/>
    <w:rsid w:val="00E81B8E"/>
    <w:rsid w:val="00E81ED7"/>
    <w:rsid w:val="00E82742"/>
    <w:rsid w:val="00E82FC0"/>
    <w:rsid w:val="00E8369B"/>
    <w:rsid w:val="00E8377F"/>
    <w:rsid w:val="00E83850"/>
    <w:rsid w:val="00E85244"/>
    <w:rsid w:val="00E86159"/>
    <w:rsid w:val="00E86741"/>
    <w:rsid w:val="00E86DCB"/>
    <w:rsid w:val="00E87AE4"/>
    <w:rsid w:val="00E90C1F"/>
    <w:rsid w:val="00E9124A"/>
    <w:rsid w:val="00E91A8F"/>
    <w:rsid w:val="00E9222C"/>
    <w:rsid w:val="00E92AA5"/>
    <w:rsid w:val="00E9314A"/>
    <w:rsid w:val="00E9558B"/>
    <w:rsid w:val="00E957C5"/>
    <w:rsid w:val="00E95D1B"/>
    <w:rsid w:val="00E9735C"/>
    <w:rsid w:val="00E975FE"/>
    <w:rsid w:val="00EA233A"/>
    <w:rsid w:val="00EA234B"/>
    <w:rsid w:val="00EA267F"/>
    <w:rsid w:val="00EA274B"/>
    <w:rsid w:val="00EA2EFA"/>
    <w:rsid w:val="00EA3184"/>
    <w:rsid w:val="00EA3732"/>
    <w:rsid w:val="00EA3CDD"/>
    <w:rsid w:val="00EA415C"/>
    <w:rsid w:val="00EA5028"/>
    <w:rsid w:val="00EA50D6"/>
    <w:rsid w:val="00EA5714"/>
    <w:rsid w:val="00EA60EF"/>
    <w:rsid w:val="00EA6A30"/>
    <w:rsid w:val="00EA6A41"/>
    <w:rsid w:val="00EA7662"/>
    <w:rsid w:val="00EA7CC3"/>
    <w:rsid w:val="00EB016F"/>
    <w:rsid w:val="00EB04F4"/>
    <w:rsid w:val="00EB1EAC"/>
    <w:rsid w:val="00EB2216"/>
    <w:rsid w:val="00EB27D1"/>
    <w:rsid w:val="00EB33F4"/>
    <w:rsid w:val="00EB3B9C"/>
    <w:rsid w:val="00EB3CFC"/>
    <w:rsid w:val="00EB4C04"/>
    <w:rsid w:val="00EB5513"/>
    <w:rsid w:val="00EB55AF"/>
    <w:rsid w:val="00EB57BD"/>
    <w:rsid w:val="00EB5E43"/>
    <w:rsid w:val="00EB623E"/>
    <w:rsid w:val="00EB6502"/>
    <w:rsid w:val="00EB6787"/>
    <w:rsid w:val="00EB7271"/>
    <w:rsid w:val="00EB7D9C"/>
    <w:rsid w:val="00EC1076"/>
    <w:rsid w:val="00EC1406"/>
    <w:rsid w:val="00EC1526"/>
    <w:rsid w:val="00EC16C0"/>
    <w:rsid w:val="00EC1B26"/>
    <w:rsid w:val="00EC1E52"/>
    <w:rsid w:val="00EC23F3"/>
    <w:rsid w:val="00EC2677"/>
    <w:rsid w:val="00EC2AB5"/>
    <w:rsid w:val="00EC36F2"/>
    <w:rsid w:val="00EC46CC"/>
    <w:rsid w:val="00EC4856"/>
    <w:rsid w:val="00EC4B79"/>
    <w:rsid w:val="00EC4F33"/>
    <w:rsid w:val="00EC5115"/>
    <w:rsid w:val="00EC74BA"/>
    <w:rsid w:val="00EC79C5"/>
    <w:rsid w:val="00EC7E82"/>
    <w:rsid w:val="00EC7E91"/>
    <w:rsid w:val="00ED0B81"/>
    <w:rsid w:val="00ED166B"/>
    <w:rsid w:val="00ED172E"/>
    <w:rsid w:val="00ED1A64"/>
    <w:rsid w:val="00ED28DD"/>
    <w:rsid w:val="00ED2E31"/>
    <w:rsid w:val="00ED3133"/>
    <w:rsid w:val="00ED35A0"/>
    <w:rsid w:val="00ED43A6"/>
    <w:rsid w:val="00ED468B"/>
    <w:rsid w:val="00ED4965"/>
    <w:rsid w:val="00ED5F66"/>
    <w:rsid w:val="00ED69B3"/>
    <w:rsid w:val="00ED6FB9"/>
    <w:rsid w:val="00ED7371"/>
    <w:rsid w:val="00ED7E2F"/>
    <w:rsid w:val="00ED7EA8"/>
    <w:rsid w:val="00EE02A3"/>
    <w:rsid w:val="00EE0650"/>
    <w:rsid w:val="00EE1313"/>
    <w:rsid w:val="00EE1F82"/>
    <w:rsid w:val="00EE2126"/>
    <w:rsid w:val="00EE3363"/>
    <w:rsid w:val="00EE4C7E"/>
    <w:rsid w:val="00EE556D"/>
    <w:rsid w:val="00EE5E81"/>
    <w:rsid w:val="00EE6184"/>
    <w:rsid w:val="00EE641E"/>
    <w:rsid w:val="00EE7A2C"/>
    <w:rsid w:val="00EF09D3"/>
    <w:rsid w:val="00EF108A"/>
    <w:rsid w:val="00EF1240"/>
    <w:rsid w:val="00EF1F75"/>
    <w:rsid w:val="00EF2240"/>
    <w:rsid w:val="00EF3069"/>
    <w:rsid w:val="00EF31A5"/>
    <w:rsid w:val="00EF3700"/>
    <w:rsid w:val="00EF3EB5"/>
    <w:rsid w:val="00EF4939"/>
    <w:rsid w:val="00EF57B9"/>
    <w:rsid w:val="00EF57DF"/>
    <w:rsid w:val="00EF6556"/>
    <w:rsid w:val="00EF71DF"/>
    <w:rsid w:val="00F0252E"/>
    <w:rsid w:val="00F02BAD"/>
    <w:rsid w:val="00F0319D"/>
    <w:rsid w:val="00F036B0"/>
    <w:rsid w:val="00F0441A"/>
    <w:rsid w:val="00F07063"/>
    <w:rsid w:val="00F11635"/>
    <w:rsid w:val="00F12D86"/>
    <w:rsid w:val="00F131AA"/>
    <w:rsid w:val="00F131FD"/>
    <w:rsid w:val="00F1350B"/>
    <w:rsid w:val="00F13B05"/>
    <w:rsid w:val="00F13B5A"/>
    <w:rsid w:val="00F13BAF"/>
    <w:rsid w:val="00F13EA5"/>
    <w:rsid w:val="00F13EED"/>
    <w:rsid w:val="00F14263"/>
    <w:rsid w:val="00F15AF2"/>
    <w:rsid w:val="00F15B30"/>
    <w:rsid w:val="00F162CA"/>
    <w:rsid w:val="00F1673D"/>
    <w:rsid w:val="00F1674C"/>
    <w:rsid w:val="00F17C70"/>
    <w:rsid w:val="00F21290"/>
    <w:rsid w:val="00F220D3"/>
    <w:rsid w:val="00F2299F"/>
    <w:rsid w:val="00F231F0"/>
    <w:rsid w:val="00F24787"/>
    <w:rsid w:val="00F24D39"/>
    <w:rsid w:val="00F251E2"/>
    <w:rsid w:val="00F2586D"/>
    <w:rsid w:val="00F259A5"/>
    <w:rsid w:val="00F25EF1"/>
    <w:rsid w:val="00F263E5"/>
    <w:rsid w:val="00F301E0"/>
    <w:rsid w:val="00F307CC"/>
    <w:rsid w:val="00F30BBA"/>
    <w:rsid w:val="00F31630"/>
    <w:rsid w:val="00F31A8F"/>
    <w:rsid w:val="00F320C0"/>
    <w:rsid w:val="00F32318"/>
    <w:rsid w:val="00F32D63"/>
    <w:rsid w:val="00F34012"/>
    <w:rsid w:val="00F343A3"/>
    <w:rsid w:val="00F34C99"/>
    <w:rsid w:val="00F3531A"/>
    <w:rsid w:val="00F36350"/>
    <w:rsid w:val="00F36E97"/>
    <w:rsid w:val="00F37625"/>
    <w:rsid w:val="00F4173F"/>
    <w:rsid w:val="00F41DB0"/>
    <w:rsid w:val="00F42D15"/>
    <w:rsid w:val="00F439BB"/>
    <w:rsid w:val="00F43CEB"/>
    <w:rsid w:val="00F449D7"/>
    <w:rsid w:val="00F461AE"/>
    <w:rsid w:val="00F467F9"/>
    <w:rsid w:val="00F4703C"/>
    <w:rsid w:val="00F50A96"/>
    <w:rsid w:val="00F5184D"/>
    <w:rsid w:val="00F51B88"/>
    <w:rsid w:val="00F51CB2"/>
    <w:rsid w:val="00F526F5"/>
    <w:rsid w:val="00F534D3"/>
    <w:rsid w:val="00F5421D"/>
    <w:rsid w:val="00F55022"/>
    <w:rsid w:val="00F55184"/>
    <w:rsid w:val="00F560C9"/>
    <w:rsid w:val="00F568B1"/>
    <w:rsid w:val="00F56A91"/>
    <w:rsid w:val="00F5704A"/>
    <w:rsid w:val="00F57FA7"/>
    <w:rsid w:val="00F60DF3"/>
    <w:rsid w:val="00F62057"/>
    <w:rsid w:val="00F6264B"/>
    <w:rsid w:val="00F62837"/>
    <w:rsid w:val="00F6290C"/>
    <w:rsid w:val="00F64433"/>
    <w:rsid w:val="00F646C8"/>
    <w:rsid w:val="00F66721"/>
    <w:rsid w:val="00F6773C"/>
    <w:rsid w:val="00F67988"/>
    <w:rsid w:val="00F67C01"/>
    <w:rsid w:val="00F70909"/>
    <w:rsid w:val="00F70D66"/>
    <w:rsid w:val="00F7114B"/>
    <w:rsid w:val="00F714BE"/>
    <w:rsid w:val="00F71D85"/>
    <w:rsid w:val="00F721EF"/>
    <w:rsid w:val="00F72AAF"/>
    <w:rsid w:val="00F72AC2"/>
    <w:rsid w:val="00F72F17"/>
    <w:rsid w:val="00F731F6"/>
    <w:rsid w:val="00F73923"/>
    <w:rsid w:val="00F73D91"/>
    <w:rsid w:val="00F74168"/>
    <w:rsid w:val="00F742F1"/>
    <w:rsid w:val="00F7470C"/>
    <w:rsid w:val="00F74942"/>
    <w:rsid w:val="00F75B33"/>
    <w:rsid w:val="00F76037"/>
    <w:rsid w:val="00F76171"/>
    <w:rsid w:val="00F761E0"/>
    <w:rsid w:val="00F76832"/>
    <w:rsid w:val="00F76B53"/>
    <w:rsid w:val="00F7761D"/>
    <w:rsid w:val="00F77724"/>
    <w:rsid w:val="00F77839"/>
    <w:rsid w:val="00F77AF3"/>
    <w:rsid w:val="00F77CE6"/>
    <w:rsid w:val="00F77DD1"/>
    <w:rsid w:val="00F77E8E"/>
    <w:rsid w:val="00F8023F"/>
    <w:rsid w:val="00F81349"/>
    <w:rsid w:val="00F82021"/>
    <w:rsid w:val="00F82080"/>
    <w:rsid w:val="00F82566"/>
    <w:rsid w:val="00F82A7B"/>
    <w:rsid w:val="00F8476C"/>
    <w:rsid w:val="00F84D67"/>
    <w:rsid w:val="00F850A1"/>
    <w:rsid w:val="00F855B8"/>
    <w:rsid w:val="00F85CBD"/>
    <w:rsid w:val="00F86B84"/>
    <w:rsid w:val="00F905B8"/>
    <w:rsid w:val="00F91164"/>
    <w:rsid w:val="00F9181F"/>
    <w:rsid w:val="00F91D47"/>
    <w:rsid w:val="00F92B0F"/>
    <w:rsid w:val="00F9354E"/>
    <w:rsid w:val="00F941FC"/>
    <w:rsid w:val="00F96365"/>
    <w:rsid w:val="00F96D24"/>
    <w:rsid w:val="00F97093"/>
    <w:rsid w:val="00F97FF3"/>
    <w:rsid w:val="00FA0091"/>
    <w:rsid w:val="00FA0426"/>
    <w:rsid w:val="00FA0DC9"/>
    <w:rsid w:val="00FA1AA9"/>
    <w:rsid w:val="00FA2C8B"/>
    <w:rsid w:val="00FA2CE3"/>
    <w:rsid w:val="00FA3E0C"/>
    <w:rsid w:val="00FA4F9B"/>
    <w:rsid w:val="00FA4FBA"/>
    <w:rsid w:val="00FA5580"/>
    <w:rsid w:val="00FA655A"/>
    <w:rsid w:val="00FA69C3"/>
    <w:rsid w:val="00FA6AAC"/>
    <w:rsid w:val="00FA6CBC"/>
    <w:rsid w:val="00FA6D48"/>
    <w:rsid w:val="00FA7027"/>
    <w:rsid w:val="00FA7206"/>
    <w:rsid w:val="00FA7EC0"/>
    <w:rsid w:val="00FB1729"/>
    <w:rsid w:val="00FB2DB8"/>
    <w:rsid w:val="00FB30A2"/>
    <w:rsid w:val="00FB429B"/>
    <w:rsid w:val="00FB5119"/>
    <w:rsid w:val="00FB54BA"/>
    <w:rsid w:val="00FB6970"/>
    <w:rsid w:val="00FB6AEE"/>
    <w:rsid w:val="00FC02BF"/>
    <w:rsid w:val="00FC072E"/>
    <w:rsid w:val="00FC1C02"/>
    <w:rsid w:val="00FC3497"/>
    <w:rsid w:val="00FC4323"/>
    <w:rsid w:val="00FC51AE"/>
    <w:rsid w:val="00FC550A"/>
    <w:rsid w:val="00FC551E"/>
    <w:rsid w:val="00FC5790"/>
    <w:rsid w:val="00FC5C41"/>
    <w:rsid w:val="00FC6275"/>
    <w:rsid w:val="00FD039F"/>
    <w:rsid w:val="00FD053B"/>
    <w:rsid w:val="00FD0AF0"/>
    <w:rsid w:val="00FD0D5E"/>
    <w:rsid w:val="00FD1234"/>
    <w:rsid w:val="00FD18F3"/>
    <w:rsid w:val="00FD194F"/>
    <w:rsid w:val="00FD1995"/>
    <w:rsid w:val="00FD2333"/>
    <w:rsid w:val="00FD25C9"/>
    <w:rsid w:val="00FD25E1"/>
    <w:rsid w:val="00FD31B5"/>
    <w:rsid w:val="00FD5688"/>
    <w:rsid w:val="00FD5725"/>
    <w:rsid w:val="00FD5E1C"/>
    <w:rsid w:val="00FD5F36"/>
    <w:rsid w:val="00FD7F6B"/>
    <w:rsid w:val="00FE0948"/>
    <w:rsid w:val="00FE0E33"/>
    <w:rsid w:val="00FE1880"/>
    <w:rsid w:val="00FE2032"/>
    <w:rsid w:val="00FE2B7B"/>
    <w:rsid w:val="00FE3256"/>
    <w:rsid w:val="00FE3990"/>
    <w:rsid w:val="00FE3B9B"/>
    <w:rsid w:val="00FE3F8E"/>
    <w:rsid w:val="00FE47ED"/>
    <w:rsid w:val="00FE5101"/>
    <w:rsid w:val="00FE61DC"/>
    <w:rsid w:val="00FE67D0"/>
    <w:rsid w:val="00FE689B"/>
    <w:rsid w:val="00FE79CE"/>
    <w:rsid w:val="00FE7E56"/>
    <w:rsid w:val="00FF02D0"/>
    <w:rsid w:val="00FF081E"/>
    <w:rsid w:val="00FF1406"/>
    <w:rsid w:val="00FF145C"/>
    <w:rsid w:val="00FF26EE"/>
    <w:rsid w:val="00FF28EC"/>
    <w:rsid w:val="00FF47A3"/>
    <w:rsid w:val="00FF4B3F"/>
    <w:rsid w:val="00FF4B43"/>
    <w:rsid w:val="00FF574F"/>
    <w:rsid w:val="00FF6146"/>
    <w:rsid w:val="00FF7956"/>
    <w:rsid w:val="01415CD2"/>
    <w:rsid w:val="01453A14"/>
    <w:rsid w:val="014D28C9"/>
    <w:rsid w:val="01687703"/>
    <w:rsid w:val="017D31AE"/>
    <w:rsid w:val="01826A17"/>
    <w:rsid w:val="018C1643"/>
    <w:rsid w:val="01AF0E8E"/>
    <w:rsid w:val="01B70F10"/>
    <w:rsid w:val="021967E1"/>
    <w:rsid w:val="021B4775"/>
    <w:rsid w:val="02671768"/>
    <w:rsid w:val="03062D2F"/>
    <w:rsid w:val="030D7E3E"/>
    <w:rsid w:val="03192A63"/>
    <w:rsid w:val="03231B33"/>
    <w:rsid w:val="03321D76"/>
    <w:rsid w:val="0334205E"/>
    <w:rsid w:val="033755DF"/>
    <w:rsid w:val="034321D6"/>
    <w:rsid w:val="034856A5"/>
    <w:rsid w:val="037E320E"/>
    <w:rsid w:val="03BE7AAE"/>
    <w:rsid w:val="03D07714"/>
    <w:rsid w:val="03D80B70"/>
    <w:rsid w:val="03F236B0"/>
    <w:rsid w:val="03F3534A"/>
    <w:rsid w:val="041B280B"/>
    <w:rsid w:val="041F679F"/>
    <w:rsid w:val="04212517"/>
    <w:rsid w:val="045F4DED"/>
    <w:rsid w:val="046248DD"/>
    <w:rsid w:val="04A86794"/>
    <w:rsid w:val="04AB5476"/>
    <w:rsid w:val="04C74740"/>
    <w:rsid w:val="04D550AF"/>
    <w:rsid w:val="04E470A0"/>
    <w:rsid w:val="05031C1C"/>
    <w:rsid w:val="05157BA2"/>
    <w:rsid w:val="05237BC9"/>
    <w:rsid w:val="05834B0B"/>
    <w:rsid w:val="05D11D1B"/>
    <w:rsid w:val="05D435B9"/>
    <w:rsid w:val="05EB2641"/>
    <w:rsid w:val="05EF21A1"/>
    <w:rsid w:val="05FA7789"/>
    <w:rsid w:val="05FE0636"/>
    <w:rsid w:val="05FF09F8"/>
    <w:rsid w:val="060774EA"/>
    <w:rsid w:val="060A2B37"/>
    <w:rsid w:val="060C4B01"/>
    <w:rsid w:val="06141C07"/>
    <w:rsid w:val="06224324"/>
    <w:rsid w:val="062C51A3"/>
    <w:rsid w:val="062E2CC9"/>
    <w:rsid w:val="067D4F9E"/>
    <w:rsid w:val="06A72A7B"/>
    <w:rsid w:val="06D53145"/>
    <w:rsid w:val="070B300A"/>
    <w:rsid w:val="07230354"/>
    <w:rsid w:val="075229E7"/>
    <w:rsid w:val="0757624F"/>
    <w:rsid w:val="078608E3"/>
    <w:rsid w:val="079E5C2C"/>
    <w:rsid w:val="07AF301F"/>
    <w:rsid w:val="07D93108"/>
    <w:rsid w:val="07FB6BDB"/>
    <w:rsid w:val="080D690E"/>
    <w:rsid w:val="08204893"/>
    <w:rsid w:val="08444A26"/>
    <w:rsid w:val="086F7E62"/>
    <w:rsid w:val="08A059D4"/>
    <w:rsid w:val="08C07E24"/>
    <w:rsid w:val="08C276F9"/>
    <w:rsid w:val="08CB2A51"/>
    <w:rsid w:val="08E27D9B"/>
    <w:rsid w:val="09300B06"/>
    <w:rsid w:val="093A1D5C"/>
    <w:rsid w:val="09905A49"/>
    <w:rsid w:val="0992531D"/>
    <w:rsid w:val="099512B1"/>
    <w:rsid w:val="09AB2883"/>
    <w:rsid w:val="09AD65FB"/>
    <w:rsid w:val="09B5725D"/>
    <w:rsid w:val="09E55D95"/>
    <w:rsid w:val="09EA6F07"/>
    <w:rsid w:val="09F07824"/>
    <w:rsid w:val="0A287A2F"/>
    <w:rsid w:val="0A375EC4"/>
    <w:rsid w:val="0A40746F"/>
    <w:rsid w:val="0A5371A2"/>
    <w:rsid w:val="0A5B1BB3"/>
    <w:rsid w:val="0A6D18E6"/>
    <w:rsid w:val="0A786C09"/>
    <w:rsid w:val="0A9926DB"/>
    <w:rsid w:val="0AAC0660"/>
    <w:rsid w:val="0AC57974"/>
    <w:rsid w:val="0AE147AE"/>
    <w:rsid w:val="0AE778EA"/>
    <w:rsid w:val="0AFD2C6A"/>
    <w:rsid w:val="0B0104DC"/>
    <w:rsid w:val="0B093D05"/>
    <w:rsid w:val="0B362BF0"/>
    <w:rsid w:val="0B5C3E34"/>
    <w:rsid w:val="0B60651B"/>
    <w:rsid w:val="0B835865"/>
    <w:rsid w:val="0B9340C0"/>
    <w:rsid w:val="0BA94BA0"/>
    <w:rsid w:val="0BB26C18"/>
    <w:rsid w:val="0BB43C70"/>
    <w:rsid w:val="0BBF2615"/>
    <w:rsid w:val="0BDE0CED"/>
    <w:rsid w:val="0BDF6813"/>
    <w:rsid w:val="0C060244"/>
    <w:rsid w:val="0C2801BA"/>
    <w:rsid w:val="0C8C699B"/>
    <w:rsid w:val="0CB87790"/>
    <w:rsid w:val="0CBA3508"/>
    <w:rsid w:val="0CC779D3"/>
    <w:rsid w:val="0D054058"/>
    <w:rsid w:val="0D1077DD"/>
    <w:rsid w:val="0D32334D"/>
    <w:rsid w:val="0D470B14"/>
    <w:rsid w:val="0D4B4161"/>
    <w:rsid w:val="0D4F196D"/>
    <w:rsid w:val="0D646E2A"/>
    <w:rsid w:val="0D7F3E0A"/>
    <w:rsid w:val="0DAD6BC9"/>
    <w:rsid w:val="0DE16873"/>
    <w:rsid w:val="0DEE2D3E"/>
    <w:rsid w:val="0DF04D08"/>
    <w:rsid w:val="0E146C48"/>
    <w:rsid w:val="0E3966AF"/>
    <w:rsid w:val="0E455054"/>
    <w:rsid w:val="0E4A266A"/>
    <w:rsid w:val="0E4D3F08"/>
    <w:rsid w:val="0E567261"/>
    <w:rsid w:val="0EAA135B"/>
    <w:rsid w:val="0EB36461"/>
    <w:rsid w:val="0ECD6BB9"/>
    <w:rsid w:val="0F1D7D7F"/>
    <w:rsid w:val="0F3F1AA3"/>
    <w:rsid w:val="0F474DFC"/>
    <w:rsid w:val="0F5170F1"/>
    <w:rsid w:val="0F56503F"/>
    <w:rsid w:val="0F7F6343"/>
    <w:rsid w:val="0F8C280E"/>
    <w:rsid w:val="0FD7617F"/>
    <w:rsid w:val="0FDF64A1"/>
    <w:rsid w:val="0FE34B24"/>
    <w:rsid w:val="0FF860F6"/>
    <w:rsid w:val="10042CED"/>
    <w:rsid w:val="10156CA8"/>
    <w:rsid w:val="10247488"/>
    <w:rsid w:val="10294501"/>
    <w:rsid w:val="102A1CBB"/>
    <w:rsid w:val="106043C7"/>
    <w:rsid w:val="107C061C"/>
    <w:rsid w:val="10944070"/>
    <w:rsid w:val="109C2F25"/>
    <w:rsid w:val="10BF7A6B"/>
    <w:rsid w:val="10E2302E"/>
    <w:rsid w:val="10E5667A"/>
    <w:rsid w:val="10E87F18"/>
    <w:rsid w:val="10ED3781"/>
    <w:rsid w:val="10F863AD"/>
    <w:rsid w:val="110A60E1"/>
    <w:rsid w:val="111451B1"/>
    <w:rsid w:val="11205904"/>
    <w:rsid w:val="113676AF"/>
    <w:rsid w:val="114415F3"/>
    <w:rsid w:val="114A0BD3"/>
    <w:rsid w:val="114A387E"/>
    <w:rsid w:val="11543BAC"/>
    <w:rsid w:val="115630D4"/>
    <w:rsid w:val="117417AC"/>
    <w:rsid w:val="117D2D56"/>
    <w:rsid w:val="11A5684D"/>
    <w:rsid w:val="11C4082F"/>
    <w:rsid w:val="11C95F9C"/>
    <w:rsid w:val="11D32976"/>
    <w:rsid w:val="11D861DF"/>
    <w:rsid w:val="11DC5CCF"/>
    <w:rsid w:val="12042B30"/>
    <w:rsid w:val="120E7E09"/>
    <w:rsid w:val="1218482D"/>
    <w:rsid w:val="122B630F"/>
    <w:rsid w:val="123478B9"/>
    <w:rsid w:val="123D4E07"/>
    <w:rsid w:val="12443874"/>
    <w:rsid w:val="124949E7"/>
    <w:rsid w:val="124B075F"/>
    <w:rsid w:val="125735A8"/>
    <w:rsid w:val="126A5144"/>
    <w:rsid w:val="126E2D03"/>
    <w:rsid w:val="12957C2C"/>
    <w:rsid w:val="12D60970"/>
    <w:rsid w:val="12DC3AAD"/>
    <w:rsid w:val="13201BEB"/>
    <w:rsid w:val="13765CAF"/>
    <w:rsid w:val="13CC58CF"/>
    <w:rsid w:val="13F74556"/>
    <w:rsid w:val="13FB7F63"/>
    <w:rsid w:val="140E7C96"/>
    <w:rsid w:val="1424570B"/>
    <w:rsid w:val="143F2545"/>
    <w:rsid w:val="144B713C"/>
    <w:rsid w:val="145C4EA5"/>
    <w:rsid w:val="14755332"/>
    <w:rsid w:val="148A7C64"/>
    <w:rsid w:val="14A16D5C"/>
    <w:rsid w:val="14AF76CB"/>
    <w:rsid w:val="14B85A81"/>
    <w:rsid w:val="14BF71E2"/>
    <w:rsid w:val="14D07641"/>
    <w:rsid w:val="14D94748"/>
    <w:rsid w:val="14D964F6"/>
    <w:rsid w:val="14ED3D4F"/>
    <w:rsid w:val="14F72E20"/>
    <w:rsid w:val="14F75F2A"/>
    <w:rsid w:val="14F90946"/>
    <w:rsid w:val="151469B7"/>
    <w:rsid w:val="152850C5"/>
    <w:rsid w:val="155618F4"/>
    <w:rsid w:val="156D4E90"/>
    <w:rsid w:val="15956C4F"/>
    <w:rsid w:val="159F2DAC"/>
    <w:rsid w:val="15CE1DD3"/>
    <w:rsid w:val="1609105D"/>
    <w:rsid w:val="16331C36"/>
    <w:rsid w:val="163360DA"/>
    <w:rsid w:val="1635775C"/>
    <w:rsid w:val="16493207"/>
    <w:rsid w:val="168C1346"/>
    <w:rsid w:val="16A668AC"/>
    <w:rsid w:val="16B25250"/>
    <w:rsid w:val="16B94475"/>
    <w:rsid w:val="16BF34C9"/>
    <w:rsid w:val="16CF5E02"/>
    <w:rsid w:val="16D01B7A"/>
    <w:rsid w:val="16E15B36"/>
    <w:rsid w:val="16F74B8C"/>
    <w:rsid w:val="1706559C"/>
    <w:rsid w:val="17123F41"/>
    <w:rsid w:val="171C091C"/>
    <w:rsid w:val="17375756"/>
    <w:rsid w:val="174C1F50"/>
    <w:rsid w:val="178070FD"/>
    <w:rsid w:val="17853B61"/>
    <w:rsid w:val="179606CE"/>
    <w:rsid w:val="17BE3B06"/>
    <w:rsid w:val="17CA481C"/>
    <w:rsid w:val="17E21B65"/>
    <w:rsid w:val="17E70F2A"/>
    <w:rsid w:val="18381785"/>
    <w:rsid w:val="186500A0"/>
    <w:rsid w:val="186B1B5B"/>
    <w:rsid w:val="18722EE9"/>
    <w:rsid w:val="189015C1"/>
    <w:rsid w:val="1890336F"/>
    <w:rsid w:val="18B76B4E"/>
    <w:rsid w:val="18E40145"/>
    <w:rsid w:val="18EE0096"/>
    <w:rsid w:val="19006747"/>
    <w:rsid w:val="19212219"/>
    <w:rsid w:val="192B12EA"/>
    <w:rsid w:val="19341F4D"/>
    <w:rsid w:val="19404D95"/>
    <w:rsid w:val="195048A6"/>
    <w:rsid w:val="19662322"/>
    <w:rsid w:val="19866520"/>
    <w:rsid w:val="19B17A41"/>
    <w:rsid w:val="19BD0194"/>
    <w:rsid w:val="19CF1C75"/>
    <w:rsid w:val="19E35721"/>
    <w:rsid w:val="19EA2F53"/>
    <w:rsid w:val="19EA6260"/>
    <w:rsid w:val="1A4474E8"/>
    <w:rsid w:val="1A7F369B"/>
    <w:rsid w:val="1A8E1B30"/>
    <w:rsid w:val="1A96278C"/>
    <w:rsid w:val="1AAB26E2"/>
    <w:rsid w:val="1AD339E7"/>
    <w:rsid w:val="1AFB05F2"/>
    <w:rsid w:val="1B0B72D0"/>
    <w:rsid w:val="1B100797"/>
    <w:rsid w:val="1B2304CB"/>
    <w:rsid w:val="1B245FF1"/>
    <w:rsid w:val="1B9E5DA3"/>
    <w:rsid w:val="1BB90E2F"/>
    <w:rsid w:val="1BCE272A"/>
    <w:rsid w:val="1BCF2401"/>
    <w:rsid w:val="1C13053F"/>
    <w:rsid w:val="1C24274C"/>
    <w:rsid w:val="1C2A3ADB"/>
    <w:rsid w:val="1C3B7A96"/>
    <w:rsid w:val="1C672639"/>
    <w:rsid w:val="1C6F7740"/>
    <w:rsid w:val="1C7B7E93"/>
    <w:rsid w:val="1C850D11"/>
    <w:rsid w:val="1CA7512B"/>
    <w:rsid w:val="1CA92C52"/>
    <w:rsid w:val="1CB533A4"/>
    <w:rsid w:val="1CC17F9B"/>
    <w:rsid w:val="1CD22DC8"/>
    <w:rsid w:val="1CD81789"/>
    <w:rsid w:val="1CFF2872"/>
    <w:rsid w:val="1D083E1C"/>
    <w:rsid w:val="1D1327C1"/>
    <w:rsid w:val="1D2B1804"/>
    <w:rsid w:val="1DAD49C3"/>
    <w:rsid w:val="1DE008F5"/>
    <w:rsid w:val="1DEF28E6"/>
    <w:rsid w:val="1E0068A1"/>
    <w:rsid w:val="1E3173A3"/>
    <w:rsid w:val="1E334EC9"/>
    <w:rsid w:val="1E3950C5"/>
    <w:rsid w:val="1E4808ED"/>
    <w:rsid w:val="1E766B63"/>
    <w:rsid w:val="1E8A0861"/>
    <w:rsid w:val="1E984D2C"/>
    <w:rsid w:val="1E9B3AFC"/>
    <w:rsid w:val="1EAC6A29"/>
    <w:rsid w:val="1EB53B30"/>
    <w:rsid w:val="1F182311"/>
    <w:rsid w:val="1F43738D"/>
    <w:rsid w:val="1F536EA5"/>
    <w:rsid w:val="1F7237CF"/>
    <w:rsid w:val="1F7E03C6"/>
    <w:rsid w:val="1F8E612F"/>
    <w:rsid w:val="1F9000F9"/>
    <w:rsid w:val="1FAB6CE1"/>
    <w:rsid w:val="1FE46AA9"/>
    <w:rsid w:val="1FF468DA"/>
    <w:rsid w:val="1FF70178"/>
    <w:rsid w:val="201A79C2"/>
    <w:rsid w:val="20322F5E"/>
    <w:rsid w:val="20476A09"/>
    <w:rsid w:val="2063580D"/>
    <w:rsid w:val="207B2B57"/>
    <w:rsid w:val="20C55B80"/>
    <w:rsid w:val="20C75D9C"/>
    <w:rsid w:val="20DD736E"/>
    <w:rsid w:val="20EA55E7"/>
    <w:rsid w:val="210E39CB"/>
    <w:rsid w:val="21132D8F"/>
    <w:rsid w:val="211F1734"/>
    <w:rsid w:val="212E1977"/>
    <w:rsid w:val="21696E53"/>
    <w:rsid w:val="217001E2"/>
    <w:rsid w:val="218E68BA"/>
    <w:rsid w:val="21A67760"/>
    <w:rsid w:val="21F77FBB"/>
    <w:rsid w:val="21F91F85"/>
    <w:rsid w:val="21FC7CC7"/>
    <w:rsid w:val="220646A2"/>
    <w:rsid w:val="22123047"/>
    <w:rsid w:val="22146DBF"/>
    <w:rsid w:val="22396826"/>
    <w:rsid w:val="225C42C2"/>
    <w:rsid w:val="22DD3655"/>
    <w:rsid w:val="22E26EBD"/>
    <w:rsid w:val="22E67766"/>
    <w:rsid w:val="22F4099F"/>
    <w:rsid w:val="23286980"/>
    <w:rsid w:val="23486984"/>
    <w:rsid w:val="234C07DB"/>
    <w:rsid w:val="23621DAC"/>
    <w:rsid w:val="237F295E"/>
    <w:rsid w:val="23AA1DA8"/>
    <w:rsid w:val="23E7405F"/>
    <w:rsid w:val="23ED1676"/>
    <w:rsid w:val="23F30C56"/>
    <w:rsid w:val="23F41E93"/>
    <w:rsid w:val="23FF13A9"/>
    <w:rsid w:val="2403533D"/>
    <w:rsid w:val="24172B97"/>
    <w:rsid w:val="242751B3"/>
    <w:rsid w:val="242E1C8E"/>
    <w:rsid w:val="245E4A59"/>
    <w:rsid w:val="246833F2"/>
    <w:rsid w:val="24771887"/>
    <w:rsid w:val="25184241"/>
    <w:rsid w:val="25292B82"/>
    <w:rsid w:val="253909CD"/>
    <w:rsid w:val="25457290"/>
    <w:rsid w:val="256C2A6E"/>
    <w:rsid w:val="257638ED"/>
    <w:rsid w:val="25B54415"/>
    <w:rsid w:val="25CD5C03"/>
    <w:rsid w:val="25E22D55"/>
    <w:rsid w:val="260E1D77"/>
    <w:rsid w:val="260E7FC9"/>
    <w:rsid w:val="26284DDB"/>
    <w:rsid w:val="262D48F3"/>
    <w:rsid w:val="268B33C8"/>
    <w:rsid w:val="269B7AAF"/>
    <w:rsid w:val="26BE554B"/>
    <w:rsid w:val="26E825C8"/>
    <w:rsid w:val="26EA4592"/>
    <w:rsid w:val="27127645"/>
    <w:rsid w:val="272F01F7"/>
    <w:rsid w:val="27BA5D13"/>
    <w:rsid w:val="27BD1CA7"/>
    <w:rsid w:val="27BF3329"/>
    <w:rsid w:val="27D72D69"/>
    <w:rsid w:val="27E45486"/>
    <w:rsid w:val="284321AC"/>
    <w:rsid w:val="28771E56"/>
    <w:rsid w:val="28A16ED3"/>
    <w:rsid w:val="28C768EF"/>
    <w:rsid w:val="28DD6E23"/>
    <w:rsid w:val="28F90ABD"/>
    <w:rsid w:val="2903193C"/>
    <w:rsid w:val="29422464"/>
    <w:rsid w:val="29564161"/>
    <w:rsid w:val="29785E86"/>
    <w:rsid w:val="29C70BBB"/>
    <w:rsid w:val="2A31206B"/>
    <w:rsid w:val="2A36061B"/>
    <w:rsid w:val="2A614B6C"/>
    <w:rsid w:val="2A720B27"/>
    <w:rsid w:val="2A830F86"/>
    <w:rsid w:val="2AA35184"/>
    <w:rsid w:val="2ACE1AD5"/>
    <w:rsid w:val="2AD52E64"/>
    <w:rsid w:val="2B177920"/>
    <w:rsid w:val="2B193698"/>
    <w:rsid w:val="2B2D2CA0"/>
    <w:rsid w:val="2B481888"/>
    <w:rsid w:val="2B9C7E34"/>
    <w:rsid w:val="2BA7222F"/>
    <w:rsid w:val="2BA96061"/>
    <w:rsid w:val="2BC74EA2"/>
    <w:rsid w:val="2BC90C1A"/>
    <w:rsid w:val="2C29790B"/>
    <w:rsid w:val="2CA174A1"/>
    <w:rsid w:val="2CED6C3A"/>
    <w:rsid w:val="2D0C788F"/>
    <w:rsid w:val="2D295F9A"/>
    <w:rsid w:val="2D314CC9"/>
    <w:rsid w:val="2D35408E"/>
    <w:rsid w:val="2D3E73E6"/>
    <w:rsid w:val="2D510EC7"/>
    <w:rsid w:val="2D8F19F0"/>
    <w:rsid w:val="2DA21723"/>
    <w:rsid w:val="2DCF003E"/>
    <w:rsid w:val="2DE03FF9"/>
    <w:rsid w:val="2E0E0B66"/>
    <w:rsid w:val="2E2959A0"/>
    <w:rsid w:val="2E2B27AB"/>
    <w:rsid w:val="2E627104"/>
    <w:rsid w:val="2E642E7C"/>
    <w:rsid w:val="2E903C71"/>
    <w:rsid w:val="2E921DA5"/>
    <w:rsid w:val="2E9372BE"/>
    <w:rsid w:val="2EA65243"/>
    <w:rsid w:val="2EB55486"/>
    <w:rsid w:val="2EB84F76"/>
    <w:rsid w:val="2EBB09DD"/>
    <w:rsid w:val="2EC97183"/>
    <w:rsid w:val="2EDF69A7"/>
    <w:rsid w:val="2F0B32F8"/>
    <w:rsid w:val="2F0D0E1E"/>
    <w:rsid w:val="2F320885"/>
    <w:rsid w:val="2F34284F"/>
    <w:rsid w:val="2F603644"/>
    <w:rsid w:val="2F904782"/>
    <w:rsid w:val="2FCD4A51"/>
    <w:rsid w:val="2FE34275"/>
    <w:rsid w:val="2FF43D8C"/>
    <w:rsid w:val="30006A18"/>
    <w:rsid w:val="30045057"/>
    <w:rsid w:val="302C5C1C"/>
    <w:rsid w:val="302D729E"/>
    <w:rsid w:val="303A20E7"/>
    <w:rsid w:val="30667B76"/>
    <w:rsid w:val="307410C2"/>
    <w:rsid w:val="30B26121"/>
    <w:rsid w:val="30D75B88"/>
    <w:rsid w:val="30E327D8"/>
    <w:rsid w:val="31102E48"/>
    <w:rsid w:val="311C359A"/>
    <w:rsid w:val="313702FA"/>
    <w:rsid w:val="31376626"/>
    <w:rsid w:val="313C5E2A"/>
    <w:rsid w:val="31701B38"/>
    <w:rsid w:val="31813D45"/>
    <w:rsid w:val="319A0963"/>
    <w:rsid w:val="31A812D2"/>
    <w:rsid w:val="31AD68E8"/>
    <w:rsid w:val="31DB5204"/>
    <w:rsid w:val="32170BF7"/>
    <w:rsid w:val="322F72FD"/>
    <w:rsid w:val="323668DE"/>
    <w:rsid w:val="324E1E79"/>
    <w:rsid w:val="325B6344"/>
    <w:rsid w:val="32A1591F"/>
    <w:rsid w:val="32C043F9"/>
    <w:rsid w:val="32CA640C"/>
    <w:rsid w:val="32D3412D"/>
    <w:rsid w:val="32FF3174"/>
    <w:rsid w:val="33044C2E"/>
    <w:rsid w:val="33052E4F"/>
    <w:rsid w:val="33150BE9"/>
    <w:rsid w:val="33264BA4"/>
    <w:rsid w:val="33694A91"/>
    <w:rsid w:val="33707BCD"/>
    <w:rsid w:val="339E0BDF"/>
    <w:rsid w:val="33CD330B"/>
    <w:rsid w:val="33DE547F"/>
    <w:rsid w:val="34060532"/>
    <w:rsid w:val="340F5638"/>
    <w:rsid w:val="341D7D55"/>
    <w:rsid w:val="343B642D"/>
    <w:rsid w:val="3474193F"/>
    <w:rsid w:val="347656B7"/>
    <w:rsid w:val="348E3839"/>
    <w:rsid w:val="34A43FD3"/>
    <w:rsid w:val="34CC3529"/>
    <w:rsid w:val="34CC52D7"/>
    <w:rsid w:val="34D523DE"/>
    <w:rsid w:val="34EE16F2"/>
    <w:rsid w:val="34FF745B"/>
    <w:rsid w:val="35373099"/>
    <w:rsid w:val="354B08F2"/>
    <w:rsid w:val="3566572C"/>
    <w:rsid w:val="359A53D6"/>
    <w:rsid w:val="35AF558A"/>
    <w:rsid w:val="35B20971"/>
    <w:rsid w:val="35C46889"/>
    <w:rsid w:val="35CB1A33"/>
    <w:rsid w:val="36080591"/>
    <w:rsid w:val="364A5420"/>
    <w:rsid w:val="3667175C"/>
    <w:rsid w:val="366C4FC4"/>
    <w:rsid w:val="366E68DA"/>
    <w:rsid w:val="36806379"/>
    <w:rsid w:val="373D24BC"/>
    <w:rsid w:val="374B4BD9"/>
    <w:rsid w:val="376637C1"/>
    <w:rsid w:val="376712E7"/>
    <w:rsid w:val="377D6D5D"/>
    <w:rsid w:val="37D42E21"/>
    <w:rsid w:val="37F012DD"/>
    <w:rsid w:val="37FA3B07"/>
    <w:rsid w:val="37FC4126"/>
    <w:rsid w:val="3801173C"/>
    <w:rsid w:val="380D1E8F"/>
    <w:rsid w:val="38125841"/>
    <w:rsid w:val="384A6C3F"/>
    <w:rsid w:val="38926838"/>
    <w:rsid w:val="38AA5930"/>
    <w:rsid w:val="38AC5B4C"/>
    <w:rsid w:val="38AD5420"/>
    <w:rsid w:val="38B844F1"/>
    <w:rsid w:val="38C70290"/>
    <w:rsid w:val="38CA4224"/>
    <w:rsid w:val="393435C0"/>
    <w:rsid w:val="39534219"/>
    <w:rsid w:val="396E2E01"/>
    <w:rsid w:val="39B76556"/>
    <w:rsid w:val="39BA7DF4"/>
    <w:rsid w:val="39C26CA9"/>
    <w:rsid w:val="39D0586A"/>
    <w:rsid w:val="3A0472C2"/>
    <w:rsid w:val="3A085004"/>
    <w:rsid w:val="3A17143A"/>
    <w:rsid w:val="3A1F5EA9"/>
    <w:rsid w:val="3A2F2590"/>
    <w:rsid w:val="3A4B6C9E"/>
    <w:rsid w:val="3A5C0EAC"/>
    <w:rsid w:val="3A5F274A"/>
    <w:rsid w:val="3A660185"/>
    <w:rsid w:val="3B331C0C"/>
    <w:rsid w:val="3B5129DA"/>
    <w:rsid w:val="3B660234"/>
    <w:rsid w:val="3B762441"/>
    <w:rsid w:val="3B8C0AAB"/>
    <w:rsid w:val="3BB05953"/>
    <w:rsid w:val="3BC1190E"/>
    <w:rsid w:val="3BDD4E74"/>
    <w:rsid w:val="3BE92C13"/>
    <w:rsid w:val="3BF16943"/>
    <w:rsid w:val="3BF70E8C"/>
    <w:rsid w:val="3C254167"/>
    <w:rsid w:val="3C54617F"/>
    <w:rsid w:val="3CD613E9"/>
    <w:rsid w:val="3CDB69FF"/>
    <w:rsid w:val="3CE5162C"/>
    <w:rsid w:val="3CEA279F"/>
    <w:rsid w:val="3D171F98"/>
    <w:rsid w:val="3D4C3459"/>
    <w:rsid w:val="3D540560"/>
    <w:rsid w:val="3D673DEF"/>
    <w:rsid w:val="3D9C10CD"/>
    <w:rsid w:val="3DB37034"/>
    <w:rsid w:val="3DC6005E"/>
    <w:rsid w:val="3DCE75E8"/>
    <w:rsid w:val="3DF02037"/>
    <w:rsid w:val="3DF633C5"/>
    <w:rsid w:val="3E021D6A"/>
    <w:rsid w:val="3E2672E7"/>
    <w:rsid w:val="3E734A16"/>
    <w:rsid w:val="3E7A3FF6"/>
    <w:rsid w:val="3E80785E"/>
    <w:rsid w:val="3EA64DEB"/>
    <w:rsid w:val="3ECB6600"/>
    <w:rsid w:val="3EDE4585"/>
    <w:rsid w:val="3EDE6333"/>
    <w:rsid w:val="3F1C50AD"/>
    <w:rsid w:val="3F367F1D"/>
    <w:rsid w:val="3F5C54AA"/>
    <w:rsid w:val="3F634A8A"/>
    <w:rsid w:val="3F6820A1"/>
    <w:rsid w:val="3F7171A7"/>
    <w:rsid w:val="3F7D78FA"/>
    <w:rsid w:val="3F830C89"/>
    <w:rsid w:val="3F892743"/>
    <w:rsid w:val="3FA34647"/>
    <w:rsid w:val="3FE23C01"/>
    <w:rsid w:val="400022D9"/>
    <w:rsid w:val="4013200C"/>
    <w:rsid w:val="40532D51"/>
    <w:rsid w:val="40580367"/>
    <w:rsid w:val="40BC26A4"/>
    <w:rsid w:val="40CA3013"/>
    <w:rsid w:val="40E340D5"/>
    <w:rsid w:val="40F2256A"/>
    <w:rsid w:val="40F63E08"/>
    <w:rsid w:val="410127AD"/>
    <w:rsid w:val="411529FB"/>
    <w:rsid w:val="41362456"/>
    <w:rsid w:val="413B5CBF"/>
    <w:rsid w:val="415C79E3"/>
    <w:rsid w:val="41652D3C"/>
    <w:rsid w:val="41676AB4"/>
    <w:rsid w:val="41CA2D0D"/>
    <w:rsid w:val="41CA7043"/>
    <w:rsid w:val="41CF23DC"/>
    <w:rsid w:val="41DB399D"/>
    <w:rsid w:val="41E41EB2"/>
    <w:rsid w:val="41E77BF5"/>
    <w:rsid w:val="41F61BE6"/>
    <w:rsid w:val="42073DF3"/>
    <w:rsid w:val="4218267E"/>
    <w:rsid w:val="421E187C"/>
    <w:rsid w:val="4246491B"/>
    <w:rsid w:val="4250579A"/>
    <w:rsid w:val="42707BEA"/>
    <w:rsid w:val="427B20EB"/>
    <w:rsid w:val="428611BC"/>
    <w:rsid w:val="42A11473"/>
    <w:rsid w:val="42B86E9B"/>
    <w:rsid w:val="42CD2946"/>
    <w:rsid w:val="42F500EF"/>
    <w:rsid w:val="4315253F"/>
    <w:rsid w:val="433230F1"/>
    <w:rsid w:val="4353255E"/>
    <w:rsid w:val="43664B49"/>
    <w:rsid w:val="436A288B"/>
    <w:rsid w:val="438F22F2"/>
    <w:rsid w:val="43931DE2"/>
    <w:rsid w:val="439711A6"/>
    <w:rsid w:val="439B2A45"/>
    <w:rsid w:val="43B458B4"/>
    <w:rsid w:val="43B9736F"/>
    <w:rsid w:val="43F16B09"/>
    <w:rsid w:val="44316195"/>
    <w:rsid w:val="443A04B0"/>
    <w:rsid w:val="446077EA"/>
    <w:rsid w:val="44676DCB"/>
    <w:rsid w:val="446C43E1"/>
    <w:rsid w:val="44827761"/>
    <w:rsid w:val="448B4867"/>
    <w:rsid w:val="449F0313"/>
    <w:rsid w:val="44A26055"/>
    <w:rsid w:val="44AC2A30"/>
    <w:rsid w:val="44B02520"/>
    <w:rsid w:val="44D73F50"/>
    <w:rsid w:val="45322F35"/>
    <w:rsid w:val="454B2248"/>
    <w:rsid w:val="454C7069"/>
    <w:rsid w:val="455530C7"/>
    <w:rsid w:val="45596713"/>
    <w:rsid w:val="45886FF9"/>
    <w:rsid w:val="458F0387"/>
    <w:rsid w:val="45905EAD"/>
    <w:rsid w:val="45D40490"/>
    <w:rsid w:val="45E17242"/>
    <w:rsid w:val="46030B23"/>
    <w:rsid w:val="462211FB"/>
    <w:rsid w:val="462F3918"/>
    <w:rsid w:val="465313B5"/>
    <w:rsid w:val="465515D1"/>
    <w:rsid w:val="46583362"/>
    <w:rsid w:val="465E7D59"/>
    <w:rsid w:val="46634A89"/>
    <w:rsid w:val="466C2476"/>
    <w:rsid w:val="466E2692"/>
    <w:rsid w:val="469D0882"/>
    <w:rsid w:val="46A2058E"/>
    <w:rsid w:val="46B05036"/>
    <w:rsid w:val="46BE3798"/>
    <w:rsid w:val="46C95B1B"/>
    <w:rsid w:val="46F506BE"/>
    <w:rsid w:val="47022DDB"/>
    <w:rsid w:val="471843AC"/>
    <w:rsid w:val="47462CC7"/>
    <w:rsid w:val="4764220C"/>
    <w:rsid w:val="4780267D"/>
    <w:rsid w:val="47833F1C"/>
    <w:rsid w:val="479E48B1"/>
    <w:rsid w:val="47B6656B"/>
    <w:rsid w:val="47CF7161"/>
    <w:rsid w:val="48360F8E"/>
    <w:rsid w:val="483F42E6"/>
    <w:rsid w:val="488F68F0"/>
    <w:rsid w:val="48A00AFD"/>
    <w:rsid w:val="48DF3CF4"/>
    <w:rsid w:val="48E1539E"/>
    <w:rsid w:val="48FF3A76"/>
    <w:rsid w:val="490E670B"/>
    <w:rsid w:val="49155047"/>
    <w:rsid w:val="492C413F"/>
    <w:rsid w:val="492E7EB7"/>
    <w:rsid w:val="494D47E1"/>
    <w:rsid w:val="49521DF7"/>
    <w:rsid w:val="49867CF3"/>
    <w:rsid w:val="49A81A17"/>
    <w:rsid w:val="49F76548"/>
    <w:rsid w:val="4A1E7F2C"/>
    <w:rsid w:val="4A2512BA"/>
    <w:rsid w:val="4A25750C"/>
    <w:rsid w:val="4A325785"/>
    <w:rsid w:val="4A6E0EB3"/>
    <w:rsid w:val="4A8907BB"/>
    <w:rsid w:val="4A8A3813"/>
    <w:rsid w:val="4A9D52F4"/>
    <w:rsid w:val="4AC40AD3"/>
    <w:rsid w:val="4AF34F14"/>
    <w:rsid w:val="4B110B90"/>
    <w:rsid w:val="4B1F21AD"/>
    <w:rsid w:val="4B2E05DC"/>
    <w:rsid w:val="4B3D2633"/>
    <w:rsid w:val="4B63653E"/>
    <w:rsid w:val="4B7D0C82"/>
    <w:rsid w:val="4B9A1834"/>
    <w:rsid w:val="4BA12BC2"/>
    <w:rsid w:val="4BF47196"/>
    <w:rsid w:val="4C123AC0"/>
    <w:rsid w:val="4C2149E6"/>
    <w:rsid w:val="4C251A45"/>
    <w:rsid w:val="4C2F4672"/>
    <w:rsid w:val="4C3103EA"/>
    <w:rsid w:val="4C43011D"/>
    <w:rsid w:val="4C4B57BF"/>
    <w:rsid w:val="4C650094"/>
    <w:rsid w:val="4C6A56AA"/>
    <w:rsid w:val="4C8C73CE"/>
    <w:rsid w:val="4CA961D2"/>
    <w:rsid w:val="4CBE77A4"/>
    <w:rsid w:val="4CD60F91"/>
    <w:rsid w:val="4D043409"/>
    <w:rsid w:val="4D07739D"/>
    <w:rsid w:val="4D16138E"/>
    <w:rsid w:val="4D1F46E6"/>
    <w:rsid w:val="4D317F76"/>
    <w:rsid w:val="4D3637DE"/>
    <w:rsid w:val="4D3B2BA3"/>
    <w:rsid w:val="4D6E5660"/>
    <w:rsid w:val="4D7A7B6F"/>
    <w:rsid w:val="4D986247"/>
    <w:rsid w:val="4DAD0AEE"/>
    <w:rsid w:val="4DBC1F35"/>
    <w:rsid w:val="4DC96B69"/>
    <w:rsid w:val="4DE33966"/>
    <w:rsid w:val="4DF711BF"/>
    <w:rsid w:val="4E067654"/>
    <w:rsid w:val="4E2A50F1"/>
    <w:rsid w:val="4E375A60"/>
    <w:rsid w:val="4E5008D0"/>
    <w:rsid w:val="4E524648"/>
    <w:rsid w:val="4E65437B"/>
    <w:rsid w:val="4E683E6B"/>
    <w:rsid w:val="4E8135B3"/>
    <w:rsid w:val="4E8D38D2"/>
    <w:rsid w:val="4E93713A"/>
    <w:rsid w:val="4EC45545"/>
    <w:rsid w:val="4F267444"/>
    <w:rsid w:val="4F4026F2"/>
    <w:rsid w:val="4F652159"/>
    <w:rsid w:val="4F7A3E56"/>
    <w:rsid w:val="4F870321"/>
    <w:rsid w:val="4F8E7901"/>
    <w:rsid w:val="4F9D5D96"/>
    <w:rsid w:val="4FB530E0"/>
    <w:rsid w:val="4FBF7ABB"/>
    <w:rsid w:val="4FDD43E5"/>
    <w:rsid w:val="4FE13ED5"/>
    <w:rsid w:val="4FE65048"/>
    <w:rsid w:val="4FE85264"/>
    <w:rsid w:val="502A587C"/>
    <w:rsid w:val="50395ABF"/>
    <w:rsid w:val="503C40AD"/>
    <w:rsid w:val="50834F8C"/>
    <w:rsid w:val="508D27A6"/>
    <w:rsid w:val="51165E00"/>
    <w:rsid w:val="5167040A"/>
    <w:rsid w:val="51C15D6C"/>
    <w:rsid w:val="51C4760A"/>
    <w:rsid w:val="51E952C3"/>
    <w:rsid w:val="5268443A"/>
    <w:rsid w:val="527821A3"/>
    <w:rsid w:val="52C8137C"/>
    <w:rsid w:val="52D23FA9"/>
    <w:rsid w:val="52E066C6"/>
    <w:rsid w:val="52F263F9"/>
    <w:rsid w:val="53083749"/>
    <w:rsid w:val="5334431C"/>
    <w:rsid w:val="53373E0C"/>
    <w:rsid w:val="535B75CD"/>
    <w:rsid w:val="536410A5"/>
    <w:rsid w:val="53803A05"/>
    <w:rsid w:val="539179C0"/>
    <w:rsid w:val="53A94D0A"/>
    <w:rsid w:val="53CC27A6"/>
    <w:rsid w:val="53CE29C2"/>
    <w:rsid w:val="53D0673A"/>
    <w:rsid w:val="53D578AD"/>
    <w:rsid w:val="53E53868"/>
    <w:rsid w:val="53EC4BF7"/>
    <w:rsid w:val="53F51CFD"/>
    <w:rsid w:val="542645AC"/>
    <w:rsid w:val="54280D1A"/>
    <w:rsid w:val="54420CBA"/>
    <w:rsid w:val="544B5DC1"/>
    <w:rsid w:val="545C7FCE"/>
    <w:rsid w:val="5474356A"/>
    <w:rsid w:val="5486329D"/>
    <w:rsid w:val="548E5CAE"/>
    <w:rsid w:val="54971006"/>
    <w:rsid w:val="54A35BFD"/>
    <w:rsid w:val="54AF6350"/>
    <w:rsid w:val="54D9161F"/>
    <w:rsid w:val="54F46459"/>
    <w:rsid w:val="552923C2"/>
    <w:rsid w:val="555869E7"/>
    <w:rsid w:val="556F1F83"/>
    <w:rsid w:val="55A35789"/>
    <w:rsid w:val="55B84EAE"/>
    <w:rsid w:val="55DD6EED"/>
    <w:rsid w:val="562C1C22"/>
    <w:rsid w:val="56382C47"/>
    <w:rsid w:val="56496330"/>
    <w:rsid w:val="567D5FDA"/>
    <w:rsid w:val="56C02A96"/>
    <w:rsid w:val="57014E5D"/>
    <w:rsid w:val="57623B4D"/>
    <w:rsid w:val="57723665"/>
    <w:rsid w:val="57EF1159"/>
    <w:rsid w:val="57FD3876"/>
    <w:rsid w:val="581F1A3E"/>
    <w:rsid w:val="583D3C73"/>
    <w:rsid w:val="584B45E2"/>
    <w:rsid w:val="588C0756"/>
    <w:rsid w:val="589715D5"/>
    <w:rsid w:val="58C85C32"/>
    <w:rsid w:val="58E42340"/>
    <w:rsid w:val="58F76517"/>
    <w:rsid w:val="58FF717A"/>
    <w:rsid w:val="59012EF2"/>
    <w:rsid w:val="59142C25"/>
    <w:rsid w:val="59171178"/>
    <w:rsid w:val="595E20F3"/>
    <w:rsid w:val="597638E0"/>
    <w:rsid w:val="597933D0"/>
    <w:rsid w:val="597B2CA5"/>
    <w:rsid w:val="597B4491"/>
    <w:rsid w:val="59A57D21"/>
    <w:rsid w:val="59A9411B"/>
    <w:rsid w:val="59AF0332"/>
    <w:rsid w:val="59D16D68"/>
    <w:rsid w:val="59D92725"/>
    <w:rsid w:val="59F34F31"/>
    <w:rsid w:val="5A056A12"/>
    <w:rsid w:val="5A144EA7"/>
    <w:rsid w:val="5A1D1FAE"/>
    <w:rsid w:val="5A470DD9"/>
    <w:rsid w:val="5A494B51"/>
    <w:rsid w:val="5A4E03B9"/>
    <w:rsid w:val="5A5D05FC"/>
    <w:rsid w:val="5A731BCE"/>
    <w:rsid w:val="5A9B6510"/>
    <w:rsid w:val="5ABF6998"/>
    <w:rsid w:val="5ACE14FA"/>
    <w:rsid w:val="5B0D2022"/>
    <w:rsid w:val="5B386973"/>
    <w:rsid w:val="5B411CCC"/>
    <w:rsid w:val="5B9242D5"/>
    <w:rsid w:val="5BBC1352"/>
    <w:rsid w:val="5BC30933"/>
    <w:rsid w:val="5BD62414"/>
    <w:rsid w:val="5C1B17B8"/>
    <w:rsid w:val="5C2C64D8"/>
    <w:rsid w:val="5C3A25B5"/>
    <w:rsid w:val="5C423F4D"/>
    <w:rsid w:val="5C6706D6"/>
    <w:rsid w:val="5C8A1451"/>
    <w:rsid w:val="5C983B6D"/>
    <w:rsid w:val="5CB84210"/>
    <w:rsid w:val="5CCB5CF1"/>
    <w:rsid w:val="5CE35E2B"/>
    <w:rsid w:val="5D0A42CB"/>
    <w:rsid w:val="5D2D075A"/>
    <w:rsid w:val="5D4810F0"/>
    <w:rsid w:val="5DB20C5F"/>
    <w:rsid w:val="5DB76275"/>
    <w:rsid w:val="5DE057CC"/>
    <w:rsid w:val="5DED1C97"/>
    <w:rsid w:val="5DED7EE9"/>
    <w:rsid w:val="5DFB0858"/>
    <w:rsid w:val="5E0E058B"/>
    <w:rsid w:val="5E1D07CE"/>
    <w:rsid w:val="5E385608"/>
    <w:rsid w:val="5E40626B"/>
    <w:rsid w:val="5E4E4E2C"/>
    <w:rsid w:val="5EAA5DDA"/>
    <w:rsid w:val="5EC155FD"/>
    <w:rsid w:val="5ED8763C"/>
    <w:rsid w:val="5EDD61AF"/>
    <w:rsid w:val="5EE035AA"/>
    <w:rsid w:val="5EF86B45"/>
    <w:rsid w:val="5F0B6879"/>
    <w:rsid w:val="5F0E70B0"/>
    <w:rsid w:val="5F313E05"/>
    <w:rsid w:val="5F3D4E58"/>
    <w:rsid w:val="5F6D308F"/>
    <w:rsid w:val="5F881C77"/>
    <w:rsid w:val="5FB54A36"/>
    <w:rsid w:val="5FD50C35"/>
    <w:rsid w:val="5FD72BFF"/>
    <w:rsid w:val="5FFC7D0A"/>
    <w:rsid w:val="5FFE1F39"/>
    <w:rsid w:val="5FFE3589"/>
    <w:rsid w:val="60003F04"/>
    <w:rsid w:val="60200102"/>
    <w:rsid w:val="60365B77"/>
    <w:rsid w:val="60515EE8"/>
    <w:rsid w:val="606A75CF"/>
    <w:rsid w:val="60736193"/>
    <w:rsid w:val="60795A64"/>
    <w:rsid w:val="608B14A0"/>
    <w:rsid w:val="60CC028A"/>
    <w:rsid w:val="61135EB8"/>
    <w:rsid w:val="611A0FF5"/>
    <w:rsid w:val="61250170"/>
    <w:rsid w:val="61475B62"/>
    <w:rsid w:val="615564D1"/>
    <w:rsid w:val="615C785F"/>
    <w:rsid w:val="61603C1A"/>
    <w:rsid w:val="6166423A"/>
    <w:rsid w:val="6171498D"/>
    <w:rsid w:val="617C1CB0"/>
    <w:rsid w:val="61910E2C"/>
    <w:rsid w:val="61CD42B9"/>
    <w:rsid w:val="61E67129"/>
    <w:rsid w:val="61F07FA8"/>
    <w:rsid w:val="622D6B06"/>
    <w:rsid w:val="62324D67"/>
    <w:rsid w:val="623C4F9B"/>
    <w:rsid w:val="62467BC8"/>
    <w:rsid w:val="62487DE4"/>
    <w:rsid w:val="62854069"/>
    <w:rsid w:val="628E2F58"/>
    <w:rsid w:val="62946B85"/>
    <w:rsid w:val="62A241F2"/>
    <w:rsid w:val="62A3501A"/>
    <w:rsid w:val="62C0797A"/>
    <w:rsid w:val="62D13935"/>
    <w:rsid w:val="63251ED3"/>
    <w:rsid w:val="63331D15"/>
    <w:rsid w:val="63676048"/>
    <w:rsid w:val="63892462"/>
    <w:rsid w:val="63984453"/>
    <w:rsid w:val="63B03E93"/>
    <w:rsid w:val="63BD3EBA"/>
    <w:rsid w:val="63C416EC"/>
    <w:rsid w:val="63D27752"/>
    <w:rsid w:val="63DF2082"/>
    <w:rsid w:val="63FD1B44"/>
    <w:rsid w:val="64220BB4"/>
    <w:rsid w:val="64267CB1"/>
    <w:rsid w:val="64C25C2B"/>
    <w:rsid w:val="64C95594"/>
    <w:rsid w:val="64D8544F"/>
    <w:rsid w:val="64F40429"/>
    <w:rsid w:val="64F97173"/>
    <w:rsid w:val="651D7306"/>
    <w:rsid w:val="651E6376"/>
    <w:rsid w:val="6530528B"/>
    <w:rsid w:val="656C3DE9"/>
    <w:rsid w:val="65842EE1"/>
    <w:rsid w:val="658A426F"/>
    <w:rsid w:val="65B0017A"/>
    <w:rsid w:val="65C106C5"/>
    <w:rsid w:val="65D025CA"/>
    <w:rsid w:val="65DC2D1D"/>
    <w:rsid w:val="660D7080"/>
    <w:rsid w:val="66263F98"/>
    <w:rsid w:val="6658788B"/>
    <w:rsid w:val="66886A01"/>
    <w:rsid w:val="66A852F5"/>
    <w:rsid w:val="66B21CD0"/>
    <w:rsid w:val="66FD119D"/>
    <w:rsid w:val="6707201B"/>
    <w:rsid w:val="67281F92"/>
    <w:rsid w:val="67297071"/>
    <w:rsid w:val="672A3F5C"/>
    <w:rsid w:val="672E75A8"/>
    <w:rsid w:val="6739419F"/>
    <w:rsid w:val="675B2367"/>
    <w:rsid w:val="67694A84"/>
    <w:rsid w:val="67786A75"/>
    <w:rsid w:val="677F7E04"/>
    <w:rsid w:val="67BD6B7E"/>
    <w:rsid w:val="67E1648C"/>
    <w:rsid w:val="6808604B"/>
    <w:rsid w:val="681D761D"/>
    <w:rsid w:val="682B1D3A"/>
    <w:rsid w:val="68336E40"/>
    <w:rsid w:val="68492AD2"/>
    <w:rsid w:val="689A0C6D"/>
    <w:rsid w:val="68B83154"/>
    <w:rsid w:val="68C83A2C"/>
    <w:rsid w:val="68E5013A"/>
    <w:rsid w:val="68F0088D"/>
    <w:rsid w:val="68F71C1C"/>
    <w:rsid w:val="691722BE"/>
    <w:rsid w:val="692C7B17"/>
    <w:rsid w:val="694110E9"/>
    <w:rsid w:val="69431305"/>
    <w:rsid w:val="69581096"/>
    <w:rsid w:val="69584DB0"/>
    <w:rsid w:val="69A9410F"/>
    <w:rsid w:val="69AD360D"/>
    <w:rsid w:val="69CF4947"/>
    <w:rsid w:val="6A1F767C"/>
    <w:rsid w:val="6A217DF6"/>
    <w:rsid w:val="6A371DEF"/>
    <w:rsid w:val="6A4E1D0F"/>
    <w:rsid w:val="6A5437CA"/>
    <w:rsid w:val="6A70612A"/>
    <w:rsid w:val="6A9736B6"/>
    <w:rsid w:val="6A9811DC"/>
    <w:rsid w:val="6A9C0CCD"/>
    <w:rsid w:val="6AB44268"/>
    <w:rsid w:val="6B100175"/>
    <w:rsid w:val="6B122952"/>
    <w:rsid w:val="6B37721A"/>
    <w:rsid w:val="6B431148"/>
    <w:rsid w:val="6B6F1F3D"/>
    <w:rsid w:val="6B9919CE"/>
    <w:rsid w:val="6BAF67DE"/>
    <w:rsid w:val="6BC73B27"/>
    <w:rsid w:val="6BDB6090"/>
    <w:rsid w:val="6BEB3CFE"/>
    <w:rsid w:val="6BF07522"/>
    <w:rsid w:val="6C044D7B"/>
    <w:rsid w:val="6C07661A"/>
    <w:rsid w:val="6C2E1DF8"/>
    <w:rsid w:val="6C515AE7"/>
    <w:rsid w:val="6C5F3259"/>
    <w:rsid w:val="6C662F7C"/>
    <w:rsid w:val="6C6B4119"/>
    <w:rsid w:val="6C804AB4"/>
    <w:rsid w:val="6C9F2CF6"/>
    <w:rsid w:val="6CB73B9C"/>
    <w:rsid w:val="6CD43218"/>
    <w:rsid w:val="6CDC7AA6"/>
    <w:rsid w:val="6CE4695B"/>
    <w:rsid w:val="6CE55CB0"/>
    <w:rsid w:val="6D154D66"/>
    <w:rsid w:val="6D194857"/>
    <w:rsid w:val="6D4F64CA"/>
    <w:rsid w:val="6D5238C5"/>
    <w:rsid w:val="6D655CEE"/>
    <w:rsid w:val="6D9C0FE4"/>
    <w:rsid w:val="6DCA5B51"/>
    <w:rsid w:val="6DE55656"/>
    <w:rsid w:val="6DFB0400"/>
    <w:rsid w:val="6E261BA7"/>
    <w:rsid w:val="6E5A3E2A"/>
    <w:rsid w:val="6E657628"/>
    <w:rsid w:val="6E8B52E0"/>
    <w:rsid w:val="6EF74724"/>
    <w:rsid w:val="6F176B74"/>
    <w:rsid w:val="6F35349E"/>
    <w:rsid w:val="6F5778B8"/>
    <w:rsid w:val="6F5E29F5"/>
    <w:rsid w:val="6F806E0F"/>
    <w:rsid w:val="6FB24AEE"/>
    <w:rsid w:val="6FB62831"/>
    <w:rsid w:val="6FBB1BF5"/>
    <w:rsid w:val="6FC54822"/>
    <w:rsid w:val="6FD902CD"/>
    <w:rsid w:val="6FE4739E"/>
    <w:rsid w:val="6FED5B27"/>
    <w:rsid w:val="705E3AE9"/>
    <w:rsid w:val="70687E26"/>
    <w:rsid w:val="70691651"/>
    <w:rsid w:val="70903082"/>
    <w:rsid w:val="709D754D"/>
    <w:rsid w:val="70A00DEB"/>
    <w:rsid w:val="70AE175A"/>
    <w:rsid w:val="70BA3537"/>
    <w:rsid w:val="70BF3836"/>
    <w:rsid w:val="70C26FB3"/>
    <w:rsid w:val="70D07922"/>
    <w:rsid w:val="70F3716D"/>
    <w:rsid w:val="710D6480"/>
    <w:rsid w:val="713C23EC"/>
    <w:rsid w:val="714B246D"/>
    <w:rsid w:val="71502811"/>
    <w:rsid w:val="71844269"/>
    <w:rsid w:val="71900E5F"/>
    <w:rsid w:val="719E357C"/>
    <w:rsid w:val="71A05546"/>
    <w:rsid w:val="71A5490B"/>
    <w:rsid w:val="71AB5C99"/>
    <w:rsid w:val="72192C03"/>
    <w:rsid w:val="721D6DF3"/>
    <w:rsid w:val="722241AD"/>
    <w:rsid w:val="72536115"/>
    <w:rsid w:val="725E2D0C"/>
    <w:rsid w:val="727A7B45"/>
    <w:rsid w:val="72C963D7"/>
    <w:rsid w:val="72D51220"/>
    <w:rsid w:val="72FB055A"/>
    <w:rsid w:val="73245D03"/>
    <w:rsid w:val="732E2E41"/>
    <w:rsid w:val="73375A36"/>
    <w:rsid w:val="734B14E2"/>
    <w:rsid w:val="73552361"/>
    <w:rsid w:val="73571C35"/>
    <w:rsid w:val="735E1215"/>
    <w:rsid w:val="73762E92"/>
    <w:rsid w:val="737F118B"/>
    <w:rsid w:val="738467A2"/>
    <w:rsid w:val="73AF7CC3"/>
    <w:rsid w:val="73D03795"/>
    <w:rsid w:val="73D94D40"/>
    <w:rsid w:val="7403605F"/>
    <w:rsid w:val="740873D3"/>
    <w:rsid w:val="743326A2"/>
    <w:rsid w:val="746565D3"/>
    <w:rsid w:val="74827185"/>
    <w:rsid w:val="74992ED5"/>
    <w:rsid w:val="749F1AE5"/>
    <w:rsid w:val="74B75416"/>
    <w:rsid w:val="74D6302D"/>
    <w:rsid w:val="74F636CF"/>
    <w:rsid w:val="74FA6D1C"/>
    <w:rsid w:val="751050E8"/>
    <w:rsid w:val="75151DA7"/>
    <w:rsid w:val="75422471"/>
    <w:rsid w:val="75575F1C"/>
    <w:rsid w:val="7568637B"/>
    <w:rsid w:val="75DC28C5"/>
    <w:rsid w:val="76326989"/>
    <w:rsid w:val="7657019E"/>
    <w:rsid w:val="766905FD"/>
    <w:rsid w:val="766C1E9B"/>
    <w:rsid w:val="766C3C49"/>
    <w:rsid w:val="768865A9"/>
    <w:rsid w:val="768C6099"/>
    <w:rsid w:val="76A96C4B"/>
    <w:rsid w:val="76BD26F7"/>
    <w:rsid w:val="76E47C83"/>
    <w:rsid w:val="773D3837"/>
    <w:rsid w:val="774626EC"/>
    <w:rsid w:val="77736FF8"/>
    <w:rsid w:val="778E7BEF"/>
    <w:rsid w:val="779C67B0"/>
    <w:rsid w:val="779D7E32"/>
    <w:rsid w:val="77D01FB6"/>
    <w:rsid w:val="77F9150C"/>
    <w:rsid w:val="780103C1"/>
    <w:rsid w:val="780879A1"/>
    <w:rsid w:val="78105060"/>
    <w:rsid w:val="781520BE"/>
    <w:rsid w:val="782567A5"/>
    <w:rsid w:val="784576F8"/>
    <w:rsid w:val="78564BB1"/>
    <w:rsid w:val="785901FD"/>
    <w:rsid w:val="78767A5E"/>
    <w:rsid w:val="787B63C5"/>
    <w:rsid w:val="788F3C1F"/>
    <w:rsid w:val="78E0447A"/>
    <w:rsid w:val="78E75809"/>
    <w:rsid w:val="78F61EF0"/>
    <w:rsid w:val="79004B1D"/>
    <w:rsid w:val="79030169"/>
    <w:rsid w:val="794744F9"/>
    <w:rsid w:val="79515378"/>
    <w:rsid w:val="798017B9"/>
    <w:rsid w:val="79960562"/>
    <w:rsid w:val="79FA5A10"/>
    <w:rsid w:val="7A1C14E2"/>
    <w:rsid w:val="7A2307C6"/>
    <w:rsid w:val="7A54626B"/>
    <w:rsid w:val="7AA00365"/>
    <w:rsid w:val="7AA240DD"/>
    <w:rsid w:val="7ABB6F4D"/>
    <w:rsid w:val="7AD85D51"/>
    <w:rsid w:val="7AE83ABA"/>
    <w:rsid w:val="7AFB1A3F"/>
    <w:rsid w:val="7B607AF4"/>
    <w:rsid w:val="7B705F89"/>
    <w:rsid w:val="7B821819"/>
    <w:rsid w:val="7BA23C69"/>
    <w:rsid w:val="7BAC2D3A"/>
    <w:rsid w:val="7BC10593"/>
    <w:rsid w:val="7BDF4EBD"/>
    <w:rsid w:val="7BF02C60"/>
    <w:rsid w:val="7C050DEC"/>
    <w:rsid w:val="7C06244A"/>
    <w:rsid w:val="7C411B8B"/>
    <w:rsid w:val="7C8B294F"/>
    <w:rsid w:val="7C8D66C7"/>
    <w:rsid w:val="7C923CDE"/>
    <w:rsid w:val="7CAF663E"/>
    <w:rsid w:val="7CE54755"/>
    <w:rsid w:val="7D0050EB"/>
    <w:rsid w:val="7D1868D9"/>
    <w:rsid w:val="7D39684F"/>
    <w:rsid w:val="7D586CD5"/>
    <w:rsid w:val="7D6C452F"/>
    <w:rsid w:val="7D6E64F9"/>
    <w:rsid w:val="7D7D498E"/>
    <w:rsid w:val="7D8F021D"/>
    <w:rsid w:val="7D9341B1"/>
    <w:rsid w:val="7DA0242A"/>
    <w:rsid w:val="7DBF6D54"/>
    <w:rsid w:val="7DDA593C"/>
    <w:rsid w:val="7DE642E1"/>
    <w:rsid w:val="7DF3182D"/>
    <w:rsid w:val="7DFD76C5"/>
    <w:rsid w:val="7DFF53A3"/>
    <w:rsid w:val="7E062BD5"/>
    <w:rsid w:val="7E1A3F8B"/>
    <w:rsid w:val="7E413C0D"/>
    <w:rsid w:val="7E4159BB"/>
    <w:rsid w:val="7E5356EF"/>
    <w:rsid w:val="7E816BC7"/>
    <w:rsid w:val="7E9C0E44"/>
    <w:rsid w:val="7E9E4BBC"/>
    <w:rsid w:val="7E9F26E2"/>
    <w:rsid w:val="7ECA59B1"/>
    <w:rsid w:val="7EED78F1"/>
    <w:rsid w:val="7EF65DCA"/>
    <w:rsid w:val="7F052E8D"/>
    <w:rsid w:val="7F0D7F93"/>
    <w:rsid w:val="7F1C1F84"/>
    <w:rsid w:val="7F54171E"/>
    <w:rsid w:val="7F587460"/>
    <w:rsid w:val="7F6776A3"/>
    <w:rsid w:val="7F6C2EA6"/>
    <w:rsid w:val="7F7818B1"/>
    <w:rsid w:val="7F8B6823"/>
    <w:rsid w:val="7FD52A46"/>
    <w:rsid w:val="7FD558D4"/>
    <w:rsid w:val="7FEC7BA9"/>
    <w:rsid w:val="7FFB298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iPriority="0" w:name="footnote text"/>
    <w:lsdException w:qFormat="1" w:unhideWhenUsed="0" w:uiPriority="99" w:semiHidden="0" w:name="annotation text"/>
    <w:lsdException w:qFormat="1" w:unhideWhenUsed="0" w:uiPriority="99" w:semiHidden="0" w:name="header"/>
    <w:lsdException w:qFormat="1" w:unhideWhenUsed="0" w:uiPriority="0"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qFormat="1"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nhideWhenUsed="0" w:uiPriority="99" w:semiHidden="0" w:name="Normal (Web)"/>
    <w:lsdException w:qFormat="1" w:uiPriority="0" w:name="HTML Acronym"/>
    <w:lsdException w:uiPriority="0" w:name="HTML Address"/>
    <w:lsdException w:qFormat="1" w:uiPriority="0" w:name="HTML Cite"/>
    <w:lsdException w:qFormat="1" w:uiPriority="0" w:name="HTML Code"/>
    <w:lsdException w:qFormat="1" w:uiPriority="0" w:name="HTML Definition"/>
    <w:lsdException w:qFormat="1" w:uiPriority="0" w:name="HTML Keyboard"/>
    <w:lsdException w:qFormat="1" w:unhideWhenUsed="0" w:uiPriority="0" w:semiHidden="0" w:name="HTML Preformatted"/>
    <w:lsdException w:qFormat="1" w:uiPriority="0" w:name="HTML Sample"/>
    <w:lsdException w:qFormat="1" w:uiPriority="0" w:name="HTML Typewriter"/>
    <w:lsdException w:qFormat="1" w:uiPriority="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qFormat="1" w:unhideWhenUsed="0" w:uiPriority="3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2"/>
    <w:qFormat/>
    <w:uiPriority w:val="0"/>
    <w:pPr>
      <w:spacing w:before="340" w:after="330" w:line="360" w:lineRule="auto"/>
      <w:jc w:val="center"/>
      <w:outlineLvl w:val="0"/>
    </w:pPr>
    <w:rPr>
      <w:rFonts w:eastAsia="黑体"/>
      <w:kern w:val="44"/>
      <w:szCs w:val="44"/>
    </w:rPr>
  </w:style>
  <w:style w:type="paragraph" w:styleId="3">
    <w:name w:val="heading 2"/>
    <w:basedOn w:val="4"/>
    <w:next w:val="5"/>
    <w:link w:val="77"/>
    <w:qFormat/>
    <w:uiPriority w:val="0"/>
    <w:pPr>
      <w:adjustRightInd w:val="0"/>
      <w:jc w:val="center"/>
      <w:textAlignment w:val="baseline"/>
      <w:outlineLvl w:val="1"/>
    </w:pPr>
    <w:rPr>
      <w:kern w:val="0"/>
      <w:sz w:val="24"/>
      <w:szCs w:val="20"/>
    </w:rPr>
  </w:style>
  <w:style w:type="paragraph" w:styleId="4">
    <w:name w:val="heading 3"/>
    <w:basedOn w:val="5"/>
    <w:next w:val="1"/>
    <w:link w:val="61"/>
    <w:qFormat/>
    <w:uiPriority w:val="9"/>
    <w:pPr>
      <w:spacing w:before="260" w:after="260" w:line="240" w:lineRule="auto"/>
      <w:outlineLvl w:val="2"/>
    </w:pPr>
    <w:rPr>
      <w:rFonts w:ascii="宋体" w:hAnsi="宋体" w:eastAsia="宋体"/>
      <w:szCs w:val="32"/>
    </w:rPr>
  </w:style>
  <w:style w:type="paragraph" w:styleId="5">
    <w:name w:val="heading 4"/>
    <w:basedOn w:val="1"/>
    <w:next w:val="1"/>
    <w:link w:val="59"/>
    <w:qFormat/>
    <w:uiPriority w:val="9"/>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86"/>
    <w:qFormat/>
    <w:uiPriority w:val="0"/>
    <w:pPr>
      <w:keepNext/>
      <w:keepLines/>
      <w:spacing w:before="280" w:after="290" w:line="376" w:lineRule="auto"/>
      <w:outlineLvl w:val="4"/>
    </w:pPr>
    <w:rPr>
      <w:b/>
      <w:sz w:val="28"/>
      <w:szCs w:val="20"/>
    </w:rPr>
  </w:style>
  <w:style w:type="paragraph" w:styleId="7">
    <w:name w:val="heading 6"/>
    <w:basedOn w:val="1"/>
    <w:next w:val="8"/>
    <w:link w:val="89"/>
    <w:qFormat/>
    <w:uiPriority w:val="0"/>
    <w:pPr>
      <w:keepNext/>
      <w:keepLines/>
      <w:spacing w:before="240" w:after="64" w:line="320" w:lineRule="auto"/>
      <w:outlineLvl w:val="5"/>
    </w:pPr>
    <w:rPr>
      <w:rFonts w:ascii="Arial" w:hAnsi="Arial" w:eastAsia="黑体"/>
      <w:b/>
      <w:sz w:val="24"/>
      <w:szCs w:val="20"/>
    </w:rPr>
  </w:style>
  <w:style w:type="paragraph" w:styleId="9">
    <w:name w:val="heading 7"/>
    <w:basedOn w:val="1"/>
    <w:next w:val="8"/>
    <w:link w:val="90"/>
    <w:qFormat/>
    <w:uiPriority w:val="0"/>
    <w:pPr>
      <w:keepNext/>
      <w:keepLines/>
      <w:spacing w:before="240" w:after="64" w:line="320" w:lineRule="auto"/>
      <w:outlineLvl w:val="6"/>
    </w:pPr>
    <w:rPr>
      <w:b/>
      <w:sz w:val="24"/>
      <w:szCs w:val="20"/>
    </w:rPr>
  </w:style>
  <w:style w:type="paragraph" w:styleId="10">
    <w:name w:val="heading 8"/>
    <w:basedOn w:val="1"/>
    <w:next w:val="8"/>
    <w:link w:val="91"/>
    <w:qFormat/>
    <w:uiPriority w:val="0"/>
    <w:pPr>
      <w:keepNext/>
      <w:keepLines/>
      <w:spacing w:before="240" w:after="64" w:line="320" w:lineRule="auto"/>
      <w:outlineLvl w:val="7"/>
    </w:pPr>
    <w:rPr>
      <w:rFonts w:ascii="Arial" w:hAnsi="Arial" w:eastAsia="黑体"/>
      <w:sz w:val="24"/>
      <w:szCs w:val="20"/>
    </w:rPr>
  </w:style>
  <w:style w:type="paragraph" w:styleId="11">
    <w:name w:val="heading 9"/>
    <w:basedOn w:val="1"/>
    <w:next w:val="8"/>
    <w:link w:val="92"/>
    <w:qFormat/>
    <w:uiPriority w:val="0"/>
    <w:pPr>
      <w:keepNext/>
      <w:keepLines/>
      <w:spacing w:before="240" w:after="64" w:line="320" w:lineRule="auto"/>
      <w:outlineLvl w:val="8"/>
    </w:pPr>
    <w:rPr>
      <w:rFonts w:ascii="Arial" w:hAnsi="Arial" w:eastAsia="黑体"/>
      <w:szCs w:val="20"/>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styleId="8">
    <w:name w:val="Normal Indent"/>
    <w:basedOn w:val="1"/>
    <w:link w:val="63"/>
    <w:qFormat/>
    <w:uiPriority w:val="0"/>
    <w:pPr>
      <w:ind w:firstLine="420"/>
    </w:pPr>
    <w:rPr>
      <w:szCs w:val="20"/>
    </w:rPr>
  </w:style>
  <w:style w:type="paragraph" w:styleId="12">
    <w:name w:val="toc 7"/>
    <w:basedOn w:val="1"/>
    <w:next w:val="1"/>
    <w:semiHidden/>
    <w:qFormat/>
    <w:uiPriority w:val="0"/>
    <w:pPr>
      <w:ind w:left="1260"/>
      <w:jc w:val="left"/>
    </w:pPr>
    <w:rPr>
      <w:szCs w:val="21"/>
    </w:rPr>
  </w:style>
  <w:style w:type="paragraph" w:styleId="13">
    <w:name w:val="caption"/>
    <w:basedOn w:val="1"/>
    <w:next w:val="1"/>
    <w:qFormat/>
    <w:uiPriority w:val="0"/>
    <w:pPr>
      <w:widowControl/>
      <w:spacing w:line="360" w:lineRule="auto"/>
      <w:ind w:firstLine="1940" w:firstLineChars="920"/>
      <w:jc w:val="left"/>
    </w:pPr>
    <w:rPr>
      <w:rFonts w:ascii="宋体" w:hAnsi="宋体"/>
      <w:b/>
      <w:bCs/>
      <w:kern w:val="0"/>
      <w:sz w:val="20"/>
      <w:szCs w:val="20"/>
    </w:rPr>
  </w:style>
  <w:style w:type="paragraph" w:styleId="14">
    <w:name w:val="List Bullet"/>
    <w:basedOn w:val="1"/>
    <w:qFormat/>
    <w:uiPriority w:val="0"/>
    <w:pPr>
      <w:numPr>
        <w:ilvl w:val="0"/>
        <w:numId w:val="1"/>
      </w:numPr>
    </w:pPr>
    <w:rPr>
      <w:szCs w:val="20"/>
    </w:rPr>
  </w:style>
  <w:style w:type="paragraph" w:styleId="15">
    <w:name w:val="Document Map"/>
    <w:basedOn w:val="1"/>
    <w:semiHidden/>
    <w:qFormat/>
    <w:uiPriority w:val="0"/>
    <w:pPr>
      <w:shd w:val="clear" w:color="auto" w:fill="000080"/>
    </w:pPr>
  </w:style>
  <w:style w:type="paragraph" w:styleId="16">
    <w:name w:val="annotation text"/>
    <w:basedOn w:val="1"/>
    <w:link w:val="190"/>
    <w:qFormat/>
    <w:uiPriority w:val="99"/>
    <w:pPr>
      <w:autoSpaceDE w:val="0"/>
      <w:autoSpaceDN w:val="0"/>
      <w:adjustRightInd w:val="0"/>
      <w:jc w:val="left"/>
      <w:textAlignment w:val="baseline"/>
    </w:pPr>
    <w:rPr>
      <w:rFonts w:ascii="宋体"/>
      <w:kern w:val="0"/>
      <w:sz w:val="34"/>
      <w:szCs w:val="20"/>
    </w:rPr>
  </w:style>
  <w:style w:type="paragraph" w:styleId="17">
    <w:name w:val="Body Text 3"/>
    <w:basedOn w:val="1"/>
    <w:link w:val="104"/>
    <w:qFormat/>
    <w:uiPriority w:val="0"/>
    <w:pPr>
      <w:spacing w:after="120"/>
    </w:pPr>
    <w:rPr>
      <w:sz w:val="16"/>
      <w:szCs w:val="16"/>
    </w:rPr>
  </w:style>
  <w:style w:type="paragraph" w:styleId="18">
    <w:name w:val="Body Text"/>
    <w:basedOn w:val="1"/>
    <w:link w:val="98"/>
    <w:qFormat/>
    <w:uiPriority w:val="0"/>
    <w:pPr>
      <w:spacing w:line="360" w:lineRule="auto"/>
    </w:pPr>
    <w:rPr>
      <w:b/>
      <w:bCs/>
      <w:sz w:val="24"/>
    </w:rPr>
  </w:style>
  <w:style w:type="paragraph" w:styleId="19">
    <w:name w:val="Body Text Indent"/>
    <w:basedOn w:val="1"/>
    <w:link w:val="85"/>
    <w:qFormat/>
    <w:uiPriority w:val="0"/>
    <w:pPr>
      <w:spacing w:line="360" w:lineRule="auto"/>
      <w:ind w:firstLine="420" w:firstLineChars="200"/>
    </w:pPr>
  </w:style>
  <w:style w:type="paragraph" w:styleId="20">
    <w:name w:val="toc 5"/>
    <w:basedOn w:val="1"/>
    <w:next w:val="1"/>
    <w:semiHidden/>
    <w:qFormat/>
    <w:uiPriority w:val="0"/>
    <w:pPr>
      <w:ind w:left="840"/>
      <w:jc w:val="left"/>
    </w:pPr>
    <w:rPr>
      <w:szCs w:val="21"/>
    </w:rPr>
  </w:style>
  <w:style w:type="paragraph" w:styleId="21">
    <w:name w:val="toc 3"/>
    <w:basedOn w:val="1"/>
    <w:next w:val="1"/>
    <w:semiHidden/>
    <w:qFormat/>
    <w:uiPriority w:val="0"/>
    <w:pPr>
      <w:ind w:left="420"/>
      <w:jc w:val="left"/>
    </w:pPr>
    <w:rPr>
      <w:i/>
      <w:iCs/>
    </w:rPr>
  </w:style>
  <w:style w:type="paragraph" w:styleId="22">
    <w:name w:val="Plain Text"/>
    <w:basedOn w:val="1"/>
    <w:link w:val="96"/>
    <w:qFormat/>
    <w:uiPriority w:val="0"/>
    <w:rPr>
      <w:rFonts w:ascii="宋体" w:hAnsi="Courier New"/>
      <w:szCs w:val="20"/>
    </w:rPr>
  </w:style>
  <w:style w:type="paragraph" w:styleId="23">
    <w:name w:val="toc 8"/>
    <w:basedOn w:val="1"/>
    <w:next w:val="1"/>
    <w:semiHidden/>
    <w:qFormat/>
    <w:uiPriority w:val="0"/>
    <w:pPr>
      <w:ind w:left="1470"/>
      <w:jc w:val="left"/>
    </w:pPr>
    <w:rPr>
      <w:szCs w:val="21"/>
    </w:rPr>
  </w:style>
  <w:style w:type="paragraph" w:styleId="24">
    <w:name w:val="Date"/>
    <w:basedOn w:val="1"/>
    <w:next w:val="1"/>
    <w:link w:val="94"/>
    <w:qFormat/>
    <w:uiPriority w:val="0"/>
    <w:rPr>
      <w:rFonts w:ascii="宋体" w:hAnsi="Courier New"/>
      <w:sz w:val="32"/>
      <w:szCs w:val="20"/>
    </w:rPr>
  </w:style>
  <w:style w:type="paragraph" w:styleId="25">
    <w:name w:val="Body Text Indent 2"/>
    <w:basedOn w:val="1"/>
    <w:link w:val="99"/>
    <w:qFormat/>
    <w:uiPriority w:val="0"/>
    <w:pPr>
      <w:spacing w:beforeLines="50" w:afterLines="50" w:line="120" w:lineRule="auto"/>
      <w:ind w:firstLine="840" w:firstLineChars="400"/>
      <w:jc w:val="left"/>
    </w:pPr>
    <w:rPr>
      <w:rFonts w:ascii="宋体" w:hAnsi="宋体"/>
    </w:rPr>
  </w:style>
  <w:style w:type="paragraph" w:styleId="26">
    <w:name w:val="Balloon Text"/>
    <w:basedOn w:val="1"/>
    <w:link w:val="105"/>
    <w:semiHidden/>
    <w:qFormat/>
    <w:uiPriority w:val="99"/>
    <w:rPr>
      <w:sz w:val="18"/>
      <w:szCs w:val="18"/>
    </w:rPr>
  </w:style>
  <w:style w:type="paragraph" w:styleId="27">
    <w:name w:val="footer"/>
    <w:basedOn w:val="1"/>
    <w:link w:val="103"/>
    <w:qFormat/>
    <w:uiPriority w:val="0"/>
    <w:pPr>
      <w:tabs>
        <w:tab w:val="center" w:pos="4153"/>
        <w:tab w:val="right" w:pos="8306"/>
      </w:tabs>
      <w:snapToGrid w:val="0"/>
      <w:jc w:val="left"/>
    </w:pPr>
    <w:rPr>
      <w:sz w:val="18"/>
      <w:szCs w:val="18"/>
    </w:rPr>
  </w:style>
  <w:style w:type="paragraph" w:styleId="28">
    <w:name w:val="header"/>
    <w:basedOn w:val="1"/>
    <w:link w:val="100"/>
    <w:qFormat/>
    <w:uiPriority w:val="99"/>
    <w:pPr>
      <w:pBdr>
        <w:bottom w:val="single" w:color="auto" w:sz="6" w:space="1"/>
      </w:pBdr>
      <w:tabs>
        <w:tab w:val="center" w:pos="4153"/>
        <w:tab w:val="right" w:pos="8306"/>
      </w:tabs>
      <w:snapToGrid w:val="0"/>
      <w:jc w:val="center"/>
    </w:pPr>
    <w:rPr>
      <w:sz w:val="18"/>
      <w:szCs w:val="18"/>
    </w:rPr>
  </w:style>
  <w:style w:type="paragraph" w:styleId="29">
    <w:name w:val="toc 1"/>
    <w:basedOn w:val="1"/>
    <w:next w:val="1"/>
    <w:semiHidden/>
    <w:qFormat/>
    <w:uiPriority w:val="0"/>
    <w:pPr>
      <w:spacing w:before="120" w:after="120"/>
      <w:jc w:val="left"/>
    </w:pPr>
    <w:rPr>
      <w:b/>
      <w:bCs/>
      <w:caps/>
    </w:rPr>
  </w:style>
  <w:style w:type="paragraph" w:styleId="30">
    <w:name w:val="toc 4"/>
    <w:basedOn w:val="1"/>
    <w:next w:val="1"/>
    <w:semiHidden/>
    <w:qFormat/>
    <w:uiPriority w:val="0"/>
    <w:pPr>
      <w:ind w:left="630"/>
      <w:jc w:val="left"/>
    </w:pPr>
    <w:rPr>
      <w:szCs w:val="21"/>
    </w:rPr>
  </w:style>
  <w:style w:type="paragraph" w:styleId="31">
    <w:name w:val="toc 6"/>
    <w:basedOn w:val="1"/>
    <w:next w:val="1"/>
    <w:semiHidden/>
    <w:qFormat/>
    <w:uiPriority w:val="0"/>
    <w:pPr>
      <w:ind w:left="1050"/>
      <w:jc w:val="left"/>
    </w:pPr>
    <w:rPr>
      <w:szCs w:val="21"/>
    </w:rPr>
  </w:style>
  <w:style w:type="paragraph" w:styleId="32">
    <w:name w:val="Body Text Indent 3"/>
    <w:basedOn w:val="1"/>
    <w:link w:val="101"/>
    <w:qFormat/>
    <w:uiPriority w:val="0"/>
    <w:pPr>
      <w:spacing w:line="360" w:lineRule="auto"/>
      <w:ind w:firstLine="482" w:firstLineChars="200"/>
    </w:pPr>
    <w:rPr>
      <w:rFonts w:ascii="宋体"/>
      <w:b/>
      <w:bCs/>
      <w:sz w:val="24"/>
    </w:rPr>
  </w:style>
  <w:style w:type="paragraph" w:styleId="33">
    <w:name w:val="toc 2"/>
    <w:basedOn w:val="1"/>
    <w:next w:val="1"/>
    <w:semiHidden/>
    <w:qFormat/>
    <w:uiPriority w:val="0"/>
    <w:pPr>
      <w:tabs>
        <w:tab w:val="right" w:leader="dot" w:pos="8296"/>
      </w:tabs>
      <w:ind w:left="210"/>
      <w:jc w:val="left"/>
    </w:pPr>
    <w:rPr>
      <w:smallCaps/>
    </w:rPr>
  </w:style>
  <w:style w:type="paragraph" w:styleId="34">
    <w:name w:val="toc 9"/>
    <w:basedOn w:val="1"/>
    <w:next w:val="1"/>
    <w:semiHidden/>
    <w:qFormat/>
    <w:uiPriority w:val="0"/>
    <w:pPr>
      <w:ind w:left="1680"/>
      <w:jc w:val="left"/>
    </w:pPr>
    <w:rPr>
      <w:szCs w:val="21"/>
    </w:rPr>
  </w:style>
  <w:style w:type="paragraph" w:styleId="35">
    <w:name w:val="Body Text 2"/>
    <w:basedOn w:val="1"/>
    <w:link w:val="102"/>
    <w:qFormat/>
    <w:uiPriority w:val="0"/>
    <w:pPr>
      <w:spacing w:line="360" w:lineRule="auto"/>
    </w:pPr>
    <w:rPr>
      <w:sz w:val="24"/>
    </w:rPr>
  </w:style>
  <w:style w:type="paragraph" w:styleId="36">
    <w:name w:val="HTML Preformatted"/>
    <w:basedOn w:val="1"/>
    <w:link w:val="9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Arial Unicode MS"/>
      <w:color w:val="000000"/>
      <w:kern w:val="0"/>
      <w:sz w:val="20"/>
      <w:szCs w:val="20"/>
    </w:rPr>
  </w:style>
  <w:style w:type="paragraph" w:styleId="37">
    <w:name w:val="Normal (Web)"/>
    <w:basedOn w:val="1"/>
    <w:link w:val="196"/>
    <w:qFormat/>
    <w:uiPriority w:val="99"/>
    <w:pPr>
      <w:spacing w:beforeAutospacing="1" w:afterAutospacing="1"/>
      <w:jc w:val="left"/>
    </w:pPr>
    <w:rPr>
      <w:kern w:val="0"/>
      <w:sz w:val="24"/>
    </w:rPr>
  </w:style>
  <w:style w:type="paragraph" w:styleId="38">
    <w:name w:val="index 1"/>
    <w:basedOn w:val="1"/>
    <w:next w:val="1"/>
    <w:semiHidden/>
    <w:qFormat/>
    <w:uiPriority w:val="0"/>
    <w:pPr>
      <w:tabs>
        <w:tab w:val="left" w:pos="3360"/>
      </w:tabs>
      <w:spacing w:line="520" w:lineRule="exact"/>
      <w:ind w:left="419" w:leftChars="50" w:hanging="314" w:hangingChars="131"/>
      <w:jc w:val="center"/>
      <w:outlineLvl w:val="3"/>
    </w:pPr>
    <w:rPr>
      <w:rFonts w:ascii="宋体" w:hAnsi="宋体"/>
      <w:sz w:val="24"/>
    </w:rPr>
  </w:style>
  <w:style w:type="paragraph" w:styleId="39">
    <w:name w:val="Title"/>
    <w:basedOn w:val="1"/>
    <w:link w:val="93"/>
    <w:qFormat/>
    <w:uiPriority w:val="0"/>
    <w:pPr>
      <w:spacing w:before="240" w:after="60"/>
      <w:jc w:val="center"/>
      <w:outlineLvl w:val="0"/>
    </w:pPr>
    <w:rPr>
      <w:rFonts w:ascii="Arial" w:hAnsi="Arial" w:eastAsia="隶书" w:cs="Arial"/>
      <w:b/>
      <w:bCs/>
      <w:sz w:val="32"/>
      <w:szCs w:val="32"/>
    </w:rPr>
  </w:style>
  <w:style w:type="paragraph" w:styleId="40">
    <w:name w:val="annotation subject"/>
    <w:basedOn w:val="16"/>
    <w:next w:val="16"/>
    <w:link w:val="191"/>
    <w:qFormat/>
    <w:uiPriority w:val="99"/>
    <w:pPr>
      <w:autoSpaceDE/>
      <w:autoSpaceDN/>
      <w:adjustRightInd/>
      <w:textAlignment w:val="auto"/>
    </w:pPr>
    <w:rPr>
      <w:rFonts w:ascii="Times New Roman"/>
      <w:b/>
      <w:bCs/>
      <w:kern w:val="2"/>
      <w:sz w:val="21"/>
      <w:szCs w:val="24"/>
    </w:rPr>
  </w:style>
  <w:style w:type="paragraph" w:styleId="41">
    <w:name w:val="Body Text First Indent"/>
    <w:basedOn w:val="18"/>
    <w:link w:val="136"/>
    <w:qFormat/>
    <w:uiPriority w:val="0"/>
    <w:pPr>
      <w:spacing w:after="120" w:line="240" w:lineRule="auto"/>
      <w:ind w:firstLine="420" w:firstLineChars="100"/>
    </w:pPr>
    <w:rPr>
      <w:sz w:val="21"/>
    </w:rPr>
  </w:style>
  <w:style w:type="table" w:styleId="43">
    <w:name w:val="Table Grid"/>
    <w:basedOn w:val="42"/>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tcBorders>
        <w:top w:val="single" w:color="auto" w:sz="4" w:space="0"/>
        <w:left w:val="single" w:color="auto" w:sz="4" w:space="0"/>
        <w:bottom w:val="single" w:color="auto" w:sz="4" w:space="0"/>
        <w:right w:val="single" w:color="auto" w:sz="4" w:space="0"/>
      </w:tcBorders>
    </w:tcPr>
  </w:style>
  <w:style w:type="character" w:styleId="45">
    <w:name w:val="Strong"/>
    <w:basedOn w:val="44"/>
    <w:qFormat/>
    <w:uiPriority w:val="0"/>
    <w:rPr>
      <w:b/>
      <w:bCs/>
    </w:rPr>
  </w:style>
  <w:style w:type="character" w:styleId="46">
    <w:name w:val="page number"/>
    <w:basedOn w:val="44"/>
    <w:qFormat/>
    <w:uiPriority w:val="0"/>
  </w:style>
  <w:style w:type="character" w:styleId="47">
    <w:name w:val="FollowedHyperlink"/>
    <w:qFormat/>
    <w:uiPriority w:val="0"/>
    <w:rPr>
      <w:color w:val="800080"/>
      <w:u w:val="single"/>
    </w:rPr>
  </w:style>
  <w:style w:type="character" w:styleId="48">
    <w:name w:val="Emphasis"/>
    <w:basedOn w:val="44"/>
    <w:qFormat/>
    <w:uiPriority w:val="0"/>
  </w:style>
  <w:style w:type="character" w:styleId="49">
    <w:name w:val="HTML Definition"/>
    <w:basedOn w:val="44"/>
    <w:semiHidden/>
    <w:unhideWhenUsed/>
    <w:qFormat/>
    <w:uiPriority w:val="0"/>
  </w:style>
  <w:style w:type="character" w:styleId="50">
    <w:name w:val="HTML Typewriter"/>
    <w:basedOn w:val="44"/>
    <w:semiHidden/>
    <w:unhideWhenUsed/>
    <w:qFormat/>
    <w:uiPriority w:val="0"/>
    <w:rPr>
      <w:rFonts w:hint="default" w:ascii="monospace" w:hAnsi="monospace" w:eastAsia="monospace" w:cs="monospace"/>
      <w:sz w:val="20"/>
    </w:rPr>
  </w:style>
  <w:style w:type="character" w:styleId="51">
    <w:name w:val="HTML Acronym"/>
    <w:basedOn w:val="44"/>
    <w:semiHidden/>
    <w:unhideWhenUsed/>
    <w:qFormat/>
    <w:uiPriority w:val="0"/>
  </w:style>
  <w:style w:type="character" w:styleId="52">
    <w:name w:val="HTML Variable"/>
    <w:basedOn w:val="44"/>
    <w:semiHidden/>
    <w:unhideWhenUsed/>
    <w:qFormat/>
    <w:uiPriority w:val="0"/>
  </w:style>
  <w:style w:type="character" w:styleId="53">
    <w:name w:val="Hyperlink"/>
    <w:qFormat/>
    <w:uiPriority w:val="0"/>
    <w:rPr>
      <w:color w:val="0000FF"/>
      <w:u w:val="single"/>
    </w:rPr>
  </w:style>
  <w:style w:type="character" w:styleId="54">
    <w:name w:val="HTML Code"/>
    <w:basedOn w:val="44"/>
    <w:semiHidden/>
    <w:unhideWhenUsed/>
    <w:qFormat/>
    <w:uiPriority w:val="0"/>
    <w:rPr>
      <w:rFonts w:hint="default" w:ascii="monospace" w:hAnsi="monospace" w:eastAsia="monospace" w:cs="monospace"/>
      <w:sz w:val="20"/>
    </w:rPr>
  </w:style>
  <w:style w:type="character" w:styleId="55">
    <w:name w:val="annotation reference"/>
    <w:basedOn w:val="44"/>
    <w:qFormat/>
    <w:uiPriority w:val="99"/>
    <w:rPr>
      <w:sz w:val="21"/>
      <w:szCs w:val="21"/>
    </w:rPr>
  </w:style>
  <w:style w:type="character" w:styleId="56">
    <w:name w:val="HTML Cite"/>
    <w:basedOn w:val="44"/>
    <w:semiHidden/>
    <w:unhideWhenUsed/>
    <w:qFormat/>
    <w:uiPriority w:val="0"/>
  </w:style>
  <w:style w:type="character" w:styleId="57">
    <w:name w:val="HTML Keyboard"/>
    <w:basedOn w:val="44"/>
    <w:semiHidden/>
    <w:unhideWhenUsed/>
    <w:qFormat/>
    <w:uiPriority w:val="0"/>
    <w:rPr>
      <w:rFonts w:hint="default" w:ascii="monospace" w:hAnsi="monospace" w:eastAsia="monospace" w:cs="monospace"/>
      <w:sz w:val="20"/>
    </w:rPr>
  </w:style>
  <w:style w:type="character" w:styleId="58">
    <w:name w:val="HTML Sample"/>
    <w:basedOn w:val="44"/>
    <w:semiHidden/>
    <w:unhideWhenUsed/>
    <w:qFormat/>
    <w:uiPriority w:val="0"/>
    <w:rPr>
      <w:rFonts w:ascii="monospace" w:hAnsi="monospace" w:eastAsia="monospace" w:cs="monospace"/>
    </w:rPr>
  </w:style>
  <w:style w:type="character" w:customStyle="1" w:styleId="59">
    <w:name w:val="标题 4 字符"/>
    <w:link w:val="5"/>
    <w:qFormat/>
    <w:uiPriority w:val="9"/>
    <w:rPr>
      <w:rFonts w:ascii="Arial" w:hAnsi="Arial" w:eastAsia="黑体"/>
      <w:b/>
      <w:bCs/>
      <w:kern w:val="2"/>
      <w:sz w:val="28"/>
      <w:szCs w:val="28"/>
      <w:lang w:val="en-US" w:eastAsia="zh-CN" w:bidi="ar-SA"/>
    </w:rPr>
  </w:style>
  <w:style w:type="paragraph" w:customStyle="1" w:styleId="60">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61">
    <w:name w:val="标题 3 字符"/>
    <w:link w:val="4"/>
    <w:qFormat/>
    <w:uiPriority w:val="9"/>
    <w:rPr>
      <w:rFonts w:ascii="宋体" w:hAnsi="宋体" w:eastAsia="宋体"/>
      <w:b/>
      <w:bCs/>
      <w:kern w:val="2"/>
      <w:sz w:val="28"/>
      <w:szCs w:val="32"/>
      <w:lang w:val="en-US" w:eastAsia="zh-CN" w:bidi="ar-SA"/>
    </w:rPr>
  </w:style>
  <w:style w:type="character" w:customStyle="1" w:styleId="62">
    <w:name w:val="标题 1 字符"/>
    <w:link w:val="2"/>
    <w:qFormat/>
    <w:uiPriority w:val="0"/>
    <w:rPr>
      <w:rFonts w:ascii="宋体" w:hAnsi="宋体" w:eastAsia="黑体"/>
      <w:b/>
      <w:bCs/>
      <w:kern w:val="44"/>
      <w:sz w:val="28"/>
      <w:szCs w:val="44"/>
      <w:lang w:val="en-US" w:eastAsia="zh-CN" w:bidi="ar-SA"/>
    </w:rPr>
  </w:style>
  <w:style w:type="character" w:customStyle="1" w:styleId="63">
    <w:name w:val="正文缩进 字符"/>
    <w:link w:val="8"/>
    <w:qFormat/>
    <w:uiPriority w:val="0"/>
    <w:rPr>
      <w:rFonts w:eastAsia="宋体"/>
      <w:kern w:val="2"/>
      <w:sz w:val="21"/>
      <w:lang w:val="en-US" w:eastAsia="zh-CN" w:bidi="ar-SA"/>
    </w:rPr>
  </w:style>
  <w:style w:type="character" w:customStyle="1" w:styleId="64">
    <w:name w:val="标题 3 Char"/>
    <w:qFormat/>
    <w:uiPriority w:val="0"/>
    <w:rPr>
      <w:rFonts w:ascii="黑体" w:eastAsia="黑体"/>
      <w:bCs/>
      <w:sz w:val="30"/>
    </w:rPr>
  </w:style>
  <w:style w:type="paragraph" w:customStyle="1" w:styleId="65">
    <w:name w:val="样式41"/>
    <w:basedOn w:val="1"/>
    <w:qFormat/>
    <w:uiPriority w:val="0"/>
    <w:pPr>
      <w:numPr>
        <w:ilvl w:val="0"/>
        <w:numId w:val="2"/>
      </w:numPr>
      <w:tabs>
        <w:tab w:val="left" w:pos="945"/>
      </w:tabs>
      <w:spacing w:line="360" w:lineRule="auto"/>
    </w:pPr>
    <w:rPr>
      <w:b/>
      <w:color w:val="000000"/>
      <w:sz w:val="24"/>
      <w:szCs w:val="20"/>
    </w:rPr>
  </w:style>
  <w:style w:type="paragraph" w:customStyle="1" w:styleId="66">
    <w:name w:val="图"/>
    <w:basedOn w:val="1"/>
    <w:qFormat/>
    <w:uiPriority w:val="0"/>
    <w:pPr>
      <w:keepNext/>
      <w:adjustRightInd w:val="0"/>
      <w:snapToGrid w:val="0"/>
      <w:spacing w:before="60" w:after="60" w:line="300" w:lineRule="auto"/>
      <w:jc w:val="center"/>
    </w:pPr>
    <w:rPr>
      <w:spacing w:val="20"/>
      <w:kern w:val="0"/>
      <w:sz w:val="24"/>
      <w:szCs w:val="20"/>
    </w:rPr>
  </w:style>
  <w:style w:type="paragraph" w:customStyle="1" w:styleId="67">
    <w:name w:val="文档正文"/>
    <w:basedOn w:val="1"/>
    <w:qFormat/>
    <w:uiPriority w:val="0"/>
    <w:pPr>
      <w:adjustRightInd w:val="0"/>
      <w:spacing w:line="480" w:lineRule="atLeast"/>
      <w:ind w:firstLine="567" w:firstLineChars="200"/>
      <w:textAlignment w:val="baseline"/>
    </w:pPr>
    <w:rPr>
      <w:rFonts w:ascii="长城仿宋"/>
      <w:kern w:val="0"/>
      <w:szCs w:val="20"/>
    </w:rPr>
  </w:style>
  <w:style w:type="paragraph" w:customStyle="1" w:styleId="68">
    <w:name w:val="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9">
    <w:name w:val="Char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0">
    <w:name w:val="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1">
    <w:name w:val="Table Contents"/>
    <w:basedOn w:val="1"/>
    <w:qFormat/>
    <w:uiPriority w:val="0"/>
    <w:pPr>
      <w:suppressAutoHyphens/>
      <w:autoSpaceDE w:val="0"/>
      <w:spacing w:after="120"/>
      <w:jc w:val="left"/>
    </w:pPr>
    <w:rPr>
      <w:rFonts w:ascii="Helvetica" w:hAnsi="Helvetica"/>
      <w:kern w:val="1"/>
      <w:sz w:val="20"/>
      <w:szCs w:val="20"/>
    </w:rPr>
  </w:style>
  <w:style w:type="paragraph" w:customStyle="1" w:styleId="72">
    <w:name w:val="自定义正文"/>
    <w:basedOn w:val="1"/>
    <w:qFormat/>
    <w:uiPriority w:val="0"/>
    <w:pPr>
      <w:spacing w:afterLines="50"/>
      <w:ind w:left="600" w:leftChars="600"/>
    </w:pPr>
  </w:style>
  <w:style w:type="paragraph" w:customStyle="1" w:styleId="73">
    <w:name w:val="Char Char Char Char Char"/>
    <w:basedOn w:val="1"/>
    <w:qFormat/>
    <w:uiPriority w:val="0"/>
    <w:rPr>
      <w:rFonts w:ascii="Tahoma" w:hAnsi="Tahoma"/>
      <w:sz w:val="24"/>
      <w:szCs w:val="20"/>
    </w:rPr>
  </w:style>
  <w:style w:type="paragraph" w:customStyle="1" w:styleId="74">
    <w:name w:val="小标题 1"/>
    <w:basedOn w:val="1"/>
    <w:qFormat/>
    <w:uiPriority w:val="0"/>
    <w:pPr>
      <w:autoSpaceDE w:val="0"/>
      <w:autoSpaceDN w:val="0"/>
      <w:adjustRightInd w:val="0"/>
      <w:spacing w:line="360" w:lineRule="atLeast"/>
    </w:pPr>
    <w:rPr>
      <w:rFonts w:ascii="文鼎粗黑" w:eastAsia="文鼎粗黑"/>
      <w:kern w:val="0"/>
      <w:sz w:val="22"/>
      <w:szCs w:val="20"/>
    </w:rPr>
  </w:style>
  <w:style w:type="paragraph" w:customStyle="1" w:styleId="75">
    <w:name w:val="Char Char"/>
    <w:basedOn w:val="1"/>
    <w:qFormat/>
    <w:uiPriority w:val="0"/>
    <w:rPr>
      <w:rFonts w:ascii="Tahoma" w:hAnsi="Tahoma"/>
      <w:sz w:val="24"/>
      <w:szCs w:val="20"/>
    </w:rPr>
  </w:style>
  <w:style w:type="paragraph" w:customStyle="1" w:styleId="76">
    <w:name w:val="È±Ê¡ÎÄ±¾"/>
    <w:basedOn w:val="1"/>
    <w:qFormat/>
    <w:uiPriority w:val="0"/>
    <w:pPr>
      <w:widowControl/>
      <w:overflowPunct w:val="0"/>
      <w:autoSpaceDE w:val="0"/>
      <w:autoSpaceDN w:val="0"/>
      <w:adjustRightInd w:val="0"/>
      <w:jc w:val="left"/>
      <w:textAlignment w:val="baseline"/>
    </w:pPr>
    <w:rPr>
      <w:kern w:val="0"/>
      <w:sz w:val="24"/>
      <w:szCs w:val="20"/>
    </w:rPr>
  </w:style>
  <w:style w:type="character" w:customStyle="1" w:styleId="77">
    <w:name w:val="标题 2 字符"/>
    <w:link w:val="3"/>
    <w:qFormat/>
    <w:uiPriority w:val="0"/>
    <w:rPr>
      <w:rFonts w:ascii="宋体" w:hAnsi="宋体" w:eastAsia="宋体"/>
      <w:b/>
      <w:bCs/>
      <w:sz w:val="24"/>
      <w:lang w:val="en-US" w:eastAsia="zh-CN" w:bidi="ar-SA"/>
    </w:rPr>
  </w:style>
  <w:style w:type="paragraph" w:customStyle="1" w:styleId="78">
    <w:name w:val="Char Char Char Char Char Char1 Char"/>
    <w:basedOn w:val="1"/>
    <w:qFormat/>
    <w:uiPriority w:val="0"/>
    <w:pPr>
      <w:widowControl/>
      <w:spacing w:after="160" w:line="240" w:lineRule="exact"/>
      <w:jc w:val="left"/>
    </w:pPr>
    <w:rPr>
      <w:rFonts w:ascii="Verdana" w:hAnsi="Verdana"/>
      <w:kern w:val="0"/>
      <w:szCs w:val="20"/>
      <w:lang w:eastAsia="en-US"/>
    </w:rPr>
  </w:style>
  <w:style w:type="paragraph" w:styleId="79">
    <w:name w:val="List Paragraph"/>
    <w:basedOn w:val="1"/>
    <w:qFormat/>
    <w:uiPriority w:val="34"/>
    <w:pPr>
      <w:ind w:firstLine="420" w:firstLineChars="200"/>
    </w:pPr>
    <w:rPr>
      <w:rFonts w:ascii="Calibri" w:hAnsi="Calibri"/>
      <w:szCs w:val="22"/>
    </w:rPr>
  </w:style>
  <w:style w:type="paragraph" w:customStyle="1" w:styleId="80">
    <w:name w:val="USE 1"/>
    <w:basedOn w:val="1"/>
    <w:qFormat/>
    <w:uiPriority w:val="0"/>
    <w:pPr>
      <w:spacing w:line="200" w:lineRule="atLeast"/>
      <w:jc w:val="left"/>
    </w:pPr>
    <w:rPr>
      <w:rFonts w:ascii="宋体" w:hAnsi="宋体"/>
      <w:b/>
      <w:sz w:val="24"/>
      <w:szCs w:val="28"/>
    </w:rPr>
  </w:style>
  <w:style w:type="paragraph" w:customStyle="1" w:styleId="81">
    <w:name w:val="RFI text from 3rd Level"/>
    <w:basedOn w:val="1"/>
    <w:qFormat/>
    <w:uiPriority w:val="0"/>
    <w:pPr>
      <w:widowControl/>
      <w:numPr>
        <w:ilvl w:val="0"/>
        <w:numId w:val="3"/>
      </w:numPr>
      <w:tabs>
        <w:tab w:val="left" w:pos="1080"/>
        <w:tab w:val="clear" w:pos="840"/>
      </w:tabs>
      <w:spacing w:beforeLines="50" w:line="360" w:lineRule="auto"/>
      <w:ind w:left="0" w:firstLine="0"/>
    </w:pPr>
    <w:rPr>
      <w:rFonts w:ascii="Arial (W1)" w:hAnsi="Arial (W1)"/>
      <w:bCs/>
      <w:kern w:val="0"/>
      <w:sz w:val="24"/>
      <w:lang w:val="en-GB"/>
    </w:rPr>
  </w:style>
  <w:style w:type="paragraph" w:customStyle="1" w:styleId="82">
    <w:name w:val="正文文字缩进项目"/>
    <w:basedOn w:val="19"/>
    <w:qFormat/>
    <w:uiPriority w:val="0"/>
    <w:pPr>
      <w:numPr>
        <w:ilvl w:val="1"/>
        <w:numId w:val="3"/>
      </w:numPr>
      <w:tabs>
        <w:tab w:val="left" w:pos="840"/>
        <w:tab w:val="clear" w:pos="1260"/>
      </w:tabs>
      <w:spacing w:after="120" w:line="240" w:lineRule="auto"/>
      <w:ind w:left="840" w:firstLine="0" w:firstLineChars="0"/>
    </w:pPr>
    <w:rPr>
      <w:rFonts w:ascii="Tahoma" w:hAnsi="Tahoma"/>
      <w:sz w:val="22"/>
      <w:szCs w:val="20"/>
    </w:rPr>
  </w:style>
  <w:style w:type="paragraph" w:customStyle="1" w:styleId="83">
    <w:name w:val="样式 标题 2 + 段前: 13 磅 段后: 13 磅 行距: 单倍行距"/>
    <w:basedOn w:val="3"/>
    <w:qFormat/>
    <w:uiPriority w:val="0"/>
    <w:pPr>
      <w:adjustRightInd/>
      <w:jc w:val="both"/>
      <w:textAlignment w:val="auto"/>
    </w:pPr>
    <w:rPr>
      <w:rFonts w:ascii="Cambria" w:hAnsi="Cambria" w:cs="宋体"/>
      <w:kern w:val="2"/>
      <w:sz w:val="32"/>
    </w:rPr>
  </w:style>
  <w:style w:type="character" w:customStyle="1" w:styleId="84">
    <w:name w:val="H4 Char2"/>
    <w:qFormat/>
    <w:uiPriority w:val="0"/>
    <w:rPr>
      <w:rFonts w:ascii="Arial" w:hAnsi="Arial" w:eastAsia="黑体"/>
      <w:b/>
      <w:bCs/>
      <w:kern w:val="2"/>
      <w:sz w:val="28"/>
      <w:szCs w:val="28"/>
      <w:lang w:val="en-US" w:eastAsia="zh-CN" w:bidi="ar-SA"/>
    </w:rPr>
  </w:style>
  <w:style w:type="character" w:customStyle="1" w:styleId="85">
    <w:name w:val="正文文本缩进 字符"/>
    <w:link w:val="19"/>
    <w:qFormat/>
    <w:uiPriority w:val="0"/>
    <w:rPr>
      <w:rFonts w:eastAsia="宋体"/>
      <w:kern w:val="2"/>
      <w:sz w:val="21"/>
      <w:szCs w:val="24"/>
      <w:lang w:val="en-US" w:eastAsia="zh-CN" w:bidi="ar-SA"/>
    </w:rPr>
  </w:style>
  <w:style w:type="character" w:customStyle="1" w:styleId="86">
    <w:name w:val="标题 5 字符"/>
    <w:link w:val="6"/>
    <w:qFormat/>
    <w:uiPriority w:val="0"/>
    <w:rPr>
      <w:rFonts w:eastAsia="宋体"/>
      <w:b/>
      <w:kern w:val="2"/>
      <w:sz w:val="28"/>
      <w:lang w:val="en-US" w:eastAsia="zh-CN" w:bidi="ar-SA"/>
    </w:rPr>
  </w:style>
  <w:style w:type="character" w:customStyle="1" w:styleId="87">
    <w:name w:val="第*章 Char"/>
    <w:qFormat/>
    <w:uiPriority w:val="0"/>
    <w:rPr>
      <w:rFonts w:ascii="Arial" w:hAnsi="Arial" w:eastAsia="黑体"/>
      <w:b/>
      <w:bCs/>
      <w:kern w:val="2"/>
      <w:sz w:val="32"/>
      <w:szCs w:val="32"/>
    </w:rPr>
  </w:style>
  <w:style w:type="character" w:customStyle="1" w:styleId="88">
    <w:name w:val="章标题1 Char"/>
    <w:qFormat/>
    <w:uiPriority w:val="0"/>
    <w:rPr>
      <w:rFonts w:eastAsia="宋体"/>
      <w:b/>
      <w:bCs/>
      <w:kern w:val="2"/>
      <w:sz w:val="32"/>
      <w:szCs w:val="32"/>
      <w:lang w:val="en-US" w:eastAsia="zh-CN" w:bidi="ar-SA"/>
    </w:rPr>
  </w:style>
  <w:style w:type="character" w:customStyle="1" w:styleId="89">
    <w:name w:val="标题 6 字符"/>
    <w:link w:val="7"/>
    <w:qFormat/>
    <w:uiPriority w:val="0"/>
    <w:rPr>
      <w:rFonts w:ascii="Arial" w:hAnsi="Arial" w:eastAsia="黑体"/>
      <w:b/>
      <w:kern w:val="2"/>
      <w:sz w:val="24"/>
      <w:lang w:val="en-US" w:eastAsia="zh-CN" w:bidi="ar-SA"/>
    </w:rPr>
  </w:style>
  <w:style w:type="character" w:customStyle="1" w:styleId="90">
    <w:name w:val="标题 7 字符"/>
    <w:link w:val="9"/>
    <w:qFormat/>
    <w:uiPriority w:val="0"/>
    <w:rPr>
      <w:rFonts w:eastAsia="宋体"/>
      <w:b/>
      <w:kern w:val="2"/>
      <w:sz w:val="24"/>
      <w:lang w:val="en-US" w:eastAsia="zh-CN" w:bidi="ar-SA"/>
    </w:rPr>
  </w:style>
  <w:style w:type="character" w:customStyle="1" w:styleId="91">
    <w:name w:val="标题 8 字符"/>
    <w:link w:val="10"/>
    <w:qFormat/>
    <w:uiPriority w:val="0"/>
    <w:rPr>
      <w:rFonts w:ascii="Arial" w:hAnsi="Arial" w:eastAsia="黑体"/>
      <w:kern w:val="2"/>
      <w:sz w:val="24"/>
      <w:lang w:val="en-US" w:eastAsia="zh-CN" w:bidi="ar-SA"/>
    </w:rPr>
  </w:style>
  <w:style w:type="character" w:customStyle="1" w:styleId="92">
    <w:name w:val="标题 9 字符"/>
    <w:link w:val="11"/>
    <w:qFormat/>
    <w:uiPriority w:val="0"/>
    <w:rPr>
      <w:rFonts w:ascii="Arial" w:hAnsi="Arial" w:eastAsia="黑体"/>
      <w:kern w:val="2"/>
      <w:sz w:val="21"/>
      <w:lang w:val="en-US" w:eastAsia="zh-CN" w:bidi="ar-SA"/>
    </w:rPr>
  </w:style>
  <w:style w:type="character" w:customStyle="1" w:styleId="93">
    <w:name w:val="标题 字符"/>
    <w:link w:val="39"/>
    <w:qFormat/>
    <w:uiPriority w:val="0"/>
    <w:rPr>
      <w:rFonts w:ascii="Arial" w:hAnsi="Arial" w:eastAsia="隶书" w:cs="Arial"/>
      <w:b/>
      <w:bCs/>
      <w:kern w:val="2"/>
      <w:sz w:val="32"/>
      <w:szCs w:val="32"/>
      <w:lang w:val="en-US" w:eastAsia="zh-CN" w:bidi="ar-SA"/>
    </w:rPr>
  </w:style>
  <w:style w:type="character" w:customStyle="1" w:styleId="94">
    <w:name w:val="日期 字符"/>
    <w:link w:val="24"/>
    <w:qFormat/>
    <w:uiPriority w:val="0"/>
    <w:rPr>
      <w:rFonts w:ascii="宋体" w:hAnsi="Courier New" w:eastAsia="宋体"/>
      <w:kern w:val="2"/>
      <w:sz w:val="32"/>
      <w:lang w:val="en-US" w:eastAsia="zh-CN" w:bidi="ar-SA"/>
    </w:rPr>
  </w:style>
  <w:style w:type="character" w:customStyle="1" w:styleId="95">
    <w:name w:val="HTML 预设格式 字符"/>
    <w:link w:val="36"/>
    <w:qFormat/>
    <w:uiPriority w:val="0"/>
    <w:rPr>
      <w:rFonts w:ascii="Arial Unicode MS" w:hAnsi="Arial Unicode MS" w:eastAsia="Arial Unicode MS"/>
      <w:color w:val="000000"/>
      <w:lang w:val="en-US" w:eastAsia="zh-CN" w:bidi="ar-SA"/>
    </w:rPr>
  </w:style>
  <w:style w:type="character" w:customStyle="1" w:styleId="96">
    <w:name w:val="纯文本 字符"/>
    <w:link w:val="22"/>
    <w:qFormat/>
    <w:uiPriority w:val="0"/>
    <w:rPr>
      <w:rFonts w:ascii="宋体" w:hAnsi="Courier New" w:eastAsia="宋体"/>
      <w:kern w:val="2"/>
      <w:sz w:val="21"/>
      <w:lang w:val="en-US" w:eastAsia="zh-CN" w:bidi="ar-SA"/>
    </w:rPr>
  </w:style>
  <w:style w:type="character" w:customStyle="1" w:styleId="97">
    <w:name w:val="正文文字首行缩进 Char"/>
    <w:qFormat/>
    <w:uiPriority w:val="0"/>
    <w:rPr>
      <w:kern w:val="2"/>
      <w:sz w:val="21"/>
      <w:szCs w:val="24"/>
    </w:rPr>
  </w:style>
  <w:style w:type="character" w:customStyle="1" w:styleId="98">
    <w:name w:val="正文文本 字符"/>
    <w:link w:val="18"/>
    <w:qFormat/>
    <w:uiPriority w:val="0"/>
    <w:rPr>
      <w:rFonts w:eastAsia="宋体"/>
      <w:b/>
      <w:bCs/>
      <w:kern w:val="2"/>
      <w:sz w:val="24"/>
      <w:szCs w:val="24"/>
      <w:lang w:val="en-US" w:eastAsia="zh-CN" w:bidi="ar-SA"/>
    </w:rPr>
  </w:style>
  <w:style w:type="character" w:customStyle="1" w:styleId="99">
    <w:name w:val="正文文本缩进 2 字符"/>
    <w:link w:val="25"/>
    <w:qFormat/>
    <w:uiPriority w:val="0"/>
    <w:rPr>
      <w:rFonts w:ascii="宋体" w:hAnsi="宋体" w:eastAsia="宋体"/>
      <w:kern w:val="2"/>
      <w:sz w:val="21"/>
      <w:szCs w:val="24"/>
      <w:lang w:val="en-US" w:eastAsia="zh-CN" w:bidi="ar-SA"/>
    </w:rPr>
  </w:style>
  <w:style w:type="character" w:customStyle="1" w:styleId="100">
    <w:name w:val="页眉 字符"/>
    <w:link w:val="28"/>
    <w:qFormat/>
    <w:uiPriority w:val="99"/>
    <w:rPr>
      <w:rFonts w:eastAsia="宋体"/>
      <w:kern w:val="2"/>
      <w:sz w:val="18"/>
      <w:szCs w:val="18"/>
      <w:lang w:val="en-US" w:eastAsia="zh-CN" w:bidi="ar-SA"/>
    </w:rPr>
  </w:style>
  <w:style w:type="character" w:customStyle="1" w:styleId="101">
    <w:name w:val="正文文本缩进 3 字符"/>
    <w:link w:val="32"/>
    <w:qFormat/>
    <w:uiPriority w:val="0"/>
    <w:rPr>
      <w:rFonts w:ascii="宋体" w:eastAsia="宋体"/>
      <w:b/>
      <w:bCs/>
      <w:kern w:val="2"/>
      <w:sz w:val="24"/>
      <w:szCs w:val="24"/>
      <w:lang w:val="en-US" w:eastAsia="zh-CN" w:bidi="ar-SA"/>
    </w:rPr>
  </w:style>
  <w:style w:type="character" w:customStyle="1" w:styleId="102">
    <w:name w:val="正文文本 2 字符"/>
    <w:link w:val="35"/>
    <w:qFormat/>
    <w:uiPriority w:val="0"/>
    <w:rPr>
      <w:rFonts w:eastAsia="宋体"/>
      <w:kern w:val="2"/>
      <w:sz w:val="24"/>
      <w:szCs w:val="24"/>
      <w:lang w:val="en-US" w:eastAsia="zh-CN" w:bidi="ar-SA"/>
    </w:rPr>
  </w:style>
  <w:style w:type="character" w:customStyle="1" w:styleId="103">
    <w:name w:val="页脚 字符"/>
    <w:link w:val="27"/>
    <w:qFormat/>
    <w:uiPriority w:val="0"/>
    <w:rPr>
      <w:rFonts w:eastAsia="宋体"/>
      <w:kern w:val="2"/>
      <w:sz w:val="18"/>
      <w:szCs w:val="18"/>
      <w:lang w:val="en-US" w:eastAsia="zh-CN" w:bidi="ar-SA"/>
    </w:rPr>
  </w:style>
  <w:style w:type="character" w:customStyle="1" w:styleId="104">
    <w:name w:val="正文文本 3 字符"/>
    <w:link w:val="17"/>
    <w:qFormat/>
    <w:uiPriority w:val="0"/>
    <w:rPr>
      <w:rFonts w:eastAsia="宋体"/>
      <w:kern w:val="2"/>
      <w:sz w:val="16"/>
      <w:szCs w:val="16"/>
      <w:lang w:val="en-US" w:eastAsia="zh-CN" w:bidi="ar-SA"/>
    </w:rPr>
  </w:style>
  <w:style w:type="character" w:customStyle="1" w:styleId="105">
    <w:name w:val="批注框文本 字符"/>
    <w:link w:val="26"/>
    <w:semiHidden/>
    <w:qFormat/>
    <w:uiPriority w:val="99"/>
    <w:rPr>
      <w:rFonts w:eastAsia="宋体"/>
      <w:kern w:val="2"/>
      <w:sz w:val="18"/>
      <w:szCs w:val="18"/>
      <w:lang w:val="en-US" w:eastAsia="zh-CN" w:bidi="ar-SA"/>
    </w:rPr>
  </w:style>
  <w:style w:type="paragraph" w:customStyle="1" w:styleId="106">
    <w:name w:val="样式1"/>
    <w:basedOn w:val="39"/>
    <w:qFormat/>
    <w:uiPriority w:val="0"/>
    <w:pPr>
      <w:spacing w:before="120" w:after="120"/>
    </w:pPr>
    <w:rPr>
      <w:rFonts w:eastAsia="黑体"/>
      <w:b w:val="0"/>
      <w:sz w:val="30"/>
      <w:szCs w:val="21"/>
    </w:rPr>
  </w:style>
  <w:style w:type="paragraph" w:customStyle="1" w:styleId="107">
    <w:name w:val="样式2"/>
    <w:basedOn w:val="39"/>
    <w:next w:val="106"/>
    <w:qFormat/>
    <w:uiPriority w:val="0"/>
    <w:pPr>
      <w:spacing w:before="120" w:after="120"/>
    </w:pPr>
    <w:rPr>
      <w:rFonts w:eastAsia="黑体"/>
      <w:b w:val="0"/>
      <w:sz w:val="30"/>
      <w:szCs w:val="30"/>
    </w:rPr>
  </w:style>
  <w:style w:type="character" w:customStyle="1" w:styleId="108">
    <w:name w:val="标题 3 Char Char"/>
    <w:qFormat/>
    <w:uiPriority w:val="0"/>
    <w:rPr>
      <w:rFonts w:eastAsia="宋体"/>
      <w:b/>
      <w:bCs/>
      <w:kern w:val="2"/>
      <w:sz w:val="32"/>
      <w:szCs w:val="32"/>
      <w:lang w:val="en-US" w:eastAsia="zh-CN" w:bidi="ar-SA"/>
    </w:rPr>
  </w:style>
  <w:style w:type="paragraph" w:customStyle="1" w:styleId="109">
    <w:name w:val="Char Char Char Char Char Char1 Char Char Char Char Char Char Char Char Char Char Char Char Char"/>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110">
    <w:name w:val="cont"/>
    <w:basedOn w:val="1"/>
    <w:qFormat/>
    <w:uiPriority w:val="0"/>
    <w:pPr>
      <w:adjustRightInd w:val="0"/>
      <w:spacing w:before="100" w:after="100" w:line="360" w:lineRule="auto"/>
      <w:ind w:firstLine="200" w:firstLineChars="200"/>
      <w:jc w:val="left"/>
      <w:textAlignment w:val="baseline"/>
    </w:pPr>
    <w:rPr>
      <w:rFonts w:ascii="Arial" w:hAnsi="Arial"/>
      <w:kern w:val="0"/>
      <w:sz w:val="24"/>
      <w:szCs w:val="20"/>
    </w:rPr>
  </w:style>
  <w:style w:type="paragraph" w:customStyle="1" w:styleId="111">
    <w:name w:val="--规划正文"/>
    <w:basedOn w:val="1"/>
    <w:qFormat/>
    <w:uiPriority w:val="0"/>
    <w:pPr>
      <w:spacing w:line="360" w:lineRule="auto"/>
      <w:ind w:firstLine="200" w:firstLineChars="200"/>
    </w:pPr>
    <w:rPr>
      <w:szCs w:val="20"/>
    </w:rPr>
  </w:style>
  <w:style w:type="paragraph" w:customStyle="1" w:styleId="112">
    <w:name w:val="设计依据"/>
    <w:basedOn w:val="18"/>
    <w:qFormat/>
    <w:uiPriority w:val="0"/>
    <w:pPr>
      <w:numPr>
        <w:ilvl w:val="1"/>
        <w:numId w:val="4"/>
      </w:numPr>
      <w:tabs>
        <w:tab w:val="left" w:pos="1440"/>
        <w:tab w:val="clear" w:pos="840"/>
      </w:tabs>
      <w:adjustRightInd w:val="0"/>
      <w:ind w:left="1440"/>
      <w:textAlignment w:val="baseline"/>
    </w:pPr>
    <w:rPr>
      <w:rFonts w:ascii="宋体" w:hAnsi="宋体"/>
      <w:b w:val="0"/>
      <w:kern w:val="0"/>
      <w:sz w:val="28"/>
      <w:szCs w:val="18"/>
    </w:rPr>
  </w:style>
  <w:style w:type="paragraph" w:customStyle="1" w:styleId="113">
    <w:name w:val="方案要点"/>
    <w:basedOn w:val="1"/>
    <w:qFormat/>
    <w:uiPriority w:val="0"/>
    <w:pPr>
      <w:numPr>
        <w:ilvl w:val="0"/>
        <w:numId w:val="4"/>
      </w:numPr>
      <w:spacing w:line="360" w:lineRule="auto"/>
    </w:pPr>
    <w:rPr>
      <w:rFonts w:ascii="仿宋_GB2312" w:hAnsi="宋体" w:eastAsia="仿宋_GB2312"/>
      <w:color w:val="000000"/>
      <w:sz w:val="28"/>
      <w:szCs w:val="28"/>
    </w:rPr>
  </w:style>
  <w:style w:type="paragraph" w:customStyle="1" w:styleId="114">
    <w:name w:val="样式4"/>
    <w:basedOn w:val="1"/>
    <w:qFormat/>
    <w:uiPriority w:val="0"/>
    <w:pPr>
      <w:tabs>
        <w:tab w:val="left" w:pos="842"/>
      </w:tabs>
      <w:spacing w:line="360" w:lineRule="auto"/>
      <w:ind w:left="842" w:hanging="420"/>
    </w:pPr>
    <w:rPr>
      <w:sz w:val="24"/>
    </w:rPr>
  </w:style>
  <w:style w:type="paragraph" w:customStyle="1" w:styleId="115">
    <w:name w:val="文字"/>
    <w:basedOn w:val="1"/>
    <w:qFormat/>
    <w:uiPriority w:val="0"/>
    <w:pPr>
      <w:tabs>
        <w:tab w:val="left" w:pos="8520"/>
      </w:tabs>
      <w:spacing w:line="312" w:lineRule="auto"/>
      <w:ind w:right="-210" w:firstLine="556"/>
    </w:pPr>
    <w:rPr>
      <w:rFonts w:ascii="宋体"/>
      <w:sz w:val="28"/>
      <w:szCs w:val="20"/>
    </w:rPr>
  </w:style>
  <w:style w:type="paragraph" w:customStyle="1" w:styleId="116">
    <w:name w:val="--规划-表格-居左"/>
    <w:basedOn w:val="111"/>
    <w:qFormat/>
    <w:uiPriority w:val="0"/>
    <w:pPr>
      <w:spacing w:line="240" w:lineRule="auto"/>
      <w:ind w:firstLine="0" w:firstLineChars="0"/>
    </w:pPr>
    <w:rPr>
      <w:sz w:val="20"/>
    </w:rPr>
  </w:style>
  <w:style w:type="paragraph" w:customStyle="1" w:styleId="117">
    <w:name w:val="--规划-表格-居中"/>
    <w:basedOn w:val="111"/>
    <w:qFormat/>
    <w:uiPriority w:val="0"/>
    <w:pPr>
      <w:spacing w:line="240" w:lineRule="auto"/>
      <w:ind w:firstLine="0" w:firstLineChars="0"/>
      <w:jc w:val="center"/>
    </w:pPr>
    <w:rPr>
      <w:sz w:val="20"/>
    </w:rPr>
  </w:style>
  <w:style w:type="paragraph" w:customStyle="1" w:styleId="118">
    <w:name w:val="--编号内缩进"/>
    <w:basedOn w:val="1"/>
    <w:qFormat/>
    <w:uiPriority w:val="0"/>
    <w:pPr>
      <w:spacing w:line="360" w:lineRule="auto"/>
      <w:ind w:left="420" w:firstLine="200" w:firstLineChars="200"/>
    </w:pPr>
    <w:rPr>
      <w:szCs w:val="21"/>
    </w:rPr>
  </w:style>
  <w:style w:type="paragraph" w:customStyle="1" w:styleId="119">
    <w:name w:val="--规划-题注"/>
    <w:basedOn w:val="1"/>
    <w:next w:val="111"/>
    <w:qFormat/>
    <w:uiPriority w:val="0"/>
    <w:pPr>
      <w:spacing w:line="360" w:lineRule="auto"/>
      <w:jc w:val="center"/>
    </w:pPr>
    <w:rPr>
      <w:rFonts w:eastAsia="黑体"/>
    </w:rPr>
  </w:style>
  <w:style w:type="paragraph" w:customStyle="1" w:styleId="120">
    <w:name w:val="--规划-图和表"/>
    <w:next w:val="111"/>
    <w:qFormat/>
    <w:uiPriority w:val="0"/>
    <w:pPr>
      <w:jc w:val="center"/>
    </w:pPr>
    <w:rPr>
      <w:rFonts w:ascii="Times New Roman" w:hAnsi="Times New Roman" w:eastAsia="宋体" w:cs="Times New Roman"/>
      <w:kern w:val="2"/>
      <w:sz w:val="21"/>
      <w:lang w:val="en-US" w:eastAsia="zh-CN" w:bidi="ar-SA"/>
    </w:rPr>
  </w:style>
  <w:style w:type="paragraph" w:customStyle="1" w:styleId="121">
    <w:name w:val="--规划-小标题"/>
    <w:basedOn w:val="1"/>
    <w:next w:val="111"/>
    <w:qFormat/>
    <w:uiPriority w:val="0"/>
    <w:pPr>
      <w:keepNext/>
      <w:keepLines/>
      <w:spacing w:line="360" w:lineRule="auto"/>
      <w:outlineLvl w:val="4"/>
    </w:pPr>
    <w:rPr>
      <w:rFonts w:eastAsia="黑体"/>
    </w:rPr>
  </w:style>
  <w:style w:type="paragraph" w:customStyle="1" w:styleId="122">
    <w:name w:val="--规划正文 Char"/>
    <w:basedOn w:val="1"/>
    <w:qFormat/>
    <w:uiPriority w:val="0"/>
    <w:pPr>
      <w:spacing w:line="360" w:lineRule="auto"/>
      <w:ind w:firstLine="200" w:firstLineChars="200"/>
    </w:pPr>
    <w:rPr>
      <w:sz w:val="24"/>
    </w:rPr>
  </w:style>
  <w:style w:type="paragraph" w:customStyle="1" w:styleId="123">
    <w:name w:val="缺省文本"/>
    <w:basedOn w:val="1"/>
    <w:qFormat/>
    <w:uiPriority w:val="0"/>
    <w:pPr>
      <w:autoSpaceDE w:val="0"/>
      <w:autoSpaceDN w:val="0"/>
      <w:adjustRightInd w:val="0"/>
      <w:jc w:val="left"/>
    </w:pPr>
    <w:rPr>
      <w:kern w:val="0"/>
    </w:rPr>
  </w:style>
  <w:style w:type="paragraph" w:customStyle="1" w:styleId="124">
    <w:name w:val="封面文档标题"/>
    <w:basedOn w:val="1"/>
    <w:qFormat/>
    <w:uiPriority w:val="0"/>
    <w:pPr>
      <w:autoSpaceDE w:val="0"/>
      <w:autoSpaceDN w:val="0"/>
      <w:adjustRightInd w:val="0"/>
      <w:spacing w:line="360" w:lineRule="auto"/>
      <w:jc w:val="center"/>
    </w:pPr>
    <w:rPr>
      <w:rFonts w:ascii="Arial" w:hAnsi="Arial"/>
      <w:b/>
      <w:kern w:val="0"/>
      <w:sz w:val="56"/>
    </w:rPr>
  </w:style>
  <w:style w:type="character" w:customStyle="1" w:styleId="125">
    <w:name w:val="--规划正文 Char Char"/>
    <w:qFormat/>
    <w:uiPriority w:val="0"/>
    <w:rPr>
      <w:rFonts w:eastAsia="宋体"/>
      <w:kern w:val="2"/>
      <w:sz w:val="24"/>
      <w:szCs w:val="24"/>
      <w:lang w:val="en-US" w:eastAsia="zh-CN" w:bidi="ar-SA"/>
    </w:rPr>
  </w:style>
  <w:style w:type="paragraph" w:customStyle="1" w:styleId="126">
    <w:name w:val="样式3"/>
    <w:basedOn w:val="2"/>
    <w:qFormat/>
    <w:uiPriority w:val="0"/>
    <w:pPr>
      <w:numPr>
        <w:ilvl w:val="0"/>
        <w:numId w:val="5"/>
      </w:numPr>
      <w:spacing w:before="240" w:after="240" w:line="480" w:lineRule="auto"/>
      <w:ind w:right="210" w:rightChars="100"/>
      <w:jc w:val="left"/>
    </w:pPr>
    <w:rPr>
      <w:sz w:val="32"/>
    </w:rPr>
  </w:style>
  <w:style w:type="character" w:customStyle="1" w:styleId="127">
    <w:name w:val="--规划正文 Char1"/>
    <w:qFormat/>
    <w:uiPriority w:val="0"/>
    <w:rPr>
      <w:rFonts w:eastAsia="宋体"/>
      <w:kern w:val="2"/>
      <w:sz w:val="21"/>
      <w:lang w:val="en-US" w:eastAsia="zh-CN" w:bidi="ar-SA"/>
    </w:rPr>
  </w:style>
  <w:style w:type="paragraph" w:customStyle="1" w:styleId="128">
    <w:name w:val="word"/>
    <w:basedOn w:val="1"/>
    <w:qFormat/>
    <w:uiPriority w:val="0"/>
    <w:pPr>
      <w:widowControl/>
      <w:spacing w:before="100" w:beforeAutospacing="1" w:after="100" w:afterAutospacing="1" w:line="301" w:lineRule="atLeast"/>
      <w:jc w:val="left"/>
    </w:pPr>
    <w:rPr>
      <w:rFonts w:ascii="ˎ̥" w:hAnsi="ˎ̥"/>
      <w:color w:val="000000"/>
      <w:kern w:val="0"/>
      <w:sz w:val="20"/>
      <w:szCs w:val="20"/>
    </w:rPr>
  </w:style>
  <w:style w:type="paragraph" w:customStyle="1" w:styleId="129">
    <w:name w:val="列表项目"/>
    <w:basedOn w:val="1"/>
    <w:qFormat/>
    <w:uiPriority w:val="0"/>
    <w:pPr>
      <w:tabs>
        <w:tab w:val="left" w:pos="420"/>
        <w:tab w:val="left" w:pos="1080"/>
      </w:tabs>
      <w:spacing w:line="288" w:lineRule="auto"/>
      <w:ind w:left="1080" w:hanging="360"/>
    </w:pPr>
    <w:rPr>
      <w:sz w:val="24"/>
      <w:szCs w:val="20"/>
    </w:rPr>
  </w:style>
  <w:style w:type="character" w:customStyle="1" w:styleId="130">
    <w:name w:val="content1"/>
    <w:qFormat/>
    <w:uiPriority w:val="0"/>
    <w:rPr>
      <w:rFonts w:hint="default" w:ascii="??" w:hAnsi="??"/>
      <w:sz w:val="16"/>
      <w:szCs w:val="16"/>
      <w:u w:val="none"/>
    </w:rPr>
  </w:style>
  <w:style w:type="character" w:customStyle="1" w:styleId="131">
    <w:name w:val="unnamed4"/>
    <w:basedOn w:val="44"/>
    <w:qFormat/>
    <w:uiPriority w:val="0"/>
  </w:style>
  <w:style w:type="character" w:customStyle="1" w:styleId="132">
    <w:name w:val="font2"/>
    <w:basedOn w:val="44"/>
    <w:qFormat/>
    <w:uiPriority w:val="0"/>
  </w:style>
  <w:style w:type="character" w:customStyle="1" w:styleId="133">
    <w:name w:val="font41"/>
    <w:qFormat/>
    <w:uiPriority w:val="0"/>
    <w:rPr>
      <w:color w:val="000000"/>
      <w:spacing w:val="260"/>
      <w:sz w:val="18"/>
      <w:szCs w:val="18"/>
      <w:u w:val="none"/>
    </w:rPr>
  </w:style>
  <w:style w:type="paragraph" w:customStyle="1" w:styleId="134">
    <w:name w:val="正文(首行缩进)"/>
    <w:qFormat/>
    <w:uiPriority w:val="0"/>
    <w:pPr>
      <w:spacing w:line="360" w:lineRule="auto"/>
      <w:ind w:firstLine="488" w:firstLineChars="200"/>
      <w:jc w:val="both"/>
    </w:pPr>
    <w:rPr>
      <w:rFonts w:ascii="Times New Roman" w:hAnsi="Times New Roman" w:eastAsia="仿宋_GB2312" w:cs="Times New Roman"/>
      <w:spacing w:val="2"/>
      <w:sz w:val="24"/>
      <w:szCs w:val="24"/>
      <w:lang w:val="en-US" w:eastAsia="zh-CN" w:bidi="ar-SA"/>
    </w:rPr>
  </w:style>
  <w:style w:type="paragraph" w:customStyle="1" w:styleId="135">
    <w:name w:val="xl72"/>
    <w:basedOn w:val="1"/>
    <w:qFormat/>
    <w:uiPriority w:val="0"/>
    <w:pPr>
      <w:widowControl/>
      <w:spacing w:before="100" w:beforeAutospacing="1" w:after="100" w:afterAutospacing="1"/>
      <w:jc w:val="left"/>
    </w:pPr>
    <w:rPr>
      <w:rFonts w:ascii="宋体" w:hAnsi="宋体"/>
      <w:b/>
      <w:bCs/>
      <w:kern w:val="0"/>
      <w:sz w:val="28"/>
      <w:szCs w:val="28"/>
    </w:rPr>
  </w:style>
  <w:style w:type="character" w:customStyle="1" w:styleId="136">
    <w:name w:val="正文文本首行缩进 字符"/>
    <w:link w:val="41"/>
    <w:qFormat/>
    <w:uiPriority w:val="0"/>
    <w:rPr>
      <w:rFonts w:eastAsia="宋体"/>
      <w:b/>
      <w:bCs/>
      <w:kern w:val="2"/>
      <w:sz w:val="21"/>
      <w:szCs w:val="24"/>
      <w:lang w:val="en-US" w:eastAsia="zh-CN" w:bidi="ar-SA"/>
    </w:rPr>
  </w:style>
  <w:style w:type="paragraph" w:customStyle="1" w:styleId="137">
    <w:name w:val="正文(首行缩进) Char"/>
    <w:qFormat/>
    <w:uiPriority w:val="0"/>
    <w:pPr>
      <w:spacing w:before="120" w:after="60" w:line="360" w:lineRule="auto"/>
      <w:ind w:firstLine="200" w:firstLineChars="200"/>
    </w:pPr>
    <w:rPr>
      <w:rFonts w:ascii="Times New Roman" w:hAnsi="Times New Roman" w:eastAsia="仿宋_GB2312" w:cs="Times New Roman"/>
      <w:spacing w:val="2"/>
      <w:kern w:val="24"/>
      <w:sz w:val="24"/>
      <w:szCs w:val="24"/>
      <w:lang w:val="en-US" w:eastAsia="zh-CN" w:bidi="ar-SA"/>
    </w:rPr>
  </w:style>
  <w:style w:type="paragraph" w:customStyle="1" w:styleId="138">
    <w:name w:val="汉议细等线简8"/>
    <w:qFormat/>
    <w:uiPriority w:val="0"/>
    <w:pPr>
      <w:widowControl w:val="0"/>
      <w:autoSpaceDE w:val="0"/>
      <w:autoSpaceDN w:val="0"/>
      <w:adjustRightInd w:val="0"/>
      <w:spacing w:line="260" w:lineRule="atLeast"/>
      <w:jc w:val="both"/>
    </w:pPr>
    <w:rPr>
      <w:rFonts w:ascii="汉仪细等线简" w:hAnsi="Times New Roman" w:eastAsia="汉仪细等线简" w:cs="Times New Roman"/>
      <w:color w:val="000000"/>
      <w:sz w:val="16"/>
      <w:szCs w:val="16"/>
      <w:lang w:val="en-US" w:eastAsia="zh-CN" w:bidi="ar-SA"/>
    </w:rPr>
  </w:style>
  <w:style w:type="paragraph" w:customStyle="1" w:styleId="139">
    <w:name w:val="汉仪细等线简9BOLD"/>
    <w:basedOn w:val="1"/>
    <w:qFormat/>
    <w:uiPriority w:val="0"/>
    <w:pPr>
      <w:autoSpaceDE w:val="0"/>
      <w:autoSpaceDN w:val="0"/>
      <w:adjustRightInd w:val="0"/>
      <w:spacing w:line="240" w:lineRule="atLeast"/>
    </w:pPr>
    <w:rPr>
      <w:rFonts w:ascii="汉仪细等线简" w:eastAsia="汉仪细等线简"/>
      <w:b/>
      <w:bCs/>
      <w:kern w:val="0"/>
      <w:sz w:val="18"/>
      <w:szCs w:val="18"/>
    </w:rPr>
  </w:style>
  <w:style w:type="character" w:customStyle="1" w:styleId="140">
    <w:name w:val="mode"/>
    <w:basedOn w:val="44"/>
    <w:qFormat/>
    <w:uiPriority w:val="0"/>
  </w:style>
  <w:style w:type="paragraph" w:customStyle="1" w:styleId="141">
    <w:name w:val="9"/>
    <w:basedOn w:val="1"/>
    <w:next w:val="8"/>
    <w:qFormat/>
    <w:uiPriority w:val="0"/>
    <w:pPr>
      <w:autoSpaceDE w:val="0"/>
      <w:autoSpaceDN w:val="0"/>
      <w:adjustRightInd w:val="0"/>
      <w:ind w:firstLine="420"/>
      <w:jc w:val="left"/>
      <w:textAlignment w:val="baseline"/>
    </w:pPr>
    <w:rPr>
      <w:rFonts w:ascii="宋体"/>
      <w:kern w:val="0"/>
      <w:sz w:val="34"/>
      <w:szCs w:val="20"/>
    </w:rPr>
  </w:style>
  <w:style w:type="character" w:customStyle="1" w:styleId="142">
    <w:name w:val="unnamed3"/>
    <w:basedOn w:val="44"/>
    <w:qFormat/>
    <w:uiPriority w:val="0"/>
  </w:style>
  <w:style w:type="paragraph" w:customStyle="1" w:styleId="143">
    <w:name w:val="8"/>
    <w:basedOn w:val="1"/>
    <w:next w:val="19"/>
    <w:qFormat/>
    <w:uiPriority w:val="0"/>
    <w:pPr>
      <w:spacing w:after="120"/>
      <w:ind w:left="420" w:leftChars="200"/>
    </w:pPr>
  </w:style>
  <w:style w:type="paragraph" w:customStyle="1" w:styleId="144">
    <w:name w:val="7"/>
    <w:basedOn w:val="1"/>
    <w:qFormat/>
    <w:uiPriority w:val="0"/>
    <w:pPr>
      <w:autoSpaceDE w:val="0"/>
      <w:autoSpaceDN w:val="0"/>
      <w:adjustRightInd w:val="0"/>
      <w:spacing w:line="270" w:lineRule="atLeast"/>
      <w:jc w:val="left"/>
    </w:pPr>
    <w:rPr>
      <w:rFonts w:ascii="宋体"/>
      <w:kern w:val="0"/>
      <w:sz w:val="18"/>
      <w:szCs w:val="18"/>
    </w:rPr>
  </w:style>
  <w:style w:type="paragraph" w:customStyle="1" w:styleId="145">
    <w:name w:val="00"/>
    <w:basedOn w:val="1"/>
    <w:qFormat/>
    <w:uiPriority w:val="0"/>
    <w:pPr>
      <w:autoSpaceDE w:val="0"/>
      <w:autoSpaceDN w:val="0"/>
      <w:adjustRightInd w:val="0"/>
      <w:jc w:val="left"/>
    </w:pPr>
    <w:rPr>
      <w:rFonts w:ascii="黑体" w:eastAsia="黑体"/>
      <w:b/>
      <w:bCs/>
      <w:kern w:val="0"/>
      <w:sz w:val="20"/>
      <w:szCs w:val="20"/>
    </w:rPr>
  </w:style>
  <w:style w:type="paragraph" w:customStyle="1" w:styleId="146">
    <w:name w:val="5"/>
    <w:basedOn w:val="1"/>
    <w:qFormat/>
    <w:uiPriority w:val="0"/>
    <w:pPr>
      <w:autoSpaceDE w:val="0"/>
      <w:autoSpaceDN w:val="0"/>
      <w:adjustRightInd w:val="0"/>
      <w:jc w:val="left"/>
    </w:pPr>
    <w:rPr>
      <w:rFonts w:ascii="宋体"/>
      <w:b/>
      <w:bCs/>
      <w:kern w:val="0"/>
      <w:sz w:val="18"/>
      <w:szCs w:val="18"/>
    </w:rPr>
  </w:style>
  <w:style w:type="paragraph" w:customStyle="1" w:styleId="147">
    <w:name w:val="6"/>
    <w:basedOn w:val="146"/>
    <w:qFormat/>
    <w:uiPriority w:val="0"/>
    <w:pPr>
      <w:spacing w:line="270" w:lineRule="atLeast"/>
      <w:jc w:val="both"/>
    </w:pPr>
    <w:rPr>
      <w:b w:val="0"/>
      <w:bCs w:val="0"/>
    </w:rPr>
  </w:style>
  <w:style w:type="paragraph" w:customStyle="1" w:styleId="148">
    <w:name w:val="产品描述"/>
    <w:qFormat/>
    <w:uiPriority w:val="0"/>
    <w:pPr>
      <w:widowControl w:val="0"/>
      <w:autoSpaceDE w:val="0"/>
      <w:autoSpaceDN w:val="0"/>
      <w:adjustRightInd w:val="0"/>
      <w:spacing w:line="270" w:lineRule="atLeast"/>
      <w:ind w:firstLine="397"/>
      <w:jc w:val="both"/>
    </w:pPr>
    <w:rPr>
      <w:rFonts w:ascii="宋体" w:hAnsi="Times New Roman" w:eastAsia="宋体" w:cs="Times New Roman"/>
      <w:sz w:val="18"/>
      <w:szCs w:val="18"/>
      <w:lang w:val="en-US" w:eastAsia="zh-CN" w:bidi="ar-SA"/>
    </w:rPr>
  </w:style>
  <w:style w:type="paragraph" w:customStyle="1" w:styleId="149">
    <w:name w:val="姜文清定义的正文"/>
    <w:basedOn w:val="1"/>
    <w:qFormat/>
    <w:uiPriority w:val="0"/>
    <w:pPr>
      <w:spacing w:line="240" w:lineRule="atLeast"/>
      <w:ind w:firstLine="567"/>
    </w:pPr>
    <w:rPr>
      <w:szCs w:val="20"/>
    </w:rPr>
  </w:style>
  <w:style w:type="paragraph" w:customStyle="1" w:styleId="150">
    <w:name w:val="Default"/>
    <w:qFormat/>
    <w:uiPriority w:val="0"/>
    <w:pPr>
      <w:widowControl w:val="0"/>
      <w:autoSpaceDE w:val="0"/>
      <w:autoSpaceDN w:val="0"/>
      <w:adjustRightInd w:val="0"/>
    </w:pPr>
    <w:rPr>
      <w:rFonts w:ascii="H Yb 2gj" w:hAnsi="Times New Roman" w:eastAsia="H Yb 2gj" w:cs="H Yb 2gj"/>
      <w:color w:val="000000"/>
      <w:sz w:val="24"/>
      <w:szCs w:val="24"/>
      <w:lang w:val="en-US" w:eastAsia="zh-CN" w:bidi="ar-SA"/>
    </w:rPr>
  </w:style>
  <w:style w:type="paragraph" w:customStyle="1" w:styleId="151">
    <w:name w:val="CM2"/>
    <w:basedOn w:val="150"/>
    <w:next w:val="150"/>
    <w:qFormat/>
    <w:uiPriority w:val="0"/>
    <w:pPr>
      <w:spacing w:line="200" w:lineRule="atLeast"/>
    </w:pPr>
    <w:rPr>
      <w:rFonts w:ascii="Arial" w:hAnsi="Arial" w:eastAsia="宋体" w:cs="Times New Roman"/>
      <w:color w:val="auto"/>
    </w:rPr>
  </w:style>
  <w:style w:type="paragraph" w:customStyle="1" w:styleId="152">
    <w:name w:val="Normal Paragraph"/>
    <w:basedOn w:val="1"/>
    <w:qFormat/>
    <w:uiPriority w:val="0"/>
    <w:pPr>
      <w:widowControl/>
      <w:spacing w:before="120" w:line="360" w:lineRule="auto"/>
      <w:ind w:firstLine="425"/>
    </w:pPr>
    <w:rPr>
      <w:kern w:val="0"/>
      <w:sz w:val="24"/>
    </w:rPr>
  </w:style>
  <w:style w:type="character" w:customStyle="1" w:styleId="153">
    <w:name w:val="blue"/>
    <w:basedOn w:val="44"/>
    <w:qFormat/>
    <w:uiPriority w:val="0"/>
  </w:style>
  <w:style w:type="paragraph" w:customStyle="1" w:styleId="154">
    <w:name w:val="blue1"/>
    <w:basedOn w:val="1"/>
    <w:qFormat/>
    <w:uiPriority w:val="0"/>
    <w:pPr>
      <w:widowControl/>
      <w:spacing w:before="100" w:beforeAutospacing="1" w:after="100" w:afterAutospacing="1"/>
      <w:jc w:val="left"/>
    </w:pPr>
    <w:rPr>
      <w:rFonts w:ascii="宋体" w:hAnsi="宋体" w:cs="宋体"/>
      <w:kern w:val="0"/>
      <w:sz w:val="24"/>
    </w:rPr>
  </w:style>
  <w:style w:type="character" w:customStyle="1" w:styleId="155">
    <w:name w:val="font"/>
    <w:basedOn w:val="44"/>
    <w:qFormat/>
    <w:uiPriority w:val="0"/>
  </w:style>
  <w:style w:type="character" w:customStyle="1" w:styleId="156">
    <w:name w:val="font11"/>
    <w:qFormat/>
    <w:uiPriority w:val="0"/>
    <w:rPr>
      <w:rFonts w:hint="default" w:ascii="ˎ̥" w:hAnsi="ˎ̥"/>
    </w:rPr>
  </w:style>
  <w:style w:type="paragraph" w:customStyle="1" w:styleId="157">
    <w:name w:val="a14"/>
    <w:basedOn w:val="1"/>
    <w:qFormat/>
    <w:uiPriority w:val="0"/>
    <w:pPr>
      <w:widowControl/>
      <w:spacing w:before="100" w:beforeAutospacing="1" w:after="100" w:afterAutospacing="1" w:line="300" w:lineRule="atLeast"/>
      <w:ind w:firstLine="375"/>
      <w:jc w:val="left"/>
    </w:pPr>
    <w:rPr>
      <w:rFonts w:ascii="宋体" w:hAnsi="宋体" w:cs="宋体"/>
      <w:kern w:val="0"/>
      <w:szCs w:val="21"/>
    </w:rPr>
  </w:style>
  <w:style w:type="character" w:customStyle="1" w:styleId="158">
    <w:name w:val="proddescription"/>
    <w:basedOn w:val="44"/>
    <w:qFormat/>
    <w:uiPriority w:val="0"/>
  </w:style>
  <w:style w:type="character" w:customStyle="1" w:styleId="159">
    <w:name w:val="prodheadlines"/>
    <w:basedOn w:val="44"/>
    <w:qFormat/>
    <w:uiPriority w:val="0"/>
  </w:style>
  <w:style w:type="character" w:customStyle="1" w:styleId="160">
    <w:name w:val="text"/>
    <w:basedOn w:val="44"/>
    <w:qFormat/>
    <w:uiPriority w:val="0"/>
  </w:style>
  <w:style w:type="paragraph" w:customStyle="1" w:styleId="161">
    <w:name w:val="text1"/>
    <w:basedOn w:val="1"/>
    <w:qFormat/>
    <w:uiPriority w:val="0"/>
    <w:pPr>
      <w:widowControl/>
      <w:spacing w:before="100" w:beforeAutospacing="1" w:after="100" w:afterAutospacing="1"/>
      <w:jc w:val="left"/>
    </w:pPr>
    <w:rPr>
      <w:rFonts w:ascii="宋体" w:hAnsi="宋体" w:cs="宋体"/>
      <w:kern w:val="0"/>
      <w:sz w:val="24"/>
    </w:rPr>
  </w:style>
  <w:style w:type="paragraph" w:customStyle="1" w:styleId="162">
    <w:name w:val="z-窗体顶端1"/>
    <w:basedOn w:val="1"/>
    <w:next w:val="1"/>
    <w:hidden/>
    <w:qFormat/>
    <w:uiPriority w:val="0"/>
    <w:pPr>
      <w:widowControl/>
      <w:pBdr>
        <w:bottom w:val="single" w:color="auto" w:sz="6" w:space="1"/>
      </w:pBdr>
      <w:jc w:val="center"/>
    </w:pPr>
    <w:rPr>
      <w:rFonts w:ascii="Arial" w:hAnsi="Arial" w:cs="Arial"/>
      <w:vanish/>
      <w:kern w:val="0"/>
      <w:sz w:val="16"/>
      <w:szCs w:val="16"/>
    </w:rPr>
  </w:style>
  <w:style w:type="paragraph" w:customStyle="1" w:styleId="163">
    <w:name w:val="z-窗体底端1"/>
    <w:basedOn w:val="1"/>
    <w:next w:val="1"/>
    <w:hidden/>
    <w:qFormat/>
    <w:uiPriority w:val="0"/>
    <w:pPr>
      <w:widowControl/>
      <w:pBdr>
        <w:top w:val="single" w:color="auto" w:sz="6" w:space="1"/>
      </w:pBdr>
      <w:jc w:val="center"/>
    </w:pPr>
    <w:rPr>
      <w:rFonts w:ascii="Arial" w:hAnsi="Arial" w:cs="Arial"/>
      <w:vanish/>
      <w:kern w:val="0"/>
      <w:sz w:val="16"/>
      <w:szCs w:val="16"/>
    </w:rPr>
  </w:style>
  <w:style w:type="paragraph" w:customStyle="1" w:styleId="164">
    <w:name w:val="正文样式"/>
    <w:basedOn w:val="1"/>
    <w:qFormat/>
    <w:uiPriority w:val="0"/>
    <w:pPr>
      <w:adjustRightInd w:val="0"/>
      <w:spacing w:line="400" w:lineRule="atLeast"/>
      <w:ind w:firstLine="570" w:firstLineChars="203"/>
      <w:textAlignment w:val="baseline"/>
    </w:pPr>
    <w:rPr>
      <w:rFonts w:eastAsia="仿宋_GB2312"/>
      <w:kern w:val="0"/>
      <w:sz w:val="28"/>
      <w:szCs w:val="20"/>
    </w:rPr>
  </w:style>
  <w:style w:type="paragraph" w:customStyle="1" w:styleId="165">
    <w:name w:val="xl34"/>
    <w:basedOn w:val="1"/>
    <w:qFormat/>
    <w:uiPriority w:val="0"/>
    <w:pPr>
      <w:widowControl/>
      <w:pBdr>
        <w:left w:val="single" w:color="auto" w:sz="4" w:space="0"/>
      </w:pBdr>
      <w:spacing w:before="100" w:beforeAutospacing="1" w:after="100" w:afterAutospacing="1"/>
      <w:jc w:val="center"/>
      <w:textAlignment w:val="center"/>
    </w:pPr>
    <w:rPr>
      <w:rFonts w:ascii="宋体" w:hAnsi="宋体"/>
      <w:kern w:val="0"/>
      <w:sz w:val="24"/>
    </w:rPr>
  </w:style>
  <w:style w:type="paragraph" w:customStyle="1" w:styleId="166">
    <w:name w:val="段落正文"/>
    <w:basedOn w:val="22"/>
    <w:qFormat/>
    <w:uiPriority w:val="0"/>
    <w:pPr>
      <w:ind w:firstLine="560" w:firstLineChars="200"/>
    </w:pPr>
    <w:rPr>
      <w:sz w:val="28"/>
    </w:rPr>
  </w:style>
  <w:style w:type="character" w:customStyle="1" w:styleId="167">
    <w:name w:val="gray6"/>
    <w:basedOn w:val="44"/>
    <w:qFormat/>
    <w:uiPriority w:val="0"/>
  </w:style>
  <w:style w:type="character" w:customStyle="1" w:styleId="168">
    <w:name w:val="style9"/>
    <w:basedOn w:val="44"/>
    <w:qFormat/>
    <w:uiPriority w:val="0"/>
  </w:style>
  <w:style w:type="paragraph" w:customStyle="1" w:styleId="169">
    <w:name w:val="2册标题4"/>
    <w:basedOn w:val="1"/>
    <w:next w:val="1"/>
    <w:qFormat/>
    <w:uiPriority w:val="0"/>
    <w:pPr>
      <w:spacing w:beforeLines="50" w:afterLines="50" w:line="300" w:lineRule="auto"/>
      <w:ind w:left="420" w:leftChars="200"/>
      <w:outlineLvl w:val="3"/>
    </w:pPr>
    <w:rPr>
      <w:rFonts w:ascii="Arial" w:hAnsi="Arial" w:eastAsia="幼圆" w:cs="Arial"/>
      <w:b/>
      <w:sz w:val="24"/>
    </w:rPr>
  </w:style>
  <w:style w:type="character" w:customStyle="1" w:styleId="170">
    <w:name w:val="grame"/>
    <w:basedOn w:val="44"/>
    <w:qFormat/>
    <w:uiPriority w:val="0"/>
  </w:style>
  <w:style w:type="paragraph" w:customStyle="1" w:styleId="171">
    <w:name w:val="style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72">
    <w:name w:val="Char1"/>
    <w:basedOn w:val="1"/>
    <w:qFormat/>
    <w:uiPriority w:val="0"/>
    <w:pPr>
      <w:jc w:val="left"/>
    </w:pPr>
    <w:rPr>
      <w:rFonts w:ascii="Tahoma" w:hAnsi="Tahoma"/>
      <w:sz w:val="24"/>
      <w:szCs w:val="20"/>
    </w:rPr>
  </w:style>
  <w:style w:type="paragraph" w:customStyle="1" w:styleId="173">
    <w:name w:val="编号1"/>
    <w:basedOn w:val="1"/>
    <w:qFormat/>
    <w:uiPriority w:val="0"/>
    <w:pPr>
      <w:numPr>
        <w:ilvl w:val="0"/>
        <w:numId w:val="6"/>
      </w:numPr>
      <w:adjustRightInd w:val="0"/>
      <w:spacing w:line="300" w:lineRule="auto"/>
      <w:ind w:right="210"/>
      <w:textAlignment w:val="center"/>
    </w:pPr>
    <w:rPr>
      <w:rFonts w:ascii="宋体" w:hAnsi="宋体"/>
      <w:snapToGrid w:val="0"/>
      <w:spacing w:val="10"/>
      <w:kern w:val="24"/>
    </w:rPr>
  </w:style>
  <w:style w:type="paragraph" w:customStyle="1" w:styleId="174">
    <w:name w:val="Char Char Char Char Char Char Char Char Char Char Char Char Char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175">
    <w:name w:val="font0"/>
    <w:basedOn w:val="1"/>
    <w:qFormat/>
    <w:uiPriority w:val="0"/>
    <w:pPr>
      <w:widowControl/>
      <w:spacing w:before="100" w:beforeAutospacing="1" w:after="100" w:afterAutospacing="1"/>
      <w:jc w:val="left"/>
    </w:pPr>
    <w:rPr>
      <w:rFonts w:hint="eastAsia" w:ascii="宋体" w:hAnsi="宋体"/>
      <w:kern w:val="0"/>
      <w:sz w:val="24"/>
    </w:rPr>
  </w:style>
  <w:style w:type="paragraph" w:customStyle="1" w:styleId="176">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177">
    <w:name w:val="font6"/>
    <w:basedOn w:val="1"/>
    <w:qFormat/>
    <w:uiPriority w:val="0"/>
    <w:pPr>
      <w:widowControl/>
      <w:spacing w:before="100" w:beforeAutospacing="1" w:after="100" w:afterAutospacing="1"/>
      <w:jc w:val="left"/>
    </w:pPr>
    <w:rPr>
      <w:kern w:val="0"/>
      <w:sz w:val="24"/>
    </w:rPr>
  </w:style>
  <w:style w:type="paragraph" w:customStyle="1" w:styleId="178">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179">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180">
    <w:name w:val="表格字"/>
    <w:basedOn w:val="1"/>
    <w:qFormat/>
    <w:uiPriority w:val="0"/>
    <w:pPr>
      <w:adjustRightInd w:val="0"/>
      <w:jc w:val="center"/>
    </w:pPr>
    <w:rPr>
      <w:rFonts w:ascii="宋体"/>
      <w:sz w:val="24"/>
      <w:szCs w:val="20"/>
    </w:rPr>
  </w:style>
  <w:style w:type="character" w:customStyle="1" w:styleId="181">
    <w:name w:val="样式 小三 加粗"/>
    <w:qFormat/>
    <w:uiPriority w:val="0"/>
    <w:rPr>
      <w:rFonts w:eastAsia="宋体"/>
      <w:b/>
      <w:bCs/>
      <w:sz w:val="32"/>
    </w:rPr>
  </w:style>
  <w:style w:type="paragraph" w:customStyle="1" w:styleId="182">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83">
    <w:name w:val="qw"/>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184">
    <w:name w:val="Char Char Char"/>
    <w:basedOn w:val="1"/>
    <w:qFormat/>
    <w:uiPriority w:val="0"/>
    <w:rPr>
      <w:rFonts w:ascii="Tahoma" w:hAnsi="Tahoma"/>
      <w:sz w:val="24"/>
      <w:szCs w:val="20"/>
    </w:rPr>
  </w:style>
  <w:style w:type="paragraph" w:customStyle="1" w:styleId="185">
    <w:name w:val="Char2"/>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186">
    <w:name w:val="info4"/>
    <w:basedOn w:val="44"/>
    <w:qFormat/>
    <w:uiPriority w:val="0"/>
  </w:style>
  <w:style w:type="paragraph" w:customStyle="1" w:styleId="187">
    <w:name w:val="缩进正文"/>
    <w:basedOn w:val="1"/>
    <w:link w:val="188"/>
    <w:qFormat/>
    <w:uiPriority w:val="0"/>
    <w:pPr>
      <w:ind w:firstLine="560" w:firstLineChars="200"/>
    </w:pPr>
    <w:rPr>
      <w:rFonts w:eastAsia="仿宋_GB2312" w:cs="宋体"/>
      <w:sz w:val="28"/>
      <w:szCs w:val="20"/>
    </w:rPr>
  </w:style>
  <w:style w:type="character" w:customStyle="1" w:styleId="188">
    <w:name w:val="缩进正文 Char"/>
    <w:link w:val="187"/>
    <w:qFormat/>
    <w:uiPriority w:val="0"/>
    <w:rPr>
      <w:rFonts w:eastAsia="仿宋_GB2312" w:cs="宋体"/>
      <w:kern w:val="2"/>
      <w:sz w:val="28"/>
      <w:lang w:val="en-US" w:eastAsia="zh-CN" w:bidi="ar-SA"/>
    </w:rPr>
  </w:style>
  <w:style w:type="paragraph" w:customStyle="1" w:styleId="189">
    <w:name w:val="列出段落1"/>
    <w:basedOn w:val="1"/>
    <w:qFormat/>
    <w:uiPriority w:val="0"/>
    <w:pPr>
      <w:ind w:firstLine="420" w:firstLineChars="200"/>
    </w:pPr>
    <w:rPr>
      <w:rFonts w:ascii="Calibri" w:hAnsi="Calibri" w:cs="Calibri"/>
      <w:szCs w:val="21"/>
    </w:rPr>
  </w:style>
  <w:style w:type="character" w:customStyle="1" w:styleId="190">
    <w:name w:val="批注文字 字符"/>
    <w:basedOn w:val="44"/>
    <w:link w:val="16"/>
    <w:qFormat/>
    <w:uiPriority w:val="99"/>
    <w:rPr>
      <w:rFonts w:ascii="宋体"/>
      <w:sz w:val="34"/>
    </w:rPr>
  </w:style>
  <w:style w:type="character" w:customStyle="1" w:styleId="191">
    <w:name w:val="批注主题 字符"/>
    <w:basedOn w:val="190"/>
    <w:link w:val="40"/>
    <w:qFormat/>
    <w:uiPriority w:val="99"/>
    <w:rPr>
      <w:rFonts w:ascii="宋体"/>
      <w:sz w:val="34"/>
    </w:rPr>
  </w:style>
  <w:style w:type="paragraph" w:customStyle="1" w:styleId="192">
    <w:name w:val="评价"/>
    <w:basedOn w:val="1"/>
    <w:qFormat/>
    <w:uiPriority w:val="0"/>
    <w:pPr>
      <w:spacing w:afterLines="20"/>
      <w:ind w:firstLine="1446" w:firstLineChars="200"/>
    </w:pPr>
    <w:rPr>
      <w:rFonts w:ascii="Calibri" w:hAnsi="Calibri"/>
      <w:sz w:val="24"/>
    </w:rPr>
  </w:style>
  <w:style w:type="paragraph" w:customStyle="1" w:styleId="193">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194">
    <w:name w:val="alt-edited1"/>
    <w:qFormat/>
    <w:uiPriority w:val="0"/>
    <w:rPr>
      <w:color w:val="4D90F0"/>
    </w:rPr>
  </w:style>
  <w:style w:type="character" w:customStyle="1" w:styleId="195">
    <w:name w:val="body text Char1"/>
    <w:qFormat/>
    <w:uiPriority w:val="0"/>
    <w:rPr>
      <w:rFonts w:eastAsia="宋体"/>
      <w:kern w:val="2"/>
      <w:sz w:val="21"/>
      <w:lang w:val="en-US" w:eastAsia="zh-CN" w:bidi="ar-SA"/>
    </w:rPr>
  </w:style>
  <w:style w:type="character" w:customStyle="1" w:styleId="196">
    <w:name w:val="普通(网站) 字符"/>
    <w:link w:val="37"/>
    <w:qFormat/>
    <w:uiPriority w:val="0"/>
    <w:rPr>
      <w:kern w:val="2"/>
      <w:sz w:val="24"/>
      <w:szCs w:val="24"/>
    </w:rPr>
  </w:style>
  <w:style w:type="character" w:customStyle="1" w:styleId="197">
    <w:name w:val="批注文字 Char1"/>
    <w:qFormat/>
    <w:uiPriority w:val="99"/>
    <w:rPr>
      <w:rFonts w:ascii="宋体"/>
      <w:sz w:val="34"/>
    </w:rPr>
  </w:style>
  <w:style w:type="character" w:customStyle="1" w:styleId="198">
    <w:name w:val="正文缩进 Char1"/>
    <w:qFormat/>
    <w:uiPriority w:val="0"/>
    <w:rPr>
      <w:rFonts w:eastAsia="宋体"/>
      <w:kern w:val="2"/>
      <w:sz w:val="21"/>
      <w:lang w:val="en-US" w:eastAsia="zh-CN" w:bidi="ar-SA"/>
    </w:rPr>
  </w:style>
  <w:style w:type="character" w:customStyle="1" w:styleId="199">
    <w:name w:val="layui-this"/>
    <w:basedOn w:val="44"/>
    <w:qFormat/>
    <w:uiPriority w:val="0"/>
    <w:rPr>
      <w:bdr w:val="single" w:color="EEEEEE" w:sz="4" w:space="0"/>
      <w:shd w:val="clear" w:color="auto" w:fill="FFFFFF"/>
    </w:rPr>
  </w:style>
  <w:style w:type="character" w:customStyle="1" w:styleId="200">
    <w:name w:val="first-child"/>
    <w:basedOn w:val="44"/>
    <w:qFormat/>
    <w:uiPriority w:val="0"/>
  </w:style>
  <w:style w:type="paragraph" w:customStyle="1" w:styleId="201">
    <w:name w:val="修订2"/>
    <w:hidden/>
    <w:semiHidden/>
    <w:qFormat/>
    <w:uiPriority w:val="99"/>
    <w:rPr>
      <w:rFonts w:ascii="Times New Roman" w:hAnsi="Times New Roman" w:eastAsia="宋体" w:cs="Times New Roman"/>
      <w:kern w:val="2"/>
      <w:sz w:val="21"/>
      <w:szCs w:val="24"/>
      <w:lang w:val="en-US" w:eastAsia="zh-CN" w:bidi="ar-SA"/>
    </w:rPr>
  </w:style>
  <w:style w:type="table" w:customStyle="1" w:styleId="202">
    <w:name w:val="网格型1"/>
    <w:basedOn w:val="42"/>
    <w:qFormat/>
    <w:uiPriority w:val="0"/>
    <w:pPr>
      <w:widowControl w:val="0"/>
      <w:jc w:val="both"/>
    </w:pPr>
    <w:rPr>
      <w:rFonts w:eastAsiaTheme="minorEastAsi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03">
    <w:name w:val="msonospacing"/>
    <w:basedOn w:val="1"/>
    <w:qFormat/>
    <w:uiPriority w:val="0"/>
    <w:rPr>
      <w:rFonts w:ascii="Calibri" w:hAnsi="Calibri"/>
      <w:szCs w:val="22"/>
    </w:rPr>
  </w:style>
  <w:style w:type="paragraph" w:styleId="204">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205">
    <w:name w:val="*正文"/>
    <w:basedOn w:val="1"/>
    <w:qFormat/>
    <w:uiPriority w:val="0"/>
    <w:pPr>
      <w:spacing w:line="360" w:lineRule="auto"/>
      <w:ind w:firstLine="200" w:firstLineChars="200"/>
    </w:pPr>
    <w:rPr>
      <w:rFonts w:ascii="宋体" w:hAnsi="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61A89-930E-4F08-8F9E-78D97BC26B6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53</Pages>
  <Words>2884</Words>
  <Characters>2905</Characters>
  <Lines>344</Lines>
  <Paragraphs>97</Paragraphs>
  <TotalTime>15</TotalTime>
  <ScaleCrop>false</ScaleCrop>
  <LinksUpToDate>false</LinksUpToDate>
  <CharactersWithSpaces>2915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2025-03-12T09:13:00Z</dcterms:created>
  <dc:creator>thsware</dc:creator>
  <cp:lastModifiedBy>封雨轩</cp:lastModifiedBy>
  <cp:lastPrinted>2021-05-09T08:02:00Z</cp:lastPrinted>
  <dcterms:modified xsi:type="dcterms:W3CDTF">2025-07-24T01:38:40Z</dcterms:modified>
  <dc:title>招  标　文　件</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0553850577BB42E28EC2C79722EBB5E8_13</vt:lpwstr>
  </property>
  <property fmtid="{D5CDD505-2E9C-101B-9397-08002B2CF9AE}" pid="4" name="KSOTemplateDocerSaveRecord">
    <vt:lpwstr>eyJoZGlkIjoiMTgxODY4MDgzZGY0ODNiNTk1YjZhMjNlZTdhYmE3N2EiLCJ1c2VySWQiOiIxNjA2MzAwMzU3In0=</vt:lpwstr>
  </property>
</Properties>
</file>