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DB0DF">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pacing w:val="0"/>
          <w:position w:val="0"/>
          <w:sz w:val="36"/>
          <w:szCs w:val="36"/>
          <w:lang w:val="en-US" w:eastAsia="zh-CN"/>
        </w:rPr>
        <w:t>深圳外环高速公路深圳段工程边坡整治（第二批）</w:t>
      </w:r>
    </w:p>
    <w:p w14:paraId="3457F53A">
      <w:pPr>
        <w:spacing w:before="247" w:line="576" w:lineRule="exact"/>
        <w:jc w:val="center"/>
        <w:rPr>
          <w:rFonts w:ascii="宋体" w:hAnsi="宋体" w:eastAsia="宋体" w:cs="宋体"/>
          <w:spacing w:val="2"/>
          <w:position w:val="19"/>
          <w:sz w:val="36"/>
          <w:szCs w:val="36"/>
          <w14:textOutline w14:w="5791" w14:cap="flat" w14:cmpd="sng">
            <w14:solidFill>
              <w14:srgbClr w14:val="000000"/>
            </w14:solidFill>
            <w14:prstDash w14:val="solid"/>
            <w14:miter w14:val="0"/>
          </w14:textOutline>
        </w:rPr>
      </w:pPr>
    </w:p>
    <w:p w14:paraId="7033A836">
      <w:pPr>
        <w:spacing w:before="1" w:line="224" w:lineRule="auto"/>
        <w:ind w:left="4264"/>
        <w:rPr>
          <w:rFonts w:ascii="宋体" w:hAnsi="宋体" w:eastAsia="宋体" w:cs="宋体"/>
          <w:sz w:val="31"/>
          <w:szCs w:val="31"/>
        </w:rPr>
      </w:pPr>
    </w:p>
    <w:p w14:paraId="448BE8A5">
      <w:pPr>
        <w:spacing w:before="163" w:after="120" w:line="400" w:lineRule="exact"/>
        <w:jc w:val="center"/>
        <w:rPr>
          <w:rFonts w:eastAsia="黑体"/>
          <w:b/>
          <w:bCs/>
          <w:color w:val="000000"/>
          <w:sz w:val="28"/>
        </w:rPr>
      </w:pPr>
      <w:r>
        <w:rPr>
          <w:rFonts w:hint="eastAsia" w:eastAsia="黑体"/>
          <w:b/>
          <w:bCs/>
          <w:color w:val="000000"/>
          <w:sz w:val="28"/>
        </w:rPr>
        <w:t>中 华 人 民 共 和 国</w:t>
      </w:r>
    </w:p>
    <w:p w14:paraId="22A9B2CF">
      <w:pPr>
        <w:spacing w:before="163" w:after="120" w:line="400" w:lineRule="exact"/>
        <w:jc w:val="center"/>
        <w:rPr>
          <w:rFonts w:eastAsia="黑体"/>
          <w:b/>
          <w:bCs/>
          <w:color w:val="000000"/>
          <w:sz w:val="28"/>
        </w:rPr>
      </w:pPr>
      <w:r>
        <w:rPr>
          <w:rFonts w:hint="eastAsia" w:eastAsia="黑体"/>
          <w:b/>
          <w:bCs/>
          <w:color w:val="000000"/>
          <w:sz w:val="28"/>
        </w:rPr>
        <w:t>广 东 省    深 圳 市</w:t>
      </w:r>
    </w:p>
    <w:p w14:paraId="5AB60020">
      <w:pPr>
        <w:adjustRightInd w:val="0"/>
        <w:snapToGrid w:val="0"/>
        <w:spacing w:line="360" w:lineRule="auto"/>
        <w:jc w:val="center"/>
        <w:rPr>
          <w:rFonts w:ascii="黑体" w:hAnsi="宋体" w:eastAsia="黑体"/>
          <w:b/>
          <w:spacing w:val="20"/>
          <w:sz w:val="36"/>
          <w:szCs w:val="36"/>
        </w:rPr>
      </w:pPr>
    </w:p>
    <w:p w14:paraId="500A06DD">
      <w:pPr>
        <w:adjustRightInd w:val="0"/>
        <w:snapToGrid w:val="0"/>
        <w:spacing w:line="360" w:lineRule="auto"/>
        <w:jc w:val="center"/>
        <w:rPr>
          <w:rFonts w:ascii="黑体" w:hAnsi="宋体" w:eastAsia="黑体"/>
          <w:sz w:val="24"/>
        </w:rPr>
      </w:pPr>
    </w:p>
    <w:p w14:paraId="058284C5">
      <w:pPr>
        <w:adjustRightInd w:val="0"/>
        <w:snapToGrid w:val="0"/>
        <w:spacing w:line="360" w:lineRule="auto"/>
        <w:jc w:val="center"/>
        <w:rPr>
          <w:rFonts w:ascii="黑体" w:hAnsi="宋体" w:eastAsia="黑体"/>
          <w:sz w:val="24"/>
        </w:rPr>
      </w:pPr>
    </w:p>
    <w:p w14:paraId="2D13B6FD">
      <w:pPr>
        <w:adjustRightInd w:val="0"/>
        <w:snapToGrid w:val="0"/>
        <w:spacing w:line="360" w:lineRule="auto"/>
        <w:jc w:val="center"/>
        <w:rPr>
          <w:rFonts w:ascii="黑体" w:hAnsi="宋体" w:eastAsia="黑体"/>
          <w:sz w:val="24"/>
        </w:rPr>
      </w:pPr>
    </w:p>
    <w:p w14:paraId="31CFFE11">
      <w:pPr>
        <w:adjustRightInd w:val="0"/>
        <w:snapToGrid w:val="0"/>
        <w:spacing w:line="360" w:lineRule="auto"/>
        <w:jc w:val="center"/>
        <w:rPr>
          <w:rFonts w:ascii="黑体" w:hAnsi="宋体" w:eastAsia="黑体"/>
          <w:b/>
          <w:sz w:val="24"/>
        </w:rPr>
      </w:pPr>
    </w:p>
    <w:p w14:paraId="627C414B">
      <w:pPr>
        <w:adjustRightInd w:val="0"/>
        <w:snapToGrid w:val="0"/>
        <w:spacing w:line="360" w:lineRule="auto"/>
        <w:jc w:val="center"/>
        <w:rPr>
          <w:rFonts w:hint="default" w:ascii="黑体" w:hAnsi="宋体" w:eastAsia="黑体"/>
          <w:b/>
          <w:spacing w:val="20"/>
          <w:sz w:val="36"/>
          <w:szCs w:val="36"/>
          <w:lang w:val="en-US" w:eastAsia="zh-CN"/>
        </w:rPr>
      </w:pPr>
      <w:r>
        <w:rPr>
          <w:rFonts w:hint="eastAsia" w:ascii="黑体" w:hAnsi="宋体" w:eastAsia="黑体"/>
          <w:b/>
          <w:sz w:val="84"/>
          <w:szCs w:val="84"/>
          <w:lang w:val="en-US" w:eastAsia="zh-CN"/>
        </w:rPr>
        <w:t>清单预算文件</w:t>
      </w:r>
    </w:p>
    <w:p w14:paraId="7A26C2EC">
      <w:pPr>
        <w:adjustRightInd w:val="0"/>
        <w:snapToGrid w:val="0"/>
        <w:spacing w:line="360" w:lineRule="auto"/>
        <w:rPr>
          <w:rFonts w:ascii="黑体" w:hAnsi="宋体" w:eastAsia="黑体"/>
          <w:b/>
          <w:sz w:val="24"/>
        </w:rPr>
      </w:pPr>
    </w:p>
    <w:p w14:paraId="2AD74346">
      <w:pPr>
        <w:adjustRightInd w:val="0"/>
        <w:snapToGrid w:val="0"/>
        <w:spacing w:line="360" w:lineRule="auto"/>
        <w:ind w:left="1680" w:leftChars="800"/>
        <w:rPr>
          <w:rFonts w:ascii="黑体" w:hAnsi="宋体" w:eastAsia="黑体"/>
          <w:b/>
          <w:sz w:val="24"/>
        </w:rPr>
      </w:pPr>
    </w:p>
    <w:p w14:paraId="12E92302">
      <w:pPr>
        <w:adjustRightInd w:val="0"/>
        <w:snapToGrid w:val="0"/>
        <w:spacing w:line="360" w:lineRule="auto"/>
        <w:rPr>
          <w:rFonts w:ascii="黑体" w:hAnsi="宋体" w:eastAsia="黑体"/>
          <w:b/>
          <w:sz w:val="24"/>
        </w:rPr>
      </w:pPr>
    </w:p>
    <w:p w14:paraId="29943E49">
      <w:pPr>
        <w:adjustRightInd w:val="0"/>
        <w:snapToGrid w:val="0"/>
        <w:spacing w:line="360" w:lineRule="auto"/>
        <w:rPr>
          <w:rFonts w:ascii="黑体" w:hAnsi="宋体" w:eastAsia="黑体"/>
          <w:b/>
          <w:sz w:val="24"/>
        </w:rPr>
      </w:pPr>
    </w:p>
    <w:p w14:paraId="737182A8">
      <w:pPr>
        <w:adjustRightInd w:val="0"/>
        <w:snapToGrid w:val="0"/>
        <w:spacing w:line="360" w:lineRule="auto"/>
        <w:rPr>
          <w:rFonts w:ascii="黑体" w:hAnsi="宋体" w:eastAsia="黑体"/>
          <w:b/>
          <w:sz w:val="24"/>
        </w:rPr>
      </w:pPr>
    </w:p>
    <w:p w14:paraId="31957FC2">
      <w:pPr>
        <w:adjustRightInd w:val="0"/>
        <w:snapToGrid w:val="0"/>
        <w:spacing w:line="360" w:lineRule="auto"/>
        <w:rPr>
          <w:rFonts w:ascii="黑体" w:hAnsi="宋体" w:eastAsia="黑体"/>
          <w:b/>
          <w:sz w:val="24"/>
        </w:rPr>
      </w:pPr>
    </w:p>
    <w:p w14:paraId="64F78D39">
      <w:pPr>
        <w:adjustRightInd w:val="0"/>
        <w:snapToGrid w:val="0"/>
        <w:spacing w:line="360" w:lineRule="auto"/>
        <w:ind w:left="1680" w:leftChars="800"/>
        <w:rPr>
          <w:rFonts w:ascii="黑体" w:hAnsi="宋体" w:eastAsia="黑体"/>
          <w:b/>
          <w:sz w:val="24"/>
        </w:rPr>
      </w:pPr>
    </w:p>
    <w:p w14:paraId="60DAAA3A">
      <w:pPr>
        <w:widowControl/>
        <w:spacing w:line="600" w:lineRule="auto"/>
        <w:ind w:firstLine="1928" w:firstLineChars="600"/>
        <w:jc w:val="both"/>
        <w:rPr>
          <w:rFonts w:hint="eastAsia" w:ascii="黑体" w:hAnsi="宋体" w:eastAsia="黑体"/>
          <w:b/>
          <w:sz w:val="32"/>
          <w:szCs w:val="32"/>
          <w:lang w:val="en-US" w:eastAsia="zh-CN"/>
        </w:rPr>
      </w:pPr>
      <w:r>
        <w:rPr>
          <w:rFonts w:hint="eastAsia" w:ascii="黑体" w:hAnsi="宋体" w:eastAsia="黑体"/>
          <w:b/>
          <w:sz w:val="32"/>
          <w:szCs w:val="32"/>
        </w:rPr>
        <w:t>编制单位：</w:t>
      </w:r>
      <w:r>
        <w:rPr>
          <w:rFonts w:hint="eastAsia" w:ascii="黑体" w:hAnsi="宋体" w:eastAsia="黑体"/>
          <w:b/>
          <w:sz w:val="32"/>
          <w:szCs w:val="32"/>
          <w:lang w:val="en-US" w:eastAsia="zh-CN"/>
        </w:rPr>
        <w:t>深圳市智筑工程咨询有限公司</w:t>
      </w:r>
    </w:p>
    <w:p w14:paraId="0D49120E">
      <w:pPr>
        <w:adjustRightInd w:val="0"/>
        <w:snapToGrid w:val="0"/>
        <w:spacing w:line="360" w:lineRule="auto"/>
        <w:rPr>
          <w:rFonts w:ascii="黑体" w:hAnsi="宋体" w:eastAsia="黑体"/>
          <w:b/>
          <w:sz w:val="32"/>
          <w:szCs w:val="32"/>
        </w:rPr>
      </w:pPr>
    </w:p>
    <w:p w14:paraId="64FCADA5">
      <w:pPr>
        <w:adjustRightInd w:val="0"/>
        <w:snapToGrid w:val="0"/>
        <w:spacing w:line="360" w:lineRule="auto"/>
        <w:ind w:left="1680" w:leftChars="800" w:firstLine="321" w:firstLineChars="100"/>
        <w:rPr>
          <w:rFonts w:hint="eastAsia" w:ascii="黑体" w:hAnsi="宋体" w:eastAsia="黑体"/>
          <w:b/>
          <w:sz w:val="32"/>
          <w:szCs w:val="32"/>
        </w:rPr>
      </w:pPr>
      <w:r>
        <w:rPr>
          <w:rFonts w:hint="eastAsia" w:ascii="黑体" w:hAnsi="宋体" w:eastAsia="黑体"/>
          <w:b/>
          <w:sz w:val="32"/>
          <w:szCs w:val="32"/>
        </w:rPr>
        <w:t>编制日期：二0</w:t>
      </w:r>
      <w:r>
        <w:rPr>
          <w:rFonts w:hint="eastAsia" w:ascii="黑体" w:hAnsi="宋体" w:eastAsia="黑体"/>
          <w:b/>
          <w:sz w:val="32"/>
          <w:szCs w:val="32"/>
          <w:lang w:val="en-US" w:eastAsia="zh-CN"/>
        </w:rPr>
        <w:t>二五</w:t>
      </w:r>
      <w:r>
        <w:rPr>
          <w:rFonts w:hint="eastAsia" w:ascii="黑体" w:hAnsi="宋体" w:eastAsia="黑体"/>
          <w:b/>
          <w:sz w:val="32"/>
          <w:szCs w:val="32"/>
        </w:rPr>
        <w:t>年</w:t>
      </w:r>
      <w:r>
        <w:rPr>
          <w:rFonts w:hint="eastAsia" w:ascii="黑体" w:hAnsi="宋体" w:eastAsia="黑体"/>
          <w:b/>
          <w:sz w:val="32"/>
          <w:szCs w:val="32"/>
          <w:lang w:val="en-US" w:eastAsia="zh-CN"/>
        </w:rPr>
        <w:t>二</w:t>
      </w:r>
      <w:r>
        <w:rPr>
          <w:rFonts w:hint="eastAsia" w:ascii="黑体" w:hAnsi="宋体" w:eastAsia="黑体"/>
          <w:b/>
          <w:sz w:val="32"/>
          <w:szCs w:val="32"/>
        </w:rPr>
        <w:t>月</w:t>
      </w:r>
    </w:p>
    <w:p w14:paraId="79103CD5">
      <w:pPr>
        <w:rPr>
          <w:rFonts w:hint="eastAsia" w:ascii="黑体" w:hAnsi="宋体" w:eastAsia="黑体"/>
          <w:b/>
          <w:sz w:val="32"/>
          <w:szCs w:val="32"/>
        </w:rPr>
      </w:pPr>
      <w:r>
        <w:rPr>
          <w:rFonts w:hint="eastAsia" w:ascii="黑体" w:hAnsi="宋体" w:eastAsia="黑体"/>
          <w:b/>
          <w:sz w:val="32"/>
          <w:szCs w:val="32"/>
        </w:rPr>
        <w:br w:type="page"/>
      </w:r>
    </w:p>
    <w:p w14:paraId="44E8098A">
      <w:pPr>
        <w:pStyle w:val="3"/>
        <w:spacing w:line="251" w:lineRule="auto"/>
      </w:pPr>
    </w:p>
    <w:p w14:paraId="27196286">
      <w:pPr>
        <w:spacing w:before="247" w:line="576" w:lineRule="exact"/>
        <w:jc w:val="center"/>
        <w:rPr>
          <w:rFonts w:hint="eastAsia" w:ascii="宋体" w:hAnsi="宋体" w:eastAsia="宋体" w:cs="宋体"/>
          <w:spacing w:val="3"/>
          <w:position w:val="19"/>
          <w:sz w:val="32"/>
          <w:szCs w:val="32"/>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3"/>
          <w:position w:val="19"/>
          <w:sz w:val="32"/>
          <w:szCs w:val="32"/>
          <w:lang w:val="en-US" w:eastAsia="zh-CN"/>
          <w14:textOutline w14:w="5791" w14:cap="flat" w14:cmpd="sng">
            <w14:solidFill>
              <w14:srgbClr w14:val="000000"/>
            </w14:solidFill>
            <w14:prstDash w14:val="solid"/>
            <w14:miter w14:val="0"/>
          </w14:textOutline>
        </w:rPr>
        <w:t>深圳外环高速公路深圳段工程边坡整治（第二批）</w:t>
      </w:r>
    </w:p>
    <w:p w14:paraId="408F82AC">
      <w:pPr>
        <w:spacing w:before="1" w:line="224" w:lineRule="auto"/>
        <w:jc w:val="center"/>
        <w:rPr>
          <w:rFonts w:ascii="宋体" w:hAnsi="宋体" w:eastAsia="宋体" w:cs="宋体"/>
          <w:sz w:val="31"/>
          <w:szCs w:val="31"/>
        </w:rPr>
      </w:pPr>
      <w:r>
        <w:rPr>
          <w:rFonts w:ascii="宋体" w:hAnsi="宋体" w:eastAsia="宋体" w:cs="宋体"/>
          <w:sz w:val="31"/>
          <w:szCs w:val="31"/>
          <w14:textOutline w14:w="5791" w14:cap="flat" w14:cmpd="sng">
            <w14:solidFill>
              <w14:srgbClr w14:val="000000"/>
            </w14:solidFill>
            <w14:prstDash w14:val="solid"/>
            <w14:miter w14:val="0"/>
          </w14:textOutline>
        </w:rPr>
        <w:t>清单预算编制说明</w:t>
      </w:r>
    </w:p>
    <w:p w14:paraId="4AAA0154">
      <w:pPr>
        <w:pStyle w:val="3"/>
        <w:spacing w:line="246" w:lineRule="auto"/>
      </w:pPr>
    </w:p>
    <w:p w14:paraId="60666093">
      <w:pPr>
        <w:pStyle w:val="3"/>
        <w:spacing w:line="247" w:lineRule="auto"/>
      </w:pPr>
    </w:p>
    <w:p w14:paraId="7877AE13">
      <w:pPr>
        <w:pStyle w:val="3"/>
        <w:spacing w:line="247" w:lineRule="auto"/>
      </w:pPr>
    </w:p>
    <w:p w14:paraId="0129CFF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 w:line="560" w:lineRule="exact"/>
        <w:ind w:left="420" w:leftChars="200" w:right="420" w:rightChars="200"/>
        <w:textAlignment w:val="baseline"/>
        <w:rPr>
          <w:rFonts w:ascii="仿宋" w:hAnsi="仿宋" w:eastAsia="仿宋" w:cs="仿宋"/>
          <w:spacing w:val="-11"/>
          <w:sz w:val="24"/>
          <w:szCs w:val="24"/>
          <w14:textOutline w14:w="4354" w14:cap="flat" w14:cmpd="sng">
            <w14:solidFill>
              <w14:srgbClr w14:val="000000"/>
            </w14:solidFill>
            <w14:prstDash w14:val="solid"/>
            <w14:miter w14:val="0"/>
          </w14:textOutline>
        </w:rPr>
      </w:pPr>
      <w:r>
        <w:rPr>
          <w:rFonts w:ascii="仿宋" w:hAnsi="仿宋" w:eastAsia="仿宋" w:cs="仿宋"/>
          <w:spacing w:val="-11"/>
          <w:sz w:val="24"/>
          <w:szCs w:val="24"/>
          <w14:textOutline w14:w="4354" w14:cap="flat" w14:cmpd="sng">
            <w14:solidFill>
              <w14:srgbClr w14:val="000000"/>
            </w14:solidFill>
            <w14:prstDash w14:val="solid"/>
            <w14:miter w14:val="0"/>
          </w14:textOutline>
        </w:rPr>
        <w:t>项目概况</w:t>
      </w:r>
    </w:p>
    <w:p w14:paraId="1A7075DD">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深圳外环高速公路位于深圳市北、东部，为深圳市西东向的一条外环快速干线，是深圳市“七横十三纵”干线路网布局的重要组成部分，同时深圳外环高速也是广东省“九纵五横两环”高速公路主骨架网中的加密线。</w:t>
      </w:r>
    </w:p>
    <w:p w14:paraId="515F69E4">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项目起点位于宝安区沙井附近与在建沿江高速公路相接，终点与盐坝高速公路相接，路线自西向东与深圳所有纵向高速公路交叉衔接，进而与珠三角高速公路形成联网。</w:t>
      </w:r>
    </w:p>
    <w:p w14:paraId="1F2C75E2">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该项目的实施，有利于有效沟通各南北向高速公路主骨架的联系，充分发挥高速公路网的整体效益，改善区域交通运输状况和投资环境，对促进深圳、东莞、惠州等地经济共同繁荣具有重要意义。</w:t>
      </w:r>
    </w:p>
    <w:p w14:paraId="1264A535">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深圳外环高速西起于广深沿江高速公路，向东经宝安区、光明区、龙华区、东莞市、龙岗区、坪山区、大鹏新区，终点接盐坝高速公路，外环高速公路项目总里程约92.86公里Km，其中深圳段长约76.04Km，由深圳市负责建设，东莞段长约17 Km，由东莞市负责建设。</w:t>
      </w:r>
    </w:p>
    <w:p w14:paraId="2201A17C">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本工程为深圳外环高速公路深圳段工程边坡整治（第二批），里程桩号范围K11+897～K69+330。</w:t>
      </w:r>
    </w:p>
    <w:p w14:paraId="38872D50">
      <w:pPr>
        <w:keepNext w:val="0"/>
        <w:keepLines w:val="0"/>
        <w:pageBreakBefore w:val="0"/>
        <w:widowControl/>
        <w:kinsoku w:val="0"/>
        <w:wordWrap/>
        <w:overflowPunct/>
        <w:topLinePunct w:val="0"/>
        <w:autoSpaceDE w:val="0"/>
        <w:autoSpaceDN w:val="0"/>
        <w:bidi w:val="0"/>
        <w:adjustRightInd w:val="0"/>
        <w:snapToGrid w:val="0"/>
        <w:spacing w:before="20" w:line="560" w:lineRule="exact"/>
        <w:ind w:right="420" w:rightChars="200"/>
        <w:jc w:val="left"/>
        <w:textAlignment w:val="baseline"/>
        <w:rPr>
          <w:rFonts w:hint="eastAsia" w:ascii="仿宋" w:hAnsi="仿宋" w:eastAsia="仿宋" w:cs="仿宋"/>
          <w:spacing w:val="0"/>
          <w:position w:val="0"/>
          <w:sz w:val="24"/>
          <w:szCs w:val="24"/>
          <w:lang w:val="en-US" w:eastAsia="zh-CN"/>
        </w:rPr>
      </w:pPr>
    </w:p>
    <w:p w14:paraId="6F1DAAF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 w:line="560" w:lineRule="exact"/>
        <w:ind w:left="420" w:leftChars="200" w:right="420" w:rightChars="200" w:firstLine="0" w:firstLineChars="0"/>
        <w:textAlignment w:val="baseline"/>
        <w:rPr>
          <w:rFonts w:ascii="仿宋" w:hAnsi="仿宋" w:eastAsia="仿宋" w:cs="仿宋"/>
          <w:spacing w:val="-9"/>
          <w:sz w:val="24"/>
          <w:szCs w:val="24"/>
          <w14:textOutline w14:w="4354" w14:cap="flat" w14:cmpd="sng">
            <w14:solidFill>
              <w14:srgbClr w14:val="000000"/>
            </w14:solidFill>
            <w14:prstDash w14:val="solid"/>
            <w14:miter w14:val="0"/>
          </w14:textOutline>
        </w:rPr>
      </w:pPr>
      <w:r>
        <w:rPr>
          <w:rFonts w:ascii="仿宋" w:hAnsi="仿宋" w:eastAsia="仿宋" w:cs="仿宋"/>
          <w:spacing w:val="-9"/>
          <w:sz w:val="24"/>
          <w:szCs w:val="24"/>
          <w14:textOutline w14:w="4354" w14:cap="flat" w14:cmpd="sng">
            <w14:solidFill>
              <w14:srgbClr w14:val="000000"/>
            </w14:solidFill>
            <w14:prstDash w14:val="solid"/>
            <w14:miter w14:val="0"/>
          </w14:textOutline>
        </w:rPr>
        <w:t>编制依据</w:t>
      </w:r>
    </w:p>
    <w:p w14:paraId="0736504D">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1.交通运输部2018年第86号文通知公布的《公路工程建设项目概算预算编制办法》（JTG3830--2018）（以下简称“《编制办法》”）及《公路工程预算定额》（JTG/T3832--2018）、《公路工程机械台班费用定额》（JTG/T3833--2018）、《广东省公路养护工程预算定额》（2010）。</w:t>
      </w:r>
    </w:p>
    <w:p w14:paraId="35A028EE">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2.广东省执行交通运输部《公路工程建设项目投资估算编制办法》《公路工程建设项目概算预算编制办法》及配套指标、定额标准的补充通知（粤交基[2019]544号文）。</w:t>
      </w:r>
    </w:p>
    <w:p w14:paraId="25B778D9">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3.广东省交通运输厅关于调整公路工程人工工日单价的通知（粤交基〔2022〕67号文）。</w:t>
      </w:r>
    </w:p>
    <w:p w14:paraId="7E6159DC">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4.交通运输部第26号关于调整《公路工程建设项目投资估算编制办法》(JTG3820-2018)和《公路工程建设项目概算预算编制办法》(JTG3830-2018)中“税金”有关规定的公告。</w:t>
      </w:r>
    </w:p>
    <w:p w14:paraId="03E75E0D">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5.财政部税务总局海关总署公告2019年第39号《关于深化增值税改革有关政策的公告》。</w:t>
      </w:r>
    </w:p>
    <w:p w14:paraId="74547A24">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6. 广东省执行交通运输部《公路工程标准施工招标文件范本》（2009年版）补充规定的通知（粤交基[2010]355号文）、关于发布《广东省执行交通运输部公路工程标准施工招标文件范本（2009 年版）的补充规定》中清单标准修订内容的通知-粤交造价函〔2011〕45号文。</w:t>
      </w:r>
    </w:p>
    <w:p w14:paraId="6E7CC4DE">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7.深圳外环高速公路深圳段工程边坡整治（第二批）施工图纸。</w:t>
      </w:r>
    </w:p>
    <w:p w14:paraId="037577A9">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8.深圳市住房和建设局深圳市交通运输局会关于印发《深圳市临时装船点弃土海上外运处置价格上限》的通知（深建废[2020]3号）。</w:t>
      </w:r>
    </w:p>
    <w:p w14:paraId="2DCC2EA1">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br w:type="page"/>
      </w:r>
    </w:p>
    <w:p w14:paraId="4E8C884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 w:line="560" w:lineRule="exact"/>
        <w:ind w:left="420" w:leftChars="200" w:right="420" w:rightChars="200" w:firstLine="0" w:firstLineChars="0"/>
        <w:textAlignment w:val="baseline"/>
        <w:rPr>
          <w:rFonts w:ascii="仿宋" w:hAnsi="仿宋" w:eastAsia="仿宋" w:cs="仿宋"/>
          <w:spacing w:val="0"/>
          <w:position w:val="0"/>
          <w:sz w:val="24"/>
          <w:szCs w:val="24"/>
          <w14:textOutline w14:w="4354" w14:cap="flat" w14:cmpd="sng">
            <w14:solidFill>
              <w14:srgbClr w14:val="000000"/>
            </w14:solidFill>
            <w14:prstDash w14:val="solid"/>
            <w14:miter w14:val="0"/>
          </w14:textOutline>
        </w:rPr>
      </w:pPr>
      <w:r>
        <w:rPr>
          <w:rFonts w:ascii="仿宋" w:hAnsi="仿宋" w:eastAsia="仿宋" w:cs="仿宋"/>
          <w:spacing w:val="-9"/>
          <w:sz w:val="24"/>
          <w:szCs w:val="24"/>
          <w14:textOutline w14:w="4354" w14:cap="flat" w14:cmpd="sng">
            <w14:solidFill>
              <w14:srgbClr w14:val="000000"/>
            </w14:solidFill>
            <w14:prstDash w14:val="solid"/>
            <w14:miter w14:val="0"/>
          </w14:textOutline>
        </w:rPr>
        <w:t>费率标准</w:t>
      </w:r>
    </w:p>
    <w:p w14:paraId="175B7523">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1.费率标准：广东省交通运输厅关于《公路工程建设项目投资估算编制办法》《公路工程建设项目概算预算编制办法》及配套指标定额补充规定的通知(粤交基[2019]544号)。</w:t>
      </w:r>
    </w:p>
    <w:p w14:paraId="56260A70">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2.措施费</w:t>
      </w:r>
    </w:p>
    <w:p w14:paraId="3F4DE205">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雨季施工增加费按(Ⅱ区4个月）计、夜间施工增加费计、沿海地区施工增加费计、施工辅助费计、工地转移费（150km），其他不计。</w:t>
      </w:r>
    </w:p>
    <w:p w14:paraId="098008CE">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3.企业管理费</w:t>
      </w:r>
    </w:p>
    <w:p w14:paraId="652E2B39">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基本费用计、综合里程按5km计、职工探亲计、财务费用计、职工取暖不计。</w:t>
      </w:r>
    </w:p>
    <w:p w14:paraId="1707C672">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4.规费</w:t>
      </w:r>
    </w:p>
    <w:p w14:paraId="2860B0B8">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规费按广东省交通运输厅关于《公路工程建设项目投资估算编制办法》《公路工程建设项目概算预算编制办法》及配套指标定额补充规定的通知(粤交基[2019]544号)计取，养老保险费率为14%、失业保险费率为0.8%、医疗保险（含生育保险）费率为6.85%、住房公积金费率为8.5%，工伤保险费0.5%。</w:t>
      </w:r>
    </w:p>
    <w:p w14:paraId="0C9406DE">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5.利润</w:t>
      </w:r>
    </w:p>
    <w:p w14:paraId="18C45EE3">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利润按7.42%计取。</w:t>
      </w:r>
    </w:p>
    <w:p w14:paraId="6C675CBC">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6.税金</w:t>
      </w:r>
    </w:p>
    <w:p w14:paraId="02E555D7">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税金按9%计取。</w:t>
      </w:r>
    </w:p>
    <w:p w14:paraId="5B94CCD2">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p>
    <w:p w14:paraId="00E5BE3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 w:line="560" w:lineRule="exact"/>
        <w:ind w:left="420" w:leftChars="200" w:right="420" w:rightChars="200" w:firstLine="0" w:firstLineChars="0"/>
        <w:textAlignment w:val="baseline"/>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t>人工、材料、机械预算价格</w:t>
      </w:r>
    </w:p>
    <w:p w14:paraId="36A3D2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 w:line="560" w:lineRule="exact"/>
        <w:ind w:right="420" w:rightChars="200"/>
        <w:textAlignment w:val="baseline"/>
        <w:rPr>
          <w:rFonts w:hint="eastAsia" w:ascii="仿宋" w:hAnsi="仿宋" w:eastAsia="仿宋" w:cs="仿宋"/>
          <w:spacing w:val="0"/>
          <w:position w:val="0"/>
          <w:sz w:val="24"/>
          <w:szCs w:val="24"/>
          <w:lang w:val="en-US" w:eastAsia="zh-CN"/>
          <w14:textOutline w14:w="4354" w14:cap="flat" w14:cmpd="sng">
            <w14:solidFill>
              <w14:srgbClr w14:val="000000"/>
            </w14:solidFill>
            <w14:prstDash w14:val="solid"/>
            <w14:miter w14:val="0"/>
          </w14:textOutline>
        </w:rPr>
      </w:pPr>
    </w:p>
    <w:p w14:paraId="208D362A">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（一）人工单价</w:t>
      </w:r>
    </w:p>
    <w:p w14:paraId="7F6BF468">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人工单价按广东省交通运输厅关于调整公路工程人工工日单价的通知（粤交基〔2022〕67号文），人工、机械工单价取为143.34元/工日；</w:t>
      </w:r>
    </w:p>
    <w:p w14:paraId="759767D2">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（二）机械使用费</w:t>
      </w:r>
    </w:p>
    <w:p w14:paraId="4D12E188">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机械台班单价按《公路工程机械台班费用定额》（JTG/T3833--2018）计取。其中车船使用税按《补充规定》计列；具体价格详见预算附表《人工、材料、机械台班单价汇总表。</w:t>
      </w:r>
    </w:p>
    <w:p w14:paraId="39BE0C3C">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（三）材料单价</w:t>
      </w:r>
    </w:p>
    <w:p w14:paraId="5201E1E3">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材料单价：优先采用《深圳建设工程价格信息》（深圳市建设工程造价管理站，2025年1月），不足部分采用《广东省交通建设工程主要外购材料信息价》（广东省交通运输工程造价事务中心2024年12月），少量特殊材料采用市场询价。</w:t>
      </w:r>
    </w:p>
    <w:p w14:paraId="09137754">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p>
    <w:p w14:paraId="1AA3A57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 w:line="560" w:lineRule="exact"/>
        <w:ind w:left="420" w:leftChars="200" w:right="420" w:rightChars="200" w:firstLine="0" w:firstLineChars="0"/>
        <w:textAlignment w:val="baseline"/>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t>组价说明</w:t>
      </w:r>
    </w:p>
    <w:p w14:paraId="1ACA9E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 w:line="560" w:lineRule="exact"/>
        <w:ind w:leftChars="200" w:right="420" w:rightChars="200"/>
        <w:textAlignment w:val="baseline"/>
        <w:rPr>
          <w:rFonts w:hint="eastAsia" w:ascii="仿宋" w:hAnsi="仿宋" w:eastAsia="仿宋" w:cs="仿宋"/>
          <w:spacing w:val="0"/>
          <w:position w:val="0"/>
          <w:sz w:val="24"/>
          <w:szCs w:val="24"/>
          <w:lang w:val="en-US" w:eastAsia="zh-CN"/>
          <w14:textOutline w14:w="4354" w14:cap="flat" w14:cmpd="sng">
            <w14:solidFill>
              <w14:srgbClr w14:val="000000"/>
            </w14:solidFill>
            <w14:prstDash w14:val="solid"/>
            <w14:miter w14:val="0"/>
          </w14:textOutline>
        </w:rPr>
      </w:pPr>
    </w:p>
    <w:p w14:paraId="6AA5E332">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（一）第100章总则</w:t>
      </w:r>
    </w:p>
    <w:p w14:paraId="47A403AB">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1．建筑工程一切险和第三者责任险：建筑工程一切险和第三者责任险的保险费率合计：4‰，保险费的计算基数为100章至900章的工程量清单合计金额（不含安全生产费、保险费、暂列金额的总计）。</w:t>
      </w:r>
    </w:p>
    <w:p w14:paraId="67C8B36F">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2．安全生产费：安全生产费以工程量清单预算文件所包含的全部建筑安装工程费用（工程量清单第100 章至第900 章费用之和，并扣除安全生产费用本身和机电工程设备购置费）的1.5%计取。</w:t>
      </w:r>
    </w:p>
    <w:p w14:paraId="66530A44">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3．交通疏解工程：根据招标图交通疏解专项设计计算保通便道、交通疏解设施费、交通组织协管费，其中交通组织协管人员共6480工日，按200元/工日计算；应急救援车按1200元/台班，防撞车按1000元/台班。</w:t>
      </w:r>
    </w:p>
    <w:p w14:paraId="6FA01A53">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default"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（二）200章路基</w:t>
      </w:r>
    </w:p>
    <w:p w14:paraId="457C95AA">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路基段挖土石方弃置，弃土场为大铲湾码头，运距按加权平均55km，弃渣消纳费47元/m3。混凝土均采用商品混凝土计算。</w:t>
      </w:r>
    </w:p>
    <w:p w14:paraId="1D6AA7AD">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（三）其它情况说明</w:t>
      </w:r>
    </w:p>
    <w:p w14:paraId="2C8DD6A4">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1.暂列金额按各章清单合计的5%计价。</w:t>
      </w:r>
    </w:p>
    <w:p w14:paraId="36F6E077">
      <w:pPr>
        <w:keepNext w:val="0"/>
        <w:keepLines w:val="0"/>
        <w:pageBreakBefore w:val="0"/>
        <w:widowControl/>
        <w:kinsoku w:val="0"/>
        <w:wordWrap/>
        <w:overflowPunct/>
        <w:topLinePunct w:val="0"/>
        <w:autoSpaceDE w:val="0"/>
        <w:autoSpaceDN w:val="0"/>
        <w:bidi w:val="0"/>
        <w:adjustRightInd w:val="0"/>
        <w:snapToGrid w:val="0"/>
        <w:spacing w:before="20" w:line="560" w:lineRule="exact"/>
        <w:ind w:left="420" w:leftChars="200" w:right="420" w:rightChars="200" w:firstLine="480" w:firstLineChars="200"/>
        <w:jc w:val="left"/>
        <w:textAlignment w:val="baseline"/>
        <w:rPr>
          <w:rFonts w:hint="default"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（四）预算编制情况</w:t>
      </w:r>
    </w:p>
    <w:tbl>
      <w:tblPr>
        <w:tblStyle w:val="5"/>
        <w:tblpPr w:leftFromText="180" w:rightFromText="180" w:vertAnchor="text" w:horzAnchor="page" w:tblpX="1527" w:tblpY="559"/>
        <w:tblOverlap w:val="never"/>
        <w:tblW w:w="9318" w:type="dxa"/>
        <w:tblInd w:w="0" w:type="dxa"/>
        <w:tblLayout w:type="autofit"/>
        <w:tblCellMar>
          <w:top w:w="0" w:type="dxa"/>
          <w:left w:w="108" w:type="dxa"/>
          <w:bottom w:w="0" w:type="dxa"/>
          <w:right w:w="108" w:type="dxa"/>
        </w:tblCellMar>
      </w:tblPr>
      <w:tblGrid>
        <w:gridCol w:w="1582"/>
        <w:gridCol w:w="1952"/>
        <w:gridCol w:w="1760"/>
        <w:gridCol w:w="1887"/>
        <w:gridCol w:w="2137"/>
      </w:tblGrid>
      <w:tr w14:paraId="4A97FEAF">
        <w:tblPrEx>
          <w:tblCellMar>
            <w:top w:w="0" w:type="dxa"/>
            <w:left w:w="108" w:type="dxa"/>
            <w:bottom w:w="0" w:type="dxa"/>
            <w:right w:w="108" w:type="dxa"/>
          </w:tblCellMar>
        </w:tblPrEx>
        <w:trPr>
          <w:trHeight w:val="687" w:hRule="atLeast"/>
        </w:trPr>
        <w:tc>
          <w:tcPr>
            <w:tcW w:w="1582" w:type="dxa"/>
            <w:vMerge w:val="restart"/>
            <w:tcBorders>
              <w:top w:val="single" w:color="000000" w:sz="4" w:space="0"/>
              <w:left w:val="single" w:color="000000" w:sz="4" w:space="0"/>
              <w:bottom w:val="single" w:color="000000" w:sz="4" w:space="0"/>
              <w:right w:val="single" w:color="000000" w:sz="4" w:space="0"/>
            </w:tcBorders>
            <w:vAlign w:val="center"/>
          </w:tcPr>
          <w:p w14:paraId="189D9B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Style w:val="9"/>
                <w:rFonts w:hint="default"/>
                <w:spacing w:val="0"/>
                <w:position w:val="0"/>
                <w:lang w:bidi="ar"/>
              </w:rPr>
              <w:t>名称</w:t>
            </w:r>
          </w:p>
        </w:tc>
        <w:tc>
          <w:tcPr>
            <w:tcW w:w="1952" w:type="dxa"/>
            <w:vMerge w:val="restart"/>
            <w:tcBorders>
              <w:top w:val="single" w:color="000000" w:sz="4" w:space="0"/>
              <w:left w:val="single" w:color="000000" w:sz="4" w:space="0"/>
              <w:bottom w:val="single" w:color="000000" w:sz="4" w:space="0"/>
              <w:right w:val="single" w:color="000000" w:sz="4" w:space="0"/>
            </w:tcBorders>
            <w:vAlign w:val="center"/>
          </w:tcPr>
          <w:p w14:paraId="2B269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Style w:val="9"/>
                <w:rFonts w:hint="default"/>
                <w:spacing w:val="0"/>
                <w:position w:val="0"/>
                <w:lang w:bidi="ar"/>
              </w:rPr>
              <w:t>100～</w:t>
            </w:r>
            <w:r>
              <w:rPr>
                <w:rStyle w:val="9"/>
                <w:rFonts w:hint="eastAsia" w:eastAsia="仿宋"/>
                <w:spacing w:val="0"/>
                <w:position w:val="0"/>
                <w:lang w:val="en-US" w:eastAsia="zh-CN" w:bidi="ar"/>
              </w:rPr>
              <w:t>9</w:t>
            </w:r>
            <w:r>
              <w:rPr>
                <w:rStyle w:val="9"/>
                <w:rFonts w:hint="default"/>
                <w:spacing w:val="0"/>
                <w:position w:val="0"/>
                <w:lang w:bidi="ar"/>
              </w:rPr>
              <w:t>00章（元）</w:t>
            </w:r>
          </w:p>
        </w:tc>
        <w:tc>
          <w:tcPr>
            <w:tcW w:w="1760" w:type="dxa"/>
            <w:vMerge w:val="restart"/>
            <w:tcBorders>
              <w:top w:val="single" w:color="000000" w:sz="4" w:space="0"/>
              <w:left w:val="single" w:color="000000" w:sz="4" w:space="0"/>
              <w:bottom w:val="single" w:color="000000" w:sz="4" w:space="0"/>
              <w:right w:val="single" w:color="000000" w:sz="4" w:space="0"/>
            </w:tcBorders>
            <w:vAlign w:val="center"/>
          </w:tcPr>
          <w:p w14:paraId="1E1F93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Fonts w:hint="eastAsia" w:ascii="仿宋" w:hAnsi="仿宋" w:eastAsia="仿宋" w:cs="仿宋"/>
                <w:spacing w:val="0"/>
                <w:kern w:val="0"/>
                <w:position w:val="0"/>
                <w:sz w:val="24"/>
                <w:lang w:bidi="ar"/>
              </w:rPr>
              <w:t>计日工（元）</w:t>
            </w: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14:paraId="263091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Style w:val="9"/>
                <w:rFonts w:hint="default"/>
                <w:spacing w:val="0"/>
                <w:position w:val="0"/>
                <w:lang w:bidi="ar"/>
              </w:rPr>
              <w:t>暂列金额（元）</w:t>
            </w:r>
          </w:p>
        </w:tc>
        <w:tc>
          <w:tcPr>
            <w:tcW w:w="2137" w:type="dxa"/>
            <w:vMerge w:val="restart"/>
            <w:tcBorders>
              <w:top w:val="single" w:color="000000" w:sz="4" w:space="0"/>
              <w:left w:val="single" w:color="000000" w:sz="4" w:space="0"/>
              <w:bottom w:val="single" w:color="000000" w:sz="4" w:space="0"/>
              <w:right w:val="single" w:color="000000" w:sz="4" w:space="0"/>
            </w:tcBorders>
            <w:vAlign w:val="center"/>
          </w:tcPr>
          <w:p w14:paraId="0DC697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Style w:val="9"/>
                <w:rFonts w:hint="default"/>
                <w:spacing w:val="0"/>
                <w:position w:val="0"/>
                <w:lang w:bidi="ar"/>
              </w:rPr>
              <w:t>招标控制价总价（元）</w:t>
            </w:r>
          </w:p>
        </w:tc>
      </w:tr>
      <w:tr w14:paraId="2F79CC18">
        <w:tblPrEx>
          <w:tblCellMar>
            <w:top w:w="0" w:type="dxa"/>
            <w:left w:w="108" w:type="dxa"/>
            <w:bottom w:w="0" w:type="dxa"/>
            <w:right w:w="108" w:type="dxa"/>
          </w:tblCellMar>
        </w:tblPrEx>
        <w:trPr>
          <w:trHeight w:val="687" w:hRule="atLeast"/>
        </w:trPr>
        <w:tc>
          <w:tcPr>
            <w:tcW w:w="1582" w:type="dxa"/>
            <w:vMerge w:val="continue"/>
            <w:tcBorders>
              <w:top w:val="single" w:color="000000" w:sz="4" w:space="0"/>
              <w:left w:val="single" w:color="000000" w:sz="4" w:space="0"/>
              <w:bottom w:val="single" w:color="000000" w:sz="4" w:space="0"/>
              <w:right w:val="single" w:color="000000" w:sz="4" w:space="0"/>
            </w:tcBorders>
            <w:vAlign w:val="center"/>
          </w:tcPr>
          <w:p w14:paraId="1EFE7488">
            <w:pPr>
              <w:keepNext w:val="0"/>
              <w:keepLines w:val="0"/>
              <w:widowControl/>
              <w:suppressLineNumbers w:val="0"/>
              <w:spacing w:before="0" w:beforeAutospacing="0" w:after="0" w:afterAutospacing="0"/>
              <w:ind w:left="0" w:right="0"/>
              <w:jc w:val="left"/>
              <w:rPr>
                <w:rFonts w:hint="default" w:ascii="仿宋" w:hAnsi="仿宋" w:eastAsia="仿宋" w:cs="仿宋"/>
                <w:spacing w:val="0"/>
                <w:position w:val="0"/>
                <w:sz w:val="24"/>
                <w:szCs w:val="24"/>
              </w:rPr>
            </w:pPr>
          </w:p>
        </w:tc>
        <w:tc>
          <w:tcPr>
            <w:tcW w:w="1952" w:type="dxa"/>
            <w:vMerge w:val="continue"/>
            <w:tcBorders>
              <w:top w:val="single" w:color="000000" w:sz="4" w:space="0"/>
              <w:left w:val="single" w:color="000000" w:sz="4" w:space="0"/>
              <w:bottom w:val="single" w:color="000000" w:sz="4" w:space="0"/>
              <w:right w:val="single" w:color="000000" w:sz="4" w:space="0"/>
            </w:tcBorders>
            <w:vAlign w:val="center"/>
          </w:tcPr>
          <w:p w14:paraId="741D1F3B">
            <w:pPr>
              <w:keepNext w:val="0"/>
              <w:keepLines w:val="0"/>
              <w:widowControl/>
              <w:suppressLineNumbers w:val="0"/>
              <w:spacing w:before="0" w:beforeAutospacing="0" w:after="0" w:afterAutospacing="0"/>
              <w:ind w:left="0" w:right="0"/>
              <w:jc w:val="left"/>
              <w:rPr>
                <w:rFonts w:hint="default" w:ascii="仿宋" w:hAnsi="仿宋" w:eastAsia="仿宋" w:cs="仿宋"/>
                <w:spacing w:val="0"/>
                <w:position w:val="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vAlign w:val="center"/>
          </w:tcPr>
          <w:p w14:paraId="520AC6C9">
            <w:pPr>
              <w:keepNext w:val="0"/>
              <w:keepLines w:val="0"/>
              <w:widowControl/>
              <w:suppressLineNumbers w:val="0"/>
              <w:spacing w:before="0" w:beforeAutospacing="0" w:after="0" w:afterAutospacing="0"/>
              <w:ind w:left="0" w:right="0"/>
              <w:jc w:val="left"/>
              <w:rPr>
                <w:rFonts w:hint="default" w:ascii="仿宋" w:hAnsi="仿宋" w:eastAsia="仿宋" w:cs="仿宋"/>
                <w:spacing w:val="0"/>
                <w:position w:val="0"/>
                <w:sz w:val="24"/>
                <w:szCs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14:paraId="5990EB5A">
            <w:pPr>
              <w:keepNext w:val="0"/>
              <w:keepLines w:val="0"/>
              <w:widowControl/>
              <w:suppressLineNumbers w:val="0"/>
              <w:spacing w:before="0" w:beforeAutospacing="0" w:after="0" w:afterAutospacing="0"/>
              <w:ind w:left="0" w:right="0"/>
              <w:jc w:val="left"/>
              <w:rPr>
                <w:rFonts w:hint="default" w:ascii="仿宋" w:hAnsi="仿宋" w:eastAsia="仿宋" w:cs="仿宋"/>
                <w:spacing w:val="0"/>
                <w:position w:val="0"/>
                <w:sz w:val="24"/>
                <w:szCs w:val="24"/>
              </w:rPr>
            </w:pPr>
          </w:p>
        </w:tc>
        <w:tc>
          <w:tcPr>
            <w:tcW w:w="2137" w:type="dxa"/>
            <w:vMerge w:val="continue"/>
            <w:tcBorders>
              <w:top w:val="single" w:color="000000" w:sz="4" w:space="0"/>
              <w:left w:val="single" w:color="000000" w:sz="4" w:space="0"/>
              <w:bottom w:val="single" w:color="000000" w:sz="4" w:space="0"/>
              <w:right w:val="single" w:color="000000" w:sz="4" w:space="0"/>
            </w:tcBorders>
            <w:vAlign w:val="center"/>
          </w:tcPr>
          <w:p w14:paraId="3AFB30BC">
            <w:pPr>
              <w:keepNext w:val="0"/>
              <w:keepLines w:val="0"/>
              <w:widowControl/>
              <w:suppressLineNumbers w:val="0"/>
              <w:spacing w:before="0" w:beforeAutospacing="0" w:after="0" w:afterAutospacing="0"/>
              <w:ind w:left="0" w:right="0"/>
              <w:jc w:val="left"/>
              <w:rPr>
                <w:rFonts w:hint="default" w:ascii="仿宋" w:hAnsi="仿宋" w:eastAsia="仿宋" w:cs="仿宋"/>
                <w:spacing w:val="0"/>
                <w:position w:val="0"/>
                <w:sz w:val="24"/>
                <w:szCs w:val="24"/>
              </w:rPr>
            </w:pPr>
          </w:p>
        </w:tc>
      </w:tr>
      <w:tr w14:paraId="315ECCDE">
        <w:tblPrEx>
          <w:tblCellMar>
            <w:top w:w="0" w:type="dxa"/>
            <w:left w:w="108" w:type="dxa"/>
            <w:bottom w:w="0" w:type="dxa"/>
            <w:right w:w="108" w:type="dxa"/>
          </w:tblCellMar>
        </w:tblPrEx>
        <w:trPr>
          <w:trHeight w:val="719" w:hRule="atLeast"/>
        </w:trPr>
        <w:tc>
          <w:tcPr>
            <w:tcW w:w="1582" w:type="dxa"/>
            <w:tcBorders>
              <w:top w:val="single" w:color="000000" w:sz="4" w:space="0"/>
              <w:left w:val="single" w:color="000000" w:sz="4" w:space="0"/>
              <w:bottom w:val="single" w:color="000000" w:sz="4" w:space="0"/>
              <w:right w:val="single" w:color="000000" w:sz="4" w:space="0"/>
            </w:tcBorders>
            <w:vAlign w:val="center"/>
          </w:tcPr>
          <w:p w14:paraId="2E7394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kern w:val="0"/>
                <w:position w:val="0"/>
                <w:sz w:val="24"/>
                <w:lang w:bidi="ar"/>
              </w:rPr>
            </w:pPr>
            <w:r>
              <w:rPr>
                <w:rFonts w:hint="eastAsia" w:ascii="仿宋" w:hAnsi="仿宋" w:eastAsia="仿宋" w:cs="仿宋"/>
                <w:spacing w:val="0"/>
                <w:kern w:val="0"/>
                <w:position w:val="0"/>
                <w:sz w:val="24"/>
                <w:lang w:bidi="ar"/>
              </w:rPr>
              <w:t>边坡整治</w:t>
            </w:r>
          </w:p>
          <w:p w14:paraId="06391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kern w:val="0"/>
                <w:position w:val="0"/>
                <w:sz w:val="24"/>
                <w:lang w:bidi="ar"/>
              </w:rPr>
            </w:pPr>
            <w:r>
              <w:rPr>
                <w:rFonts w:hint="eastAsia" w:ascii="仿宋" w:hAnsi="仿宋" w:eastAsia="仿宋" w:cs="仿宋"/>
                <w:spacing w:val="0"/>
                <w:kern w:val="0"/>
                <w:position w:val="0"/>
                <w:sz w:val="24"/>
                <w:lang w:bidi="ar"/>
              </w:rPr>
              <w:t>工程(第</w:t>
            </w:r>
          </w:p>
          <w:p w14:paraId="23E287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kern w:val="0"/>
                <w:position w:val="0"/>
                <w:sz w:val="24"/>
                <w:lang w:bidi="ar"/>
              </w:rPr>
            </w:pPr>
            <w:r>
              <w:rPr>
                <w:rFonts w:hint="eastAsia" w:ascii="仿宋" w:hAnsi="仿宋" w:eastAsia="仿宋" w:cs="仿宋"/>
                <w:spacing w:val="0"/>
                <w:kern w:val="0"/>
                <w:position w:val="0"/>
                <w:sz w:val="24"/>
                <w:lang w:bidi="ar"/>
              </w:rPr>
              <w:t>二批)施</w:t>
            </w:r>
          </w:p>
          <w:p w14:paraId="004B32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rPr>
            </w:pPr>
            <w:r>
              <w:rPr>
                <w:rFonts w:hint="eastAsia" w:ascii="仿宋" w:hAnsi="仿宋" w:eastAsia="仿宋" w:cs="仿宋"/>
                <w:spacing w:val="0"/>
                <w:kern w:val="0"/>
                <w:position w:val="0"/>
                <w:sz w:val="24"/>
                <w:lang w:bidi="ar"/>
              </w:rPr>
              <w:t>工合同段</w:t>
            </w:r>
          </w:p>
        </w:tc>
        <w:tc>
          <w:tcPr>
            <w:tcW w:w="1952" w:type="dxa"/>
            <w:tcBorders>
              <w:top w:val="single" w:color="000000" w:sz="4" w:space="0"/>
              <w:left w:val="single" w:color="000000" w:sz="4" w:space="0"/>
              <w:bottom w:val="single" w:color="000000" w:sz="4" w:space="0"/>
              <w:right w:val="single" w:color="000000" w:sz="4" w:space="0"/>
            </w:tcBorders>
            <w:vAlign w:val="center"/>
          </w:tcPr>
          <w:p w14:paraId="09E41A1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pacing w:val="0"/>
                <w:position w:val="0"/>
                <w:sz w:val="24"/>
                <w:lang w:val="en-US" w:eastAsia="zh-CN"/>
              </w:rPr>
            </w:pPr>
            <w:r>
              <w:rPr>
                <w:rFonts w:hint="eastAsia" w:ascii="仿宋" w:hAnsi="仿宋" w:eastAsia="仿宋" w:cs="仿宋"/>
                <w:spacing w:val="0"/>
                <w:position w:val="0"/>
                <w:sz w:val="24"/>
                <w:lang w:val="en-US" w:eastAsia="zh-CN"/>
              </w:rPr>
              <w:t>15,157,508</w:t>
            </w:r>
          </w:p>
        </w:tc>
        <w:tc>
          <w:tcPr>
            <w:tcW w:w="1760" w:type="dxa"/>
            <w:tcBorders>
              <w:top w:val="single" w:color="000000" w:sz="4" w:space="0"/>
              <w:left w:val="single" w:color="000000" w:sz="4" w:space="0"/>
              <w:bottom w:val="single" w:color="000000" w:sz="4" w:space="0"/>
              <w:right w:val="single" w:color="000000" w:sz="4" w:space="0"/>
            </w:tcBorders>
            <w:vAlign w:val="center"/>
          </w:tcPr>
          <w:p w14:paraId="413C86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pacing w:val="0"/>
                <w:position w:val="0"/>
                <w:sz w:val="24"/>
                <w:lang w:eastAsia="zh-CN"/>
              </w:rPr>
            </w:pPr>
            <w:r>
              <w:rPr>
                <w:rFonts w:hint="eastAsia" w:ascii="仿宋" w:hAnsi="仿宋" w:eastAsia="仿宋" w:cs="仿宋"/>
                <w:spacing w:val="0"/>
                <w:kern w:val="0"/>
                <w:position w:val="0"/>
                <w:sz w:val="24"/>
                <w:lang w:val="en-US" w:eastAsia="zh-CN" w:bidi="ar"/>
              </w:rPr>
              <w:t>0</w:t>
            </w:r>
          </w:p>
        </w:tc>
        <w:tc>
          <w:tcPr>
            <w:tcW w:w="1887" w:type="dxa"/>
            <w:tcBorders>
              <w:top w:val="single" w:color="000000" w:sz="4" w:space="0"/>
              <w:left w:val="single" w:color="000000" w:sz="4" w:space="0"/>
              <w:bottom w:val="single" w:color="000000" w:sz="4" w:space="0"/>
              <w:right w:val="single" w:color="000000" w:sz="4" w:space="0"/>
            </w:tcBorders>
            <w:vAlign w:val="center"/>
          </w:tcPr>
          <w:p w14:paraId="43B2F92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pacing w:val="0"/>
                <w:position w:val="0"/>
                <w:sz w:val="24"/>
                <w:lang w:val="en-US" w:eastAsia="zh-CN"/>
              </w:rPr>
            </w:pPr>
            <w:r>
              <w:rPr>
                <w:rFonts w:hint="eastAsia" w:ascii="仿宋" w:hAnsi="仿宋" w:eastAsia="仿宋" w:cs="仿宋"/>
                <w:spacing w:val="0"/>
                <w:kern w:val="0"/>
                <w:position w:val="0"/>
                <w:sz w:val="24"/>
                <w:lang w:val="en-US" w:eastAsia="zh-CN" w:bidi="ar"/>
              </w:rPr>
              <w:t>757,875</w:t>
            </w:r>
          </w:p>
        </w:tc>
        <w:tc>
          <w:tcPr>
            <w:tcW w:w="2137" w:type="dxa"/>
            <w:tcBorders>
              <w:top w:val="single" w:color="000000" w:sz="4" w:space="0"/>
              <w:left w:val="single" w:color="000000" w:sz="4" w:space="0"/>
              <w:bottom w:val="single" w:color="000000" w:sz="4" w:space="0"/>
              <w:right w:val="single" w:color="000000" w:sz="4" w:space="0"/>
            </w:tcBorders>
            <w:vAlign w:val="center"/>
          </w:tcPr>
          <w:p w14:paraId="249AA83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pacing w:val="0"/>
                <w:kern w:val="0"/>
                <w:position w:val="0"/>
                <w:sz w:val="24"/>
                <w:lang w:val="en-US" w:eastAsia="zh-CN" w:bidi="ar"/>
              </w:rPr>
            </w:pPr>
            <w:r>
              <w:rPr>
                <w:rFonts w:hint="eastAsia" w:ascii="仿宋" w:hAnsi="仿宋" w:eastAsia="仿宋" w:cs="仿宋"/>
                <w:spacing w:val="0"/>
                <w:kern w:val="0"/>
                <w:position w:val="0"/>
                <w:sz w:val="24"/>
                <w:lang w:val="en-US" w:eastAsia="zh-CN" w:bidi="ar"/>
              </w:rPr>
              <w:t>15,915,383</w:t>
            </w:r>
          </w:p>
        </w:tc>
      </w:tr>
    </w:tbl>
    <w:p w14:paraId="1B2E06EF">
      <w:pPr>
        <w:pStyle w:val="3"/>
      </w:pPr>
      <w:bookmarkStart w:id="0" w:name="_GoBack"/>
      <w:bookmarkEnd w:id="0"/>
    </w:p>
    <w:sectPr>
      <w:headerReference r:id="rId5" w:type="default"/>
      <w:footerReference r:id="rId6" w:type="default"/>
      <w:pgSz w:w="11900" w:h="1684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CD2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463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E231F"/>
    <w:multiLevelType w:val="multilevel"/>
    <w:tmpl w:val="01FE231F"/>
    <w:lvl w:ilvl="0" w:tentative="0">
      <w:start w:val="1"/>
      <w:numFmt w:val="none"/>
      <w:suff w:val="space"/>
      <w:lvlText w:val=""/>
      <w:lvlJc w:val="left"/>
      <w:pPr>
        <w:ind w:left="0" w:firstLine="0"/>
      </w:pPr>
      <w:rPr>
        <w:rFonts w:hint="default" w:ascii="Times New Roman" w:hAnsi="Times New Roman" w:eastAsia="宋体"/>
        <w:b w:val="0"/>
        <w:i w:val="0"/>
        <w:caps w:val="0"/>
        <w:strike w:val="0"/>
        <w:dstrike w:val="0"/>
        <w:snapToGrid/>
        <w:vanish w:val="0"/>
        <w:color w:val="000000"/>
        <w:spacing w:val="0"/>
        <w:w w:val="100"/>
        <w:kern w:val="44"/>
        <w:position w:val="0"/>
        <w:sz w:val="32"/>
        <w:u w:val="none"/>
        <w:vertAlign w:val="baseline"/>
      </w:rPr>
    </w:lvl>
    <w:lvl w:ilvl="1" w:tentative="0">
      <w:start w:val="1"/>
      <w:numFmt w:val="none"/>
      <w:pStyle w:val="2"/>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32"/>
        <w:u w:val="none"/>
        <w:vertAlign w:val="baseline"/>
      </w:rPr>
    </w:lvl>
    <w:lvl w:ilvl="2"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32"/>
        <w:u w:val="none"/>
        <w:vertAlign w:val="baseline"/>
      </w:rPr>
    </w:lvl>
    <w:lvl w:ilvl="3" w:tentative="0">
      <w:start w:val="1"/>
      <w:numFmt w:val="none"/>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28"/>
        <w:u w:val="none"/>
        <w:vertAlign w:val="baseline"/>
      </w:rPr>
    </w:lvl>
    <w:lvl w:ilvl="4"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28"/>
        <w:u w:val="none"/>
        <w:vertAlign w:val="baseline"/>
      </w:rPr>
    </w:lvl>
    <w:lvl w:ilvl="5" w:tentative="0">
      <w:start w:val="1"/>
      <w:numFmt w:val="none"/>
      <w:suff w:val="space"/>
      <w:lvlText w:val=""/>
      <w:lvlJc w:val="left"/>
      <w:pPr>
        <w:ind w:left="0" w:firstLine="0"/>
      </w:pPr>
      <w:rPr>
        <w:rFonts w:hint="eastAsia" w:ascii="Arial" w:hAnsi="Arial" w:eastAsia="黑体"/>
        <w:b/>
        <w:i w:val="0"/>
        <w:caps w:val="0"/>
        <w:smallCaps w:val="0"/>
        <w:strike w:val="0"/>
        <w:dstrike w:val="0"/>
        <w:snapToGrid/>
        <w:vanish w:val="0"/>
        <w:color w:val="000000"/>
        <w:spacing w:val="0"/>
        <w:w w:val="100"/>
        <w:kern w:val="2"/>
        <w:position w:val="0"/>
        <w:sz w:val="24"/>
        <w:u w:val="none"/>
        <w:vertAlign w:val="baseline"/>
      </w:rPr>
    </w:lvl>
    <w:lvl w:ilvl="6"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snapToGrid/>
        <w:vanish w:val="0"/>
        <w:color w:val="000000"/>
        <w:spacing w:val="0"/>
        <w:w w:val="100"/>
        <w:kern w:val="2"/>
        <w:position w:val="0"/>
        <w:sz w:val="24"/>
        <w:u w:val="none"/>
        <w:vertAlign w:val="baseline"/>
      </w:rPr>
    </w:lvl>
    <w:lvl w:ilvl="7" w:tentative="0">
      <w:start w:val="1"/>
      <w:numFmt w:val="none"/>
      <w:suff w:val="space"/>
      <w:lvlText w:val=""/>
      <w:lvlJc w:val="left"/>
      <w:pPr>
        <w:ind w:left="0" w:firstLine="0"/>
      </w:pPr>
      <w:rPr>
        <w:rFonts w:hint="eastAsia" w:ascii="Arial" w:hAnsi="Arial" w:eastAsia="黑体"/>
        <w:b w:val="0"/>
        <w:i w:val="0"/>
        <w:caps w:val="0"/>
        <w:smallCaps w:val="0"/>
        <w:strike w:val="0"/>
        <w:dstrike w:val="0"/>
        <w:snapToGrid/>
        <w:vanish w:val="0"/>
        <w:color w:val="000000"/>
        <w:spacing w:val="0"/>
        <w:w w:val="100"/>
        <w:kern w:val="2"/>
        <w:position w:val="0"/>
        <w:sz w:val="24"/>
        <w:u w:val="none"/>
        <w:vertAlign w:val="baseline"/>
      </w:rPr>
    </w:lvl>
    <w:lvl w:ilvl="8" w:tentative="0">
      <w:start w:val="1"/>
      <w:numFmt w:val="none"/>
      <w:suff w:val="space"/>
      <w:lvlText w:val=""/>
      <w:lvlJc w:val="left"/>
      <w:pPr>
        <w:ind w:left="0" w:firstLine="0"/>
      </w:pPr>
      <w:rPr>
        <w:rFonts w:hint="eastAsia" w:ascii="Arial" w:hAnsi="Arial" w:eastAsia="黑体"/>
        <w:b w:val="0"/>
        <w:i w:val="0"/>
        <w:caps w:val="0"/>
        <w:smallCaps w:val="0"/>
        <w:strike w:val="0"/>
        <w:dstrike w:val="0"/>
        <w:snapToGrid/>
        <w:vanish w:val="0"/>
        <w:color w:val="000000"/>
        <w:spacing w:val="0"/>
        <w:w w:val="100"/>
        <w:kern w:val="2"/>
        <w:position w:val="0"/>
        <w:sz w:val="20"/>
        <w:u w:val="none"/>
        <w:vertAlign w:val="baseline"/>
      </w:rPr>
    </w:lvl>
  </w:abstractNum>
  <w:abstractNum w:abstractNumId="1">
    <w:nsid w:val="0D332DC2"/>
    <w:multiLevelType w:val="singleLevel"/>
    <w:tmpl w:val="0D332DC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Tk0YWIzNTQxMTBjYjZkZTY0MTdjODI4NTgwMmMwMWQifQ=="/>
  </w:docVars>
  <w:rsids>
    <w:rsidRoot w:val="00000000"/>
    <w:rsid w:val="00DA2C3E"/>
    <w:rsid w:val="04181F80"/>
    <w:rsid w:val="05290441"/>
    <w:rsid w:val="08D35E50"/>
    <w:rsid w:val="09EA0D9A"/>
    <w:rsid w:val="0A2E5C02"/>
    <w:rsid w:val="0D695EF3"/>
    <w:rsid w:val="12967DE2"/>
    <w:rsid w:val="17041331"/>
    <w:rsid w:val="1D6A2EBD"/>
    <w:rsid w:val="21FB1125"/>
    <w:rsid w:val="221C0482"/>
    <w:rsid w:val="23DE7570"/>
    <w:rsid w:val="268A615D"/>
    <w:rsid w:val="268D40D1"/>
    <w:rsid w:val="269E6FD6"/>
    <w:rsid w:val="37CE1144"/>
    <w:rsid w:val="407579AF"/>
    <w:rsid w:val="4A453B77"/>
    <w:rsid w:val="521C5405"/>
    <w:rsid w:val="53677C0E"/>
    <w:rsid w:val="55042E3A"/>
    <w:rsid w:val="5C217B52"/>
    <w:rsid w:val="65496D9D"/>
    <w:rsid w:val="68FE6780"/>
    <w:rsid w:val="69DC5070"/>
    <w:rsid w:val="6ABB1CE6"/>
    <w:rsid w:val="6BB97CE8"/>
    <w:rsid w:val="6D9A54E6"/>
    <w:rsid w:val="70400331"/>
    <w:rsid w:val="73723F66"/>
    <w:rsid w:val="741848F6"/>
    <w:rsid w:val="75BD56BD"/>
    <w:rsid w:val="76666B54"/>
    <w:rsid w:val="7B2B651D"/>
    <w:rsid w:val="7C567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numPr>
        <w:ilvl w:val="1"/>
        <w:numId w:val="1"/>
      </w:numPr>
      <w:spacing w:before="260" w:after="260" w:line="415" w:lineRule="auto"/>
      <w:outlineLvl w:val="1"/>
    </w:pPr>
    <w:rPr>
      <w:rFonts w:ascii="Arial" w:hAnsi="Arial"/>
      <w:bCs/>
      <w:color w:val="000000"/>
      <w:sz w:val="32"/>
      <w:szCs w:val="32"/>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rPr>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 w:type="character" w:customStyle="1" w:styleId="9">
    <w:name w:val="font11"/>
    <w:basedOn w:val="6"/>
    <w:qFormat/>
    <w:uiPriority w:val="0"/>
    <w:rPr>
      <w:rFonts w:hint="eastAsia" w:ascii="仿宋" w:hAnsi="仿宋" w:eastAsia="仿宋" w:cs="仿宋"/>
      <w:color w:val="333333"/>
      <w:sz w:val="24"/>
      <w:szCs w:val="24"/>
      <w:u w:val="none"/>
    </w:rPr>
  </w:style>
  <w:style w:type="paragraph" w:customStyle="1" w:styleId="10">
    <w:name w:val="报告正文"/>
    <w:basedOn w:val="1"/>
    <w:next w:val="1"/>
    <w:qFormat/>
    <w:uiPriority w:val="0"/>
    <w:pPr>
      <w:keepNext w:val="0"/>
      <w:keepLines w:val="0"/>
      <w:widowControl w:val="0"/>
      <w:suppressLineNumbers w:val="0"/>
      <w:autoSpaceDE w:val="0"/>
      <w:autoSpaceDN w:val="0"/>
      <w:spacing w:before="0" w:beforeAutospacing="0" w:after="0" w:afterAutospacing="0" w:line="360" w:lineRule="auto"/>
      <w:ind w:left="0" w:right="0" w:firstLine="200" w:firstLineChars="200"/>
      <w:jc w:val="left"/>
    </w:pPr>
    <w:rPr>
      <w:rFonts w:hint="eastAsia" w:ascii="宋体" w:hAnsi="宋体" w:eastAsia="宋体" w:cs="Times New Roman"/>
      <w:kern w:val="0"/>
      <w:position w:val="-14"/>
      <w:sz w:val="28"/>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2066</Words>
  <Characters>2358</Characters>
  <TotalTime>102</TotalTime>
  <ScaleCrop>false</ScaleCrop>
  <LinksUpToDate>false</LinksUpToDate>
  <CharactersWithSpaces>2377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2023-02-08T17:42:00Z</dcterms:created>
  <dc:creator>马召辉</dc:creator>
  <cp:lastModifiedBy>。</cp:lastModifiedBy>
  <dcterms:modified xsi:type="dcterms:W3CDTF">2025-02-24T06:46:59Z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2023-12-13T19:56:58Z</vt:filetime>
  </property>
  <property fmtid="{D5CDD505-2E9C-101B-9397-08002B2CF9AE}" pid="4" name="KSOProductBuildVer">
    <vt:lpwstr>2052-12.1.0.20305</vt:lpwstr>
  </property>
  <property fmtid="{D5CDD505-2E9C-101B-9397-08002B2CF9AE}" pid="5" name="ICV">
    <vt:lpwstr>40BB24D9CF134D5296E596866D50E97C_12</vt:lpwstr>
  </property>
  <property fmtid="{D5CDD505-2E9C-101B-9397-08002B2CF9AE}" pid="6" name="KSOTemplateDocerSaveRecord">
    <vt:lpwstr>eyJoZGlkIjoiMTk0YWIzNTQxMTBjYjZkZTY0MTdjODI4NTgwMmMwMWQiLCJ1c2VySWQiOiIyODQyNTE5NTMifQ==</vt:lpwstr>
  </property>
</Properties>
</file>