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jc w:val="center"/>
        <w:outlineLvl w:val="1"/>
        <w:rPr>
          <w:rFonts w:hint="eastAsia"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PSZXCG-2025-00057</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eastAsia"/>
                <w:sz w:val="30"/>
                <w:szCs w:val="30"/>
              </w:rPr>
              <w:t>深圳实验坪山学校饮水设备采购项目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8"/>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cols w:space="425" w:num="1"/>
          <w:titlePg/>
          <w:docGrid w:linePitch="462" w:charSpace="0"/>
        </w:sectPr>
      </w:pPr>
    </w:p>
    <w:p>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8"/>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hint="eastAsia"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rPr>
            </w:pPr>
            <w:r>
              <w:rPr>
                <w:rFonts w:hint="eastAsia" w:ascii="宋体" w:hAnsi="宋体" w:cs="宋体"/>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pPr>
            <w:r>
              <w:rPr>
                <w:rFonts w:hint="eastAsia"/>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rPr>
            </w:pPr>
            <w:r>
              <w:rPr>
                <w:rFonts w:hint="eastAsia" w:ascii="宋体" w:hAnsi="宋体" w:cs="宋体"/>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pPr>
            <w:r>
              <w:rPr>
                <w:rFonts w:hint="eastAsia"/>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Cs w:val="21"/>
              </w:rPr>
            </w:pPr>
            <w:r>
              <w:rPr>
                <w:b/>
                <w:bCs/>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ind w:firstLine="420"/>
              <w:rPr>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rPr>
                <w:szCs w:val="21"/>
              </w:rPr>
            </w:pPr>
          </w:p>
          <w:p>
            <w:pPr>
              <w:ind w:firstLine="420"/>
              <w:rPr>
                <w:szCs w:val="21"/>
              </w:rPr>
            </w:pPr>
            <w:r>
              <w:rPr>
                <w:szCs w:val="21"/>
              </w:rPr>
              <w:t>价格分计算方法：</w:t>
            </w:r>
          </w:p>
          <w:p>
            <w:pPr>
              <w:pStyle w:val="38"/>
              <w:widowControl/>
              <w:spacing w:beforeAutospacing="0" w:afterAutospacing="0"/>
              <w:ind w:left="420"/>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8"/>
              <w:widowControl/>
              <w:spacing w:beforeAutospacing="0" w:afterAutospacing="0"/>
              <w:ind w:left="420"/>
              <w:rPr>
                <w:kern w:val="2"/>
                <w:sz w:val="21"/>
                <w:szCs w:val="21"/>
              </w:rPr>
            </w:pPr>
            <w:r>
              <w:rPr>
                <w:kern w:val="2"/>
                <w:sz w:val="21"/>
                <w:szCs w:val="21"/>
              </w:rPr>
              <w:t xml:space="preserve">投标报价得分=(评标基准价／投标报价)×100 </w:t>
            </w:r>
          </w:p>
          <w:p>
            <w:pPr>
              <w:pStyle w:val="38"/>
              <w:widowControl/>
              <w:spacing w:beforeAutospacing="0" w:afterAutospacing="0"/>
              <w:ind w:left="420"/>
              <w:rPr>
                <w:kern w:val="2"/>
                <w:sz w:val="21"/>
                <w:szCs w:val="21"/>
              </w:rPr>
            </w:pPr>
            <w:r>
              <w:rPr>
                <w:kern w:val="2"/>
                <w:sz w:val="21"/>
                <w:szCs w:val="21"/>
              </w:rPr>
              <w:t xml:space="preserve">评标总得分＝F1×A1＋F2×A2＋……＋Fn×An </w:t>
            </w:r>
          </w:p>
          <w:p>
            <w:pPr>
              <w:pStyle w:val="38"/>
              <w:widowControl/>
              <w:spacing w:beforeAutospacing="0" w:afterAutospacing="0"/>
              <w:ind w:left="420"/>
              <w:rPr>
                <w:kern w:val="2"/>
                <w:sz w:val="21"/>
                <w:szCs w:val="21"/>
              </w:rPr>
            </w:pPr>
            <w:r>
              <w:rPr>
                <w:kern w:val="2"/>
                <w:sz w:val="21"/>
                <w:szCs w:val="21"/>
              </w:rPr>
              <w:t xml:space="preserve">F1、F2……Fn分别为各项评审因素的得分； </w:t>
            </w:r>
          </w:p>
          <w:p>
            <w:pPr>
              <w:pStyle w:val="38"/>
              <w:widowControl/>
              <w:spacing w:beforeAutospacing="0" w:afterAutospacing="0"/>
              <w:ind w:left="420"/>
              <w:rPr>
                <w:kern w:val="2"/>
                <w:sz w:val="21"/>
                <w:szCs w:val="21"/>
              </w:rPr>
            </w:pPr>
            <w:r>
              <w:rPr>
                <w:kern w:val="2"/>
                <w:sz w:val="21"/>
                <w:szCs w:val="21"/>
              </w:rPr>
              <w:t xml:space="preserve">A1、A2、……An 分别为各项评审因素所占的权重(A1＋A2＋……＋An＝1)。 </w:t>
            </w:r>
          </w:p>
          <w:p>
            <w:pPr>
              <w:pStyle w:val="38"/>
              <w:widowControl/>
              <w:spacing w:beforeAutospacing="0" w:afterAutospacing="0"/>
              <w:ind w:left="420"/>
              <w:rPr>
                <w:kern w:val="2"/>
                <w:sz w:val="21"/>
                <w:szCs w:val="21"/>
              </w:rPr>
            </w:pPr>
            <w:r>
              <w:rPr>
                <w:kern w:val="2"/>
                <w:sz w:val="21"/>
                <w:szCs w:val="21"/>
              </w:rPr>
              <w:t>评标过程中，不得去掉报价中的最高报价和最低报价。</w:t>
            </w:r>
          </w:p>
          <w:p>
            <w:pPr>
              <w:pStyle w:val="38"/>
              <w:widowControl/>
              <w:spacing w:beforeAutospacing="0" w:afterAutospacing="0"/>
              <w:ind w:left="420"/>
              <w:rPr>
                <w:kern w:val="2"/>
                <w:sz w:val="21"/>
                <w:szCs w:val="21"/>
              </w:rPr>
            </w:pPr>
            <w:r>
              <w:rPr>
                <w:rFonts w:hint="eastAsia"/>
                <w:kern w:val="2"/>
                <w:sz w:val="21"/>
                <w:szCs w:val="21"/>
              </w:rPr>
              <w:t>因落实政府采购政策进行价格调整的，以调整后的价格计算评标基准价和投标报价。</w:t>
            </w:r>
          </w:p>
          <w:p>
            <w:pPr>
              <w:pStyle w:val="38"/>
              <w:widowControl/>
              <w:spacing w:beforeAutospacing="0" w:afterAutospacing="0"/>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bookmarkStart w:id="2" w:name="_Hlk72360569"/>
            <w:r>
              <w:rPr>
                <w:rFonts w:ascii="宋体" w:hAnsi="宋体" w:cs="宋体"/>
                <w:b/>
                <w:bCs/>
                <w:kern w:val="0"/>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r>
              <w:rPr>
                <w:rFonts w:ascii="宋体" w:hAnsi="宋体" w:cs="宋体"/>
                <w:b/>
                <w:bCs/>
                <w:kern w:val="0"/>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r>
              <w:rPr>
                <w:rFonts w:ascii="宋体" w:hAnsi="宋体" w:cs="宋体"/>
                <w:b/>
                <w:bCs/>
                <w:kern w:val="0"/>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hint="eastAsia"/>
                <w:b/>
                <w:bCs/>
                <w:color w:val="0000FF"/>
                <w:szCs w:val="21"/>
              </w:rPr>
              <w:t>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所投产品▲参数响应情况评价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35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szCs w:val="21"/>
              </w:rPr>
            </w:pPr>
            <w:r>
              <w:rPr>
                <w:rFonts w:hint="eastAsia"/>
                <w:szCs w:val="21"/>
              </w:rPr>
              <w:t>（一）评分内容：</w:t>
            </w:r>
          </w:p>
          <w:p>
            <w:pPr>
              <w:widowControl/>
              <w:wordWrap w:val="0"/>
              <w:jc w:val="left"/>
              <w:textAlignment w:val="top"/>
              <w:rPr>
                <w:szCs w:val="21"/>
              </w:rPr>
            </w:pPr>
            <w:r>
              <w:rPr>
                <w:rFonts w:hint="eastAsia"/>
                <w:szCs w:val="21"/>
              </w:rPr>
              <w:t>所投产品▲符号技术参数响应情况，全部满足得100分；有负偏离的，每负偏离一条扣10分，扣完为止。</w:t>
            </w:r>
          </w:p>
          <w:p>
            <w:pPr>
              <w:widowControl/>
              <w:wordWrap w:val="0"/>
              <w:jc w:val="left"/>
              <w:textAlignment w:val="top"/>
              <w:rPr>
                <w:szCs w:val="21"/>
              </w:rPr>
            </w:pPr>
            <w:r>
              <w:rPr>
                <w:rFonts w:hint="eastAsia"/>
                <w:szCs w:val="21"/>
              </w:rPr>
              <w:t>（二）评分依据：</w:t>
            </w:r>
          </w:p>
          <w:p>
            <w:pPr>
              <w:widowControl/>
              <w:wordWrap w:val="0"/>
              <w:jc w:val="left"/>
              <w:textAlignment w:val="top"/>
              <w:rPr>
                <w:szCs w:val="21"/>
              </w:rPr>
            </w:pPr>
            <w:r>
              <w:rPr>
                <w:rFonts w:hint="eastAsia"/>
                <w:szCs w:val="21"/>
              </w:rPr>
              <w:t>提供《技术要求偏离表》，</w:t>
            </w:r>
            <w:r>
              <w:rPr>
                <w:rFonts w:hint="eastAsia" w:ascii="宋体" w:hAnsi="宋体" w:cs="宋体"/>
                <w:szCs w:val="21"/>
              </w:rPr>
              <w:t>如有要求提供证明资料的</w:t>
            </w:r>
            <w:r>
              <w:rPr>
                <w:rFonts w:hint="eastAsia"/>
                <w:szCs w:val="21"/>
              </w:rPr>
              <w:t>按照招标文件的要求提供相关证明资料。投标人未提供相关证明材料或者提供的证明材料不符合要求的或提供的证明材料不清晰评审专家无法辨认的，该项参数按照负偏离处理，扣除相应分值。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kern w:val="0"/>
                <w:szCs w:val="21"/>
                <w:lang w:bidi="ar"/>
              </w:rPr>
            </w:pPr>
            <w:r>
              <w:rPr>
                <w:rFonts w:hint="eastAsia" w:ascii="宋体" w:hAnsi="宋体" w:cs="宋体"/>
                <w:kern w:val="0"/>
                <w:szCs w:val="21"/>
                <w:lang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szCs w:val="21"/>
              </w:rPr>
            </w:pPr>
            <w:r>
              <w:rPr>
                <w:rFonts w:hint="eastAsia"/>
                <w:szCs w:val="21"/>
              </w:rPr>
              <w:t>（一）评分内容：</w:t>
            </w:r>
          </w:p>
          <w:p>
            <w:pPr>
              <w:widowControl/>
              <w:wordWrap w:val="0"/>
              <w:jc w:val="left"/>
              <w:textAlignment w:val="top"/>
              <w:rPr>
                <w:szCs w:val="21"/>
              </w:rPr>
            </w:pPr>
            <w:r>
              <w:rPr>
                <w:rFonts w:hint="eastAsia"/>
                <w:szCs w:val="21"/>
              </w:rPr>
              <w:t>所投产品一般技术参数响应情况，全部满足得100分；有负偏离的，每负偏离一条扣1.5分，扣完为止。</w:t>
            </w:r>
          </w:p>
          <w:p>
            <w:pPr>
              <w:widowControl/>
              <w:wordWrap w:val="0"/>
              <w:jc w:val="left"/>
              <w:textAlignment w:val="top"/>
              <w:rPr>
                <w:szCs w:val="21"/>
              </w:rPr>
            </w:pPr>
            <w:r>
              <w:rPr>
                <w:rFonts w:hint="eastAsia"/>
                <w:szCs w:val="21"/>
              </w:rPr>
              <w:t>（二）评分依据：</w:t>
            </w:r>
          </w:p>
          <w:p>
            <w:pPr>
              <w:widowControl/>
              <w:wordWrap w:val="0"/>
              <w:jc w:val="left"/>
              <w:textAlignment w:val="top"/>
              <w:rPr>
                <w:szCs w:val="21"/>
              </w:rPr>
            </w:pPr>
            <w:r>
              <w:rPr>
                <w:rFonts w:hint="eastAsia"/>
                <w:szCs w:val="21"/>
              </w:rPr>
              <w:t>提供《技术要求偏离表》，</w:t>
            </w:r>
            <w:r>
              <w:rPr>
                <w:rFonts w:hint="eastAsia" w:ascii="宋体" w:hAnsi="宋体" w:cs="宋体"/>
                <w:szCs w:val="21"/>
              </w:rPr>
              <w:t>如有要求提供证明资料的</w:t>
            </w:r>
            <w:r>
              <w:rPr>
                <w:rFonts w:hint="eastAsia"/>
                <w:szCs w:val="21"/>
              </w:rPr>
              <w:t>按照招标文件的要求提供相关证明资料。投标人未提供相关证明材料或者提供的证明材料不符合要求的或提供的证明材料不清晰评审专家无法辨认的，该项参数按照负偏离处理，扣除相应分值。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1491"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kern w:val="0"/>
                <w:szCs w:val="21"/>
                <w:lang w:bidi="ar"/>
              </w:rPr>
            </w:pPr>
            <w:r>
              <w:rPr>
                <w:rFonts w:hint="eastAsia" w:ascii="宋体" w:hAnsi="宋体" w:cs="宋体"/>
                <w:kern w:val="0"/>
                <w:szCs w:val="21"/>
                <w:lang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szCs w:val="21"/>
              </w:rPr>
              <w:t>产品演示</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szCs w:val="21"/>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widowControl/>
              <w:wordWrap w:val="0"/>
              <w:jc w:val="left"/>
              <w:textAlignment w:val="top"/>
              <w:rPr>
                <w:szCs w:val="21"/>
              </w:rPr>
            </w:pPr>
            <w:r>
              <w:rPr>
                <w:rFonts w:hint="eastAsia"/>
                <w:szCs w:val="21"/>
              </w:rPr>
              <w:t>（一）评分内容：</w:t>
            </w:r>
          </w:p>
          <w:p>
            <w:r>
              <w:rPr>
                <w:rFonts w:hint="eastAsia" w:ascii="宋体" w:hAnsi="宋体" w:cs="仿宋_GB2312"/>
                <w:b/>
                <w:szCs w:val="21"/>
              </w:rPr>
              <w:t>演示项目、演示形式要求、演示具体内容要求</w:t>
            </w:r>
            <w:r>
              <w:rPr>
                <w:rFonts w:hint="eastAsia"/>
              </w:rPr>
              <w:t>见招标文件“演示要求”。</w:t>
            </w:r>
          </w:p>
          <w:p>
            <w:r>
              <w:rPr>
                <w:rFonts w:hint="eastAsia"/>
                <w:szCs w:val="21"/>
              </w:rPr>
              <w:t>演示具体内容要求满足5项的得100分，满足任意4项的得80分，满足任意3项的得60分，满足任意2项的得40分，满足任意1项的得20分，不满足的得0分。</w:t>
            </w:r>
          </w:p>
          <w:p>
            <w:pPr>
              <w:widowControl/>
              <w:wordWrap w:val="0"/>
              <w:jc w:val="left"/>
              <w:textAlignment w:val="top"/>
              <w:rPr>
                <w:szCs w:val="21"/>
              </w:rPr>
            </w:pPr>
            <w:r>
              <w:rPr>
                <w:rFonts w:hint="eastAsia"/>
                <w:szCs w:val="21"/>
              </w:rPr>
              <w:t>（二）评分依据：</w:t>
            </w:r>
          </w:p>
          <w:p>
            <w:pPr>
              <w:rPr>
                <w:rFonts w:hint="eastAsia" w:ascii="宋体" w:hAnsi="宋体" w:cs="宋体"/>
                <w:szCs w:val="21"/>
              </w:rPr>
            </w:pPr>
            <w:r>
              <w:rPr>
                <w:rFonts w:hint="eastAsia"/>
                <w:szCs w:val="21"/>
              </w:rPr>
              <w:t>根据设备演示情况进行评审。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kern w:val="0"/>
                <w:szCs w:val="21"/>
                <w:lang w:bidi="ar"/>
              </w:rPr>
            </w:pPr>
            <w:r>
              <w:rPr>
                <w:rFonts w:hint="eastAsia" w:ascii="宋体" w:hAnsi="宋体" w:cs="宋体"/>
                <w:kern w:val="0"/>
                <w:szCs w:val="21"/>
                <w:lang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szCs w:val="21"/>
              </w:rPr>
              <w:t>项目实施方案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szCs w:val="21"/>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widowControl/>
              <w:wordWrap w:val="0"/>
              <w:jc w:val="left"/>
              <w:textAlignment w:val="top"/>
              <w:rPr>
                <w:szCs w:val="21"/>
              </w:rPr>
            </w:pPr>
            <w:r>
              <w:rPr>
                <w:rFonts w:hint="eastAsia"/>
                <w:szCs w:val="21"/>
              </w:rPr>
              <w:t>（一）评分内容：</w:t>
            </w:r>
          </w:p>
          <w:p>
            <w:pPr>
              <w:autoSpaceDE w:val="0"/>
              <w:autoSpaceDN w:val="0"/>
              <w:adjustRightInd w:val="0"/>
              <w:jc w:val="left"/>
              <w:rPr>
                <w:rFonts w:hint="eastAsia" w:ascii="宋体" w:hAnsi="宋体" w:cs="宋体"/>
                <w:szCs w:val="21"/>
              </w:rPr>
            </w:pPr>
            <w:r>
              <w:rPr>
                <w:rFonts w:hint="eastAsia" w:ascii="宋体" w:hAnsi="宋体" w:cs="宋体"/>
                <w:szCs w:val="21"/>
              </w:rPr>
              <w:t>投标人提供项目实施方案，内容包括但不限于以下内容：</w:t>
            </w:r>
          </w:p>
          <w:p>
            <w:pPr>
              <w:autoSpaceDE w:val="0"/>
              <w:autoSpaceDN w:val="0"/>
              <w:adjustRightInd w:val="0"/>
              <w:jc w:val="left"/>
              <w:rPr>
                <w:rFonts w:hint="eastAsia" w:ascii="宋体" w:hAnsi="宋体" w:cs="宋体"/>
                <w:bCs/>
                <w:color w:val="000000"/>
                <w:szCs w:val="21"/>
              </w:rPr>
            </w:pPr>
            <w:r>
              <w:rPr>
                <w:rFonts w:hint="eastAsia" w:ascii="宋体" w:hAnsi="宋体" w:cs="宋体"/>
                <w:bCs/>
                <w:color w:val="000000"/>
                <w:szCs w:val="21"/>
              </w:rPr>
              <w:t>1、项目实施方案；</w:t>
            </w:r>
          </w:p>
          <w:p>
            <w:pPr>
              <w:autoSpaceDE w:val="0"/>
              <w:autoSpaceDN w:val="0"/>
              <w:adjustRightInd w:val="0"/>
              <w:jc w:val="left"/>
              <w:rPr>
                <w:rFonts w:hint="eastAsia" w:ascii="宋体" w:hAnsi="宋体" w:cs="宋体"/>
                <w:bCs/>
                <w:color w:val="000000"/>
                <w:szCs w:val="21"/>
              </w:rPr>
            </w:pPr>
            <w:r>
              <w:rPr>
                <w:rFonts w:hint="eastAsia" w:ascii="宋体" w:hAnsi="宋体" w:cs="宋体"/>
                <w:bCs/>
                <w:color w:val="000000"/>
                <w:szCs w:val="21"/>
              </w:rPr>
              <w:t>2、施工安全保障措施；</w:t>
            </w:r>
          </w:p>
          <w:p>
            <w:pPr>
              <w:autoSpaceDE w:val="0"/>
              <w:autoSpaceDN w:val="0"/>
              <w:adjustRightInd w:val="0"/>
              <w:jc w:val="left"/>
              <w:rPr>
                <w:rFonts w:hint="eastAsia" w:ascii="宋体" w:hAnsi="宋体" w:cs="宋体"/>
                <w:bCs/>
                <w:color w:val="000000"/>
                <w:szCs w:val="21"/>
              </w:rPr>
            </w:pPr>
            <w:r>
              <w:rPr>
                <w:rFonts w:hint="eastAsia" w:ascii="宋体" w:hAnsi="宋体" w:cs="宋体"/>
                <w:bCs/>
                <w:color w:val="000000"/>
                <w:szCs w:val="21"/>
              </w:rPr>
              <w:t>3、质量保障措施；</w:t>
            </w:r>
          </w:p>
          <w:p>
            <w:pPr>
              <w:autoSpaceDE w:val="0"/>
              <w:autoSpaceDN w:val="0"/>
              <w:adjustRightInd w:val="0"/>
              <w:jc w:val="left"/>
              <w:rPr>
                <w:rFonts w:hint="eastAsia" w:ascii="宋体" w:hAnsi="宋体" w:cs="宋体"/>
                <w:bCs/>
                <w:color w:val="000000"/>
                <w:szCs w:val="21"/>
              </w:rPr>
            </w:pPr>
            <w:r>
              <w:rPr>
                <w:rFonts w:hint="eastAsia" w:ascii="宋体" w:hAnsi="宋体" w:cs="宋体"/>
                <w:bCs/>
                <w:color w:val="000000"/>
                <w:szCs w:val="21"/>
              </w:rPr>
              <w:t>4、工期保证与进度安排。</w:t>
            </w:r>
          </w:p>
          <w:p>
            <w:pPr>
              <w:widowControl/>
              <w:wordWrap w:val="0"/>
              <w:jc w:val="left"/>
              <w:textAlignment w:val="top"/>
              <w:rPr>
                <w:szCs w:val="21"/>
              </w:rPr>
            </w:pPr>
            <w:r>
              <w:rPr>
                <w:rFonts w:hint="eastAsia"/>
                <w:szCs w:val="21"/>
              </w:rPr>
              <w:t>（二）评分依据：</w:t>
            </w:r>
          </w:p>
          <w:p>
            <w:pPr>
              <w:autoSpaceDE w:val="0"/>
              <w:autoSpaceDN w:val="0"/>
              <w:adjustRightInd w:val="0"/>
              <w:jc w:val="left"/>
              <w:rPr>
                <w:rFonts w:hint="eastAsia" w:ascii="宋体" w:hAnsi="宋体" w:cs="宋体"/>
                <w:szCs w:val="21"/>
              </w:rPr>
            </w:pPr>
            <w:r>
              <w:rPr>
                <w:rFonts w:hint="eastAsia" w:ascii="宋体" w:hAnsi="宋体" w:cs="宋体"/>
                <w:szCs w:val="21"/>
              </w:rPr>
              <w:t>1、满足以上四点得40分；满足以上任意三点得20分；满足以上任意二点得10分；只满足以上任意一点或不提供的不得分。</w:t>
            </w:r>
          </w:p>
          <w:p>
            <w:pPr>
              <w:autoSpaceDE w:val="0"/>
              <w:autoSpaceDN w:val="0"/>
              <w:adjustRightInd w:val="0"/>
              <w:jc w:val="left"/>
              <w:rPr>
                <w:rFonts w:hint="eastAsia" w:ascii="宋体" w:hAnsi="宋体" w:cs="宋体"/>
                <w:szCs w:val="21"/>
              </w:rPr>
            </w:pPr>
            <w:r>
              <w:rPr>
                <w:rFonts w:hint="eastAsia" w:ascii="宋体" w:hAnsi="宋体" w:cs="宋体"/>
                <w:szCs w:val="21"/>
              </w:rPr>
              <w:t>2、在此基础上，根据各供应商的具体响应内容按照量化的评审因素指标进一步评审：</w:t>
            </w:r>
          </w:p>
          <w:p>
            <w:pPr>
              <w:autoSpaceDE w:val="0"/>
              <w:autoSpaceDN w:val="0"/>
              <w:adjustRightInd w:val="0"/>
              <w:jc w:val="left"/>
              <w:rPr>
                <w:rFonts w:hint="eastAsia" w:ascii="宋体" w:hAnsi="宋体" w:cs="宋体"/>
                <w:szCs w:val="21"/>
              </w:rPr>
            </w:pPr>
            <w:r>
              <w:rPr>
                <w:rFonts w:hint="eastAsia" w:ascii="宋体" w:hAnsi="宋体" w:cs="宋体"/>
                <w:szCs w:val="21"/>
              </w:rPr>
              <w:t>(1)内容非常全面具体、非常科学合理、针对性和可操作性非常强的，评价为优加60分；</w:t>
            </w:r>
          </w:p>
          <w:p>
            <w:pPr>
              <w:autoSpaceDE w:val="0"/>
              <w:autoSpaceDN w:val="0"/>
              <w:adjustRightInd w:val="0"/>
              <w:jc w:val="left"/>
              <w:rPr>
                <w:rFonts w:hint="eastAsia" w:ascii="宋体" w:hAnsi="宋体" w:cs="宋体"/>
                <w:szCs w:val="21"/>
              </w:rPr>
            </w:pPr>
            <w:r>
              <w:rPr>
                <w:rFonts w:hint="eastAsia" w:ascii="宋体" w:hAnsi="宋体" w:cs="宋体"/>
                <w:szCs w:val="21"/>
              </w:rPr>
              <w:t>(2)内容较具体、较科学合理、针对性和可操作性较强的，评价为良加20分；</w:t>
            </w:r>
          </w:p>
          <w:p>
            <w:pPr>
              <w:autoSpaceDE w:val="0"/>
              <w:autoSpaceDN w:val="0"/>
              <w:adjustRightInd w:val="0"/>
              <w:jc w:val="left"/>
              <w:rPr>
                <w:rFonts w:hint="eastAsia" w:ascii="宋体" w:hAnsi="宋体" w:cs="宋体"/>
                <w:szCs w:val="21"/>
              </w:rPr>
            </w:pPr>
            <w:r>
              <w:rPr>
                <w:rFonts w:hint="eastAsia" w:ascii="宋体" w:hAnsi="宋体" w:cs="宋体"/>
                <w:szCs w:val="21"/>
              </w:rPr>
              <w:t>(3)内容一般、科学合理性一般、针对性和可操作性一般的，评价为中加10分。</w:t>
            </w:r>
          </w:p>
          <w:p>
            <w:pPr>
              <w:autoSpaceDE w:val="0"/>
              <w:autoSpaceDN w:val="0"/>
              <w:adjustRightInd w:val="0"/>
              <w:jc w:val="left"/>
              <w:rPr>
                <w:rFonts w:hint="eastAsia" w:ascii="宋体" w:hAnsi="宋体" w:cs="宋体"/>
                <w:szCs w:val="21"/>
              </w:rPr>
            </w:pPr>
            <w:r>
              <w:rPr>
                <w:rFonts w:hint="eastAsia" w:ascii="宋体" w:hAnsi="宋体" w:cs="宋体"/>
                <w:szCs w:val="21"/>
              </w:rPr>
              <w:t>(4)方案内容不符合招标文件要求或未提供的，评价为差不加分。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kern w:val="0"/>
                <w:szCs w:val="21"/>
                <w:lang w:bidi="ar"/>
              </w:rPr>
            </w:pPr>
            <w:r>
              <w:rPr>
                <w:rFonts w:hint="eastAsia" w:ascii="宋体" w:hAnsi="宋体" w:cs="宋体"/>
                <w:kern w:val="0"/>
                <w:szCs w:val="21"/>
                <w:lang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kern w:val="0"/>
                <w:szCs w:val="21"/>
              </w:rPr>
              <w:t>售后服务方案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Cs w:val="21"/>
              </w:rPr>
            </w:pPr>
            <w:r>
              <w:rPr>
                <w:rFonts w:hint="eastAsia" w:ascii="宋体" w:hAnsi="宋体" w:cs="宋体"/>
                <w:szCs w:val="21"/>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szCs w:val="21"/>
              </w:rPr>
            </w:pPr>
            <w:r>
              <w:rPr>
                <w:rFonts w:hint="eastAsia"/>
                <w:szCs w:val="21"/>
              </w:rPr>
              <w:t>（一）评分内容：</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投标人提供售后服务方案，内容包括但不限于以下内容：</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1、售后服务人员配备；</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2、维修服务承诺；</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3、应急处理方式；</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4、培训方案。</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（二）评分依据：</w:t>
            </w:r>
          </w:p>
          <w:p>
            <w:pPr>
              <w:autoSpaceDE w:val="0"/>
              <w:autoSpaceDN w:val="0"/>
              <w:adjustRightInd w:val="0"/>
              <w:jc w:val="left"/>
              <w:rPr>
                <w:rFonts w:hint="eastAsia" w:ascii="宋体" w:hAnsi="宋体" w:cs="宋体"/>
                <w:szCs w:val="21"/>
              </w:rPr>
            </w:pPr>
            <w:r>
              <w:rPr>
                <w:rFonts w:hint="eastAsia" w:ascii="宋体" w:hAnsi="宋体" w:cs="宋体"/>
                <w:szCs w:val="21"/>
              </w:rPr>
              <w:t>1、满足以上四点得40分；满足以上任意三点得20分；满足以上任意二点得10分；只满足以上任意一点或不提供的不得分。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2、在此基础上，根据各供应商的具体响应内容按照量化的评审因素指标进一步评审：</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（1）内容非常全面具体、科学性、合理性、针对性、可操作性非常强的，评价为优加60分；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（2）内容比较全面具体、科学性、合理性、针对性、可操作性比较强的，评价为良加20分；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（3）内容不尽全面具体、科学性、合理性、针对性、可操作性一般的，评价为中加10分；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（4）内容不全、科学性、合理性、针对性、可操作性较差或未提供的评价为差不加分。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ascii="宋体" w:hAnsi="宋体" w:cs="宋体"/>
                <w:b/>
                <w:bCs/>
                <w:color w:val="0000FF"/>
                <w:kern w:val="0"/>
                <w:szCs w:val="21"/>
                <w:lang w:bidi="ar"/>
              </w:rPr>
              <w:t>商务</w:t>
            </w:r>
            <w:r>
              <w:rPr>
                <w:rFonts w:hint="eastAsia" w:ascii="宋体" w:hAnsi="宋体" w:cs="宋体"/>
                <w:b/>
                <w:bCs/>
                <w:color w:val="0000FF"/>
                <w:kern w:val="0"/>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hint="eastAsia"/>
                <w:b/>
                <w:bCs/>
                <w:color w:val="0000FF"/>
                <w:szCs w:val="21"/>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 w:val="24"/>
              </w:rPr>
            </w:pPr>
            <w:r>
              <w:rPr>
                <w:rFonts w:hint="eastAsia" w:ascii="宋体" w:hAnsi="宋体" w:cs="宋体"/>
                <w:sz w:val="24"/>
              </w:rPr>
              <w:t>体系认证</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cs="宋体"/>
                <w:sz w:val="24"/>
              </w:rPr>
            </w:pPr>
            <w:r>
              <w:rPr>
                <w:rFonts w:hint="eastAsia" w:ascii="宋体" w:hAnsi="宋体" w:cs="宋体"/>
                <w:sz w:val="24"/>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（一）评审内容：</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1.投标人或投标产品制造商具有在有效期内的能源管理体系认证证书，且认证范围包含但不限于饮水机，满足此小项的得50分；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2、投标人或投标产品制造商具有在有效期内的知识产权管理体系认证证书，且认证范围包含但不限于饮水机，满足此小项的得50分；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（二）评审依据：</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1、提供认证证书作为得分依据；如投标人距本项目开标之日的注册成立时间不足3个月，且未取得以上认证证书的，可提供承诺函【格式自拟，至少包含中标（成交）后4个月内取得评审因素相关认的证证书等内容】。评审委员会根据承诺内容中的认证证书情况评分。</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2、认证证书需同时提供在全国认证认可信息公共服务平台（认e云）查询截图且显示有效（http://cx.cnca.cn）及编号一致；</w:t>
            </w:r>
          </w:p>
          <w:p>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3、以上资料原件备查。评分中出现无证明资料或专家无法凭所提供资料判断是否得分的情况，一律作不得分处理。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vMerge w:val="continue"/>
            <w:tcBorders>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szCs w:val="21"/>
              </w:rPr>
            </w:pPr>
            <w:r>
              <w:rPr>
                <w:rFonts w:hint="eastAsia"/>
                <w:szCs w:val="21"/>
              </w:rPr>
              <w:t>安全保险情况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szCs w:val="21"/>
              </w:rPr>
            </w:pPr>
            <w:r>
              <w:rPr>
                <w:rFonts w:hint="eastAsia"/>
                <w:szCs w:val="21"/>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rPr>
                <w:szCs w:val="21"/>
              </w:rPr>
            </w:pPr>
            <w:r>
              <w:rPr>
                <w:rFonts w:hint="eastAsia"/>
                <w:b/>
                <w:bCs/>
                <w:szCs w:val="21"/>
              </w:rPr>
              <w:t>（一）评审内容：</w:t>
            </w:r>
          </w:p>
          <w:p>
            <w:pPr>
              <w:rPr>
                <w:szCs w:val="21"/>
              </w:rPr>
            </w:pPr>
            <w:r>
              <w:rPr>
                <w:rFonts w:hint="eastAsia"/>
                <w:szCs w:val="21"/>
              </w:rPr>
              <w:t>1.提供投标人或所投产品品牌制造商购买的在有效期内的产品责任保险（人民币）：</w:t>
            </w:r>
          </w:p>
          <w:p>
            <w:pPr>
              <w:rPr>
                <w:szCs w:val="21"/>
              </w:rPr>
            </w:pPr>
            <w:r>
              <w:rPr>
                <w:rFonts w:hint="eastAsia"/>
                <w:szCs w:val="21"/>
              </w:rPr>
              <w:t>（1）总保额≥5000万的，得50分,</w:t>
            </w:r>
          </w:p>
          <w:p>
            <w:pPr>
              <w:rPr>
                <w:szCs w:val="21"/>
              </w:rPr>
            </w:pPr>
            <w:r>
              <w:rPr>
                <w:rFonts w:hint="eastAsia"/>
                <w:szCs w:val="21"/>
              </w:rPr>
              <w:t>（2）3000万≤总保额＜5000万的，得20分；</w:t>
            </w:r>
          </w:p>
          <w:p>
            <w:pPr>
              <w:rPr>
                <w:szCs w:val="21"/>
              </w:rPr>
            </w:pPr>
            <w:r>
              <w:rPr>
                <w:rFonts w:hint="eastAsia"/>
                <w:szCs w:val="21"/>
              </w:rPr>
              <w:t>（3）1000万≤总保额＜3000万的，得10分</w:t>
            </w:r>
          </w:p>
          <w:p>
            <w:pPr>
              <w:rPr>
                <w:szCs w:val="21"/>
              </w:rPr>
            </w:pPr>
            <w:r>
              <w:rPr>
                <w:rFonts w:hint="eastAsia"/>
                <w:szCs w:val="21"/>
              </w:rPr>
              <w:t>（4）总保额＜1000万的，不得分。</w:t>
            </w:r>
          </w:p>
          <w:p>
            <w:pPr>
              <w:rPr>
                <w:szCs w:val="21"/>
              </w:rPr>
            </w:pPr>
            <w:r>
              <w:rPr>
                <w:rFonts w:hint="eastAsia"/>
                <w:szCs w:val="21"/>
              </w:rPr>
              <w:t>2.提供投标人或所投产品品牌制造商购买的在有效期内的公众责任险（人民币）：</w:t>
            </w:r>
          </w:p>
          <w:p>
            <w:pPr>
              <w:rPr>
                <w:szCs w:val="21"/>
              </w:rPr>
            </w:pPr>
            <w:r>
              <w:rPr>
                <w:rFonts w:hint="eastAsia"/>
                <w:szCs w:val="21"/>
              </w:rPr>
              <w:t>（1）总保额≥1000万的，得50分,</w:t>
            </w:r>
          </w:p>
          <w:p>
            <w:pPr>
              <w:rPr>
                <w:szCs w:val="21"/>
              </w:rPr>
            </w:pPr>
            <w:r>
              <w:rPr>
                <w:rFonts w:hint="eastAsia"/>
                <w:szCs w:val="21"/>
              </w:rPr>
              <w:t>（2）500万≤总保额＜1000万的，得20分；</w:t>
            </w:r>
          </w:p>
          <w:p>
            <w:pPr>
              <w:rPr>
                <w:szCs w:val="21"/>
              </w:rPr>
            </w:pPr>
            <w:r>
              <w:rPr>
                <w:rFonts w:hint="eastAsia"/>
                <w:szCs w:val="21"/>
              </w:rPr>
              <w:t>（3）200万≤总保额＜500万的，得10分；</w:t>
            </w:r>
          </w:p>
          <w:p>
            <w:pPr>
              <w:rPr>
                <w:szCs w:val="21"/>
              </w:rPr>
            </w:pPr>
            <w:r>
              <w:rPr>
                <w:rFonts w:hint="eastAsia"/>
                <w:szCs w:val="21"/>
              </w:rPr>
              <w:t>（4）总保额＜200万的，不得分。</w:t>
            </w:r>
          </w:p>
          <w:p>
            <w:pPr>
              <w:rPr>
                <w:szCs w:val="21"/>
              </w:rPr>
            </w:pPr>
            <w:r>
              <w:rPr>
                <w:rFonts w:hint="eastAsia"/>
                <w:szCs w:val="21"/>
              </w:rPr>
              <w:t>以上两项累计加分，满分100分。</w:t>
            </w:r>
          </w:p>
          <w:p>
            <w:pPr>
              <w:wordWrap w:val="0"/>
              <w:rPr>
                <w:b/>
                <w:bCs/>
                <w:szCs w:val="21"/>
              </w:rPr>
            </w:pPr>
            <w:r>
              <w:rPr>
                <w:rFonts w:hint="eastAsia"/>
                <w:b/>
                <w:bCs/>
                <w:szCs w:val="21"/>
              </w:rPr>
              <w:t>（二）评审依据：</w:t>
            </w:r>
          </w:p>
          <w:p>
            <w:pPr>
              <w:widowControl/>
              <w:rPr>
                <w:szCs w:val="21"/>
              </w:rPr>
            </w:pPr>
            <w:r>
              <w:rPr>
                <w:rFonts w:hint="eastAsia"/>
                <w:szCs w:val="21"/>
              </w:rPr>
              <w:t>1.投标人需提供有效期内的产品责任险和公众责任险合同(或保险单)投保人必须是投标人或所投产品品牌制造商。</w:t>
            </w:r>
          </w:p>
          <w:p>
            <w:pPr>
              <w:rPr>
                <w:b/>
                <w:szCs w:val="21"/>
              </w:rPr>
            </w:pPr>
            <w:r>
              <w:rPr>
                <w:rFonts w:hint="eastAsia"/>
                <w:bCs/>
                <w:szCs w:val="21"/>
              </w:rPr>
              <w:t>2.以上资料均要求提供扫描件，原件备查。评分中出现无证明资料或专家无法凭所提供资料判断是否得分的情况，一律作不得分处理</w:t>
            </w: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hint="eastAsia" w:ascii="宋体" w:hAnsi="宋体" w:cs="宋体"/>
                <w:b/>
                <w:bCs/>
                <w:color w:val="0000FF"/>
                <w:kern w:val="0"/>
                <w:szCs w:val="21"/>
                <w:lang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hint="eastAsia" w:ascii="宋体" w:hAnsi="宋体" w:cs="宋体"/>
                <w:b/>
                <w:bCs/>
                <w:color w:val="0000FF"/>
                <w:kern w:val="0"/>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Cs w:val="21"/>
              </w:rPr>
            </w:pPr>
            <w:r>
              <w:rPr>
                <w:rFonts w:hint="eastAsia"/>
                <w:b/>
                <w:bCs/>
                <w:color w:val="0000FF"/>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2"/>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2"/>
              <w:wordWrap w:val="0"/>
              <w:spacing w:line="240" w:lineRule="auto"/>
              <w:ind w:firstLine="420" w:firstLineChars="200"/>
              <w:rPr>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25）</w:t>
      </w:r>
    </w:p>
    <w:bookmarkEnd w:id="3"/>
    <w:p>
      <w:pPr>
        <w:widowControl/>
        <w:jc w:val="center"/>
      </w:pPr>
    </w:p>
    <w:p>
      <w:pPr>
        <w:widowControl/>
        <w:jc w:val="center"/>
      </w:pPr>
      <w:r>
        <w:br w:type="page"/>
      </w:r>
    </w:p>
    <w:p>
      <w:pPr>
        <w:jc w:val="center"/>
        <w:rPr>
          <w:rFonts w:hint="eastAsia" w:ascii="宋体" w:hAnsi="宋体"/>
          <w:color w:val="FF0000"/>
          <w:szCs w:val="21"/>
        </w:rPr>
      </w:pPr>
      <w:bookmarkStart w:id="4" w:name="_Hlk72218009"/>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hint="eastAsia"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hint="eastAsia" w:ascii="宋体" w:hAnsi="宋体"/>
          <w:color w:val="FF0000"/>
          <w:sz w:val="20"/>
          <w:szCs w:val="20"/>
        </w:rPr>
      </w:pPr>
      <w:r>
        <w:rPr>
          <w:rFonts w:ascii="宋体" w:hAnsi="宋体"/>
          <w:color w:val="FF0000"/>
          <w:sz w:val="20"/>
          <w:szCs w:val="20"/>
        </w:rPr>
        <w:br w:type="page"/>
      </w:r>
    </w:p>
    <w:p>
      <w:pPr>
        <w:spacing w:before="240" w:beforeLines="100" w:after="240" w:afterLines="100"/>
        <w:jc w:val="center"/>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第一册    专用条款</w:t>
      </w:r>
    </w:p>
    <w:p>
      <w:pPr>
        <w:ind w:firstLine="960" w:firstLineChars="400"/>
        <w:rPr>
          <w:sz w:val="24"/>
        </w:rPr>
      </w:pPr>
      <w:r>
        <w:rPr>
          <w:rFonts w:hint="eastAsia"/>
          <w:sz w:val="24"/>
        </w:rPr>
        <w:t>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firstLine="1050" w:firstLineChars="500"/>
      </w:pPr>
      <w:r>
        <w:rPr>
          <w:rFonts w:hint="eastAsia"/>
        </w:rPr>
        <w:t>第十一章  质疑处理</w:t>
      </w:r>
    </w:p>
    <w:p>
      <w:pPr>
        <w:pStyle w:val="2"/>
      </w:pPr>
    </w:p>
    <w:p>
      <w:pPr>
        <w:pStyle w:val="36"/>
      </w:pPr>
    </w:p>
    <w:p>
      <w:pPr>
        <w:pStyle w:val="36"/>
      </w:pPr>
    </w:p>
    <w:p>
      <w:pPr>
        <w:pStyle w:val="2"/>
        <w:sectPr>
          <w:pgSz w:w="11907" w:h="16840"/>
          <w:pgMar w:top="1440" w:right="1797" w:bottom="1440" w:left="1797" w:header="851" w:footer="992" w:gutter="0"/>
          <w:cols w:space="425" w:num="1"/>
          <w:titlePg/>
          <w:docGrid w:linePitch="462" w:charSpace="0"/>
        </w:sectPr>
      </w:pPr>
    </w:p>
    <w:bookmarkEnd w:id="4"/>
    <w:p>
      <w:pPr>
        <w:pStyle w:val="3"/>
        <w:rPr>
          <w:rFonts w:hint="eastAsia"/>
          <w:color w:val="FF0000"/>
          <w:sz w:val="24"/>
        </w:rPr>
      </w:pPr>
      <w:bookmarkStart w:id="6" w:name="bt合同格式"/>
      <w:bookmarkEnd w:id="6"/>
      <w:bookmarkStart w:id="7" w:name="bt技术标投标文件格式"/>
      <w:bookmarkEnd w:id="7"/>
      <w:bookmarkStart w:id="8" w:name="bt其他资料2"/>
      <w:bookmarkEnd w:id="8"/>
      <w:bookmarkStart w:id="9" w:name="bt投标函"/>
      <w:bookmarkEnd w:id="9"/>
      <w:bookmarkStart w:id="10" w:name="bt其他资料由投标人自定"/>
      <w:bookmarkEnd w:id="10"/>
      <w:bookmarkStart w:id="11" w:name="bt投标报价汇总表"/>
      <w:bookmarkEnd w:id="11"/>
      <w:bookmarkStart w:id="12" w:name="bt合同条款"/>
      <w:bookmarkEnd w:id="12"/>
      <w:bookmarkStart w:id="13" w:name="bt说明"/>
      <w:bookmarkEnd w:id="13"/>
      <w:bookmarkStart w:id="14" w:name="bt商务标投标文件格式"/>
      <w:bookmarkEnd w:id="14"/>
      <w:bookmarkStart w:id="15" w:name="bt本工程承诺书"/>
      <w:bookmarkEnd w:id="15"/>
      <w:bookmarkStart w:id="16" w:name="bt项目管理班子配备情况"/>
      <w:bookmarkEnd w:id="16"/>
      <w:bookmarkStart w:id="17" w:name="bt开标一览表"/>
      <w:bookmarkEnd w:id="17"/>
      <w:bookmarkStart w:id="18" w:name="合同格式"/>
      <w:bookmarkEnd w:id="18"/>
      <w:bookmarkStart w:id="19" w:name="bt投标文件签署授权委托书"/>
      <w:bookmarkEnd w:id="19"/>
      <w:bookmarkStart w:id="20" w:name="bt合同条款及格式"/>
      <w:bookmarkEnd w:id="20"/>
      <w:bookmarkStart w:id="21" w:name="bt投标人须知"/>
      <w:bookmarkEnd w:id="21"/>
      <w:bookmarkStart w:id="22" w:name="bt投标人情况介绍"/>
      <w:bookmarkEnd w:id="22"/>
      <w:r>
        <w:rPr>
          <w:rFonts w:hint="eastAsia"/>
        </w:rPr>
        <w:t>第一册  专用条款</w:t>
      </w:r>
    </w:p>
    <w:p>
      <w:pPr>
        <w:pStyle w:val="6"/>
        <w:rPr>
          <w:rFonts w:hint="eastAsia"/>
          <w:sz w:val="28"/>
          <w:szCs w:val="28"/>
        </w:rPr>
      </w:pPr>
      <w:r>
        <w:rPr>
          <w:rFonts w:hint="eastAsia"/>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23"/>
      <w:r>
        <w:rPr>
          <w:rFonts w:hint="eastAsia"/>
        </w:rPr>
        <w:t>；</w:t>
      </w:r>
    </w:p>
    <w:p>
      <w:pPr>
        <w:ind w:firstLine="420" w:firstLineChars="2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2.本项目不接受联合体投标，不接受投标人选用进口产品参与投标，不接受分包；</w:t>
      </w:r>
    </w:p>
    <w:p>
      <w:pPr>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420" w:firstLineChars="2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pPr>
        <w:pStyle w:val="53"/>
        <w:ind w:firstLine="420" w:firstLineChars="200"/>
        <w:rPr>
          <w:rFonts w:hint="eastAsia"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pPr>
      <w:r>
        <w:rPr>
          <w:rFonts w:hint="eastAsia" w:ascii="宋体" w:hAnsi="宋体" w:cs="宋体"/>
          <w:kern w:val="0"/>
          <w:szCs w:val="21"/>
        </w:rPr>
        <w:t>9.本项目全部专门面向中小企业采购：否。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2"/>
      </w:pPr>
    </w:p>
    <w:p>
      <w:pPr>
        <w:ind w:firstLine="442" w:firstLineChars="200"/>
        <w:rPr>
          <w:b/>
        </w:rPr>
      </w:pPr>
      <w:r>
        <w:rPr>
          <w:rFonts w:hint="eastAsia"/>
          <w:b/>
          <w:sz w:val="22"/>
          <w:szCs w:val="18"/>
        </w:rPr>
        <w:t>完整公告内容详见：深圳交易集团有限公司网站（https://www.szexgrp.com/）、深圳政府采购自行采购网站（https://zxcg.szggzy.com/home/index.html）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cols w:space="425" w:num="1"/>
          <w:titlePg/>
          <w:docGrid w:linePitch="462" w:charSpace="0"/>
        </w:sectPr>
      </w:pPr>
    </w:p>
    <w:p>
      <w:pPr>
        <w:pStyle w:val="6"/>
        <w:rPr>
          <w:rFonts w:hint="eastAsia"/>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6"/>
        <w:spacing w:before="120" w:beforeLines="50" w:after="120" w:afterLines="50"/>
        <w:rPr>
          <w:rFonts w:hint="eastAsia"/>
          <w:szCs w:val="24"/>
        </w:rPr>
      </w:pPr>
      <w:bookmarkStart w:id="25" w:name="_Toc73517639"/>
      <w:bookmarkStart w:id="26" w:name="_Toc73521635"/>
      <w:bookmarkStart w:id="27" w:name="_Toc73521547"/>
      <w:bookmarkStart w:id="28" w:name="_Toc73518117"/>
      <w:bookmarkStart w:id="29" w:name="_Toc100052364"/>
      <w:bookmarkStart w:id="30" w:name="_Toc101074876"/>
      <w:bookmarkStart w:id="31" w:name="_Toc60631620"/>
      <w:bookmarkStart w:id="32" w:name="_Toc60560625"/>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bookmarkStart w:id="33" w:name="_Hlk72218097"/>
            <w:r>
              <w:rPr>
                <w:rFonts w:hint="eastAsia" w:ascii="宋体" w:hAnsi="宋体"/>
                <w:b/>
                <w:bCs/>
              </w:rPr>
              <w:t>通用条款序号</w:t>
            </w:r>
          </w:p>
        </w:tc>
        <w:tc>
          <w:tcPr>
            <w:tcW w:w="2409" w:type="dxa"/>
            <w:vAlign w:val="center"/>
          </w:tcPr>
          <w:p>
            <w:pPr>
              <w:jc w:val="center"/>
              <w:rPr>
                <w:rFonts w:hint="eastAsia" w:ascii="宋体" w:hAnsi="宋体"/>
                <w:b/>
                <w:bCs/>
              </w:rPr>
            </w:pPr>
            <w:r>
              <w:rPr>
                <w:rFonts w:hint="eastAsia" w:ascii="宋体" w:hAnsi="宋体"/>
                <w:b/>
                <w:bCs/>
              </w:rPr>
              <w:t>涉及事项</w:t>
            </w:r>
          </w:p>
        </w:tc>
        <w:tc>
          <w:tcPr>
            <w:tcW w:w="4980"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eastAsia" w:ascii="宋体" w:hAnsi="宋体"/>
              </w:rPr>
            </w:pPr>
            <w:r>
              <w:rPr>
                <w:rFonts w:hint="eastAsia"/>
                <w:b/>
                <w:bCs/>
                <w:color w:val="FF0000"/>
                <w:szCs w:val="21"/>
              </w:rPr>
              <w:t>深圳实验坪山学校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2409" w:type="dxa"/>
            <w:vAlign w:val="center"/>
          </w:tcPr>
          <w:p>
            <w:pPr>
              <w:jc w:val="center"/>
              <w:rPr>
                <w:rFonts w:hint="eastAsia"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2409" w:type="dxa"/>
            <w:vAlign w:val="center"/>
          </w:tcPr>
          <w:p>
            <w:pPr>
              <w:jc w:val="center"/>
              <w:rPr>
                <w:rFonts w:hint="eastAsia" w:ascii="宋体" w:hAnsi="宋体"/>
              </w:rPr>
            </w:pPr>
            <w:r>
              <w:rPr>
                <w:rFonts w:hint="eastAsia" w:ascii="宋体" w:hAnsi="宋体"/>
              </w:rPr>
              <w:t>踏勘现场</w:t>
            </w:r>
          </w:p>
        </w:tc>
        <w:tc>
          <w:tcPr>
            <w:tcW w:w="4980"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2409" w:type="dxa"/>
            <w:vAlign w:val="center"/>
          </w:tcPr>
          <w:p>
            <w:pPr>
              <w:jc w:val="center"/>
              <w:rPr>
                <w:rFonts w:hint="eastAsia" w:ascii="宋体" w:hAnsi="宋体"/>
              </w:rPr>
            </w:pPr>
            <w:r>
              <w:rPr>
                <w:rFonts w:hint="eastAsia" w:ascii="宋体" w:hAnsi="宋体"/>
              </w:rPr>
              <w:t>标前会议</w:t>
            </w:r>
          </w:p>
        </w:tc>
        <w:tc>
          <w:tcPr>
            <w:tcW w:w="4980"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hint="eastAsia" w:ascii="宋体" w:hAnsi="宋体"/>
              </w:rPr>
            </w:pPr>
            <w:r>
              <w:rPr>
                <w:rFonts w:hint="eastAsia" w:ascii="宋体" w:hAnsi="宋体"/>
              </w:rPr>
              <w:t>招标文件的澄清和修改</w:t>
            </w:r>
          </w:p>
        </w:tc>
        <w:tc>
          <w:tcPr>
            <w:tcW w:w="4980" w:type="dxa"/>
            <w:vAlign w:val="center"/>
          </w:tcPr>
          <w:p>
            <w:pPr>
              <w:jc w:val="center"/>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2409" w:type="dxa"/>
            <w:vAlign w:val="center"/>
          </w:tcPr>
          <w:p>
            <w:pPr>
              <w:jc w:val="center"/>
              <w:rPr>
                <w:rFonts w:hint="eastAsia" w:ascii="宋体" w:hAnsi="宋体"/>
              </w:rPr>
            </w:pPr>
            <w:r>
              <w:rPr>
                <w:rFonts w:hint="eastAsia" w:ascii="宋体" w:hAnsi="宋体"/>
              </w:rPr>
              <w:t>投标有效期</w:t>
            </w:r>
          </w:p>
        </w:tc>
        <w:tc>
          <w:tcPr>
            <w:tcW w:w="4980"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2409" w:type="dxa"/>
            <w:vAlign w:val="center"/>
          </w:tcPr>
          <w:p>
            <w:pPr>
              <w:jc w:val="center"/>
              <w:rPr>
                <w:rFonts w:hint="eastAsia" w:ascii="宋体" w:hAnsi="宋体"/>
              </w:rPr>
            </w:pPr>
            <w:r>
              <w:rPr>
                <w:rFonts w:hint="eastAsia" w:ascii="宋体" w:hAnsi="宋体"/>
              </w:rPr>
              <w:t>投标人的替代方案</w:t>
            </w:r>
          </w:p>
        </w:tc>
        <w:tc>
          <w:tcPr>
            <w:tcW w:w="4980"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2409" w:type="dxa"/>
            <w:vAlign w:val="center"/>
          </w:tcPr>
          <w:p>
            <w:pPr>
              <w:jc w:val="center"/>
              <w:rPr>
                <w:rFonts w:hint="eastAsia" w:ascii="宋体" w:hAnsi="宋体"/>
              </w:rPr>
            </w:pPr>
            <w:r>
              <w:rPr>
                <w:rFonts w:hint="eastAsia" w:ascii="宋体" w:hAnsi="宋体"/>
              </w:rPr>
              <w:t>投标文件的大小</w:t>
            </w:r>
          </w:p>
        </w:tc>
        <w:tc>
          <w:tcPr>
            <w:tcW w:w="4980" w:type="dxa"/>
            <w:vAlign w:val="center"/>
          </w:tcPr>
          <w:p>
            <w:pPr>
              <w:jc w:val="center"/>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2409" w:type="dxa"/>
            <w:vAlign w:val="center"/>
          </w:tcPr>
          <w:p>
            <w:pPr>
              <w:jc w:val="center"/>
              <w:rPr>
                <w:rFonts w:hint="eastAsia"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hint="eastAsia" w:ascii="宋体" w:hAnsi="宋体"/>
              </w:rPr>
            </w:pPr>
            <w:r>
              <w:rPr>
                <w:rFonts w:hint="eastAsia" w:ascii="宋体" w:hAnsi="宋体"/>
              </w:rPr>
              <w:t>需功能演示，详见“第三章 用户需求书”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2409" w:type="dxa"/>
            <w:vAlign w:val="center"/>
          </w:tcPr>
          <w:p>
            <w:pPr>
              <w:jc w:val="center"/>
              <w:rPr>
                <w:rFonts w:hint="eastAsia" w:ascii="宋体" w:hAnsi="宋体"/>
              </w:rPr>
            </w:pPr>
            <w:r>
              <w:rPr>
                <w:rFonts w:hint="eastAsia" w:ascii="宋体" w:hAnsi="宋体"/>
              </w:rPr>
              <w:t>评审方法</w:t>
            </w:r>
          </w:p>
        </w:tc>
        <w:tc>
          <w:tcPr>
            <w:tcW w:w="4980" w:type="dxa"/>
            <w:vAlign w:val="center"/>
          </w:tcPr>
          <w:p>
            <w:pPr>
              <w:jc w:val="center"/>
              <w:rPr>
                <w:rFonts w:hint="eastAsia"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2409" w:type="dxa"/>
            <w:vAlign w:val="center"/>
          </w:tcPr>
          <w:p>
            <w:pPr>
              <w:jc w:val="center"/>
              <w:rPr>
                <w:rFonts w:hint="eastAsia" w:ascii="宋体" w:hAnsi="宋体"/>
              </w:rPr>
            </w:pPr>
            <w:r>
              <w:rPr>
                <w:rFonts w:hint="eastAsia" w:ascii="宋体" w:hAnsi="宋体"/>
              </w:rPr>
              <w:t>定标方法</w:t>
            </w:r>
          </w:p>
        </w:tc>
        <w:tc>
          <w:tcPr>
            <w:tcW w:w="4980" w:type="dxa"/>
            <w:vAlign w:val="center"/>
          </w:tcPr>
          <w:p>
            <w:pPr>
              <w:jc w:val="center"/>
              <w:rPr>
                <w:rFonts w:hint="eastAsia"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2409" w:type="dxa"/>
            <w:vAlign w:val="center"/>
          </w:tcPr>
          <w:p>
            <w:pPr>
              <w:jc w:val="center"/>
              <w:rPr>
                <w:rFonts w:hint="eastAsia" w:ascii="宋体" w:hAnsi="宋体"/>
              </w:rPr>
            </w:pPr>
            <w:r>
              <w:rPr>
                <w:rFonts w:hint="eastAsia" w:ascii="宋体" w:hAnsi="宋体"/>
              </w:rPr>
              <w:t>履约担保</w:t>
            </w:r>
          </w:p>
        </w:tc>
        <w:tc>
          <w:tcPr>
            <w:tcW w:w="4980" w:type="dxa"/>
            <w:vAlign w:val="center"/>
          </w:tcPr>
          <w:p>
            <w:pPr>
              <w:jc w:val="center"/>
              <w:rPr>
                <w:rFonts w:hint="eastAsia" w:ascii="宋体" w:hAnsi="宋体"/>
              </w:rPr>
            </w:pPr>
            <w:r>
              <w:rPr>
                <w:rFonts w:hint="eastAsia" w:ascii="宋体" w:hAnsi="宋体"/>
              </w:rPr>
              <w:t>不需要</w:t>
            </w:r>
          </w:p>
        </w:tc>
      </w:tr>
    </w:tbl>
    <w:p>
      <w:pPr>
        <w:rPr>
          <w:b/>
        </w:rPr>
      </w:pPr>
      <w:r>
        <w:rPr>
          <w:rFonts w:hint="eastAsia"/>
          <w:szCs w:val="21"/>
        </w:rPr>
        <w:t>备注：本表是通用条款相关条款的补充和明确，如与通用条款内容相冲突的，以本表为准。</w:t>
      </w:r>
    </w:p>
    <w:bookmarkEnd w:id="33"/>
    <w:p>
      <w:pPr>
        <w:pStyle w:val="6"/>
        <w:spacing w:before="120" w:beforeLines="50" w:after="120" w:afterLines="50"/>
        <w:rPr>
          <w:rFonts w:hint="eastAsia"/>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hint="eastAsia"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6"/>
      </w:pPr>
    </w:p>
    <w:p>
      <w:pPr>
        <w:ind w:firstLine="422" w:firstLineChars="200"/>
        <w:rPr>
          <w:b/>
        </w:rPr>
      </w:pPr>
    </w:p>
    <w:p>
      <w:pPr>
        <w:ind w:firstLine="422" w:firstLineChars="200"/>
        <w:rPr>
          <w:b/>
        </w:rPr>
      </w:pPr>
      <w:r>
        <w:rPr>
          <w:rFonts w:hint="eastAsia"/>
          <w:b/>
        </w:rPr>
        <w:t>（二）其他事项</w:t>
      </w:r>
      <w:bookmarkEnd w:id="36"/>
    </w:p>
    <w:p>
      <w:pPr>
        <w:ind w:firstLine="422" w:firstLineChars="200"/>
        <w:rPr>
          <w:b/>
          <w:bCs/>
        </w:rPr>
      </w:pPr>
      <w:r>
        <w:rPr>
          <w:b/>
          <w:bCs/>
        </w:rPr>
        <w:t>1</w:t>
      </w:r>
      <w:r>
        <w:rPr>
          <w:rFonts w:hint="eastAsia"/>
          <w:b/>
          <w:bCs/>
        </w:rPr>
        <w:t>、关于享受优惠政策的主体、价格扣除比例及采购标的所属行业的说明</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10 </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7" w:name="_Hlk71970739"/>
      <w:r>
        <w:rPr>
          <w:rFonts w:hint="eastAsia" w:asciiTheme="minorEastAsia" w:hAnsiTheme="minorEastAsia" w:eastAsiaTheme="minorEastAsia" w:cstheme="minorEastAsia"/>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bookmarkEnd w:id="37"/>
    </w:p>
    <w:p>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color w:val="FF0000"/>
        </w:rPr>
      </w:pPr>
      <w:r>
        <w:rPr>
          <w:rFonts w:hint="eastAsia"/>
        </w:rPr>
        <w:t>（5）享受价格扣除获得采购合同的，小微企业不得将合同分包给大中型企业。</w:t>
      </w:r>
    </w:p>
    <w:p>
      <w:pPr>
        <w:ind w:firstLine="422" w:firstLineChars="200"/>
        <w:rPr>
          <w:b/>
          <w:bCs/>
        </w:rPr>
      </w:pPr>
    </w:p>
    <w:p>
      <w:pPr>
        <w:ind w:firstLine="422" w:firstLineChars="200"/>
        <w:rPr>
          <w:b/>
          <w:bCs/>
        </w:rPr>
      </w:pPr>
      <w:r>
        <w:rPr>
          <w:rFonts w:hint="eastAsia"/>
          <w:b/>
          <w:bCs/>
        </w:rPr>
        <w:t>2、本项目为代理服务项目，将向中标（成交）供应商收取代理服务费。</w:t>
      </w:r>
    </w:p>
    <w:p>
      <w:pPr>
        <w:ind w:firstLine="420" w:firstLineChars="200"/>
      </w:pPr>
      <w:r>
        <w:rPr>
          <w:rFonts w:hint="eastAsia"/>
        </w:rPr>
        <w:t>中标（成交）供应商在领取《中标（成交）通知书》之前须向深圳公共资源交易中心（深圳交易集团有限公司坪山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pStyle w:val="36"/>
        <w:rPr>
          <w:b/>
        </w:rPr>
      </w:pPr>
    </w:p>
    <w:p>
      <w:pPr>
        <w:pStyle w:val="36"/>
        <w:rPr>
          <w:b/>
        </w:rPr>
      </w:pPr>
    </w:p>
    <w:p>
      <w:pPr>
        <w:pStyle w:val="36"/>
        <w:rPr>
          <w:b/>
        </w:rPr>
        <w:sectPr>
          <w:pgSz w:w="11907" w:h="16840"/>
          <w:pgMar w:top="1440" w:right="1797" w:bottom="1440" w:left="1797" w:header="851" w:footer="992" w:gutter="0"/>
          <w:cols w:space="425" w:num="1"/>
          <w:titlePg/>
          <w:docGrid w:linePitch="462" w:charSpace="0"/>
        </w:sectPr>
      </w:pPr>
    </w:p>
    <w:bookmarkEnd w:id="35"/>
    <w:p>
      <w:pPr>
        <w:pStyle w:val="6"/>
        <w:rPr>
          <w:rFonts w:hint="eastAsia"/>
          <w:sz w:val="28"/>
          <w:szCs w:val="28"/>
        </w:rPr>
      </w:pPr>
      <w:r>
        <w:rPr>
          <w:rFonts w:hint="eastAsia"/>
          <w:sz w:val="28"/>
          <w:szCs w:val="28"/>
        </w:rPr>
        <w:t>第三章 用户需求书</w:t>
      </w:r>
    </w:p>
    <w:p>
      <w:pPr>
        <w:pStyle w:val="6"/>
        <w:spacing w:before="120" w:beforeLines="50" w:after="120" w:afterLines="50"/>
        <w:rPr>
          <w:rFonts w:hint="eastAsia"/>
          <w:szCs w:val="24"/>
        </w:rPr>
      </w:pPr>
      <w:r>
        <w:rPr>
          <w:rFonts w:hint="eastAsia"/>
          <w:szCs w:val="24"/>
        </w:rPr>
        <w:t>一、项目基本信息</w:t>
      </w:r>
    </w:p>
    <w:p>
      <w:pPr>
        <w:rPr>
          <w:rFonts w:hint="eastAsia" w:ascii="宋体" w:hAnsi="宋体"/>
          <w:b/>
          <w:color w:val="FF0000"/>
          <w:szCs w:val="21"/>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b/>
                <w:bCs/>
                <w:color w:val="FF0000"/>
                <w:szCs w:val="21"/>
              </w:rPr>
            </w:pPr>
            <w:r>
              <w:rPr>
                <w:rFonts w:hint="eastAsia"/>
                <w:b/>
                <w:bCs/>
                <w:color w:val="FF0000"/>
                <w:szCs w:val="21"/>
              </w:rPr>
              <w:t>深圳实验坪山学校饮水设备采购项目</w:t>
            </w:r>
          </w:p>
        </w:tc>
        <w:tc>
          <w:tcPr>
            <w:tcW w:w="1986" w:type="pct"/>
            <w:vAlign w:val="center"/>
          </w:tcPr>
          <w:p>
            <w:pPr>
              <w:jc w:val="center"/>
              <w:rPr>
                <w:bCs/>
                <w:color w:val="FF0000"/>
                <w:szCs w:val="21"/>
              </w:rPr>
            </w:pPr>
            <w:r>
              <w:rPr>
                <w:rFonts w:hint="eastAsia"/>
                <w:bCs/>
                <w:color w:val="FF0000"/>
                <w:szCs w:val="21"/>
              </w:rPr>
              <w:t xml:space="preserve">757,300.00 </w:t>
            </w:r>
          </w:p>
        </w:tc>
      </w:tr>
    </w:tbl>
    <w:p>
      <w:pPr>
        <w:rPr>
          <w:rFonts w:hint="eastAsia" w:ascii="宋体" w:hAnsi="宋体"/>
          <w:b/>
          <w:color w:val="FF0000"/>
          <w:szCs w:val="21"/>
        </w:rPr>
      </w:pPr>
    </w:p>
    <w:p>
      <w:pPr>
        <w:rPr>
          <w:rFonts w:hint="eastAsia" w:ascii="宋体" w:hAnsi="宋体"/>
          <w:b/>
          <w:color w:val="FF0000"/>
          <w:szCs w:val="21"/>
        </w:rPr>
      </w:pPr>
    </w:p>
    <w:p>
      <w:pPr>
        <w:pStyle w:val="6"/>
        <w:spacing w:before="120" w:beforeLines="50" w:after="120" w:afterLines="50"/>
        <w:rPr>
          <w:rFonts w:hint="eastAsia"/>
          <w:szCs w:val="24"/>
        </w:rPr>
      </w:pPr>
      <w:bookmarkStart w:id="38" w:name="_Hlk72258617"/>
      <w:r>
        <w:rPr>
          <w:rFonts w:hint="eastAsia"/>
          <w:szCs w:val="24"/>
        </w:rPr>
        <w:t>二、</w:t>
      </w:r>
      <w:bookmarkStart w:id="39" w:name="_Hlk72073432"/>
      <w:r>
        <w:rPr>
          <w:rFonts w:hint="eastAsia"/>
          <w:szCs w:val="24"/>
        </w:rPr>
        <w:t>货物清单明细</w:t>
      </w:r>
      <w:bookmarkEnd w:id="39"/>
    </w:p>
    <w:tbl>
      <w:tblPr>
        <w:tblStyle w:val="4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055"/>
        <w:gridCol w:w="825"/>
        <w:gridCol w:w="748"/>
        <w:gridCol w:w="1395"/>
        <w:gridCol w:w="1382"/>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序号</w:t>
            </w:r>
          </w:p>
        </w:tc>
        <w:tc>
          <w:tcPr>
            <w:tcW w:w="1210" w:type="pct"/>
            <w:vAlign w:val="center"/>
          </w:tcPr>
          <w:p>
            <w:pPr>
              <w:jc w:val="center"/>
              <w:rPr>
                <w:bCs/>
                <w:szCs w:val="21"/>
              </w:rPr>
            </w:pPr>
            <w:r>
              <w:rPr>
                <w:rFonts w:hint="eastAsia"/>
                <w:bCs/>
                <w:szCs w:val="21"/>
              </w:rPr>
              <w:t>货物名称（标的名称）</w:t>
            </w:r>
          </w:p>
        </w:tc>
        <w:tc>
          <w:tcPr>
            <w:tcW w:w="486" w:type="pct"/>
            <w:vAlign w:val="center"/>
          </w:tcPr>
          <w:p>
            <w:pPr>
              <w:jc w:val="center"/>
              <w:rPr>
                <w:bCs/>
                <w:szCs w:val="21"/>
              </w:rPr>
            </w:pPr>
            <w:r>
              <w:rPr>
                <w:rFonts w:hint="eastAsia"/>
                <w:bCs/>
                <w:szCs w:val="21"/>
              </w:rPr>
              <w:t>数量</w:t>
            </w:r>
          </w:p>
        </w:tc>
        <w:tc>
          <w:tcPr>
            <w:tcW w:w="441" w:type="pct"/>
            <w:vAlign w:val="center"/>
          </w:tcPr>
          <w:p>
            <w:pPr>
              <w:jc w:val="center"/>
              <w:rPr>
                <w:bCs/>
                <w:szCs w:val="21"/>
              </w:rPr>
            </w:pPr>
            <w:r>
              <w:rPr>
                <w:rFonts w:hint="eastAsia"/>
                <w:bCs/>
                <w:szCs w:val="21"/>
              </w:rPr>
              <w:t>单位</w:t>
            </w:r>
          </w:p>
        </w:tc>
        <w:tc>
          <w:tcPr>
            <w:tcW w:w="821" w:type="pct"/>
            <w:vAlign w:val="center"/>
          </w:tcPr>
          <w:p>
            <w:pPr>
              <w:jc w:val="center"/>
              <w:rPr>
                <w:b/>
                <w:bCs/>
                <w:color w:val="FF0000"/>
                <w:szCs w:val="21"/>
              </w:rPr>
            </w:pPr>
            <w:r>
              <w:rPr>
                <w:rFonts w:hint="eastAsia"/>
                <w:b/>
                <w:bCs/>
                <w:color w:val="FF0000"/>
                <w:szCs w:val="21"/>
              </w:rPr>
              <w:t>是否接受进口</w:t>
            </w:r>
          </w:p>
        </w:tc>
        <w:tc>
          <w:tcPr>
            <w:tcW w:w="813" w:type="pct"/>
            <w:vAlign w:val="center"/>
          </w:tcPr>
          <w:p>
            <w:pPr>
              <w:jc w:val="center"/>
              <w:rPr>
                <w:b/>
                <w:bCs/>
                <w:color w:val="FF0000"/>
                <w:szCs w:val="21"/>
              </w:rPr>
            </w:pPr>
            <w:r>
              <w:rPr>
                <w:rFonts w:hint="eastAsia"/>
                <w:b/>
                <w:bCs/>
                <w:color w:val="FF0000"/>
                <w:szCs w:val="21"/>
              </w:rPr>
              <w:t>是否专门面向中小企业</w:t>
            </w:r>
          </w:p>
        </w:tc>
        <w:tc>
          <w:tcPr>
            <w:tcW w:w="889" w:type="pct"/>
            <w:vAlign w:val="center"/>
          </w:tcPr>
          <w:p>
            <w:pPr>
              <w:jc w:val="center"/>
              <w:rPr>
                <w:b/>
                <w:bCs/>
                <w:color w:val="FF0000"/>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1</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四龙头学生饮水台</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13</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color w:val="FF0000"/>
                <w:szCs w:val="21"/>
              </w:rPr>
            </w:pPr>
            <w:r>
              <w:rPr>
                <w:rFonts w:hint="eastAsia"/>
                <w:b/>
                <w:bCs/>
                <w:color w:val="FF0000"/>
                <w:szCs w:val="21"/>
              </w:rPr>
              <w:t>否</w:t>
            </w:r>
          </w:p>
        </w:tc>
        <w:tc>
          <w:tcPr>
            <w:tcW w:w="889" w:type="pct"/>
            <w:vAlign w:val="center"/>
          </w:tcPr>
          <w:p>
            <w:pPr>
              <w:jc w:val="center"/>
              <w:rPr>
                <w:b/>
                <w:bCs/>
                <w:color w:val="FF0000"/>
                <w:szCs w:val="21"/>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2</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壁挂式饮水机</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38</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color w:val="FF0000"/>
                <w:szCs w:val="21"/>
              </w:rPr>
            </w:pPr>
            <w:r>
              <w:rPr>
                <w:rFonts w:hint="eastAsia"/>
                <w:b/>
                <w:bCs/>
                <w:color w:val="FF0000"/>
                <w:szCs w:val="21"/>
              </w:rPr>
              <w:t>否</w:t>
            </w:r>
          </w:p>
        </w:tc>
        <w:tc>
          <w:tcPr>
            <w:tcW w:w="889" w:type="pct"/>
            <w:vAlign w:val="center"/>
          </w:tcPr>
          <w:p>
            <w:pPr>
              <w:jc w:val="center"/>
              <w:rPr>
                <w:b/>
                <w:bCs/>
                <w:color w:val="FF0000"/>
                <w:szCs w:val="21"/>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3</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单龙头立式直饮机</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11</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szCs w:val="21"/>
              </w:rPr>
            </w:pPr>
            <w:r>
              <w:rPr>
                <w:rFonts w:hint="eastAsia"/>
                <w:b/>
                <w:bCs/>
                <w:szCs w:val="21"/>
              </w:rPr>
              <w:t>拒绝进口</w:t>
            </w:r>
          </w:p>
        </w:tc>
        <w:tc>
          <w:tcPr>
            <w:tcW w:w="813" w:type="pct"/>
            <w:vAlign w:val="center"/>
          </w:tcPr>
          <w:p>
            <w:pPr>
              <w:jc w:val="center"/>
              <w:rPr>
                <w:b/>
                <w:bCs/>
                <w:szCs w:val="21"/>
              </w:rPr>
            </w:pPr>
            <w:r>
              <w:rPr>
                <w:rFonts w:hint="eastAsia"/>
                <w:b/>
                <w:bCs/>
                <w:color w:val="FF0000"/>
                <w:szCs w:val="21"/>
              </w:rPr>
              <w:t>否</w:t>
            </w:r>
          </w:p>
        </w:tc>
        <w:tc>
          <w:tcPr>
            <w:tcW w:w="889" w:type="pct"/>
            <w:vAlign w:val="center"/>
          </w:tcPr>
          <w:p>
            <w:pPr>
              <w:jc w:val="center"/>
              <w:rPr>
                <w:b/>
                <w:bCs/>
                <w:szCs w:val="21"/>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4</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中大型双龙头立式直饮机</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szCs w:val="21"/>
              </w:rPr>
            </w:pPr>
            <w:r>
              <w:rPr>
                <w:rFonts w:hint="eastAsia"/>
                <w:b/>
                <w:bCs/>
                <w:color w:val="FF0000"/>
                <w:szCs w:val="21"/>
              </w:rPr>
              <w:t>否</w:t>
            </w:r>
          </w:p>
        </w:tc>
        <w:tc>
          <w:tcPr>
            <w:tcW w:w="889" w:type="pct"/>
            <w:vAlign w:val="center"/>
          </w:tcPr>
          <w:p>
            <w:pPr>
              <w:jc w:val="center"/>
              <w:rPr>
                <w:b/>
                <w:bCs/>
                <w:szCs w:val="21"/>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5</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双龙头立式饮水机</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color w:val="FF0000"/>
                <w:szCs w:val="21"/>
                <w:highlight w:val="yellow"/>
              </w:rPr>
            </w:pPr>
            <w:r>
              <w:rPr>
                <w:rFonts w:hint="eastAsia"/>
                <w:b/>
                <w:bCs/>
                <w:color w:val="FF0000"/>
                <w:szCs w:val="21"/>
              </w:rPr>
              <w:t>否</w:t>
            </w:r>
          </w:p>
        </w:tc>
        <w:tc>
          <w:tcPr>
            <w:tcW w:w="889" w:type="pct"/>
            <w:vAlign w:val="center"/>
          </w:tcPr>
          <w:p>
            <w:pPr>
              <w:jc w:val="center"/>
              <w:rPr>
                <w:b/>
                <w:bCs/>
                <w:color w:val="FF0000"/>
                <w:szCs w:val="21"/>
                <w:highlight w:val="yellow"/>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6</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中央净水主机</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szCs w:val="21"/>
                <w:highlight w:val="yellow"/>
              </w:rPr>
            </w:pPr>
            <w:r>
              <w:rPr>
                <w:rFonts w:hint="eastAsia"/>
                <w:b/>
                <w:bCs/>
                <w:color w:val="FF0000"/>
                <w:szCs w:val="21"/>
              </w:rPr>
              <w:t>否</w:t>
            </w:r>
          </w:p>
        </w:tc>
        <w:tc>
          <w:tcPr>
            <w:tcW w:w="889" w:type="pct"/>
            <w:vAlign w:val="center"/>
          </w:tcPr>
          <w:p>
            <w:pPr>
              <w:jc w:val="center"/>
              <w:rPr>
                <w:b/>
                <w:bCs/>
                <w:szCs w:val="21"/>
                <w:highlight w:val="yellow"/>
              </w:rPr>
            </w:pPr>
            <w:r>
              <w:rPr>
                <w:rFonts w:hint="eastAsia"/>
                <w:b/>
                <w:bCs/>
                <w:color w:val="FF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jc w:val="center"/>
              <w:rPr>
                <w:bCs/>
                <w:szCs w:val="21"/>
              </w:rPr>
            </w:pPr>
            <w:r>
              <w:rPr>
                <w:rFonts w:hint="eastAsia"/>
                <w:bCs/>
                <w:szCs w:val="21"/>
              </w:rPr>
              <w:t>7</w:t>
            </w:r>
          </w:p>
        </w:tc>
        <w:tc>
          <w:tcPr>
            <w:tcW w:w="1210" w:type="pct"/>
            <w:vAlign w:val="center"/>
          </w:tcPr>
          <w:p>
            <w:pPr>
              <w:widowControl/>
              <w:jc w:val="left"/>
              <w:textAlignment w:val="center"/>
              <w:rPr>
                <w:bCs/>
                <w:szCs w:val="21"/>
              </w:rPr>
            </w:pPr>
            <w:r>
              <w:rPr>
                <w:rFonts w:hint="eastAsia" w:ascii="宋体" w:hAnsi="宋体" w:cs="宋体"/>
                <w:color w:val="000000"/>
                <w:kern w:val="0"/>
                <w:sz w:val="22"/>
                <w:szCs w:val="22"/>
                <w:lang w:bidi="ar"/>
              </w:rPr>
              <w:t>安装辅材</w:t>
            </w:r>
          </w:p>
        </w:tc>
        <w:tc>
          <w:tcPr>
            <w:tcW w:w="486" w:type="pct"/>
            <w:vAlign w:val="center"/>
          </w:tcPr>
          <w:p>
            <w:pPr>
              <w:widowControl/>
              <w:jc w:val="center"/>
              <w:textAlignment w:val="center"/>
              <w:rPr>
                <w:bCs/>
                <w:szCs w:val="21"/>
              </w:rPr>
            </w:pPr>
            <w:r>
              <w:rPr>
                <w:rFonts w:hint="eastAsia" w:ascii="宋体" w:hAnsi="宋体" w:cs="宋体"/>
                <w:color w:val="000000"/>
                <w:kern w:val="0"/>
                <w:sz w:val="22"/>
                <w:szCs w:val="22"/>
                <w:lang w:bidi="ar"/>
              </w:rPr>
              <w:t>1</w:t>
            </w:r>
          </w:p>
        </w:tc>
        <w:tc>
          <w:tcPr>
            <w:tcW w:w="441" w:type="pct"/>
            <w:vAlign w:val="center"/>
          </w:tcPr>
          <w:p>
            <w:pPr>
              <w:widowControl/>
              <w:jc w:val="center"/>
              <w:textAlignment w:val="center"/>
              <w:rPr>
                <w:bCs/>
                <w:szCs w:val="21"/>
              </w:rPr>
            </w:pPr>
            <w:r>
              <w:rPr>
                <w:rFonts w:hint="eastAsia" w:ascii="宋体" w:hAnsi="宋体" w:cs="宋体"/>
                <w:color w:val="000000"/>
                <w:kern w:val="0"/>
                <w:sz w:val="22"/>
                <w:szCs w:val="22"/>
                <w:lang w:bidi="ar"/>
              </w:rPr>
              <w:t>批</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b/>
                <w:bCs/>
                <w:szCs w:val="21"/>
                <w:highlight w:val="yellow"/>
              </w:rPr>
            </w:pPr>
            <w:r>
              <w:rPr>
                <w:rFonts w:hint="eastAsia"/>
                <w:b/>
                <w:bCs/>
                <w:color w:val="FF0000"/>
                <w:szCs w:val="21"/>
              </w:rPr>
              <w:t>否</w:t>
            </w:r>
          </w:p>
        </w:tc>
        <w:tc>
          <w:tcPr>
            <w:tcW w:w="889" w:type="pct"/>
            <w:vAlign w:val="center"/>
          </w:tcPr>
          <w:p>
            <w:pPr>
              <w:jc w:val="center"/>
              <w:rPr>
                <w:b/>
                <w:bCs/>
                <w:szCs w:val="21"/>
                <w:highlight w:val="yellow"/>
              </w:rPr>
            </w:pPr>
            <w:r>
              <w:rPr>
                <w:rFonts w:hint="eastAsia"/>
                <w:b/>
                <w:bCs/>
                <w:color w:val="FF0000"/>
                <w:szCs w:val="21"/>
              </w:rPr>
              <w:t>工业</w:t>
            </w:r>
          </w:p>
        </w:tc>
      </w:tr>
    </w:tbl>
    <w:p>
      <w:pPr>
        <w:ind w:firstLine="422" w:firstLineChars="200"/>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hint="eastAsia"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四龙头学生饮水台   </w:t>
      </w:r>
      <w:r>
        <w:rPr>
          <w:rFonts w:hint="eastAsia" w:ascii="宋体" w:hAnsi="宋体"/>
          <w:b/>
          <w:color w:val="FF0000"/>
          <w:szCs w:val="21"/>
        </w:rPr>
        <w:t>。</w:t>
      </w:r>
    </w:p>
    <w:bookmarkEnd w:id="38"/>
    <w:p>
      <w:pPr>
        <w:rPr>
          <w:rFonts w:hint="eastAsia" w:ascii="宋体" w:hAnsi="宋体"/>
          <w:b/>
          <w:color w:val="FF0000"/>
          <w:szCs w:val="21"/>
        </w:rPr>
      </w:pPr>
    </w:p>
    <w:p>
      <w:pPr>
        <w:pStyle w:val="2"/>
      </w:pPr>
    </w:p>
    <w:p>
      <w:pPr>
        <w:pStyle w:val="6"/>
        <w:spacing w:before="120" w:beforeLines="50" w:after="120" w:afterLines="50"/>
        <w:rPr>
          <w:rFonts w:hint="eastAsia"/>
          <w:sz w:val="28"/>
          <w:szCs w:val="28"/>
        </w:rPr>
      </w:pPr>
      <w:bookmarkStart w:id="40" w:name="_Toc128884461"/>
      <w:r>
        <w:rPr>
          <w:rFonts w:hint="eastAsia"/>
          <w:sz w:val="28"/>
          <w:szCs w:val="28"/>
        </w:rPr>
        <w:t>三、实质性条款</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18"/>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4493" w:type="pct"/>
            <w:gridSpan w:val="2"/>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 w:type="pct"/>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73" w:type="pct"/>
            <w:shd w:val="clear" w:color="auto" w:fill="auto"/>
            <w:vAlign w:val="center"/>
          </w:tcPr>
          <w:p>
            <w:pPr>
              <w:keepNext w:val="0"/>
              <w:keepLines w:val="0"/>
              <w:widowControl/>
              <w:suppressLineNumbers w:val="0"/>
              <w:jc w:val="left"/>
              <w:textAlignment w:val="center"/>
              <w:rPr>
                <w:rFonts w:hint="eastAsia" w:hAnsi="宋体"/>
                <w:kern w:val="0"/>
                <w:szCs w:val="21"/>
              </w:rPr>
            </w:pPr>
            <w:r>
              <w:rPr>
                <w:rFonts w:hint="eastAsia" w:ascii="宋体" w:hAnsi="宋体" w:eastAsia="宋体" w:cs="宋体"/>
                <w:i w:val="0"/>
                <w:iCs w:val="0"/>
                <w:color w:val="000000"/>
                <w:kern w:val="0"/>
                <w:sz w:val="22"/>
                <w:szCs w:val="22"/>
                <w:u w:val="none"/>
                <w:lang w:val="en-US" w:eastAsia="zh-CN" w:bidi="ar"/>
              </w:rPr>
              <w:t>四龙头学生饮水台</w:t>
            </w:r>
          </w:p>
        </w:tc>
        <w:tc>
          <w:tcPr>
            <w:tcW w:w="3719"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投标产品整机必须有《涉及饮用水卫生安全产品卫生许可批件》（批件上的型号须与所投产品铭牌的型号一致），且批件中的申请单位与生产单位一致；为了确保产品运行的稳定性，只接受整机水批，凡组合产品、组合部件水批视为无水批；（提供《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 w:type="pct"/>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73" w:type="pct"/>
            <w:shd w:val="clear" w:color="auto" w:fill="auto"/>
            <w:vAlign w:val="center"/>
          </w:tcPr>
          <w:p>
            <w:pPr>
              <w:keepNext w:val="0"/>
              <w:keepLines w:val="0"/>
              <w:widowControl/>
              <w:suppressLineNumbers w:val="0"/>
              <w:jc w:val="left"/>
              <w:textAlignment w:val="center"/>
              <w:rPr>
                <w:rFonts w:hint="eastAsia" w:ascii="宋体" w:hAnsi="宋体"/>
                <w:kern w:val="0"/>
                <w:szCs w:val="21"/>
              </w:rPr>
            </w:pPr>
            <w:r>
              <w:rPr>
                <w:rFonts w:hint="eastAsia" w:ascii="宋体" w:hAnsi="宋体" w:eastAsia="宋体" w:cs="宋体"/>
                <w:i w:val="0"/>
                <w:iCs w:val="0"/>
                <w:color w:val="000000"/>
                <w:kern w:val="0"/>
                <w:sz w:val="22"/>
                <w:szCs w:val="22"/>
                <w:u w:val="none"/>
                <w:lang w:val="en-US" w:eastAsia="zh-CN" w:bidi="ar"/>
              </w:rPr>
              <w:t>免费保修期</w:t>
            </w:r>
          </w:p>
        </w:tc>
        <w:tc>
          <w:tcPr>
            <w:tcW w:w="3719"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★1.货物免费保修期 3年，时间自最终验收合格并交付使用之日起计算。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 w:type="pct"/>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773" w:type="pct"/>
            <w:shd w:val="clear" w:color="auto" w:fill="auto"/>
            <w:vAlign w:val="center"/>
          </w:tcPr>
          <w:p>
            <w:pPr>
              <w:keepNext w:val="0"/>
              <w:keepLines w:val="0"/>
              <w:widowControl/>
              <w:suppressLineNumbers w:val="0"/>
              <w:jc w:val="left"/>
              <w:textAlignment w:val="center"/>
              <w:rPr>
                <w:rFonts w:hint="eastAsia" w:ascii="宋体" w:hAnsi="宋体"/>
                <w:kern w:val="0"/>
                <w:szCs w:val="21"/>
              </w:rPr>
            </w:pPr>
            <w:r>
              <w:rPr>
                <w:rFonts w:hint="eastAsia" w:ascii="宋体" w:hAnsi="宋体" w:eastAsia="宋体" w:cs="宋体"/>
                <w:i w:val="0"/>
                <w:iCs w:val="0"/>
                <w:color w:val="000000"/>
                <w:kern w:val="0"/>
                <w:sz w:val="22"/>
                <w:szCs w:val="22"/>
                <w:u w:val="none"/>
                <w:lang w:val="en-US" w:eastAsia="zh-CN" w:bidi="ar"/>
              </w:rPr>
              <w:t>其他</w:t>
            </w:r>
          </w:p>
        </w:tc>
        <w:tc>
          <w:tcPr>
            <w:tcW w:w="3719"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★2.为保证产品的质量稳定性和后期维保服务的便利性，所投产品四龙头学生饮水台、壁挂式饮水机、单龙头立式直饮机、中大型双龙头立式直饮机、双龙头立式饮水机、中央净水主机须为同一品牌。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 w:type="pct"/>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773" w:type="pct"/>
            <w:shd w:val="clear" w:color="auto" w:fill="auto"/>
            <w:vAlign w:val="center"/>
          </w:tcPr>
          <w:p>
            <w:pPr>
              <w:keepNext w:val="0"/>
              <w:keepLines w:val="0"/>
              <w:widowControl/>
              <w:suppressLineNumbers w:val="0"/>
              <w:jc w:val="left"/>
              <w:textAlignment w:val="center"/>
              <w:rPr>
                <w:rFonts w:hint="eastAsia" w:ascii="宋体" w:hAnsi="宋体"/>
                <w:kern w:val="0"/>
                <w:szCs w:val="21"/>
              </w:rPr>
            </w:pPr>
            <w:r>
              <w:rPr>
                <w:rFonts w:hint="eastAsia" w:ascii="宋体" w:hAnsi="宋体" w:eastAsia="宋体" w:cs="宋体"/>
                <w:i w:val="0"/>
                <w:iCs w:val="0"/>
                <w:color w:val="000000"/>
                <w:kern w:val="0"/>
                <w:sz w:val="22"/>
                <w:szCs w:val="22"/>
                <w:u w:val="none"/>
                <w:lang w:val="en-US" w:eastAsia="zh-CN" w:bidi="ar"/>
              </w:rPr>
              <w:t>交货及付款要求</w:t>
            </w:r>
          </w:p>
        </w:tc>
        <w:tc>
          <w:tcPr>
            <w:tcW w:w="3719"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★2.1履约时间和地点：投标供应商在签订合同之日起10天（日历日）内交货，交货地点为采购人指定的各使用单位。</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2"/>
      </w:pPr>
    </w:p>
    <w:p>
      <w:pPr>
        <w:pStyle w:val="6"/>
        <w:spacing w:before="120" w:beforeLines="50" w:after="120" w:afterLines="50"/>
        <w:rPr>
          <w:rFonts w:hint="eastAsia"/>
          <w:sz w:val="28"/>
          <w:szCs w:val="28"/>
        </w:rPr>
      </w:pPr>
      <w:r>
        <w:rPr>
          <w:rFonts w:hint="eastAsia"/>
          <w:sz w:val="28"/>
          <w:szCs w:val="28"/>
        </w:rPr>
        <w:t>四、技术要求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、评分时，如对一项招标技术要求（以序号“1.”“2.”“3.”......为准）中的内容存在两处（或以上）负偏离的，在评分时只作一项负偏离扣分。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41" w:name="_Hlk72585069"/>
      <w:r>
        <w:rPr>
          <w:rFonts w:hint="eastAsia"/>
          <w:b/>
          <w:szCs w:val="21"/>
        </w:rPr>
        <w:t>招标技术要求中，用红色加粗字体标注的指标项均要求提供证明资；其余指标项未要求提供证明资料，无需提供相关证明资料。</w:t>
      </w:r>
    </w:p>
    <w:p>
      <w:pPr>
        <w:ind w:firstLine="422" w:firstLineChars="200"/>
        <w:rPr>
          <w:b/>
          <w:szCs w:val="21"/>
        </w:rPr>
      </w:pPr>
      <w:r>
        <w:rPr>
          <w:rFonts w:hint="eastAsia"/>
          <w:b/>
          <w:szCs w:val="21"/>
        </w:rPr>
        <w:t>4.涉及区间的技术要求，除特别注明以外，均包含首尾两端本数，所投产品响应数值在招标文件要求的区间范围内即认定为满足该项技术要求，产品参数区间与招标要求不一致的均视为负偏离。例：</w:t>
      </w:r>
    </w:p>
    <w:p>
      <w:pPr>
        <w:ind w:firstLine="422" w:firstLineChars="200"/>
        <w:rPr>
          <w:b/>
          <w:szCs w:val="21"/>
        </w:rPr>
      </w:pPr>
      <w:r>
        <w:rPr>
          <w:rFonts w:hint="eastAsia"/>
          <w:b/>
          <w:szCs w:val="21"/>
        </w:rPr>
        <w:t>（1）“20L”（凡是响应内容与该数值不一致者，均视为负偏离）；</w:t>
      </w:r>
    </w:p>
    <w:p>
      <w:pPr>
        <w:ind w:firstLine="422" w:firstLineChars="200"/>
        <w:rPr>
          <w:b/>
          <w:szCs w:val="21"/>
        </w:rPr>
      </w:pPr>
      <w:r>
        <w:rPr>
          <w:rFonts w:hint="eastAsia"/>
          <w:b/>
          <w:szCs w:val="21"/>
        </w:rPr>
        <w:t>（2）“H≥6m”（凡是响应内容存在小于6m可能情形的均视为负偏离）；</w:t>
      </w:r>
    </w:p>
    <w:p>
      <w:pPr>
        <w:ind w:firstLine="422" w:firstLineChars="200"/>
        <w:rPr>
          <w:b/>
          <w:szCs w:val="21"/>
        </w:rPr>
      </w:pPr>
      <w:r>
        <w:rPr>
          <w:rFonts w:hint="eastAsia"/>
          <w:b/>
          <w:szCs w:val="21"/>
        </w:rPr>
        <w:t>（3）区间要求为0-20ML,只要响应的不是广于等于“0-20ML”，如投标文件响应为 0-15ML、1-12ML 、 9-20ML 、6-21ML 、9ML 等情形均视为负偏离。</w:t>
      </w:r>
    </w:p>
    <w:p>
      <w:pPr>
        <w:ind w:firstLine="422" w:firstLineChars="200"/>
        <w:rPr>
          <w:b/>
          <w:szCs w:val="21"/>
        </w:rPr>
      </w:pPr>
      <w:r>
        <w:rPr>
          <w:rFonts w:hint="eastAsia"/>
          <w:b/>
          <w:szCs w:val="21"/>
        </w:rPr>
        <w:t>5.相关证明材料的产品名称与招标技术要求的货物名称不一致的，需提供为同种产品的说明；若名称不一致又未提供说明的，由评审委员会判定是否符合文件要求。</w:t>
      </w:r>
    </w:p>
    <w:p>
      <w:pPr>
        <w:pStyle w:val="8"/>
      </w:pPr>
    </w:p>
    <w:bookmarkEnd w:id="41"/>
    <w:tbl>
      <w:tblPr>
        <w:tblStyle w:val="43"/>
        <w:tblW w:w="4998" w:type="pct"/>
        <w:tblInd w:w="0" w:type="dxa"/>
        <w:tblLayout w:type="autofit"/>
        <w:tblCellMar>
          <w:top w:w="0" w:type="dxa"/>
          <w:left w:w="108" w:type="dxa"/>
          <w:bottom w:w="0" w:type="dxa"/>
          <w:right w:w="108" w:type="dxa"/>
        </w:tblCellMar>
      </w:tblPr>
      <w:tblGrid>
        <w:gridCol w:w="656"/>
        <w:gridCol w:w="1096"/>
        <w:gridCol w:w="6774"/>
      </w:tblGrid>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货物名称</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招标技术要求</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四龙头学生饮水台</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255"/>
                <w:numId w:val="0"/>
              </w:numPr>
              <w:jc w:val="left"/>
              <w:textAlignment w:val="center"/>
              <w:rPr>
                <w:rFonts w:hint="eastAsia" w:ascii="宋体" w:hAnsi="宋体" w:eastAsia="宋体" w:cs="宋体"/>
                <w:b/>
                <w:bCs/>
                <w:color w:val="FF0000"/>
                <w:kern w:val="0"/>
                <w:sz w:val="22"/>
                <w:szCs w:val="22"/>
                <w:lang w:bidi="ar"/>
              </w:rPr>
            </w:pPr>
            <w:r>
              <w:rPr>
                <w:rFonts w:hint="eastAsia" w:ascii="宋体" w:hAnsi="宋体" w:cs="宋体"/>
                <w:color w:val="000000"/>
                <w:kern w:val="0"/>
                <w:sz w:val="22"/>
                <w:szCs w:val="22"/>
                <w:lang w:bidi="ar"/>
              </w:rPr>
              <w:t>1.沥水盘采用304不锈钢材质，并具有自动排水功能；机身易触及的棱边和尖角采用大圆角防磕碰设计，保护安全；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2.机身尺寸：宽1300mm(±50mm)*高1400mm(±50mm)*深400mm(±50mm)；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3.出水水龙头顶部距离接水盘高度≥300mm；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4.产品出水水龙头数量为4个，任意两个龙头间距需≥350mm；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5.三小时无操作进入待机状态；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6.投标产品整机采用高精度反渗透过滤系统；净水流量（制水量）≥1.8L/min；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▲7.投标产品整机额定总净水量≥15000L；水效等级达到1级，净水产水率≥65%，</w:t>
            </w:r>
            <w:r>
              <w:rPr>
                <w:rFonts w:hint="eastAsia" w:ascii="宋体" w:hAnsi="宋体" w:cs="宋体"/>
                <w:b/>
                <w:bCs/>
                <w:color w:val="FF0000"/>
                <w:kern w:val="0"/>
                <w:sz w:val="22"/>
                <w:szCs w:val="22"/>
                <w:lang w:bidi="ar"/>
              </w:rPr>
              <w:t>提供中国水效标识网官网查询截图证明（http://www.waterlabel.org.cn）；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w:t>
            </w:r>
            <w:r>
              <w:rPr>
                <w:rFonts w:hint="eastAsia"/>
              </w:rPr>
              <w:t>8</w:t>
            </w:r>
            <w:r>
              <w:rPr>
                <w:rFonts w:hint="eastAsia" w:ascii="宋体" w:hAnsi="宋体" w:cs="宋体"/>
                <w:color w:val="000000"/>
                <w:kern w:val="0"/>
                <w:sz w:val="22"/>
                <w:szCs w:val="22"/>
                <w:lang w:bidi="ar"/>
              </w:rPr>
              <w:t>.</w:t>
            </w:r>
            <w:r>
              <w:rPr>
                <w:rFonts w:hint="eastAsia" w:ascii="宋体" w:hAnsi="宋体" w:cs="宋体"/>
                <w:color w:val="000000"/>
                <w:kern w:val="0"/>
                <w:sz w:val="22"/>
                <w:szCs w:val="22"/>
              </w:rPr>
              <w:t>投标产品连续运行状态下，其出水水质菌落总数、总大肠菌群、铜绿假单胞菌在第1天、第7天均未检出；</w:t>
            </w:r>
            <w:r>
              <w:rPr>
                <w:rFonts w:hint="eastAsia" w:ascii="宋体" w:hAnsi="宋体" w:eastAsia="宋体" w:cs="宋体"/>
                <w:b/>
                <w:bCs/>
                <w:color w:val="FF0000"/>
                <w:kern w:val="0"/>
                <w:sz w:val="22"/>
                <w:szCs w:val="22"/>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w:t>
            </w:r>
          </w:p>
          <w:p>
            <w:pPr>
              <w:widowControl/>
              <w:numPr>
                <w:ilvl w:val="255"/>
                <w:numId w:val="0"/>
              </w:numPr>
              <w:jc w:val="left"/>
              <w:textAlignment w:val="center"/>
              <w:rPr>
                <w:rFonts w:hint="eastAsia" w:ascii="宋体" w:hAnsi="宋体" w:cs="宋体"/>
                <w:color w:val="000000"/>
                <w:kern w:val="0"/>
                <w:sz w:val="22"/>
                <w:szCs w:val="22"/>
                <w:lang w:bidi="ar"/>
              </w:rPr>
            </w:pPr>
            <w:r>
              <w:rPr>
                <w:rFonts w:hint="eastAsia" w:ascii="宋体" w:hAnsi="宋体" w:eastAsia="宋体" w:cs="宋体"/>
                <w:b/>
                <w:bCs/>
                <w:color w:val="FF0000"/>
                <w:kern w:val="0"/>
                <w:sz w:val="22"/>
                <w:szCs w:val="22"/>
                <w:lang w:bidi="ar"/>
              </w:rPr>
              <w:t>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▲9.出水水质符合《生活饮用水水质处理器卫生安全与功能评价规范-反渗透处理装置》，且对出水进行检测，磷酸盐含量为0；</w:t>
            </w:r>
            <w:r>
              <w:rPr>
                <w:rFonts w:hint="eastAsia" w:ascii="宋体" w:hAnsi="宋体" w:eastAsia="宋体" w:cs="宋体"/>
                <w:b/>
                <w:bCs/>
                <w:color w:val="FF0000"/>
                <w:kern w:val="0"/>
                <w:sz w:val="22"/>
                <w:szCs w:val="22"/>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10.使用电源220V，50Hz，额定功率≥3000W；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11.热水箱容量＞43L；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12.采用高效保温材质，节约能耗；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highlight w:val="yellow"/>
                <w:lang w:bidi="ar"/>
              </w:rPr>
              <w:t>▲13.四个水嘴同时开启，任意一个水嘴出水流量≥2L/min，</w:t>
            </w:r>
            <w:r>
              <w:rPr>
                <w:rFonts w:hint="eastAsia" w:ascii="宋体" w:hAnsi="宋体" w:eastAsia="宋体" w:cs="宋体"/>
                <w:b/>
                <w:bCs/>
                <w:color w:val="FF0000"/>
                <w:kern w:val="0"/>
                <w:sz w:val="22"/>
                <w:szCs w:val="22"/>
                <w:highlight w:val="yellow"/>
                <w:lang w:bidi="ar"/>
              </w:rPr>
              <w:t>提供投标人或整机产品制造商送检的第三方检测机构在能力范围内出具的标注资质认定标志（CMA）的检验检测报告扫描件</w:t>
            </w:r>
            <w:r>
              <w:rPr>
                <w:rFonts w:hint="eastAsia" w:ascii="宋体" w:hAnsi="宋体" w:cs="宋体"/>
                <w:b/>
                <w:bCs/>
                <w:color w:val="FF0000"/>
                <w:kern w:val="0"/>
                <w:sz w:val="22"/>
                <w:szCs w:val="22"/>
                <w:highlight w:val="yellow"/>
                <w:lang w:bidi="ar"/>
              </w:rPr>
              <w:t>（检测报告委托单位需为投标人或产品制造商），或产品制造商出具的加盖公章的技术确认函，或产品彩页，原件备查。注：对应参数（检验检测项）需在检验检测报告中体现，如参数描述模糊，按负偏离处理。）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14.出水温度40℃~55℃，具备电子调温功能；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15.取水方式：取水按键采用触摸式；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16.整机防触电保护类别为I类；</w:t>
            </w:r>
          </w:p>
          <w:p>
            <w:pPr>
              <w:widowControl/>
              <w:jc w:val="left"/>
              <w:textAlignment w:val="center"/>
            </w:pPr>
            <w:r>
              <w:rPr>
                <w:rFonts w:hint="eastAsia" w:ascii="宋体" w:hAnsi="宋体" w:cs="宋体"/>
                <w:color w:val="000000"/>
                <w:kern w:val="0"/>
                <w:sz w:val="22"/>
                <w:szCs w:val="22"/>
                <w:lang w:bidi="ar"/>
              </w:rPr>
              <w:t>★17.投标产品整机必须有《涉及饮用水卫生安全产品卫生许可批件》（批件上的型号须与所投产品铭牌的型号一致），且批件中的申请单位与生产单位一致；为了确保产品运行的稳定性，只接受整机水批，凡组合产品、组合部件水批视为无水批；（提供《涉及饮用水卫生安全产品卫生许可批件》扫描件）</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壁挂式饮水机</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1.加热功率≥1450W；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2.热水箱容量≥3L；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3.产品尺寸：宽350(±20mm)*高500(±20mm)*厚250mm(±20mm)，；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4.热水温调节区间：80-96℃；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5.具有防漏水功能；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6.设备取水按键为触控式，具有童锁功能；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7.整机具有出水温度显示功能；</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单龙头立式直饮机</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255"/>
                <w:numId w:val="0"/>
              </w:numPr>
              <w:jc w:val="left"/>
              <w:textAlignment w:val="center"/>
              <w:rPr>
                <w:rFonts w:hint="eastAsia" w:ascii="宋体" w:hAnsi="宋体" w:eastAsia="宋体" w:cs="宋体"/>
                <w:b/>
                <w:bCs/>
                <w:color w:val="FF0000"/>
                <w:kern w:val="0"/>
                <w:sz w:val="22"/>
                <w:szCs w:val="22"/>
                <w:lang w:bidi="ar"/>
              </w:rPr>
            </w:pPr>
            <w:r>
              <w:rPr>
                <w:rFonts w:hint="eastAsia" w:ascii="宋体" w:hAnsi="宋体" w:cs="宋体"/>
                <w:color w:val="000000"/>
                <w:kern w:val="0"/>
                <w:sz w:val="22"/>
                <w:szCs w:val="22"/>
                <w:lang w:bidi="ar"/>
              </w:rPr>
              <w:t>1.机身尺寸：宽420mm(±50mm)*厚420mm(±50mm)*高1420mm(±50mm)，整机外部机身采用耐指纹面板；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2.接水盘采用拉丝不锈钢盖板，出水口底部距接水盘高度≥295mm；</w:t>
            </w:r>
            <w:r>
              <w:rPr>
                <w:rFonts w:hint="eastAsia" w:ascii="宋体" w:hAnsi="宋体" w:cs="宋体"/>
                <w:color w:val="000000"/>
                <w:kern w:val="0"/>
                <w:sz w:val="22"/>
                <w:szCs w:val="22"/>
                <w:lang w:bidi="ar"/>
              </w:rPr>
              <w:br w:type="textWrapping"/>
            </w:r>
            <w:r>
              <w:rPr>
                <w:rFonts w:hint="eastAsia" w:ascii="宋体" w:hAnsi="宋体" w:eastAsia="宋体" w:cs="宋体"/>
                <w:kern w:val="0"/>
                <w:sz w:val="21"/>
                <w:szCs w:val="21"/>
                <w:highlight w:val="yellow"/>
                <w:lang w:bidi="ar"/>
              </w:rPr>
              <w:t>▲3.设备温水箱内具有紫外线杀菌灯，在紫外线灯下方垂直1米处的辐照度不低于7.5μ</w:t>
            </w:r>
            <w:r>
              <w:rPr>
                <w:rFonts w:hint="eastAsia" w:ascii="宋体" w:hAnsi="宋体" w:eastAsia="宋体" w:cs="宋体"/>
                <w:kern w:val="0"/>
                <w:sz w:val="21"/>
                <w:szCs w:val="21"/>
                <w:highlight w:val="yellow"/>
                <w:lang w:val="en-US" w:eastAsia="zh-CN" w:bidi="ar"/>
              </w:rPr>
              <w:t>W</w:t>
            </w:r>
            <w:r>
              <w:rPr>
                <w:rFonts w:hint="eastAsia" w:ascii="宋体" w:hAnsi="宋体" w:eastAsia="宋体" w:cs="宋体"/>
                <w:kern w:val="0"/>
                <w:sz w:val="21"/>
                <w:szCs w:val="21"/>
                <w:highlight w:val="yellow"/>
                <w:lang w:bidi="ar"/>
              </w:rPr>
              <w:t>/cm²；</w:t>
            </w:r>
            <w:r>
              <w:rPr>
                <w:rFonts w:hint="eastAsia" w:ascii="宋体" w:hAnsi="宋体" w:eastAsia="宋体" w:cs="宋体"/>
                <w:b/>
                <w:bCs/>
                <w:color w:val="FF0000"/>
                <w:kern w:val="0"/>
                <w:sz w:val="21"/>
                <w:szCs w:val="21"/>
                <w:highlight w:val="yellow"/>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4.产品整机采用高精度反渗透过滤系统，净水流量（制水量）≥0.25L/min；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5.产品整机额定总净水量≥4500L，水效等级达到1级，净水产水率≥65%；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6.额定电压：220V，额定功率＜2000W；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7.温水箱容量：≥9L，热水箱容量：≥4L；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8.防触电保护类别为I类；</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▲9.设备增压泵运行噪音不高于43分贝，</w:t>
            </w:r>
            <w:r>
              <w:rPr>
                <w:rFonts w:hint="eastAsia" w:ascii="宋体" w:hAnsi="宋体" w:eastAsia="宋体" w:cs="宋体"/>
                <w:b/>
                <w:bCs/>
                <w:color w:val="FF0000"/>
                <w:kern w:val="0"/>
                <w:sz w:val="22"/>
                <w:szCs w:val="22"/>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p>
            <w:pPr>
              <w:widowControl/>
              <w:numPr>
                <w:ilvl w:val="255"/>
                <w:numId w:val="0"/>
              </w:numPr>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▲10.所有滤芯符合《生活饮用水输配水设备及防护材料卫生安全评价规范》（2001），其中苯乙烯≤0.002mg/L，丙烯腈≤1mg/kg；</w:t>
            </w:r>
            <w:r>
              <w:rPr>
                <w:rFonts w:hint="eastAsia" w:ascii="宋体" w:hAnsi="宋体" w:eastAsia="宋体" w:cs="宋体"/>
                <w:b/>
                <w:bCs/>
                <w:color w:val="FF0000"/>
                <w:kern w:val="0"/>
                <w:sz w:val="22"/>
                <w:szCs w:val="22"/>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11.触控式取水方式，具有童锁功能；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12.运行故障时，设备根据故障情况，自动显示故障码；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13.具有出水温度显示功能；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14.具有滤芯状态显示功能；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15.设备集成电路采用灌胶工艺，使设备具备更强防水性能。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16.产品具有UV灯工作监测功能；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17.具有纯水TDS值显示功能；</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中大型双龙头立式直饮机</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1.接水盘采用304不锈钢材质，加网设计并具有自动排水功能；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2.宽430mm(±20mm)*高1445mm(±20mm)*深445mm(±20mm)；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3.出水口底部距接水盘高度≥295mm；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▲4.投标产品整机采用高精度反渗透过滤系统，水效等级达到1级，且额定总净水量≥15000L，净水产水率≥65%，</w:t>
            </w:r>
            <w:r>
              <w:rPr>
                <w:rFonts w:hint="eastAsia" w:ascii="宋体" w:hAnsi="宋体" w:eastAsia="宋体" w:cs="宋体"/>
                <w:b/>
                <w:bCs/>
                <w:color w:val="FF0000"/>
                <w:kern w:val="0"/>
                <w:sz w:val="22"/>
                <w:szCs w:val="22"/>
                <w:lang w:bidi="ar"/>
              </w:rPr>
              <w:t>提供中国水效标识网官网查询截图（http://www.waterlabel.org.cn）；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5.额定电压：220V，额定功率≤2000W；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6.热水箱容量：＞24L，温水采用直供方式；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7.出热水口数量2个，有隔热防烫设计，有至少1个龙头可出常温水，热水需有“童锁”设计；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8.取水按键采用触摸式；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9.投标产品需具有水箱水量显示功能；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10.投标产品需具有热水温度实时数值显示功能；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11.投标产品需具有实时纯水TDS水质情况显示功能；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highlight w:val="yellow"/>
                <w:lang w:bidi="ar"/>
              </w:rPr>
              <w:t>▲12.投标产品温水管路具有紫外线杀菌功能，并可在面板显示，总大肠菌群起始浓度为 500cfu/100mL时，杀菌率为100%；</w:t>
            </w:r>
            <w:r>
              <w:rPr>
                <w:rFonts w:hint="eastAsia" w:ascii="宋体" w:hAnsi="宋体" w:cs="宋体"/>
                <w:b/>
                <w:bCs/>
                <w:color w:val="FF0000"/>
                <w:kern w:val="0"/>
                <w:sz w:val="22"/>
                <w:szCs w:val="22"/>
                <w:highlight w:val="yellow"/>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14.投标产品需具整机故障自动检测并代码提示功能。</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双龙头立式饮水机</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1.尺寸（宽厚高）：430mm（±20mm）*445mm（±20mm）*1445mm（±20mm），整机外部机身采用耐指纹面板；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2.接水盘采用304不锈钢材质，并具有自动排水功能，出水口底部距接水盘高度≥295mm；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3.额定电压：220V，额定功率≤1850W；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4.温水箱容量：＞10L，热水箱容量：＞10L；</w:t>
            </w:r>
            <w:r>
              <w:rPr>
                <w:rFonts w:hint="eastAsia" w:ascii="宋体" w:hAnsi="宋体" w:cs="宋体"/>
                <w:color w:val="000000"/>
                <w:kern w:val="0"/>
                <w:sz w:val="22"/>
                <w:szCs w:val="22"/>
                <w:lang w:bidi="ar"/>
              </w:rPr>
              <w:br w:type="textWrapping"/>
            </w:r>
            <w:r>
              <w:rPr>
                <w:rFonts w:hint="eastAsia"/>
              </w:rPr>
              <w:t>5</w:t>
            </w:r>
            <w:r>
              <w:rPr>
                <w:rFonts w:hint="eastAsia" w:ascii="宋体" w:hAnsi="宋体" w:cs="宋体"/>
                <w:color w:val="000000"/>
                <w:kern w:val="0"/>
                <w:sz w:val="22"/>
                <w:szCs w:val="22"/>
                <w:lang w:bidi="ar"/>
              </w:rPr>
              <w:t>.出水口数量2个，有隔热防烫设计，每个龙头都可以出常温水或热水，热水需有“童锁”设计；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6.取水按键采用触摸式；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7.投标产品需具整机故障自动检测并代码提示功能。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8.投标产品需具有热水温度实时数值显示功能；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9.投标产品需具有实时纯水TDS水质情况显示功能；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10.投标产品需具有UV灯工作状态显示功能；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11.投标产品需具有水箱水量显示功能；</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中央净水主机</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1.外观：整机主体采用304拉丝不锈钢，机器棱角采用防磕碰圆角设计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2.设备尺寸：600(±10mm)*450(±10mm)*1140mm(±10mm)；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3.投标产品整机采用高精度反渗透过滤系统；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4.额定总净水量≥8000L；产品产水率≥65%，水效等级达到1级，提供中国水效标识网官网查询截图（http://www.waterlabel.org.cn）；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5.使用电源220V，50Hz，额定功率≤100W;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6.具有内置压力桶，压力桶容积≥10G；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7.投标产品具备一键排空功能；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8.投标产品具有液晶屏；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9.产品具有显示纯水TDS值及滤芯寿命状态功能；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10.产品具有漏水保护功能；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11.产品具有缺水提示功能；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12.产品具有滤芯自清洁技术；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13.设备集成电路采用灌胶工艺，使设备具备更强防水性能；</w:t>
            </w:r>
            <w:r>
              <w:rPr>
                <w:rFonts w:hint="eastAsia" w:ascii="宋体" w:hAnsi="宋体" w:cs="宋体"/>
                <w:color w:val="000000"/>
                <w:kern w:val="0"/>
                <w:sz w:val="22"/>
                <w:szCs w:val="22"/>
                <w:lang w:bidi="ar"/>
              </w:rPr>
              <w:br w:type="textWrapping"/>
            </w:r>
            <w:r>
              <w:rPr>
                <w:rFonts w:hint="eastAsia" w:ascii="宋体" w:hAnsi="宋体" w:eastAsia="宋体" w:cs="宋体"/>
                <w:kern w:val="0"/>
                <w:sz w:val="21"/>
                <w:szCs w:val="21"/>
                <w:highlight w:val="yellow"/>
                <w:lang w:bidi="ar"/>
              </w:rPr>
              <w:t>▲14.设备增压泵依据QB/T 4697-2014《家用和类似用途反渗透净水机、纳滤净水机专用加压泵》，在增压泵运行不小于200小时后，流量和压力性能参数不低于额定参数的80%，</w:t>
            </w:r>
            <w:r>
              <w:rPr>
                <w:rFonts w:hint="eastAsia" w:ascii="宋体" w:hAnsi="宋体" w:eastAsia="宋体" w:cs="宋体"/>
                <w:b/>
                <w:bCs/>
                <w:color w:val="FF0000"/>
                <w:kern w:val="0"/>
                <w:sz w:val="21"/>
                <w:szCs w:val="21"/>
                <w:highlight w:val="yellow"/>
                <w:lang w:bidi="ar"/>
              </w:rPr>
              <w:t>提供投标人或整机产品制造商送检的第三方检测机构在能力范围内出具的标注资质认定标志（CMA）的检验检测报告扫描件（检测报告委托单位需为投标人或产品制商），原件备查。注：对应参数（检验检测项）需在检验检测报告中体现，如参数描述模糊，按负偏离处理。）；无法判断机构检测范围的，投标人需提供“检测报告载明的检测事项未超出本机构检测范围”的承诺函；</w:t>
            </w:r>
          </w:p>
        </w:tc>
      </w:tr>
      <w:tr>
        <w:tblPrEx>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安装辅材</w:t>
            </w:r>
          </w:p>
        </w:tc>
        <w:tc>
          <w:tcPr>
            <w:tcW w:w="4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1.直饮水管路采用食品级材质</w:t>
            </w:r>
          </w:p>
        </w:tc>
      </w:tr>
    </w:tbl>
    <w:p>
      <w:pPr>
        <w:rPr>
          <w:b/>
          <w:szCs w:val="21"/>
        </w:rPr>
      </w:pPr>
    </w:p>
    <w:p>
      <w:pPr>
        <w:rPr>
          <w:b/>
          <w:szCs w:val="21"/>
        </w:rPr>
      </w:pPr>
    </w:p>
    <w:p>
      <w:pPr>
        <w:pStyle w:val="6"/>
        <w:spacing w:before="120" w:beforeLines="50" w:after="120" w:afterLines="50"/>
        <w:rPr>
          <w:rFonts w:hint="eastAsia"/>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说明：带★号条款为不可偏离条款，不作为评分准则中的评分内容，如未响应或出现负偏离的，将作投标无效处理。</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07"/>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dxa"/>
            <w:vAlign w:val="center"/>
          </w:tcPr>
          <w:p>
            <w:pPr>
              <w:jc w:val="center"/>
              <w:rPr>
                <w:b/>
              </w:rPr>
            </w:pPr>
            <w:r>
              <w:rPr>
                <w:rFonts w:hint="eastAsia"/>
                <w:b/>
              </w:rPr>
              <w:t>序号</w:t>
            </w:r>
          </w:p>
        </w:tc>
        <w:tc>
          <w:tcPr>
            <w:tcW w:w="1406" w:type="dxa"/>
            <w:vAlign w:val="center"/>
          </w:tcPr>
          <w:p>
            <w:pPr>
              <w:jc w:val="center"/>
              <w:rPr>
                <w:b/>
              </w:rPr>
            </w:pPr>
            <w:r>
              <w:rPr>
                <w:rFonts w:hint="eastAsia"/>
                <w:b/>
              </w:rPr>
              <w:t>商务需求项</w:t>
            </w:r>
          </w:p>
        </w:tc>
        <w:tc>
          <w:tcPr>
            <w:tcW w:w="6304" w:type="dxa"/>
            <w:vAlign w:val="center"/>
          </w:tcPr>
          <w:p>
            <w:pPr>
              <w:jc w:val="center"/>
              <w:rPr>
                <w:b/>
              </w:rPr>
            </w:pPr>
            <w:r>
              <w:rPr>
                <w:rFonts w:hint="eastAsia"/>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9" w:type="dxa"/>
            <w:gridSpan w:val="3"/>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9" w:type="dxa"/>
            <w:vMerge w:val="restart"/>
            <w:vAlign w:val="center"/>
          </w:tcPr>
          <w:p>
            <w:pPr>
              <w:jc w:val="center"/>
              <w:rPr>
                <w:szCs w:val="21"/>
              </w:rPr>
            </w:pPr>
            <w:r>
              <w:rPr>
                <w:rFonts w:hint="eastAsia"/>
                <w:szCs w:val="21"/>
              </w:rPr>
              <w:t>1</w:t>
            </w:r>
          </w:p>
        </w:tc>
        <w:tc>
          <w:tcPr>
            <w:tcW w:w="1406" w:type="dxa"/>
            <w:vMerge w:val="restart"/>
            <w:vAlign w:val="center"/>
          </w:tcPr>
          <w:p>
            <w:pPr>
              <w:jc w:val="center"/>
              <w:rPr>
                <w:szCs w:val="21"/>
              </w:rPr>
            </w:pPr>
            <w:r>
              <w:rPr>
                <w:rFonts w:hint="eastAsia"/>
                <w:szCs w:val="21"/>
              </w:rPr>
              <w:t>免费保修期</w:t>
            </w:r>
          </w:p>
        </w:tc>
        <w:tc>
          <w:tcPr>
            <w:tcW w:w="6304" w:type="dxa"/>
          </w:tcPr>
          <w:p>
            <w:pPr>
              <w:rPr>
                <w:b/>
                <w:szCs w:val="21"/>
              </w:rPr>
            </w:pPr>
            <w:r>
              <w:rPr>
                <w:rFonts w:hint="eastAsia"/>
                <w:b/>
                <w:color w:val="FF0000"/>
                <w:szCs w:val="21"/>
              </w:rPr>
              <w:t>★1.货物免费保修期 3年，时间自最终验收合格并交付使用之日起计算。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9" w:type="dxa"/>
            <w:vMerge w:val="continue"/>
            <w:vAlign w:val="center"/>
          </w:tcPr>
          <w:p>
            <w:pPr>
              <w:jc w:val="center"/>
              <w:rPr>
                <w:b/>
                <w:szCs w:val="21"/>
              </w:rPr>
            </w:pPr>
          </w:p>
        </w:tc>
        <w:tc>
          <w:tcPr>
            <w:tcW w:w="1406" w:type="dxa"/>
            <w:vMerge w:val="continue"/>
            <w:vAlign w:val="center"/>
          </w:tcPr>
          <w:p>
            <w:pPr>
              <w:rPr>
                <w:szCs w:val="21"/>
              </w:rPr>
            </w:pPr>
          </w:p>
        </w:tc>
        <w:tc>
          <w:tcPr>
            <w:tcW w:w="6304" w:type="dxa"/>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Align w:val="center"/>
          </w:tcPr>
          <w:p>
            <w:pPr>
              <w:jc w:val="center"/>
              <w:rPr>
                <w:b/>
                <w:szCs w:val="21"/>
              </w:rPr>
            </w:pPr>
            <w:r>
              <w:rPr>
                <w:rFonts w:hint="eastAsia"/>
                <w:b/>
                <w:szCs w:val="21"/>
              </w:rPr>
              <w:t>2</w:t>
            </w:r>
          </w:p>
        </w:tc>
        <w:tc>
          <w:tcPr>
            <w:tcW w:w="1406" w:type="dxa"/>
            <w:vAlign w:val="center"/>
          </w:tcPr>
          <w:p>
            <w:pPr>
              <w:rPr>
                <w:szCs w:val="21"/>
              </w:rPr>
            </w:pPr>
            <w:r>
              <w:rPr>
                <w:rFonts w:hint="eastAsia"/>
                <w:szCs w:val="21"/>
              </w:rPr>
              <w:t>维修响应及故障解决时间</w:t>
            </w:r>
          </w:p>
        </w:tc>
        <w:tc>
          <w:tcPr>
            <w:tcW w:w="6304" w:type="dxa"/>
            <w:vAlign w:val="center"/>
          </w:tcPr>
          <w:p>
            <w:pPr>
              <w:rPr>
                <w:bCs/>
                <w:szCs w:val="21"/>
              </w:rPr>
            </w:pPr>
            <w:r>
              <w:rPr>
                <w:rFonts w:hint="eastAsia"/>
                <w:bCs/>
                <w:szCs w:val="21"/>
              </w:rPr>
              <w:t>在免费保修期内，一旦发生质量问题，响应供应商保证在接到维修需求后</w:t>
            </w:r>
            <w:r>
              <w:rPr>
                <w:rFonts w:hint="eastAsia"/>
                <w:bCs/>
                <w:color w:val="000000" w:themeColor="text1"/>
                <w:szCs w:val="21"/>
                <w:u w:val="single"/>
                <w14:textFill>
                  <w14:solidFill>
                    <w14:schemeClr w14:val="tx1"/>
                  </w14:solidFill>
                </w14:textFill>
              </w:rPr>
              <w:t>1</w:t>
            </w:r>
            <w:r>
              <w:rPr>
                <w:rFonts w:hint="eastAsia"/>
                <w:bCs/>
                <w:szCs w:val="21"/>
              </w:rPr>
              <w:t>小时内响应维修需求，</w:t>
            </w:r>
            <w:r>
              <w:rPr>
                <w:rFonts w:hint="eastAsia"/>
                <w:bCs/>
                <w:szCs w:val="21"/>
                <w:u w:val="single"/>
              </w:rPr>
              <w:t>24</w:t>
            </w:r>
            <w:r>
              <w:rPr>
                <w:rFonts w:hint="eastAsia"/>
                <w:bCs/>
                <w:szCs w:val="21"/>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9" w:type="dxa"/>
            <w:vAlign w:val="center"/>
          </w:tcPr>
          <w:p>
            <w:pPr>
              <w:jc w:val="center"/>
              <w:rPr>
                <w:b/>
                <w:szCs w:val="21"/>
              </w:rPr>
            </w:pPr>
            <w:r>
              <w:rPr>
                <w:rFonts w:hint="eastAsia"/>
                <w:szCs w:val="21"/>
              </w:rPr>
              <w:t>3</w:t>
            </w:r>
          </w:p>
        </w:tc>
        <w:tc>
          <w:tcPr>
            <w:tcW w:w="1406" w:type="dxa"/>
            <w:vAlign w:val="center"/>
          </w:tcPr>
          <w:p>
            <w:pPr>
              <w:jc w:val="center"/>
              <w:rPr>
                <w:b/>
                <w:szCs w:val="21"/>
              </w:rPr>
            </w:pPr>
            <w:r>
              <w:rPr>
                <w:rFonts w:hint="eastAsia"/>
                <w:szCs w:val="21"/>
              </w:rPr>
              <w:t>技术文件</w:t>
            </w:r>
          </w:p>
        </w:tc>
        <w:tc>
          <w:tcPr>
            <w:tcW w:w="6304" w:type="dxa"/>
            <w:vAlign w:val="center"/>
          </w:tcPr>
          <w:p>
            <w:pPr>
              <w:rPr>
                <w:bCs/>
                <w:szCs w:val="21"/>
              </w:rPr>
            </w:pPr>
            <w:r>
              <w:rPr>
                <w:rFonts w:hint="eastAsia"/>
                <w:bCs/>
                <w:szCs w:val="21"/>
              </w:rPr>
              <w:t>供应商应提供全套、完整的书面技术资料，包括产品说明书、操作手册、简单维修说明、图纸等。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9" w:type="dxa"/>
            <w:vAlign w:val="center"/>
          </w:tcPr>
          <w:p>
            <w:pPr>
              <w:jc w:val="center"/>
              <w:rPr>
                <w:bCs/>
                <w:szCs w:val="21"/>
              </w:rPr>
            </w:pPr>
            <w:r>
              <w:rPr>
                <w:rFonts w:hint="eastAsia"/>
                <w:bCs/>
                <w:szCs w:val="21"/>
              </w:rPr>
              <w:t>4</w:t>
            </w:r>
          </w:p>
        </w:tc>
        <w:tc>
          <w:tcPr>
            <w:tcW w:w="1406" w:type="dxa"/>
            <w:vAlign w:val="center"/>
          </w:tcPr>
          <w:p>
            <w:pPr>
              <w:jc w:val="center"/>
              <w:rPr>
                <w:bCs/>
                <w:szCs w:val="21"/>
              </w:rPr>
            </w:pPr>
            <w:r>
              <w:rPr>
                <w:rFonts w:hint="eastAsia"/>
                <w:szCs w:val="21"/>
              </w:rPr>
              <w:t>安装调试</w:t>
            </w:r>
          </w:p>
        </w:tc>
        <w:tc>
          <w:tcPr>
            <w:tcW w:w="6304" w:type="dxa"/>
            <w:vAlign w:val="center"/>
          </w:tcPr>
          <w:p>
            <w:pPr>
              <w:rPr>
                <w:bCs/>
                <w:szCs w:val="21"/>
              </w:rPr>
            </w:pPr>
            <w:r>
              <w:rPr>
                <w:rFonts w:hint="eastAsia"/>
                <w:bCs/>
                <w:szCs w:val="21"/>
              </w:rPr>
              <w:t>验收合格后，响应供应商应安排专业调律师上门给钢琴进行</w:t>
            </w:r>
            <w:r>
              <w:rPr>
                <w:rFonts w:hint="eastAsia"/>
                <w:bCs/>
                <w:szCs w:val="21"/>
                <w:u w:val="single"/>
              </w:rPr>
              <w:t>1</w:t>
            </w:r>
            <w:r>
              <w:rPr>
                <w:rFonts w:hint="eastAsia"/>
                <w:bCs/>
                <w:szCs w:val="21"/>
              </w:rPr>
              <w:t>次免费调律，调律师须持有相关专业的学历证明或者资质证明，并且在约定时间内完成全部调律，进行交付使用。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9" w:type="dxa"/>
            <w:vAlign w:val="center"/>
          </w:tcPr>
          <w:p>
            <w:pPr>
              <w:jc w:val="center"/>
              <w:rPr>
                <w:bCs/>
                <w:szCs w:val="21"/>
              </w:rPr>
            </w:pPr>
            <w:r>
              <w:rPr>
                <w:rFonts w:hint="eastAsia"/>
                <w:bCs/>
                <w:szCs w:val="21"/>
              </w:rPr>
              <w:t>5</w:t>
            </w:r>
          </w:p>
        </w:tc>
        <w:tc>
          <w:tcPr>
            <w:tcW w:w="1406" w:type="dxa"/>
            <w:vAlign w:val="center"/>
          </w:tcPr>
          <w:p>
            <w:pPr>
              <w:jc w:val="center"/>
              <w:rPr>
                <w:szCs w:val="21"/>
              </w:rPr>
            </w:pPr>
            <w:r>
              <w:rPr>
                <w:rFonts w:hint="eastAsia"/>
                <w:szCs w:val="21"/>
              </w:rPr>
              <w:t>其     他</w:t>
            </w:r>
          </w:p>
        </w:tc>
        <w:tc>
          <w:tcPr>
            <w:tcW w:w="6304" w:type="dxa"/>
            <w:vAlign w:val="center"/>
          </w:tcPr>
          <w:p>
            <w:pPr>
              <w:pStyle w:val="2"/>
              <w:numPr>
                <w:ilvl w:val="255"/>
                <w:numId w:val="0"/>
              </w:numPr>
              <w:spacing w:line="240" w:lineRule="auto"/>
              <w:rPr>
                <w:rFonts w:hint="eastAsia" w:ascii="宋体" w:hAnsi="宋体" w:cs="宋体"/>
                <w:color w:val="000000"/>
                <w:szCs w:val="21"/>
              </w:rPr>
            </w:pPr>
            <w:r>
              <w:rPr>
                <w:rFonts w:hint="eastAsia" w:ascii="宋体" w:hAnsi="宋体" w:cs="宋体"/>
                <w:color w:val="000000"/>
                <w:szCs w:val="21"/>
              </w:rPr>
              <w:t>1.响应供应商应按投标文件中的承诺，进行其他售后服务的工作。</w:t>
            </w:r>
          </w:p>
          <w:p>
            <w:pPr>
              <w:pStyle w:val="2"/>
              <w:numPr>
                <w:ilvl w:val="255"/>
                <w:numId w:val="0"/>
              </w:numPr>
              <w:spacing w:line="240" w:lineRule="auto"/>
            </w:pPr>
            <w:r>
              <w:rPr>
                <w:rFonts w:hint="eastAsia"/>
                <w:color w:val="FF0000"/>
                <w:szCs w:val="21"/>
              </w:rPr>
              <w:t>★2.为保证产品的质量稳定性和后期维保服务的便利性，所投产品四龙头学生饮水台、壁挂式饮水机、单龙头立式直饮机、中大型双龙头立式直饮机、双龙头立式饮水机、中央净水主机须为同一品牌。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3"/>
            <w:vAlign w:val="center"/>
          </w:tcPr>
          <w:p>
            <w:pPr>
              <w:rPr>
                <w:rFonts w:hint="eastAsia" w:ascii="宋体" w:hAnsi="宋体"/>
                <w:b/>
              </w:rPr>
            </w:pPr>
            <w:r>
              <w:rPr>
                <w:rFonts w:hint="eastAsia" w:ascii="宋体" w:hAnsi="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1406" w:type="dxa"/>
            <w:vMerge w:val="restart"/>
            <w:vAlign w:val="center"/>
          </w:tcPr>
          <w:p>
            <w:pPr>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6304" w:type="dxa"/>
            <w:vAlign w:val="center"/>
          </w:tcPr>
          <w:p>
            <w:pP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1.1在产品寿命期内，保证备件供应，及时响应维修需求，由设备制造商或中标人及时提供专业售后服务。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rPr>
            </w:pPr>
          </w:p>
        </w:tc>
        <w:tc>
          <w:tcPr>
            <w:tcW w:w="1406" w:type="dxa"/>
            <w:vMerge w:val="continue"/>
            <w:vAlign w:val="center"/>
          </w:tcPr>
          <w:p>
            <w:pPr>
              <w:rPr>
                <w:rFonts w:hint="eastAsia" w:ascii="宋体" w:hAnsi="宋体" w:cs="宋体"/>
                <w:color w:val="000000"/>
                <w:sz w:val="20"/>
                <w:szCs w:val="20"/>
              </w:rPr>
            </w:pPr>
          </w:p>
        </w:tc>
        <w:tc>
          <w:tcPr>
            <w:tcW w:w="6304" w:type="dxa"/>
            <w:vAlign w:val="center"/>
          </w:tcPr>
          <w:p>
            <w:pP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1.2保修期外出现的质量问题，只收取损坏的部件维修或更换的成本费用，价格不高于市场同类型产品的价格。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3"/>
            <w:vAlign w:val="center"/>
          </w:tcPr>
          <w:p>
            <w:pPr>
              <w:rPr>
                <w:rFonts w:hint="eastAsia" w:ascii="宋体" w:hAnsi="宋体"/>
                <w:b/>
              </w:rPr>
            </w:pPr>
            <w:r>
              <w:rPr>
                <w:rFonts w:hint="eastAsia" w:ascii="宋体" w:hAnsi="宋体"/>
                <w:b/>
              </w:rPr>
              <w:t>（三）其他商务条款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1</w:t>
            </w:r>
          </w:p>
          <w:p>
            <w:pPr>
              <w:pStyle w:val="2"/>
            </w:pPr>
          </w:p>
        </w:tc>
        <w:tc>
          <w:tcPr>
            <w:tcW w:w="1406" w:type="dxa"/>
            <w:vMerge w:val="restart"/>
            <w:vAlign w:val="center"/>
          </w:tcPr>
          <w:p>
            <w:pPr>
              <w:jc w:val="center"/>
              <w:rPr>
                <w:rFonts w:hint="eastAsia" w:ascii="宋体" w:hAnsi="宋体"/>
                <w:b/>
                <w:sz w:val="20"/>
                <w:szCs w:val="20"/>
              </w:rPr>
            </w:pPr>
            <w:r>
              <w:rPr>
                <w:rFonts w:hint="eastAsia" w:ascii="宋体" w:hAnsi="宋体"/>
                <w:b/>
                <w:sz w:val="20"/>
                <w:szCs w:val="20"/>
              </w:rPr>
              <w:t>违约责任</w:t>
            </w: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1.1</w:t>
            </w:r>
            <w:r>
              <w:rPr>
                <w:rFonts w:hint="eastAsia" w:ascii="宋体" w:hAnsi="宋体" w:cs="宋体"/>
                <w:szCs w:val="21"/>
              </w:rPr>
              <w:t>如中标供应商未按照投标文件中承诺的时间交货或提供服务，中标供应商应承担延期交货和延期服务的违约责任， 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1.2</w:t>
            </w:r>
            <w:r>
              <w:rPr>
                <w:rFonts w:hint="eastAsia" w:ascii="宋体" w:hAnsi="宋体" w:cs="宋体"/>
                <w:szCs w:val="21"/>
              </w:rPr>
              <w:t>中标供应商所交设备的品种、型号、规格、质量、功能、 技术参数等方面不能实质性满足采购文件要求的，采购人有权拒绝收货，中标供应商向釆购人偿付项目釆购金额【20】％的违约金。</w:t>
            </w:r>
            <w:r>
              <w:rPr>
                <w:rFonts w:hint="eastAsia" w:ascii="宋体" w:hAnsi="宋体" w:cs="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1.3</w:t>
            </w:r>
            <w:r>
              <w:rPr>
                <w:rFonts w:hint="eastAsia" w:ascii="宋体" w:hAnsi="宋体" w:cs="宋体"/>
                <w:szCs w:val="21"/>
              </w:rPr>
              <w:t>中标供应商不能交付设备的，中标供应商向采购人偿付项目采购金额【20】% 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1.4</w:t>
            </w:r>
            <w:r>
              <w:rPr>
                <w:rFonts w:hint="eastAsia" w:ascii="宋体" w:hAnsi="宋体" w:cs="宋体"/>
                <w:szCs w:val="21"/>
              </w:rPr>
              <w:t>中标供应商逾期交付货物的，每逾期1天，中标供应商向采购人偿付逾期交货部分货款总额的【5】％的滞纳金。如中标供应商逾期交货达20</w:t>
            </w:r>
            <w:r>
              <w:rPr>
                <w:rFonts w:hint="eastAsia" w:ascii="宋体" w:hAnsi="宋体" w:cs="宋体"/>
                <w:szCs w:val="21"/>
                <w:lang w:val="zh-CN"/>
              </w:rPr>
              <w:t>天，</w:t>
            </w:r>
            <w:r>
              <w:rPr>
                <w:rFonts w:hint="eastAsia" w:ascii="宋体" w:hAnsi="宋体" w:cs="宋体"/>
                <w:szCs w:val="21"/>
              </w:rPr>
              <w:t>釆购人有权解除合同。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1.5</w:t>
            </w:r>
            <w:r>
              <w:rPr>
                <w:rFonts w:hint="eastAsia" w:ascii="宋体" w:hAnsi="宋体" w:cs="宋体"/>
                <w:szCs w:val="21"/>
              </w:rPr>
              <w:t>如经中标供应商两次维修或更换，货物仍不能达到釆购文件要求及投标文件承诺的质量标准，采购人有权退货，中标供应商应退回全部货款并赔偿采购人因此遭受的损失。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tcPr>
          <w:p>
            <w:pPr>
              <w:rPr>
                <w:rFonts w:hint="eastAsia" w:ascii="宋体" w:hAnsi="宋体" w:cs="宋体"/>
                <w:color w:val="000000"/>
                <w:sz w:val="20"/>
                <w:szCs w:val="20"/>
              </w:rPr>
            </w:pPr>
            <w:r>
              <w:rPr>
                <w:rFonts w:hint="eastAsia" w:ascii="宋体" w:hAnsi="宋体" w:cs="宋体"/>
                <w:color w:val="000000"/>
                <w:sz w:val="20"/>
                <w:szCs w:val="20"/>
              </w:rPr>
              <w:t>1.6</w:t>
            </w:r>
            <w:r>
              <w:rPr>
                <w:rFonts w:hint="eastAsia" w:ascii="宋体" w:hAnsi="宋体" w:cs="宋体"/>
                <w:szCs w:val="21"/>
              </w:rPr>
              <w:t>中标供应商在承担上述一项或多项违约责任后，仍应继续履行合同规定的义务（采购人解除合同的除外）。釆购人未能及时追究中标供应商的任何一项违约责任并不表明釆购人放弃追究中标供应商该项或其他违约责任。</w:t>
            </w:r>
            <w:r>
              <w:rPr>
                <w:rFonts w:hint="eastAsia" w:ascii="宋体" w:hAnsi="宋体" w:cs="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bookmarkStart w:id="42" w:name="_Hlk72260973"/>
            <w:r>
              <w:rPr>
                <w:rFonts w:hint="eastAsia" w:ascii="宋体" w:hAnsi="宋体"/>
                <w:b/>
                <w:sz w:val="20"/>
                <w:szCs w:val="20"/>
              </w:rPr>
              <w:t>2</w:t>
            </w:r>
          </w:p>
        </w:tc>
        <w:tc>
          <w:tcPr>
            <w:tcW w:w="1406" w:type="dxa"/>
            <w:vMerge w:val="restart"/>
            <w:vAlign w:val="center"/>
          </w:tcPr>
          <w:p>
            <w:pPr>
              <w:jc w:val="center"/>
              <w:rPr>
                <w:rFonts w:hint="eastAsia" w:ascii="宋体" w:hAnsi="宋体"/>
                <w:b/>
                <w:sz w:val="20"/>
                <w:szCs w:val="20"/>
              </w:rPr>
            </w:pPr>
            <w:r>
              <w:rPr>
                <w:rFonts w:hint="eastAsia" w:ascii="宋体" w:hAnsi="宋体"/>
                <w:b/>
                <w:sz w:val="20"/>
                <w:szCs w:val="20"/>
              </w:rPr>
              <w:t>交货及付款要求</w:t>
            </w:r>
          </w:p>
        </w:tc>
        <w:tc>
          <w:tcPr>
            <w:tcW w:w="6304" w:type="dxa"/>
            <w:vAlign w:val="center"/>
          </w:tcPr>
          <w:p>
            <w:r>
              <w:rPr>
                <w:rFonts w:hint="eastAsia" w:asciiTheme="minorEastAsia" w:hAnsiTheme="minorEastAsia" w:eastAsiaTheme="minorEastAsia" w:cstheme="minorEastAsia"/>
                <w:b/>
                <w:bCs/>
                <w:color w:val="FF0000"/>
              </w:rPr>
              <w:t>★2.1履约时间和地点：投标供应商在签订合同之日起10天（日历日）内交货，交货地点为采购人指定的各使用单位。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vAlign w:val="center"/>
          </w:tcPr>
          <w:p>
            <w:r>
              <w:rPr>
                <w:rFonts w:hint="eastAsia"/>
              </w:rPr>
              <w:t>2.2中标</w:t>
            </w:r>
            <w:r>
              <w:rPr>
                <w:rFonts w:hint="eastAsia" w:ascii="宋体" w:hAnsi="宋体" w:cs="宋体"/>
                <w:szCs w:val="21"/>
              </w:rPr>
              <w:t>供应商承担设备运输、安装调试、验收检测和提供设备操作说明书、图纸等其他类似的义务。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b/>
                <w:sz w:val="20"/>
                <w:szCs w:val="20"/>
              </w:rPr>
            </w:pPr>
          </w:p>
        </w:tc>
        <w:tc>
          <w:tcPr>
            <w:tcW w:w="6304" w:type="dxa"/>
            <w:vAlign w:val="center"/>
          </w:tcPr>
          <w:p>
            <w:r>
              <w:rPr>
                <w:rFonts w:hint="eastAsia"/>
              </w:rPr>
              <w:t>2</w:t>
            </w:r>
            <w:r>
              <w:t>.</w:t>
            </w:r>
            <w:r>
              <w:rPr>
                <w:rFonts w:hint="eastAsia"/>
              </w:rPr>
              <w:t>3付款期限和方式：</w:t>
            </w:r>
          </w:p>
          <w:p>
            <w:pPr>
              <w:rPr>
                <w:rFonts w:hint="eastAsia" w:ascii="宋体" w:hAnsi="宋体"/>
              </w:rPr>
            </w:pPr>
            <w:r>
              <w:rPr>
                <w:rFonts w:hint="eastAsia" w:ascii="宋体" w:hAnsi="宋体"/>
              </w:rPr>
              <w:t>①预付款：合同签订后，采购人根据发改、财政部门经费下达情况向中标人支付合同金额的30%。</w:t>
            </w:r>
          </w:p>
          <w:p>
            <w:pPr>
              <w:rPr>
                <w:rFonts w:hint="eastAsia" w:ascii="宋体" w:hAnsi="宋体"/>
              </w:rPr>
            </w:pPr>
            <w:r>
              <w:rPr>
                <w:rFonts w:hint="eastAsia" w:ascii="宋体" w:hAnsi="宋体"/>
              </w:rPr>
              <w:t>②进度款：中标人需按采购人项目进度要求提供相应采购标的，按采购人进度计划，每批次标的安装调试完毕并经初验合格后，采购人向中标人按比例支付相应批次标的货款，所有标的初验合格后，累计支付至合同金额的65%；</w:t>
            </w:r>
          </w:p>
          <w:p>
            <w:pPr>
              <w:rPr>
                <w:rFonts w:hint="eastAsia" w:ascii="宋体" w:hAnsi="宋体"/>
              </w:rPr>
            </w:pPr>
            <w:r>
              <w:rPr>
                <w:rFonts w:hint="eastAsia" w:ascii="宋体" w:hAnsi="宋体"/>
              </w:rPr>
              <w:t>③尾款：所有采购标的终验合格且通过区财政结决算审核后，按照最终结决算审定金额支付尾款；</w:t>
            </w:r>
          </w:p>
          <w:p>
            <w:pPr>
              <w:rPr>
                <w:rFonts w:hint="eastAsia" w:ascii="宋体" w:hAnsi="宋体"/>
              </w:rPr>
            </w:pPr>
            <w:r>
              <w:rPr>
                <w:rFonts w:hint="eastAsia" w:ascii="宋体" w:hAnsi="宋体"/>
              </w:rPr>
              <w:t>④每次付款前，中标人需向采购人提供对应金额的正规发票，中标人逾期提供发票造成采购人逾期付款的，采购人不承担逾期付款的法律责任；</w:t>
            </w:r>
          </w:p>
          <w:p>
            <w:pPr>
              <w:rPr>
                <w:rFonts w:hint="eastAsia" w:ascii="宋体" w:hAnsi="宋体"/>
              </w:rPr>
            </w:pPr>
            <w:r>
              <w:rPr>
                <w:rFonts w:hint="eastAsia" w:ascii="宋体" w:hAnsi="宋体"/>
              </w:rPr>
              <w:t>⑤因财政支付流程导致采购人未在约定期限内支付合同费用的，中标人不得要求采购人承担逾期付款的违约责任；</w:t>
            </w:r>
          </w:p>
          <w:p>
            <w:r>
              <w:rPr>
                <w:rFonts w:hint="eastAsia" w:ascii="宋体" w:hAnsi="宋体"/>
              </w:rPr>
              <w:t>⑥具体付款方式按深圳市坪山区财政局有关规定执行。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3</w:t>
            </w:r>
          </w:p>
        </w:tc>
        <w:tc>
          <w:tcPr>
            <w:tcW w:w="1406" w:type="dxa"/>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6304" w:type="dxa"/>
            <w:vAlign w:val="center"/>
          </w:tcPr>
          <w:p>
            <w:r>
              <w:rPr>
                <w:rFonts w:hint="eastAsia"/>
              </w:rPr>
              <w:t>3.1中标供应商货物经过双方检验认可后，签署验收报告， 产品保修期自验收合格之日起算，由中标供应商提供产品保修文件。按照国际技术各项指标进行验收，具体项目包括：已按照合同规定提供了全部产品及完整的技术资料，货物具备产品合格证，提供水质检测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3.2当满足以下条件时，采购人才向中标供应商签发货物验收报告：</w:t>
            </w:r>
          </w:p>
          <w:p>
            <w:r>
              <w:rPr>
                <w:rFonts w:hint="eastAsia"/>
              </w:rPr>
              <w:t>3.2.1中标供应商已按照合同规定提供了全部产品及完整的技术资料。</w:t>
            </w:r>
          </w:p>
          <w:p>
            <w:r>
              <w:rPr>
                <w:rFonts w:hint="eastAsia"/>
              </w:rPr>
              <w:t xml:space="preserve">3.2.2 货物符合采购文件技术规格书的要求，性能满足要求。 </w:t>
            </w:r>
          </w:p>
          <w:p>
            <w:r>
              <w:rPr>
                <w:rFonts w:hint="eastAsia"/>
              </w:rPr>
              <w:t>3.2.3 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3.3.中标单位需设立售后服务团队，实行全天值班电话和售后服务热线。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3.4.产品经釆购单位验收合格后，在本采购合同规定的质保期内出现质量问题的，非人为及不可抗拒因素（地震、火山、等）造成产品损坏的，中标单位应负责在接到釆购单位的书面通知后的48小时内响应给予解决方案，中标单位免费负责损坏部件进行更换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4</w:t>
            </w:r>
          </w:p>
        </w:tc>
        <w:tc>
          <w:tcPr>
            <w:tcW w:w="1406" w:type="dxa"/>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合同价格</w:t>
            </w:r>
          </w:p>
        </w:tc>
        <w:tc>
          <w:tcPr>
            <w:tcW w:w="6304" w:type="dxa"/>
            <w:vAlign w:val="center"/>
          </w:tcPr>
          <w:p>
            <w:bookmarkStart w:id="43" w:name="bookmark43"/>
            <w:bookmarkEnd w:id="43"/>
            <w:r>
              <w:rPr>
                <w:rFonts w:hint="eastAsia"/>
              </w:rPr>
              <w:t>4.1.本项目价格以人民币为结算币种，价格包含材料费、施工费等所有费用及其增值税及附加。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4.2.中标人负责货物到现场过程中的全部运输及费用，包括装卸车、货物现场的搬运。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4.3.釆用总价合同模式，设备数量按招标要求中货物清单的数量供货。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5</w:t>
            </w:r>
          </w:p>
        </w:tc>
        <w:tc>
          <w:tcPr>
            <w:tcW w:w="1406" w:type="dxa"/>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6304" w:type="dxa"/>
            <w:vAlign w:val="center"/>
          </w:tcPr>
          <w:p>
            <w:r>
              <w:rPr>
                <w:rFonts w:hint="eastAsia"/>
              </w:rPr>
              <w:t>5.1、因货物的质量问题发生争议的，应当邀请国家认可的质量检测机构对货物质量进行鉴定。货物符合标准的，鉴定费由采购方承担；货物不符合质量标准的，鉴定费由响应供应商承担。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jc w:val="center"/>
              <w:rPr>
                <w:rFonts w:hint="eastAsia" w:ascii="宋体" w:hAnsi="宋体" w:cs="宋体"/>
                <w:b/>
                <w:color w:val="000000"/>
                <w:sz w:val="20"/>
                <w:szCs w:val="20"/>
              </w:rPr>
            </w:pPr>
          </w:p>
        </w:tc>
        <w:tc>
          <w:tcPr>
            <w:tcW w:w="6304" w:type="dxa"/>
            <w:vAlign w:val="center"/>
          </w:tcPr>
          <w:p>
            <w:r>
              <w:rPr>
                <w:rFonts w:hint="eastAsia"/>
              </w:rPr>
              <w:t>5.2、因履行本合同引起的或与本合同有关的争议，双方应首先通过友好协商解决，如果协商不能解决争议，则向采购方所在地有管辖权的人民法院提起诉讼。</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6</w:t>
            </w:r>
          </w:p>
        </w:tc>
        <w:tc>
          <w:tcPr>
            <w:tcW w:w="1406" w:type="dxa"/>
            <w:vMerge w:val="restart"/>
            <w:vAlign w:val="center"/>
          </w:tcPr>
          <w:p>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6304" w:type="dxa"/>
            <w:vAlign w:val="center"/>
          </w:tcPr>
          <w:p>
            <w:r>
              <w:rPr>
                <w:rFonts w:hint="eastAsia"/>
              </w:rPr>
              <w:t>6.1 中标供应商在签订合同之日起 3天内向采购方提供设备的运行、安装、使用环境要求。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rPr>
            </w:pPr>
          </w:p>
        </w:tc>
        <w:tc>
          <w:tcPr>
            <w:tcW w:w="1406" w:type="dxa"/>
            <w:vMerge w:val="continue"/>
            <w:vAlign w:val="center"/>
          </w:tcPr>
          <w:p>
            <w:pPr>
              <w:jc w:val="center"/>
              <w:rPr>
                <w:rFonts w:hint="eastAsia" w:ascii="宋体" w:hAnsi="宋体"/>
                <w:b/>
              </w:rPr>
            </w:pPr>
          </w:p>
        </w:tc>
        <w:tc>
          <w:tcPr>
            <w:tcW w:w="6304" w:type="dxa"/>
            <w:vAlign w:val="center"/>
          </w:tcPr>
          <w:p>
            <w:r>
              <w:rPr>
                <w:rFonts w:hint="eastAsia"/>
              </w:rPr>
              <w:t>6.2中标单位提供的全部产品，均应按双方约定和产品本身性质所要求的包装标准进行包装，该包装应清晰标识相关信息等，并适应于各种长短途运输、中转搬运以及储存和保管。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rPr>
                <w:rFonts w:hint="eastAsia" w:ascii="宋体" w:hAnsi="宋体"/>
                <w:b/>
                <w:sz w:val="20"/>
                <w:szCs w:val="20"/>
              </w:rPr>
            </w:pPr>
            <w:r>
              <w:rPr>
                <w:rFonts w:hint="eastAsia" w:ascii="宋体" w:hAnsi="宋体"/>
                <w:b/>
                <w:sz w:val="20"/>
                <w:szCs w:val="20"/>
              </w:rPr>
              <w:t>7</w:t>
            </w:r>
          </w:p>
        </w:tc>
        <w:tc>
          <w:tcPr>
            <w:tcW w:w="1406" w:type="dxa"/>
            <w:vMerge w:val="restart"/>
            <w:vAlign w:val="center"/>
          </w:tcPr>
          <w:p>
            <w:pPr>
              <w:jc w:val="center"/>
              <w:rPr>
                <w:rFonts w:hint="eastAsia" w:ascii="宋体" w:hAnsi="宋体"/>
                <w:b/>
                <w:sz w:val="20"/>
                <w:szCs w:val="20"/>
              </w:rPr>
            </w:pPr>
            <w:r>
              <w:rPr>
                <w:rFonts w:ascii="宋体" w:hAnsi="宋体"/>
                <w:b/>
                <w:sz w:val="20"/>
                <w:szCs w:val="20"/>
              </w:rPr>
              <w:t>培训</w:t>
            </w:r>
          </w:p>
        </w:tc>
        <w:tc>
          <w:tcPr>
            <w:tcW w:w="6304" w:type="dxa"/>
          </w:tcPr>
          <w:p>
            <w:r>
              <w:rPr>
                <w:rFonts w:hint="eastAsia"/>
              </w:rPr>
              <w:t>7.1中标供应商应派专业技术人员免费对采购单位指定人员进行定期培训及指导，直至其完全掌握设备的简单故障处理技术和维护方法。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rPr>
                <w:rFonts w:hint="eastAsia" w:ascii="宋体" w:hAnsi="宋体"/>
                <w:b/>
                <w:sz w:val="20"/>
                <w:szCs w:val="20"/>
              </w:rPr>
            </w:pPr>
          </w:p>
        </w:tc>
        <w:tc>
          <w:tcPr>
            <w:tcW w:w="1406" w:type="dxa"/>
            <w:vMerge w:val="continue"/>
            <w:vAlign w:val="center"/>
          </w:tcPr>
          <w:p>
            <w:pPr>
              <w:rPr>
                <w:rFonts w:hint="eastAsia" w:ascii="宋体" w:hAnsi="宋体"/>
                <w:b/>
                <w:sz w:val="20"/>
                <w:szCs w:val="20"/>
              </w:rPr>
            </w:pPr>
          </w:p>
        </w:tc>
        <w:tc>
          <w:tcPr>
            <w:tcW w:w="6304" w:type="dxa"/>
          </w:tcPr>
          <w:p>
            <w:r>
              <w:rPr>
                <w:rFonts w:hint="eastAsia"/>
              </w:rPr>
              <w:t>7.2 现场培训：中标供应商应提供现场技术培训，保证使用人员正常操作设备的各种功能和掌握维护保养方法。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Align w:val="center"/>
          </w:tcPr>
          <w:p>
            <w:pPr>
              <w:jc w:val="center"/>
              <w:rPr>
                <w:rFonts w:hint="eastAsia" w:ascii="宋体" w:hAnsi="宋体"/>
                <w:b/>
                <w:sz w:val="20"/>
                <w:szCs w:val="20"/>
              </w:rPr>
            </w:pPr>
            <w:r>
              <w:rPr>
                <w:rFonts w:hint="eastAsia" w:ascii="宋体" w:hAnsi="宋体"/>
                <w:b/>
                <w:sz w:val="20"/>
                <w:szCs w:val="20"/>
              </w:rPr>
              <w:t>8</w:t>
            </w:r>
          </w:p>
        </w:tc>
        <w:tc>
          <w:tcPr>
            <w:tcW w:w="1406" w:type="dxa"/>
            <w:vAlign w:val="center"/>
          </w:tcPr>
          <w:p>
            <w:pPr>
              <w:jc w:val="center"/>
              <w:rPr>
                <w:rFonts w:hint="eastAsia" w:ascii="宋体" w:hAnsi="宋体"/>
                <w:b/>
                <w:sz w:val="20"/>
                <w:szCs w:val="20"/>
              </w:rPr>
            </w:pPr>
            <w:r>
              <w:rPr>
                <w:rFonts w:ascii="宋体" w:hAnsi="宋体"/>
                <w:b/>
                <w:sz w:val="20"/>
                <w:szCs w:val="20"/>
              </w:rPr>
              <w:t>知识产权</w:t>
            </w:r>
          </w:p>
        </w:tc>
        <w:tc>
          <w:tcPr>
            <w:tcW w:w="6304" w:type="dxa"/>
          </w:tcPr>
          <w:p>
            <w:r>
              <w:rPr>
                <w:rFonts w:hint="eastAsia"/>
              </w:rPr>
              <w:t>8.1采购人购买产品后，有权对该产品与其他设备进行配套、整合或适当改进，而免受侵犯专利权的起诉。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Align w:val="center"/>
          </w:tcPr>
          <w:p>
            <w:pPr>
              <w:jc w:val="center"/>
              <w:rPr>
                <w:rFonts w:hint="eastAsia" w:ascii="宋体" w:hAnsi="宋体"/>
                <w:b/>
              </w:rPr>
            </w:pPr>
            <w:r>
              <w:rPr>
                <w:rFonts w:hint="eastAsia" w:ascii="宋体" w:hAnsi="宋体"/>
                <w:b/>
              </w:rPr>
              <w:t>9</w:t>
            </w:r>
          </w:p>
        </w:tc>
        <w:tc>
          <w:tcPr>
            <w:tcW w:w="1406" w:type="dxa"/>
            <w:vAlign w:val="center"/>
          </w:tcPr>
          <w:p>
            <w:pPr>
              <w:jc w:val="center"/>
              <w:rPr>
                <w:rFonts w:hint="eastAsia" w:ascii="宋体" w:hAnsi="宋体"/>
                <w:b/>
              </w:rPr>
            </w:pPr>
            <w:r>
              <w:rPr>
                <w:rFonts w:ascii="宋体" w:hAnsi="宋体"/>
                <w:b/>
                <w:color w:val="000000"/>
                <w:sz w:val="20"/>
                <w:szCs w:val="20"/>
              </w:rPr>
              <w:t>其他</w:t>
            </w:r>
          </w:p>
        </w:tc>
        <w:tc>
          <w:tcPr>
            <w:tcW w:w="6304" w:type="dxa"/>
            <w:vAlign w:val="center"/>
          </w:tcPr>
          <w:p>
            <w:r>
              <w:rPr>
                <w:rFonts w:hint="eastAsia"/>
              </w:rPr>
              <w:t>9.1投标供应商应按其投标文件中的承诺，进行其他售后服务工作。</w:t>
            </w:r>
          </w:p>
        </w:tc>
      </w:tr>
    </w:tbl>
    <w:p>
      <w:pPr>
        <w:rPr>
          <w:b/>
        </w:rPr>
      </w:pPr>
    </w:p>
    <w:p>
      <w:pPr>
        <w:pStyle w:val="8"/>
        <w:spacing w:before="60" w:beforeLines="25" w:after="60" w:afterLines="25"/>
        <w:ind w:firstLine="0"/>
        <w:rPr>
          <w:rFonts w:hint="eastAsia" w:ascii="宋体" w:hAnsi="宋体"/>
          <w:szCs w:val="21"/>
        </w:rPr>
      </w:pPr>
    </w:p>
    <w:p>
      <w:pPr>
        <w:pStyle w:val="6"/>
        <w:spacing w:before="120" w:beforeLines="50" w:after="120" w:afterLines="50"/>
        <w:rPr>
          <w:rFonts w:hint="eastAsia"/>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rPr>
      </w:pPr>
    </w:p>
    <w:p>
      <w:r>
        <w:rPr>
          <w:rFonts w:hint="eastAsia"/>
        </w:rPr>
        <w:br w:type="page"/>
      </w:r>
    </w:p>
    <w:p>
      <w:pPr>
        <w:pStyle w:val="6"/>
        <w:rPr>
          <w:rFonts w:hint="eastAsia"/>
        </w:rPr>
      </w:pPr>
      <w:r>
        <w:rPr>
          <w:rFonts w:hint="eastAsia"/>
        </w:rPr>
        <w:t>七、演示要求</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（一）总体要求：</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供应商授权委托人应在</w:t>
      </w:r>
      <w:r>
        <w:rPr>
          <w:rFonts w:hint="eastAsia" w:asciiTheme="minorEastAsia" w:hAnsiTheme="minorEastAsia" w:eastAsiaTheme="minorEastAsia" w:cstheme="minorEastAsia"/>
          <w:b/>
          <w:bCs/>
          <w:color w:val="FF0000"/>
          <w:sz w:val="21"/>
          <w:szCs w:val="21"/>
        </w:rPr>
        <w:t>本项目开标当日9:</w:t>
      </w:r>
      <w:r>
        <w:rPr>
          <w:rFonts w:hint="eastAsia" w:asciiTheme="minorEastAsia" w:hAnsiTheme="minorEastAsia" w:eastAsiaTheme="minorEastAsia" w:cstheme="minorEastAsia"/>
          <w:b/>
          <w:bCs/>
          <w:color w:val="FF0000"/>
          <w:sz w:val="21"/>
          <w:szCs w:val="21"/>
          <w:lang w:val="en-US" w:eastAsia="zh-CN"/>
        </w:rPr>
        <w:t>00</w:t>
      </w:r>
      <w:r>
        <w:rPr>
          <w:rFonts w:hint="eastAsia" w:asciiTheme="minorEastAsia" w:hAnsiTheme="minorEastAsia" w:eastAsiaTheme="minorEastAsia" w:cstheme="minorEastAsia"/>
          <w:b/>
          <w:bCs/>
          <w:color w:val="FF0000"/>
          <w:sz w:val="21"/>
          <w:szCs w:val="21"/>
        </w:rPr>
        <w:t>-9:30（投标截止时间为上午时适用）,14:</w:t>
      </w:r>
      <w:r>
        <w:rPr>
          <w:rFonts w:hint="eastAsia" w:asciiTheme="minorEastAsia" w:hAnsiTheme="minorEastAsia" w:eastAsiaTheme="minorEastAsia" w:cstheme="minorEastAsia"/>
          <w:b/>
          <w:bCs/>
          <w:color w:val="FF0000"/>
          <w:sz w:val="21"/>
          <w:szCs w:val="21"/>
          <w:lang w:val="en-US" w:eastAsia="zh-CN"/>
        </w:rPr>
        <w:t>00</w:t>
      </w:r>
      <w:r>
        <w:rPr>
          <w:rFonts w:hint="eastAsia" w:asciiTheme="minorEastAsia" w:hAnsiTheme="minorEastAsia" w:eastAsiaTheme="minorEastAsia" w:cstheme="minorEastAsia"/>
          <w:b/>
          <w:bCs/>
          <w:color w:val="FF0000"/>
          <w:sz w:val="21"/>
          <w:szCs w:val="21"/>
        </w:rPr>
        <w:t>-14:30（投标截止时间为下午时适用）到签到地点（深圳市坪山区龙田街道金牛西路11号益科大厦A座办公12层）</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按现场工作人员指引</w:t>
      </w:r>
      <w:r>
        <w:rPr>
          <w:rFonts w:hint="eastAsia" w:asciiTheme="minorEastAsia" w:hAnsiTheme="minorEastAsia" w:eastAsiaTheme="minorEastAsia" w:cstheme="minorEastAsia"/>
          <w:szCs w:val="21"/>
        </w:rPr>
        <w:t>填写《演示签到表》。</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现场演示地点提供</w:t>
      </w:r>
      <w:r>
        <w:rPr>
          <w:rFonts w:hint="eastAsia" w:asciiTheme="minorEastAsia" w:hAnsiTheme="minorEastAsia" w:eastAsiaTheme="minorEastAsia" w:cstheme="minorEastAsia"/>
          <w:bCs/>
          <w:szCs w:val="21"/>
        </w:rPr>
        <w:t>电源、带VGA接口的液晶显示器及宽带上网环境（无WIFI环境）</w:t>
      </w:r>
      <w:r>
        <w:rPr>
          <w:rFonts w:hint="eastAsia" w:asciiTheme="minorEastAsia" w:hAnsiTheme="minorEastAsia" w:eastAsiaTheme="minorEastAsia" w:cstheme="minorEastAsia"/>
          <w:szCs w:val="21"/>
        </w:rPr>
        <w:t>，由投标（谈判）供应商授权委托人自带</w:t>
      </w:r>
      <w:r>
        <w:rPr>
          <w:rFonts w:hint="eastAsia" w:asciiTheme="minorEastAsia" w:hAnsiTheme="minorEastAsia" w:eastAsiaTheme="minorEastAsia" w:cstheme="minorEastAsia"/>
          <w:bCs/>
          <w:szCs w:val="21"/>
        </w:rPr>
        <w:t>手提电脑、U盘等能完成方案讲解的便携设备（具体以自身实际需要为准）</w:t>
      </w:r>
      <w:r>
        <w:rPr>
          <w:rFonts w:hint="eastAsia" w:asciiTheme="minorEastAsia" w:hAnsiTheme="minorEastAsia" w:eastAsiaTheme="minorEastAsia" w:cstheme="minorEastAsia"/>
          <w:szCs w:val="21"/>
        </w:rPr>
        <w:t>进行现场演示。由于场地有限，建议不携带过大设备。</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每个投标（谈判）供应商演示时间不超过</w:t>
      </w:r>
      <w:r>
        <w:rPr>
          <w:rFonts w:hint="eastAsia" w:asciiTheme="minorEastAsia" w:hAnsiTheme="minorEastAsia" w:eastAsiaTheme="minorEastAsia" w:cstheme="minorEastAsia"/>
          <w:bCs/>
          <w:szCs w:val="21"/>
        </w:rPr>
        <w:t>10</w:t>
      </w:r>
      <w:r>
        <w:rPr>
          <w:rFonts w:hint="eastAsia" w:asciiTheme="minorEastAsia" w:hAnsiTheme="minorEastAsia" w:eastAsiaTheme="minorEastAsia" w:cstheme="minorEastAsia"/>
          <w:szCs w:val="21"/>
        </w:rPr>
        <w:t>分钟（期间评委可能会进行提问，并有权酌情延长时间）。演示人员不得超过</w:t>
      </w:r>
      <w:r>
        <w:rPr>
          <w:rFonts w:hint="eastAsia" w:asciiTheme="minorEastAsia" w:hAnsiTheme="minorEastAsia" w:eastAsiaTheme="minorEastAsia" w:cstheme="minorEastAsia"/>
          <w:bCs/>
          <w:szCs w:val="21"/>
        </w:rPr>
        <w:t>2</w:t>
      </w:r>
      <w:r>
        <w:rPr>
          <w:rFonts w:hint="eastAsia" w:asciiTheme="minorEastAsia" w:hAnsiTheme="minorEastAsia" w:eastAsiaTheme="minorEastAsia" w:cstheme="minorEastAsia"/>
          <w:szCs w:val="21"/>
        </w:rPr>
        <w:t>人。</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（二）具体程序：</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1、供应商授权委托人</w:t>
      </w:r>
      <w:r>
        <w:rPr>
          <w:rFonts w:hint="eastAsia" w:asciiTheme="minorEastAsia" w:hAnsiTheme="minorEastAsia" w:eastAsiaTheme="minorEastAsia" w:cstheme="minorEastAsia"/>
          <w:bCs/>
          <w:szCs w:val="21"/>
        </w:rPr>
        <w:t>需在演示签到截止时间前，提供法定代表人（负责人）演示授权委托书（加盖公章）、授权委托人身份证（港澳台居民可提供来往通行证；非中国国籍管辖范围人员，可提供公安部门认可的身份证明材料，下同）原件或提供法定代表人证明书及身份证（法定代表人为演示代表情形适用）（身份证件可提供电子证件），到</w:t>
      </w:r>
      <w:r>
        <w:rPr>
          <w:rFonts w:hint="eastAsia" w:asciiTheme="minorEastAsia" w:hAnsiTheme="minorEastAsia" w:eastAsiaTheme="minorEastAsia" w:cstheme="minorEastAsia"/>
          <w:szCs w:val="21"/>
        </w:rPr>
        <w:t>政府集中采购机构指定签到地点</w:t>
      </w:r>
      <w:r>
        <w:rPr>
          <w:rFonts w:hint="eastAsia" w:asciiTheme="minorEastAsia" w:hAnsiTheme="minorEastAsia" w:eastAsiaTheme="minorEastAsia" w:cstheme="minorEastAsia"/>
          <w:bCs/>
          <w:szCs w:val="21"/>
        </w:rPr>
        <w:t>按现场工作人员指引填写《演示签到表》。（演示授权委托书模板详见附件）</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特别注意事项：（1）资料不符合要求，不予签到；（2）规定的截止时间后，不再受理签到；（3）未进行签到的人员，不能参与现场演示</w:t>
      </w:r>
    </w:p>
    <w:p>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2、初审合格的供应商应按评委要求进行演示</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正式开始前将进行身份核对；核对内容为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人员提供的“</w:t>
      </w:r>
      <w:r>
        <w:rPr>
          <w:rFonts w:hint="eastAsia" w:asciiTheme="minorEastAsia" w:hAnsiTheme="minorEastAsia" w:eastAsiaTheme="minorEastAsia" w:cstheme="minorEastAsia"/>
          <w:bCs/>
          <w:szCs w:val="21"/>
        </w:rPr>
        <w:t>法定代表人（负责人）授权委托书（加盖公章）、授权委托人身份证原件</w:t>
      </w:r>
      <w:r>
        <w:rPr>
          <w:rFonts w:hint="eastAsia" w:asciiTheme="minorEastAsia" w:hAnsiTheme="minorEastAsia" w:eastAsiaTheme="minorEastAsia" w:cstheme="minorEastAsia"/>
          <w:szCs w:val="21"/>
        </w:rPr>
        <w:t>和复印件</w:t>
      </w:r>
      <w:r>
        <w:rPr>
          <w:rFonts w:hint="eastAsia" w:asciiTheme="minorEastAsia" w:hAnsiTheme="minorEastAsia" w:eastAsiaTheme="minorEastAsia" w:cstheme="minorEastAsia"/>
          <w:bCs/>
          <w:szCs w:val="21"/>
        </w:rPr>
        <w:t>或提供法定代表人证明书及身份证（法定代表人为演示代表情形适用）</w:t>
      </w:r>
      <w:r>
        <w:rPr>
          <w:rFonts w:hint="eastAsia" w:asciiTheme="minorEastAsia" w:hAnsiTheme="minorEastAsia" w:eastAsiaTheme="minorEastAsia" w:cstheme="minorEastAsia"/>
          <w:kern w:val="0"/>
          <w:szCs w:val="21"/>
        </w:rPr>
        <w:t>”。资料不齐全的，不得参与</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（三）其它演示规则：</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A.参加本次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的各投标（谈判）供应商，均认为本次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的程序和环境能够满足</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基本条件，并对本</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方案要求内的各项规定不做事后异议，且能够严格遵守相关规定。</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B.演示在评审环节进行。演示原则上</w:t>
      </w:r>
      <w:r>
        <w:rPr>
          <w:rFonts w:hint="eastAsia" w:asciiTheme="minorEastAsia" w:hAnsiTheme="minorEastAsia" w:eastAsiaTheme="minorEastAsia" w:cstheme="minorEastAsia"/>
          <w:bCs/>
          <w:szCs w:val="21"/>
        </w:rPr>
        <w:t>按签到顺序</w:t>
      </w:r>
      <w:r>
        <w:rPr>
          <w:rFonts w:hint="eastAsia" w:asciiTheme="minorEastAsia" w:hAnsiTheme="minorEastAsia" w:eastAsiaTheme="minorEastAsia" w:cstheme="minorEastAsia"/>
          <w:szCs w:val="21"/>
        </w:rPr>
        <w:t>依次进行（经评委同意，可以酌情进行调整）。一个供应商一次性</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完毕。一个供应商在进行</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时，其他供应商不得进入现场。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期间，评委可视情况对讲解人员进行提问。</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C.投标人对本次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条件的不确定性疑虑应在开始前做书面表达，若所有疑虑不能完全消除，并认为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结果仍会产生误判，则可以退出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D.由于</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时间有限，投标人同意承担其演示结果不确定性的风险，即同意专家以方案讲解情况的判定结论。</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E.本次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的结果，仅对本项目评审委员会（谈判小组）负责，无义务向其余各方出具方案讲解结果。</w:t>
      </w:r>
    </w:p>
    <w:p>
      <w:pPr>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F.风险及费用说明：各项费用由供应商自理、风险自负。</w:t>
      </w:r>
    </w:p>
    <w:p>
      <w:pPr>
        <w:pStyle w:val="2"/>
        <w:rPr>
          <w:rFonts w:hint="eastAsia" w:ascii="宋体" w:hAnsi="宋体"/>
          <w:sz w:val="21"/>
          <w:szCs w:val="21"/>
        </w:rPr>
      </w:pPr>
      <w:r>
        <w:rPr>
          <w:rFonts w:ascii="宋体" w:hAnsi="宋体"/>
          <w:sz w:val="21"/>
          <w:szCs w:val="21"/>
        </w:rPr>
        <w:t>（四）现场演示内容及要求</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375"/>
        <w:gridCol w:w="2270"/>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9" w:type="pct"/>
          </w:tcPr>
          <w:p>
            <w:pPr>
              <w:jc w:val="center"/>
              <w:rPr>
                <w:rFonts w:hint="eastAsia" w:ascii="宋体" w:hAnsi="宋体" w:cs="仿宋_GB2312"/>
                <w:b/>
                <w:szCs w:val="21"/>
              </w:rPr>
            </w:pPr>
            <w:r>
              <w:rPr>
                <w:rFonts w:hint="eastAsia" w:ascii="宋体" w:hAnsi="宋体" w:cs="仿宋_GB2312"/>
                <w:b/>
                <w:szCs w:val="21"/>
              </w:rPr>
              <w:t>序号</w:t>
            </w:r>
          </w:p>
        </w:tc>
        <w:tc>
          <w:tcPr>
            <w:tcW w:w="806" w:type="pct"/>
            <w:vAlign w:val="center"/>
          </w:tcPr>
          <w:p>
            <w:pPr>
              <w:jc w:val="center"/>
              <w:rPr>
                <w:rFonts w:hint="eastAsia" w:ascii="宋体" w:hAnsi="宋体" w:cs="仿宋_GB2312"/>
                <w:b/>
                <w:szCs w:val="21"/>
              </w:rPr>
            </w:pPr>
            <w:r>
              <w:rPr>
                <w:rFonts w:hint="eastAsia" w:ascii="宋体" w:hAnsi="宋体" w:cs="仿宋_GB2312"/>
                <w:b/>
                <w:szCs w:val="21"/>
              </w:rPr>
              <w:t>演示项目</w:t>
            </w:r>
          </w:p>
        </w:tc>
        <w:tc>
          <w:tcPr>
            <w:tcW w:w="1331" w:type="pct"/>
            <w:vAlign w:val="center"/>
          </w:tcPr>
          <w:p>
            <w:pPr>
              <w:jc w:val="center"/>
              <w:rPr>
                <w:rFonts w:hint="eastAsia" w:ascii="宋体" w:hAnsi="宋体" w:cs="仿宋_GB2312"/>
                <w:b/>
                <w:szCs w:val="21"/>
              </w:rPr>
            </w:pPr>
            <w:r>
              <w:rPr>
                <w:rFonts w:hint="eastAsia" w:ascii="宋体" w:hAnsi="宋体" w:cs="仿宋_GB2312"/>
                <w:b/>
                <w:szCs w:val="21"/>
              </w:rPr>
              <w:t>演示形式要求</w:t>
            </w:r>
          </w:p>
        </w:tc>
        <w:tc>
          <w:tcPr>
            <w:tcW w:w="2542" w:type="pct"/>
            <w:vAlign w:val="center"/>
          </w:tcPr>
          <w:p>
            <w:pPr>
              <w:jc w:val="center"/>
              <w:rPr>
                <w:rFonts w:hint="eastAsia" w:ascii="宋体" w:hAnsi="宋体" w:cs="仿宋_GB2312"/>
                <w:b/>
                <w:szCs w:val="21"/>
              </w:rPr>
            </w:pPr>
            <w:r>
              <w:rPr>
                <w:rFonts w:hint="eastAsia" w:ascii="宋体" w:hAnsi="宋体" w:cs="仿宋_GB2312"/>
                <w:b/>
                <w:szCs w:val="21"/>
              </w:rPr>
              <w:t>演示具体内容要求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19" w:type="pct"/>
            <w:vAlign w:val="center"/>
          </w:tcPr>
          <w:p>
            <w:pPr>
              <w:jc w:val="center"/>
              <w:rPr>
                <w:rFonts w:hint="eastAsia" w:ascii="宋体" w:hAnsi="宋体" w:cs="仿宋_GB2312"/>
                <w:szCs w:val="21"/>
              </w:rPr>
            </w:pPr>
            <w:r>
              <w:rPr>
                <w:rFonts w:hint="eastAsia" w:ascii="宋体" w:hAnsi="宋体" w:cs="仿宋_GB2312"/>
                <w:szCs w:val="21"/>
              </w:rPr>
              <w:t>1</w:t>
            </w:r>
          </w:p>
        </w:tc>
        <w:tc>
          <w:tcPr>
            <w:tcW w:w="806" w:type="pct"/>
            <w:vMerge w:val="restart"/>
            <w:shd w:val="clear" w:color="auto" w:fill="auto"/>
            <w:vAlign w:val="center"/>
          </w:tcPr>
          <w:p>
            <w:pPr>
              <w:widowControl/>
              <w:jc w:val="left"/>
              <w:textAlignment w:val="center"/>
              <w:rPr>
                <w:rFonts w:hint="eastAsia" w:ascii="宋体" w:hAnsi="宋体" w:cs="仿宋_GB2312"/>
                <w:szCs w:val="21"/>
              </w:rPr>
            </w:pPr>
            <w:r>
              <w:rPr>
                <w:rFonts w:hint="eastAsia" w:ascii="宋体" w:hAnsi="宋体" w:cs="宋体"/>
                <w:kern w:val="0"/>
                <w:szCs w:val="21"/>
                <w:lang w:bidi="ar"/>
              </w:rPr>
              <w:t>中大型双龙头立式直饮机</w:t>
            </w:r>
          </w:p>
        </w:tc>
        <w:tc>
          <w:tcPr>
            <w:tcW w:w="1331" w:type="pct"/>
            <w:vMerge w:val="restart"/>
            <w:shd w:val="clear" w:color="auto" w:fill="auto"/>
            <w:vAlign w:val="center"/>
          </w:tcPr>
          <w:p>
            <w:pPr>
              <w:rPr>
                <w:rFonts w:hint="eastAsia" w:ascii="宋体" w:hAnsi="宋体" w:cs="仿宋_GB2312"/>
                <w:szCs w:val="21"/>
              </w:rPr>
            </w:pPr>
            <w:r>
              <w:rPr>
                <w:rFonts w:hint="eastAsia" w:ascii="宋体" w:hAnsi="宋体" w:cs="仿宋_GB2312"/>
                <w:szCs w:val="21"/>
              </w:rPr>
              <w:t>以现场演示的方式，使用电脑远程控制演示样机，演示样机品牌型号应与投标文件中所投的品牌型号一致。</w:t>
            </w:r>
          </w:p>
        </w:tc>
        <w:tc>
          <w:tcPr>
            <w:tcW w:w="2542" w:type="pct"/>
            <w:shd w:val="clear" w:color="auto" w:fill="auto"/>
            <w:vAlign w:val="center"/>
          </w:tcPr>
          <w:p>
            <w:pPr>
              <w:pStyle w:val="8"/>
              <w:ind w:firstLine="0"/>
              <w:jc w:val="left"/>
              <w:rPr>
                <w:rFonts w:hint="eastAsia" w:ascii="宋体" w:hAnsi="宋体" w:cs="仿宋_GB2312"/>
                <w:szCs w:val="21"/>
              </w:rPr>
            </w:pPr>
            <w:r>
              <w:rPr>
                <w:rFonts w:hint="eastAsia" w:ascii="宋体" w:hAnsi="宋体" w:cs="宋体"/>
                <w:szCs w:val="21"/>
              </w:rPr>
              <w:t>1.远程查看滤芯剩余寿命；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9" w:type="pct"/>
            <w:vAlign w:val="center"/>
          </w:tcPr>
          <w:p>
            <w:pPr>
              <w:jc w:val="center"/>
              <w:rPr>
                <w:rFonts w:hint="eastAsia" w:ascii="宋体" w:hAnsi="宋体" w:cs="仿宋_GB2312"/>
                <w:szCs w:val="21"/>
              </w:rPr>
            </w:pPr>
            <w:r>
              <w:rPr>
                <w:rFonts w:hint="eastAsia" w:ascii="宋体" w:hAnsi="宋体" w:cs="仿宋_GB2312"/>
                <w:szCs w:val="21"/>
              </w:rPr>
              <w:t>2</w:t>
            </w:r>
          </w:p>
        </w:tc>
        <w:tc>
          <w:tcPr>
            <w:tcW w:w="806" w:type="pct"/>
            <w:vMerge w:val="continue"/>
            <w:vAlign w:val="center"/>
          </w:tcPr>
          <w:p>
            <w:pPr>
              <w:jc w:val="center"/>
              <w:rPr>
                <w:rFonts w:hint="eastAsia" w:ascii="宋体" w:hAnsi="宋体" w:cs="仿宋_GB2312"/>
                <w:szCs w:val="21"/>
              </w:rPr>
            </w:pPr>
          </w:p>
        </w:tc>
        <w:tc>
          <w:tcPr>
            <w:tcW w:w="1331" w:type="pct"/>
            <w:vMerge w:val="continue"/>
            <w:vAlign w:val="center"/>
          </w:tcPr>
          <w:p>
            <w:pPr>
              <w:jc w:val="center"/>
              <w:rPr>
                <w:rFonts w:hint="eastAsia" w:ascii="宋体" w:hAnsi="宋体" w:cs="仿宋_GB2312"/>
                <w:szCs w:val="21"/>
              </w:rPr>
            </w:pPr>
          </w:p>
        </w:tc>
        <w:tc>
          <w:tcPr>
            <w:tcW w:w="2542" w:type="pct"/>
            <w:shd w:val="clear" w:color="auto" w:fill="auto"/>
            <w:vAlign w:val="center"/>
          </w:tcPr>
          <w:p>
            <w:pPr>
              <w:pStyle w:val="8"/>
              <w:ind w:firstLine="0"/>
              <w:jc w:val="left"/>
              <w:rPr>
                <w:rFonts w:hint="eastAsia" w:ascii="宋体" w:hAnsi="宋体" w:cs="仿宋_GB2312"/>
                <w:szCs w:val="21"/>
              </w:rPr>
            </w:pPr>
            <w:r>
              <w:rPr>
                <w:rFonts w:hint="eastAsia" w:ascii="宋体" w:hAnsi="宋体" w:cs="宋体"/>
                <w:szCs w:val="21"/>
              </w:rPr>
              <w:t>2.远程查看设备水温情况；远程查看设备水质情况（TDS值）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9" w:type="pct"/>
            <w:vAlign w:val="center"/>
          </w:tcPr>
          <w:p>
            <w:pPr>
              <w:jc w:val="center"/>
              <w:rPr>
                <w:rFonts w:hint="eastAsia" w:ascii="宋体" w:hAnsi="宋体" w:cs="仿宋_GB2312"/>
                <w:szCs w:val="21"/>
              </w:rPr>
            </w:pPr>
            <w:r>
              <w:rPr>
                <w:rFonts w:hint="eastAsia" w:ascii="宋体" w:hAnsi="宋体" w:cs="仿宋_GB2312"/>
                <w:szCs w:val="21"/>
              </w:rPr>
              <w:t>3</w:t>
            </w:r>
          </w:p>
        </w:tc>
        <w:tc>
          <w:tcPr>
            <w:tcW w:w="806" w:type="pct"/>
            <w:vMerge w:val="continue"/>
            <w:vAlign w:val="center"/>
          </w:tcPr>
          <w:p>
            <w:pPr>
              <w:jc w:val="center"/>
              <w:rPr>
                <w:rFonts w:hint="eastAsia" w:ascii="宋体" w:hAnsi="宋体" w:cs="仿宋_GB2312"/>
                <w:szCs w:val="21"/>
              </w:rPr>
            </w:pPr>
          </w:p>
        </w:tc>
        <w:tc>
          <w:tcPr>
            <w:tcW w:w="1331" w:type="pct"/>
            <w:vMerge w:val="continue"/>
            <w:vAlign w:val="center"/>
          </w:tcPr>
          <w:p>
            <w:pPr>
              <w:jc w:val="center"/>
              <w:rPr>
                <w:rFonts w:hint="eastAsia" w:ascii="宋体" w:hAnsi="宋体" w:cs="仿宋_GB2312"/>
                <w:szCs w:val="21"/>
              </w:rPr>
            </w:pPr>
          </w:p>
        </w:tc>
        <w:tc>
          <w:tcPr>
            <w:tcW w:w="2542" w:type="pct"/>
            <w:shd w:val="clear" w:color="auto" w:fill="auto"/>
            <w:vAlign w:val="center"/>
          </w:tcPr>
          <w:p>
            <w:pPr>
              <w:pStyle w:val="8"/>
              <w:ind w:firstLine="0"/>
              <w:jc w:val="left"/>
              <w:rPr>
                <w:rFonts w:hint="eastAsia" w:ascii="宋体" w:hAnsi="宋体" w:cs="仿宋_GB2312"/>
                <w:szCs w:val="21"/>
              </w:rPr>
            </w:pPr>
            <w:r>
              <w:rPr>
                <w:rFonts w:hint="eastAsia" w:ascii="宋体" w:hAnsi="宋体" w:cs="宋体"/>
                <w:szCs w:val="21"/>
              </w:rPr>
              <w:t>3.远程控制设备开关机；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19" w:type="pct"/>
            <w:vAlign w:val="center"/>
          </w:tcPr>
          <w:p>
            <w:pPr>
              <w:jc w:val="center"/>
              <w:rPr>
                <w:rFonts w:hint="eastAsia" w:ascii="宋体" w:hAnsi="宋体" w:cs="仿宋_GB2312"/>
                <w:szCs w:val="21"/>
              </w:rPr>
            </w:pPr>
            <w:r>
              <w:rPr>
                <w:rFonts w:hint="eastAsia" w:ascii="宋体" w:hAnsi="宋体" w:cs="仿宋_GB2312"/>
                <w:szCs w:val="21"/>
              </w:rPr>
              <w:t>4</w:t>
            </w:r>
          </w:p>
        </w:tc>
        <w:tc>
          <w:tcPr>
            <w:tcW w:w="806" w:type="pct"/>
            <w:vMerge w:val="continue"/>
            <w:vAlign w:val="center"/>
          </w:tcPr>
          <w:p>
            <w:pPr>
              <w:jc w:val="center"/>
              <w:rPr>
                <w:rFonts w:hint="eastAsia" w:ascii="宋体" w:hAnsi="宋体" w:cs="仿宋_GB2312"/>
                <w:szCs w:val="21"/>
              </w:rPr>
            </w:pPr>
          </w:p>
        </w:tc>
        <w:tc>
          <w:tcPr>
            <w:tcW w:w="1331" w:type="pct"/>
            <w:vMerge w:val="continue"/>
            <w:vAlign w:val="center"/>
          </w:tcPr>
          <w:p>
            <w:pPr>
              <w:jc w:val="center"/>
              <w:rPr>
                <w:rFonts w:hint="eastAsia" w:ascii="宋体" w:hAnsi="宋体" w:cs="仿宋_GB2312"/>
                <w:szCs w:val="21"/>
              </w:rPr>
            </w:pPr>
          </w:p>
        </w:tc>
        <w:tc>
          <w:tcPr>
            <w:tcW w:w="2542" w:type="pct"/>
            <w:shd w:val="clear" w:color="auto" w:fill="auto"/>
            <w:vAlign w:val="center"/>
          </w:tcPr>
          <w:p>
            <w:pPr>
              <w:pStyle w:val="8"/>
              <w:ind w:firstLine="0"/>
              <w:jc w:val="left"/>
              <w:rPr>
                <w:rFonts w:hint="eastAsia" w:ascii="宋体" w:hAnsi="宋体" w:cs="仿宋_GB2312"/>
                <w:szCs w:val="21"/>
              </w:rPr>
            </w:pPr>
            <w:r>
              <w:rPr>
                <w:rFonts w:hint="eastAsia" w:ascii="宋体" w:hAnsi="宋体" w:cs="宋体"/>
                <w:szCs w:val="21"/>
              </w:rPr>
              <w:t>4.远程控制设备童锁开关开启或关闭；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19" w:type="pct"/>
            <w:vAlign w:val="center"/>
          </w:tcPr>
          <w:p>
            <w:pPr>
              <w:jc w:val="center"/>
              <w:rPr>
                <w:rFonts w:hint="eastAsia" w:ascii="宋体" w:hAnsi="宋体" w:cs="仿宋_GB2312"/>
                <w:szCs w:val="21"/>
              </w:rPr>
            </w:pPr>
            <w:r>
              <w:rPr>
                <w:rFonts w:hint="eastAsia" w:ascii="宋体" w:hAnsi="宋体" w:cs="仿宋_GB2312"/>
                <w:szCs w:val="21"/>
              </w:rPr>
              <w:t>5</w:t>
            </w:r>
          </w:p>
        </w:tc>
        <w:tc>
          <w:tcPr>
            <w:tcW w:w="806" w:type="pct"/>
            <w:vAlign w:val="center"/>
          </w:tcPr>
          <w:p>
            <w:pPr>
              <w:widowControl/>
              <w:jc w:val="left"/>
              <w:textAlignment w:val="center"/>
              <w:rPr>
                <w:rFonts w:hint="eastAsia" w:ascii="宋体" w:hAnsi="宋体" w:cs="仿宋_GB2312"/>
                <w:szCs w:val="21"/>
              </w:rPr>
            </w:pPr>
            <w:r>
              <w:rPr>
                <w:rFonts w:hint="eastAsia" w:ascii="宋体" w:hAnsi="宋体" w:cs="宋体"/>
                <w:kern w:val="0"/>
                <w:szCs w:val="21"/>
                <w:lang w:bidi="ar"/>
              </w:rPr>
              <w:t>壁挂式饮水机</w:t>
            </w:r>
          </w:p>
        </w:tc>
        <w:tc>
          <w:tcPr>
            <w:tcW w:w="1331" w:type="pct"/>
            <w:vAlign w:val="center"/>
          </w:tcPr>
          <w:p>
            <w:pPr>
              <w:rPr>
                <w:rFonts w:hint="eastAsia" w:ascii="宋体" w:hAnsi="宋体" w:cs="仿宋_GB2312"/>
                <w:szCs w:val="21"/>
              </w:rPr>
            </w:pPr>
            <w:r>
              <w:rPr>
                <w:rFonts w:hint="eastAsia" w:ascii="宋体" w:hAnsi="宋体" w:cs="仿宋_GB2312"/>
                <w:szCs w:val="21"/>
              </w:rPr>
              <w:t>以现场演示的方式</w:t>
            </w:r>
          </w:p>
        </w:tc>
        <w:tc>
          <w:tcPr>
            <w:tcW w:w="2542" w:type="pct"/>
            <w:shd w:val="clear" w:color="auto" w:fill="auto"/>
            <w:vAlign w:val="center"/>
          </w:tcPr>
          <w:p>
            <w:pPr>
              <w:pStyle w:val="8"/>
              <w:ind w:firstLine="0"/>
              <w:jc w:val="left"/>
              <w:rPr>
                <w:rFonts w:hint="eastAsia" w:ascii="宋体" w:hAnsi="宋体" w:cs="宋体"/>
                <w:szCs w:val="21"/>
              </w:rPr>
            </w:pPr>
            <w:r>
              <w:rPr>
                <w:rFonts w:hint="eastAsia" w:ascii="宋体" w:hAnsi="宋体" w:cs="宋体"/>
                <w:szCs w:val="21"/>
              </w:rPr>
              <w:t>1.调节控制饮水机加热温度，温控区间80-96℃，调节精度为1℃</w:t>
            </w:r>
          </w:p>
        </w:tc>
      </w:tr>
    </w:tbl>
    <w:p>
      <w:pPr>
        <w:ind w:firstLine="420" w:firstLineChars="200"/>
        <w:rPr>
          <w:rFonts w:hint="eastAsia" w:ascii="宋体" w:hAnsi="宋体" w:cs="仿宋_GB2312"/>
          <w:szCs w:val="21"/>
        </w:rPr>
      </w:pPr>
    </w:p>
    <w:p>
      <w:pPr>
        <w:ind w:firstLine="420" w:firstLineChars="200"/>
        <w:rPr>
          <w:rFonts w:hint="eastAsia" w:ascii="微软雅黑" w:hAnsi="微软雅黑" w:eastAsia="微软雅黑" w:cs="微软雅黑"/>
          <w:b/>
          <w:bCs/>
        </w:rPr>
      </w:pPr>
      <w:r>
        <w:rPr>
          <w:rFonts w:hint="eastAsia" w:ascii="宋体" w:hAnsi="宋体" w:cs="仿宋_GB2312"/>
          <w:szCs w:val="21"/>
        </w:rPr>
        <w:t>附件：演示授权书</w:t>
      </w:r>
    </w:p>
    <w:p>
      <w:pPr>
        <w:jc w:val="center"/>
        <w:rPr>
          <w:rFonts w:hint="eastAsia" w:ascii="宋体" w:hAnsi="宋体" w:cs="微软雅黑"/>
          <w:sz w:val="32"/>
          <w:szCs w:val="40"/>
        </w:rPr>
      </w:pPr>
      <w:r>
        <w:rPr>
          <w:rFonts w:hint="eastAsia" w:ascii="宋体" w:hAnsi="宋体" w:cs="微软雅黑"/>
          <w:sz w:val="32"/>
          <w:szCs w:val="40"/>
        </w:rPr>
        <w:t>演示授权委托书</w:t>
      </w:r>
    </w:p>
    <w:p>
      <w:pPr>
        <w:spacing w:line="360" w:lineRule="auto"/>
        <w:ind w:firstLine="440" w:firstLineChars="200"/>
        <w:rPr>
          <w:sz w:val="22"/>
          <w:szCs w:val="22"/>
        </w:rPr>
      </w:pPr>
      <w:r>
        <w:rPr>
          <w:rFonts w:hint="eastAsia"/>
          <w:sz w:val="22"/>
          <w:szCs w:val="22"/>
        </w:rPr>
        <w:t>本授权委托书声明：我</w:t>
      </w:r>
      <w:r>
        <w:rPr>
          <w:rFonts w:hint="eastAsia"/>
          <w:sz w:val="22"/>
          <w:szCs w:val="22"/>
          <w:u w:val="single"/>
        </w:rPr>
        <w:t xml:space="preserve">           </w:t>
      </w:r>
      <w:r>
        <w:rPr>
          <w:rFonts w:hint="eastAsia"/>
          <w:sz w:val="22"/>
          <w:szCs w:val="22"/>
        </w:rPr>
        <w:t>（姓名）系</w:t>
      </w:r>
      <w:r>
        <w:rPr>
          <w:rFonts w:hint="eastAsia"/>
          <w:sz w:val="22"/>
          <w:szCs w:val="22"/>
          <w:u w:val="single"/>
        </w:rPr>
        <w:t xml:space="preserve">             </w:t>
      </w:r>
      <w:r>
        <w:rPr>
          <w:rFonts w:hint="eastAsia"/>
          <w:sz w:val="22"/>
          <w:szCs w:val="22"/>
        </w:rPr>
        <w:t>（投标人名称）的法定代表人（负责人），现授权委托</w:t>
      </w:r>
      <w:r>
        <w:rPr>
          <w:rFonts w:hint="eastAsia"/>
          <w:sz w:val="22"/>
          <w:szCs w:val="22"/>
          <w:u w:val="single"/>
        </w:rPr>
        <w:t xml:space="preserve">            </w:t>
      </w:r>
      <w:r>
        <w:rPr>
          <w:rFonts w:hint="eastAsia"/>
          <w:sz w:val="22"/>
          <w:szCs w:val="22"/>
        </w:rPr>
        <w:t>（姓名）为我单位参与</w:t>
      </w:r>
      <w:r>
        <w:rPr>
          <w:rFonts w:hint="eastAsia"/>
          <w:sz w:val="22"/>
          <w:szCs w:val="22"/>
          <w:u w:val="single"/>
        </w:rPr>
        <w:t>（此处填写项目名称）</w:t>
      </w:r>
      <w:r>
        <w:rPr>
          <w:rFonts w:hint="eastAsia"/>
          <w:sz w:val="22"/>
          <w:szCs w:val="22"/>
        </w:rPr>
        <w:t>项目，项目编号：</w:t>
      </w:r>
      <w:r>
        <w:rPr>
          <w:sz w:val="22"/>
          <w:szCs w:val="22"/>
          <w:u w:val="single"/>
        </w:rPr>
        <w:t xml:space="preserve">   </w:t>
      </w:r>
      <w:r>
        <w:rPr>
          <w:rFonts w:hint="eastAsia"/>
          <w:sz w:val="22"/>
          <w:szCs w:val="22"/>
          <w:u w:val="single"/>
        </w:rPr>
        <w:t xml:space="preserve">      （此处填写项目编号）</w:t>
      </w:r>
      <w:r>
        <w:rPr>
          <w:rFonts w:hint="eastAsia"/>
          <w:sz w:val="22"/>
          <w:szCs w:val="22"/>
        </w:rPr>
        <w:t>演示工作的授权委托代理人，代理人全权代表我参与项目演示，演示的内容我均承认。</w:t>
      </w:r>
    </w:p>
    <w:p>
      <w:pPr>
        <w:spacing w:line="360" w:lineRule="auto"/>
        <w:ind w:firstLine="420"/>
        <w:rPr>
          <w:sz w:val="22"/>
          <w:szCs w:val="22"/>
        </w:rPr>
      </w:pPr>
      <w:r>
        <w:rPr>
          <w:rFonts w:hint="eastAsia"/>
          <w:sz w:val="22"/>
          <w:szCs w:val="22"/>
        </w:rPr>
        <w:t>代理人无转委托权，特此委托。</w:t>
      </w:r>
    </w:p>
    <w:p>
      <w:pPr>
        <w:spacing w:line="360" w:lineRule="auto"/>
        <w:ind w:firstLine="420"/>
        <w:rPr>
          <w:sz w:val="22"/>
          <w:szCs w:val="22"/>
        </w:rPr>
      </w:pPr>
    </w:p>
    <w:p>
      <w:pPr>
        <w:spacing w:line="360" w:lineRule="auto"/>
        <w:ind w:left="540" w:leftChars="257"/>
        <w:rPr>
          <w:sz w:val="22"/>
          <w:szCs w:val="22"/>
          <w:u w:val="single"/>
        </w:rPr>
      </w:pPr>
      <w:r>
        <w:rPr>
          <w:rFonts w:hint="eastAsia"/>
          <w:sz w:val="22"/>
          <w:szCs w:val="22"/>
        </w:rPr>
        <w:t>代理人：</w:t>
      </w:r>
      <w:r>
        <w:rPr>
          <w:rFonts w:hint="eastAsia"/>
          <w:sz w:val="22"/>
          <w:szCs w:val="22"/>
          <w:u w:val="single"/>
        </w:rPr>
        <w:t xml:space="preserve">             </w:t>
      </w:r>
    </w:p>
    <w:p>
      <w:pPr>
        <w:spacing w:line="360" w:lineRule="auto"/>
        <w:ind w:left="540" w:leftChars="257"/>
        <w:rPr>
          <w:sz w:val="22"/>
          <w:szCs w:val="22"/>
        </w:rPr>
      </w:pPr>
      <w:r>
        <w:rPr>
          <w:rFonts w:hint="eastAsia"/>
          <w:sz w:val="22"/>
          <w:szCs w:val="22"/>
        </w:rPr>
        <w:t>联系电话：</w:t>
      </w:r>
      <w:r>
        <w:rPr>
          <w:rFonts w:hint="eastAsia"/>
          <w:sz w:val="22"/>
          <w:szCs w:val="22"/>
          <w:u w:val="single"/>
        </w:rPr>
        <w:t xml:space="preserve">            </w:t>
      </w:r>
      <w:r>
        <w:rPr>
          <w:rFonts w:hint="eastAsia"/>
          <w:sz w:val="22"/>
          <w:szCs w:val="22"/>
        </w:rPr>
        <w:t xml:space="preserve">  手机：</w:t>
      </w:r>
      <w:r>
        <w:rPr>
          <w:rFonts w:hint="eastAsia"/>
          <w:sz w:val="22"/>
          <w:szCs w:val="22"/>
          <w:u w:val="single"/>
        </w:rPr>
        <w:t xml:space="preserve">                   </w:t>
      </w:r>
    </w:p>
    <w:p>
      <w:pPr>
        <w:spacing w:line="360" w:lineRule="auto"/>
        <w:ind w:left="540" w:leftChars="257"/>
        <w:rPr>
          <w:sz w:val="22"/>
          <w:szCs w:val="22"/>
          <w:u w:val="single"/>
        </w:rPr>
      </w:pPr>
      <w:r>
        <w:rPr>
          <w:rFonts w:hint="eastAsia"/>
          <w:sz w:val="22"/>
          <w:szCs w:val="22"/>
        </w:rPr>
        <w:t>身份证号码：</w:t>
      </w:r>
      <w:r>
        <w:rPr>
          <w:rFonts w:hint="eastAsia"/>
          <w:sz w:val="22"/>
          <w:szCs w:val="22"/>
          <w:u w:val="single"/>
        </w:rPr>
        <w:t xml:space="preserve">                        </w:t>
      </w:r>
      <w:r>
        <w:rPr>
          <w:rFonts w:hint="eastAsia"/>
          <w:sz w:val="22"/>
          <w:szCs w:val="22"/>
        </w:rPr>
        <w:t>职务：</w:t>
      </w:r>
      <w:r>
        <w:rPr>
          <w:rFonts w:hint="eastAsia"/>
          <w:sz w:val="22"/>
          <w:szCs w:val="22"/>
          <w:u w:val="single"/>
        </w:rPr>
        <w:t xml:space="preserve">       </w:t>
      </w:r>
    </w:p>
    <w:p>
      <w:pPr>
        <w:spacing w:line="360" w:lineRule="auto"/>
        <w:ind w:left="540" w:leftChars="257"/>
        <w:rPr>
          <w:sz w:val="22"/>
          <w:szCs w:val="22"/>
        </w:rPr>
      </w:pPr>
      <w:r>
        <w:rPr>
          <w:rFonts w:hint="eastAsia"/>
          <w:sz w:val="22"/>
          <w:szCs w:val="22"/>
        </w:rPr>
        <w:t>授权委托日期：</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 xml:space="preserve">月 </w:t>
      </w:r>
      <w:r>
        <w:rPr>
          <w:rFonts w:hint="eastAsia"/>
          <w:sz w:val="22"/>
          <w:szCs w:val="22"/>
          <w:u w:val="single"/>
        </w:rPr>
        <w:t xml:space="preserve">      </w:t>
      </w:r>
      <w:r>
        <w:rPr>
          <w:rFonts w:hint="eastAsia"/>
          <w:sz w:val="22"/>
          <w:szCs w:val="22"/>
        </w:rPr>
        <w:t>日</w:t>
      </w:r>
    </w:p>
    <w:p>
      <w:pPr>
        <w:spacing w:line="360" w:lineRule="auto"/>
        <w:ind w:firstLine="442" w:firstLineChars="200"/>
        <w:rPr>
          <w:b/>
          <w:color w:val="FF0000"/>
          <w:sz w:val="22"/>
          <w:szCs w:val="22"/>
        </w:rPr>
      </w:pPr>
      <w:r>
        <w:rPr>
          <w:rFonts w:hint="eastAsia"/>
          <w:b/>
          <w:color w:val="FF0000"/>
          <w:sz w:val="22"/>
          <w:szCs w:val="22"/>
        </w:rPr>
        <w:t>附： 请提供授权委托代理人身份证扫描件（正反两面）（非中国国籍管辖范围人员，可提供公安部门认可的身份证明材料）扫描件。</w:t>
      </w:r>
    </w:p>
    <w:p>
      <w:pPr>
        <w:spacing w:line="360" w:lineRule="auto"/>
        <w:ind w:firstLine="440" w:firstLineChars="200"/>
        <w:jc w:val="right"/>
        <w:rPr>
          <w:sz w:val="22"/>
          <w:szCs w:val="22"/>
        </w:rPr>
      </w:pPr>
      <w:r>
        <w:rPr>
          <w:rFonts w:hint="eastAsia"/>
          <w:sz w:val="22"/>
          <w:szCs w:val="22"/>
        </w:rPr>
        <w:t>（此处填写投标人名称）公司（加盖投标人公章）</w:t>
      </w:r>
    </w:p>
    <w:p>
      <w:pPr>
        <w:pStyle w:val="36"/>
        <w:jc w:val="right"/>
      </w:pPr>
      <w:r>
        <w:rPr>
          <w:rFonts w:hint="eastAsia"/>
          <w:sz w:val="22"/>
          <w:szCs w:val="22"/>
        </w:rPr>
        <w:t>XX年XX月XX日</w:t>
      </w:r>
    </w:p>
    <w:p>
      <w:pPr>
        <w:pStyle w:val="2"/>
        <w:rPr>
          <w:rFonts w:hint="eastAsia" w:ascii="宋体" w:hAnsi="宋体"/>
        </w:rPr>
      </w:pPr>
    </w:p>
    <w:p>
      <w:pPr>
        <w:sectPr>
          <w:pgSz w:w="11907" w:h="16840"/>
          <w:pgMar w:top="1440" w:right="1797" w:bottom="1440" w:left="1797" w:header="851" w:footer="992" w:gutter="0"/>
          <w:cols w:space="425" w:num="1"/>
          <w:titlePg/>
          <w:docGrid w:linePitch="462" w:charSpace="0"/>
        </w:sectPr>
      </w:pPr>
    </w:p>
    <w:p>
      <w:pPr>
        <w:pStyle w:val="6"/>
        <w:rPr>
          <w:rFonts w:hint="eastAsia"/>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4" w:name="_Hlk72257253"/>
      <w:r>
        <w:rPr>
          <w:rFonts w:hint="eastAsia"/>
        </w:rPr>
        <w:t>主要包括以下内容：</w:t>
      </w:r>
    </w:p>
    <w:p>
      <w:pPr>
        <w:ind w:left="718" w:leftChars="342" w:firstLine="1417" w:firstLineChars="675"/>
        <w:rPr>
          <w:szCs w:val="21"/>
        </w:rPr>
      </w:pPr>
      <w:r>
        <w:rPr>
          <w:rFonts w:hint="eastAsia"/>
          <w:szCs w:val="21"/>
        </w:rPr>
        <w:t>（1）</w:t>
      </w:r>
      <w:bookmarkStart w:id="45" w:name="_Hlk72070784"/>
      <w:r>
        <w:rPr>
          <w:rFonts w:hint="eastAsia"/>
          <w:szCs w:val="21"/>
        </w:rPr>
        <w:t>投标函</w:t>
      </w:r>
      <w:bookmarkEnd w:id="45"/>
    </w:p>
    <w:p>
      <w:pPr>
        <w:ind w:left="718" w:leftChars="342" w:firstLine="1417" w:firstLineChars="675"/>
        <w:rPr>
          <w:szCs w:val="21"/>
        </w:rPr>
      </w:pPr>
      <w:r>
        <w:rPr>
          <w:rFonts w:hint="eastAsia"/>
          <w:szCs w:val="21"/>
        </w:rPr>
        <w:t>（2）</w:t>
      </w:r>
      <w:bookmarkStart w:id="46" w:name="_Hlk72062521"/>
      <w:r>
        <w:rPr>
          <w:rFonts w:hint="eastAsia"/>
          <w:szCs w:val="21"/>
        </w:rPr>
        <w:t>采购投标及履约承诺函</w:t>
      </w:r>
      <w:bookmarkEnd w:id="46"/>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7" w:name="_Hlk72257201"/>
      <w:r>
        <w:rPr>
          <w:rFonts w:hint="eastAsia"/>
          <w:szCs w:val="21"/>
        </w:rPr>
        <w:t>（</w:t>
      </w:r>
      <w:r>
        <w:rPr>
          <w:szCs w:val="21"/>
        </w:rPr>
        <w:t>4</w:t>
      </w:r>
      <w:r>
        <w:rPr>
          <w:rFonts w:hint="eastAsia"/>
          <w:szCs w:val="21"/>
        </w:rPr>
        <w:t>）项目详细报价</w:t>
      </w:r>
    </w:p>
    <w:bookmarkEnd w:id="47"/>
    <w:p>
      <w:pPr>
        <w:ind w:firstLine="2100" w:firstLineChars="1000"/>
        <w:rPr>
          <w:szCs w:val="21"/>
        </w:rPr>
      </w:pPr>
      <w:r>
        <w:rPr>
          <w:rFonts w:hint="eastAsia"/>
          <w:szCs w:val="21"/>
        </w:rPr>
        <w:t>（5）供应商基本情况表</w:t>
      </w:r>
    </w:p>
    <w:p>
      <w:pPr>
        <w:ind w:firstLine="2100" w:firstLineChars="1000"/>
        <w:rPr>
          <w:szCs w:val="21"/>
        </w:rPr>
      </w:pPr>
      <w:r>
        <w:rPr>
          <w:rFonts w:hint="eastAsia"/>
          <w:szCs w:val="21"/>
        </w:rPr>
        <w:t>（6）法定代表人（负责人）证明书</w:t>
      </w:r>
    </w:p>
    <w:p>
      <w:pPr>
        <w:ind w:left="718" w:leftChars="342" w:firstLine="1417" w:firstLineChars="675"/>
        <w:rPr>
          <w:szCs w:val="21"/>
        </w:rPr>
      </w:pPr>
      <w:r>
        <w:rPr>
          <w:rFonts w:hint="eastAsia"/>
          <w:szCs w:val="21"/>
        </w:rPr>
        <w:t>（7）投标文件签署授权委托书</w:t>
      </w:r>
    </w:p>
    <w:p>
      <w:pPr>
        <w:ind w:left="718" w:leftChars="342" w:firstLine="1417" w:firstLineChars="675"/>
        <w:rPr>
          <w:szCs w:val="21"/>
        </w:rPr>
      </w:pPr>
      <w:r>
        <w:rPr>
          <w:rFonts w:hint="eastAsia"/>
          <w:szCs w:val="21"/>
        </w:rPr>
        <w:t>（8）实质性条款响应情况表</w:t>
      </w:r>
    </w:p>
    <w:p>
      <w:pPr>
        <w:ind w:left="718" w:leftChars="342" w:firstLine="1417" w:firstLineChars="675"/>
        <w:rPr>
          <w:szCs w:val="21"/>
        </w:rPr>
      </w:pPr>
      <w:r>
        <w:rPr>
          <w:rFonts w:hint="eastAsia"/>
          <w:szCs w:val="21"/>
        </w:rPr>
        <w:t>（9）技术要求偏离表</w:t>
      </w:r>
    </w:p>
    <w:p>
      <w:pPr>
        <w:ind w:left="718" w:leftChars="342" w:firstLine="1417" w:firstLineChars="675"/>
        <w:rPr>
          <w:szCs w:val="21"/>
        </w:rPr>
      </w:pPr>
      <w:r>
        <w:rPr>
          <w:rFonts w:hint="eastAsia"/>
          <w:szCs w:val="21"/>
        </w:rPr>
        <w:t>（10）产品演示</w:t>
      </w:r>
    </w:p>
    <w:p>
      <w:pPr>
        <w:ind w:left="718" w:leftChars="342" w:firstLine="1417" w:firstLineChars="675"/>
        <w:rPr>
          <w:szCs w:val="21"/>
        </w:rPr>
      </w:pPr>
      <w:r>
        <w:rPr>
          <w:rFonts w:hint="eastAsia"/>
          <w:szCs w:val="21"/>
        </w:rPr>
        <w:t>（1</w:t>
      </w:r>
      <w:r>
        <w:rPr>
          <w:rFonts w:hint="eastAsia"/>
          <w:szCs w:val="21"/>
          <w:lang w:val="en-US" w:eastAsia="zh-CN"/>
        </w:rPr>
        <w:t>1</w:t>
      </w:r>
      <w:r>
        <w:rPr>
          <w:rFonts w:hint="eastAsia"/>
          <w:szCs w:val="21"/>
        </w:rPr>
        <w:t>）项目实施方案</w:t>
      </w:r>
    </w:p>
    <w:p>
      <w:pPr>
        <w:ind w:left="718" w:leftChars="342" w:firstLine="1417" w:firstLineChars="675"/>
        <w:rPr>
          <w:szCs w:val="21"/>
        </w:rPr>
      </w:pPr>
      <w:r>
        <w:rPr>
          <w:rFonts w:hint="eastAsia"/>
          <w:szCs w:val="21"/>
        </w:rPr>
        <w:t>（1</w:t>
      </w:r>
      <w:r>
        <w:rPr>
          <w:rFonts w:hint="eastAsia"/>
          <w:szCs w:val="21"/>
          <w:lang w:val="en-US" w:eastAsia="zh-CN"/>
        </w:rPr>
        <w:t>2</w:t>
      </w:r>
      <w:r>
        <w:rPr>
          <w:rFonts w:hint="eastAsia"/>
          <w:szCs w:val="21"/>
        </w:rPr>
        <w:t>）售后服务方案</w:t>
      </w:r>
    </w:p>
    <w:p>
      <w:pPr>
        <w:ind w:left="718" w:leftChars="342" w:firstLine="1417" w:firstLineChars="675"/>
        <w:rPr>
          <w:szCs w:val="21"/>
        </w:rPr>
      </w:pPr>
      <w:r>
        <w:rPr>
          <w:rFonts w:hint="eastAsia"/>
          <w:szCs w:val="21"/>
        </w:rPr>
        <w:t>（1</w:t>
      </w:r>
      <w:r>
        <w:rPr>
          <w:rFonts w:hint="eastAsia"/>
          <w:szCs w:val="21"/>
          <w:lang w:val="en-US" w:eastAsia="zh-CN"/>
        </w:rPr>
        <w:t>3</w:t>
      </w:r>
      <w:r>
        <w:rPr>
          <w:rFonts w:hint="eastAsia"/>
          <w:szCs w:val="21"/>
        </w:rPr>
        <w:t>）体系认证</w:t>
      </w:r>
    </w:p>
    <w:p>
      <w:pPr>
        <w:ind w:left="718" w:leftChars="342" w:firstLine="1417" w:firstLineChars="675"/>
        <w:rPr>
          <w:szCs w:val="21"/>
        </w:rPr>
      </w:pPr>
      <w:r>
        <w:rPr>
          <w:rFonts w:hint="eastAsia"/>
          <w:szCs w:val="21"/>
        </w:rPr>
        <w:t>（1</w:t>
      </w:r>
      <w:r>
        <w:rPr>
          <w:rFonts w:hint="eastAsia"/>
          <w:szCs w:val="21"/>
          <w:lang w:val="en-US" w:eastAsia="zh-CN"/>
        </w:rPr>
        <w:t>4</w:t>
      </w:r>
      <w:r>
        <w:rPr>
          <w:rFonts w:hint="eastAsia"/>
          <w:szCs w:val="21"/>
        </w:rPr>
        <w:t>）安全保险情况</w:t>
      </w:r>
    </w:p>
    <w:p>
      <w:pPr>
        <w:ind w:left="718" w:leftChars="342" w:firstLine="1417" w:firstLineChars="675"/>
        <w:rPr>
          <w:szCs w:val="21"/>
        </w:rPr>
      </w:pPr>
      <w:r>
        <w:rPr>
          <w:rFonts w:hint="eastAsia"/>
          <w:szCs w:val="21"/>
        </w:rPr>
        <w:t>（1</w:t>
      </w:r>
      <w:r>
        <w:rPr>
          <w:rFonts w:hint="eastAsia"/>
          <w:szCs w:val="21"/>
          <w:lang w:val="en-US" w:eastAsia="zh-CN"/>
        </w:rPr>
        <w:t>5</w:t>
      </w:r>
      <w:r>
        <w:rPr>
          <w:rFonts w:hint="eastAsia"/>
          <w:szCs w:val="21"/>
        </w:rPr>
        <w:t>）诚信情况</w:t>
      </w:r>
    </w:p>
    <w:p>
      <w:pPr>
        <w:ind w:left="718" w:leftChars="342" w:firstLine="1417" w:firstLineChars="675"/>
        <w:rPr>
          <w:rFonts w:hint="eastAsia" w:ascii="宋体" w:hAnsi="宋体"/>
          <w:szCs w:val="21"/>
        </w:rPr>
      </w:pPr>
      <w:r>
        <w:rPr>
          <w:rFonts w:hint="eastAsia"/>
          <w:szCs w:val="21"/>
        </w:rPr>
        <w:t>（1</w:t>
      </w:r>
      <w:r>
        <w:rPr>
          <w:rFonts w:hint="eastAsia"/>
          <w:szCs w:val="21"/>
          <w:lang w:val="en-US" w:eastAsia="zh-CN"/>
        </w:rPr>
        <w:t>6</w:t>
      </w:r>
      <w:r>
        <w:rPr>
          <w:rFonts w:hint="eastAsia"/>
          <w:szCs w:val="21"/>
        </w:rPr>
        <w:t>）投标人认为需要加以说明的其他内容</w:t>
      </w:r>
    </w:p>
    <w:p>
      <w:pPr>
        <w:pStyle w:val="2"/>
      </w:pPr>
    </w:p>
    <w:bookmarkEnd w:id="44"/>
    <w:p>
      <w:pPr>
        <w:ind w:left="718" w:leftChars="342" w:firstLine="1417" w:firstLineChars="675"/>
        <w:rPr>
          <w:szCs w:val="21"/>
        </w:rPr>
      </w:pPr>
    </w:p>
    <w:p>
      <w:pPr>
        <w:ind w:firstLine="426" w:firstLineChars="202"/>
        <w:rPr>
          <w:rFonts w:hint="eastAsia" w:ascii="宋体" w:hAnsi="宋体"/>
          <w:b/>
          <w:szCs w:val="21"/>
        </w:rPr>
      </w:pPr>
      <w:bookmarkStart w:id="48" w:name="_Hlk72257771"/>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hint="eastAsia" w:ascii="宋体" w:hAnsi="宋体"/>
          <w:color w:val="FF0000"/>
          <w:sz w:val="24"/>
        </w:rPr>
      </w:pPr>
      <w:bookmarkStart w:id="49" w:name="_Hlk72263559"/>
      <w:r>
        <w:rPr>
          <w:rFonts w:hint="eastAsia" w:ascii="宋体" w:hAnsi="宋体"/>
          <w:b/>
          <w:szCs w:val="21"/>
        </w:rPr>
        <w:t>2.关于填写“开标一览表”的说明：“开标一览表”中除“投标总价”外，其他信息不作评审依据。</w:t>
      </w:r>
      <w:bookmarkEnd w:id="48"/>
      <w:bookmarkEnd w:id="49"/>
    </w:p>
    <w:p>
      <w:pPr>
        <w:rPr>
          <w:rFonts w:hint="eastAsia" w:ascii="宋体" w:hAnsi="宋体"/>
          <w:color w:val="FF0000"/>
          <w:sz w:val="24"/>
        </w:rPr>
      </w:pPr>
    </w:p>
    <w:p>
      <w:pPr>
        <w:rPr>
          <w:rFonts w:hint="eastAsia" w:ascii="宋体" w:hAnsi="宋体"/>
          <w:color w:val="FF0000"/>
          <w:sz w:val="24"/>
        </w:rPr>
      </w:pPr>
    </w:p>
    <w:p>
      <w:pPr>
        <w:rPr>
          <w:rFonts w:hint="eastAsia" w:ascii="宋体" w:hAnsi="宋体"/>
          <w:color w:val="FF0000"/>
          <w:sz w:val="24"/>
        </w:rPr>
      </w:pPr>
    </w:p>
    <w:p>
      <w:pPr>
        <w:rPr>
          <w:rFonts w:hint="eastAsia" w:ascii="宋体" w:hAnsi="宋体"/>
          <w:color w:val="FF0000"/>
          <w:sz w:val="24"/>
        </w:rPr>
        <w:sectPr>
          <w:pgSz w:w="11907" w:h="16840"/>
          <w:pgMar w:top="1440" w:right="1797" w:bottom="1440" w:left="1797" w:header="851" w:footer="992" w:gutter="0"/>
          <w:cols w:space="425" w:num="1"/>
          <w:titlePg/>
          <w:docGrid w:linePitch="462" w:charSpace="0"/>
        </w:sectPr>
      </w:pPr>
    </w:p>
    <w:p>
      <w:pPr>
        <w:pStyle w:val="4"/>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5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5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2" w:name="_Hlk72263588"/>
      <w:r>
        <w:rPr>
          <w:rFonts w:hint="eastAsia"/>
          <w:szCs w:val="21"/>
        </w:rPr>
        <w:t>愿意按照招标文件要求承包上述项目并修补其任何缺陷。</w:t>
      </w:r>
      <w:bookmarkEnd w:id="52"/>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53" w:name="_Hlk73819847"/>
      <w:r>
        <w:rPr>
          <w:rFonts w:hint="eastAsia" w:ascii="宋体" w:hAnsi="宋体"/>
          <w:szCs w:val="21"/>
        </w:rPr>
        <w:t>投标价格见</w:t>
      </w:r>
      <w:r>
        <w:rPr>
          <w:rFonts w:hint="eastAsia"/>
          <w:szCs w:val="21"/>
        </w:rPr>
        <w:t>投标书编制软件中填写的投标报价。</w:t>
      </w:r>
      <w:bookmarkEnd w:id="53"/>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firstLine="420" w:firstLine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1"/>
      <w:r>
        <w:rPr>
          <w:rFonts w:hint="eastAsia" w:ascii="宋体" w:hAnsi="宋体"/>
          <w:szCs w:val="21"/>
        </w:rPr>
        <w:t>。</w:t>
      </w:r>
    </w:p>
    <w:p>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50"/>
    <w:p>
      <w:pPr>
        <w:pStyle w:val="4"/>
        <w:jc w:val="center"/>
        <w:rPr>
          <w:rFonts w:hint="eastAsia" w:ascii="黑体" w:eastAsia="黑体"/>
          <w:b w:val="0"/>
          <w:sz w:val="24"/>
        </w:rPr>
      </w:pPr>
      <w:r>
        <w:rPr>
          <w:rFonts w:hint="eastAsia" w:ascii="黑体" w:eastAsia="黑体"/>
          <w:b w:val="0"/>
          <w:sz w:val="24"/>
        </w:rPr>
        <w:t>二、采购投标及履约承诺函</w:t>
      </w:r>
    </w:p>
    <w:p>
      <w:pPr>
        <w:rPr>
          <w:rFonts w:hint="eastAsia" w:ascii="宋体" w:hAnsi="宋体"/>
          <w:color w:val="FF0000"/>
          <w:szCs w:val="21"/>
        </w:rPr>
      </w:pPr>
      <w:bookmarkStart w:id="5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Cs/>
          <w:szCs w:val="21"/>
        </w:rPr>
        <w:t>1.我单位参与本项目所投标（响应）的货物、工程或服务，不存在侵犯知识产权的情况。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color w:val="FF0000"/>
        </w:rPr>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w:t>
      </w:r>
      <w:bookmarkStart w:id="55" w:name="_Hlk72587269"/>
      <w:bookmarkStart w:id="56"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hint="eastAsia" w:ascii="宋体" w:hAnsi="宋体"/>
          <w:szCs w:val="21"/>
        </w:rPr>
        <w:t>。</w:t>
      </w:r>
    </w:p>
    <w:bookmarkEnd w:id="56"/>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Cs/>
        </w:rPr>
        <w:t>不存在为</w:t>
      </w:r>
      <w:r>
        <w:rPr>
          <w:rFonts w:ascii="宋体" w:hAnsi="宋体"/>
          <w:bCs/>
        </w:rPr>
        <w:t>本次采购项目提供整体设计、规范编制或者项目管理、监理、检测等服务的情形。</w:t>
      </w:r>
      <w:r>
        <w:rPr>
          <w:rFonts w:hint="eastAsia" w:ascii="宋体" w:hAnsi="宋体"/>
          <w:bCs/>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szCs w:val="21"/>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bookmarkEnd w:id="54"/>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ind w:firstLine="645"/>
        <w:rPr>
          <w:rFonts w:hint="eastAsia"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57"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rPr>
          <w:b/>
          <w:bCs/>
          <w:sz w:val="24"/>
        </w:rPr>
      </w:pPr>
    </w:p>
    <w:p>
      <w:pPr>
        <w:ind w:firstLine="480" w:firstLineChars="200"/>
        <w:outlineLvl w:val="3"/>
        <w:rPr>
          <w:rFonts w:hint="eastAsia" w:ascii="黑体" w:hAnsi="宋体" w:eastAsia="黑体"/>
          <w:bCs/>
          <w:kern w:val="0"/>
          <w:sz w:val="24"/>
          <w:szCs w:val="32"/>
        </w:rPr>
      </w:pPr>
      <w:bookmarkStart w:id="58" w:name="_Hlk72257908"/>
      <w:r>
        <w:rPr>
          <w:rFonts w:hint="eastAsia" w:ascii="黑体" w:hAnsi="宋体" w:eastAsia="黑体"/>
          <w:bCs/>
          <w:kern w:val="0"/>
          <w:sz w:val="24"/>
          <w:szCs w:val="32"/>
        </w:rPr>
        <w:t>（二）中小企业声明函、残疾人福利性单位声明函及监狱企业声明函</w:t>
      </w:r>
    </w:p>
    <w:bookmarkEnd w:id="57"/>
    <w:p>
      <w:pPr>
        <w:jc w:val="left"/>
        <w:rPr>
          <w:rFonts w:hint="eastAsia" w:ascii="黑体" w:hAnsi="宋体" w:eastAsia="黑体"/>
          <w:bCs/>
          <w:kern w:val="0"/>
          <w:sz w:val="24"/>
          <w:szCs w:val="32"/>
        </w:rPr>
      </w:pP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pPr>
        <w:ind w:firstLine="420" w:firstLineChars="200"/>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pStyle w:val="53"/>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3"/>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8"/>
        </w:numPr>
        <w:jc w:val="center"/>
        <w:rPr>
          <w:b/>
          <w:sz w:val="24"/>
        </w:rPr>
      </w:pPr>
      <w:r>
        <w:rPr>
          <w:b/>
          <w:sz w:val="24"/>
        </w:rPr>
        <w:t>中小企业声明函（货物）</w:t>
      </w:r>
    </w:p>
    <w:p>
      <w:pPr>
        <w:pStyle w:val="2"/>
      </w:pPr>
    </w:p>
    <w:p>
      <w:pPr>
        <w:pStyle w:val="36"/>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6"/>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pPr>
        <w:pStyle w:val="36"/>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pPr>
        <w:pStyle w:val="36"/>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pStyle w:val="36"/>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eastAsiaTheme="minorEastAsia" w:cstheme="minorEastAsia"/>
          <w:szCs w:val="21"/>
        </w:rPr>
      </w:pPr>
      <w:bookmarkStart w:id="59" w:name="_Hlk73562203"/>
      <w:r>
        <w:rPr>
          <w:rFonts w:hint="eastAsia" w:asciiTheme="minorEastAsia" w:hAnsiTheme="minorEastAsia" w:eastAsiaTheme="minorEastAsia" w:cstheme="minorEastAsia"/>
          <w:szCs w:val="21"/>
        </w:rPr>
        <w:t>本投标人对上述声明内容的真实性负责。如有虚假，将依法承担相应责任。</w:t>
      </w:r>
    </w:p>
    <w:p>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ind w:firstLine="420" w:firstLineChars="200"/>
        <w:rPr>
          <w:rFonts w:hint="eastAsia" w:ascii="宋体" w:hAnsi="宋体"/>
          <w:bCs/>
          <w:color w:val="FF0000"/>
          <w:kern w:val="0"/>
          <w:szCs w:val="21"/>
        </w:rPr>
      </w:pPr>
    </w:p>
    <w:p/>
    <w:p>
      <w:pPr>
        <w:ind w:firstLine="420" w:firstLineChars="200"/>
      </w:pPr>
    </w:p>
    <w:p>
      <w:pPr>
        <w:jc w:val="center"/>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eastAsiaTheme="minorEastAsia" w:cstheme="minorEastAsia"/>
          <w:szCs w:val="21"/>
        </w:rPr>
      </w:pPr>
      <w:bookmarkStart w:id="60" w:name="_Hlk73562331"/>
      <w:bookmarkStart w:id="61"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ind w:firstLine="420" w:firstLineChars="200"/>
        <w:rPr>
          <w:rFonts w:hint="eastAsia" w:ascii="宋体" w:hAnsi="宋体"/>
          <w:szCs w:val="21"/>
        </w:rPr>
      </w:pPr>
    </w:p>
    <w:p>
      <w:pPr>
        <w:ind w:firstLine="420" w:firstLineChars="200"/>
        <w:rPr>
          <w:rFonts w:hint="eastAsia" w:ascii="宋体" w:hAnsi="宋体"/>
          <w:szCs w:val="21"/>
        </w:rPr>
      </w:pPr>
    </w:p>
    <w:p>
      <w:pPr>
        <w:jc w:val="center"/>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58"/>
    </w:p>
    <w:p>
      <w:pPr>
        <w:pStyle w:val="4"/>
        <w:jc w:val="center"/>
        <w:rPr>
          <w:rFonts w:hint="eastAsia" w:ascii="黑体" w:eastAsia="黑体"/>
          <w:b w:val="0"/>
          <w:sz w:val="24"/>
          <w:szCs w:val="24"/>
        </w:rPr>
      </w:pPr>
      <w:bookmarkStart w:id="62"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975"/>
        <w:gridCol w:w="497"/>
        <w:gridCol w:w="736"/>
        <w:gridCol w:w="736"/>
        <w:gridCol w:w="737"/>
        <w:gridCol w:w="737"/>
        <w:gridCol w:w="737"/>
        <w:gridCol w:w="737"/>
        <w:gridCol w:w="737"/>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四龙头学生饮水台</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bCs/>
                <w:color w:val="FF0000"/>
                <w:szCs w:val="21"/>
              </w:rPr>
              <w:t xml:space="preserve">757,300.00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壁挂式饮水机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单龙头立式直饮机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中大型双龙头立式直饮机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双龙头立式饮水机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中央净水主机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安装辅材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3"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3"/>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hint="eastAsia" w:ascii="宋体" w:hAnsi="宋体"/>
          <w:b/>
          <w:color w:val="FF0000"/>
          <w:sz w:val="24"/>
        </w:rPr>
      </w:pPr>
    </w:p>
    <w:p>
      <w:pPr>
        <w:ind w:firstLine="482" w:firstLineChars="200"/>
        <w:rPr>
          <w:rFonts w:hint="eastAsia"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hint="eastAsia" w:ascii="宋体" w:hAnsi="宋体"/>
          <w:b/>
          <w:color w:val="FF0000"/>
          <w:sz w:val="24"/>
        </w:rPr>
      </w:pPr>
    </w:p>
    <w:p>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hint="eastAsia" w:ascii="宋体" w:hAnsi="宋体"/>
          <w:b/>
          <w:color w:val="FF0000"/>
          <w:sz w:val="24"/>
        </w:rPr>
      </w:pPr>
    </w:p>
    <w:p>
      <w:pPr>
        <w:ind w:firstLine="480" w:firstLineChars="200"/>
        <w:rPr>
          <w:rFonts w:hint="eastAsia" w:ascii="宋体" w:hAnsi="宋体"/>
          <w:sz w:val="24"/>
        </w:rPr>
      </w:pPr>
      <w:r>
        <w:rPr>
          <w:rFonts w:hint="eastAsia" w:ascii="宋体" w:hAnsi="宋体"/>
          <w:sz w:val="24"/>
        </w:rPr>
        <w:t>备注：单一产品采购项目，核心产品即为该单一产品。</w:t>
      </w:r>
    </w:p>
    <w:p>
      <w:pPr>
        <w:ind w:firstLine="482" w:firstLineChars="200"/>
        <w:rPr>
          <w:rFonts w:hint="eastAsia" w:ascii="宋体" w:hAnsi="宋体"/>
          <w:b/>
          <w:color w:val="FF0000"/>
          <w:sz w:val="24"/>
        </w:rPr>
      </w:pPr>
    </w:p>
    <w:p>
      <w:pPr>
        <w:ind w:firstLine="482" w:firstLineChars="200"/>
        <w:rPr>
          <w:rFonts w:hint="eastAsia"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int="eastAsia" w:hAnsi="宋体"/>
          <w:b/>
          <w:bCs/>
          <w:sz w:val="24"/>
        </w:rPr>
      </w:pPr>
    </w:p>
    <w:p>
      <w:pPr>
        <w:ind w:firstLine="482" w:firstLineChars="200"/>
        <w:rPr>
          <w:rFonts w:hint="eastAsia" w:hAnsi="宋体"/>
          <w:b/>
          <w:bCs/>
          <w:sz w:val="24"/>
        </w:rPr>
      </w:pPr>
    </w:p>
    <w:p>
      <w:pPr>
        <w:tabs>
          <w:tab w:val="left" w:pos="720"/>
        </w:tabs>
        <w:jc w:val="center"/>
        <w:rPr>
          <w:b/>
          <w:sz w:val="24"/>
        </w:rPr>
      </w:pPr>
      <w:r>
        <w:rPr>
          <w:rFonts w:hint="eastAsia"/>
          <w:b/>
          <w:sz w:val="24"/>
        </w:rPr>
        <w:t>（四）</w:t>
      </w:r>
      <w:bookmarkStart w:id="64" w:name="_Hlk72073235"/>
      <w:r>
        <w:rPr>
          <w:rFonts w:hint="eastAsia"/>
          <w:b/>
          <w:sz w:val="24"/>
        </w:rPr>
        <w:t>投标人认为需要涉及的其他内容报价清单</w:t>
      </w:r>
      <w:bookmarkEnd w:id="64"/>
    </w:p>
    <w:p>
      <w:pPr>
        <w:rPr>
          <w:b/>
          <w:bCs/>
        </w:rPr>
      </w:pPr>
    </w:p>
    <w:bookmarkEnd w:id="62"/>
    <w:p>
      <w:r>
        <w:br w:type="page"/>
      </w:r>
    </w:p>
    <w:p>
      <w:pPr>
        <w:snapToGrid w:val="0"/>
        <w:jc w:val="center"/>
        <w:outlineLvl w:val="2"/>
        <w:rPr>
          <w:rFonts w:hint="eastAsia" w:ascii="黑体" w:hAnsi="宋体" w:eastAsia="黑体"/>
          <w:bCs/>
          <w:sz w:val="24"/>
          <w:szCs w:val="32"/>
        </w:rPr>
      </w:pPr>
      <w:bookmarkStart w:id="65" w:name="_Hlk72260530"/>
      <w:r>
        <w:rPr>
          <w:rFonts w:hint="eastAsia" w:ascii="黑体" w:hAnsi="宋体" w:eastAsia="黑体"/>
          <w:bCs/>
          <w:sz w:val="24"/>
          <w:szCs w:val="32"/>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pPr>
              <w:jc w:val="center"/>
              <w:rPr>
                <w:rFonts w:hint="eastAsia" w:ascii="宋体" w:hAnsi="宋体" w:cs="宋体"/>
                <w:szCs w:val="21"/>
              </w:rPr>
            </w:pPr>
          </w:p>
        </w:tc>
        <w:tc>
          <w:tcPr>
            <w:tcW w:w="1113" w:type="pct"/>
            <w:gridSpan w:val="2"/>
            <w:vAlign w:val="center"/>
          </w:tcPr>
          <w:p>
            <w:pPr>
              <w:jc w:val="center"/>
              <w:rPr>
                <w:rFonts w:hint="eastAsia" w:ascii="宋体" w:hAnsi="宋体" w:cs="宋体"/>
                <w:szCs w:val="21"/>
              </w:rPr>
            </w:pPr>
            <w:r>
              <w:rPr>
                <w:rFonts w:hint="eastAsia" w:ascii="宋体" w:hAnsi="宋体" w:cs="宋体"/>
                <w:szCs w:val="21"/>
              </w:rPr>
              <w:t>项目名称及编号</w:t>
            </w:r>
          </w:p>
        </w:tc>
        <w:tc>
          <w:tcPr>
            <w:tcW w:w="1669" w:type="pct"/>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pPr>
              <w:jc w:val="center"/>
              <w:rPr>
                <w:rFonts w:hint="eastAsia" w:ascii="宋体" w:hAnsi="宋体" w:cs="宋体"/>
                <w:szCs w:val="21"/>
              </w:rPr>
            </w:pPr>
          </w:p>
        </w:tc>
        <w:tc>
          <w:tcPr>
            <w:tcW w:w="1113" w:type="pct"/>
            <w:gridSpan w:val="2"/>
            <w:tcBorders>
              <w:top w:val="single" w:color="auto" w:sz="4" w:space="0"/>
            </w:tcBorders>
            <w:vAlign w:val="center"/>
          </w:tcPr>
          <w:p>
            <w:pPr>
              <w:jc w:val="center"/>
              <w:rPr>
                <w:rFonts w:hint="eastAsia" w:ascii="宋体" w:hAnsi="宋体" w:cs="宋体"/>
                <w:szCs w:val="21"/>
              </w:rPr>
            </w:pPr>
          </w:p>
        </w:tc>
        <w:tc>
          <w:tcPr>
            <w:tcW w:w="838" w:type="pct"/>
            <w:tcBorders>
              <w:top w:val="single" w:color="auto" w:sz="4" w:space="0"/>
            </w:tcBorders>
            <w:vAlign w:val="center"/>
          </w:tcPr>
          <w:p>
            <w:pPr>
              <w:jc w:val="center"/>
              <w:rPr>
                <w:rFonts w:hint="eastAsia" w:ascii="宋体" w:hAnsi="宋体" w:cs="宋体"/>
                <w:szCs w:val="21"/>
              </w:rPr>
            </w:pPr>
          </w:p>
        </w:tc>
        <w:tc>
          <w:tcPr>
            <w:tcW w:w="830" w:type="pct"/>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529" w:type="pct"/>
            <w:vAlign w:val="center"/>
          </w:tcPr>
          <w:p>
            <w:pPr>
              <w:jc w:val="center"/>
              <w:rPr>
                <w:rFonts w:hint="eastAsia" w:ascii="宋体" w:hAnsi="宋体" w:cs="宋体"/>
                <w:szCs w:val="21"/>
              </w:rPr>
            </w:pPr>
          </w:p>
        </w:tc>
        <w:tc>
          <w:tcPr>
            <w:tcW w:w="1113" w:type="pct"/>
            <w:gridSpan w:val="2"/>
            <w:vAlign w:val="center"/>
          </w:tcPr>
          <w:p>
            <w:pPr>
              <w:jc w:val="center"/>
              <w:rPr>
                <w:rFonts w:hint="eastAsia" w:ascii="宋体" w:hAnsi="宋体" w:cs="宋体"/>
                <w:szCs w:val="21"/>
              </w:rPr>
            </w:pPr>
          </w:p>
        </w:tc>
        <w:tc>
          <w:tcPr>
            <w:tcW w:w="838" w:type="pct"/>
            <w:vAlign w:val="center"/>
          </w:tcPr>
          <w:p>
            <w:pPr>
              <w:jc w:val="center"/>
              <w:rPr>
                <w:rFonts w:hint="eastAsia" w:ascii="宋体" w:hAnsi="宋体" w:cs="宋体"/>
                <w:szCs w:val="21"/>
              </w:rPr>
            </w:pPr>
          </w:p>
        </w:tc>
        <w:tc>
          <w:tcPr>
            <w:tcW w:w="83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pPr>
              <w:snapToGrid w:val="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pPr>
              <w:jc w:val="center"/>
              <w:rPr>
                <w:rFonts w:hint="eastAsia" w:ascii="宋体" w:hAnsi="宋体" w:cs="宋体"/>
                <w:szCs w:val="21"/>
              </w:rPr>
            </w:pPr>
          </w:p>
        </w:tc>
        <w:tc>
          <w:tcPr>
            <w:tcW w:w="1113" w:type="pct"/>
            <w:gridSpan w:val="2"/>
            <w:vAlign w:val="center"/>
          </w:tcPr>
          <w:p>
            <w:pPr>
              <w:jc w:val="center"/>
              <w:rPr>
                <w:rFonts w:hint="eastAsia" w:ascii="宋体" w:hAnsi="宋体" w:cs="宋体"/>
                <w:szCs w:val="21"/>
              </w:rPr>
            </w:pPr>
          </w:p>
        </w:tc>
        <w:tc>
          <w:tcPr>
            <w:tcW w:w="838" w:type="pct"/>
            <w:vAlign w:val="center"/>
          </w:tcPr>
          <w:p>
            <w:pPr>
              <w:jc w:val="center"/>
              <w:rPr>
                <w:rFonts w:hint="eastAsia" w:ascii="宋体" w:hAnsi="宋体" w:cs="宋体"/>
                <w:szCs w:val="21"/>
              </w:rPr>
            </w:pPr>
          </w:p>
        </w:tc>
        <w:tc>
          <w:tcPr>
            <w:tcW w:w="83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pPr>
        <w:pStyle w:val="53"/>
        <w:rPr>
          <w:rFonts w:hint="eastAsia" w:ascii="宋体" w:hAnsi="宋体"/>
          <w:b/>
          <w:color w:val="FF0000"/>
          <w:sz w:val="28"/>
          <w:szCs w:val="28"/>
        </w:rPr>
      </w:pPr>
    </w:p>
    <w:p>
      <w:pPr>
        <w:pStyle w:val="4"/>
        <w:jc w:val="center"/>
        <w:rPr>
          <w:rFonts w:hint="eastAsia" w:ascii="黑体" w:eastAsia="黑体"/>
          <w:b w:val="0"/>
          <w:sz w:val="24"/>
        </w:rPr>
      </w:pPr>
      <w:r>
        <w:rPr>
          <w:rFonts w:hint="eastAsia" w:ascii="黑体" w:eastAsia="黑体"/>
          <w:b w:val="0"/>
          <w:sz w:val="24"/>
        </w:rPr>
        <w:t>六、</w:t>
      </w:r>
      <w:bookmarkStart w:id="66" w:name="_Hlk72092499"/>
      <w:r>
        <w:rPr>
          <w:rFonts w:hint="eastAsia" w:ascii="黑体" w:eastAsia="黑体"/>
          <w:b w:val="0"/>
          <w:sz w:val="24"/>
        </w:rPr>
        <w:t>法定代表人（负责人）证明书</w:t>
      </w:r>
      <w:bookmarkEnd w:id="66"/>
    </w:p>
    <w:p>
      <w:pPr>
        <w:rPr>
          <w:sz w:val="24"/>
        </w:rPr>
      </w:pP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36"/>
              <w:jc w:val="center"/>
            </w:pPr>
          </w:p>
          <w:p>
            <w:pPr>
              <w:pStyle w:val="36"/>
              <w:jc w:val="center"/>
            </w:pPr>
          </w:p>
          <w:p>
            <w:pPr>
              <w:pStyle w:val="36"/>
              <w:jc w:val="center"/>
            </w:pPr>
          </w:p>
          <w:p>
            <w:pPr>
              <w:pStyle w:val="36"/>
              <w:jc w:val="center"/>
            </w:pPr>
          </w:p>
          <w:p>
            <w:pPr>
              <w:pStyle w:val="36"/>
              <w:jc w:val="center"/>
            </w:pPr>
          </w:p>
          <w:p>
            <w:pPr>
              <w:pStyle w:val="36"/>
              <w:jc w:val="center"/>
            </w:pPr>
          </w:p>
        </w:tc>
        <w:tc>
          <w:tcPr>
            <w:tcW w:w="4265" w:type="dxa"/>
          </w:tcPr>
          <w:p>
            <w:pPr>
              <w:jc w:val="center"/>
            </w:pPr>
            <w:r>
              <w:rPr>
                <w:rFonts w:hint="eastAsia"/>
              </w:rPr>
              <w:t>证件扫描件反面</w:t>
            </w:r>
          </w:p>
          <w:p>
            <w:pPr>
              <w:pStyle w:val="2"/>
              <w:jc w:val="center"/>
            </w:pPr>
          </w:p>
          <w:p>
            <w:pPr>
              <w:pStyle w:val="36"/>
              <w:jc w:val="center"/>
            </w:pPr>
          </w:p>
        </w:tc>
      </w:tr>
    </w:tbl>
    <w:p>
      <w:pPr>
        <w:rPr>
          <w:sz w:val="24"/>
        </w:rPr>
      </w:pPr>
    </w:p>
    <w:p>
      <w:pPr>
        <w:pStyle w:val="5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53"/>
        <w:rPr>
          <w:sz w:val="24"/>
        </w:rPr>
      </w:pPr>
    </w:p>
    <w:p>
      <w:pPr>
        <w:pStyle w:val="53"/>
        <w:rPr>
          <w:sz w:val="24"/>
        </w:rPr>
        <w:sectPr>
          <w:pgSz w:w="11907" w:h="16840"/>
          <w:pgMar w:top="1440" w:right="1797" w:bottom="1440" w:left="1797" w:header="851" w:footer="992" w:gutter="0"/>
          <w:cols w:space="425" w:num="1"/>
          <w:titlePg/>
          <w:docGrid w:linePitch="462" w:charSpace="0"/>
        </w:sectPr>
      </w:pPr>
    </w:p>
    <w:p>
      <w:pPr>
        <w:pStyle w:val="53"/>
        <w:rPr>
          <w:sz w:val="24"/>
        </w:rPr>
      </w:pPr>
    </w:p>
    <w:p>
      <w:pPr>
        <w:pStyle w:val="4"/>
        <w:spacing w:before="120" w:after="120"/>
        <w:jc w:val="center"/>
        <w:rPr>
          <w:rFonts w:hint="eastAsia" w:ascii="黑体" w:eastAsia="黑体"/>
          <w:b w:val="0"/>
          <w:sz w:val="24"/>
        </w:rPr>
      </w:pPr>
      <w:r>
        <w:rPr>
          <w:rFonts w:hint="eastAsia" w:ascii="黑体" w:eastAsia="黑体"/>
          <w:b w:val="0"/>
          <w:sz w:val="24"/>
        </w:rPr>
        <w:t>七、投标文件签署授权委托书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36"/>
              <w:jc w:val="center"/>
            </w:pPr>
          </w:p>
          <w:p>
            <w:pPr>
              <w:pStyle w:val="36"/>
              <w:jc w:val="center"/>
            </w:pPr>
          </w:p>
          <w:p>
            <w:pPr>
              <w:pStyle w:val="36"/>
              <w:jc w:val="center"/>
            </w:pPr>
          </w:p>
          <w:p>
            <w:pPr>
              <w:pStyle w:val="36"/>
              <w:jc w:val="center"/>
            </w:pPr>
          </w:p>
          <w:p>
            <w:pPr>
              <w:pStyle w:val="36"/>
              <w:jc w:val="center"/>
            </w:pPr>
          </w:p>
          <w:p>
            <w:pPr>
              <w:pStyle w:val="36"/>
              <w:jc w:val="center"/>
            </w:pPr>
          </w:p>
        </w:tc>
        <w:tc>
          <w:tcPr>
            <w:tcW w:w="4265" w:type="dxa"/>
          </w:tcPr>
          <w:p>
            <w:pPr>
              <w:jc w:val="center"/>
            </w:pPr>
            <w:r>
              <w:rPr>
                <w:rFonts w:hint="eastAsia"/>
              </w:rPr>
              <w:t>证件扫描件反面</w:t>
            </w:r>
          </w:p>
          <w:p>
            <w:pPr>
              <w:pStyle w:val="2"/>
              <w:jc w:val="center"/>
            </w:pPr>
          </w:p>
          <w:p>
            <w:pPr>
              <w:pStyle w:val="36"/>
              <w:jc w:val="center"/>
            </w:pPr>
          </w:p>
        </w:tc>
      </w:tr>
    </w:tbl>
    <w:p>
      <w:pPr>
        <w:rPr>
          <w:rFonts w:hint="eastAsia" w:ascii="黑体" w:hAnsi="黑体" w:eastAsia="黑体" w:cs="黑体"/>
          <w:b/>
          <w:bCs/>
          <w:sz w:val="24"/>
        </w:rPr>
      </w:pPr>
    </w:p>
    <w:p>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rPr>
          <w:rFonts w:ascii="Calibri" w:hAnsi="Calibri"/>
          <w:szCs w:val="22"/>
        </w:rPr>
      </w:pPr>
    </w:p>
    <w:p>
      <w:pPr>
        <w:rPr>
          <w:rFonts w:ascii="Calibri" w:hAnsi="Calibri"/>
          <w:szCs w:val="22"/>
        </w:rPr>
      </w:pPr>
    </w:p>
    <w:p>
      <w:pPr>
        <w:rPr>
          <w:rFonts w:ascii="Calibri" w:hAnsi="Calibri"/>
          <w:szCs w:val="22"/>
        </w:rPr>
      </w:pPr>
    </w:p>
    <w:p>
      <w:pPr>
        <w:rPr>
          <w:rFonts w:ascii="黑体" w:eastAsia="黑体"/>
          <w:kern w:val="0"/>
          <w:sz w:val="24"/>
        </w:rPr>
      </w:pPr>
    </w:p>
    <w:p>
      <w:pPr>
        <w:pStyle w:val="53"/>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pPr>
        <w:pStyle w:val="4"/>
        <w:jc w:val="center"/>
        <w:rPr>
          <w:rFonts w:hint="eastAsia" w:ascii="黑体" w:eastAsia="黑体"/>
          <w:b w:val="0"/>
          <w:kern w:val="0"/>
          <w:sz w:val="24"/>
          <w:szCs w:val="24"/>
        </w:rPr>
      </w:pPr>
      <w:r>
        <w:rPr>
          <w:rFonts w:hint="eastAsia" w:ascii="黑体" w:eastAsia="黑体"/>
          <w:b w:val="0"/>
          <w:kern w:val="0"/>
          <w:sz w:val="24"/>
          <w:szCs w:val="24"/>
        </w:rPr>
        <w:t>八、</w:t>
      </w:r>
      <w:bookmarkStart w:id="67" w:name="_Hlk72092634"/>
      <w:r>
        <w:rPr>
          <w:rFonts w:hint="eastAsia" w:ascii="黑体" w:eastAsia="黑体"/>
          <w:b w:val="0"/>
          <w:kern w:val="0"/>
          <w:sz w:val="24"/>
          <w:szCs w:val="24"/>
        </w:rPr>
        <w:t>实质性条款响应情况表</w:t>
      </w:r>
      <w:bookmarkEnd w:id="67"/>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510"/>
        <w:gridCol w:w="2258"/>
        <w:gridCol w:w="1629"/>
        <w:gridCol w:w="125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4" w:type="pct"/>
            <w:vAlign w:val="center"/>
          </w:tcPr>
          <w:p>
            <w:pPr>
              <w:adjustRightInd w:val="0"/>
              <w:snapToGrid w:val="0"/>
              <w:spacing w:line="360" w:lineRule="auto"/>
              <w:jc w:val="center"/>
              <w:rPr>
                <w:rFonts w:hint="eastAsia" w:ascii="宋体" w:hAnsi="宋体"/>
                <w:kern w:val="0"/>
                <w:szCs w:val="21"/>
              </w:rPr>
            </w:pPr>
            <w:bookmarkStart w:id="68" w:name="_Hlk72092651"/>
            <w:r>
              <w:rPr>
                <w:rFonts w:hint="eastAsia" w:ascii="宋体" w:hAnsi="宋体"/>
                <w:kern w:val="0"/>
                <w:szCs w:val="21"/>
              </w:rPr>
              <w:t>序号</w:t>
            </w:r>
          </w:p>
        </w:tc>
        <w:tc>
          <w:tcPr>
            <w:tcW w:w="2209" w:type="pct"/>
            <w:gridSpan w:val="2"/>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955"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投标响应</w:t>
            </w:r>
          </w:p>
        </w:tc>
        <w:tc>
          <w:tcPr>
            <w:tcW w:w="735"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偏离情况</w:t>
            </w:r>
          </w:p>
        </w:tc>
        <w:tc>
          <w:tcPr>
            <w:tcW w:w="735"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说明</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tcPr>
          <w:p>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885" w:type="pct"/>
            <w:vAlign w:val="center"/>
          </w:tcPr>
          <w:p>
            <w:pPr>
              <w:keepNext w:val="0"/>
              <w:keepLines w:val="0"/>
              <w:widowControl/>
              <w:suppressLineNumbers w:val="0"/>
              <w:jc w:val="left"/>
              <w:textAlignment w:val="center"/>
              <w:rPr>
                <w:rFonts w:hint="eastAsia" w:ascii="Times New Roman" w:hAnsi="宋体" w:eastAsia="宋体"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四龙头学生饮水台</w:t>
            </w:r>
          </w:p>
        </w:tc>
        <w:tc>
          <w:tcPr>
            <w:tcW w:w="132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投标产品整机必须有《涉及饮用水卫生安全产品卫生许可批件》（批件上的型号须与所投产品铭牌的型号一致），且批件中的申请单位与生产单位一致；为了确保产品运行的稳定性，只接受整机水批，凡组合产品、组合部件水批视为无水批；（提供《涉及饮用水卫生安全产品卫生许可批件》扫描件）</w:t>
            </w:r>
          </w:p>
        </w:tc>
        <w:tc>
          <w:tcPr>
            <w:tcW w:w="95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tcPr>
          <w:p>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885" w:type="pct"/>
            <w:vAlign w:val="center"/>
          </w:tcPr>
          <w:p>
            <w:pPr>
              <w:keepNext w:val="0"/>
              <w:keepLines w:val="0"/>
              <w:widowControl/>
              <w:suppressLineNumbers w:val="0"/>
              <w:jc w:val="left"/>
              <w:textAlignment w:val="center"/>
              <w:rPr>
                <w:rFonts w:hint="eastAsia" w:ascii="宋体" w:hAnsi="宋体" w:eastAsia="宋体"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免费保修期</w:t>
            </w:r>
          </w:p>
        </w:tc>
        <w:tc>
          <w:tcPr>
            <w:tcW w:w="132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★1.货物免费保修期 3年，时间自最终验收合格并交付使用之日起计算。</w:t>
            </w:r>
          </w:p>
        </w:tc>
        <w:tc>
          <w:tcPr>
            <w:tcW w:w="95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tcPr>
          <w:p>
            <w:pPr>
              <w:adjustRightInd w:val="0"/>
              <w:snapToGrid w:val="0"/>
              <w:spacing w:line="360" w:lineRule="auto"/>
              <w:rPr>
                <w:rFonts w:hint="eastAsia" w:ascii="宋体" w:hAnsi="宋体"/>
                <w:kern w:val="0"/>
                <w:szCs w:val="21"/>
              </w:rPr>
            </w:pPr>
            <w:r>
              <w:rPr>
                <w:rFonts w:hint="eastAsia" w:ascii="宋体" w:hAnsi="宋体"/>
                <w:kern w:val="0"/>
                <w:szCs w:val="21"/>
              </w:rPr>
              <w:t>3</w:t>
            </w:r>
          </w:p>
        </w:tc>
        <w:tc>
          <w:tcPr>
            <w:tcW w:w="885" w:type="pct"/>
            <w:vAlign w:val="center"/>
          </w:tcPr>
          <w:p>
            <w:pPr>
              <w:keepNext w:val="0"/>
              <w:keepLines w:val="0"/>
              <w:widowControl/>
              <w:suppressLineNumbers w:val="0"/>
              <w:jc w:val="left"/>
              <w:textAlignment w:val="center"/>
              <w:rPr>
                <w:rFonts w:hint="eastAsia" w:ascii="宋体" w:hAnsi="宋体" w:eastAsia="宋体"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w:t>
            </w:r>
          </w:p>
        </w:tc>
        <w:tc>
          <w:tcPr>
            <w:tcW w:w="132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★2.为保证产品的质量稳定性和后期维保服务的便利性，所投产品四龙头学生饮水台、壁挂式饮水机、单龙头立式直饮机、中大型双龙头立式直饮机、双龙头立式饮水机、中央净水主机须为同一品牌。</w:t>
            </w:r>
          </w:p>
        </w:tc>
        <w:tc>
          <w:tcPr>
            <w:tcW w:w="95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885" w:type="pct"/>
            <w:vAlign w:val="center"/>
          </w:tcPr>
          <w:p>
            <w:pPr>
              <w:keepNext w:val="0"/>
              <w:keepLines w:val="0"/>
              <w:widowControl/>
              <w:suppressLineNumbers w:val="0"/>
              <w:jc w:val="left"/>
              <w:textAlignment w:val="center"/>
              <w:rPr>
                <w:rFonts w:hint="eastAsia" w:ascii="宋体" w:hAnsi="宋体" w:eastAsia="宋体"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交货及付款要求</w:t>
            </w:r>
          </w:p>
        </w:tc>
        <w:tc>
          <w:tcPr>
            <w:tcW w:w="132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★2.1履约时间和地点：投标供应商在签订合同之日起10天（日历日）内交货，交货地点为采购人指定的各使用单位。</w:t>
            </w:r>
          </w:p>
        </w:tc>
        <w:tc>
          <w:tcPr>
            <w:tcW w:w="95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c>
          <w:tcPr>
            <w:tcW w:w="735" w:type="pct"/>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5"/>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4"/>
        <w:jc w:val="center"/>
        <w:rPr>
          <w:rFonts w:hint="eastAsia"/>
          <w:sz w:val="24"/>
        </w:rPr>
      </w:pPr>
      <w:r>
        <w:rPr>
          <w:rFonts w:hint="eastAsia" w:ascii="黑体" w:eastAsia="黑体"/>
          <w:b w:val="0"/>
          <w:sz w:val="24"/>
          <w:szCs w:val="24"/>
        </w:rPr>
        <w:t>九、技术要求偏离表</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4781"/>
        <w:gridCol w:w="810"/>
        <w:gridCol w:w="756"/>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招标技术要求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投标技术响应</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偏离情况</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四龙头学生饮水台</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1.沥水盘采用304不锈钢材质，并具有自动排水功能；机身易触及的棱边和尖角采用大圆角防磕碰设计，保护安全；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2.机身尺寸：宽1300mm(±50mm)*高1400mm(±50mm)*深400mm(±50mm)；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3.出水水龙头顶部距离接水盘高度≥300mm；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4.产品出水水龙头数量为4个，任意两个龙头间距需≥350mm；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5.三小时无操作进入待机状态；</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6.投标产品整机采用高精度反渗透过滤系统；净水流量（制水量）≥1.8L/min；</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▲7.投标产品整机额定总净水量≥15000L；水效等级达到1级，净水产水率≥65%，</w:t>
            </w:r>
            <w:r>
              <w:rPr>
                <w:rFonts w:hint="eastAsia" w:ascii="宋体" w:hAnsi="宋体" w:eastAsia="宋体" w:cs="宋体"/>
                <w:b/>
                <w:bCs/>
                <w:i w:val="0"/>
                <w:iCs w:val="0"/>
                <w:color w:val="FF0000"/>
                <w:kern w:val="0"/>
                <w:sz w:val="22"/>
                <w:szCs w:val="22"/>
                <w:u w:val="none"/>
                <w:lang w:val="en-US" w:eastAsia="zh-CN" w:bidi="ar"/>
              </w:rPr>
              <w:t>提供中国水效标识网官网查询截图证明（http://www.waterlabel.org.cn）；</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2"/>
                <w:szCs w:val="22"/>
                <w:u w:val="none"/>
                <w:lang w:val="en-US" w:eastAsia="zh-CN" w:bidi="ar"/>
              </w:rPr>
              <w:t>.投标产品连续运行状态下，其出水水质菌落总数、总大肠菌群、铜绿假单胞菌在第1天、第7天均未检出；</w:t>
            </w:r>
            <w:r>
              <w:rPr>
                <w:rFonts w:hint="eastAsia" w:ascii="宋体" w:hAnsi="宋体" w:eastAsia="宋体" w:cs="宋体"/>
                <w:b/>
                <w:bCs/>
                <w:i w:val="0"/>
                <w:iCs w:val="0"/>
                <w:color w:val="FF0000"/>
                <w:kern w:val="0"/>
                <w:sz w:val="22"/>
                <w:szCs w:val="22"/>
                <w:u w:val="none"/>
                <w:lang w:val="en-US" w:eastAsia="zh-CN"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无法判断机构检测范围的，投标人需提供“检测报告载明的检测事项未超出本机构检测范围”的承诺函；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▲9.出水水质符合《生活饮用水水质处理器卫生安全与功能评价规范-反渗透处理装置》，且对出水进行检测，磷酸盐含量为0；</w:t>
            </w:r>
            <w:r>
              <w:rPr>
                <w:rFonts w:hint="eastAsia" w:ascii="宋体" w:hAnsi="宋体" w:eastAsia="宋体" w:cs="宋体"/>
                <w:b/>
                <w:bCs/>
                <w:i w:val="0"/>
                <w:iCs w:val="0"/>
                <w:color w:val="FF0000"/>
                <w:kern w:val="0"/>
                <w:sz w:val="22"/>
                <w:szCs w:val="22"/>
                <w:u w:val="none"/>
                <w:lang w:val="en-US" w:eastAsia="zh-CN"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10.使用电源220V，50Hz，额定功率≥3000W；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11.热水箱容量＞43L；</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12.采用高效保温材质，节约能耗；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140" w:name="_GoBack"/>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color w:val="000000"/>
                <w:kern w:val="0"/>
                <w:sz w:val="22"/>
                <w:szCs w:val="22"/>
                <w:highlight w:val="yellow"/>
                <w:lang w:bidi="ar"/>
              </w:rPr>
              <w:t>13.四个水嘴同时开启，任意一个水嘴出水流量≥2L/min，</w:t>
            </w:r>
            <w:r>
              <w:rPr>
                <w:rFonts w:hint="eastAsia" w:ascii="宋体" w:hAnsi="宋体" w:eastAsia="宋体" w:cs="宋体"/>
                <w:b/>
                <w:bCs/>
                <w:color w:val="FF0000"/>
                <w:kern w:val="0"/>
                <w:sz w:val="22"/>
                <w:szCs w:val="22"/>
                <w:highlight w:val="yellow"/>
                <w:lang w:bidi="ar"/>
              </w:rPr>
              <w:t>提供投标人或整机产品制造商送检的第三方检测机构在能力范围内出具的标注资质认定标志（CMA）的检验检测报告扫描件</w:t>
            </w:r>
            <w:r>
              <w:rPr>
                <w:rFonts w:hint="eastAsia" w:ascii="宋体" w:hAnsi="宋体" w:cs="宋体"/>
                <w:b/>
                <w:bCs/>
                <w:color w:val="FF0000"/>
                <w:kern w:val="0"/>
                <w:sz w:val="22"/>
                <w:szCs w:val="22"/>
                <w:highlight w:val="yellow"/>
                <w:lang w:bidi="ar"/>
              </w:rPr>
              <w:t>（检测报告委托单位需为投标人或产品制造商），或产品制造商出具的加盖公章的技术确认函，或产品彩页，原件备查。注：对应参数（检验检测项）需在检验检测报告中体现，如参数描述模糊，按负偏离处理。）无法判断机构检测范围的，投标人需提供“检测报告载明的检测事项未超出本机构检测范围”的承诺函；</w:t>
            </w:r>
            <w:bookmarkEnd w:id="140"/>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14.出水温度40℃~55℃，具备电子调温功能；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15.取水方式：取水按键采用触摸式；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16.整机防触电保护类别为I类；</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壁挂式饮水机</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1.加热功率≥1450W；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2.热水箱容量≥3L；</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3.产品尺寸：宽350(±20mm)*高500(±20mm)*厚250mm(±20mm)，；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4.热水温调节区间：80-96℃；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5.具有防漏水功能；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6.设备取水按键为触控式，具有童锁功能；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7.整机具有出水温度显示功能；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单龙头立式直饮机</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1.机身尺寸：宽420mm(±50mm)*厚420mm(±50mm)*高1420mm(±50mm)，整机外部机身采用耐指纹面板；</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2.接水盘采用拉丝不锈钢盖板，出水口底部距接水盘高度≥295mm；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kern w:val="0"/>
                <w:sz w:val="21"/>
                <w:szCs w:val="21"/>
                <w:highlight w:val="yellow"/>
                <w:lang w:bidi="ar"/>
              </w:rPr>
              <w:t>▲3.设备温水箱内具有紫外线杀菌灯，在紫外线灯下方垂直1米处的辐照度不低于7.5μ</w:t>
            </w:r>
            <w:r>
              <w:rPr>
                <w:rFonts w:hint="eastAsia" w:ascii="宋体" w:hAnsi="宋体" w:eastAsia="宋体" w:cs="宋体"/>
                <w:kern w:val="0"/>
                <w:sz w:val="21"/>
                <w:szCs w:val="21"/>
                <w:highlight w:val="yellow"/>
                <w:lang w:val="en-US" w:eastAsia="zh-CN" w:bidi="ar"/>
              </w:rPr>
              <w:t>W</w:t>
            </w:r>
            <w:r>
              <w:rPr>
                <w:rFonts w:hint="eastAsia" w:ascii="宋体" w:hAnsi="宋体" w:eastAsia="宋体" w:cs="宋体"/>
                <w:kern w:val="0"/>
                <w:sz w:val="21"/>
                <w:szCs w:val="21"/>
                <w:highlight w:val="yellow"/>
                <w:lang w:bidi="ar"/>
              </w:rPr>
              <w:t>/cm²；</w:t>
            </w:r>
            <w:r>
              <w:rPr>
                <w:rFonts w:hint="eastAsia" w:ascii="宋体" w:hAnsi="宋体" w:eastAsia="宋体" w:cs="宋体"/>
                <w:b/>
                <w:bCs/>
                <w:color w:val="FF0000"/>
                <w:kern w:val="0"/>
                <w:sz w:val="21"/>
                <w:szCs w:val="21"/>
                <w:highlight w:val="yellow"/>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4.产品整机采用高精度反渗透过滤系统，净水流量（制水量）≥0.25L/min；</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5.产品整机额定总净水量≥4500L，水效等级达到1级，净水产水率≥65%；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6.额定电压：220V，额定功率＜2000W；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7.温水箱容量：≥9L，热水箱容量：≥4L；</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8.防触电保护类别为I类；</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▲9.设备增压泵运行噪音不高于43分贝，</w:t>
            </w:r>
            <w:r>
              <w:rPr>
                <w:rFonts w:hint="eastAsia" w:ascii="宋体" w:hAnsi="宋体" w:eastAsia="宋体" w:cs="宋体"/>
                <w:b/>
                <w:bCs/>
                <w:i w:val="0"/>
                <w:iCs w:val="0"/>
                <w:color w:val="FF0000"/>
                <w:kern w:val="0"/>
                <w:sz w:val="22"/>
                <w:szCs w:val="22"/>
                <w:u w:val="none"/>
                <w:lang w:val="en-US" w:eastAsia="zh-CN"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▲10.所有滤芯符合《生活饮用水输配水设备及防护材料卫生安全评价规范》（2001），其中苯乙烯≤0.002mg/L，丙烯腈≤1mg/kg；</w:t>
            </w:r>
            <w:r>
              <w:rPr>
                <w:rFonts w:hint="eastAsia" w:ascii="宋体" w:hAnsi="宋体" w:eastAsia="宋体" w:cs="宋体"/>
                <w:b/>
                <w:bCs/>
                <w:i w:val="0"/>
                <w:iCs w:val="0"/>
                <w:color w:val="FF0000"/>
                <w:kern w:val="0"/>
                <w:sz w:val="22"/>
                <w:szCs w:val="22"/>
                <w:u w:val="none"/>
                <w:lang w:val="en-US" w:eastAsia="zh-CN"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11.触控式取水方式，具有童锁功能；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12.运行故障时，设备根据故障情况，自动显示故障码；</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13.具有出水温度显示功能；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14.具有滤芯状态显示功能；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15.设备集成电路采用灌胶工艺，使设备具备更强防水性能。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16.产品具有UV灯工作监测功能；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17.具有纯水TDS值显示功能；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中大型双龙头立式直饮机</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1.接水盘采用304不锈钢材质，加网设计并具有自动排水功能；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2.宽430mm(±20mm)*高1445mm(±20mm)*深445mm(±20mm)；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3.出水口底部距接水盘高度≥295mm；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▲4.投标产品整机采用高精度反渗透过滤系统，水效等级达到1级，且额定总净水量≥15000L，净水产水率≥65%，</w:t>
            </w:r>
            <w:r>
              <w:rPr>
                <w:rFonts w:hint="eastAsia" w:ascii="宋体" w:hAnsi="宋体" w:eastAsia="宋体" w:cs="宋体"/>
                <w:b/>
                <w:bCs/>
                <w:i w:val="0"/>
                <w:iCs w:val="0"/>
                <w:color w:val="FF0000"/>
                <w:kern w:val="0"/>
                <w:sz w:val="22"/>
                <w:szCs w:val="22"/>
                <w:u w:val="none"/>
                <w:lang w:val="en-US" w:eastAsia="zh-CN" w:bidi="ar"/>
              </w:rPr>
              <w:t>提供中国水效标识网官网查询截图（http://www.waterlabel.org.cn）；</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5.额定电压：220V，额定功率≤2000W；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6.热水箱容量：＞24L，温水采用直供方式；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7.出热水口数量2个，有隔热防烫设计，有至少1个龙头可出常温水，热水需有“童锁”设计；</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8.取水按键采用触摸式；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9.投标产品需具有水箱水量显示功能；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10.投标产品需具有热水温度实时数值显示功能；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11.投标产品需具有实时纯水TDS水质情况显示功能；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color w:val="000000"/>
                <w:kern w:val="0"/>
                <w:sz w:val="22"/>
                <w:szCs w:val="22"/>
                <w:highlight w:val="yellow"/>
                <w:lang w:bidi="ar"/>
              </w:rPr>
              <w:t>12.投标产品温水管路具有紫外线杀菌功能，并可在面板显示，总大肠菌群起始浓度为 500cfu/100mL时，杀菌率为100%；</w:t>
            </w:r>
            <w:r>
              <w:rPr>
                <w:rFonts w:hint="eastAsia" w:ascii="宋体" w:hAnsi="宋体" w:cs="宋体"/>
                <w:b/>
                <w:bCs/>
                <w:color w:val="FF0000"/>
                <w:kern w:val="0"/>
                <w:sz w:val="22"/>
                <w:szCs w:val="22"/>
                <w:highlight w:val="yellow"/>
                <w:lang w:bidi="ar"/>
              </w:rPr>
              <w:t>提供投标人或整机产品制造商送检的第三方检测机构在能力范围内出具的标注资质认定标志（CMA）的检验检测报告扫描件（检测报告委托单位需为投标人或产品制造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13.投标产品需具有滤芯状态显示功能；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14.投标产品需具整机故障自动检测并代码提示功能。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双龙头立式饮水机</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1.尺寸（宽厚高）：430mm（±20mm）*445mm（±20mm）*1445mm（±20mm），整机外部机身采用耐指纹面板；</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2.接水盘采用304不锈钢材质，并具有自动排水功能，出水口底部距接水盘高度≥295mm；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3.额定电压：220V，额定功率≤1850W；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4.温水箱容量：＞10L，热水箱容量：＞10L；</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2"/>
                <w:szCs w:val="22"/>
                <w:u w:val="none"/>
                <w:lang w:val="en-US" w:eastAsia="zh-CN" w:bidi="ar"/>
              </w:rPr>
              <w:t>.出水口数量2个，有隔热防烫设计，每个龙头都可以出常温水或热水，热水需有“童锁”设计；</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6.取水按键采用触摸式；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7.投标产品需具整机故障自动检测并代码提示功能。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8.投标产品需具有热水温度实时数值显示功能；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9.投标产品需具有实时纯水TDS水质情况显示功能；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10.投标产品需具有UV灯工作状态显示功能；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11.投标产品需具有水箱水量显示功能；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中央净水主机</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1.外观：整机主体采用304拉丝不锈钢，机器棱角采用防磕碰圆角设计</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2.设备尺寸：600(±10mm)*450(±10mm)*1140mm(±10mm)；</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3.投标产品整机采用高精度反渗透过滤系统；</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4.额定总净水量≥8000L；产品产水率≥65%，水效等级达到1级，提供中国水效标识网官网查询截图（http://www.waterlabel.org.cn）；</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5.使用电源220V，50Hz，额定功率≤100W;</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6.具有内置压力桶，压力桶容积≥10G；</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7.投标产品具备一键排空功能；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8.投标产品具有液晶屏；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9.产品具有显示纯水TDS值及滤芯寿命状态功能；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10.产品具有漏水保护功能；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11.产品具有缺水提示功能；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12.产品具有滤芯自清洁技术；</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13.设备集成电路采用灌胶工艺，使设备具备更强防水性能；</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0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1"/>
                <w:szCs w:val="21"/>
                <w:highlight w:val="yellow"/>
                <w:lang w:bidi="ar"/>
              </w:rPr>
              <w:t>▲14.设备增压泵依据QB/T 4697-2014《家用和类似用途反渗透净水机、纳滤净水机专用加压泵》，在增压泵运行不小于200小时后，流量和压力性能参数不低于额定参数的80%，</w:t>
            </w:r>
            <w:r>
              <w:rPr>
                <w:rFonts w:hint="eastAsia" w:ascii="宋体" w:hAnsi="宋体" w:eastAsia="宋体" w:cs="宋体"/>
                <w:b/>
                <w:bCs/>
                <w:color w:val="FF0000"/>
                <w:kern w:val="0"/>
                <w:sz w:val="21"/>
                <w:szCs w:val="21"/>
                <w:highlight w:val="yellow"/>
                <w:lang w:bidi="ar"/>
              </w:rPr>
              <w:t>提供投标人或整机产品制造商送检的第三方检测机构在能力范围内出具的标注资质认定标志（CMA）的检验检测报告扫描件（检测报告委托单位需为投标人或产品制商），原件备查。注：对应参数（检验检测项）需在检验检测报告中体现，如参数描述模糊，按负偏离处理。）；无法判断机构检测范围的，投标人需提供“检测报告载明的检测事项未超出本机构检测范围”的承诺函；</w:t>
            </w:r>
          </w:p>
        </w:tc>
        <w:tc>
          <w:tcPr>
            <w:tcW w:w="47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安装辅材</w:t>
            </w:r>
          </w:p>
        </w:tc>
        <w:tc>
          <w:tcPr>
            <w:tcW w:w="2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1.直饮水管路采用食品级材质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sz w:val="24"/>
        </w:rPr>
      </w:pPr>
    </w:p>
    <w:p>
      <w:pPr>
        <w:rPr>
          <w:szCs w:val="21"/>
        </w:rPr>
      </w:pPr>
      <w:bookmarkStart w:id="69" w:name="_Hlk72095977"/>
      <w:r>
        <w:rPr>
          <w:rFonts w:hint="eastAsia"/>
          <w:szCs w:val="21"/>
        </w:rPr>
        <w:t>证明资料【如有的话，提供的证明资料应统一编号（排序），格式自定】</w:t>
      </w:r>
      <w:bookmarkEnd w:id="69"/>
      <w:r>
        <w:rPr>
          <w:rFonts w:hint="eastAsia"/>
          <w:szCs w:val="21"/>
        </w:rPr>
        <w:t>：</w:t>
      </w:r>
    </w:p>
    <w:p>
      <w:pPr>
        <w:ind w:firstLine="422" w:firstLineChars="200"/>
        <w:rPr>
          <w:b/>
          <w:szCs w:val="21"/>
        </w:rPr>
      </w:pPr>
    </w:p>
    <w:p>
      <w:pPr>
        <w:ind w:firstLine="422" w:firstLineChars="200"/>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70" w:name="_Hlk72094407"/>
      <w:r>
        <w:rPr>
          <w:rFonts w:hint="eastAsia"/>
          <w:bCs/>
          <w:szCs w:val="21"/>
        </w:rPr>
        <w:t>对应“用户需求书”中的“技术要求”章节</w:t>
      </w:r>
      <w:bookmarkEnd w:id="70"/>
      <w:r>
        <w:rPr>
          <w:rFonts w:hint="eastAsia"/>
          <w:bCs/>
          <w:szCs w:val="21"/>
        </w:rPr>
        <w:t>相关内容。</w:t>
      </w:r>
    </w:p>
    <w:p>
      <w:pPr>
        <w:pStyle w:val="38"/>
        <w:widowControl/>
        <w:spacing w:beforeAutospacing="0" w:afterAutospacing="0"/>
        <w:ind w:firstLine="420" w:firstLineChars="200"/>
        <w:jc w:val="both"/>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71" w:name="_Hlk72158270"/>
      <w:r>
        <w:rPr>
          <w:rFonts w:hint="eastAsia"/>
          <w:bCs/>
          <w:szCs w:val="21"/>
        </w:rPr>
        <w:t>“偏离情况”</w:t>
      </w:r>
      <w:bookmarkEnd w:id="71"/>
      <w:r>
        <w:rPr>
          <w:rFonts w:hint="eastAsia"/>
          <w:bCs/>
          <w:szCs w:val="21"/>
        </w:rPr>
        <w:t>一栏填写如实填写“正偏离”、“负偏离”或“无偏离”，其中：</w:t>
      </w:r>
      <w:bookmarkStart w:id="72" w:name="_Hlk72093866"/>
      <w:r>
        <w:rPr>
          <w:rFonts w:hint="eastAsia"/>
          <w:bCs/>
          <w:szCs w:val="21"/>
        </w:rPr>
        <w:t>“正偏离”表示“投标响应优于招标技术要求”，“负偏离”表示“投标响应不满足招标技术要求”，“无偏离”表示“投标响应与招标技术要求一致”</w:t>
      </w:r>
      <w:bookmarkEnd w:id="7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73" w:name="_Hlk72096106"/>
      <w:r>
        <w:rPr>
          <w:rFonts w:hint="eastAsia"/>
          <w:bCs/>
          <w:szCs w:val="21"/>
        </w:rPr>
        <w:t>证明资料条款响应要求</w:t>
      </w:r>
      <w:bookmarkEnd w:id="7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5" w:name="_Hlk73558164"/>
      <w:r>
        <w:rPr>
          <w:rFonts w:hint="eastAsia"/>
          <w:bCs/>
          <w:szCs w:val="21"/>
        </w:rPr>
        <w:t>且投标人在“偏离情况”一栏响应为“正偏离”或“无偏离”的，经评审委员会认定，将判定为负偏离。</w:t>
      </w:r>
      <w:bookmarkEnd w:id="74"/>
      <w:bookmarkEnd w:id="75"/>
    </w:p>
    <w:p>
      <w:pPr>
        <w:ind w:firstLine="420" w:firstLineChars="200"/>
        <w:rPr>
          <w:bCs/>
          <w:szCs w:val="21"/>
        </w:rPr>
      </w:pPr>
      <w:r>
        <w:rPr>
          <w:rFonts w:hint="eastAsia"/>
          <w:bCs/>
          <w:szCs w:val="21"/>
        </w:rPr>
        <w:t>6、</w:t>
      </w:r>
      <w:bookmarkStart w:id="76" w:name="_Hlk72096137"/>
      <w:r>
        <w:rPr>
          <w:rFonts w:hint="eastAsia"/>
          <w:bCs/>
          <w:szCs w:val="21"/>
        </w:rPr>
        <w:t>表后“证明资料”部分内容的编制</w:t>
      </w:r>
      <w:bookmarkEnd w:id="76"/>
      <w:r>
        <w:rPr>
          <w:rFonts w:hint="eastAsia"/>
          <w:bCs/>
          <w:szCs w:val="21"/>
        </w:rPr>
        <w:t>：提供的所有证明资料应当统一编号（排序），且证明资料的编号（顺序）、数量和名称（形式）均应与“说明”一栏所填内容保持一致（一一对应），以便评审委员会查看。</w:t>
      </w:r>
      <w:bookmarkStart w:id="77" w:name="_Hlk73558180"/>
      <w:r>
        <w:rPr>
          <w:rFonts w:hint="eastAsia"/>
          <w:bCs/>
          <w:szCs w:val="21"/>
        </w:rPr>
        <w:t>未按照招标文件要求在表后放置证明材料的供应商将承担不利后果，经评审委员会认定，相关技术要求将判定为负偏离。</w:t>
      </w:r>
      <w:bookmarkEnd w:id="77"/>
    </w:p>
    <w:p>
      <w:pPr>
        <w:ind w:firstLine="420" w:firstLineChars="200"/>
        <w:rPr>
          <w:bCs/>
          <w:szCs w:val="21"/>
        </w:rPr>
      </w:pPr>
      <w:r>
        <w:rPr>
          <w:rFonts w:hint="eastAsia"/>
          <w:bCs/>
          <w:szCs w:val="21"/>
        </w:rPr>
        <w:t>7、</w:t>
      </w:r>
      <w:bookmarkStart w:id="78" w:name="_Hlk72096176"/>
      <w:r>
        <w:rPr>
          <w:rFonts w:hint="eastAsia"/>
          <w:bCs/>
          <w:szCs w:val="21"/>
        </w:rPr>
        <w:t>证明资料的形式及其它具体要求</w:t>
      </w:r>
      <w:bookmarkEnd w:id="78"/>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7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79"/>
    </w:p>
    <w:p>
      <w:pPr>
        <w:rPr>
          <w:sz w:val="24"/>
        </w:rPr>
      </w:pP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w:t>
      </w:r>
      <w:r>
        <w:rPr>
          <w:rFonts w:hint="eastAsia" w:ascii="黑体" w:hAnsi="宋体" w:eastAsia="黑体" w:cs="Times New Roman"/>
          <w:b w:val="0"/>
          <w:sz w:val="24"/>
          <w:szCs w:val="24"/>
        </w:rPr>
        <w:t>产品演示</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十一、</w:t>
      </w:r>
      <w:r>
        <w:rPr>
          <w:rFonts w:hint="eastAsia" w:ascii="黑体" w:hAnsi="宋体" w:eastAsia="黑体" w:cs="Times New Roman"/>
          <w:b w:val="0"/>
          <w:sz w:val="24"/>
          <w:szCs w:val="24"/>
        </w:rPr>
        <w:t>项目实施方案</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十二、</w:t>
      </w:r>
      <w:r>
        <w:rPr>
          <w:rFonts w:hint="eastAsia" w:ascii="黑体" w:hAnsi="宋体" w:eastAsia="黑体" w:cs="Times New Roman"/>
          <w:b w:val="0"/>
          <w:sz w:val="24"/>
          <w:szCs w:val="24"/>
        </w:rPr>
        <w:t>售后服务方案</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十三、</w:t>
      </w:r>
      <w:r>
        <w:rPr>
          <w:rFonts w:hint="eastAsia" w:ascii="黑体" w:hAnsi="宋体" w:eastAsia="黑体" w:cs="Times New Roman"/>
          <w:b w:val="0"/>
          <w:sz w:val="24"/>
          <w:szCs w:val="24"/>
        </w:rPr>
        <w:t>体系认证</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十四、</w:t>
      </w:r>
      <w:r>
        <w:rPr>
          <w:rFonts w:hint="eastAsia" w:ascii="黑体" w:hAnsi="宋体" w:eastAsia="黑体" w:cs="Times New Roman"/>
          <w:b w:val="0"/>
          <w:sz w:val="24"/>
          <w:szCs w:val="24"/>
        </w:rPr>
        <w:t>安全保险情况</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十五、</w:t>
      </w:r>
      <w:r>
        <w:rPr>
          <w:rFonts w:hint="eastAsia" w:ascii="黑体" w:hAnsi="宋体" w:eastAsia="黑体" w:cs="Times New Roman"/>
          <w:b w:val="0"/>
          <w:sz w:val="24"/>
          <w:szCs w:val="24"/>
        </w:rPr>
        <w:t>诚信情况</w:t>
      </w:r>
    </w:p>
    <w:p>
      <w:pPr>
        <w:pStyle w:val="4"/>
        <w:jc w:val="center"/>
        <w:rPr>
          <w:rFonts w:hint="eastAsia" w:ascii="黑体" w:hAnsi="宋体" w:eastAsia="黑体" w:cs="Times New Roman"/>
          <w:b w:val="0"/>
          <w:sz w:val="24"/>
          <w:szCs w:val="24"/>
        </w:rPr>
      </w:pPr>
      <w:r>
        <w:rPr>
          <w:rFonts w:hint="eastAsia" w:ascii="黑体" w:hAnsi="宋体" w:eastAsia="黑体" w:cs="Times New Roman"/>
          <w:b w:val="0"/>
          <w:sz w:val="24"/>
          <w:szCs w:val="24"/>
          <w:lang w:val="en-US" w:eastAsia="zh-CN"/>
        </w:rPr>
        <w:t>十六、</w:t>
      </w:r>
      <w:r>
        <w:rPr>
          <w:rFonts w:hint="eastAsia" w:ascii="黑体" w:hAnsi="宋体" w:eastAsia="黑体" w:cs="Times New Roman"/>
          <w:b w:val="0"/>
          <w:sz w:val="24"/>
          <w:szCs w:val="24"/>
        </w:rPr>
        <w:t>投标人认为需要加以说明的其他内容</w:t>
      </w: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b/>
        </w:rPr>
      </w:pPr>
      <w:r>
        <w:rPr>
          <w:rFonts w:hint="eastAsia"/>
          <w:b/>
        </w:rPr>
        <w:t>四、本公司已充分知悉采购违法、违规行为的法律后果。</w:t>
      </w:r>
    </w:p>
    <w:p>
      <w:pPr>
        <w:ind w:firstLine="420" w:firstLineChars="200"/>
      </w:pPr>
      <w:r>
        <w:rPr>
          <w:rFonts w:hint="eastAsia"/>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hint="eastAsia" w:ascii="黑体" w:hAnsi="宋体" w:eastAsia="黑体"/>
          <w:bCs/>
          <w:kern w:val="0"/>
          <w:sz w:val="24"/>
        </w:rPr>
        <w:sectPr>
          <w:pgSz w:w="11907" w:h="16840"/>
          <w:pgMar w:top="1440" w:right="1797" w:bottom="1440" w:left="1797" w:header="851" w:footer="992" w:gutter="0"/>
          <w:cols w:space="425" w:num="1"/>
          <w:titlePg/>
          <w:docGrid w:linePitch="462" w:charSpace="0"/>
        </w:sectPr>
      </w:pPr>
      <w:r>
        <w:rPr>
          <w:rFonts w:hint="eastAsia" w:ascii="黑体" w:hAnsi="宋体" w:eastAsia="黑体"/>
          <w:kern w:val="0"/>
          <w:sz w:val="24"/>
          <w:szCs w:val="20"/>
        </w:rPr>
        <w:t>（三）投标人认为需要加以说明的其他内容（格式自定）</w:t>
      </w:r>
    </w:p>
    <w:p>
      <w:r>
        <w:rPr>
          <w:rFonts w:hint="eastAsia"/>
        </w:rPr>
        <w:br w:type="page"/>
      </w:r>
    </w:p>
    <w:p>
      <w:pPr>
        <w:pStyle w:val="6"/>
        <w:rPr>
          <w:rFonts w:hint="eastAsia"/>
        </w:rPr>
      </w:pPr>
      <w:r>
        <w:rPr>
          <w:rFonts w:hint="eastAsia"/>
        </w:rPr>
        <w:t>第五章  合同条款及格式</w:t>
      </w:r>
    </w:p>
    <w:p/>
    <w:p>
      <w:pPr>
        <w:jc w:val="center"/>
      </w:pPr>
      <w:bookmarkStart w:id="80" w:name="_Toc3995"/>
      <w:r>
        <w:rPr>
          <w:rFonts w:hint="eastAsia"/>
          <w:b/>
          <w:sz w:val="24"/>
        </w:rPr>
        <w:t>（仅供参考，具体以项目需求及采购结果为准）</w:t>
      </w:r>
    </w:p>
    <w:p>
      <w:pPr>
        <w:jc w:val="center"/>
        <w:rPr>
          <w:rFonts w:hint="eastAsia" w:ascii="宋体" w:hAnsi="宋体" w:cs="宋体"/>
          <w:b/>
          <w:bCs/>
          <w:spacing w:val="-20"/>
          <w:kern w:val="44"/>
          <w:sz w:val="48"/>
          <w:szCs w:val="48"/>
        </w:rPr>
      </w:pPr>
    </w:p>
    <w:p>
      <w:pPr>
        <w:jc w:val="center"/>
        <w:rPr>
          <w:rFonts w:hint="eastAsia" w:ascii="宋体" w:hAnsi="宋体" w:cs="宋体"/>
          <w:b/>
          <w:bCs/>
          <w:spacing w:val="-20"/>
          <w:kern w:val="44"/>
          <w:sz w:val="48"/>
          <w:szCs w:val="48"/>
        </w:rPr>
      </w:pPr>
    </w:p>
    <w:p>
      <w:pPr>
        <w:pStyle w:val="2"/>
      </w:pP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bookmarkEnd w:id="80"/>
    <w:p>
      <w:pPr>
        <w:keepNext/>
        <w:keepLines/>
        <w:adjustRightInd w:val="0"/>
        <w:snapToGrid w:val="0"/>
        <w:spacing w:line="400" w:lineRule="exact"/>
        <w:jc w:val="center"/>
        <w:rPr>
          <w:rFonts w:hint="eastAsia" w:ascii="黑体" w:hAnsi="黑体" w:eastAsia="黑体"/>
          <w:b/>
          <w:bCs/>
          <w:sz w:val="28"/>
          <w:szCs w:val="28"/>
        </w:rPr>
      </w:pPr>
      <w:bookmarkStart w:id="81" w:name="_Toc22209"/>
    </w:p>
    <w:p>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1"/>
    </w:p>
    <w:p>
      <w:pPr>
        <w:keepNext/>
        <w:keepLines/>
        <w:adjustRightInd w:val="0"/>
        <w:snapToGrid w:val="0"/>
        <w:spacing w:line="400" w:lineRule="exact"/>
        <w:jc w:val="center"/>
        <w:rPr>
          <w:rFonts w:hint="eastAsia" w:ascii="黑体" w:hAnsi="华文中宋" w:eastAsia="黑体"/>
          <w:sz w:val="28"/>
          <w:szCs w:val="28"/>
        </w:rPr>
      </w:pPr>
    </w:p>
    <w:p>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00" w:lineRule="exact"/>
      </w:pPr>
    </w:p>
    <w:p>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pPr>
        <w:numPr>
          <w:ilvl w:val="0"/>
          <w:numId w:val="11"/>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00" w:lineRule="exact"/>
        <w:ind w:firstLine="420" w:firstLineChars="200"/>
        <w:rPr>
          <w:szCs w:val="21"/>
        </w:rPr>
      </w:pPr>
      <w:r>
        <w:rPr>
          <w:rFonts w:hint="eastAsia" w:ascii="宋体" w:hAnsi="宋体"/>
          <w:szCs w:val="21"/>
        </w:rPr>
        <w:t>（3）付款方式（按项目实际勾选填写）：</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0"/>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pPr>
        <w:numPr>
          <w:ilvl w:val="0"/>
          <w:numId w:val="12"/>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（1）政府采购合同协议书及其变更、补充协议</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（2）政府采购合同专用条款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（3）政府采购合同通用条款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r>
        <w:rPr>
          <w:rFonts w:hint="eastAsia"/>
        </w:rPr>
        <w:br w:type="page"/>
      </w:r>
    </w:p>
    <w:p>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82" w:name="_Toc27624"/>
      <w:r>
        <w:rPr>
          <w:rFonts w:hint="eastAsia" w:ascii="黑体" w:hAnsi="黑体" w:eastAsia="黑体"/>
          <w:sz w:val="28"/>
          <w:szCs w:val="28"/>
        </w:rPr>
        <w:t>第二节 政府采购合同通用条款</w:t>
      </w:r>
      <w:bookmarkEnd w:id="82"/>
    </w:p>
    <w:p>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pPr>
        <w:numPr>
          <w:ilvl w:val="0"/>
          <w:numId w:val="14"/>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szCs w:val="21"/>
        </w:rPr>
        <w:t>。</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pPr>
        <w:keepNext/>
        <w:keepLines/>
        <w:spacing w:line="400" w:lineRule="exact"/>
        <w:ind w:firstLine="420" w:firstLineChars="200"/>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0" w:lineRule="exact"/>
        <w:rPr>
          <w:rFonts w:hint="eastAsia" w:ascii="宋体" w:hAnsi="宋体"/>
          <w:b/>
          <w:bCs/>
          <w:sz w:val="24"/>
        </w:rPr>
      </w:pPr>
      <w:r>
        <w:rPr>
          <w:rFonts w:hint="eastAsia" w:ascii="宋体" w:hAnsi="宋体"/>
          <w:b/>
          <w:bCs/>
          <w:sz w:val="24"/>
        </w:rPr>
        <w:t>13. 履约保证金</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15"/>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16"/>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84"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4"/>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rPr>
                <w:rFonts w:hint="eastAsia" w:ascii="宋体" w:hAnsi="宋体"/>
                <w:szCs w:val="21"/>
              </w:rPr>
            </w:pPr>
            <w:r>
              <w:rPr>
                <w:rFonts w:hint="eastAsia" w:ascii="宋体" w:hAnsi="宋体"/>
                <w:szCs w:val="21"/>
              </w:rPr>
              <w:t>第6.1款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货物质量缺陷</w:t>
            </w:r>
          </w:p>
          <w:p>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rPr>
            </w:pPr>
            <w:r>
              <w:rPr>
                <w:rFonts w:hint="eastAsia" w:ascii="宋体" w:hAnsi="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hint="eastAsia" w:ascii="宋体" w:hAnsi="宋体"/>
                <w:szCs w:val="21"/>
              </w:rPr>
            </w:pPr>
          </w:p>
        </w:tc>
      </w:tr>
    </w:tbl>
    <w:p/>
    <w:p/>
    <w:p>
      <w:pPr>
        <w:widowControl/>
        <w:jc w:val="left"/>
        <w:rPr>
          <w:rFonts w:hint="eastAsia" w:ascii="宋体" w:hAnsi="宋体"/>
          <w:szCs w:val="21"/>
        </w:rPr>
      </w:pPr>
      <w:r>
        <w:rPr>
          <w:rFonts w:ascii="宋体" w:hAnsi="宋体"/>
          <w:szCs w:val="21"/>
        </w:rPr>
        <w:br w:type="page"/>
      </w:r>
    </w:p>
    <w:p>
      <w:pPr>
        <w:widowControl/>
        <w:jc w:val="left"/>
        <w:rPr>
          <w:rFonts w:hint="eastAsia" w:ascii="宋体" w:hAnsi="宋体"/>
          <w:szCs w:val="21"/>
        </w:rPr>
      </w:pPr>
    </w:p>
    <w:p>
      <w:pPr>
        <w:keepNext/>
        <w:keepLines/>
        <w:adjustRightInd w:val="0"/>
        <w:spacing w:before="120" w:beforeLines="50" w:after="120" w:afterLines="50"/>
        <w:ind w:left="562"/>
        <w:jc w:val="center"/>
        <w:textAlignment w:val="baseline"/>
        <w:outlineLvl w:val="1"/>
        <w:rPr>
          <w:rFonts w:hint="eastAsia" w:ascii="宋体" w:hAnsi="宋体"/>
          <w:b/>
          <w:bCs/>
          <w:kern w:val="0"/>
          <w:sz w:val="28"/>
          <w:szCs w:val="28"/>
        </w:rPr>
      </w:pPr>
      <w:r>
        <w:rPr>
          <w:rFonts w:hint="eastAsia" w:ascii="宋体" w:hAnsi="宋体"/>
          <w:b/>
          <w:bCs/>
          <w:kern w:val="0"/>
          <w:sz w:val="28"/>
          <w:szCs w:val="28"/>
        </w:rPr>
        <w:t>第二册  通用条款（公开招标）</w:t>
      </w: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85" w:name="_Hlk72399513"/>
      <w:r>
        <w:rPr>
          <w:rFonts w:hint="eastAsia" w:ascii="宋体" w:hAnsi="宋体"/>
          <w:b/>
          <w:bCs/>
          <w:kern w:val="0"/>
          <w:sz w:val="28"/>
          <w:szCs w:val="28"/>
        </w:rPr>
        <w:t>总则</w:t>
      </w:r>
    </w:p>
    <w:bookmarkEnd w:id="85"/>
    <w:p>
      <w:pPr>
        <w:rPr>
          <w:rFonts w:hint="eastAsia" w:ascii="黑体" w:hAnsi="宋体" w:eastAsia="黑体"/>
          <w:sz w:val="24"/>
        </w:rPr>
      </w:pPr>
      <w:r>
        <w:rPr>
          <w:rFonts w:hint="eastAsia" w:ascii="黑体" w:hAnsi="宋体" w:eastAsia="黑体"/>
          <w:sz w:val="24"/>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86" w:name="_Hlk72399729"/>
      <w:r>
        <w:rPr>
          <w:rFonts w:hint="eastAsia" w:ascii="宋体" w:hAnsi="宋体"/>
          <w:szCs w:val="21"/>
        </w:rPr>
        <w:t>如有需要，政府集中采购机构可以对通用条款的内容进行补充。</w:t>
      </w:r>
      <w:bookmarkEnd w:id="86"/>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1.4“通用条款”是适用于自行采购公开招标项目的基础性条款，具有普遍性和通用性。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深圳公共资源交易中心（深圳交易集团有限公司坪山分公司）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87" w:name="_Hlk72398643"/>
      <w:r>
        <w:rPr>
          <w:rFonts w:hint="eastAsia" w:ascii="黑体" w:hAnsi="宋体" w:eastAsia="黑体"/>
          <w:sz w:val="24"/>
        </w:rPr>
        <w:t>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5．投标人参加自行采购的条件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11" w:firstLineChars="196"/>
        <w:jc w:val="left"/>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8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7"/>
    <w:p>
      <w:pPr>
        <w:ind w:firstLine="411" w:firstLineChars="196"/>
        <w:rPr>
          <w:rFonts w:hint="eastAsia" w:ascii="宋体" w:hAnsi="宋体"/>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89"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9"/>
    </w:p>
    <w:p>
      <w:pPr>
        <w:rPr>
          <w:rFonts w:hint="eastAsia" w:ascii="宋体" w:hAnsi="宋体"/>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投标文件的编制</w:t>
      </w:r>
    </w:p>
    <w:p>
      <w:pPr>
        <w:rPr>
          <w:rFonts w:hint="eastAsia" w:ascii="黑体" w:hAnsi="宋体" w:eastAsia="黑体"/>
          <w:sz w:val="24"/>
        </w:rPr>
      </w:pPr>
      <w:r>
        <w:rPr>
          <w:rFonts w:hint="eastAsia" w:ascii="黑体" w:hAnsi="宋体" w:eastAsia="黑体"/>
          <w:sz w:val="24"/>
        </w:rPr>
        <w:t>14．</w:t>
      </w:r>
      <w:bookmarkStart w:id="90"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90"/>
    <w:p>
      <w:pPr>
        <w:rPr>
          <w:rFonts w:hint="eastAsia" w:ascii="黑体" w:hAnsi="宋体" w:eastAsia="黑体"/>
          <w:sz w:val="24"/>
        </w:rPr>
      </w:pPr>
      <w:r>
        <w:rPr>
          <w:rFonts w:hint="eastAsia" w:ascii="黑体" w:hAnsi="宋体" w:eastAsia="黑体"/>
          <w:sz w:val="24"/>
        </w:rPr>
        <w:t>15．</w:t>
      </w:r>
      <w:bookmarkStart w:id="91"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91"/>
    <w:p>
      <w:pPr>
        <w:rPr>
          <w:rFonts w:hint="eastAsia" w:ascii="黑体" w:hAnsi="宋体" w:eastAsia="黑体"/>
          <w:sz w:val="24"/>
        </w:rPr>
      </w:pPr>
      <w:r>
        <w:rPr>
          <w:rFonts w:hint="eastAsia" w:ascii="黑体" w:hAnsi="宋体" w:eastAsia="黑体"/>
          <w:sz w:val="24"/>
        </w:rPr>
        <w:t>18．</w:t>
      </w:r>
      <w:bookmarkStart w:id="92"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92"/>
    <w:p>
      <w:pPr>
        <w:rPr>
          <w:rFonts w:hint="eastAsia" w:ascii="黑体" w:hAnsi="宋体" w:eastAsia="黑体"/>
          <w:sz w:val="24"/>
        </w:rPr>
      </w:pPr>
      <w:r>
        <w:rPr>
          <w:rFonts w:hint="eastAsia" w:ascii="黑体" w:hAnsi="宋体" w:eastAsia="黑体"/>
          <w:sz w:val="24"/>
        </w:rPr>
        <w:t>19．</w:t>
      </w:r>
      <w:bookmarkStart w:id="93"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4"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4"/>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93"/>
    <w:p>
      <w:pPr>
        <w:ind w:firstLine="411" w:firstLineChars="196"/>
        <w:rPr>
          <w:rFonts w:hint="eastAsia" w:ascii="宋体" w:hAnsi="宋体"/>
          <w:szCs w:val="21"/>
        </w:rPr>
      </w:pPr>
      <w:bookmarkStart w:id="9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5"/>
    <w:p>
      <w:pPr>
        <w:rPr>
          <w:rFonts w:hint="eastAsia" w:ascii="黑体" w:hAnsi="宋体" w:eastAsia="黑体"/>
          <w:sz w:val="24"/>
        </w:rPr>
      </w:pPr>
      <w:r>
        <w:rPr>
          <w:rFonts w:hint="eastAsia" w:ascii="黑体" w:hAnsi="宋体" w:eastAsia="黑体"/>
          <w:sz w:val="24"/>
        </w:rPr>
        <w:t>21．</w:t>
      </w:r>
      <w:bookmarkStart w:id="96"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6"/>
    <w:p>
      <w:pPr>
        <w:rPr>
          <w:rFonts w:hint="eastAsia" w:ascii="黑体" w:hAnsi="宋体" w:eastAsia="黑体"/>
          <w:sz w:val="24"/>
        </w:rPr>
      </w:pPr>
      <w:r>
        <w:rPr>
          <w:rFonts w:hint="eastAsia" w:ascii="黑体" w:hAnsi="宋体" w:eastAsia="黑体"/>
          <w:sz w:val="24"/>
        </w:rPr>
        <w:t>23．</w:t>
      </w:r>
      <w:bookmarkStart w:id="9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97"/>
    </w:p>
    <w:p>
      <w:pPr>
        <w:ind w:firstLine="411" w:firstLineChars="196"/>
        <w:rPr>
          <w:rFonts w:hint="eastAsia" w:ascii="宋体" w:hAnsi="宋体"/>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投标文件的递交</w:t>
      </w:r>
    </w:p>
    <w:p>
      <w:pPr>
        <w:rPr>
          <w:rFonts w:hint="eastAsia" w:ascii="黑体" w:hAnsi="宋体" w:eastAsia="黑体"/>
          <w:sz w:val="24"/>
        </w:rPr>
      </w:pPr>
      <w:bookmarkStart w:id="98" w:name="_Hlk72405459"/>
      <w:r>
        <w:rPr>
          <w:rFonts w:hint="eastAsia" w:ascii="黑体" w:hAnsi="宋体" w:eastAsia="黑体"/>
          <w:sz w:val="24"/>
        </w:rPr>
        <w:t>24．投标文件的保密</w:t>
      </w:r>
    </w:p>
    <w:p>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pPr>
        <w:spacing w:line="360" w:lineRule="auto"/>
      </w:pPr>
      <w:r>
        <w:rPr>
          <w:rFonts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jc w:val="left"/>
      </w:pPr>
      <w:r>
        <w:rPr>
          <w:rFonts w:hint="eastAsia"/>
        </w:rPr>
        <w:t>加密后会提示文件生成成功！</w:t>
      </w:r>
    </w:p>
    <w:p>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pPr>
        <w:rPr>
          <w:rFonts w:hint="eastAsia" w:ascii="宋体" w:hAnsi="宋体"/>
        </w:rPr>
      </w:pPr>
      <w: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sz w:val="24"/>
        </w:rPr>
      </w:pPr>
      <w:r>
        <w:rPr>
          <w:rFonts w:hint="eastAsia" w:ascii="黑体" w:hAnsi="宋体" w:eastAsia="黑体"/>
          <w:sz w:val="24"/>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hint="eastAsia" w:ascii="黑体" w:hAnsi="宋体" w:eastAsia="黑体"/>
          <w:sz w:val="24"/>
        </w:rPr>
      </w:pPr>
      <w:r>
        <w:rPr>
          <w:rFonts w:hint="eastAsia" w:ascii="黑体" w:hAnsi="宋体" w:eastAsia="黑体"/>
          <w:sz w:val="24"/>
        </w:rPr>
        <w:t>25．上传投标文件及投标截止日期</w:t>
      </w:r>
    </w:p>
    <w:p>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bookmarkEnd w:id="98"/>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9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99"/>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pPr>
        <w:rPr>
          <w:rFonts w:hint="eastAsia" w:ascii="宋体" w:hAnsi="宋体"/>
          <w:szCs w:val="21"/>
        </w:rPr>
      </w:pPr>
      <w: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hint="eastAsia" w:ascii="宋体" w:hAnsi="宋体"/>
          <w:szCs w:val="21"/>
        </w:rPr>
      </w:pPr>
      <w:r>
        <w:rPr>
          <w:rFonts w:hint="eastAsia" w:ascii="宋体" w:hAnsi="宋体"/>
          <w:szCs w:val="21"/>
        </w:rPr>
        <w:t>28.2政府集中采购机构将在满足开标条件后，对投标文件进行开标。</w:t>
      </w:r>
    </w:p>
    <w:p>
      <w:pPr>
        <w:ind w:firstLine="315" w:firstLineChars="150"/>
        <w:rPr>
          <w:rFonts w:hint="eastAsia" w:ascii="宋体" w:hAnsi="宋体"/>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100" w:name="_Hlk72436580"/>
      <w:r>
        <w:rPr>
          <w:rFonts w:hint="eastAsia" w:ascii="宋体" w:hAnsi="宋体"/>
        </w:rPr>
        <w:t>评审委员会由采购人代表和评审专家组成。</w:t>
      </w:r>
      <w:bookmarkEnd w:id="10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10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1"/>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102" w:name="_Toc73521669"/>
      <w:bookmarkStart w:id="103" w:name="_Toc73517673"/>
      <w:bookmarkStart w:id="104" w:name="_Toc100052400"/>
      <w:bookmarkStart w:id="105" w:name="_Toc73518151"/>
      <w:bookmarkStart w:id="106" w:name="_Toc73521581"/>
      <w:r>
        <w:rPr>
          <w:rFonts w:hint="eastAsia" w:ascii="黑体" w:hAnsi="宋体" w:eastAsia="黑体"/>
          <w:sz w:val="24"/>
        </w:rPr>
        <w:t>34．错误的修正</w:t>
      </w:r>
      <w:bookmarkEnd w:id="102"/>
      <w:bookmarkEnd w:id="103"/>
      <w:bookmarkEnd w:id="104"/>
      <w:bookmarkEnd w:id="105"/>
      <w:bookmarkEnd w:id="106"/>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r>
        <w:rPr>
          <w:rFonts w:hint="eastAsia" w:ascii="宋体" w:hAnsi="宋体"/>
          <w:b/>
          <w:bCs/>
          <w:szCs w:val="21"/>
        </w:rPr>
        <w:t>37.1.1最低价法</w:t>
      </w:r>
    </w:p>
    <w:p>
      <w:pPr>
        <w:ind w:firstLine="411" w:firstLineChars="196"/>
        <w:rPr>
          <w:rFonts w:hint="eastAsia" w:ascii="ˎ̥" w:hAnsi="ˎ̥"/>
        </w:rPr>
      </w:pPr>
      <w:bookmarkStart w:id="107" w:name="_Hlk72438142"/>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7"/>
      <w:r>
        <w:rPr>
          <w:rFonts w:hint="eastAsia" w:ascii="ˎ̥" w:hAnsi="ˎ̥"/>
        </w:rPr>
        <w:t>。</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pPr>
        <w:ind w:firstLine="413" w:firstLineChars="196"/>
        <w:rPr>
          <w:rFonts w:hint="eastAsia" w:ascii="宋体" w:hAnsi="宋体"/>
          <w:b/>
          <w:bCs/>
          <w:szCs w:val="21"/>
        </w:rPr>
      </w:pPr>
      <w:r>
        <w:rPr>
          <w:rFonts w:hint="eastAsia" w:ascii="宋体" w:hAnsi="宋体"/>
          <w:b/>
          <w:bCs/>
          <w:szCs w:val="21"/>
        </w:rPr>
        <w:t>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108"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09"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09"/>
      <w:r>
        <w:rPr>
          <w:rFonts w:ascii="ˎ̥" w:hAnsi="ˎ̥"/>
        </w:rPr>
        <w:t>）。</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110"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111"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10"/>
      <w:bookmarkEnd w:id="111"/>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108"/>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112"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112"/>
      <w:bookmarkStart w:id="11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113"/>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4"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4"/>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115" w:name="_Hlk71407340"/>
      <w:r>
        <w:rPr>
          <w:rFonts w:hint="eastAsia" w:ascii="宋体" w:hAnsi="宋体"/>
          <w:szCs w:val="21"/>
        </w:rPr>
        <w:t>41.3因质疑投诉或其它原因导致项目结果变更或采购终止的，政府集中采购机构有权吊销中标通知书。</w:t>
      </w:r>
    </w:p>
    <w:bookmarkEnd w:id="115"/>
    <w:p>
      <w:pPr>
        <w:ind w:firstLine="411" w:firstLineChars="196"/>
        <w:rPr>
          <w:rFonts w:hint="eastAsia" w:ascii="宋体" w:hAnsi="宋体"/>
          <w:szCs w:val="21"/>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黑体" w:hAnsi="宋体" w:eastAsia="黑体"/>
          <w:sz w:val="24"/>
        </w:rPr>
      </w:pPr>
    </w:p>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116" w:name="_Hlk72439043"/>
      <w:r>
        <w:rPr>
          <w:rFonts w:hint="eastAsia" w:ascii="宋体" w:hAnsi="宋体"/>
          <w:b/>
          <w:bCs/>
          <w:kern w:val="0"/>
          <w:sz w:val="28"/>
          <w:szCs w:val="28"/>
        </w:rPr>
        <w:t>合同的授予与备案</w:t>
      </w:r>
      <w:bookmarkEnd w:id="116"/>
    </w:p>
    <w:p>
      <w:pPr>
        <w:rPr>
          <w:rFonts w:hint="eastAsia" w:ascii="黑体" w:hAnsi="宋体" w:eastAsia="黑体"/>
          <w:sz w:val="24"/>
        </w:rPr>
      </w:pPr>
      <w:bookmarkStart w:id="117" w:name="_Toc73517679"/>
      <w:bookmarkStart w:id="118" w:name="_Toc100052408"/>
      <w:bookmarkStart w:id="119" w:name="_Toc73518157"/>
      <w:bookmarkStart w:id="120" w:name="_Toc73521586"/>
      <w:bookmarkStart w:id="121" w:name="_Toc73521674"/>
      <w:bookmarkStart w:id="122" w:name="_Hlk72439088"/>
      <w:r>
        <w:rPr>
          <w:rFonts w:hint="eastAsia" w:ascii="黑体" w:hAnsi="宋体" w:eastAsia="黑体"/>
          <w:sz w:val="24"/>
        </w:rPr>
        <w:t>43．合同授予标准</w:t>
      </w:r>
      <w:bookmarkEnd w:id="117"/>
      <w:bookmarkEnd w:id="118"/>
      <w:bookmarkEnd w:id="119"/>
      <w:bookmarkEnd w:id="120"/>
      <w:bookmarkEnd w:id="121"/>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123" w:name="_Toc73518158"/>
      <w:bookmarkStart w:id="124" w:name="_Toc73517680"/>
      <w:bookmarkStart w:id="125" w:name="_Toc73521587"/>
      <w:bookmarkStart w:id="126" w:name="_Toc100052409"/>
      <w:bookmarkStart w:id="127" w:name="_Toc73521675"/>
      <w:r>
        <w:rPr>
          <w:rFonts w:hint="eastAsia" w:ascii="黑体" w:hAnsi="宋体" w:eastAsia="黑体"/>
          <w:sz w:val="24"/>
        </w:rPr>
        <w:t>44．</w:t>
      </w:r>
      <w:bookmarkEnd w:id="123"/>
      <w:bookmarkEnd w:id="124"/>
      <w:bookmarkEnd w:id="125"/>
      <w:bookmarkEnd w:id="126"/>
      <w:bookmarkEnd w:id="127"/>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128" w:name="_Toc73518160"/>
      <w:bookmarkStart w:id="129" w:name="_Toc100052410"/>
      <w:bookmarkStart w:id="130" w:name="_Toc73521589"/>
      <w:bookmarkStart w:id="131" w:name="_Toc73521677"/>
      <w:bookmarkStart w:id="132" w:name="_Toc73517682"/>
      <w:r>
        <w:rPr>
          <w:rFonts w:hint="eastAsia" w:ascii="黑体" w:hAnsi="宋体" w:eastAsia="黑体"/>
          <w:sz w:val="24"/>
        </w:rPr>
        <w:t>45．合同的签订</w:t>
      </w:r>
      <w:bookmarkEnd w:id="128"/>
      <w:bookmarkEnd w:id="129"/>
      <w:bookmarkEnd w:id="130"/>
      <w:bookmarkEnd w:id="131"/>
      <w:bookmarkEnd w:id="132"/>
    </w:p>
    <w:p>
      <w:pPr>
        <w:ind w:firstLine="411" w:firstLineChars="196"/>
        <w:rPr>
          <w:rFonts w:hint="eastAsia"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33" w:name="_Toc73521590"/>
      <w:bookmarkStart w:id="134" w:name="_Toc73521678"/>
      <w:bookmarkStart w:id="135" w:name="_Toc73518161"/>
      <w:bookmarkStart w:id="136" w:name="_Toc73517683"/>
      <w:bookmarkStart w:id="137" w:name="_Toc100052411"/>
      <w:r>
        <w:rPr>
          <w:rFonts w:hint="eastAsia" w:ascii="黑体" w:hAnsi="宋体" w:eastAsia="黑体"/>
          <w:sz w:val="24"/>
        </w:rPr>
        <w:t>46．履约担保</w:t>
      </w:r>
      <w:bookmarkEnd w:id="133"/>
      <w:bookmarkEnd w:id="134"/>
      <w:bookmarkEnd w:id="135"/>
      <w:bookmarkEnd w:id="136"/>
      <w:bookmarkEnd w:id="137"/>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ind w:firstLine="420" w:firstLineChars="200"/>
        <w:rPr>
          <w:rFonts w:hint="eastAsia" w:ascii="宋体" w:hAnsi="宋体"/>
          <w:szCs w:val="21"/>
        </w:rPr>
      </w:pPr>
      <w:r>
        <w:rPr>
          <w:rFonts w:hint="eastAsia" w:ascii="宋体" w:hAnsi="宋体"/>
          <w:szCs w:val="21"/>
        </w:rPr>
        <w:t>按采购单位内控规定备案。</w:t>
      </w:r>
    </w:p>
    <w:p>
      <w:pPr>
        <w:rPr>
          <w:rFonts w:hint="eastAsia" w:ascii="黑体" w:hAnsi="宋体" w:eastAsia="黑体"/>
          <w:sz w:val="24"/>
        </w:rPr>
      </w:pPr>
      <w:r>
        <w:rPr>
          <w:rFonts w:hint="eastAsia" w:ascii="黑体" w:hAnsi="宋体" w:eastAsia="黑体"/>
          <w:sz w:val="24"/>
        </w:rPr>
        <w:t>48. 合同变更</w:t>
      </w:r>
    </w:p>
    <w:p>
      <w:pPr>
        <w:ind w:firstLine="420" w:firstLineChars="200"/>
        <w:rPr>
          <w:rFonts w:hint="eastAsia" w:ascii="黑体" w:hAnsi="宋体" w:eastAsia="黑体"/>
          <w:sz w:val="24"/>
        </w:rPr>
      </w:pPr>
      <w:r>
        <w:rPr>
          <w:rFonts w:hint="eastAsia" w:ascii="宋体" w:hAnsi="宋体"/>
          <w:szCs w:val="21"/>
        </w:rPr>
        <w:t>合同变更事宜按采购单位内控规定执行。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hint="eastAsia" w:ascii="宋体" w:hAnsi="宋体"/>
          <w:szCs w:val="21"/>
        </w:rPr>
        <w:t>政府集中采购机构或采购人不予退还其交纳的谈判保证金，情节严重的，并由主管部门</w:t>
      </w:r>
      <w:bookmarkEnd w:id="138"/>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2"/>
    <w:p>
      <w:pPr>
        <w:keepNext/>
        <w:keepLines/>
        <w:numPr>
          <w:ilvl w:val="0"/>
          <w:numId w:val="17"/>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39" w:name="_Hlk75374941"/>
      <w:r>
        <w:rPr>
          <w:rFonts w:hint="eastAsia" w:ascii="宋体" w:hAnsi="宋体"/>
          <w:szCs w:val="21"/>
        </w:rPr>
        <w:t>以联合体形式参与的，质疑应当由组成联合体的所有成员共同提出</w:t>
      </w:r>
      <w:bookmarkEnd w:id="139"/>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地址：深圳公共资源交易中心（深圳交易集团有限公司坪山分公司）。质疑咨询电话：0755-28413245。</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r>
        <w:t>---- END ----</w:t>
      </w:r>
    </w:p>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437"/>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1351"/>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06E"/>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0F67"/>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4A85"/>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4F46"/>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969"/>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A7EEA"/>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710"/>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1789"/>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1A0FBB"/>
    <w:rsid w:val="06C559AF"/>
    <w:rsid w:val="07554285"/>
    <w:rsid w:val="0775586D"/>
    <w:rsid w:val="07EC528E"/>
    <w:rsid w:val="081C64DD"/>
    <w:rsid w:val="083E1B6F"/>
    <w:rsid w:val="08435461"/>
    <w:rsid w:val="08435AFA"/>
    <w:rsid w:val="087109F5"/>
    <w:rsid w:val="08AF0DE8"/>
    <w:rsid w:val="08DC6FA0"/>
    <w:rsid w:val="090C7C1B"/>
    <w:rsid w:val="0929095D"/>
    <w:rsid w:val="09493091"/>
    <w:rsid w:val="09FF0058"/>
    <w:rsid w:val="0A914C01"/>
    <w:rsid w:val="0AD31787"/>
    <w:rsid w:val="0ADD6816"/>
    <w:rsid w:val="0AF96D6A"/>
    <w:rsid w:val="0B5964AA"/>
    <w:rsid w:val="0B912479"/>
    <w:rsid w:val="0BCC39BB"/>
    <w:rsid w:val="0C2520CA"/>
    <w:rsid w:val="0C4C5587"/>
    <w:rsid w:val="0C7777A9"/>
    <w:rsid w:val="0CD30126"/>
    <w:rsid w:val="0CFC3FE1"/>
    <w:rsid w:val="0D353DEE"/>
    <w:rsid w:val="0D490A8D"/>
    <w:rsid w:val="0DC668EA"/>
    <w:rsid w:val="0DC93D4A"/>
    <w:rsid w:val="0E172E1A"/>
    <w:rsid w:val="0E5643EF"/>
    <w:rsid w:val="0E6E6F80"/>
    <w:rsid w:val="0F7A7451"/>
    <w:rsid w:val="0F953AB1"/>
    <w:rsid w:val="0FF94323"/>
    <w:rsid w:val="107A34BF"/>
    <w:rsid w:val="107A51CD"/>
    <w:rsid w:val="108D4A90"/>
    <w:rsid w:val="10993984"/>
    <w:rsid w:val="10A51DDA"/>
    <w:rsid w:val="10E24DDC"/>
    <w:rsid w:val="10E67EAB"/>
    <w:rsid w:val="110D1AD5"/>
    <w:rsid w:val="11733C86"/>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354792"/>
    <w:rsid w:val="16BA40A9"/>
    <w:rsid w:val="16E54E7B"/>
    <w:rsid w:val="16F47498"/>
    <w:rsid w:val="17051BB8"/>
    <w:rsid w:val="17727A45"/>
    <w:rsid w:val="1776002C"/>
    <w:rsid w:val="17AF120E"/>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9169B9"/>
    <w:rsid w:val="1D9A7B03"/>
    <w:rsid w:val="1DCF425D"/>
    <w:rsid w:val="1DE3725E"/>
    <w:rsid w:val="1E330E9C"/>
    <w:rsid w:val="1E340CEE"/>
    <w:rsid w:val="1E9C6591"/>
    <w:rsid w:val="1EB904D1"/>
    <w:rsid w:val="1F507A92"/>
    <w:rsid w:val="1FD21930"/>
    <w:rsid w:val="20043B19"/>
    <w:rsid w:val="203A1396"/>
    <w:rsid w:val="20BE2A44"/>
    <w:rsid w:val="20BE2B36"/>
    <w:rsid w:val="20D17B68"/>
    <w:rsid w:val="2112344B"/>
    <w:rsid w:val="21481A39"/>
    <w:rsid w:val="219A1B7F"/>
    <w:rsid w:val="21B22A5C"/>
    <w:rsid w:val="21E65C8F"/>
    <w:rsid w:val="235220CD"/>
    <w:rsid w:val="23AA6A32"/>
    <w:rsid w:val="23C9229F"/>
    <w:rsid w:val="23F24EDE"/>
    <w:rsid w:val="24195A43"/>
    <w:rsid w:val="245D31B5"/>
    <w:rsid w:val="247D5ABB"/>
    <w:rsid w:val="24826101"/>
    <w:rsid w:val="24B36CA5"/>
    <w:rsid w:val="25735D35"/>
    <w:rsid w:val="25784A9C"/>
    <w:rsid w:val="2596668B"/>
    <w:rsid w:val="25E16A45"/>
    <w:rsid w:val="25F11338"/>
    <w:rsid w:val="25F46AB0"/>
    <w:rsid w:val="262A236D"/>
    <w:rsid w:val="27217B54"/>
    <w:rsid w:val="274348DC"/>
    <w:rsid w:val="27790206"/>
    <w:rsid w:val="277D1EE5"/>
    <w:rsid w:val="27A31B59"/>
    <w:rsid w:val="27B87AF2"/>
    <w:rsid w:val="27EE3E21"/>
    <w:rsid w:val="286C3B37"/>
    <w:rsid w:val="289002C6"/>
    <w:rsid w:val="28B86003"/>
    <w:rsid w:val="28C71A62"/>
    <w:rsid w:val="293801B5"/>
    <w:rsid w:val="298A23AD"/>
    <w:rsid w:val="2B033371"/>
    <w:rsid w:val="2B067EC8"/>
    <w:rsid w:val="2B3A56AF"/>
    <w:rsid w:val="2B4268D5"/>
    <w:rsid w:val="2BB71443"/>
    <w:rsid w:val="2BDC0BC9"/>
    <w:rsid w:val="2BF00047"/>
    <w:rsid w:val="2BF10226"/>
    <w:rsid w:val="2C0853D9"/>
    <w:rsid w:val="2C240F34"/>
    <w:rsid w:val="2C64115C"/>
    <w:rsid w:val="2C70392E"/>
    <w:rsid w:val="2C845368"/>
    <w:rsid w:val="2D0B54A3"/>
    <w:rsid w:val="2D230138"/>
    <w:rsid w:val="2D355E3C"/>
    <w:rsid w:val="2D6F4378"/>
    <w:rsid w:val="2DED1D9C"/>
    <w:rsid w:val="2DFF521E"/>
    <w:rsid w:val="2E521941"/>
    <w:rsid w:val="2E590BD6"/>
    <w:rsid w:val="2EA0509E"/>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9431D8"/>
    <w:rsid w:val="37B94CD9"/>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4E7E46"/>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EE13594"/>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765E45"/>
    <w:rsid w:val="41B06223"/>
    <w:rsid w:val="41B829D4"/>
    <w:rsid w:val="41E77728"/>
    <w:rsid w:val="41F8244F"/>
    <w:rsid w:val="421F601D"/>
    <w:rsid w:val="42482AD4"/>
    <w:rsid w:val="424A2571"/>
    <w:rsid w:val="42896114"/>
    <w:rsid w:val="42BE5CDC"/>
    <w:rsid w:val="430C0C47"/>
    <w:rsid w:val="432B6014"/>
    <w:rsid w:val="43A73423"/>
    <w:rsid w:val="43E62EC8"/>
    <w:rsid w:val="443E7269"/>
    <w:rsid w:val="44AC22B9"/>
    <w:rsid w:val="451275EF"/>
    <w:rsid w:val="459C606B"/>
    <w:rsid w:val="46103030"/>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D73B45"/>
    <w:rsid w:val="51F21254"/>
    <w:rsid w:val="52184E8B"/>
    <w:rsid w:val="523258FE"/>
    <w:rsid w:val="52DF6974"/>
    <w:rsid w:val="53292792"/>
    <w:rsid w:val="53B57275"/>
    <w:rsid w:val="540A2A63"/>
    <w:rsid w:val="54A27FE5"/>
    <w:rsid w:val="54E126EC"/>
    <w:rsid w:val="551A77A3"/>
    <w:rsid w:val="552B71DA"/>
    <w:rsid w:val="55C80ACA"/>
    <w:rsid w:val="55F9355F"/>
    <w:rsid w:val="5606548A"/>
    <w:rsid w:val="560D5967"/>
    <w:rsid w:val="564837DC"/>
    <w:rsid w:val="56562CF2"/>
    <w:rsid w:val="56927A26"/>
    <w:rsid w:val="56B77B44"/>
    <w:rsid w:val="56DD0B98"/>
    <w:rsid w:val="572A016E"/>
    <w:rsid w:val="5730509E"/>
    <w:rsid w:val="573D71DF"/>
    <w:rsid w:val="577D0663"/>
    <w:rsid w:val="57AA2B3B"/>
    <w:rsid w:val="57AE4742"/>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AED1980"/>
    <w:rsid w:val="5B1625B8"/>
    <w:rsid w:val="5B24477E"/>
    <w:rsid w:val="5B2951D4"/>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0490D"/>
    <w:rsid w:val="5F3118C0"/>
    <w:rsid w:val="5F362174"/>
    <w:rsid w:val="5F382F4C"/>
    <w:rsid w:val="5F5652B7"/>
    <w:rsid w:val="5F6C0876"/>
    <w:rsid w:val="5F93061C"/>
    <w:rsid w:val="5FAD15EE"/>
    <w:rsid w:val="60103A97"/>
    <w:rsid w:val="60305F29"/>
    <w:rsid w:val="609B14DB"/>
    <w:rsid w:val="60C1328E"/>
    <w:rsid w:val="60DB4999"/>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417D70"/>
    <w:rsid w:val="65633210"/>
    <w:rsid w:val="6585379C"/>
    <w:rsid w:val="658A3520"/>
    <w:rsid w:val="66072141"/>
    <w:rsid w:val="66285F62"/>
    <w:rsid w:val="662D4763"/>
    <w:rsid w:val="664513D6"/>
    <w:rsid w:val="664B644A"/>
    <w:rsid w:val="666B09B5"/>
    <w:rsid w:val="66885224"/>
    <w:rsid w:val="66BA43AC"/>
    <w:rsid w:val="67000CC4"/>
    <w:rsid w:val="67236729"/>
    <w:rsid w:val="67397FD4"/>
    <w:rsid w:val="677360E3"/>
    <w:rsid w:val="67F65590"/>
    <w:rsid w:val="68D357B0"/>
    <w:rsid w:val="68E21A43"/>
    <w:rsid w:val="68F669DD"/>
    <w:rsid w:val="69962BD5"/>
    <w:rsid w:val="69BB198F"/>
    <w:rsid w:val="69CB7493"/>
    <w:rsid w:val="69D4537F"/>
    <w:rsid w:val="6A365264"/>
    <w:rsid w:val="6A4148B3"/>
    <w:rsid w:val="6A6C42EE"/>
    <w:rsid w:val="6AB30BF4"/>
    <w:rsid w:val="6AD0599B"/>
    <w:rsid w:val="6ADA53C2"/>
    <w:rsid w:val="6B981DF8"/>
    <w:rsid w:val="6B9D025C"/>
    <w:rsid w:val="6BA75FB6"/>
    <w:rsid w:val="6BB35604"/>
    <w:rsid w:val="6BCA0C7C"/>
    <w:rsid w:val="6BFE0F28"/>
    <w:rsid w:val="6BFF52D4"/>
    <w:rsid w:val="6C59487A"/>
    <w:rsid w:val="6C9101A8"/>
    <w:rsid w:val="6CDA2501"/>
    <w:rsid w:val="6D202140"/>
    <w:rsid w:val="6D342340"/>
    <w:rsid w:val="6D9B19E5"/>
    <w:rsid w:val="6E984CF8"/>
    <w:rsid w:val="6F5E0FC0"/>
    <w:rsid w:val="6F6F4E5B"/>
    <w:rsid w:val="6FC31728"/>
    <w:rsid w:val="6FCD69D4"/>
    <w:rsid w:val="6FF43359"/>
    <w:rsid w:val="70A80E7F"/>
    <w:rsid w:val="70E241C6"/>
    <w:rsid w:val="71034F30"/>
    <w:rsid w:val="711315BD"/>
    <w:rsid w:val="71213AE5"/>
    <w:rsid w:val="71557CD8"/>
    <w:rsid w:val="71603DA0"/>
    <w:rsid w:val="722515A8"/>
    <w:rsid w:val="722E2B52"/>
    <w:rsid w:val="728B1D53"/>
    <w:rsid w:val="72991E28"/>
    <w:rsid w:val="72D26514"/>
    <w:rsid w:val="7310706F"/>
    <w:rsid w:val="74564E86"/>
    <w:rsid w:val="74C434B7"/>
    <w:rsid w:val="750B2FED"/>
    <w:rsid w:val="753541F8"/>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4F2919"/>
    <w:rsid w:val="7A634C39"/>
    <w:rsid w:val="7A6B1587"/>
    <w:rsid w:val="7B1E65F5"/>
    <w:rsid w:val="7B9F5272"/>
    <w:rsid w:val="7BBB7C03"/>
    <w:rsid w:val="7C0741E9"/>
    <w:rsid w:val="7C230F73"/>
    <w:rsid w:val="7CB6257E"/>
    <w:rsid w:val="7D1B52B4"/>
    <w:rsid w:val="7D3744CD"/>
    <w:rsid w:val="7D7173A1"/>
    <w:rsid w:val="7DB23C95"/>
    <w:rsid w:val="7E433576"/>
    <w:rsid w:val="7E903F14"/>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qFormat/>
    <w:uiPriority w:val="0"/>
    <w:pPr>
      <w:adjustRightInd w:val="0"/>
      <w:jc w:val="center"/>
      <w:textAlignment w:val="baseline"/>
      <w:outlineLvl w:val="1"/>
    </w:pPr>
    <w:rPr>
      <w:kern w:val="0"/>
      <w:sz w:val="24"/>
      <w:szCs w:val="20"/>
    </w:rPr>
  </w:style>
  <w:style w:type="paragraph" w:styleId="4">
    <w:name w:val="heading 3"/>
    <w:basedOn w:val="5"/>
    <w:next w:val="1"/>
    <w:link w:val="56"/>
    <w:qFormat/>
    <w:uiPriority w:val="9"/>
    <w:pPr>
      <w:spacing w:before="260" w:after="260" w:line="240" w:lineRule="auto"/>
      <w:outlineLvl w:val="2"/>
    </w:pPr>
    <w:rPr>
      <w:rFonts w:ascii="宋体" w:hAnsi="宋体" w:eastAsia="宋体"/>
      <w:szCs w:val="32"/>
    </w:rPr>
  </w:style>
  <w:style w:type="paragraph" w:styleId="5">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qFormat/>
    <w:uiPriority w:val="0"/>
    <w:pPr>
      <w:keepNext/>
      <w:keepLines/>
      <w:spacing w:before="280" w:after="290" w:line="376" w:lineRule="auto"/>
      <w:outlineLvl w:val="4"/>
    </w:pPr>
    <w:rPr>
      <w:b/>
      <w:sz w:val="28"/>
      <w:szCs w:val="20"/>
    </w:rPr>
  </w:style>
  <w:style w:type="paragraph" w:styleId="9">
    <w:name w:val="heading 6"/>
    <w:basedOn w:val="1"/>
    <w:next w:val="8"/>
    <w:link w:val="8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5"/>
    <w:qFormat/>
    <w:uiPriority w:val="0"/>
    <w:pPr>
      <w:keepNext/>
      <w:keepLines/>
      <w:spacing w:before="240" w:after="64" w:line="320" w:lineRule="auto"/>
      <w:outlineLvl w:val="6"/>
    </w:pPr>
    <w:rPr>
      <w:b/>
      <w:sz w:val="24"/>
      <w:szCs w:val="20"/>
    </w:rPr>
  </w:style>
  <w:style w:type="paragraph" w:styleId="11">
    <w:name w:val="heading 8"/>
    <w:basedOn w:val="1"/>
    <w:next w:val="8"/>
    <w:link w:val="86"/>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ody Text"/>
    <w:basedOn w:val="1"/>
    <w:link w:val="93"/>
    <w:qFormat/>
    <w:uiPriority w:val="0"/>
    <w:pPr>
      <w:spacing w:line="360" w:lineRule="auto"/>
    </w:pPr>
    <w:rPr>
      <w:b/>
      <w:bCs/>
      <w:sz w:val="24"/>
    </w:rPr>
  </w:style>
  <w:style w:type="paragraph" w:styleId="8">
    <w:name w:val="Normal Indent"/>
    <w:basedOn w:val="1"/>
    <w:link w:val="58"/>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5"/>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9"/>
    <w:qFormat/>
    <w:uiPriority w:val="0"/>
    <w:pPr>
      <w:spacing w:after="120"/>
    </w:pPr>
    <w:rPr>
      <w:sz w:val="16"/>
      <w:szCs w:val="16"/>
    </w:rPr>
  </w:style>
  <w:style w:type="paragraph" w:styleId="19">
    <w:name w:val="Body Text Indent"/>
    <w:basedOn w:val="1"/>
    <w:link w:val="80"/>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9"/>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semiHidden/>
    <w:qFormat/>
    <w:uiPriority w:val="99"/>
    <w:rPr>
      <w:sz w:val="18"/>
      <w:szCs w:val="18"/>
    </w:rPr>
  </w:style>
  <w:style w:type="paragraph" w:styleId="27">
    <w:name w:val="footer"/>
    <w:basedOn w:val="1"/>
    <w:link w:val="98"/>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6"/>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7"/>
    <w:qFormat/>
    <w:uiPriority w:val="0"/>
    <w:pPr>
      <w:spacing w:line="360" w:lineRule="auto"/>
    </w:pPr>
    <w:rPr>
      <w:sz w:val="24"/>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字符"/>
    <w:link w:val="5"/>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4"/>
    <w:qFormat/>
    <w:uiPriority w:val="9"/>
    <w:rPr>
      <w:rFonts w:ascii="宋体" w:hAnsi="宋体" w:eastAsia="宋体"/>
      <w:b/>
      <w:bCs/>
      <w:kern w:val="2"/>
      <w:sz w:val="28"/>
      <w:szCs w:val="32"/>
      <w:lang w:val="en-US" w:eastAsia="zh-CN" w:bidi="ar-SA"/>
    </w:rPr>
  </w:style>
  <w:style w:type="character" w:customStyle="1" w:styleId="57">
    <w:name w:val="标题 1 字符"/>
    <w:link w:val="3"/>
    <w:qFormat/>
    <w:uiPriority w:val="0"/>
    <w:rPr>
      <w:rFonts w:ascii="宋体" w:hAnsi="宋体" w:eastAsia="黑体"/>
      <w:b/>
      <w:bCs/>
      <w:kern w:val="44"/>
      <w:sz w:val="28"/>
      <w:szCs w:val="44"/>
      <w:lang w:val="en-US" w:eastAsia="zh-CN" w:bidi="ar-SA"/>
    </w:rPr>
  </w:style>
  <w:style w:type="character" w:customStyle="1" w:styleId="58">
    <w:name w:val="正文缩进 字符"/>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6"/>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字符"/>
    <w:link w:val="19"/>
    <w:qFormat/>
    <w:uiPriority w:val="0"/>
    <w:rPr>
      <w:rFonts w:eastAsia="宋体"/>
      <w:kern w:val="2"/>
      <w:sz w:val="21"/>
      <w:szCs w:val="24"/>
      <w:lang w:val="en-US" w:eastAsia="zh-CN" w:bidi="ar-SA"/>
    </w:rPr>
  </w:style>
  <w:style w:type="character" w:customStyle="1" w:styleId="81">
    <w:name w:val="标题 5 字符"/>
    <w:link w:val="7"/>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字符"/>
    <w:link w:val="9"/>
    <w:qFormat/>
    <w:uiPriority w:val="0"/>
    <w:rPr>
      <w:rFonts w:ascii="Arial" w:hAnsi="Arial" w:eastAsia="黑体"/>
      <w:b/>
      <w:kern w:val="2"/>
      <w:sz w:val="24"/>
      <w:lang w:val="en-US" w:eastAsia="zh-CN" w:bidi="ar-SA"/>
    </w:rPr>
  </w:style>
  <w:style w:type="character" w:customStyle="1" w:styleId="85">
    <w:name w:val="标题 7 字符"/>
    <w:link w:val="10"/>
    <w:qFormat/>
    <w:uiPriority w:val="0"/>
    <w:rPr>
      <w:rFonts w:eastAsia="宋体"/>
      <w:b/>
      <w:kern w:val="2"/>
      <w:sz w:val="24"/>
      <w:lang w:val="en-US" w:eastAsia="zh-CN" w:bidi="ar-SA"/>
    </w:rPr>
  </w:style>
  <w:style w:type="character" w:customStyle="1" w:styleId="86">
    <w:name w:val="标题 8 字符"/>
    <w:link w:val="11"/>
    <w:qFormat/>
    <w:uiPriority w:val="0"/>
    <w:rPr>
      <w:rFonts w:ascii="Arial" w:hAnsi="Arial" w:eastAsia="黑体"/>
      <w:kern w:val="2"/>
      <w:sz w:val="24"/>
      <w:lang w:val="en-US" w:eastAsia="zh-CN" w:bidi="ar-SA"/>
    </w:rPr>
  </w:style>
  <w:style w:type="character" w:customStyle="1" w:styleId="87">
    <w:name w:val="标题 9 字符"/>
    <w:link w:val="12"/>
    <w:qFormat/>
    <w:uiPriority w:val="0"/>
    <w:rPr>
      <w:rFonts w:ascii="Arial" w:hAnsi="Arial" w:eastAsia="黑体"/>
      <w:kern w:val="2"/>
      <w:sz w:val="21"/>
      <w:lang w:val="en-US" w:eastAsia="zh-CN" w:bidi="ar-SA"/>
    </w:rPr>
  </w:style>
  <w:style w:type="character" w:customStyle="1" w:styleId="88">
    <w:name w:val="标题 字符"/>
    <w:link w:val="40"/>
    <w:qFormat/>
    <w:uiPriority w:val="0"/>
    <w:rPr>
      <w:rFonts w:ascii="Arial" w:hAnsi="Arial" w:eastAsia="隶书" w:cs="Arial"/>
      <w:b/>
      <w:bCs/>
      <w:kern w:val="2"/>
      <w:sz w:val="32"/>
      <w:szCs w:val="32"/>
      <w:lang w:val="en-US" w:eastAsia="zh-CN" w:bidi="ar-SA"/>
    </w:rPr>
  </w:style>
  <w:style w:type="character" w:customStyle="1" w:styleId="89">
    <w:name w:val="日期 字符"/>
    <w:link w:val="24"/>
    <w:qFormat/>
    <w:uiPriority w:val="0"/>
    <w:rPr>
      <w:rFonts w:ascii="宋体" w:hAnsi="Courier New" w:eastAsia="宋体"/>
      <w:kern w:val="2"/>
      <w:sz w:val="32"/>
      <w:lang w:val="en-US" w:eastAsia="zh-CN" w:bidi="ar-SA"/>
    </w:rPr>
  </w:style>
  <w:style w:type="character" w:customStyle="1" w:styleId="90">
    <w:name w:val="HTML 预设格式 字符"/>
    <w:link w:val="37"/>
    <w:qFormat/>
    <w:uiPriority w:val="0"/>
    <w:rPr>
      <w:rFonts w:ascii="Arial Unicode MS" w:hAnsi="Arial Unicode MS" w:eastAsia="Arial Unicode MS"/>
      <w:color w:val="000000"/>
      <w:lang w:val="en-US" w:eastAsia="zh-CN" w:bidi="ar-SA"/>
    </w:rPr>
  </w:style>
  <w:style w:type="character" w:customStyle="1" w:styleId="91">
    <w:name w:val="纯文本 字符"/>
    <w:link w:val="22"/>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字符"/>
    <w:link w:val="2"/>
    <w:qFormat/>
    <w:uiPriority w:val="0"/>
    <w:rPr>
      <w:rFonts w:eastAsia="宋体"/>
      <w:b/>
      <w:bCs/>
      <w:kern w:val="2"/>
      <w:sz w:val="24"/>
      <w:szCs w:val="24"/>
      <w:lang w:val="en-US" w:eastAsia="zh-CN" w:bidi="ar-SA"/>
    </w:rPr>
  </w:style>
  <w:style w:type="character" w:customStyle="1" w:styleId="94">
    <w:name w:val="正文文本缩进 2 字符"/>
    <w:link w:val="25"/>
    <w:qFormat/>
    <w:uiPriority w:val="0"/>
    <w:rPr>
      <w:rFonts w:ascii="宋体" w:hAnsi="宋体" w:eastAsia="宋体"/>
      <w:kern w:val="2"/>
      <w:sz w:val="21"/>
      <w:szCs w:val="24"/>
      <w:lang w:val="en-US" w:eastAsia="zh-CN" w:bidi="ar-SA"/>
    </w:rPr>
  </w:style>
  <w:style w:type="character" w:customStyle="1" w:styleId="95">
    <w:name w:val="页眉 字符"/>
    <w:link w:val="28"/>
    <w:qFormat/>
    <w:uiPriority w:val="99"/>
    <w:rPr>
      <w:rFonts w:eastAsia="宋体"/>
      <w:kern w:val="2"/>
      <w:sz w:val="18"/>
      <w:szCs w:val="18"/>
      <w:lang w:val="en-US" w:eastAsia="zh-CN" w:bidi="ar-SA"/>
    </w:rPr>
  </w:style>
  <w:style w:type="character" w:customStyle="1" w:styleId="96">
    <w:name w:val="正文文本缩进 3 字符"/>
    <w:link w:val="33"/>
    <w:qFormat/>
    <w:uiPriority w:val="0"/>
    <w:rPr>
      <w:rFonts w:ascii="宋体" w:eastAsia="宋体"/>
      <w:b/>
      <w:bCs/>
      <w:kern w:val="2"/>
      <w:sz w:val="24"/>
      <w:szCs w:val="24"/>
      <w:lang w:val="en-US" w:eastAsia="zh-CN" w:bidi="ar-SA"/>
    </w:rPr>
  </w:style>
  <w:style w:type="character" w:customStyle="1" w:styleId="97">
    <w:name w:val="正文文本 2 字符"/>
    <w:link w:val="36"/>
    <w:qFormat/>
    <w:uiPriority w:val="0"/>
    <w:rPr>
      <w:rFonts w:eastAsia="宋体"/>
      <w:kern w:val="2"/>
      <w:sz w:val="24"/>
      <w:szCs w:val="24"/>
      <w:lang w:val="en-US" w:eastAsia="zh-CN" w:bidi="ar-SA"/>
    </w:rPr>
  </w:style>
  <w:style w:type="character" w:customStyle="1" w:styleId="98">
    <w:name w:val="页脚 字符"/>
    <w:link w:val="27"/>
    <w:qFormat/>
    <w:uiPriority w:val="0"/>
    <w:rPr>
      <w:rFonts w:eastAsia="宋体"/>
      <w:kern w:val="2"/>
      <w:sz w:val="18"/>
      <w:szCs w:val="18"/>
      <w:lang w:val="en-US" w:eastAsia="zh-CN" w:bidi="ar-SA"/>
    </w:rPr>
  </w:style>
  <w:style w:type="character" w:customStyle="1" w:styleId="99">
    <w:name w:val="正文文本 3 字符"/>
    <w:link w:val="18"/>
    <w:qFormat/>
    <w:uiPriority w:val="0"/>
    <w:rPr>
      <w:rFonts w:eastAsia="宋体"/>
      <w:kern w:val="2"/>
      <w:sz w:val="16"/>
      <w:szCs w:val="16"/>
      <w:lang w:val="en-US" w:eastAsia="zh-CN" w:bidi="ar-SA"/>
    </w:rPr>
  </w:style>
  <w:style w:type="character" w:customStyle="1" w:styleId="100">
    <w:name w:val="批注框文本 字符"/>
    <w:link w:val="26"/>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文本首行缩进 字符"/>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19"/>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字符"/>
    <w:basedOn w:val="46"/>
    <w:link w:val="17"/>
    <w:semiHidden/>
    <w:qFormat/>
    <w:uiPriority w:val="99"/>
    <w:rPr>
      <w:rFonts w:ascii="宋体"/>
      <w:sz w:val="34"/>
    </w:rPr>
  </w:style>
  <w:style w:type="character" w:customStyle="1" w:styleId="186">
    <w:name w:val="批注主题 字符"/>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字符"/>
    <w:basedOn w:val="46"/>
    <w:link w:val="31"/>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字符"/>
    <w:basedOn w:val="46"/>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basedOn w:val="46"/>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6"/>
    <w:qFormat/>
    <w:uiPriority w:val="0"/>
    <w:rPr>
      <w:color w:val="800000"/>
    </w:rPr>
  </w:style>
  <w:style w:type="character" w:customStyle="1" w:styleId="472">
    <w:name w:val="hilite6"/>
    <w:basedOn w:val="46"/>
    <w:qFormat/>
    <w:uiPriority w:val="0"/>
    <w:rPr>
      <w:color w:val="000000"/>
    </w:rPr>
  </w:style>
  <w:style w:type="character" w:customStyle="1" w:styleId="473">
    <w:name w:val="active6"/>
    <w:basedOn w:val="46"/>
    <w:qFormat/>
    <w:uiPriority w:val="0"/>
    <w:rPr>
      <w:color w:val="FFFFFF"/>
    </w:rPr>
  </w:style>
  <w:style w:type="character" w:customStyle="1" w:styleId="474">
    <w:name w:val="inline-help"/>
    <w:basedOn w:val="46"/>
    <w:qFormat/>
    <w:uiPriority w:val="0"/>
  </w:style>
  <w:style w:type="character" w:customStyle="1" w:styleId="475">
    <w:name w:val="active"/>
    <w:basedOn w:val="46"/>
    <w:qFormat/>
    <w:uiPriority w:val="0"/>
    <w:rPr>
      <w:color w:val="FFFFFF"/>
    </w:rPr>
  </w:style>
  <w:style w:type="table" w:customStyle="1" w:styleId="476">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78">
    <w:name w:val="无缩进"/>
    <w:basedOn w:val="1"/>
    <w:qFormat/>
    <w:uiPriority w:val="0"/>
    <w:pPr>
      <w:jc w:val="center"/>
      <w:textAlignment w:val="center"/>
    </w:pPr>
    <w:rPr>
      <w:rFonts w:hint="eastAsia" w:cs="宋体"/>
      <w:bCs/>
      <w:sz w:val="24"/>
    </w:rPr>
  </w:style>
  <w:style w:type="paragraph" w:customStyle="1" w:styleId="47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57881</Words>
  <Characters>61269</Characters>
  <Lines>449</Lines>
  <Paragraphs>126</Paragraphs>
  <TotalTime>2</TotalTime>
  <ScaleCrop>false</ScaleCrop>
  <LinksUpToDate>false</LinksUpToDate>
  <CharactersWithSpaces>65119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叶妙庭</dc:creator>
  <cp:lastModifiedBy>MusicTing</cp:lastModifiedBy>
  <cp:lastPrinted>2021-05-16T11:04:00Z</cp:lastPrinted>
  <dcterms:modified xsi:type="dcterms:W3CDTF">2025-08-14T14:17:12Z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63FED122A1FD47D8BB355671E34AA529_13</vt:lpwstr>
  </property>
  <property fmtid="{D5CDD505-2E9C-101B-9397-08002B2CF9AE}" pid="4" name="KSOTemplateDocerSaveRecord">
    <vt:lpwstr>eyJoZGlkIjoiZTUwNWIzNDI1MjE0MjVlZGQ0MjI5MTkyN2Y5NDhjYmYiLCJ1c2VySWQiOiI0OTc5OTk2NDYifQ==</vt:lpwstr>
  </property>
</Properties>
</file>