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sz w:val="40"/>
          <w:szCs w:val="40"/>
        </w:rPr>
      </w:pPr>
      <w:bookmarkStart w:id="0" w:name="_Hlk71456902"/>
      <w:r>
        <w:rPr>
          <w:rFonts w:hint="eastAsia" w:ascii="黑体" w:hAnsi="宋体" w:eastAsia="黑体" w:cs="黑体"/>
          <w:sz w:val="40"/>
          <w:szCs w:val="40"/>
        </w:rPr>
        <w:t>深圳市人民医院</w:t>
      </w:r>
      <w:r>
        <w:rPr>
          <w:rFonts w:hint="eastAsia" w:ascii="黑体" w:hAnsi="宋体" w:eastAsia="黑体" w:cs="黑体"/>
          <w:sz w:val="40"/>
          <w:szCs w:val="40"/>
          <w:lang w:eastAsia="zh-CN"/>
        </w:rPr>
        <w:t>（</w:t>
      </w:r>
      <w:r>
        <w:rPr>
          <w:rFonts w:hint="eastAsia" w:ascii="黑体" w:hAnsi="宋体" w:eastAsia="黑体" w:cs="黑体"/>
          <w:sz w:val="40"/>
          <w:szCs w:val="40"/>
        </w:rPr>
        <w:t>深圳市呼吸疾病研究所</w:t>
      </w:r>
      <w:r>
        <w:rPr>
          <w:rFonts w:hint="eastAsia" w:ascii="黑体" w:hAnsi="宋体" w:eastAsia="黑体" w:cs="黑体"/>
          <w:sz w:val="40"/>
          <w:szCs w:val="40"/>
          <w:lang w:eastAsia="zh-CN"/>
        </w:rPr>
        <w:t>）</w:t>
      </w:r>
      <w:r>
        <w:rPr>
          <w:rFonts w:hint="eastAsia" w:ascii="黑体" w:hAnsi="宋体" w:eastAsia="黑体" w:cs="黑体"/>
          <w:sz w:val="40"/>
          <w:szCs w:val="40"/>
        </w:rPr>
        <w:t>达芬奇手术机器人配套耗材项目</w:t>
      </w:r>
    </w:p>
    <w:p>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谈判文件信息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highlight w:val="none"/>
              </w:rPr>
            </w:pPr>
            <w:r>
              <w:rPr>
                <w:sz w:val="30"/>
                <w:szCs w:val="30"/>
                <w:highlight w:val="none"/>
              </w:rPr>
              <w:t>SZZXCG-2024-00035</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highlight w:val="none"/>
              </w:rPr>
            </w:pPr>
            <w:r>
              <w:rPr>
                <w:rFonts w:hint="eastAsia"/>
                <w:sz w:val="30"/>
                <w:szCs w:val="30"/>
                <w:highlight w:val="none"/>
              </w:rPr>
              <w:t>深圳市人民医院</w:t>
            </w:r>
            <w:r>
              <w:rPr>
                <w:rFonts w:hint="eastAsia"/>
                <w:sz w:val="30"/>
                <w:szCs w:val="30"/>
                <w:highlight w:val="none"/>
                <w:lang w:eastAsia="zh-CN"/>
              </w:rPr>
              <w:t>（</w:t>
            </w:r>
            <w:r>
              <w:rPr>
                <w:rFonts w:hint="eastAsia"/>
                <w:sz w:val="30"/>
                <w:szCs w:val="30"/>
                <w:highlight w:val="none"/>
              </w:rPr>
              <w:t>深圳市呼吸疾病研究所</w:t>
            </w:r>
            <w:r>
              <w:rPr>
                <w:rFonts w:hint="eastAsia"/>
                <w:sz w:val="30"/>
                <w:szCs w:val="30"/>
                <w:highlight w:val="none"/>
                <w:lang w:eastAsia="zh-CN"/>
              </w:rPr>
              <w:t>）</w:t>
            </w:r>
            <w:r>
              <w:rPr>
                <w:rFonts w:hint="eastAsia"/>
                <w:sz w:val="30"/>
                <w:szCs w:val="30"/>
                <w:highlight w:val="none"/>
              </w:rPr>
              <w:t>达芬奇手术机器人配套耗材项目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货物类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hint="eastAsia"/>
                <w:sz w:val="30"/>
                <w:szCs w:val="30"/>
              </w:rPr>
              <w:t>单一来源采购</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hint="eastAsia" w:ascii="宋体" w:hAnsi="宋体" w:cs="宋体"/>
                <w:kern w:val="0"/>
                <w:sz w:val="30"/>
                <w:szCs w:val="30"/>
                <w:lang w:bidi="ar"/>
              </w:rPr>
              <w:t>评审</w:t>
            </w:r>
            <w:r>
              <w:rPr>
                <w:rFonts w:ascii="宋体" w:hAnsi="宋体" w:cs="宋体"/>
                <w:kern w:val="0"/>
                <w:sz w:val="30"/>
                <w:szCs w:val="30"/>
                <w:lang w:bidi="ar"/>
              </w:rPr>
              <w:t>方法：</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最低价法</w:t>
            </w:r>
          </w:p>
        </w:tc>
      </w:tr>
      <w:bookmarkEnd w:id="0"/>
    </w:tbl>
    <w:p>
      <w:pPr>
        <w:pStyle w:val="38"/>
        <w:widowControl/>
        <w:jc w:val="center"/>
        <w:outlineLvl w:val="1"/>
        <w:rPr>
          <w:rFonts w:hint="eastAsia" w:ascii="黑体" w:hAnsi="宋体" w:eastAsia="黑体" w:cs="黑体"/>
          <w:sz w:val="40"/>
          <w:szCs w:val="40"/>
        </w:rPr>
      </w:pPr>
    </w:p>
    <w:p>
      <w:pPr>
        <w:pStyle w:val="38"/>
        <w:widowControl/>
        <w:jc w:val="center"/>
        <w:outlineLvl w:val="1"/>
        <w:rPr>
          <w:rFonts w:hint="eastAsia" w:ascii="黑体" w:hAnsi="宋体" w:eastAsia="黑体" w:cs="黑体"/>
          <w:sz w:val="40"/>
          <w:szCs w:val="40"/>
        </w:rPr>
        <w:sectPr>
          <w:headerReference r:id="rId3" w:type="first"/>
          <w:footerReference r:id="rId4" w:type="default"/>
          <w:footerReference r:id="rId5" w:type="even"/>
          <w:pgSz w:w="11907" w:h="16840"/>
          <w:pgMar w:top="1440" w:right="1418" w:bottom="1440" w:left="1418" w:header="851" w:footer="992" w:gutter="0"/>
          <w:cols w:space="425" w:num="1"/>
          <w:titlePg/>
          <w:docGrid w:linePitch="462" w:charSpace="0"/>
        </w:sectPr>
      </w:pPr>
    </w:p>
    <w:p>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资格性审查表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szCs w:val="21"/>
              </w:rPr>
              <w:t>供应商不符合项目资格要求，或未提交相应的资格证明资料</w:t>
            </w:r>
            <w:r>
              <w:rPr>
                <w:rFonts w:ascii="宋体" w:hAnsi="宋体" w:cs="宋体"/>
                <w:kern w:val="0"/>
                <w:szCs w:val="21"/>
                <w:lang w:bidi="ar"/>
              </w:rPr>
              <w:t>（详见</w:t>
            </w:r>
            <w:r>
              <w:rPr>
                <w:rFonts w:hint="eastAsia" w:ascii="宋体" w:hAnsi="宋体" w:cs="宋体"/>
                <w:kern w:val="0"/>
                <w:szCs w:val="21"/>
                <w:lang w:bidi="ar"/>
              </w:rPr>
              <w:t>谈判公告</w:t>
            </w:r>
            <w:r>
              <w:rPr>
                <w:rFonts w:hint="eastAsia" w:ascii="宋体" w:hAnsi="宋体" w:cs="宋体"/>
                <w:szCs w:val="21"/>
                <w:lang w:bidi="ar"/>
              </w:rPr>
              <w:t>供应商</w:t>
            </w:r>
            <w:r>
              <w:rPr>
                <w:rFonts w:hint="eastAsia" w:ascii="宋体" w:hAnsi="宋体"/>
                <w:szCs w:val="21"/>
              </w:rPr>
              <w:t>资格要求，即申请人的资格要求</w:t>
            </w:r>
            <w:r>
              <w:rPr>
                <w:rFonts w:ascii="宋体" w:hAnsi="宋体" w:cs="宋体"/>
                <w:kern w:val="0"/>
                <w:szCs w:val="21"/>
                <w:lang w:bidi="ar"/>
              </w:rPr>
              <w:t>）</w:t>
            </w:r>
            <w:r>
              <w:rPr>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kern w:val="0"/>
                <w:szCs w:val="21"/>
                <w:lang w:bidi="ar"/>
              </w:rPr>
            </w:pPr>
            <w:r>
              <w:rPr>
                <w:rFonts w:hint="eastAsia"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kern w:val="0"/>
                <w:szCs w:val="21"/>
                <w:lang w:bidi="ar"/>
              </w:rPr>
            </w:pPr>
            <w:r>
              <w:rPr>
                <w:rFonts w:hint="eastAsia" w:ascii="宋体" w:hAnsi="宋体" w:cs="宋体"/>
                <w:kern w:val="0"/>
                <w:szCs w:val="21"/>
                <w:lang w:bidi="ar"/>
              </w:rPr>
              <w:t>供应商缺席谈判的；</w:t>
            </w:r>
          </w:p>
        </w:tc>
      </w:tr>
    </w:tbl>
    <w:p>
      <w:pPr>
        <w:pStyle w:val="38"/>
        <w:widowControl/>
        <w:spacing w:before="280" w:beforeAutospacing="0"/>
        <w:jc w:val="center"/>
        <w:outlineLvl w:val="1"/>
        <w:rPr>
          <w:rFonts w:ascii="黑体" w:hAnsi="宋体" w:eastAsia="黑体" w:cs="黑体"/>
          <w:sz w:val="40"/>
          <w:szCs w:val="40"/>
        </w:rPr>
      </w:pPr>
      <w:r>
        <w:rPr>
          <w:rFonts w:hint="eastAsia" w:ascii="黑体" w:hAnsi="宋体" w:eastAsia="黑体" w:cs="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lang w:val="en-US" w:eastAsia="zh-CN"/>
              </w:rPr>
              <w:t>不得</w:t>
            </w:r>
            <w:r>
              <w:rPr>
                <w:rFonts w:hint="eastAsia"/>
              </w:rPr>
              <w:t>将一个包的内容拆开进行应答；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ascii="宋体" w:hAnsi="宋体" w:cs="宋体"/>
                <w:kern w:val="0"/>
                <w:szCs w:val="21"/>
                <w:lang w:bidi="ar"/>
              </w:rPr>
            </w:pPr>
            <w:r>
              <w:rPr>
                <w:rFonts w:hint="eastAsia"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pPr>
            <w:r>
              <w:rPr>
                <w:rFonts w:hint="eastAsia"/>
                <w:lang w:val="en-US" w:eastAsia="zh-CN"/>
              </w:rPr>
              <w:t>不得</w:t>
            </w:r>
            <w:r>
              <w:rPr>
                <w:szCs w:val="21"/>
              </w:rPr>
              <w:t>以他人的名义参与谈判、相互串通进行谈判、以行贿手段谋取成交或者以其他弄虚作假方式谈判；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lang w:val="en-US" w:eastAsia="zh-CN"/>
              </w:rPr>
              <w:t>不得</w:t>
            </w:r>
            <w:r>
              <w:rPr>
                <w:rFonts w:hint="eastAsia"/>
              </w:rPr>
              <w:t>对同一项目提供两套以上的应答方案（谈判文件另有规定的除外）；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szCs w:val="21"/>
              </w:rPr>
            </w:pPr>
            <w:r>
              <w:rPr>
                <w:rFonts w:hint="eastAsia"/>
                <w:szCs w:val="21"/>
              </w:rPr>
              <w:t>分项报价或谈判应答总价不得高于</w:t>
            </w:r>
            <w:bookmarkStart w:id="1" w:name="_Hlk71832186"/>
            <w:r>
              <w:rPr>
                <w:rFonts w:hint="eastAsia"/>
                <w:szCs w:val="21"/>
              </w:rPr>
              <w:t>相应的预算金额（或设定的预算金额下的最高限价）</w:t>
            </w:r>
            <w:bookmarkEnd w:id="1"/>
            <w:r>
              <w:rPr>
                <w:rFonts w:hint="eastAsia"/>
                <w:szCs w:val="21"/>
              </w:rPr>
              <w:t>；</w:t>
            </w:r>
          </w:p>
          <w:p>
            <w:pPr>
              <w:widowControl/>
              <w:jc w:val="left"/>
              <w:textAlignment w:val="top"/>
              <w:rPr>
                <w:szCs w:val="21"/>
              </w:rPr>
            </w:pPr>
            <w:r>
              <w:rPr>
                <w:rFonts w:hint="eastAsia"/>
                <w:szCs w:val="21"/>
              </w:rPr>
              <w:t>分项报价或谈判应答填报的“折扣率”不满足“0＜折扣率≤1”公式要求的；“折扣率”缺填、漏填或填报了两个或以上“折扣率”；“投标关键信息”开标一览表中填写的应答报价与项目详细分项报价表中填写的“折扣率”不一致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w:t>
            </w:r>
            <w:r>
              <w:rPr>
                <w:rFonts w:hint="eastAsia"/>
                <w:highlight w:val="none"/>
              </w:rPr>
              <w:t>谈判</w:t>
            </w:r>
            <w:r>
              <w:rPr>
                <w:rFonts w:hint="eastAsia"/>
              </w:rPr>
              <w:t>文件要求的（是否实质性满足谈判文件要求，由谈判小组根据实质性条款响应情况做出评判）；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未按谈判文件所提供的样式填写《应答书》；未按谈判文件所提供的《政府采购应答及履约承诺函》进行承诺或不符合承诺的；未按谈判文件对应答文件组成的要求提供应答文件；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ascii="Times New Roman" w:eastAsia="宋体"/>
                <w:color w:val="FF0000"/>
                <w:lang w:val="en-US" w:eastAsia="zh-CN"/>
              </w:rPr>
              <w:t>采购标的/所投产品/货物清单</w:t>
            </w:r>
            <w:r>
              <w:rPr>
                <w:rFonts w:hint="eastAsia"/>
                <w:color w:val="FF0000"/>
                <w:lang w:val="en-US" w:eastAsia="zh-CN"/>
              </w:rPr>
              <w:t>/报价等任意一类</w:t>
            </w:r>
            <w:r>
              <w:rPr>
                <w:rFonts w:hint="eastAsia" w:ascii="Times New Roman" w:eastAsia="宋体"/>
                <w:color w:val="FF0000"/>
                <w:lang w:val="en-US" w:eastAsia="zh-CN"/>
              </w:rPr>
              <w:t>有缺漏项或响应不全</w:t>
            </w:r>
            <w:r>
              <w:rPr>
                <w:rFonts w:hint="eastAsia"/>
                <w:lang w:eastAsia="zh-CN"/>
              </w:rPr>
              <w:t>，</w:t>
            </w:r>
            <w:r>
              <w:rPr>
                <w:rFonts w:hint="eastAsia"/>
              </w:rPr>
              <w:t>或者对谈判文件规定的项目需求内容或者需求数量进行修改</w:t>
            </w:r>
            <w:r>
              <w:rPr>
                <w:rFonts w:hint="eastAsia"/>
                <w:szCs w:val="21"/>
              </w:rPr>
              <w:t>，谈判小组判定谈判响应不满足</w:t>
            </w:r>
            <w:r>
              <w:rPr>
                <w:rFonts w:hint="eastAsia"/>
                <w:szCs w:val="21"/>
                <w:highlight w:val="none"/>
              </w:rPr>
              <w:t>谈判</w:t>
            </w:r>
            <w:r>
              <w:rPr>
                <w:rFonts w:hint="eastAsia"/>
                <w:szCs w:val="21"/>
              </w:rPr>
              <w:t>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pPr>
            <w:r>
              <w:rPr>
                <w:rFonts w:hint="eastAsia"/>
              </w:rPr>
              <w:t>谈判应答附有采购人或谈判小组不能接受的条件；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szCs w:val="21"/>
              </w:rPr>
              <w:t>1</w:t>
            </w:r>
            <w:r>
              <w:rPr>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应答文件电子文档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lang w:val="en-US" w:eastAsia="zh-CN"/>
              </w:rPr>
              <w:t>应答</w:t>
            </w:r>
            <w:r>
              <w:rPr>
                <w:rFonts w:hint="eastAsia"/>
              </w:rPr>
              <w:t>文件用不属于本公司的电子密钥进行加密或</w:t>
            </w:r>
            <w:r>
              <w:rPr>
                <w:rFonts w:hint="eastAsia"/>
                <w:lang w:val="en-US" w:eastAsia="zh-CN"/>
              </w:rPr>
              <w:t>应答</w:t>
            </w:r>
            <w:r>
              <w:rPr>
                <w:rFonts w:hint="eastAsia"/>
              </w:rPr>
              <w:t>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default" w:eastAsia="宋体"/>
                <w:szCs w:val="21"/>
                <w:lang w:val="en-US" w:eastAsia="zh-CN"/>
              </w:rPr>
            </w:pPr>
            <w:r>
              <w:rPr>
                <w:rFonts w:hint="eastAsia"/>
                <w:szCs w:val="21"/>
                <w:lang w:val="en-US" w:eastAsia="zh-CN"/>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ascii="Times New Roman" w:hAnsi="Times New Roman" w:eastAsia="宋体" w:cs="Times New Roman"/>
                <w:sz w:val="21"/>
                <w:szCs w:val="24"/>
              </w:rPr>
              <w:t>不同供应商</w:t>
            </w:r>
            <w:r>
              <w:rPr>
                <w:rFonts w:hint="eastAsia" w:eastAsia="宋体" w:cs="Times New Roman"/>
                <w:sz w:val="21"/>
                <w:szCs w:val="24"/>
                <w:lang w:val="en-US" w:eastAsia="zh-CN"/>
              </w:rPr>
              <w:t>应答</w:t>
            </w:r>
            <w:r>
              <w:rPr>
                <w:rFonts w:hint="eastAsia" w:ascii="Times New Roman" w:hAnsi="Times New Roman" w:eastAsia="宋体" w:cs="Times New Roman"/>
                <w:sz w:val="21"/>
                <w:szCs w:val="24"/>
              </w:rPr>
              <w:t>文件“文件制作机器码”一致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default" w:eastAsia="宋体"/>
                <w:szCs w:val="21"/>
                <w:lang w:val="en-US" w:eastAsia="zh-CN"/>
              </w:rPr>
            </w:pPr>
            <w:r>
              <w:rPr>
                <w:rFonts w:hint="eastAsia"/>
                <w:szCs w:val="21"/>
                <w:lang w:val="en-US" w:eastAsia="zh-CN"/>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ascii="Times New Roman" w:hAnsi="Times New Roman" w:eastAsia="宋体" w:cs="Times New Roman"/>
                <w:sz w:val="21"/>
                <w:szCs w:val="24"/>
              </w:rPr>
              <w:t>不同供应商</w:t>
            </w:r>
            <w:r>
              <w:rPr>
                <w:rFonts w:hint="eastAsia" w:eastAsia="宋体" w:cs="Times New Roman"/>
                <w:sz w:val="21"/>
                <w:szCs w:val="24"/>
                <w:lang w:val="en-US" w:eastAsia="zh-CN"/>
              </w:rPr>
              <w:t>应答</w:t>
            </w:r>
            <w:r>
              <w:rPr>
                <w:rFonts w:hint="eastAsia" w:ascii="Times New Roman" w:hAnsi="Times New Roman" w:eastAsia="宋体" w:cs="Times New Roman"/>
                <w:sz w:val="21"/>
                <w:szCs w:val="24"/>
              </w:rPr>
              <w:t>文件“文件创建标识码”一致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default" w:eastAsia="宋体"/>
                <w:szCs w:val="21"/>
                <w:lang w:val="en-US" w:eastAsia="zh-CN"/>
              </w:rPr>
            </w:pPr>
            <w:r>
              <w:rPr>
                <w:rFonts w:hint="eastAsia" w:ascii="宋体" w:hAnsi="宋体" w:cs="宋体"/>
                <w:kern w:val="0"/>
                <w:szCs w:val="21"/>
                <w:lang w:val="en-US" w:eastAsia="zh-CN" w:bidi="ar"/>
              </w:rPr>
              <w:t>14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8"/>
        <w:widowControl/>
        <w:jc w:val="center"/>
        <w:outlineLvl w:val="1"/>
        <w:rPr>
          <w:rFonts w:hint="eastAsia" w:ascii="黑体" w:hAnsi="宋体" w:eastAsia="黑体" w:cs="黑体"/>
          <w:sz w:val="40"/>
          <w:szCs w:val="40"/>
        </w:rPr>
      </w:pPr>
    </w:p>
    <w:p>
      <w:pPr>
        <w:pStyle w:val="38"/>
        <w:widowControl/>
        <w:jc w:val="center"/>
        <w:outlineLvl w:val="1"/>
        <w:rPr>
          <w:rFonts w:hint="eastAsia" w:ascii="黑体" w:hAnsi="宋体" w:eastAsia="黑体" w:cs="黑体"/>
          <w:sz w:val="40"/>
          <w:szCs w:val="40"/>
        </w:rPr>
      </w:pPr>
    </w:p>
    <w:p>
      <w:pPr>
        <w:pStyle w:val="38"/>
        <w:widowControl/>
        <w:jc w:val="center"/>
        <w:outlineLvl w:val="1"/>
        <w:rPr>
          <w:rFonts w:hint="eastAsia" w:ascii="黑体" w:hAnsi="宋体" w:eastAsia="黑体" w:cs="黑体"/>
          <w:sz w:val="40"/>
          <w:szCs w:val="40"/>
        </w:rPr>
        <w:sectPr>
          <w:pgSz w:w="11907" w:h="16840"/>
          <w:pgMar w:top="1440" w:right="1418" w:bottom="1440" w:left="1418" w:header="851" w:footer="992" w:gutter="0"/>
          <w:cols w:space="425" w:num="1"/>
          <w:titlePg/>
          <w:docGrid w:linePitch="462" w:charSpace="0"/>
        </w:sectPr>
      </w:pPr>
    </w:p>
    <w:p>
      <w:pPr>
        <w:pStyle w:val="38"/>
        <w:widowControl/>
        <w:jc w:val="center"/>
        <w:outlineLvl w:val="1"/>
        <w:rPr>
          <w:rFonts w:ascii="黑体" w:hAnsi="宋体" w:eastAsia="黑体" w:cs="黑体"/>
          <w:sz w:val="40"/>
          <w:szCs w:val="40"/>
        </w:rPr>
      </w:pPr>
      <w:r>
        <w:rPr>
          <w:rFonts w:hint="eastAsia" w:ascii="黑体" w:hAnsi="宋体" w:eastAsia="黑体" w:cs="黑体"/>
          <w:sz w:val="40"/>
          <w:szCs w:val="40"/>
        </w:rPr>
        <w:t>评审信息</w:t>
      </w:r>
    </w:p>
    <w:tbl>
      <w:tblPr>
        <w:tblStyle w:val="43"/>
        <w:tblW w:w="9078"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88"/>
        <w:gridCol w:w="19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88" w:type="dxa"/>
            <w:shd w:val="clear" w:color="auto" w:fill="auto"/>
            <w:vAlign w:val="center"/>
          </w:tcPr>
          <w:p>
            <w:pPr>
              <w:widowControl/>
              <w:jc w:val="left"/>
              <w:rPr>
                <w:b/>
                <w:bCs/>
                <w:sz w:val="24"/>
              </w:rPr>
            </w:pPr>
            <w:r>
              <w:rPr>
                <w:rFonts w:hint="eastAsia" w:ascii="宋体" w:hAnsi="宋体" w:cs="宋体"/>
                <w:b/>
                <w:bCs/>
                <w:kern w:val="0"/>
                <w:sz w:val="24"/>
                <w:lang w:bidi="ar"/>
              </w:rPr>
              <w:t>评审</w:t>
            </w:r>
            <w:r>
              <w:rPr>
                <w:rFonts w:ascii="宋体" w:hAnsi="宋体" w:cs="宋体"/>
                <w:b/>
                <w:bCs/>
                <w:kern w:val="0"/>
                <w:sz w:val="24"/>
                <w:lang w:bidi="ar"/>
              </w:rPr>
              <w:t>方法：</w:t>
            </w:r>
            <w:r>
              <w:rPr>
                <w:rFonts w:hint="eastAsia" w:ascii="宋体" w:hAnsi="宋体" w:cs="宋体"/>
                <w:b/>
                <w:bCs/>
                <w:kern w:val="0"/>
                <w:sz w:val="24"/>
                <w:lang w:bidi="ar"/>
              </w:rPr>
              <w:t>最低价法/</w:t>
            </w:r>
            <w:r>
              <w:rPr>
                <w:rFonts w:ascii="宋体" w:hAnsi="宋体" w:cs="宋体"/>
                <w:b/>
                <w:bCs/>
                <w:kern w:val="0"/>
                <w:sz w:val="24"/>
                <w:lang w:bidi="ar"/>
              </w:rPr>
              <w:t>综合评分法</w:t>
            </w:r>
          </w:p>
        </w:tc>
        <w:tc>
          <w:tcPr>
            <w:tcW w:w="19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sz w:val="21"/>
                <w:szCs w:val="21"/>
                <w:highlight w:val="none"/>
              </w:rPr>
            </w:pPr>
            <w:r>
              <w:rPr>
                <w:rFonts w:hint="eastAsia" w:ascii="Times New Roman" w:hAnsi="Times New Roman" w:eastAsia="宋体" w:cs="Times New Roman"/>
                <w:kern w:val="0"/>
                <w:sz w:val="21"/>
                <w:szCs w:val="21"/>
                <w:highlight w:val="none"/>
                <w:lang w:val="en-US" w:eastAsia="zh-CN" w:bidi="ar-SA"/>
              </w:rPr>
              <w:sym w:font="Wingdings" w:char="00FE"/>
            </w:r>
            <w:r>
              <w:rPr>
                <w:rFonts w:hint="eastAsia"/>
                <w:sz w:val="21"/>
                <w:szCs w:val="21"/>
                <w:highlight w:val="none"/>
              </w:rPr>
              <w:t>最低价法，是指应答文件满足谈判文件实质性要求，按照报价由低到高的顺序，以报价最低的供应商作为成交供应商的评审方法。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采用最低价法评</w:t>
            </w:r>
            <w:r>
              <w:rPr>
                <w:rFonts w:hint="eastAsia" w:cs="Times New Roman"/>
                <w:kern w:val="0"/>
                <w:sz w:val="21"/>
                <w:szCs w:val="21"/>
                <w:highlight w:val="none"/>
                <w:lang w:val="en-US" w:eastAsia="zh-CN" w:bidi="ar-SA"/>
              </w:rPr>
              <w:t>审</w:t>
            </w:r>
            <w:r>
              <w:rPr>
                <w:rFonts w:hint="eastAsia" w:ascii="Times New Roman" w:hAnsi="Times New Roman" w:eastAsia="宋体" w:cs="Times New Roman"/>
                <w:kern w:val="0"/>
                <w:sz w:val="21"/>
                <w:szCs w:val="21"/>
                <w:highlight w:val="none"/>
                <w:lang w:val="en-US" w:eastAsia="zh-CN" w:bidi="ar-SA"/>
              </w:rPr>
              <w:t>时，除了算术修正和落实政府采购政策需进行的价格扣除外，不能对</w:t>
            </w:r>
            <w:r>
              <w:rPr>
                <w:rFonts w:hint="eastAsia" w:cs="Times New Roman"/>
                <w:kern w:val="0"/>
                <w:sz w:val="21"/>
                <w:szCs w:val="21"/>
                <w:highlight w:val="none"/>
                <w:lang w:val="en-US" w:eastAsia="zh-CN" w:bidi="ar-SA"/>
              </w:rPr>
              <w:t>供应商</w:t>
            </w:r>
            <w:r>
              <w:rPr>
                <w:rFonts w:hint="eastAsia" w:ascii="Times New Roman" w:hAnsi="Times New Roman" w:eastAsia="宋体" w:cs="Times New Roman"/>
                <w:kern w:val="0"/>
                <w:sz w:val="21"/>
                <w:szCs w:val="21"/>
                <w:highlight w:val="none"/>
                <w:lang w:val="en-US" w:eastAsia="zh-CN" w:bidi="ar-SA"/>
              </w:rPr>
              <w:t>的</w:t>
            </w:r>
            <w:r>
              <w:rPr>
                <w:rFonts w:hint="eastAsia" w:cs="Times New Roman"/>
                <w:kern w:val="0"/>
                <w:sz w:val="21"/>
                <w:szCs w:val="21"/>
                <w:highlight w:val="none"/>
                <w:lang w:val="en-US" w:eastAsia="zh-CN" w:bidi="ar-SA"/>
              </w:rPr>
              <w:t>应答</w:t>
            </w:r>
            <w:r>
              <w:rPr>
                <w:rFonts w:hint="eastAsia" w:ascii="Times New Roman" w:hAnsi="Times New Roman" w:eastAsia="宋体" w:cs="Times New Roman"/>
                <w:kern w:val="0"/>
                <w:sz w:val="21"/>
                <w:szCs w:val="21"/>
                <w:highlight w:val="none"/>
                <w:lang w:val="en-US" w:eastAsia="zh-CN" w:bidi="ar-SA"/>
              </w:rPr>
              <w:t>价格进行任何调整。</w:t>
            </w:r>
          </w:p>
          <w:p>
            <w:pPr>
              <w:pStyle w:val="38"/>
              <w:widowControl/>
              <w:spacing w:line="324" w:lineRule="auto"/>
              <w:ind w:firstLine="420"/>
              <w:rPr>
                <w:sz w:val="21"/>
                <w:szCs w:val="21"/>
                <w:highlight w:val="none"/>
              </w:rPr>
            </w:pPr>
            <w:r>
              <w:rPr>
                <w:rFonts w:hint="eastAsia" w:ascii="Times New Roman" w:hAnsi="Times New Roman" w:eastAsia="宋体" w:cs="Times New Roman"/>
                <w:kern w:val="0"/>
                <w:sz w:val="21"/>
                <w:szCs w:val="21"/>
                <w:highlight w:val="none"/>
                <w:lang w:val="en-US" w:eastAsia="zh-CN" w:bidi="ar-SA"/>
              </w:rPr>
              <w:sym w:font="Wingdings" w:char="00A8"/>
            </w:r>
            <w:r>
              <w:rPr>
                <w:sz w:val="21"/>
                <w:szCs w:val="21"/>
                <w:highlight w:val="none"/>
              </w:rPr>
              <w:t>综合评分法，是指</w:t>
            </w:r>
            <w:r>
              <w:rPr>
                <w:rFonts w:hint="eastAsia"/>
                <w:sz w:val="21"/>
                <w:szCs w:val="21"/>
                <w:highlight w:val="none"/>
              </w:rPr>
              <w:t>应答</w:t>
            </w:r>
            <w:r>
              <w:rPr>
                <w:sz w:val="21"/>
                <w:szCs w:val="21"/>
                <w:highlight w:val="none"/>
              </w:rPr>
              <w:t>文件满足</w:t>
            </w:r>
            <w:r>
              <w:rPr>
                <w:rFonts w:hint="eastAsia"/>
                <w:sz w:val="21"/>
                <w:szCs w:val="21"/>
                <w:highlight w:val="none"/>
              </w:rPr>
              <w:t>谈判</w:t>
            </w:r>
            <w:r>
              <w:rPr>
                <w:sz w:val="21"/>
                <w:szCs w:val="21"/>
                <w:highlight w:val="none"/>
              </w:rPr>
              <w:t>文件全部实质性要求，且按照评审因素的量化指标评审得分最高的供应商为</w:t>
            </w:r>
            <w:r>
              <w:rPr>
                <w:rFonts w:hint="eastAsia"/>
                <w:sz w:val="21"/>
                <w:szCs w:val="21"/>
                <w:highlight w:val="none"/>
              </w:rPr>
              <w:t>成交候选供应商</w:t>
            </w:r>
            <w:r>
              <w:rPr>
                <w:sz w:val="21"/>
                <w:szCs w:val="21"/>
                <w:highlight w:val="none"/>
              </w:rPr>
              <w:t xml:space="preserve">的评审方法。 </w:t>
            </w:r>
          </w:p>
          <w:p>
            <w:pPr>
              <w:pStyle w:val="38"/>
              <w:widowControl/>
              <w:ind w:firstLine="420"/>
              <w:rPr>
                <w:sz w:val="21"/>
                <w:szCs w:val="21"/>
                <w:highlight w:val="none"/>
              </w:rPr>
            </w:pPr>
            <w:r>
              <w:rPr>
                <w:sz w:val="21"/>
                <w:szCs w:val="21"/>
                <w:highlight w:val="none"/>
              </w:rPr>
              <w:t>价格分计算方法：</w:t>
            </w:r>
          </w:p>
          <w:p>
            <w:pPr>
              <w:pStyle w:val="38"/>
              <w:widowControl/>
              <w:spacing w:line="324" w:lineRule="auto"/>
              <w:ind w:left="420"/>
              <w:rPr>
                <w:rFonts w:hint="eastAsia" w:eastAsia="宋体"/>
                <w:sz w:val="21"/>
                <w:szCs w:val="21"/>
                <w:highlight w:val="none"/>
                <w:lang w:eastAsia="zh-CN"/>
              </w:rPr>
            </w:pPr>
            <w:r>
              <w:rPr>
                <w:sz w:val="21"/>
                <w:szCs w:val="21"/>
                <w:highlight w:val="none"/>
              </w:rPr>
              <w:t>采用低价优先法计算，即满足谈判文件要求且投标</w:t>
            </w:r>
            <w:r>
              <w:rPr>
                <w:rFonts w:hint="eastAsia"/>
                <w:sz w:val="21"/>
                <w:szCs w:val="21"/>
                <w:highlight w:val="none"/>
                <w:lang w:eastAsia="zh-CN"/>
              </w:rPr>
              <w:t>（</w:t>
            </w:r>
            <w:r>
              <w:rPr>
                <w:rFonts w:hint="eastAsia"/>
                <w:sz w:val="21"/>
                <w:szCs w:val="21"/>
                <w:highlight w:val="none"/>
                <w:lang w:val="en-US" w:eastAsia="zh-CN"/>
              </w:rPr>
              <w:t>应答</w:t>
            </w:r>
            <w:r>
              <w:rPr>
                <w:rFonts w:hint="eastAsia"/>
                <w:sz w:val="21"/>
                <w:szCs w:val="21"/>
                <w:highlight w:val="none"/>
                <w:lang w:eastAsia="zh-CN"/>
              </w:rPr>
              <w:t>）</w:t>
            </w:r>
            <w:r>
              <w:rPr>
                <w:sz w:val="21"/>
                <w:szCs w:val="21"/>
                <w:highlight w:val="none"/>
              </w:rPr>
              <w:t>价格最低的投标</w:t>
            </w:r>
            <w:r>
              <w:rPr>
                <w:rFonts w:hint="eastAsia"/>
                <w:sz w:val="21"/>
                <w:szCs w:val="21"/>
                <w:highlight w:val="none"/>
                <w:lang w:eastAsia="zh-CN"/>
              </w:rPr>
              <w:t>（</w:t>
            </w:r>
            <w:r>
              <w:rPr>
                <w:rFonts w:hint="eastAsia"/>
                <w:sz w:val="21"/>
                <w:szCs w:val="21"/>
                <w:highlight w:val="none"/>
                <w:lang w:val="en-US" w:eastAsia="zh-CN"/>
              </w:rPr>
              <w:t>应答</w:t>
            </w:r>
            <w:r>
              <w:rPr>
                <w:rFonts w:hint="eastAsia"/>
                <w:sz w:val="21"/>
                <w:szCs w:val="21"/>
                <w:highlight w:val="none"/>
                <w:lang w:eastAsia="zh-CN"/>
              </w:rPr>
              <w:t>）</w:t>
            </w:r>
            <w:r>
              <w:rPr>
                <w:sz w:val="21"/>
                <w:szCs w:val="21"/>
                <w:highlight w:val="none"/>
              </w:rPr>
              <w:t xml:space="preserve">报价为评审基准价，其价格分为满分。其他供应商供应商的价格分统一按照下列公式计算： </w:t>
            </w:r>
          </w:p>
          <w:p>
            <w:pPr>
              <w:pStyle w:val="38"/>
              <w:widowControl/>
              <w:spacing w:line="324" w:lineRule="auto"/>
              <w:ind w:left="420"/>
              <w:rPr>
                <w:rFonts w:hint="eastAsia" w:eastAsia="宋体"/>
                <w:sz w:val="21"/>
                <w:szCs w:val="21"/>
                <w:highlight w:val="none"/>
                <w:lang w:eastAsia="zh-CN"/>
              </w:rPr>
            </w:pPr>
            <w:r>
              <w:rPr>
                <w:sz w:val="21"/>
                <w:szCs w:val="21"/>
                <w:highlight w:val="none"/>
              </w:rPr>
              <w:t>投标</w:t>
            </w:r>
            <w:r>
              <w:rPr>
                <w:rFonts w:hint="eastAsia"/>
                <w:sz w:val="21"/>
                <w:szCs w:val="21"/>
                <w:highlight w:val="none"/>
                <w:lang w:eastAsia="zh-CN"/>
              </w:rPr>
              <w:t>（</w:t>
            </w:r>
            <w:r>
              <w:rPr>
                <w:rFonts w:hint="eastAsia"/>
                <w:sz w:val="21"/>
                <w:szCs w:val="21"/>
                <w:highlight w:val="none"/>
                <w:lang w:val="en-US" w:eastAsia="zh-CN"/>
              </w:rPr>
              <w:t>应答</w:t>
            </w:r>
            <w:r>
              <w:rPr>
                <w:rFonts w:hint="eastAsia"/>
                <w:sz w:val="21"/>
                <w:szCs w:val="21"/>
                <w:highlight w:val="none"/>
                <w:lang w:eastAsia="zh-CN"/>
              </w:rPr>
              <w:t>）</w:t>
            </w:r>
            <w:r>
              <w:rPr>
                <w:sz w:val="21"/>
                <w:szCs w:val="21"/>
                <w:highlight w:val="none"/>
              </w:rPr>
              <w:t xml:space="preserve">报价得分=(评审基准价／投标报价)×100 </w:t>
            </w:r>
          </w:p>
          <w:p>
            <w:pPr>
              <w:pStyle w:val="38"/>
              <w:widowControl/>
              <w:spacing w:line="324" w:lineRule="auto"/>
              <w:ind w:left="420"/>
              <w:rPr>
                <w:rFonts w:hint="eastAsia" w:eastAsia="宋体"/>
                <w:sz w:val="21"/>
                <w:szCs w:val="21"/>
                <w:highlight w:val="none"/>
                <w:lang w:eastAsia="zh-CN"/>
              </w:rPr>
            </w:pPr>
            <w:r>
              <w:rPr>
                <w:sz w:val="21"/>
                <w:szCs w:val="21"/>
                <w:highlight w:val="none"/>
              </w:rPr>
              <w:t xml:space="preserve">评审总得分＝F1×A1＋F2×A2＋……＋Fn×An </w:t>
            </w:r>
          </w:p>
          <w:p>
            <w:pPr>
              <w:pStyle w:val="38"/>
              <w:widowControl/>
              <w:spacing w:line="324" w:lineRule="auto"/>
              <w:ind w:left="420"/>
              <w:rPr>
                <w:rFonts w:hint="eastAsia" w:eastAsia="宋体"/>
                <w:sz w:val="21"/>
                <w:szCs w:val="21"/>
                <w:highlight w:val="none"/>
                <w:lang w:eastAsia="zh-CN"/>
              </w:rPr>
            </w:pPr>
            <w:r>
              <w:rPr>
                <w:sz w:val="21"/>
                <w:szCs w:val="21"/>
                <w:highlight w:val="none"/>
              </w:rPr>
              <w:t xml:space="preserve">F1、F2……Fn分别为各项评审因素的得分； </w:t>
            </w:r>
          </w:p>
          <w:p>
            <w:pPr>
              <w:pStyle w:val="38"/>
              <w:widowControl/>
              <w:spacing w:line="324" w:lineRule="auto"/>
              <w:ind w:left="420"/>
              <w:rPr>
                <w:rFonts w:hint="eastAsia" w:eastAsia="宋体"/>
                <w:sz w:val="21"/>
                <w:szCs w:val="21"/>
                <w:highlight w:val="none"/>
                <w:lang w:eastAsia="zh-CN"/>
              </w:rPr>
            </w:pPr>
            <w:r>
              <w:rPr>
                <w:sz w:val="21"/>
                <w:szCs w:val="21"/>
                <w:highlight w:val="none"/>
              </w:rPr>
              <w:t xml:space="preserve">A1、A2、……An 分别为各项评审因素所占的权重(A1＋A2＋……＋An＝1)。 </w:t>
            </w:r>
          </w:p>
          <w:p>
            <w:pPr>
              <w:pStyle w:val="38"/>
              <w:widowControl/>
              <w:spacing w:line="324" w:lineRule="auto"/>
              <w:ind w:left="420"/>
              <w:rPr>
                <w:rFonts w:hint="eastAsia" w:eastAsia="宋体"/>
                <w:sz w:val="21"/>
                <w:szCs w:val="21"/>
                <w:highlight w:val="none"/>
                <w:lang w:eastAsia="zh-CN"/>
              </w:rPr>
            </w:pPr>
            <w:r>
              <w:rPr>
                <w:sz w:val="21"/>
                <w:szCs w:val="21"/>
                <w:highlight w:val="none"/>
              </w:rPr>
              <w:t xml:space="preserve">评审过程中，不得去掉报价中的最高报价和最低报价。 </w:t>
            </w:r>
          </w:p>
          <w:p>
            <w:pPr>
              <w:pStyle w:val="38"/>
              <w:widowControl/>
              <w:spacing w:line="324" w:lineRule="auto"/>
              <w:ind w:left="420"/>
              <w:rPr>
                <w:rFonts w:hint="eastAsia"/>
                <w:sz w:val="21"/>
                <w:szCs w:val="21"/>
                <w:highlight w:val="none"/>
              </w:rPr>
            </w:pPr>
            <w:r>
              <w:rPr>
                <w:rFonts w:hint="eastAsia"/>
                <w:sz w:val="21"/>
                <w:szCs w:val="21"/>
                <w:highlight w:val="none"/>
              </w:rPr>
              <w:t>因落实政府采购政策进行价格调整的，以调整后的价格计算</w:t>
            </w:r>
            <w:r>
              <w:rPr>
                <w:rFonts w:hint="eastAsia"/>
                <w:sz w:val="21"/>
                <w:szCs w:val="21"/>
                <w:highlight w:val="none"/>
                <w:lang w:val="en-US" w:eastAsia="zh-CN"/>
              </w:rPr>
              <w:t>评审</w:t>
            </w:r>
            <w:r>
              <w:rPr>
                <w:rFonts w:hint="eastAsia"/>
                <w:sz w:val="21"/>
                <w:szCs w:val="21"/>
                <w:highlight w:val="none"/>
              </w:rPr>
              <w:t>基准价和</w:t>
            </w:r>
            <w:r>
              <w:rPr>
                <w:rFonts w:hint="eastAsia"/>
                <w:sz w:val="21"/>
                <w:szCs w:val="21"/>
                <w:highlight w:val="none"/>
                <w:lang w:val="en-US" w:eastAsia="zh-CN"/>
              </w:rPr>
              <w:t>应答</w:t>
            </w:r>
            <w:r>
              <w:rPr>
                <w:rFonts w:hint="eastAsia"/>
                <w:sz w:val="21"/>
                <w:szCs w:val="21"/>
                <w:highlight w:val="none"/>
              </w:rPr>
              <w:t>报价</w:t>
            </w:r>
          </w:p>
          <w:p>
            <w:pPr>
              <w:pStyle w:val="38"/>
              <w:widowControl/>
              <w:spacing w:line="324" w:lineRule="auto"/>
              <w:ind w:left="420"/>
              <w:rPr>
                <w:rFonts w:hint="eastAsia"/>
                <w:sz w:val="21"/>
                <w:szCs w:val="21"/>
                <w:highlight w:val="none"/>
              </w:rPr>
            </w:pPr>
            <w:r>
              <w:rPr>
                <w:rFonts w:hint="eastAsia"/>
                <w:b/>
                <w:bCs/>
                <w:sz w:val="21"/>
                <w:szCs w:val="21"/>
                <w:highlight w:val="none"/>
              </w:rPr>
              <w:t>注：投标人的“投标技术响应”“技术要求偏离表中偏离情况”等必须与客观实际保持一致，响应不实且情节严重的，经查实，将依法记入供应商诚信档案或受到行政处罚。</w:t>
            </w:r>
          </w:p>
        </w:tc>
      </w:tr>
    </w:tbl>
    <w:p>
      <w:pPr>
        <w:rPr>
          <w:vanish/>
          <w:sz w:val="24"/>
          <w:highlight w:val="none"/>
        </w:rPr>
      </w:pPr>
    </w:p>
    <w:p/>
    <w:p>
      <w:pPr>
        <w:sectPr>
          <w:pgSz w:w="11907" w:h="16840"/>
          <w:pgMar w:top="1440" w:right="1418" w:bottom="1440" w:left="1418" w:header="851" w:footer="992" w:gutter="0"/>
          <w:cols w:space="425" w:num="1"/>
          <w:titlePg/>
          <w:docGrid w:linePitch="462" w:charSpace="0"/>
        </w:sectPr>
      </w:pPr>
    </w:p>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谈判文件</w:t>
      </w:r>
    </w:p>
    <w:p>
      <w:pPr>
        <w:jc w:val="center"/>
        <w:rPr>
          <w:b/>
          <w:sz w:val="52"/>
          <w:szCs w:val="52"/>
        </w:rPr>
      </w:pPr>
      <w:r>
        <w:rPr>
          <w:rFonts w:hint="eastAsia"/>
          <w:b/>
          <w:sz w:val="52"/>
          <w:szCs w:val="52"/>
        </w:rPr>
        <w:t>（货物类）</w:t>
      </w:r>
    </w:p>
    <w:p/>
    <w:p/>
    <w:p/>
    <w:p/>
    <w:p/>
    <w:p/>
    <w:p/>
    <w:p/>
    <w:p/>
    <w:p/>
    <w:p/>
    <w:p/>
    <w:p/>
    <w:p/>
    <w:p/>
    <w:p/>
    <w:p/>
    <w:p/>
    <w:p/>
    <w:p>
      <w:pPr>
        <w:jc w:val="center"/>
        <w:rPr>
          <w:b/>
          <w:sz w:val="44"/>
          <w:szCs w:val="44"/>
        </w:rPr>
      </w:pPr>
      <w:bookmarkStart w:id="2" w:name="_Hlk71465316"/>
      <w:r>
        <w:rPr>
          <w:rFonts w:hint="eastAsia"/>
          <w:b/>
          <w:sz w:val="44"/>
          <w:szCs w:val="44"/>
        </w:rPr>
        <w:t>深圳公共资源交易中心</w:t>
      </w:r>
    </w:p>
    <w:p>
      <w:pPr>
        <w:jc w:val="center"/>
        <w:rPr>
          <w:b/>
          <w:sz w:val="44"/>
          <w:szCs w:val="44"/>
        </w:rPr>
      </w:pPr>
      <w:r>
        <w:rPr>
          <w:rFonts w:hint="eastAsia"/>
          <w:b/>
          <w:sz w:val="44"/>
          <w:szCs w:val="44"/>
        </w:rPr>
        <w:t>（202</w:t>
      </w:r>
      <w:r>
        <w:rPr>
          <w:rFonts w:hint="eastAsia"/>
          <w:b/>
          <w:sz w:val="44"/>
          <w:szCs w:val="44"/>
          <w:lang w:val="en-US" w:eastAsia="zh-CN"/>
        </w:rPr>
        <w:t>4</w:t>
      </w:r>
      <w:r>
        <w:rPr>
          <w:rFonts w:hint="eastAsia"/>
          <w:b/>
          <w:sz w:val="44"/>
          <w:szCs w:val="44"/>
        </w:rPr>
        <w:t>）</w:t>
      </w:r>
      <w:bookmarkEnd w:id="2"/>
    </w:p>
    <w:p>
      <w:pPr>
        <w:ind w:firstLine="435"/>
        <w:jc w:val="left"/>
      </w:pPr>
    </w:p>
    <w:p>
      <w:pPr>
        <w:ind w:firstLine="435"/>
        <w:jc w:val="left"/>
      </w:pPr>
    </w:p>
    <w:p>
      <w:pPr>
        <w:ind w:firstLine="435"/>
        <w:jc w:val="left"/>
      </w:pPr>
    </w:p>
    <w:p>
      <w:pPr>
        <w:pStyle w:val="5"/>
        <w:ind w:firstLine="3855" w:firstLineChars="1600"/>
        <w:jc w:val="left"/>
        <w:rPr>
          <w:szCs w:val="21"/>
        </w:rPr>
      </w:pPr>
      <w:r>
        <w:rPr>
          <w:rFonts w:hint="eastAsia"/>
        </w:rPr>
        <w:t>警示条款</w:t>
      </w:r>
    </w:p>
    <w:p>
      <w:pPr>
        <w:ind w:firstLine="400" w:firstLineChars="200"/>
        <w:rPr>
          <w:rFonts w:ascii="宋体" w:hAnsi="宋体"/>
          <w:color w:val="FF0000"/>
          <w:sz w:val="20"/>
          <w:szCs w:val="20"/>
        </w:rPr>
      </w:pPr>
      <w:bookmarkStart w:id="3" w:name="_Hlk72218009"/>
      <w:r>
        <w:rPr>
          <w:rFonts w:hint="eastAsia" w:ascii="宋体" w:hAnsi="宋体"/>
          <w:color w:val="FF0000"/>
          <w:sz w:val="20"/>
          <w:szCs w:val="20"/>
        </w:rPr>
        <w:t>本项目为自行采购项目，参照《深圳经济特区政府采购条例》、《深圳经济特区政府采购条例实施细则》及政府采购其他法律法规，按照</w:t>
      </w:r>
      <w:r>
        <w:rPr>
          <w:rFonts w:hint="eastAsia" w:ascii="宋体" w:hAnsi="宋体"/>
          <w:color w:val="FF0000"/>
          <w:sz w:val="20"/>
          <w:szCs w:val="20"/>
          <w:lang w:val="en-US" w:eastAsia="zh-CN"/>
        </w:rPr>
        <w:t>采购人内部制度要求</w:t>
      </w:r>
      <w:r>
        <w:rPr>
          <w:rFonts w:hint="eastAsia" w:ascii="宋体" w:hAnsi="宋体"/>
          <w:color w:val="FF0000"/>
          <w:sz w:val="20"/>
          <w:szCs w:val="20"/>
        </w:rPr>
        <w:t>，通过</w:t>
      </w:r>
      <w:r>
        <w:rPr>
          <w:rFonts w:hint="eastAsia" w:ascii="宋体" w:hAnsi="宋体"/>
          <w:color w:val="FF0000"/>
          <w:sz w:val="20"/>
          <w:szCs w:val="20"/>
          <w:lang w:val="en-US" w:eastAsia="zh-CN"/>
        </w:rPr>
        <w:t>单一来源谈判</w:t>
      </w:r>
      <w:r>
        <w:rPr>
          <w:rFonts w:hint="eastAsia" w:ascii="宋体" w:hAnsi="宋体"/>
          <w:color w:val="FF0000"/>
          <w:sz w:val="20"/>
          <w:szCs w:val="20"/>
        </w:rPr>
        <w:t>方式确定中标供应商。</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00" w:firstLineChars="200"/>
        <w:rPr>
          <w:rFonts w:ascii="宋体" w:hAnsi="宋体"/>
          <w:color w:val="FF0000"/>
          <w:sz w:val="20"/>
          <w:szCs w:val="20"/>
        </w:rPr>
      </w:pPr>
      <w:r>
        <w:rPr>
          <w:rFonts w:hint="eastAsia" w:ascii="宋体" w:hAnsi="宋体"/>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p>
    <w:p>
      <w:pPr>
        <w:ind w:firstLine="400" w:firstLineChars="200"/>
        <w:rPr>
          <w:rFonts w:ascii="宋体" w:hAnsi="宋体"/>
          <w:color w:val="FF0000"/>
          <w:sz w:val="20"/>
          <w:szCs w:val="20"/>
        </w:rPr>
      </w:pPr>
      <w:r>
        <w:rPr>
          <w:rFonts w:hint="eastAsia" w:ascii="宋体" w:hAnsi="宋体"/>
          <w:color w:val="FF0000"/>
          <w:sz w:val="20"/>
          <w:szCs w:val="20"/>
        </w:rPr>
        <w:t>注：该风险知悉确认书用于对供应商违法行为的警示，不作为供应商资格性审查及符合性审查条件。</w:t>
      </w:r>
    </w:p>
    <w:p>
      <w:pPr>
        <w:ind w:firstLine="400" w:firstLineChars="200"/>
        <w:rPr>
          <w:rFonts w:ascii="宋体" w:hAnsi="宋体"/>
          <w:color w:val="FF0000"/>
          <w:sz w:val="20"/>
          <w:szCs w:val="20"/>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pStyle w:val="2"/>
        <w:rPr>
          <w:rFonts w:hint="eastAsia"/>
        </w:rPr>
      </w:pPr>
    </w:p>
    <w:p>
      <w:pPr>
        <w:pStyle w:val="2"/>
      </w:pPr>
      <w:r>
        <w:rPr>
          <w:rFonts w:hint="eastAsia"/>
        </w:rPr>
        <w:t>目   录</w:t>
      </w:r>
    </w:p>
    <w:p>
      <w:pPr>
        <w:widowControl/>
        <w:wordWrap w:val="0"/>
        <w:jc w:val="left"/>
        <w:textAlignment w:val="top"/>
        <w:rPr>
          <w:szCs w:val="21"/>
        </w:rPr>
      </w:pPr>
      <w:r>
        <w:rPr>
          <w:rFonts w:hint="eastAsia"/>
          <w:sz w:val="24"/>
        </w:rPr>
        <w:t xml:space="preserve">        </w:t>
      </w:r>
      <w:r>
        <w:rPr>
          <w:rFonts w:hint="eastAsia"/>
          <w:szCs w:val="21"/>
        </w:rPr>
        <w:t xml:space="preserve">  </w:t>
      </w:r>
      <w:r>
        <w:rPr>
          <w:szCs w:val="21"/>
        </w:rPr>
        <w:t xml:space="preserve">           </w:t>
      </w:r>
      <w:r>
        <w:rPr>
          <w:rFonts w:hint="eastAsia"/>
          <w:szCs w:val="21"/>
        </w:rPr>
        <w:t>关键信息</w:t>
      </w:r>
    </w:p>
    <w:p>
      <w:pPr>
        <w:widowControl/>
        <w:wordWrap w:val="0"/>
        <w:ind w:firstLine="1260" w:firstLineChars="600"/>
        <w:jc w:val="left"/>
        <w:textAlignment w:val="top"/>
        <w:rPr>
          <w:szCs w:val="21"/>
        </w:rPr>
      </w:pPr>
      <w:r>
        <w:rPr>
          <w:rFonts w:hint="eastAsia"/>
          <w:szCs w:val="21"/>
        </w:rPr>
        <w:t>第一章  谈判公告</w:t>
      </w:r>
    </w:p>
    <w:p>
      <w:pPr>
        <w:widowControl/>
        <w:wordWrap w:val="0"/>
        <w:ind w:firstLine="1260" w:firstLineChars="600"/>
        <w:jc w:val="left"/>
        <w:textAlignment w:val="top"/>
        <w:rPr>
          <w:szCs w:val="21"/>
        </w:rPr>
      </w:pPr>
      <w:r>
        <w:rPr>
          <w:rFonts w:hint="eastAsia"/>
          <w:szCs w:val="21"/>
        </w:rPr>
        <w:t xml:space="preserve">第二章  </w:t>
      </w:r>
      <w:bookmarkStart w:id="4" w:name="_Hlk71994379"/>
      <w:r>
        <w:rPr>
          <w:rFonts w:hint="eastAsia"/>
          <w:szCs w:val="21"/>
        </w:rPr>
        <w:t>对谈判须知条款的补充内容及其他关键信息</w:t>
      </w:r>
      <w:bookmarkEnd w:id="4"/>
    </w:p>
    <w:p>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谈判应答文件组成要求及格式</w:t>
      </w:r>
    </w:p>
    <w:p>
      <w:pPr>
        <w:widowControl/>
        <w:wordWrap w:val="0"/>
        <w:ind w:firstLine="1260" w:firstLineChars="600"/>
        <w:jc w:val="left"/>
        <w:textAlignment w:val="top"/>
        <w:rPr>
          <w:szCs w:val="21"/>
        </w:rPr>
      </w:pPr>
      <w:r>
        <w:rPr>
          <w:rFonts w:hint="eastAsia"/>
          <w:szCs w:val="21"/>
        </w:rPr>
        <w:t>第五章  合同条款及格式</w:t>
      </w:r>
    </w:p>
    <w:p>
      <w:pPr>
        <w:widowControl/>
        <w:wordWrap w:val="0"/>
        <w:ind w:firstLine="1260" w:firstLineChars="600"/>
        <w:jc w:val="left"/>
        <w:textAlignment w:val="top"/>
        <w:rPr>
          <w:szCs w:val="21"/>
        </w:rPr>
      </w:pPr>
      <w:r>
        <w:rPr>
          <w:rFonts w:hint="eastAsia"/>
          <w:szCs w:val="21"/>
        </w:rPr>
        <w:t xml:space="preserve">第六章 </w:t>
      </w:r>
      <w:r>
        <w:rPr>
          <w:szCs w:val="21"/>
        </w:rPr>
        <w:t xml:space="preserve"> </w:t>
      </w:r>
      <w:r>
        <w:rPr>
          <w:rFonts w:hint="eastAsia"/>
          <w:szCs w:val="21"/>
        </w:rPr>
        <w:t>谈判须知</w:t>
      </w:r>
    </w:p>
    <w:p>
      <w:pPr>
        <w:widowControl/>
        <w:jc w:val="left"/>
        <w:rPr>
          <w:szCs w:val="21"/>
        </w:rPr>
      </w:pPr>
      <w:r>
        <w:rPr>
          <w:szCs w:val="21"/>
        </w:rPr>
        <w:br w:type="page"/>
      </w:r>
    </w:p>
    <w:bookmarkEnd w:id="3"/>
    <w:p>
      <w:pPr>
        <w:pStyle w:val="5"/>
        <w:spacing w:line="360" w:lineRule="auto"/>
        <w:rPr>
          <w:rFonts w:hint="eastAsia"/>
          <w:b/>
          <w:bCs/>
          <w:sz w:val="28"/>
        </w:rPr>
      </w:pPr>
      <w:bookmarkStart w:id="5" w:name="bt合同条款及格式"/>
      <w:bookmarkEnd w:id="5"/>
      <w:bookmarkStart w:id="6" w:name="bt其他资料2"/>
      <w:bookmarkEnd w:id="6"/>
      <w:bookmarkStart w:id="7" w:name="bt技术标投标文件格式"/>
      <w:bookmarkEnd w:id="7"/>
      <w:bookmarkStart w:id="8" w:name="bt本工程承诺书"/>
      <w:bookmarkEnd w:id="8"/>
      <w:bookmarkStart w:id="9" w:name="bt说明"/>
      <w:bookmarkEnd w:id="9"/>
      <w:bookmarkStart w:id="10" w:name="bt投标文件签署授权委托书"/>
      <w:bookmarkEnd w:id="10"/>
      <w:bookmarkStart w:id="11" w:name="bt商务标投标文件格式"/>
      <w:bookmarkEnd w:id="11"/>
      <w:bookmarkStart w:id="12" w:name="合同格式"/>
      <w:bookmarkEnd w:id="12"/>
      <w:bookmarkStart w:id="13" w:name="bt开标一览表"/>
      <w:bookmarkEnd w:id="13"/>
      <w:bookmarkStart w:id="14" w:name="bt合同格式"/>
      <w:bookmarkEnd w:id="14"/>
      <w:bookmarkStart w:id="15" w:name="bt其他资料由投标人自定"/>
      <w:bookmarkEnd w:id="15"/>
      <w:bookmarkStart w:id="16" w:name="bt合同条款"/>
      <w:bookmarkEnd w:id="16"/>
      <w:bookmarkStart w:id="17" w:name="bt投标函"/>
      <w:bookmarkEnd w:id="17"/>
      <w:bookmarkStart w:id="18" w:name="bt项目管理班子配备情况"/>
      <w:bookmarkEnd w:id="18"/>
      <w:bookmarkStart w:id="19" w:name="bt投标人情况介绍"/>
      <w:bookmarkEnd w:id="19"/>
      <w:bookmarkStart w:id="20" w:name="bt投标报价汇总表"/>
      <w:bookmarkEnd w:id="20"/>
      <w:bookmarkStart w:id="21" w:name="bt投标人须知"/>
      <w:bookmarkEnd w:id="21"/>
      <w:r>
        <w:rPr>
          <w:rFonts w:hint="eastAsia"/>
          <w:b/>
          <w:bCs/>
          <w:sz w:val="28"/>
        </w:rPr>
        <w:t>第一章 谈判公告</w:t>
      </w:r>
    </w:p>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numPr>
          <w:ilvl w:val="0"/>
          <w:numId w:val="0"/>
        </w:numPr>
        <w:ind w:firstLine="630" w:firstLineChars="300"/>
      </w:pPr>
      <w:bookmarkStart w:id="22" w:name="_Hlk72162904"/>
      <w:r>
        <w:rPr>
          <w:rFonts w:hint="eastAsia" w:ascii="宋体" w:hAnsi="宋体" w:cs="宋体"/>
          <w:kern w:val="0"/>
          <w:szCs w:val="21"/>
          <w:lang w:val="en-US" w:eastAsia="zh-CN"/>
        </w:rPr>
        <w:t>1.</w:t>
      </w:r>
      <w:bookmarkEnd w:id="22"/>
      <w:r>
        <w:rPr>
          <w:rFonts w:hint="eastAsia"/>
          <w:lang w:val="en-US" w:eastAsia="zh-CN"/>
        </w:rPr>
        <w:t>必须是采购人推荐的供应商（提供营业执照或事业单位法人证书等证明资料扫描件）；</w:t>
      </w:r>
    </w:p>
    <w:p>
      <w:pPr>
        <w:ind w:firstLine="630" w:firstLineChars="300"/>
        <w:rPr>
          <w:rFonts w:ascii="宋体" w:hAnsi="宋体" w:cs="宋体"/>
          <w:kern w:val="0"/>
          <w:szCs w:val="21"/>
        </w:rPr>
      </w:pPr>
      <w:r>
        <w:rPr>
          <w:rFonts w:hint="eastAsia" w:ascii="宋体" w:hAnsi="宋体" w:cs="宋体"/>
          <w:color w:val="FF0000"/>
          <w:kern w:val="0"/>
          <w:szCs w:val="21"/>
          <w:lang w:val="en-US" w:eastAsia="zh-CN"/>
        </w:rPr>
        <w:t>2</w:t>
      </w:r>
      <w:r>
        <w:rPr>
          <w:rFonts w:hint="eastAsia" w:ascii="宋体" w:hAnsi="宋体" w:cs="宋体"/>
          <w:color w:val="FF0000"/>
          <w:kern w:val="0"/>
          <w:szCs w:val="21"/>
        </w:rPr>
        <w:t>.本项目不接受联合体参与谈判，接受供应商选用进口产品参与谈判（由供应商在《政府采购投标及履约承诺函》中作出声明）；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3</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具备《中华人民共和国政府采购法》第二十二条第一款的条件（由供应商在《政府采购应答及履约承诺函》中作出声明）；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未被列入失信被执行人、重大税收违法案件当事人名单、政府采购严重违法失信行为记录名单（由供应商在《政府采购应答及履约承诺函》中作出声明）</w:t>
      </w:r>
      <w:r>
        <w:rPr>
          <w:rFonts w:hint="eastAsia" w:ascii="宋体" w:hAnsi="宋体" w:cs="宋体"/>
          <w:kern w:val="0"/>
          <w:szCs w:val="21"/>
          <w:lang w:val="en-US" w:eastAsia="zh-CN"/>
        </w:rPr>
        <w:t>；</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hint="eastAsia" w:ascii="宋体" w:hAnsi="宋体" w:cs="宋体"/>
          <w:kern w:val="0"/>
          <w:szCs w:val="21"/>
        </w:rPr>
        <w:t>.具有独立法人资格或是具有独立承担民事责任能力的其</w:t>
      </w:r>
      <w:r>
        <w:rPr>
          <w:rFonts w:hint="eastAsia" w:ascii="宋体" w:hAnsi="宋体" w:cs="宋体"/>
          <w:kern w:val="0"/>
          <w:szCs w:val="21"/>
          <w:lang w:val="en-US" w:eastAsia="zh-CN"/>
        </w:rPr>
        <w:t>他</w:t>
      </w:r>
      <w:r>
        <w:rPr>
          <w:rFonts w:hint="eastAsia" w:ascii="宋体" w:hAnsi="宋体" w:cs="宋体"/>
          <w:kern w:val="0"/>
          <w:szCs w:val="21"/>
        </w:rPr>
        <w:t>组织（提供营业执照或事业单位法人证书等证明资料扫描件，原件备查；如果参与</w:t>
      </w:r>
      <w:r>
        <w:rPr>
          <w:rFonts w:hint="eastAsia" w:ascii="宋体" w:hAnsi="宋体" w:cs="宋体"/>
          <w:kern w:val="0"/>
          <w:szCs w:val="21"/>
          <w:lang w:val="en-US" w:eastAsia="zh-CN"/>
        </w:rPr>
        <w:t>应答</w:t>
      </w:r>
      <w:r>
        <w:rPr>
          <w:rFonts w:hint="eastAsia" w:ascii="宋体" w:hAnsi="宋体" w:cs="宋体"/>
          <w:kern w:val="0"/>
          <w:szCs w:val="21"/>
        </w:rPr>
        <w:t>的供应商为分公司则须提供分公司营业执照、其所属集团（或总公司）等具有独立法人资格的组织出具的授权函或承诺书，但只接受直接授权，不接受逐级授权，并同时提供总公司营业执照。</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6.参与本项目政府采购活动时不存在《深圳市财政局政府采购供应商信用信息管理办法》（深财规〔2023〕3号）列明的严重违法失信行为（由供应商在《政府采购投标及履约承诺函》中作出声明）。</w:t>
      </w:r>
    </w:p>
    <w:p>
      <w:pPr>
        <w:ind w:firstLine="630" w:firstLineChars="300"/>
        <w:rPr>
          <w:rFonts w:hint="default" w:ascii="宋体" w:hAnsi="宋体" w:cs="宋体"/>
          <w:kern w:val="0"/>
          <w:szCs w:val="21"/>
          <w:lang w:val="en-US" w:eastAsia="zh-CN"/>
        </w:rPr>
      </w:pPr>
      <w:r>
        <w:rPr>
          <w:rFonts w:hint="eastAsia" w:ascii="宋体" w:hAnsi="宋体" w:cs="宋体"/>
          <w:kern w:val="0"/>
          <w:szCs w:val="21"/>
          <w:lang w:val="en-US" w:eastAsia="zh-CN"/>
        </w:rPr>
        <w:t>7.</w:t>
      </w:r>
      <w:r>
        <w:rPr>
          <w:rFonts w:hint="eastAsia" w:ascii="宋体" w:hAnsi="宋体" w:cs="宋体"/>
          <w:b/>
          <w:bCs/>
          <w:color w:val="FF0000"/>
          <w:kern w:val="0"/>
          <w:szCs w:val="21"/>
          <w:lang w:val="en-US" w:eastAsia="zh-CN"/>
        </w:rPr>
        <w:t>供应商</w:t>
      </w:r>
      <w:r>
        <w:rPr>
          <w:rFonts w:hint="eastAsia" w:ascii="宋体" w:hAnsi="宋体" w:cs="宋体"/>
          <w:b/>
          <w:bCs/>
          <w:color w:val="FF0000"/>
          <w:kern w:val="0"/>
          <w:szCs w:val="21"/>
        </w:rPr>
        <w:t>若为生产企业：所</w:t>
      </w:r>
      <w:r>
        <w:rPr>
          <w:rFonts w:hint="eastAsia" w:ascii="宋体" w:hAnsi="宋体" w:cs="宋体"/>
          <w:b/>
          <w:bCs/>
          <w:color w:val="FF0000"/>
          <w:kern w:val="0"/>
          <w:szCs w:val="21"/>
          <w:lang w:val="en-US" w:eastAsia="zh-CN"/>
        </w:rPr>
        <w:t>应答</w:t>
      </w:r>
      <w:r>
        <w:rPr>
          <w:rFonts w:hint="eastAsia" w:ascii="宋体" w:hAnsi="宋体" w:cs="宋体"/>
          <w:b/>
          <w:bCs/>
          <w:color w:val="FF0000"/>
          <w:kern w:val="0"/>
          <w:szCs w:val="21"/>
        </w:rPr>
        <w:t>产品为第二、三类医疗器械的，提供监督管理部门签发的涵盖所投报医疗器械的《医疗器械生产许可证》(有效期内)扫描件，原件备查；</w:t>
      </w:r>
      <w:r>
        <w:rPr>
          <w:rFonts w:hint="eastAsia" w:ascii="宋体" w:hAnsi="宋体" w:cs="宋体"/>
          <w:b/>
          <w:bCs/>
          <w:color w:val="FF0000"/>
          <w:kern w:val="0"/>
          <w:szCs w:val="21"/>
          <w:lang w:val="en-US" w:eastAsia="zh-CN"/>
        </w:rPr>
        <w:t>供应商</w:t>
      </w:r>
      <w:r>
        <w:rPr>
          <w:rFonts w:hint="eastAsia" w:ascii="宋体" w:hAnsi="宋体" w:cs="宋体"/>
          <w:b/>
          <w:bCs/>
          <w:color w:val="FF0000"/>
          <w:kern w:val="0"/>
          <w:szCs w:val="21"/>
        </w:rPr>
        <w:t>若为经营企业：所</w:t>
      </w:r>
      <w:r>
        <w:rPr>
          <w:rFonts w:hint="eastAsia" w:ascii="宋体" w:hAnsi="宋体" w:cs="宋体"/>
          <w:b/>
          <w:bCs/>
          <w:color w:val="FF0000"/>
          <w:kern w:val="0"/>
          <w:szCs w:val="21"/>
          <w:lang w:val="en-US" w:eastAsia="zh-CN"/>
        </w:rPr>
        <w:t>应答</w:t>
      </w:r>
      <w:r>
        <w:rPr>
          <w:rFonts w:hint="eastAsia" w:ascii="宋体" w:hAnsi="宋体" w:cs="宋体"/>
          <w:b/>
          <w:bCs/>
          <w:color w:val="FF0000"/>
          <w:kern w:val="0"/>
          <w:szCs w:val="21"/>
        </w:rPr>
        <w:t>产品为第二类医疗器械的，提供监督管理部门签发的涵盖所投报医疗器械的《医疗器械经营备案凭证》(有效期内)扫描件，原件备查；所</w:t>
      </w:r>
      <w:r>
        <w:rPr>
          <w:rFonts w:hint="eastAsia" w:ascii="宋体" w:hAnsi="宋体" w:cs="宋体"/>
          <w:b/>
          <w:bCs/>
          <w:color w:val="FF0000"/>
          <w:kern w:val="0"/>
          <w:szCs w:val="21"/>
          <w:lang w:val="en-US" w:eastAsia="zh-CN"/>
        </w:rPr>
        <w:t>应答</w:t>
      </w:r>
      <w:r>
        <w:rPr>
          <w:rFonts w:hint="eastAsia" w:ascii="宋体" w:hAnsi="宋体" w:cs="宋体"/>
          <w:b/>
          <w:bCs/>
          <w:color w:val="FF0000"/>
          <w:kern w:val="0"/>
          <w:szCs w:val="21"/>
        </w:rPr>
        <w:t>产品为第三类医疗器械的，提供监督管理部门签发的涵盖所投报医疗器械的《医疗器械经营许可证》(有效期内)扫描件，原件备查。</w:t>
      </w:r>
    </w:p>
    <w:p>
      <w:pPr>
        <w:ind w:firstLine="630" w:firstLineChars="300"/>
        <w:rPr>
          <w:rFonts w:ascii="宋体" w:hAnsi="宋体" w:cs="宋体"/>
          <w:kern w:val="0"/>
          <w:szCs w:val="21"/>
        </w:rPr>
      </w:pPr>
    </w:p>
    <w:p>
      <w:pPr>
        <w:ind w:firstLine="420" w:firstLineChars="200"/>
        <w:rPr>
          <w:rFonts w:hint="eastAsia" w:ascii="宋体" w:hAnsi="宋体" w:eastAsia="宋体" w:cs="宋体"/>
          <w:kern w:val="0"/>
          <w:szCs w:val="21"/>
        </w:rPr>
      </w:pPr>
      <w:r>
        <w:rPr>
          <w:rFonts w:hint="eastAsia" w:ascii="宋体" w:hAnsi="宋体" w:eastAsia="宋体" w:cs="宋体"/>
          <w:kern w:val="0"/>
          <w:szCs w:val="21"/>
        </w:rPr>
        <w:t>注：（1）</w:t>
      </w:r>
      <w:r>
        <w:rPr>
          <w:rFonts w:hint="eastAsia" w:ascii="宋体" w:hAnsi="宋体" w:cs="宋体"/>
          <w:kern w:val="0"/>
          <w:szCs w:val="21"/>
        </w:rPr>
        <w:t>“信用中国”（www.creditchina.gov.cn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highlight w:val="yellow"/>
          <w:lang w:val="en-US" w:eastAsia="zh-CN"/>
        </w:rPr>
        <w:t>或者下载信用信息报告</w:t>
      </w:r>
      <w:r>
        <w:rPr>
          <w:rFonts w:hint="eastAsia" w:ascii="宋体" w:hAnsi="宋体" w:cs="宋体"/>
          <w:kern w:val="0"/>
          <w:szCs w:val="21"/>
          <w:lang w:val="en-US" w:eastAsia="zh-CN"/>
        </w:rPr>
        <w:t>）</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kern w:val="0"/>
          <w:szCs w:val="21"/>
        </w:rPr>
      </w:pPr>
      <w:r>
        <w:rPr>
          <w:rFonts w:hint="eastAsia" w:ascii="宋体" w:hAnsi="宋体" w:cs="宋体"/>
          <w:kern w:val="0"/>
          <w:szCs w:val="21"/>
        </w:rPr>
        <w:t>（2）供应商投标（上传投标文件）必须先行办理注册手续，具体请按照深圳公共资源交易网/交易服务指南/资料下载/深圳自行采购系统用户操作指引（供应商）相关内容指引办理。</w:t>
      </w:r>
    </w:p>
    <w:p>
      <w:pPr>
        <w:pStyle w:val="7"/>
        <w:spacing w:before="60" w:beforeLines="25" w:after="60" w:afterLines="25"/>
        <w:ind w:left="0" w:leftChars="0" w:firstLine="0" w:firstLineChars="0"/>
        <w:rPr>
          <w:b/>
          <w:bCs/>
          <w:color w:val="FF0000"/>
          <w:sz w:val="24"/>
          <w:szCs w:val="24"/>
        </w:rPr>
      </w:pPr>
      <w:bookmarkStart w:id="23" w:name="_Hlk101431859"/>
    </w:p>
    <w:p>
      <w:pPr>
        <w:pStyle w:val="7"/>
        <w:spacing w:before="60" w:beforeLines="25" w:after="60" w:afterLines="25"/>
        <w:ind w:firstLine="451" w:firstLineChars="187"/>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请在系统公告中补充：</w:t>
      </w:r>
      <w:r>
        <w:rPr>
          <w:rStyle w:val="476"/>
          <w:rFonts w:hint="eastAsia" w:cs="Arial"/>
          <w:color w:val="000000" w:themeColor="text1"/>
          <w:szCs w:val="21"/>
          <w14:textFill>
            <w14:solidFill>
              <w14:schemeClr w14:val="tx1"/>
            </w14:solidFill>
          </w14:textFill>
        </w:rPr>
        <w:t>参加谈判的供应商谈判代表应在本项目谈判当日</w:t>
      </w:r>
      <w:r>
        <w:rPr>
          <w:rStyle w:val="476"/>
          <w:rFonts w:hint="eastAsia" w:cs="Arial"/>
          <w:color w:val="000000" w:themeColor="text1"/>
          <w:szCs w:val="21"/>
          <w:highlight w:val="none"/>
          <w14:textFill>
            <w14:solidFill>
              <w14:schemeClr w14:val="tx1"/>
            </w14:solidFill>
          </w14:textFill>
        </w:rPr>
        <w:t>9:</w:t>
      </w:r>
      <w:r>
        <w:rPr>
          <w:rStyle w:val="476"/>
          <w:rFonts w:hint="eastAsia" w:cs="Arial"/>
          <w:color w:val="000000" w:themeColor="text1"/>
          <w:szCs w:val="21"/>
          <w:highlight w:val="none"/>
          <w:lang w:val="en-US" w:eastAsia="zh-CN"/>
          <w14:textFill>
            <w14:solidFill>
              <w14:schemeClr w14:val="tx1"/>
            </w14:solidFill>
          </w14:textFill>
        </w:rPr>
        <w:t>15</w:t>
      </w:r>
      <w:r>
        <w:rPr>
          <w:rStyle w:val="476"/>
          <w:rFonts w:hint="eastAsia" w:cs="Arial"/>
          <w:color w:val="000000" w:themeColor="text1"/>
          <w:szCs w:val="21"/>
          <w:highlight w:val="none"/>
          <w14:textFill>
            <w14:solidFill>
              <w14:schemeClr w14:val="tx1"/>
            </w14:solidFill>
          </w14:textFill>
        </w:rPr>
        <w:t>-9:30（应答文件提交截止时间为上午时适用）,14:</w:t>
      </w:r>
      <w:r>
        <w:rPr>
          <w:rStyle w:val="476"/>
          <w:rFonts w:hint="eastAsia" w:cs="Arial"/>
          <w:color w:val="000000" w:themeColor="text1"/>
          <w:szCs w:val="21"/>
          <w:highlight w:val="none"/>
          <w:lang w:val="en-US" w:eastAsia="zh-CN"/>
          <w14:textFill>
            <w14:solidFill>
              <w14:schemeClr w14:val="tx1"/>
            </w14:solidFill>
          </w14:textFill>
        </w:rPr>
        <w:t>15</w:t>
      </w:r>
      <w:r>
        <w:rPr>
          <w:rStyle w:val="476"/>
          <w:rFonts w:hint="eastAsia" w:cs="Arial"/>
          <w:color w:val="000000" w:themeColor="text1"/>
          <w:szCs w:val="21"/>
          <w:highlight w:val="none"/>
          <w14:textFill>
            <w14:solidFill>
              <w14:schemeClr w14:val="tx1"/>
            </w14:solidFill>
          </w14:textFill>
        </w:rPr>
        <w:t>-14:30（应答文件提交截止时间为下午时适用）</w:t>
      </w:r>
      <w:r>
        <w:rPr>
          <w:rStyle w:val="476"/>
          <w:rFonts w:hint="eastAsia" w:cs="Arial"/>
          <w:color w:val="000000" w:themeColor="text1"/>
          <w:szCs w:val="21"/>
          <w14:textFill>
            <w14:solidFill>
              <w14:schemeClr w14:val="tx1"/>
            </w14:solidFill>
          </w14:textFill>
        </w:rPr>
        <w:t>到谈判现场（深圳市南山区西丽街道沙河西路3185号智谷产业园A座深圳交易集团总部大楼3楼），填写谈判供应商签到表。供应商授权代表需提供法定代表人（负责人）授权委托书（加盖公章）、授权委托人身份证（港澳台居民可提供来往通行证；非中国国籍管辖范围人员，可提供公安部门认可的身份证明材料）原件以及电脑和</w:t>
      </w:r>
      <w:r>
        <w:rPr>
          <w:rStyle w:val="476"/>
          <w:rFonts w:hint="eastAsia" w:cs="Arial"/>
          <w:color w:val="000000" w:themeColor="text1"/>
          <w:szCs w:val="21"/>
          <w:lang w:val="en-US" w:eastAsia="zh-CN"/>
          <w14:textFill>
            <w14:solidFill>
              <w14:schemeClr w14:val="tx1"/>
            </w14:solidFill>
          </w14:textFill>
        </w:rPr>
        <w:t>电子密钥</w:t>
      </w:r>
      <w:r>
        <w:rPr>
          <w:rStyle w:val="476"/>
          <w:rFonts w:hint="eastAsia" w:cs="Arial"/>
          <w:color w:val="000000" w:themeColor="text1"/>
          <w:szCs w:val="21"/>
          <w14:textFill>
            <w14:solidFill>
              <w14:schemeClr w14:val="tx1"/>
            </w14:solidFill>
          </w14:textFill>
        </w:rPr>
        <w:t>证书（即政府采购网登录秘钥），到</w:t>
      </w:r>
      <w:r>
        <w:rPr>
          <w:rStyle w:val="476"/>
          <w:rFonts w:hint="eastAsia" w:cs="Arial"/>
          <w:color w:val="000000" w:themeColor="text1"/>
          <w:szCs w:val="21"/>
          <w:lang w:eastAsia="zh-CN"/>
          <w14:textFill>
            <w14:solidFill>
              <w14:schemeClr w14:val="tx1"/>
            </w14:solidFill>
          </w14:textFill>
        </w:rPr>
        <w:t>代理机构</w:t>
      </w:r>
      <w:r>
        <w:rPr>
          <w:rStyle w:val="476"/>
          <w:rFonts w:hint="eastAsia" w:cs="Arial"/>
          <w:color w:val="000000" w:themeColor="text1"/>
          <w:szCs w:val="21"/>
          <w14:textFill>
            <w14:solidFill>
              <w14:schemeClr w14:val="tx1"/>
            </w14:solidFill>
          </w14:textFill>
        </w:rPr>
        <w:t>指定签到地点按现场工作人员指引填写签到表。</w:t>
      </w:r>
      <w:bookmarkEnd w:id="23"/>
    </w:p>
    <w:p>
      <w:pPr>
        <w:widowControl/>
        <w:jc w:val="left"/>
        <w:rPr>
          <w:szCs w:val="20"/>
        </w:rPr>
      </w:pPr>
      <w:r>
        <w:br w:type="page"/>
      </w:r>
    </w:p>
    <w:p>
      <w:pPr>
        <w:pStyle w:val="7"/>
        <w:spacing w:before="60" w:beforeLines="25" w:after="60" w:afterLines="25"/>
        <w:ind w:firstLine="392" w:firstLineChars="187"/>
      </w:pPr>
    </w:p>
    <w:p>
      <w:pPr>
        <w:pStyle w:val="5"/>
        <w:rPr>
          <w:sz w:val="28"/>
          <w:szCs w:val="28"/>
        </w:rPr>
      </w:pPr>
      <w:r>
        <w:rPr>
          <w:rFonts w:hint="eastAsia"/>
          <w:sz w:val="28"/>
          <w:szCs w:val="28"/>
        </w:rPr>
        <w:t xml:space="preserve">第二章 </w:t>
      </w:r>
      <w:bookmarkStart w:id="24" w:name="_Hlk71926094"/>
      <w:r>
        <w:rPr>
          <w:rFonts w:hint="eastAsia"/>
          <w:sz w:val="28"/>
          <w:szCs w:val="28"/>
        </w:rPr>
        <w:t>对谈判须知条款的补充内容及其他关键信息</w:t>
      </w:r>
      <w:bookmarkEnd w:id="24"/>
    </w:p>
    <w:p>
      <w:pPr>
        <w:pStyle w:val="5"/>
        <w:spacing w:before="120" w:beforeLines="50" w:after="120" w:afterLines="50"/>
        <w:rPr>
          <w:szCs w:val="24"/>
        </w:rPr>
      </w:pPr>
      <w:bookmarkStart w:id="25" w:name="_Toc60560625"/>
      <w:bookmarkStart w:id="26" w:name="_Toc73517639"/>
      <w:bookmarkStart w:id="27" w:name="_Toc100052364"/>
      <w:bookmarkStart w:id="28" w:name="_Toc101074876"/>
      <w:bookmarkStart w:id="29" w:name="_Toc73521635"/>
      <w:bookmarkStart w:id="30" w:name="_Toc73518117"/>
      <w:bookmarkStart w:id="31" w:name="_Toc60631620"/>
      <w:bookmarkStart w:id="32" w:name="_Toc73521547"/>
      <w:r>
        <w:rPr>
          <w:rFonts w:hint="eastAsia"/>
          <w:szCs w:val="24"/>
        </w:rPr>
        <w:t>一、对谈判须知条款的补充内容</w:t>
      </w:r>
    </w:p>
    <w:bookmarkEnd w:id="25"/>
    <w:bookmarkEnd w:id="26"/>
    <w:bookmarkEnd w:id="27"/>
    <w:bookmarkEnd w:id="28"/>
    <w:bookmarkEnd w:id="29"/>
    <w:bookmarkEnd w:id="30"/>
    <w:bookmarkEnd w:id="31"/>
    <w:bookmarkEnd w:id="32"/>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highlight w:val="none"/>
              </w:rPr>
            </w:pPr>
            <w:bookmarkStart w:id="33" w:name="_Hlk72218097"/>
            <w:r>
              <w:rPr>
                <w:rFonts w:hint="eastAsia" w:ascii="宋体" w:hAnsi="宋体"/>
                <w:b/>
                <w:bCs/>
                <w:highlight w:val="none"/>
              </w:rPr>
              <w:t>通用条款序号</w:t>
            </w:r>
          </w:p>
        </w:tc>
        <w:tc>
          <w:tcPr>
            <w:tcW w:w="2409" w:type="dxa"/>
            <w:vAlign w:val="center"/>
          </w:tcPr>
          <w:p>
            <w:pPr>
              <w:jc w:val="center"/>
              <w:rPr>
                <w:rFonts w:ascii="宋体" w:hAnsi="宋体"/>
                <w:b/>
                <w:bCs/>
                <w:highlight w:val="none"/>
              </w:rPr>
            </w:pPr>
            <w:r>
              <w:rPr>
                <w:rFonts w:hint="eastAsia" w:ascii="宋体" w:hAnsi="宋体"/>
                <w:b/>
                <w:bCs/>
                <w:highlight w:val="none"/>
              </w:rPr>
              <w:t>涉及事项</w:t>
            </w:r>
          </w:p>
        </w:tc>
        <w:tc>
          <w:tcPr>
            <w:tcW w:w="4980" w:type="dxa"/>
            <w:vAlign w:val="center"/>
          </w:tcPr>
          <w:p>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hint="eastAsia" w:ascii="宋体" w:hAnsi="宋体"/>
              </w:rPr>
            </w:pPr>
            <w:r>
              <w:rPr>
                <w:rFonts w:hint="eastAsia"/>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2409" w:type="dxa"/>
            <w:vAlign w:val="center"/>
          </w:tcPr>
          <w:p>
            <w:pPr>
              <w:jc w:val="center"/>
              <w:rPr>
                <w:highlight w:val="none"/>
              </w:rPr>
            </w:pPr>
            <w:r>
              <w:rPr>
                <w:rFonts w:hint="eastAsia"/>
                <w:highlight w:val="none"/>
              </w:rPr>
              <w:t>采购人</w:t>
            </w:r>
          </w:p>
        </w:tc>
        <w:tc>
          <w:tcPr>
            <w:tcW w:w="4980" w:type="dxa"/>
            <w:vAlign w:val="center"/>
          </w:tcPr>
          <w:p>
            <w:pPr>
              <w:jc w:val="center"/>
              <w:rPr>
                <w:rFonts w:hint="eastAsia" w:ascii="宋体" w:hAnsi="宋体" w:eastAsia="宋体"/>
                <w:highlight w:val="none"/>
                <w:lang w:eastAsia="zh-CN"/>
              </w:rPr>
            </w:pPr>
            <w:r>
              <w:rPr>
                <w:rFonts w:hint="eastAsia" w:ascii="宋体" w:hAnsi="宋体"/>
              </w:rPr>
              <w:t>深圳市人民医院</w:t>
            </w:r>
            <w:r>
              <w:rPr>
                <w:rFonts w:hint="eastAsia" w:ascii="宋体" w:hAnsi="宋体"/>
                <w:lang w:eastAsia="zh-CN"/>
              </w:rPr>
              <w:t>（</w:t>
            </w:r>
            <w:r>
              <w:t>深圳市呼吸疾病研究所</w:t>
            </w:r>
            <w:r>
              <w:rPr>
                <w:rFonts w:hint="eastAsia"/>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2409" w:type="dxa"/>
            <w:vAlign w:val="center"/>
          </w:tcPr>
          <w:p>
            <w:pPr>
              <w:jc w:val="center"/>
              <w:rPr>
                <w:rFonts w:hint="eastAsia" w:ascii="宋体" w:hAnsi="宋体" w:eastAsia="宋体"/>
                <w:highlight w:val="none"/>
                <w:lang w:eastAsia="zh-CN"/>
              </w:rPr>
            </w:pPr>
            <w:r>
              <w:rPr>
                <w:rFonts w:hint="eastAsia" w:ascii="宋体" w:hAnsi="宋体"/>
                <w:highlight w:val="none"/>
                <w:lang w:eastAsia="zh-CN"/>
              </w:rPr>
              <w:t>代理机构</w:t>
            </w:r>
          </w:p>
        </w:tc>
        <w:tc>
          <w:tcPr>
            <w:tcW w:w="4980" w:type="dxa"/>
            <w:vAlign w:val="center"/>
          </w:tcPr>
          <w:p>
            <w:pPr>
              <w:jc w:val="center"/>
              <w:rPr>
                <w:rFonts w:ascii="宋体" w:hAnsi="宋体"/>
                <w:highlight w:val="none"/>
              </w:rPr>
            </w:pPr>
            <w:r>
              <w:rPr>
                <w:rFonts w:hint="eastAsia" w:ascii="宋体" w:hAnsi="宋体"/>
                <w:highlight w:val="none"/>
              </w:rPr>
              <w:t>深圳公共资源交易中心</w:t>
            </w:r>
          </w:p>
          <w:p>
            <w:pPr>
              <w:jc w:val="center"/>
              <w:rPr>
                <w:rFonts w:ascii="宋体" w:hAnsi="宋体"/>
                <w:highlight w:val="none"/>
              </w:rPr>
            </w:pPr>
            <w:r>
              <w:rPr>
                <w:rFonts w:hint="eastAsia" w:ascii="宋体" w:hAnsi="宋体"/>
                <w:highlight w:val="none"/>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0</w:t>
            </w:r>
            <w:r>
              <w:rPr>
                <w:rFonts w:hint="eastAsia" w:ascii="宋体" w:hAnsi="宋体"/>
                <w:highlight w:val="none"/>
              </w:rPr>
              <w:t>/1</w:t>
            </w:r>
            <w:r>
              <w:rPr>
                <w:rFonts w:ascii="宋体" w:hAnsi="宋体"/>
                <w:highlight w:val="none"/>
              </w:rPr>
              <w:t>1</w:t>
            </w:r>
          </w:p>
        </w:tc>
        <w:tc>
          <w:tcPr>
            <w:tcW w:w="2409" w:type="dxa"/>
            <w:vAlign w:val="center"/>
          </w:tcPr>
          <w:p>
            <w:pPr>
              <w:jc w:val="center"/>
              <w:rPr>
                <w:rFonts w:ascii="宋体" w:hAnsi="宋体"/>
                <w:highlight w:val="none"/>
              </w:rPr>
            </w:pPr>
            <w:r>
              <w:rPr>
                <w:rFonts w:hint="eastAsia" w:ascii="宋体" w:hAnsi="宋体"/>
                <w:highlight w:val="none"/>
              </w:rPr>
              <w:t>应答文件的澄清和修改</w:t>
            </w:r>
          </w:p>
        </w:tc>
        <w:tc>
          <w:tcPr>
            <w:tcW w:w="4980" w:type="dxa"/>
            <w:vAlign w:val="center"/>
          </w:tcPr>
          <w:p>
            <w:pPr>
              <w:jc w:val="center"/>
              <w:rPr>
                <w:rFonts w:ascii="宋体" w:hAnsi="宋体"/>
                <w:highlight w:val="none"/>
              </w:rPr>
            </w:pPr>
            <w:r>
              <w:rPr>
                <w:rFonts w:hint="eastAsia" w:ascii="宋体" w:hAnsi="宋体"/>
                <w:highlight w:val="none"/>
              </w:rPr>
              <w:t>投标截止日三日前，</w:t>
            </w:r>
            <w:r>
              <w:rPr>
                <w:rFonts w:hint="eastAsia" w:ascii="宋体" w:hAnsi="宋体"/>
                <w:highlight w:val="none"/>
                <w:lang w:eastAsia="zh-CN"/>
              </w:rPr>
              <w:t>供应商</w:t>
            </w:r>
            <w:r>
              <w:rPr>
                <w:rFonts w:hint="eastAsia" w:ascii="宋体" w:hAnsi="宋体"/>
                <w:highlight w:val="none"/>
              </w:rPr>
              <w:t>有义务在招标期间在</w:t>
            </w:r>
            <w:r>
              <w:rPr>
                <w:rFonts w:hint="eastAsia" w:ascii="宋体" w:hAnsi="宋体"/>
                <w:highlight w:val="none"/>
                <w:lang w:eastAsia="zh-CN"/>
              </w:rPr>
              <w:t>代理机构</w:t>
            </w:r>
            <w:r>
              <w:rPr>
                <w:rFonts w:hint="eastAsia" w:ascii="宋体" w:hAnsi="宋体"/>
                <w:highlight w:val="none"/>
              </w:rPr>
              <w:t>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8</w:t>
            </w:r>
          </w:p>
        </w:tc>
        <w:tc>
          <w:tcPr>
            <w:tcW w:w="2409" w:type="dxa"/>
            <w:vAlign w:val="center"/>
          </w:tcPr>
          <w:p>
            <w:pPr>
              <w:jc w:val="center"/>
              <w:rPr>
                <w:rFonts w:ascii="宋体" w:hAnsi="宋体"/>
                <w:highlight w:val="none"/>
              </w:rPr>
            </w:pPr>
            <w:r>
              <w:rPr>
                <w:rFonts w:hint="eastAsia" w:ascii="宋体" w:hAnsi="宋体"/>
                <w:highlight w:val="none"/>
              </w:rPr>
              <w:t>谈判应答有效期</w:t>
            </w:r>
          </w:p>
        </w:tc>
        <w:tc>
          <w:tcPr>
            <w:tcW w:w="4980" w:type="dxa"/>
            <w:vAlign w:val="center"/>
          </w:tcPr>
          <w:p>
            <w:pPr>
              <w:jc w:val="center"/>
              <w:rPr>
                <w:rFonts w:ascii="宋体" w:hAnsi="宋体"/>
                <w:highlight w:val="none"/>
              </w:rPr>
            </w:pPr>
            <w:r>
              <w:rPr>
                <w:rFonts w:hint="eastAsia" w:ascii="宋体" w:hAnsi="宋体"/>
                <w:highlight w:val="none"/>
              </w:rPr>
              <w:t>1</w:t>
            </w:r>
            <w:r>
              <w:rPr>
                <w:rFonts w:ascii="宋体" w:hAnsi="宋体"/>
                <w:highlight w:val="none"/>
              </w:rPr>
              <w:t>20</w:t>
            </w:r>
            <w:r>
              <w:rPr>
                <w:rFonts w:hint="eastAsia" w:ascii="宋体" w:hAnsi="宋体"/>
                <w:highlight w:val="none"/>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2409" w:type="dxa"/>
            <w:vAlign w:val="center"/>
          </w:tcPr>
          <w:p>
            <w:pPr>
              <w:jc w:val="center"/>
              <w:rPr>
                <w:rFonts w:ascii="宋体" w:hAnsi="宋体"/>
                <w:highlight w:val="none"/>
              </w:rPr>
            </w:pPr>
            <w:r>
              <w:rPr>
                <w:rFonts w:hint="eastAsia" w:ascii="宋体" w:hAnsi="宋体"/>
                <w:highlight w:val="none"/>
              </w:rPr>
              <w:t>供应商的替代方案</w:t>
            </w:r>
          </w:p>
        </w:tc>
        <w:tc>
          <w:tcPr>
            <w:tcW w:w="4980" w:type="dxa"/>
            <w:vAlign w:val="center"/>
          </w:tcPr>
          <w:p>
            <w:pPr>
              <w:jc w:val="center"/>
              <w:rPr>
                <w:rFonts w:ascii="宋体" w:hAnsi="宋体"/>
                <w:highlight w:val="none"/>
              </w:rPr>
            </w:pPr>
            <w:r>
              <w:rPr>
                <w:rFonts w:hint="eastAsia" w:ascii="宋体" w:hAnsi="宋体"/>
                <w:highlight w:val="none"/>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2409" w:type="dxa"/>
            <w:vAlign w:val="center"/>
          </w:tcPr>
          <w:p>
            <w:pPr>
              <w:jc w:val="center"/>
              <w:rPr>
                <w:rFonts w:ascii="宋体" w:hAnsi="宋体"/>
                <w:highlight w:val="none"/>
              </w:rPr>
            </w:pPr>
            <w:r>
              <w:rPr>
                <w:rFonts w:hint="eastAsia" w:ascii="宋体" w:hAnsi="宋体"/>
                <w:highlight w:val="none"/>
              </w:rPr>
              <w:t>应答文件的大小</w:t>
            </w:r>
          </w:p>
        </w:tc>
        <w:tc>
          <w:tcPr>
            <w:tcW w:w="4980" w:type="dxa"/>
            <w:vAlign w:val="center"/>
          </w:tcPr>
          <w:p>
            <w:pPr>
              <w:jc w:val="center"/>
              <w:rPr>
                <w:rFonts w:ascii="宋体" w:hAnsi="宋体"/>
                <w:highlight w:val="none"/>
              </w:rPr>
            </w:pPr>
            <w:r>
              <w:rPr>
                <w:rFonts w:hint="eastAsia" w:ascii="宋体" w:hAnsi="宋体"/>
                <w:highlight w:val="none"/>
              </w:rPr>
              <w:t>应答文件大小不得超过100MB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2409" w:type="dxa"/>
            <w:vAlign w:val="center"/>
          </w:tcPr>
          <w:p>
            <w:pPr>
              <w:jc w:val="center"/>
              <w:rPr>
                <w:rFonts w:ascii="宋体" w:hAnsi="宋体"/>
                <w:highlight w:val="none"/>
              </w:rPr>
            </w:pPr>
            <w:r>
              <w:rPr>
                <w:rFonts w:hint="eastAsia" w:ascii="宋体" w:hAnsi="宋体"/>
                <w:highlight w:val="none"/>
              </w:rPr>
              <w:t>评审方法</w:t>
            </w:r>
          </w:p>
        </w:tc>
        <w:tc>
          <w:tcPr>
            <w:tcW w:w="4980" w:type="dxa"/>
            <w:vAlign w:val="center"/>
          </w:tcPr>
          <w:p>
            <w:pPr>
              <w:jc w:val="left"/>
              <w:rPr>
                <w:rFonts w:ascii="宋体" w:hAnsi="宋体"/>
                <w:highlight w:val="none"/>
              </w:rPr>
            </w:pPr>
            <w:r>
              <w:rPr>
                <w:rFonts w:hint="eastAsia" w:ascii="宋体" w:hAnsi="宋体"/>
                <w:highlight w:val="none"/>
                <w:lang w:eastAsia="zh-CN"/>
              </w:rPr>
              <w:t>☑</w:t>
            </w:r>
            <w:r>
              <w:rPr>
                <w:rFonts w:hint="eastAsia" w:ascii="宋体" w:hAnsi="宋体"/>
                <w:highlight w:val="none"/>
              </w:rPr>
              <w:t xml:space="preserve"> 最低评标价法</w:t>
            </w:r>
          </w:p>
          <w:p>
            <w:pPr>
              <w:rPr>
                <w:rFonts w:ascii="宋体" w:hAnsi="宋体"/>
                <w:highlight w:val="none"/>
              </w:rPr>
            </w:pPr>
            <w:r>
              <w:rPr>
                <w:rFonts w:hint="eastAsia" w:ascii="宋体" w:hAnsi="宋体"/>
                <w:highlight w:val="none"/>
                <w:lang w:eastAsia="zh-CN"/>
              </w:rPr>
              <w:t>□</w:t>
            </w:r>
            <w:r>
              <w:rPr>
                <w:rFonts w:hint="eastAsia" w:ascii="宋体" w:hAnsi="宋体"/>
                <w:highlight w:val="none"/>
              </w:rPr>
              <w:t xml:space="preserve"> 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2409" w:type="dxa"/>
            <w:vAlign w:val="center"/>
          </w:tcPr>
          <w:p>
            <w:pPr>
              <w:jc w:val="center"/>
              <w:rPr>
                <w:rFonts w:ascii="宋体" w:hAnsi="宋体"/>
                <w:highlight w:val="none"/>
              </w:rPr>
            </w:pPr>
            <w:r>
              <w:rPr>
                <w:rFonts w:hint="eastAsia" w:ascii="宋体" w:hAnsi="宋体"/>
                <w:highlight w:val="none"/>
              </w:rPr>
              <w:t>履约担保</w:t>
            </w:r>
          </w:p>
        </w:tc>
        <w:tc>
          <w:tcPr>
            <w:tcW w:w="4980" w:type="dxa"/>
            <w:vAlign w:val="center"/>
          </w:tcPr>
          <w:p>
            <w:pPr>
              <w:jc w:val="left"/>
              <w:rPr>
                <w:rFonts w:ascii="宋体" w:hAnsi="宋体"/>
                <w:highlight w:val="none"/>
              </w:rPr>
            </w:pPr>
            <w:r>
              <w:rPr>
                <w:rFonts w:hint="eastAsia" w:ascii="宋体" w:hAnsi="宋体"/>
                <w:b/>
                <w:highlight w:val="none"/>
                <w:lang w:eastAsia="zh-CN"/>
              </w:rPr>
              <w:t>☑</w:t>
            </w:r>
            <w:r>
              <w:rPr>
                <w:rFonts w:hint="eastAsia" w:ascii="宋体" w:hAnsi="宋体"/>
                <w:b/>
                <w:highlight w:val="none"/>
              </w:rPr>
              <w:t xml:space="preserve"> </w:t>
            </w:r>
            <w:r>
              <w:rPr>
                <w:rFonts w:hint="eastAsia" w:ascii="宋体" w:hAnsi="宋体"/>
                <w:highlight w:val="none"/>
              </w:rPr>
              <w:t>不需要</w:t>
            </w:r>
          </w:p>
        </w:tc>
      </w:tr>
    </w:tbl>
    <w:p>
      <w:pPr>
        <w:rPr>
          <w:b/>
        </w:rPr>
      </w:pPr>
      <w:r>
        <w:rPr>
          <w:rFonts w:hint="eastAsia"/>
          <w:szCs w:val="21"/>
        </w:rPr>
        <w:t>备注：本表是谈判须知条款相关条款的补充和明确，如与谈判须知条款内容相冲突的，以本表为准。</w:t>
      </w:r>
    </w:p>
    <w:bookmarkEnd w:id="33"/>
    <w:p>
      <w:pPr>
        <w:pStyle w:val="5"/>
        <w:spacing w:before="120" w:beforeLines="50" w:after="120" w:afterLines="50"/>
        <w:rPr>
          <w:szCs w:val="24"/>
        </w:rPr>
      </w:pPr>
      <w:bookmarkStart w:id="34" w:name="_Hlk72218117"/>
      <w:r>
        <w:rPr>
          <w:rFonts w:hint="eastAsia"/>
          <w:szCs w:val="24"/>
        </w:rPr>
        <w:t>二、其他关键信息</w:t>
      </w:r>
    </w:p>
    <w:p>
      <w:pPr>
        <w:jc w:val="center"/>
        <w:rPr>
          <w:b/>
          <w:bCs/>
          <w:highlight w:val="none"/>
        </w:rPr>
      </w:pPr>
      <w:bookmarkStart w:id="35" w:name="_Hlk72579427"/>
      <w:r>
        <w:rPr>
          <w:rFonts w:hint="eastAsia"/>
          <w:b/>
          <w:bCs/>
          <w:highlight w:val="none"/>
        </w:rPr>
        <w:t>（一）与“对通用条款的补充内容”章节相关的事项</w:t>
      </w:r>
    </w:p>
    <w:p>
      <w:pPr>
        <w:ind w:firstLine="422" w:firstLineChars="200"/>
        <w:rPr>
          <w:rFonts w:ascii="宋体" w:hAnsi="宋体"/>
          <w:b/>
          <w:highlight w:val="none"/>
        </w:rPr>
      </w:pPr>
      <w:r>
        <w:rPr>
          <w:rFonts w:hint="eastAsia" w:ascii="宋体" w:hAnsi="宋体"/>
          <w:b/>
          <w:highlight w:val="none"/>
        </w:rPr>
        <w:t>1、评审信息</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A8"/>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FE"/>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w:t>
            </w:r>
            <w:r>
              <w:rPr>
                <w:rFonts w:hint="eastAsia"/>
                <w:lang w:val="en-US" w:eastAsia="zh-CN"/>
              </w:rPr>
              <w:t>成交</w:t>
            </w:r>
            <w:r>
              <w:rPr>
                <w:rFonts w:hint="eastAsia"/>
              </w:rPr>
              <w:t>供应商家数</w:t>
            </w:r>
          </w:p>
        </w:tc>
        <w:tc>
          <w:tcPr>
            <w:tcW w:w="3235" w:type="dxa"/>
          </w:tcPr>
          <w:p>
            <w:pPr>
              <w:jc w:val="center"/>
              <w:rPr>
                <w:rFonts w:hint="eastAsia" w:eastAsia="宋体"/>
                <w:highlight w:val="none"/>
                <w:lang w:val="en-US" w:eastAsia="zh-CN"/>
              </w:rPr>
            </w:pPr>
            <w:r>
              <w:rPr>
                <w:rFonts w:hint="eastAsia"/>
                <w:highlight w:val="none"/>
                <w:lang w:val="en-US" w:eastAsia="zh-CN"/>
              </w:rPr>
              <w:t>1</w:t>
            </w:r>
          </w:p>
        </w:tc>
        <w:tc>
          <w:tcPr>
            <w:tcW w:w="2450" w:type="dxa"/>
          </w:tcPr>
          <w:p>
            <w:pPr>
              <w:jc w:val="center"/>
              <w:rPr>
                <w:rFonts w:hint="eastAsia" w:eastAsia="宋体"/>
                <w:highlight w:val="none"/>
                <w:lang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lang w:val="en-US" w:eastAsia="zh-CN"/>
              </w:rPr>
              <w:t>成交</w:t>
            </w:r>
            <w:r>
              <w:rPr>
                <w:rFonts w:hint="eastAsia"/>
              </w:rPr>
              <w:t>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rPr>
          <w:b/>
          <w:bCs/>
        </w:rPr>
      </w:pPr>
    </w:p>
    <w:p>
      <w:pPr>
        <w:jc w:val="center"/>
        <w:rPr>
          <w:rFonts w:hint="eastAsia"/>
          <w:b/>
        </w:rPr>
      </w:pPr>
      <w:bookmarkStart w:id="36" w:name="_Hlk73641770"/>
      <w:r>
        <w:rPr>
          <w:rFonts w:hint="eastAsia"/>
          <w:b/>
        </w:rPr>
        <w:t>（二）其他事项</w:t>
      </w:r>
      <w:bookmarkEnd w:id="35"/>
    </w:p>
    <w:p>
      <w:pPr>
        <w:ind w:firstLine="422" w:firstLineChars="200"/>
        <w:rPr>
          <w:color w:val="0000FF"/>
          <w:highlight w:val="none"/>
        </w:rPr>
      </w:pPr>
      <w:r>
        <w:rPr>
          <w:rFonts w:hint="eastAsia"/>
          <w:b/>
          <w:bCs/>
          <w:lang w:val="en-US" w:eastAsia="zh-CN"/>
        </w:rPr>
        <w:t>1</w:t>
      </w:r>
      <w:r>
        <w:rPr>
          <w:rFonts w:hint="eastAsia"/>
          <w:b/>
          <w:bCs/>
        </w:rPr>
        <w:t>、</w:t>
      </w:r>
      <w:r>
        <w:rPr>
          <w:rFonts w:hint="eastAsia"/>
          <w:b/>
          <w:highlight w:val="none"/>
        </w:rPr>
        <w:t>关于政府采购订单融资政策</w:t>
      </w:r>
    </w:p>
    <w:p>
      <w:pPr>
        <w:wordWrap w:val="0"/>
        <w:ind w:firstLine="420" w:firstLineChars="200"/>
        <w:rPr>
          <w:color w:val="0000FF"/>
          <w:highlight w:val="none"/>
        </w:rPr>
      </w:pPr>
      <w:r>
        <w:rPr>
          <w:rFonts w:hint="eastAsia"/>
          <w:color w:val="auto"/>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bookmarkEnd w:id="36"/>
    <w:p>
      <w:pPr>
        <w:rPr>
          <w:rFonts w:hint="eastAsia"/>
          <w:b/>
        </w:rPr>
      </w:pPr>
      <w:r>
        <w:rPr>
          <w:rFonts w:hint="eastAsia" w:ascii="Times New Roman" w:eastAsia="宋体"/>
          <w:sz w:val="32"/>
          <w:szCs w:val="40"/>
          <w:lang w:val="en-US" w:eastAsia="zh-CN"/>
        </w:rPr>
        <w:sym w:font="Wingdings" w:char="00FE"/>
      </w:r>
      <w:r>
        <w:rPr>
          <w:rFonts w:hint="eastAsia"/>
          <w:b/>
          <w:lang w:val="en-US" w:eastAsia="zh-CN"/>
        </w:rPr>
        <w:t>2</w:t>
      </w:r>
      <w:r>
        <w:rPr>
          <w:rFonts w:hint="eastAsia"/>
          <w:b/>
        </w:rPr>
        <w:t>、</w:t>
      </w:r>
      <w:bookmarkStart w:id="37" w:name="_Hlk76855768"/>
      <w:bookmarkStart w:id="38" w:name="_Hlk72594729"/>
      <w:r>
        <w:rPr>
          <w:rFonts w:hint="eastAsia"/>
          <w:b/>
        </w:rPr>
        <w:t>本项目为代理服务项目，将向中标</w:t>
      </w:r>
      <w:r>
        <w:rPr>
          <w:rFonts w:hint="eastAsia" w:eastAsia="宋体"/>
          <w:b/>
          <w:lang w:eastAsia="zh-CN"/>
        </w:rPr>
        <w:t>（</w:t>
      </w:r>
      <w:r>
        <w:rPr>
          <w:rFonts w:hint="eastAsia" w:ascii="Times New Roman" w:eastAsia="宋体"/>
          <w:b/>
          <w:lang w:val="en-US" w:eastAsia="zh-CN"/>
        </w:rPr>
        <w:t>成交</w:t>
      </w:r>
      <w:r>
        <w:rPr>
          <w:rFonts w:hint="eastAsia" w:eastAsia="宋体"/>
          <w:b/>
          <w:lang w:eastAsia="zh-CN"/>
        </w:rPr>
        <w:t>）</w:t>
      </w:r>
      <w:r>
        <w:rPr>
          <w:rFonts w:hint="eastAsia"/>
          <w:b/>
        </w:rPr>
        <w:t>供应商收取代理服务费。</w:t>
      </w:r>
    </w:p>
    <w:bookmarkEnd w:id="37"/>
    <w:bookmarkEnd w:id="38"/>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eastAsia="zh-CN"/>
        </w:rPr>
        <w:t>政府采购业务分公司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本项目类型为货物采购：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eastAsia="宋体"/>
          <w:lang w:eastAsia="zh-CN"/>
        </w:rPr>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w:t>
      </w:r>
      <w:r>
        <w:rPr>
          <w:rFonts w:hint="eastAsia" w:eastAsia="宋体"/>
          <w:lang w:eastAsia="zh-CN"/>
        </w:rPr>
        <w:t>：</w:t>
      </w:r>
    </w:p>
    <w:p>
      <w:pPr>
        <w:ind w:firstLine="422" w:firstLineChars="200"/>
        <w:rPr>
          <w:rFonts w:ascii="宋体" w:hAnsi="宋体" w:eastAsia="宋体" w:cs="宋体"/>
          <w:bCs/>
          <w:color w:val="FF0000"/>
          <w:szCs w:val="21"/>
          <w:highlight w:val="none"/>
        </w:rPr>
      </w:pPr>
      <w:r>
        <w:rPr>
          <w:rFonts w:hint="eastAsia" w:ascii="宋体" w:hAnsi="宋体" w:eastAsia="宋体" w:cs="宋体"/>
          <w:b/>
          <w:bCs/>
          <w:color w:val="FF0000"/>
          <w:szCs w:val="21"/>
          <w:highlight w:val="none"/>
        </w:rPr>
        <w:t>基本户信息：</w:t>
      </w:r>
    </w:p>
    <w:p>
      <w:pPr>
        <w:ind w:firstLine="420" w:firstLineChars="200"/>
        <w:rPr>
          <w:rFonts w:ascii="宋体" w:hAnsi="宋体" w:eastAsia="宋体" w:cs="宋体"/>
          <w:color w:val="FF0000"/>
          <w:szCs w:val="21"/>
          <w:highlight w:val="none"/>
        </w:rPr>
      </w:pPr>
      <w:r>
        <w:rPr>
          <w:rFonts w:hint="eastAsia" w:ascii="宋体" w:hAnsi="宋体" w:eastAsia="宋体" w:cs="宋体"/>
          <w:color w:val="FF0000"/>
          <w:szCs w:val="21"/>
          <w:highlight w:val="none"/>
        </w:rPr>
        <w:t>账户名：深圳交易集团有限公司</w:t>
      </w:r>
    </w:p>
    <w:p>
      <w:pPr>
        <w:ind w:firstLine="420" w:firstLineChars="200"/>
        <w:rPr>
          <w:rFonts w:ascii="宋体" w:hAnsi="宋体" w:eastAsia="宋体" w:cs="宋体"/>
          <w:color w:val="FF0000"/>
          <w:szCs w:val="21"/>
          <w:highlight w:val="none"/>
        </w:rPr>
      </w:pPr>
      <w:r>
        <w:rPr>
          <w:rFonts w:hint="eastAsia" w:ascii="宋体" w:hAnsi="宋体" w:eastAsia="宋体" w:cs="宋体"/>
          <w:color w:val="FF0000"/>
          <w:szCs w:val="21"/>
          <w:highlight w:val="none"/>
        </w:rPr>
        <w:t>账号：632765883</w:t>
      </w:r>
    </w:p>
    <w:p>
      <w:pPr>
        <w:ind w:firstLine="420" w:firstLineChars="200"/>
        <w:rPr>
          <w:rFonts w:ascii="宋体" w:hAnsi="宋体" w:eastAsia="宋体" w:cs="宋体"/>
          <w:color w:val="FF0000"/>
          <w:szCs w:val="21"/>
          <w:highlight w:val="none"/>
        </w:rPr>
      </w:pPr>
      <w:r>
        <w:rPr>
          <w:rFonts w:hint="eastAsia" w:ascii="宋体" w:hAnsi="宋体" w:eastAsia="宋体" w:cs="宋体"/>
          <w:color w:val="FF0000"/>
          <w:szCs w:val="21"/>
          <w:highlight w:val="none"/>
        </w:rPr>
        <w:t>开户行：民生银行深圳五洲支行</w:t>
      </w:r>
    </w:p>
    <w:p>
      <w:pPr>
        <w:ind w:firstLine="422" w:firstLineChars="200"/>
        <w:rPr>
          <w:rFonts w:ascii="宋体" w:hAnsi="宋体" w:eastAsia="宋体" w:cs="宋体"/>
          <w:bCs/>
          <w:color w:val="FF0000"/>
          <w:szCs w:val="21"/>
          <w:highlight w:val="none"/>
        </w:rPr>
      </w:pPr>
      <w:r>
        <w:rPr>
          <w:rFonts w:hint="eastAsia" w:ascii="宋体" w:hAnsi="宋体" w:eastAsia="宋体" w:cs="宋体"/>
          <w:b/>
          <w:bCs/>
          <w:color w:val="FF0000"/>
          <w:szCs w:val="21"/>
          <w:highlight w:val="none"/>
        </w:rPr>
        <w:t>转账备注：</w:t>
      </w:r>
    </w:p>
    <w:p>
      <w:pPr>
        <w:ind w:firstLine="420" w:firstLineChars="200"/>
        <w:rPr>
          <w:highlight w:val="none"/>
        </w:rPr>
      </w:pPr>
      <w:r>
        <w:rPr>
          <w:rFonts w:hint="eastAsia" w:ascii="宋体" w:hAnsi="宋体" w:eastAsia="宋体" w:cs="宋体"/>
          <w:bCs/>
          <w:color w:val="FF0000"/>
          <w:szCs w:val="21"/>
          <w:highlight w:val="none"/>
        </w:rPr>
        <w:t>项目编号+项目名称</w:t>
      </w:r>
    </w:p>
    <w:p>
      <w:pPr>
        <w:ind w:firstLine="422" w:firstLineChars="200"/>
        <w:rPr>
          <w:rFonts w:hint="eastAsia"/>
          <w:b/>
          <w:color w:val="FF0000"/>
          <w:highlight w:val="none"/>
        </w:rPr>
      </w:pPr>
      <w:r>
        <w:rPr>
          <w:rFonts w:hint="eastAsia" w:ascii="Times New Roman" w:eastAsia="宋体"/>
          <w:b/>
          <w:color w:val="FF0000"/>
          <w:highlight w:val="none"/>
          <w:lang w:val="en-US" w:eastAsia="zh-CN"/>
        </w:rPr>
        <w:t>注：</w:t>
      </w:r>
      <w:r>
        <w:rPr>
          <w:rFonts w:hint="eastAsia"/>
          <w:b/>
          <w:color w:val="FF0000"/>
          <w:highlight w:val="none"/>
        </w:rPr>
        <w:t>单一来源项目单独制定收费标准的，另行计算代理服务费。</w:t>
      </w:r>
    </w:p>
    <w:bookmarkEnd w:id="34"/>
    <w:p>
      <w:pPr>
        <w:pStyle w:val="4"/>
        <w:rPr>
          <w:rFonts w:hint="eastAsia"/>
        </w:rPr>
      </w:pPr>
    </w:p>
    <w:p>
      <w:pPr>
        <w:pStyle w:val="5"/>
        <w:rPr>
          <w:sz w:val="28"/>
          <w:szCs w:val="28"/>
        </w:rPr>
      </w:pPr>
      <w:r>
        <w:rPr>
          <w:rFonts w:hint="eastAsia"/>
          <w:sz w:val="28"/>
          <w:szCs w:val="28"/>
        </w:rPr>
        <w:t>第三章 用户需求书</w:t>
      </w:r>
    </w:p>
    <w:p>
      <w:pPr>
        <w:pStyle w:val="5"/>
        <w:spacing w:before="120" w:beforeLines="50" w:after="120" w:afterLines="50"/>
        <w:rPr>
          <w:szCs w:val="24"/>
        </w:rPr>
      </w:pPr>
      <w:r>
        <w:rPr>
          <w:rFonts w:hint="eastAsia"/>
          <w:szCs w:val="24"/>
        </w:rPr>
        <w:t>一、项目基本信息</w:t>
      </w:r>
    </w:p>
    <w:tbl>
      <w:tblPr>
        <w:tblStyle w:val="43"/>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5002"/>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Align w:val="center"/>
          </w:tcPr>
          <w:p>
            <w:pPr>
              <w:jc w:val="center"/>
              <w:rPr>
                <w:bCs/>
                <w:szCs w:val="21"/>
              </w:rPr>
            </w:pPr>
            <w:r>
              <w:rPr>
                <w:rFonts w:hint="eastAsia"/>
                <w:bCs/>
                <w:szCs w:val="21"/>
              </w:rPr>
              <w:t>序号</w:t>
            </w:r>
          </w:p>
        </w:tc>
        <w:tc>
          <w:tcPr>
            <w:tcW w:w="0" w:type="auto"/>
            <w:vAlign w:val="center"/>
          </w:tcPr>
          <w:p>
            <w:pPr>
              <w:jc w:val="center"/>
              <w:rPr>
                <w:bCs/>
                <w:szCs w:val="21"/>
              </w:rPr>
            </w:pPr>
            <w:r>
              <w:rPr>
                <w:rFonts w:hint="eastAsia"/>
                <w:bCs/>
                <w:szCs w:val="21"/>
              </w:rPr>
              <w:t>采购项目名称</w:t>
            </w:r>
          </w:p>
        </w:tc>
        <w:tc>
          <w:tcPr>
            <w:tcW w:w="0" w:type="auto"/>
            <w:vAlign w:val="center"/>
          </w:tcPr>
          <w:p>
            <w:pPr>
              <w:jc w:val="center"/>
              <w:rPr>
                <w:rFonts w:hint="eastAsia"/>
                <w:b/>
                <w:bCs/>
                <w:color w:val="FF0000"/>
                <w:szCs w:val="21"/>
                <w:lang w:val="en-US" w:eastAsia="zh-CN"/>
              </w:rPr>
            </w:pPr>
            <w:r>
              <w:rPr>
                <w:rFonts w:hint="eastAsia"/>
                <w:b/>
                <w:bCs/>
                <w:color w:val="FF0000"/>
                <w:szCs w:val="21"/>
              </w:rPr>
              <w:t>预算金额（元）</w:t>
            </w:r>
          </w:p>
        </w:tc>
        <w:tc>
          <w:tcPr>
            <w:tcW w:w="0" w:type="auto"/>
            <w:vAlign w:val="center"/>
          </w:tcPr>
          <w:p>
            <w:pPr>
              <w:jc w:val="center"/>
              <w:rPr>
                <w:rFonts w:hint="eastAsia"/>
                <w:b/>
                <w:bCs/>
                <w:color w:val="FF0000"/>
                <w:szCs w:val="21"/>
                <w:lang w:val="en-US" w:eastAsia="zh-CN"/>
              </w:rPr>
            </w:pPr>
            <w:r>
              <w:rPr>
                <w:rFonts w:hint="eastAsia"/>
                <w:b/>
                <w:bCs/>
                <w:color w:val="FF0000"/>
                <w:szCs w:val="21"/>
              </w:rPr>
              <w:t>支付上限（元）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pPr>
              <w:jc w:val="center"/>
              <w:rPr>
                <w:bCs/>
                <w:color w:val="FF0000"/>
                <w:szCs w:val="21"/>
              </w:rPr>
            </w:pPr>
            <w:r>
              <w:rPr>
                <w:rFonts w:hint="eastAsia"/>
                <w:bCs/>
                <w:color w:val="FF0000"/>
                <w:szCs w:val="21"/>
              </w:rPr>
              <w:t>1</w:t>
            </w:r>
          </w:p>
        </w:tc>
        <w:tc>
          <w:tcPr>
            <w:tcW w:w="0" w:type="auto"/>
            <w:vAlign w:val="center"/>
          </w:tcPr>
          <w:p>
            <w:pPr>
              <w:jc w:val="center"/>
              <w:rPr>
                <w:b/>
                <w:bCs/>
                <w:color w:val="FF0000"/>
                <w:szCs w:val="21"/>
              </w:rPr>
            </w:pPr>
            <w:r>
              <w:rPr>
                <w:rFonts w:hint="eastAsia"/>
                <w:b/>
                <w:bCs/>
                <w:color w:val="FF0000"/>
                <w:szCs w:val="21"/>
              </w:rPr>
              <w:t>深圳市人民医院</w:t>
            </w:r>
            <w:r>
              <w:rPr>
                <w:rFonts w:hint="eastAsia"/>
                <w:b/>
                <w:bCs/>
                <w:color w:val="FF0000"/>
                <w:szCs w:val="21"/>
                <w:lang w:eastAsia="zh-CN"/>
              </w:rPr>
              <w:t>（</w:t>
            </w:r>
            <w:r>
              <w:rPr>
                <w:rFonts w:hint="eastAsia"/>
                <w:b/>
                <w:bCs/>
                <w:color w:val="FF0000"/>
                <w:szCs w:val="21"/>
              </w:rPr>
              <w:t>深圳市呼吸疾病研究所</w:t>
            </w:r>
            <w:r>
              <w:rPr>
                <w:rFonts w:hint="eastAsia"/>
                <w:b/>
                <w:bCs/>
                <w:color w:val="FF0000"/>
                <w:szCs w:val="21"/>
                <w:lang w:eastAsia="zh-CN"/>
              </w:rPr>
              <w:t>）</w:t>
            </w:r>
            <w:r>
              <w:rPr>
                <w:rFonts w:hint="eastAsia"/>
                <w:b/>
                <w:bCs/>
                <w:color w:val="FF0000"/>
                <w:szCs w:val="21"/>
              </w:rPr>
              <w:t>达芬奇手术机器人配套耗材项目</w:t>
            </w:r>
          </w:p>
        </w:tc>
        <w:tc>
          <w:tcPr>
            <w:tcW w:w="0" w:type="auto"/>
            <w:vAlign w:val="center"/>
          </w:tcPr>
          <w:p>
            <w:pPr>
              <w:jc w:val="center"/>
              <w:rPr>
                <w:rFonts w:hint="eastAsia"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FF0000"/>
                <w:szCs w:val="21"/>
                <w:lang w:val="en-US" w:eastAsia="zh-CN"/>
              </w:rPr>
              <w:t>15004246</w:t>
            </w:r>
          </w:p>
        </w:tc>
        <w:tc>
          <w:tcPr>
            <w:tcW w:w="0" w:type="auto"/>
            <w:vAlign w:val="center"/>
          </w:tcPr>
          <w:p>
            <w:pPr>
              <w:jc w:val="center"/>
              <w:rPr>
                <w:rFonts w:hint="eastAsia" w:ascii="Times New Roman" w:hAnsi="Times New Roman" w:eastAsia="宋体" w:cs="Times New Roman"/>
                <w:bCs/>
                <w:color w:val="FF0000"/>
                <w:szCs w:val="21"/>
                <w:lang w:val="en-US" w:eastAsia="zh-CN"/>
              </w:rPr>
            </w:pPr>
            <w:r>
              <w:rPr>
                <w:rFonts w:hint="eastAsia" w:ascii="Times New Roman" w:hAnsi="Times New Roman" w:eastAsia="宋体" w:cs="Times New Roman"/>
                <w:bCs/>
                <w:color w:val="FF0000"/>
                <w:szCs w:val="21"/>
                <w:lang w:val="en-US" w:eastAsia="zh-CN"/>
              </w:rPr>
              <w:t>15004246</w:t>
            </w:r>
          </w:p>
        </w:tc>
      </w:tr>
    </w:tbl>
    <w:p>
      <w:pPr>
        <w:rPr>
          <w:rFonts w:ascii="宋体" w:hAnsi="宋体"/>
          <w:b/>
          <w:color w:val="FF0000"/>
          <w:szCs w:val="21"/>
        </w:rPr>
      </w:pPr>
    </w:p>
    <w:p>
      <w:pPr>
        <w:rPr>
          <w:rFonts w:ascii="宋体" w:hAnsi="宋体"/>
          <w:b/>
          <w:color w:val="FF0000"/>
          <w:szCs w:val="21"/>
        </w:rPr>
      </w:pPr>
    </w:p>
    <w:p>
      <w:pPr>
        <w:pStyle w:val="5"/>
        <w:spacing w:before="120" w:beforeLines="50" w:after="120" w:afterLines="50"/>
        <w:rPr>
          <w:szCs w:val="24"/>
        </w:rPr>
      </w:pPr>
      <w:bookmarkStart w:id="39" w:name="_Hlk72258617"/>
      <w:r>
        <w:rPr>
          <w:rFonts w:hint="eastAsia"/>
          <w:szCs w:val="24"/>
        </w:rPr>
        <w:t>二、</w:t>
      </w:r>
      <w:bookmarkStart w:id="40" w:name="_Hlk72073432"/>
      <w:r>
        <w:rPr>
          <w:rFonts w:hint="eastAsia"/>
          <w:szCs w:val="24"/>
        </w:rPr>
        <w:t>货物需求明细</w:t>
      </w:r>
      <w:bookmarkEnd w:id="40"/>
    </w:p>
    <w:tbl>
      <w:tblPr>
        <w:tblStyle w:val="43"/>
        <w:tblpPr w:leftFromText="180" w:rightFromText="180" w:vertAnchor="text" w:horzAnchor="margin" w:tblpX="251"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621"/>
        <w:gridCol w:w="679"/>
        <w:gridCol w:w="703"/>
        <w:gridCol w:w="1105"/>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序号</w:t>
            </w:r>
          </w:p>
        </w:tc>
        <w:tc>
          <w:tcPr>
            <w:tcW w:w="2621" w:type="dxa"/>
            <w:vAlign w:val="center"/>
          </w:tcPr>
          <w:p>
            <w:pPr>
              <w:jc w:val="center"/>
              <w:rPr>
                <w:bCs/>
                <w:szCs w:val="21"/>
              </w:rPr>
            </w:pPr>
            <w:r>
              <w:rPr>
                <w:rFonts w:hint="eastAsia"/>
                <w:bCs/>
                <w:szCs w:val="21"/>
              </w:rPr>
              <w:t>货物名称（标的名称）</w:t>
            </w:r>
          </w:p>
        </w:tc>
        <w:tc>
          <w:tcPr>
            <w:tcW w:w="679" w:type="dxa"/>
            <w:vAlign w:val="center"/>
          </w:tcPr>
          <w:p>
            <w:pPr>
              <w:jc w:val="center"/>
              <w:rPr>
                <w:bCs/>
                <w:szCs w:val="21"/>
              </w:rPr>
            </w:pPr>
            <w:r>
              <w:rPr>
                <w:rFonts w:hint="eastAsia"/>
                <w:bCs/>
                <w:szCs w:val="21"/>
              </w:rPr>
              <w:t>数量</w:t>
            </w:r>
          </w:p>
        </w:tc>
        <w:tc>
          <w:tcPr>
            <w:tcW w:w="703" w:type="dxa"/>
            <w:vAlign w:val="center"/>
          </w:tcPr>
          <w:p>
            <w:pPr>
              <w:jc w:val="center"/>
              <w:rPr>
                <w:bCs/>
                <w:szCs w:val="21"/>
              </w:rPr>
            </w:pPr>
            <w:r>
              <w:rPr>
                <w:rFonts w:hint="eastAsia"/>
                <w:bCs/>
                <w:szCs w:val="21"/>
              </w:rPr>
              <w:t>单位</w:t>
            </w:r>
          </w:p>
        </w:tc>
        <w:tc>
          <w:tcPr>
            <w:tcW w:w="1105" w:type="dxa"/>
            <w:vAlign w:val="center"/>
          </w:tcPr>
          <w:p>
            <w:pPr>
              <w:jc w:val="center"/>
              <w:rPr>
                <w:b/>
                <w:bCs/>
                <w:color w:val="FF0000"/>
                <w:szCs w:val="21"/>
              </w:rPr>
            </w:pPr>
            <w:r>
              <w:rPr>
                <w:rFonts w:hint="eastAsia"/>
                <w:b/>
                <w:bCs/>
                <w:color w:val="FF0000"/>
                <w:szCs w:val="21"/>
              </w:rPr>
              <w:t>备注</w:t>
            </w:r>
          </w:p>
        </w:tc>
        <w:tc>
          <w:tcPr>
            <w:tcW w:w="2211" w:type="dxa"/>
            <w:vAlign w:val="center"/>
          </w:tcPr>
          <w:p>
            <w:pPr>
              <w:jc w:val="center"/>
              <w:rPr>
                <w:rFonts w:hint="default" w:eastAsia="宋体"/>
                <w:b/>
                <w:bCs/>
                <w:color w:val="FF0000"/>
                <w:szCs w:val="21"/>
                <w:lang w:val="en-US" w:eastAsia="zh-CN"/>
              </w:rPr>
            </w:pPr>
            <w:bookmarkStart w:id="94" w:name="_GoBack"/>
            <w:bookmarkEnd w:id="94"/>
            <w:r>
              <w:rPr>
                <w:rFonts w:hint="default" w:eastAsia="宋体"/>
                <w:b/>
                <w:bCs/>
                <w:color w:val="FF0000"/>
                <w:szCs w:val="21"/>
                <w:lang w:val="en-US" w:eastAsia="zh-CN"/>
              </w:rPr>
              <w:t>最高单价限价（元）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1</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ACE手术弯剪</w:t>
            </w:r>
          </w:p>
        </w:tc>
        <w:tc>
          <w:tcPr>
            <w:tcW w:w="679" w:type="dxa"/>
            <w:vMerge w:val="restart"/>
            <w:vAlign w:val="center"/>
          </w:tcPr>
          <w:p>
            <w:pPr>
              <w:jc w:val="center"/>
              <w:rPr>
                <w:bCs/>
                <w:szCs w:val="21"/>
              </w:rPr>
            </w:pPr>
            <w:r>
              <w:rPr>
                <w:rFonts w:hint="eastAsia"/>
                <w:bCs/>
                <w:szCs w:val="21"/>
              </w:rPr>
              <w:t>1</w:t>
            </w:r>
          </w:p>
        </w:tc>
        <w:tc>
          <w:tcPr>
            <w:tcW w:w="703" w:type="dxa"/>
            <w:vMerge w:val="restart"/>
            <w:vAlign w:val="center"/>
          </w:tcPr>
          <w:p>
            <w:pPr>
              <w:jc w:val="center"/>
              <w:rPr>
                <w:bCs/>
                <w:szCs w:val="21"/>
              </w:rPr>
            </w:pPr>
            <w:r>
              <w:rPr>
                <w:rFonts w:hint="eastAsia"/>
                <w:bCs/>
                <w:szCs w:val="21"/>
                <w:lang w:val="en-US" w:eastAsia="zh-CN"/>
              </w:rPr>
              <w:t>批</w:t>
            </w:r>
          </w:p>
        </w:tc>
        <w:tc>
          <w:tcPr>
            <w:tcW w:w="1105" w:type="dxa"/>
            <w:vAlign w:val="center"/>
          </w:tcPr>
          <w:p>
            <w:pPr>
              <w:jc w:val="center"/>
              <w:rPr>
                <w:b/>
                <w:bCs/>
                <w:color w:val="FF0000"/>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8922.16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2</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器械臂无菌套</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color w:val="FF0000"/>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761.65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3</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5-8mm套管密封件</w:t>
            </w:r>
          </w:p>
        </w:tc>
        <w:tc>
          <w:tcPr>
            <w:tcW w:w="679" w:type="dxa"/>
            <w:vMerge w:val="continue"/>
            <w:vAlign w:val="center"/>
          </w:tcPr>
          <w:p>
            <w:pPr>
              <w:jc w:val="center"/>
              <w:rPr>
                <w:bCs/>
                <w:szCs w:val="21"/>
              </w:rPr>
            </w:pPr>
          </w:p>
        </w:tc>
        <w:tc>
          <w:tcPr>
            <w:tcW w:w="703" w:type="dxa"/>
            <w:vMerge w:val="continue"/>
            <w:vAlign w:val="center"/>
          </w:tcPr>
          <w:p>
            <w:pPr>
              <w:jc w:val="center"/>
              <w:rPr>
                <w:rFonts w:hint="eastAsia" w:eastAsia="宋体"/>
                <w:bCs/>
                <w:szCs w:val="21"/>
                <w:lang w:eastAsia="zh-CN"/>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4</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尖端盖附件（单级弯剪）</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color w:val="FF0000"/>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233.7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5</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8mm无刃透明闭孔器（短）</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color w:val="FF0000"/>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6</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CADIERE镊</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34379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7</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有孔双极镊</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44201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8</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MARYLAND双极镊</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44201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42" w:type="dxa"/>
            <w:vAlign w:val="center"/>
          </w:tcPr>
          <w:p>
            <w:pPr>
              <w:jc w:val="center"/>
              <w:rPr>
                <w:bCs/>
                <w:szCs w:val="21"/>
              </w:rPr>
            </w:pPr>
            <w:r>
              <w:rPr>
                <w:rFonts w:hint="eastAsia"/>
                <w:bCs/>
                <w:szCs w:val="21"/>
              </w:rPr>
              <w:t>9</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单极手术弯剪</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52387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42" w:type="dxa"/>
            <w:vAlign w:val="center"/>
          </w:tcPr>
          <w:p>
            <w:pPr>
              <w:jc w:val="center"/>
              <w:rPr>
                <w:bCs/>
                <w:szCs w:val="21"/>
              </w:rPr>
            </w:pPr>
            <w:r>
              <w:rPr>
                <w:bCs/>
                <w:szCs w:val="21"/>
              </w:rPr>
              <w:t>10</w:t>
            </w:r>
          </w:p>
        </w:tc>
        <w:tc>
          <w:tcPr>
            <w:tcW w:w="2621" w:type="dxa"/>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MEGATM持针钳</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36016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42" w:type="dxa"/>
            <w:vAlign w:val="center"/>
          </w:tcPr>
          <w:p>
            <w:pPr>
              <w:jc w:val="center"/>
              <w:rPr>
                <w:rFonts w:hint="default" w:eastAsia="宋体"/>
                <w:bCs/>
                <w:szCs w:val="21"/>
                <w:lang w:val="en-US" w:eastAsia="zh-CN"/>
              </w:rPr>
            </w:pPr>
            <w:r>
              <w:rPr>
                <w:rFonts w:hint="eastAsia"/>
                <w:bCs/>
                <w:szCs w:val="21"/>
                <w:lang w:val="en-US" w:eastAsia="zh-CN"/>
              </w:rPr>
              <w:t>11</w:t>
            </w:r>
          </w:p>
        </w:tc>
        <w:tc>
          <w:tcPr>
            <w:tcW w:w="2621" w:type="dxa"/>
            <w:vAlign w:val="center"/>
          </w:tcPr>
          <w:p>
            <w:pPr>
              <w:keepNext w:val="0"/>
              <w:keepLines w:val="0"/>
              <w:widowControl/>
              <w:suppressLineNumbers w:val="0"/>
              <w:jc w:val="center"/>
              <w:textAlignment w:val="center"/>
              <w:rPr>
                <w:rFonts w:hint="eastAsia"/>
              </w:rPr>
            </w:pPr>
            <w:r>
              <w:rPr>
                <w:rFonts w:ascii="宋体" w:hAnsi="宋体" w:eastAsia="宋体" w:cs="宋体"/>
                <w:i w:val="0"/>
                <w:iCs w:val="0"/>
                <w:color w:val="000000"/>
                <w:kern w:val="0"/>
                <w:sz w:val="22"/>
                <w:szCs w:val="22"/>
                <w:u w:val="none"/>
                <w:lang w:val="en-US" w:eastAsia="zh-CN" w:bidi="ar"/>
              </w:rPr>
              <w:t>大号持针钳</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36016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42" w:type="dxa"/>
            <w:vAlign w:val="center"/>
          </w:tcPr>
          <w:p>
            <w:pPr>
              <w:jc w:val="center"/>
              <w:rPr>
                <w:rFonts w:hint="default" w:eastAsia="宋体"/>
                <w:bCs/>
                <w:szCs w:val="21"/>
                <w:lang w:val="en-US" w:eastAsia="zh-CN"/>
              </w:rPr>
            </w:pPr>
            <w:r>
              <w:rPr>
                <w:rFonts w:hint="eastAsia"/>
                <w:bCs/>
                <w:szCs w:val="21"/>
                <w:lang w:val="en-US" w:eastAsia="zh-CN"/>
              </w:rPr>
              <w:t>12</w:t>
            </w:r>
          </w:p>
        </w:tc>
        <w:tc>
          <w:tcPr>
            <w:tcW w:w="2621" w:type="dxa"/>
            <w:vAlign w:val="center"/>
          </w:tcPr>
          <w:p>
            <w:pPr>
              <w:keepNext w:val="0"/>
              <w:keepLines w:val="0"/>
              <w:widowControl/>
              <w:suppressLineNumbers w:val="0"/>
              <w:jc w:val="center"/>
              <w:textAlignment w:val="center"/>
              <w:rPr>
                <w:rFonts w:hint="eastAsia"/>
              </w:rPr>
            </w:pPr>
            <w:r>
              <w:rPr>
                <w:rFonts w:ascii="宋体" w:hAnsi="宋体" w:eastAsia="宋体" w:cs="宋体"/>
                <w:i w:val="0"/>
                <w:iCs w:val="0"/>
                <w:color w:val="000000"/>
                <w:kern w:val="0"/>
                <w:sz w:val="22"/>
                <w:szCs w:val="22"/>
                <w:u w:val="none"/>
                <w:lang w:val="en-US" w:eastAsia="zh-CN" w:bidi="ar"/>
              </w:rPr>
              <w:t>永久电钩</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32742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42" w:type="dxa"/>
            <w:vAlign w:val="center"/>
          </w:tcPr>
          <w:p>
            <w:pPr>
              <w:jc w:val="center"/>
              <w:rPr>
                <w:rFonts w:hint="eastAsia" w:eastAsia="宋体"/>
                <w:bCs/>
                <w:szCs w:val="21"/>
                <w:lang w:val="en-US" w:eastAsia="zh-CN"/>
              </w:rPr>
            </w:pPr>
            <w:r>
              <w:rPr>
                <w:rFonts w:hint="eastAsia"/>
                <w:bCs/>
                <w:szCs w:val="21"/>
                <w:lang w:val="en-US" w:eastAsia="zh-CN"/>
              </w:rPr>
              <w:t>13</w:t>
            </w:r>
          </w:p>
        </w:tc>
        <w:tc>
          <w:tcPr>
            <w:tcW w:w="2621" w:type="dxa"/>
            <w:vAlign w:val="center"/>
          </w:tcPr>
          <w:p>
            <w:pPr>
              <w:keepNext w:val="0"/>
              <w:keepLines w:val="0"/>
              <w:widowControl/>
              <w:suppressLineNumbers w:val="0"/>
              <w:jc w:val="center"/>
              <w:textAlignment w:val="center"/>
              <w:rPr>
                <w:rFonts w:hint="eastAsia"/>
              </w:rPr>
            </w:pPr>
            <w:r>
              <w:rPr>
                <w:rFonts w:ascii="宋体" w:hAnsi="宋体" w:eastAsia="宋体" w:cs="宋体"/>
                <w:i w:val="0"/>
                <w:iCs w:val="0"/>
                <w:color w:val="000000"/>
                <w:kern w:val="0"/>
                <w:sz w:val="22"/>
                <w:szCs w:val="22"/>
                <w:u w:val="none"/>
                <w:lang w:val="en-US" w:eastAsia="zh-CN" w:bidi="ar"/>
              </w:rPr>
              <w:t>8mm钝型闭孔器</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42" w:type="dxa"/>
            <w:vAlign w:val="center"/>
          </w:tcPr>
          <w:p>
            <w:pPr>
              <w:jc w:val="center"/>
              <w:rPr>
                <w:rFonts w:hint="default" w:eastAsia="宋体"/>
                <w:bCs/>
                <w:szCs w:val="21"/>
                <w:lang w:val="en-US" w:eastAsia="zh-CN"/>
              </w:rPr>
            </w:pPr>
            <w:r>
              <w:rPr>
                <w:rFonts w:hint="eastAsia"/>
                <w:bCs/>
                <w:szCs w:val="21"/>
                <w:lang w:val="en-US" w:eastAsia="zh-CN"/>
              </w:rPr>
              <w:t>14</w:t>
            </w:r>
          </w:p>
        </w:tc>
        <w:tc>
          <w:tcPr>
            <w:tcW w:w="2621" w:type="dxa"/>
            <w:vAlign w:val="center"/>
          </w:tcPr>
          <w:p>
            <w:pPr>
              <w:keepNext w:val="0"/>
              <w:keepLines w:val="0"/>
              <w:widowControl/>
              <w:suppressLineNumbers w:val="0"/>
              <w:jc w:val="center"/>
              <w:textAlignment w:val="center"/>
              <w:rPr>
                <w:rFonts w:hint="eastAsia"/>
              </w:rPr>
            </w:pPr>
            <w:r>
              <w:rPr>
                <w:rFonts w:ascii="宋体" w:hAnsi="宋体" w:eastAsia="宋体" w:cs="宋体"/>
                <w:i w:val="0"/>
                <w:iCs w:val="0"/>
                <w:color w:val="000000"/>
                <w:kern w:val="0"/>
                <w:sz w:val="22"/>
                <w:szCs w:val="22"/>
                <w:u w:val="none"/>
                <w:lang w:val="en-US" w:eastAsia="zh-CN" w:bidi="ar"/>
              </w:rPr>
              <w:t>8mm器械套管</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42" w:type="dxa"/>
            <w:vAlign w:val="center"/>
          </w:tcPr>
          <w:p>
            <w:pPr>
              <w:jc w:val="center"/>
              <w:rPr>
                <w:rFonts w:hint="default" w:eastAsia="宋体"/>
                <w:bCs/>
                <w:szCs w:val="21"/>
                <w:lang w:val="en-US" w:eastAsia="zh-CN"/>
              </w:rPr>
            </w:pPr>
            <w:r>
              <w:rPr>
                <w:rFonts w:hint="eastAsia"/>
                <w:bCs/>
                <w:szCs w:val="21"/>
                <w:lang w:val="en-US" w:eastAsia="zh-CN"/>
              </w:rPr>
              <w:t>15</w:t>
            </w:r>
          </w:p>
        </w:tc>
        <w:tc>
          <w:tcPr>
            <w:tcW w:w="2621" w:type="dxa"/>
            <w:vAlign w:val="center"/>
          </w:tcPr>
          <w:p>
            <w:pPr>
              <w:keepNext w:val="0"/>
              <w:keepLines w:val="0"/>
              <w:widowControl/>
              <w:suppressLineNumbers w:val="0"/>
              <w:jc w:val="center"/>
              <w:textAlignment w:val="center"/>
              <w:rPr>
                <w:rFonts w:hint="eastAsia"/>
              </w:rPr>
            </w:pPr>
            <w:r>
              <w:rPr>
                <w:rFonts w:ascii="宋体" w:hAnsi="宋体" w:eastAsia="宋体" w:cs="宋体"/>
                <w:i w:val="0"/>
                <w:iCs w:val="0"/>
                <w:color w:val="000000"/>
                <w:kern w:val="0"/>
                <w:sz w:val="22"/>
                <w:szCs w:val="22"/>
                <w:u w:val="none"/>
                <w:lang w:val="en-US" w:eastAsia="zh-CN" w:bidi="ar"/>
              </w:rPr>
              <w:t>单极高频电缆</w:t>
            </w:r>
          </w:p>
        </w:tc>
        <w:tc>
          <w:tcPr>
            <w:tcW w:w="679" w:type="dxa"/>
            <w:vMerge w:val="continue"/>
            <w:vAlign w:val="center"/>
          </w:tcPr>
          <w:p>
            <w:pPr>
              <w:jc w:val="center"/>
              <w:rPr>
                <w:bCs/>
                <w:szCs w:val="21"/>
              </w:rPr>
            </w:pPr>
          </w:p>
        </w:tc>
        <w:tc>
          <w:tcPr>
            <w:tcW w:w="703" w:type="dxa"/>
            <w:vMerge w:val="continue"/>
            <w:vAlign w:val="center"/>
          </w:tcPr>
          <w:p>
            <w:pPr>
              <w:jc w:val="center"/>
              <w:rPr>
                <w:bCs/>
                <w:szCs w:val="21"/>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4419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42" w:type="dxa"/>
            <w:vAlign w:val="center"/>
          </w:tcPr>
          <w:p>
            <w:pPr>
              <w:jc w:val="center"/>
              <w:rPr>
                <w:rFonts w:hint="default"/>
                <w:bCs/>
                <w:szCs w:val="21"/>
                <w:lang w:val="en-US" w:eastAsia="zh-CN"/>
              </w:rPr>
            </w:pPr>
            <w:r>
              <w:rPr>
                <w:rFonts w:hint="eastAsia"/>
                <w:bCs/>
                <w:szCs w:val="21"/>
                <w:lang w:val="en-US" w:eastAsia="zh-CN"/>
              </w:rPr>
              <w:t>16</w:t>
            </w:r>
          </w:p>
        </w:tc>
        <w:tc>
          <w:tcPr>
            <w:tcW w:w="2621" w:type="dxa"/>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双极高频电缆</w:t>
            </w:r>
          </w:p>
        </w:tc>
        <w:tc>
          <w:tcPr>
            <w:tcW w:w="679" w:type="dxa"/>
            <w:vMerge w:val="continue"/>
            <w:vAlign w:val="center"/>
          </w:tcPr>
          <w:p>
            <w:pPr>
              <w:jc w:val="center"/>
              <w:rPr>
                <w:rFonts w:hint="eastAsia"/>
                <w:bCs/>
                <w:szCs w:val="21"/>
              </w:rPr>
            </w:pPr>
          </w:p>
        </w:tc>
        <w:tc>
          <w:tcPr>
            <w:tcW w:w="703" w:type="dxa"/>
            <w:vMerge w:val="continue"/>
            <w:vAlign w:val="center"/>
          </w:tcPr>
          <w:p>
            <w:pPr>
              <w:jc w:val="center"/>
              <w:rPr>
                <w:rFonts w:hint="eastAsia"/>
                <w:bCs/>
                <w:szCs w:val="21"/>
                <w:lang w:val="en-US" w:eastAsia="zh-CN"/>
              </w:rPr>
            </w:pPr>
          </w:p>
        </w:tc>
        <w:tc>
          <w:tcPr>
            <w:tcW w:w="1105" w:type="dxa"/>
            <w:vAlign w:val="center"/>
          </w:tcPr>
          <w:p>
            <w:pPr>
              <w:jc w:val="center"/>
              <w:rPr>
                <w:b/>
                <w:bCs/>
                <w:szCs w:val="21"/>
              </w:rPr>
            </w:pPr>
            <w:r>
              <w:rPr>
                <w:rFonts w:hint="eastAsia"/>
                <w:b/>
                <w:bCs/>
                <w:color w:val="FF0000"/>
                <w:szCs w:val="21"/>
              </w:rPr>
              <w:t>接受进口</w:t>
            </w:r>
          </w:p>
        </w:tc>
        <w:tc>
          <w:tcPr>
            <w:tcW w:w="2211" w:type="dxa"/>
            <w:vAlign w:val="center"/>
          </w:tcPr>
          <w:p>
            <w:pPr>
              <w:keepNext w:val="0"/>
              <w:keepLines w:val="0"/>
              <w:widowControl/>
              <w:suppressLineNumbers w:val="0"/>
              <w:jc w:val="center"/>
              <w:textAlignment w:val="center"/>
              <w:rPr>
                <w:rFonts w:hint="eastAsia"/>
                <w:b/>
                <w:bCs/>
                <w:color w:val="FF0000"/>
                <w:szCs w:val="21"/>
              </w:rPr>
            </w:pPr>
            <w:r>
              <w:rPr>
                <w:rFonts w:ascii="宋体" w:hAnsi="宋体" w:eastAsia="宋体" w:cs="宋体"/>
                <w:i w:val="0"/>
                <w:iCs w:val="0"/>
                <w:color w:val="000000"/>
                <w:kern w:val="0"/>
                <w:sz w:val="22"/>
                <w:szCs w:val="22"/>
                <w:highlight w:val="none"/>
                <w:u w:val="none"/>
                <w:lang w:val="en-US" w:eastAsia="zh-CN" w:bidi="ar"/>
              </w:rPr>
              <w:t>4419</w:t>
            </w:r>
          </w:p>
        </w:tc>
      </w:tr>
    </w:tbl>
    <w:p>
      <w:pPr>
        <w:ind w:firstLine="422" w:firstLineChars="200"/>
        <w:rPr>
          <w:rFonts w:ascii="宋体" w:hAnsi="宋体"/>
          <w:b/>
          <w:color w:val="FF0000"/>
          <w:szCs w:val="21"/>
        </w:rPr>
      </w:pPr>
      <w:r>
        <w:rPr>
          <w:rFonts w:hint="eastAsia" w:ascii="宋体" w:hAnsi="宋体"/>
          <w:b/>
          <w:color w:val="FF0000"/>
          <w:szCs w:val="21"/>
        </w:rPr>
        <w:t>备注：1.备注栏注明“拒绝进口”的产品不接受供应商选用进口产品参与</w:t>
      </w:r>
      <w:r>
        <w:rPr>
          <w:rFonts w:hint="eastAsia" w:ascii="宋体" w:hAnsi="宋体"/>
          <w:b/>
          <w:color w:val="FF0000"/>
          <w:szCs w:val="21"/>
          <w:lang w:val="en-US" w:eastAsia="zh-CN"/>
        </w:rPr>
        <w:t>谈判</w:t>
      </w:r>
      <w:r>
        <w:rPr>
          <w:rFonts w:hint="eastAsia" w:ascii="宋体" w:hAnsi="宋体"/>
          <w:b/>
          <w:color w:val="FF0000"/>
          <w:szCs w:val="21"/>
        </w:rPr>
        <w:t>；注明“接受进口”的产品允许供应商选用进口产品参与</w:t>
      </w:r>
      <w:r>
        <w:rPr>
          <w:rFonts w:hint="eastAsia" w:ascii="宋体" w:hAnsi="宋体"/>
          <w:b/>
          <w:color w:val="FF0000"/>
          <w:szCs w:val="21"/>
          <w:lang w:val="en-US" w:eastAsia="zh-CN"/>
        </w:rPr>
        <w:t>谈判</w:t>
      </w:r>
      <w:r>
        <w:rPr>
          <w:rFonts w:hint="eastAsia" w:ascii="宋体" w:hAnsi="宋体"/>
          <w:b/>
          <w:color w:val="FF0000"/>
          <w:szCs w:val="21"/>
        </w:rPr>
        <w:t xml:space="preserve">，但不排斥国内产品。 </w:t>
      </w:r>
    </w:p>
    <w:p>
      <w:pPr>
        <w:ind w:firstLine="422" w:firstLineChars="200"/>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bookmarkEnd w:id="39"/>
    <w:p>
      <w:pPr>
        <w:keepNext/>
        <w:keepLines/>
        <w:widowControl w:val="0"/>
        <w:adjustRightInd w:val="0"/>
        <w:spacing w:before="120" w:beforeLines="50" w:after="120" w:afterLines="50" w:line="240" w:lineRule="auto"/>
        <w:jc w:val="center"/>
        <w:textAlignment w:val="baseline"/>
        <w:outlineLvl w:val="1"/>
        <w:rPr>
          <w:rFonts w:hint="eastAsia" w:ascii="宋体" w:hAnsi="宋体" w:eastAsia="宋体" w:cs="Times New Roman"/>
          <w:b/>
          <w:bCs/>
          <w:kern w:val="0"/>
          <w:sz w:val="28"/>
          <w:szCs w:val="28"/>
          <w:lang w:val="en-US" w:eastAsia="zh-CN" w:bidi="ar-SA"/>
        </w:rPr>
      </w:pPr>
      <w:bookmarkStart w:id="41" w:name="_Toc128884461"/>
    </w:p>
    <w:p>
      <w:pPr>
        <w:pStyle w:val="18"/>
        <w:rPr>
          <w:rFonts w:hint="eastAsia"/>
          <w:lang w:val="en-US" w:eastAsia="zh-CN"/>
        </w:rPr>
      </w:pPr>
    </w:p>
    <w:p>
      <w:pPr>
        <w:keepNext/>
        <w:keepLines/>
        <w:widowControl w:val="0"/>
        <w:adjustRightInd w:val="0"/>
        <w:spacing w:before="120" w:beforeLines="50" w:after="120" w:afterLines="50" w:line="240" w:lineRule="auto"/>
        <w:jc w:val="center"/>
        <w:textAlignment w:val="baseline"/>
        <w:outlineLvl w:val="1"/>
        <w:rPr>
          <w:rFonts w:ascii="宋体" w:hAnsi="宋体" w:eastAsia="宋体" w:cs="Times New Roman"/>
          <w:b/>
          <w:bCs/>
          <w:kern w:val="0"/>
          <w:sz w:val="28"/>
          <w:szCs w:val="28"/>
          <w:lang w:val="en-US" w:eastAsia="zh-CN" w:bidi="ar-SA"/>
        </w:rPr>
      </w:pPr>
      <w:r>
        <w:rPr>
          <w:rFonts w:hint="eastAsia" w:ascii="宋体" w:hAnsi="宋体" w:eastAsia="宋体" w:cs="Times New Roman"/>
          <w:b/>
          <w:bCs/>
          <w:kern w:val="0"/>
          <w:sz w:val="28"/>
          <w:szCs w:val="28"/>
          <w:lang w:val="en-US" w:eastAsia="zh-CN" w:bidi="ar-SA"/>
        </w:rPr>
        <w:t>三、实质性条款</w:t>
      </w:r>
    </w:p>
    <w:tbl>
      <w:tblPr>
        <w:tblStyle w:val="4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pPr>
              <w:adjustRightInd w:val="0"/>
              <w:snapToGrid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7282" w:type="dxa"/>
            <w:vAlign w:val="center"/>
          </w:tcPr>
          <w:p>
            <w:pPr>
              <w:adjustRightInd w:val="0"/>
              <w:snapToGrid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 w:type="dxa"/>
            <w:vAlign w:val="center"/>
          </w:tcPr>
          <w:p>
            <w:pPr>
              <w:adjustRightInd w:val="0"/>
              <w:snapToGrid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7282" w:type="dxa"/>
            <w:vAlign w:val="center"/>
          </w:tcPr>
          <w:p>
            <w:pPr>
              <w:adjustRightInd w:val="0"/>
              <w:snapToGrid w:val="0"/>
              <w:spacing w:line="360" w:lineRule="auto"/>
              <w:jc w:val="center"/>
              <w:rPr>
                <w:rFonts w:ascii="Times New Roman" w:hAnsi="宋体" w:eastAsia="宋体" w:cs="Times New Roman"/>
                <w:kern w:val="0"/>
                <w:szCs w:val="21"/>
                <w:highlight w:val="yellow"/>
              </w:rPr>
            </w:pPr>
            <w:r>
              <w:rPr>
                <w:rFonts w:hint="eastAsia" w:ascii="宋体" w:hAnsi="宋体" w:eastAsia="宋体" w:cs="Times New Roman"/>
                <w:kern w:val="0"/>
                <w:szCs w:val="21"/>
                <w:highlight w:val="none"/>
              </w:rPr>
              <w:t>满足本项目标★的条款要求</w:t>
            </w:r>
          </w:p>
        </w:tc>
      </w:tr>
    </w:tbl>
    <w:p>
      <w:r>
        <w:rPr>
          <w:rFonts w:hint="eastAsia"/>
        </w:rPr>
        <w:t>注：上表所列内容为不可负偏离条款</w:t>
      </w:r>
      <w:bookmarkEnd w:id="41"/>
      <w:r>
        <w:rPr>
          <w:rFonts w:hint="eastAsia"/>
        </w:rPr>
        <w:t>，负偏离将视为未实质性满足谈判文件要求作应答无效处理。</w:t>
      </w:r>
    </w:p>
    <w:p>
      <w:pPr>
        <w:rPr>
          <w:b/>
          <w:szCs w:val="21"/>
        </w:rPr>
      </w:pPr>
    </w:p>
    <w:p>
      <w:pPr>
        <w:pStyle w:val="5"/>
        <w:spacing w:before="120" w:beforeLines="50" w:after="120" w:afterLines="50"/>
        <w:rPr>
          <w:sz w:val="28"/>
          <w:szCs w:val="28"/>
        </w:rPr>
      </w:pPr>
      <w:r>
        <w:rPr>
          <w:rFonts w:hint="eastAsia"/>
          <w:sz w:val="28"/>
          <w:szCs w:val="28"/>
        </w:rPr>
        <w:t>四、技术要求</w:t>
      </w:r>
    </w:p>
    <w:p>
      <w:pPr>
        <w:ind w:firstLine="422" w:firstLineChars="20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说明： 1、带“★”指标项为实质性条款，如出现负偏离，将被视为未实质性满足谈判文件要求作应答无效处理</w:t>
      </w:r>
      <w:r>
        <w:rPr>
          <w:rFonts w:hint="eastAsia" w:asciiTheme="minorEastAsia" w:hAnsiTheme="minorEastAsia" w:eastAsiaTheme="minorEastAsia" w:cstheme="minorEastAsia"/>
          <w:b/>
          <w:sz w:val="21"/>
          <w:szCs w:val="21"/>
          <w:lang w:eastAsia="zh-CN"/>
        </w:rPr>
        <w:t>。</w:t>
      </w:r>
    </w:p>
    <w:p>
      <w:pPr>
        <w:pStyle w:val="61"/>
        <w:rPr>
          <w:rFonts w:hint="eastAsia" w:asciiTheme="minorEastAsia" w:hAnsiTheme="minorEastAsia" w:eastAsiaTheme="minorEastAsia" w:cstheme="minorEastAsia"/>
          <w:sz w:val="21"/>
          <w:szCs w:val="21"/>
          <w:lang w:eastAsia="zh-CN"/>
        </w:rPr>
      </w:pP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rPr>
        <w:t>★能满足在达芬奇机器人‘daVinci Xi System’上使用。</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ACE手术弯剪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带两个释放按钮，壳体两侧各一个，带两个冲洗口，用于器械再处理，单次使用，不可转腕，端口长度为2.2厘米，工作长度为26厘米，用于剪切抓持组织</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器械臂无菌套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单次使用，不可拆卸，端口置有适配器，用于单个机械臂无菌隔离和器械适配装载</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5-8mm套管密封件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单次使用，不可拆卸，和8mm套管配用，用于保持腔体气密性</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尖端盖附件（单級弯剪）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单次使用，不可拆卸，和单极手术弯剪配用，防止电能量外溢</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8mm无刃透明闭孔器(短)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8mm锐性闭孔器，不可拆卸, 单次使用，端口直径8毫米</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CADIERE 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带两个释放按钮，壳体两侧各一个，带两个冲洗口，用于器械再处理，可高温高压灭菌，可转腕，不可拆卸,单把产品可使用次数为10次，端口开放角(度)为30度，端口长度为2.0厘米，工作长度为32厘米，用于抓持、操纵和牵拉密度大的或纤维组织</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有孔双极镊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带两个释放按钮，壳体两侧各一个，带两个冲洗口，用于器械再处理，可高温高压灭菌，可转腕，不可拆卸,单把产品可使用次数为10次，端口开放角(度)为45度，端口长度为2.1厘米，工作长度为32厘米，用于双极凝闭血管</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MARYLAND双极镊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带两个释放按钮，壳体两侧各一个，带两个冲洗口，用于器械再处理，可高温高压灭菌，可转腕，不可拆卸,单把产品可使用次数为10次，端口开放角(度)为45度，端口长度为2.0厘米，工作长度为32厘米，用于双极凝闭血管</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单极手术弯剪</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带两个释放按钮，壳体两侧各一个，带两个冲洗口，用于器械再处理，可高温高压灭菌，可转腕，不可拆卸,单把产品可使用次数为10次，端口开放角(度)为29度，端口长度为1.3厘米，工作长度为31厘米，用于组织单极电凝和电切</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MEGATM持针钳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带两个释放按钮，壳体两侧各一个，带两个冲洗口，用于器械再处理，可高温高压灭菌，可转腕，不可拆卸,单把产品可使用次数为10次，端口开放角(度)为30度，端口长度为1.3厘米，工作长度为31厘米，用于持针和缝合组织</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大号持针钳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带两个释放按钮，壳体两侧各一个，带两个冲洗口，用于器械再处理，可高温高压灭菌，可转腕，不可拆卸,单把产品可使用次数为10次，端口开放角(度)为30度，端口长度为1.0厘米，工作长度为31厘米，用于持针和缝合组织</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永久电钩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带两个释放按钮，壳体两侧各一个，带两个冲洗口，用于器械再处理，可高温高压灭菌，可转腕，不可拆卸,单把产品可使用次数为10次，端口开放角(度)为0度，端口长度为1.6厘米，工作长度为32厘米，用于组织单极电凝和电切</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8mm钝型闭孔器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8mm钝型闭孔器，不可拆卸,可重复使用，端口直径8毫米</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8mm器械套管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8mm器械套管，不可拆卸,可重复使用，端口直径8毫米</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单极高频电缆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高频电缆，不可拆卸,单把产品可使用次数为20次，工作长度4米</w:t>
      </w:r>
      <w:r>
        <w:rPr>
          <w:rFonts w:hint="eastAsia" w:asciiTheme="minorEastAsia" w:hAnsiTheme="minorEastAsia" w:eastAsiaTheme="minorEastAsia" w:cstheme="minorEastAsia"/>
          <w:sz w:val="21"/>
          <w:szCs w:val="21"/>
          <w:lang w:eastAsia="zh-CN"/>
        </w:rPr>
        <w:t>；</w:t>
      </w:r>
    </w:p>
    <w:p>
      <w:pPr>
        <w:pStyle w:val="61"/>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双极高频电缆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高频电缆，不可拆卸,单把产品可使用次数为20次，工作长度5米</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b/>
          <w:sz w:val="21"/>
          <w:szCs w:val="21"/>
        </w:rPr>
      </w:pPr>
    </w:p>
    <w:p>
      <w:pPr>
        <w:pStyle w:val="5"/>
        <w:spacing w:before="120" w:beforeLines="50" w:after="120" w:afterLines="50"/>
        <w:rPr>
          <w:rFonts w:hint="eastAsia" w:asciiTheme="minorEastAsia" w:hAnsiTheme="minorEastAsia" w:eastAsiaTheme="minorEastAsia" w:cstheme="minorEastAsia"/>
          <w:sz w:val="21"/>
          <w:szCs w:val="21"/>
        </w:rPr>
      </w:pPr>
      <w:r>
        <w:rPr>
          <w:rFonts w:hint="eastAsia"/>
          <w:sz w:val="28"/>
          <w:szCs w:val="28"/>
        </w:rPr>
        <w:t>五、商务要求</w:t>
      </w:r>
    </w:p>
    <w:p>
      <w:pPr>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说明：1、带“★”指标项为实质性条款，如出现负偏离，将被视为未实质性满足谈判文件要求作应答无效处理。</w:t>
      </w:r>
    </w:p>
    <w:p>
      <w:pPr>
        <w:pStyle w:val="61"/>
        <w:ind w:left="0" w:leftChars="0" w:firstLine="0" w:firstLineChars="0"/>
        <w:rPr>
          <w:rFonts w:hint="eastAsia" w:asciiTheme="minorEastAsia" w:hAnsiTheme="minorEastAsia" w:eastAsiaTheme="minorEastAsia" w:cstheme="minorEastAsia"/>
          <w:sz w:val="21"/>
          <w:szCs w:val="21"/>
        </w:rPr>
      </w:pPr>
    </w:p>
    <w:p>
      <w:pPr>
        <w:keepNext w:val="0"/>
        <w:keepLines w:val="0"/>
        <w:pageBreakBefore w:val="0"/>
        <w:widowControl w:val="0"/>
        <w:numPr>
          <w:ilvl w:val="0"/>
          <w:numId w:val="7"/>
        </w:numPr>
        <w:tabs>
          <w:tab w:val="left" w:pos="0"/>
          <w:tab w:val="left" w:pos="220"/>
        </w:tabs>
        <w:kinsoku/>
        <w:wordWrap/>
        <w:overflowPunct/>
        <w:topLinePunct w:val="0"/>
        <w:autoSpaceDE/>
        <w:autoSpaceDN/>
        <w:bidi w:val="0"/>
        <w:adjustRightInd/>
        <w:snapToGrid/>
        <w:spacing w:line="240" w:lineRule="auto"/>
        <w:ind w:left="-2" w:leftChars="0" w:firstLine="422" w:firstLineChars="0"/>
        <w:jc w:val="left"/>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en-US" w:eastAsia="zh-CN"/>
        </w:rPr>
        <w:t>合同履行</w:t>
      </w:r>
      <w:r>
        <w:rPr>
          <w:rFonts w:hint="eastAsia" w:asciiTheme="minorEastAsia" w:hAnsiTheme="minorEastAsia" w:eastAsiaTheme="minorEastAsia" w:cstheme="minorEastAsia"/>
          <w:b/>
          <w:bCs/>
          <w:color w:val="auto"/>
          <w:sz w:val="21"/>
          <w:szCs w:val="21"/>
          <w:highlight w:val="none"/>
          <w:lang w:val="zh-CN"/>
        </w:rPr>
        <w:t>期限：自合同签订之日起1</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rPr>
        <w:t>个月。</w:t>
      </w:r>
      <w:r>
        <w:rPr>
          <w:rFonts w:hint="eastAsia" w:asciiTheme="minorEastAsia" w:hAnsiTheme="minorEastAsia" w:eastAsiaTheme="minorEastAsia" w:cstheme="minorEastAsia"/>
          <w:sz w:val="21"/>
          <w:szCs w:val="21"/>
        </w:rPr>
        <w:t>本项目为长期货物项目，合同期满可以续签，但合同履行期限最长不得超过二十四个月。如采购人对履约情况不满意，则不再续约。</w:t>
      </w:r>
    </w:p>
    <w:p>
      <w:pPr>
        <w:keepNext w:val="0"/>
        <w:keepLines w:val="0"/>
        <w:pageBreakBefore w:val="0"/>
        <w:widowControl w:val="0"/>
        <w:numPr>
          <w:ilvl w:val="0"/>
          <w:numId w:val="7"/>
        </w:numPr>
        <w:tabs>
          <w:tab w:val="left" w:pos="0"/>
          <w:tab w:val="left" w:pos="220"/>
        </w:tabs>
        <w:kinsoku/>
        <w:wordWrap/>
        <w:overflowPunct/>
        <w:topLinePunct w:val="0"/>
        <w:autoSpaceDE/>
        <w:autoSpaceDN/>
        <w:bidi w:val="0"/>
        <w:adjustRightInd/>
        <w:snapToGrid/>
        <w:spacing w:line="240" w:lineRule="auto"/>
        <w:ind w:left="-2" w:leftChars="0" w:firstLine="422" w:firstLineChars="0"/>
        <w:jc w:val="left"/>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报价方式：</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1.</w:t>
      </w:r>
      <w:r>
        <w:rPr>
          <w:rFonts w:hint="eastAsia" w:asciiTheme="minorEastAsia" w:hAnsiTheme="minorEastAsia" w:eastAsiaTheme="minorEastAsia" w:cstheme="minorEastAsia"/>
          <w:color w:val="auto"/>
          <w:sz w:val="21"/>
          <w:szCs w:val="21"/>
          <w:highlight w:val="none"/>
          <w:lang w:val="zh-CN"/>
        </w:rPr>
        <w:t>报价使用货币及单位：人民币（元），</w:t>
      </w:r>
      <w:r>
        <w:rPr>
          <w:rFonts w:hint="eastAsia" w:asciiTheme="minorEastAsia" w:hAnsiTheme="minorEastAsia" w:eastAsiaTheme="minorEastAsia" w:cstheme="minorEastAsia"/>
          <w:color w:val="auto"/>
          <w:sz w:val="21"/>
          <w:szCs w:val="21"/>
          <w:highlight w:val="none"/>
          <w:lang w:val="en-US" w:eastAsia="zh-CN"/>
        </w:rPr>
        <w:t>采用折扣率</w:t>
      </w:r>
      <w:r>
        <w:rPr>
          <w:rFonts w:hint="eastAsia" w:asciiTheme="minorEastAsia" w:hAnsiTheme="minorEastAsia" w:eastAsiaTheme="minorEastAsia" w:cstheme="minorEastAsia"/>
          <w:color w:val="auto"/>
          <w:sz w:val="21"/>
          <w:szCs w:val="21"/>
          <w:highlight w:val="none"/>
          <w:lang w:val="zh-CN"/>
        </w:rPr>
        <w:t>报价。</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2.</w:t>
      </w:r>
      <w:r>
        <w:rPr>
          <w:rFonts w:hint="eastAsia" w:asciiTheme="minorEastAsia" w:hAnsiTheme="minorEastAsia" w:eastAsiaTheme="minorEastAsia" w:cstheme="minorEastAsia"/>
          <w:color w:val="auto"/>
          <w:sz w:val="21"/>
          <w:szCs w:val="21"/>
          <w:highlight w:val="none"/>
          <w:lang w:val="zh-CN"/>
        </w:rPr>
        <w:t>投标人所报价格为含税、配送商费用等的全包价。</w:t>
      </w:r>
    </w:p>
    <w:p>
      <w:pPr>
        <w:keepNext w:val="0"/>
        <w:keepLines w:val="0"/>
        <w:pageBreakBefore w:val="0"/>
        <w:widowControl w:val="0"/>
        <w:numPr>
          <w:ilvl w:val="0"/>
          <w:numId w:val="7"/>
        </w:numPr>
        <w:tabs>
          <w:tab w:val="left" w:pos="0"/>
          <w:tab w:val="left" w:pos="220"/>
        </w:tabs>
        <w:kinsoku/>
        <w:wordWrap/>
        <w:overflowPunct/>
        <w:topLinePunct w:val="0"/>
        <w:autoSpaceDE/>
        <w:autoSpaceDN/>
        <w:bidi w:val="0"/>
        <w:adjustRightInd/>
        <w:snapToGrid/>
        <w:spacing w:line="240" w:lineRule="auto"/>
        <w:ind w:left="-2" w:leftChars="0" w:firstLine="422" w:firstLineChars="0"/>
        <w:jc w:val="left"/>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付款方式</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按</w:t>
      </w:r>
      <w:r>
        <w:rPr>
          <w:rFonts w:hint="eastAsia" w:asciiTheme="minorEastAsia" w:hAnsiTheme="minorEastAsia" w:eastAsiaTheme="minorEastAsia" w:cstheme="minorEastAsia"/>
          <w:color w:val="auto"/>
          <w:sz w:val="21"/>
          <w:szCs w:val="21"/>
          <w:highlight w:val="none"/>
          <w:lang w:val="en-US" w:eastAsia="zh-CN"/>
        </w:rPr>
        <w:t>季度</w:t>
      </w:r>
      <w:r>
        <w:rPr>
          <w:rFonts w:hint="eastAsia" w:asciiTheme="minorEastAsia" w:hAnsiTheme="minorEastAsia" w:eastAsiaTheme="minorEastAsia" w:cstheme="minorEastAsia"/>
          <w:color w:val="auto"/>
          <w:sz w:val="21"/>
          <w:szCs w:val="21"/>
          <w:highlight w:val="none"/>
          <w:lang w:val="zh-CN"/>
        </w:rPr>
        <w:t>结算，</w:t>
      </w:r>
      <w:r>
        <w:rPr>
          <w:rFonts w:hint="eastAsia" w:asciiTheme="minorEastAsia" w:hAnsiTheme="minorEastAsia" w:eastAsiaTheme="minorEastAsia" w:cstheme="minorEastAsia"/>
          <w:color w:val="auto"/>
          <w:sz w:val="21"/>
          <w:szCs w:val="21"/>
          <w:highlight w:val="none"/>
          <w:lang w:val="en-US" w:eastAsia="zh-CN"/>
        </w:rPr>
        <w:t>根据采购人该季度的订单金额，中标人提供相应发票由采购人确认付款</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sz w:val="21"/>
          <w:szCs w:val="21"/>
        </w:rPr>
        <w:t>以上个</w:t>
      </w:r>
      <w:r>
        <w:rPr>
          <w:rFonts w:hint="eastAsia" w:asciiTheme="minorEastAsia" w:hAnsiTheme="minorEastAsia" w:eastAsiaTheme="minorEastAsia" w:cstheme="minorEastAsia"/>
          <w:color w:val="auto"/>
          <w:sz w:val="21"/>
          <w:szCs w:val="21"/>
          <w:highlight w:val="none"/>
          <w:lang w:val="en-US" w:eastAsia="zh-CN"/>
        </w:rPr>
        <w:t>季度</w:t>
      </w:r>
      <w:r>
        <w:rPr>
          <w:rFonts w:hint="eastAsia" w:asciiTheme="minorEastAsia" w:hAnsiTheme="minorEastAsia" w:eastAsiaTheme="minorEastAsia" w:cstheme="minorEastAsia"/>
          <w:sz w:val="21"/>
          <w:szCs w:val="21"/>
        </w:rPr>
        <w:t>交货数量×最高</w:t>
      </w:r>
      <w:r>
        <w:rPr>
          <w:rFonts w:hint="eastAsia" w:asciiTheme="minorEastAsia" w:hAnsiTheme="minorEastAsia" w:eastAsiaTheme="minorEastAsia" w:cstheme="minorEastAsia"/>
          <w:sz w:val="21"/>
          <w:szCs w:val="21"/>
          <w:lang w:val="en-US" w:eastAsia="zh-CN"/>
        </w:rPr>
        <w:t>单价</w:t>
      </w:r>
      <w:r>
        <w:rPr>
          <w:rFonts w:hint="eastAsia" w:asciiTheme="minorEastAsia" w:hAnsiTheme="minorEastAsia" w:eastAsiaTheme="minorEastAsia" w:cstheme="minorEastAsia"/>
          <w:sz w:val="21"/>
          <w:szCs w:val="21"/>
        </w:rPr>
        <w:t>限价</w:t>
      </w:r>
      <w:r>
        <w:rPr>
          <w:rFonts w:hint="eastAsia" w:asciiTheme="minorEastAsia" w:hAnsiTheme="minorEastAsia" w:eastAsiaTheme="minorEastAsia" w:cstheme="minorEastAsia"/>
          <w:color w:val="000000"/>
          <w:kern w:val="0"/>
          <w:sz w:val="21"/>
          <w:szCs w:val="21"/>
        </w:rPr>
        <w:t>（基准价）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折扣率进行上个</w:t>
      </w:r>
      <w:r>
        <w:rPr>
          <w:rFonts w:hint="eastAsia" w:asciiTheme="minorEastAsia" w:hAnsiTheme="minorEastAsia" w:eastAsiaTheme="minorEastAsia" w:cstheme="minorEastAsia"/>
          <w:color w:val="auto"/>
          <w:sz w:val="21"/>
          <w:szCs w:val="21"/>
          <w:highlight w:val="none"/>
          <w:lang w:val="en-US" w:eastAsia="zh-CN"/>
        </w:rPr>
        <w:t>季度</w:t>
      </w:r>
      <w:r>
        <w:rPr>
          <w:rFonts w:hint="eastAsia" w:asciiTheme="minorEastAsia" w:hAnsiTheme="minorEastAsia" w:eastAsiaTheme="minorEastAsia" w:cstheme="minorEastAsia"/>
          <w:sz w:val="21"/>
          <w:szCs w:val="21"/>
        </w:rPr>
        <w:t>货款结算。</w:t>
      </w:r>
    </w:p>
    <w:p>
      <w:pPr>
        <w:keepNext w:val="0"/>
        <w:keepLines w:val="0"/>
        <w:pageBreakBefore w:val="0"/>
        <w:widowControl w:val="0"/>
        <w:numPr>
          <w:ilvl w:val="0"/>
          <w:numId w:val="7"/>
        </w:numPr>
        <w:tabs>
          <w:tab w:val="left" w:pos="0"/>
          <w:tab w:val="left" w:pos="220"/>
        </w:tabs>
        <w:kinsoku/>
        <w:wordWrap/>
        <w:overflowPunct/>
        <w:topLinePunct w:val="0"/>
        <w:autoSpaceDE/>
        <w:autoSpaceDN/>
        <w:bidi w:val="0"/>
        <w:adjustRightInd/>
        <w:snapToGrid/>
        <w:spacing w:line="240" w:lineRule="auto"/>
        <w:ind w:left="-2" w:leftChars="0" w:firstLine="422" w:firstLineChars="0"/>
        <w:jc w:val="left"/>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质量保证</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1.</w:t>
      </w:r>
      <w:r>
        <w:rPr>
          <w:rFonts w:hint="eastAsia" w:asciiTheme="minorEastAsia" w:hAnsiTheme="minorEastAsia" w:eastAsiaTheme="minorEastAsia" w:cstheme="minorEastAsia"/>
          <w:color w:val="auto"/>
          <w:sz w:val="21"/>
          <w:szCs w:val="21"/>
          <w:highlight w:val="none"/>
          <w:lang w:val="zh-CN"/>
        </w:rPr>
        <w:t>中标人需按国家相关标准进行耗材包装，耗材的包装均应有良好的防湿、防锈、防潮、防雨、防腐及防碰撞的措施，并适宜深圳的气候条件。凡由于包装不良造成的损失和由此产生的费用均由投标人承担。</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lang w:val="en-US" w:eastAsia="zh-CN" w:bidi="ar-SA"/>
        </w:rPr>
        <w:t>2.</w:t>
      </w:r>
      <w:r>
        <w:rPr>
          <w:rFonts w:hint="eastAsia" w:asciiTheme="minorEastAsia" w:hAnsiTheme="minorEastAsia" w:eastAsiaTheme="minorEastAsia" w:cstheme="minorEastAsia"/>
          <w:color w:val="auto"/>
          <w:sz w:val="21"/>
          <w:szCs w:val="21"/>
          <w:highlight w:val="none"/>
          <w:lang w:val="zh-CN"/>
        </w:rPr>
        <w:t>中标人应提供完整的技术资料，包括但不限于配置清单、产品说明书、操作手册、质量保证文件、服务指南等，所有外文资料提供中文译本。文件应随货物一并交付至采购人指定地点。</w:t>
      </w:r>
    </w:p>
    <w:p>
      <w:pPr>
        <w:tabs>
          <w:tab w:val="left" w:pos="1260"/>
        </w:tabs>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auto"/>
          <w:kern w:val="2"/>
          <w:sz w:val="21"/>
          <w:szCs w:val="21"/>
          <w:lang w:val="en-US" w:eastAsia="zh-CN" w:bidi="ar-SA"/>
        </w:rPr>
        <w:t>3.</w:t>
      </w:r>
      <w:r>
        <w:rPr>
          <w:rFonts w:hint="eastAsia" w:asciiTheme="minorEastAsia" w:hAnsiTheme="minorEastAsia" w:eastAsiaTheme="minorEastAsia" w:cstheme="minorEastAsia"/>
          <w:color w:val="000000"/>
          <w:sz w:val="21"/>
          <w:szCs w:val="21"/>
          <w:highlight w:val="none"/>
          <w:lang w:val="en-US" w:eastAsia="zh-CN"/>
        </w:rPr>
        <w:t>在临床使用中出现不良事件，</w:t>
      </w:r>
      <w:r>
        <w:rPr>
          <w:rFonts w:hint="eastAsia" w:asciiTheme="minorEastAsia" w:hAnsiTheme="minorEastAsia" w:eastAsiaTheme="minorEastAsia" w:cstheme="minorEastAsia"/>
          <w:color w:val="auto"/>
          <w:sz w:val="21"/>
          <w:szCs w:val="21"/>
          <w:highlight w:val="none"/>
          <w:lang w:val="zh-CN"/>
        </w:rPr>
        <w:t>中标人</w:t>
      </w:r>
      <w:r>
        <w:rPr>
          <w:rFonts w:hint="eastAsia" w:asciiTheme="minorEastAsia" w:hAnsiTheme="minorEastAsia" w:eastAsiaTheme="minorEastAsia" w:cstheme="minorEastAsia"/>
          <w:color w:val="000000"/>
          <w:sz w:val="21"/>
          <w:szCs w:val="21"/>
          <w:highlight w:val="none"/>
          <w:lang w:val="en-US" w:eastAsia="zh-CN"/>
        </w:rPr>
        <w:t>要求接到通知后半小时内响应，两小时内赶到现场。经国家相关质量监察部门鉴定后，确实属于</w:t>
      </w:r>
      <w:r>
        <w:rPr>
          <w:rFonts w:hint="eastAsia" w:asciiTheme="minorEastAsia" w:hAnsiTheme="minorEastAsia" w:eastAsiaTheme="minorEastAsia" w:cstheme="minorEastAsia"/>
          <w:color w:val="auto"/>
          <w:kern w:val="2"/>
          <w:sz w:val="21"/>
          <w:szCs w:val="21"/>
          <w:lang w:val="en-US" w:eastAsia="zh-CN" w:bidi="ar-SA"/>
        </w:rPr>
        <w:t>耗材</w:t>
      </w:r>
      <w:r>
        <w:rPr>
          <w:rFonts w:hint="eastAsia" w:asciiTheme="minorEastAsia" w:hAnsiTheme="minorEastAsia" w:eastAsiaTheme="minorEastAsia" w:cstheme="minorEastAsia"/>
          <w:color w:val="000000"/>
          <w:sz w:val="21"/>
          <w:szCs w:val="21"/>
          <w:highlight w:val="none"/>
          <w:lang w:val="en-US" w:eastAsia="zh-CN"/>
        </w:rPr>
        <w:t>产品质量问题的，由</w:t>
      </w:r>
      <w:r>
        <w:rPr>
          <w:rFonts w:hint="eastAsia" w:asciiTheme="minorEastAsia" w:hAnsiTheme="minorEastAsia" w:eastAsiaTheme="minorEastAsia" w:cstheme="minorEastAsia"/>
          <w:color w:val="auto"/>
          <w:sz w:val="21"/>
          <w:szCs w:val="21"/>
          <w:highlight w:val="none"/>
          <w:lang w:val="zh-CN"/>
        </w:rPr>
        <w:t>中标人</w:t>
      </w:r>
      <w:r>
        <w:rPr>
          <w:rFonts w:hint="eastAsia" w:asciiTheme="minorEastAsia" w:hAnsiTheme="minorEastAsia" w:eastAsiaTheme="minorEastAsia" w:cstheme="minorEastAsia"/>
          <w:color w:val="000000"/>
          <w:sz w:val="21"/>
          <w:szCs w:val="21"/>
          <w:highlight w:val="none"/>
          <w:lang w:val="en-US" w:eastAsia="zh-CN"/>
        </w:rPr>
        <w:t>承担全部责任。</w:t>
      </w:r>
    </w:p>
    <w:p>
      <w:pPr>
        <w:keepNext w:val="0"/>
        <w:keepLines w:val="0"/>
        <w:pageBreakBefore w:val="0"/>
        <w:widowControl w:val="0"/>
        <w:numPr>
          <w:ilvl w:val="0"/>
          <w:numId w:val="7"/>
        </w:numPr>
        <w:tabs>
          <w:tab w:val="left" w:pos="0"/>
          <w:tab w:val="left" w:pos="220"/>
        </w:tabs>
        <w:kinsoku/>
        <w:wordWrap/>
        <w:overflowPunct/>
        <w:topLinePunct w:val="0"/>
        <w:autoSpaceDE/>
        <w:autoSpaceDN/>
        <w:bidi w:val="0"/>
        <w:adjustRightInd/>
        <w:snapToGrid/>
        <w:spacing w:line="240" w:lineRule="auto"/>
        <w:ind w:left="-2" w:leftChars="0" w:firstLine="422" w:firstLineChars="0"/>
        <w:jc w:val="left"/>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售后服务要求</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1.</w:t>
      </w:r>
      <w:r>
        <w:rPr>
          <w:rFonts w:hint="eastAsia" w:asciiTheme="minorEastAsia" w:hAnsiTheme="minorEastAsia" w:eastAsiaTheme="minorEastAsia" w:cstheme="minorEastAsia"/>
          <w:color w:val="auto"/>
          <w:sz w:val="21"/>
          <w:szCs w:val="21"/>
          <w:highlight w:val="none"/>
          <w:lang w:val="zh-CN"/>
        </w:rPr>
        <w:t>耗材出现问题时，中标人</w:t>
      </w:r>
      <w:r>
        <w:rPr>
          <w:rFonts w:hint="eastAsia" w:asciiTheme="minorEastAsia" w:hAnsiTheme="minorEastAsia" w:eastAsiaTheme="minorEastAsia" w:cstheme="minorEastAsia"/>
          <w:color w:val="000000"/>
          <w:sz w:val="21"/>
          <w:szCs w:val="21"/>
          <w:highlight w:val="none"/>
          <w:lang w:val="en-US" w:eastAsia="zh-CN"/>
        </w:rPr>
        <w:t>要求在2小时内响应，</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val="zh-CN"/>
        </w:rPr>
        <w:t>小时内到达现场。</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2.</w:t>
      </w:r>
      <w:r>
        <w:rPr>
          <w:rFonts w:hint="eastAsia" w:asciiTheme="minorEastAsia" w:hAnsiTheme="minorEastAsia" w:eastAsiaTheme="minorEastAsia" w:cstheme="minorEastAsia"/>
          <w:color w:val="auto"/>
          <w:sz w:val="21"/>
          <w:szCs w:val="21"/>
          <w:highlight w:val="none"/>
          <w:lang w:val="zh-CN"/>
        </w:rPr>
        <w:t>中标人投标时所提供的耗材如在实际供货时已经停产，应按原价提供</w:t>
      </w:r>
      <w:r>
        <w:rPr>
          <w:rFonts w:hint="eastAsia" w:asciiTheme="minorEastAsia" w:hAnsiTheme="minorEastAsia" w:eastAsiaTheme="minorEastAsia" w:cstheme="minorEastAsia"/>
          <w:color w:val="auto"/>
          <w:sz w:val="21"/>
          <w:szCs w:val="21"/>
          <w:highlight w:val="none"/>
          <w:lang w:val="en-US" w:eastAsia="zh-CN"/>
        </w:rPr>
        <w:t>用途相同的</w:t>
      </w:r>
      <w:r>
        <w:rPr>
          <w:rFonts w:hint="eastAsia" w:asciiTheme="minorEastAsia" w:hAnsiTheme="minorEastAsia" w:eastAsiaTheme="minorEastAsia" w:cstheme="minorEastAsia"/>
          <w:color w:val="auto"/>
          <w:sz w:val="21"/>
          <w:szCs w:val="21"/>
          <w:highlight w:val="none"/>
          <w:lang w:val="zh-CN"/>
        </w:rPr>
        <w:t>更优质的耗材。</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3.</w:t>
      </w:r>
      <w:r>
        <w:rPr>
          <w:rFonts w:hint="eastAsia" w:asciiTheme="minorEastAsia" w:hAnsiTheme="minorEastAsia" w:eastAsiaTheme="minorEastAsia" w:cstheme="minorEastAsia"/>
          <w:color w:val="auto"/>
          <w:sz w:val="21"/>
          <w:szCs w:val="21"/>
          <w:highlight w:val="none"/>
          <w:lang w:val="zh-CN"/>
        </w:rPr>
        <w:t>按月收集各承检机构送货单，并及时反馈给采购人。</w:t>
      </w:r>
    </w:p>
    <w:p>
      <w:pPr>
        <w:tabs>
          <w:tab w:val="left" w:pos="1260"/>
        </w:tabs>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4.</w:t>
      </w:r>
      <w:r>
        <w:rPr>
          <w:rFonts w:hint="eastAsia" w:asciiTheme="minorEastAsia" w:hAnsiTheme="minorEastAsia" w:eastAsiaTheme="minorEastAsia" w:cstheme="minorEastAsia"/>
          <w:color w:val="auto"/>
          <w:sz w:val="21"/>
          <w:szCs w:val="21"/>
          <w:highlight w:val="none"/>
          <w:lang w:val="zh-CN"/>
        </w:rPr>
        <w:t>为保证耗材的及时配送，中标人应在深圳设有售后服务机构</w:t>
      </w:r>
      <w:r>
        <w:rPr>
          <w:rFonts w:hint="eastAsia" w:asciiTheme="minorEastAsia" w:hAnsiTheme="minorEastAsia" w:eastAsiaTheme="minorEastAsia" w:cstheme="minorEastAsia"/>
          <w:color w:val="auto"/>
          <w:sz w:val="21"/>
          <w:szCs w:val="21"/>
          <w:highlight w:val="none"/>
          <w:lang w:val="en-US" w:eastAsia="zh-CN"/>
        </w:rPr>
        <w:t>及仓库。</w:t>
      </w:r>
      <w:r>
        <w:rPr>
          <w:rFonts w:hint="eastAsia" w:asciiTheme="minorEastAsia" w:hAnsiTheme="minorEastAsia" w:eastAsiaTheme="minorEastAsia" w:cstheme="minorEastAsia"/>
          <w:color w:val="000000"/>
          <w:sz w:val="21"/>
          <w:szCs w:val="21"/>
          <w:highlight w:val="none"/>
          <w:lang w:val="en-US" w:eastAsia="zh-CN"/>
        </w:rPr>
        <w:t>自医院订单发出之时起要求</w:t>
      </w:r>
      <w:r>
        <w:rPr>
          <w:rFonts w:hint="eastAsia" w:asciiTheme="minorEastAsia" w:hAnsiTheme="minorEastAsia" w:eastAsiaTheme="minorEastAsia" w:cstheme="minorEastAsia"/>
          <w:color w:val="auto"/>
          <w:sz w:val="21"/>
          <w:szCs w:val="21"/>
          <w:highlight w:val="none"/>
          <w:lang w:val="zh-CN"/>
        </w:rPr>
        <w:t>中标人</w:t>
      </w:r>
      <w:r>
        <w:rPr>
          <w:rFonts w:hint="eastAsia" w:asciiTheme="minorEastAsia" w:hAnsiTheme="minorEastAsia" w:eastAsiaTheme="minorEastAsia" w:cstheme="minorEastAsia"/>
          <w:color w:val="auto"/>
          <w:sz w:val="21"/>
          <w:szCs w:val="21"/>
          <w:highlight w:val="none"/>
          <w:lang w:val="en-US" w:eastAsia="zh-CN"/>
        </w:rPr>
        <w:t>耗材</w:t>
      </w:r>
      <w:r>
        <w:rPr>
          <w:rFonts w:hint="eastAsia" w:asciiTheme="minorEastAsia" w:hAnsiTheme="minorEastAsia" w:eastAsiaTheme="minorEastAsia" w:cstheme="minorEastAsia"/>
          <w:color w:val="000000"/>
          <w:sz w:val="21"/>
          <w:szCs w:val="21"/>
          <w:highlight w:val="none"/>
          <w:lang w:val="en-US" w:eastAsia="zh-CN"/>
        </w:rPr>
        <w:t>配送时限一般不超过48小时。若医院要求紧急配送，</w:t>
      </w:r>
      <w:r>
        <w:rPr>
          <w:rFonts w:hint="eastAsia" w:asciiTheme="minorEastAsia" w:hAnsiTheme="minorEastAsia" w:eastAsiaTheme="minorEastAsia" w:cstheme="minorEastAsia"/>
          <w:color w:val="auto"/>
          <w:sz w:val="21"/>
          <w:szCs w:val="21"/>
          <w:highlight w:val="none"/>
          <w:lang w:val="zh-CN"/>
        </w:rPr>
        <w:t>中标人</w:t>
      </w:r>
      <w:r>
        <w:rPr>
          <w:rFonts w:hint="eastAsia" w:asciiTheme="minorEastAsia" w:hAnsiTheme="minorEastAsia" w:eastAsiaTheme="minorEastAsia" w:cstheme="minorEastAsia"/>
          <w:color w:val="000000"/>
          <w:sz w:val="21"/>
          <w:szCs w:val="21"/>
          <w:highlight w:val="none"/>
          <w:lang w:val="en-US" w:eastAsia="zh-CN"/>
        </w:rPr>
        <w:t>应保证所有耗材在4小时内送达。医院订单发出时间包含节假日，</w:t>
      </w:r>
      <w:r>
        <w:rPr>
          <w:rFonts w:hint="eastAsia" w:asciiTheme="minorEastAsia" w:hAnsiTheme="minorEastAsia" w:eastAsiaTheme="minorEastAsia" w:cstheme="minorEastAsia"/>
          <w:color w:val="auto"/>
          <w:sz w:val="21"/>
          <w:szCs w:val="21"/>
          <w:highlight w:val="none"/>
          <w:lang w:val="zh-CN"/>
        </w:rPr>
        <w:t>中标人</w:t>
      </w:r>
      <w:r>
        <w:rPr>
          <w:rFonts w:hint="eastAsia" w:asciiTheme="minorEastAsia" w:hAnsiTheme="minorEastAsia" w:eastAsiaTheme="minorEastAsia" w:cstheme="minorEastAsia"/>
          <w:color w:val="000000"/>
          <w:sz w:val="21"/>
          <w:szCs w:val="21"/>
          <w:highlight w:val="none"/>
          <w:lang w:val="en-US" w:eastAsia="zh-CN"/>
        </w:rPr>
        <w:t>应留置值班人员以满足医院订货需求。</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5.</w:t>
      </w:r>
      <w:r>
        <w:rPr>
          <w:rFonts w:hint="eastAsia" w:asciiTheme="minorEastAsia" w:hAnsiTheme="minorEastAsia" w:eastAsiaTheme="minorEastAsia" w:cstheme="minorEastAsia"/>
          <w:color w:val="auto"/>
          <w:sz w:val="21"/>
          <w:szCs w:val="21"/>
          <w:highlight w:val="none"/>
          <w:lang w:val="zh-CN"/>
        </w:rPr>
        <w:t>中标人应派专业技术人员免费对采购单位指定人员进行定期培训及指导。</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6.</w:t>
      </w:r>
      <w:r>
        <w:rPr>
          <w:rFonts w:hint="eastAsia" w:asciiTheme="minorEastAsia" w:hAnsiTheme="minorEastAsia" w:eastAsiaTheme="minorEastAsia" w:cstheme="minorEastAsia"/>
          <w:color w:val="auto"/>
          <w:sz w:val="21"/>
          <w:szCs w:val="21"/>
          <w:highlight w:val="none"/>
          <w:lang w:val="zh-CN"/>
        </w:rPr>
        <w:t>卖方应按其投标文件中的承诺，进行其他售后服务工作。</w:t>
      </w:r>
    </w:p>
    <w:p>
      <w:pPr>
        <w:keepNext w:val="0"/>
        <w:keepLines w:val="0"/>
        <w:pageBreakBefore w:val="0"/>
        <w:widowControl w:val="0"/>
        <w:numPr>
          <w:ilvl w:val="0"/>
          <w:numId w:val="7"/>
        </w:numPr>
        <w:tabs>
          <w:tab w:val="left" w:pos="0"/>
          <w:tab w:val="left" w:pos="220"/>
        </w:tabs>
        <w:kinsoku/>
        <w:wordWrap/>
        <w:overflowPunct/>
        <w:topLinePunct w:val="0"/>
        <w:autoSpaceDE/>
        <w:autoSpaceDN/>
        <w:bidi w:val="0"/>
        <w:adjustRightInd/>
        <w:snapToGrid/>
        <w:spacing w:line="240" w:lineRule="auto"/>
        <w:ind w:left="-2" w:leftChars="0" w:firstLine="422" w:firstLineChars="0"/>
        <w:jc w:val="left"/>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验收及相关技术文件、资料</w:t>
      </w:r>
    </w:p>
    <w:p>
      <w:pPr>
        <w:tabs>
          <w:tab w:val="left" w:pos="1260"/>
        </w:tabs>
        <w:ind w:firstLine="420" w:firstLineChars="200"/>
        <w:rPr>
          <w:rFonts w:hint="eastAsia" w:asciiTheme="minorEastAsia" w:hAnsiTheme="minorEastAsia" w:eastAsiaTheme="minorEastAsia" w:cstheme="minorEastAsia"/>
          <w:color w:val="000000"/>
          <w:sz w:val="21"/>
          <w:szCs w:val="21"/>
          <w:highlight w:val="none"/>
          <w:lang w:val="zh-CN" w:eastAsia="zh-CN"/>
        </w:rPr>
      </w:pP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val="zh-CN" w:eastAsia="zh-CN"/>
        </w:rPr>
        <w:t>投标人提供的医用耗材符合国家承认的相应标准。</w:t>
      </w:r>
    </w:p>
    <w:p>
      <w:pPr>
        <w:tabs>
          <w:tab w:val="left" w:pos="1260"/>
        </w:tabs>
        <w:ind w:firstLine="420" w:firstLineChars="200"/>
        <w:rPr>
          <w:rFonts w:hint="eastAsia" w:asciiTheme="minorEastAsia" w:hAnsiTheme="minorEastAsia" w:eastAsiaTheme="minorEastAsia" w:cstheme="minorEastAsia"/>
          <w:color w:val="000000"/>
          <w:sz w:val="21"/>
          <w:szCs w:val="21"/>
          <w:highlight w:val="none"/>
          <w:lang w:val="zh-CN" w:eastAsia="zh-CN"/>
        </w:rPr>
      </w:pP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val="zh-CN" w:eastAsia="zh-CN"/>
        </w:rPr>
        <w:t>投标人所提供的是其合法生产或代理的合格医用耗材，并能够按照医用耗材成交确认合同规定的商标、产地、质量、价格、</w:t>
      </w:r>
      <w:r>
        <w:rPr>
          <w:rFonts w:hint="eastAsia" w:asciiTheme="minorEastAsia" w:hAnsiTheme="minorEastAsia" w:eastAsiaTheme="minorEastAsia" w:cstheme="minorEastAsia"/>
          <w:color w:val="000000"/>
          <w:sz w:val="21"/>
          <w:szCs w:val="21"/>
          <w:highlight w:val="none"/>
          <w:lang w:val="en-US" w:eastAsia="zh-CN"/>
        </w:rPr>
        <w:t>有</w:t>
      </w:r>
      <w:r>
        <w:rPr>
          <w:rFonts w:hint="eastAsia" w:asciiTheme="minorEastAsia" w:hAnsiTheme="minorEastAsia" w:eastAsiaTheme="minorEastAsia" w:cstheme="minorEastAsia"/>
          <w:color w:val="000000"/>
          <w:sz w:val="21"/>
          <w:szCs w:val="21"/>
          <w:highlight w:val="none"/>
          <w:lang w:val="zh-CN" w:eastAsia="zh-CN"/>
        </w:rPr>
        <w:t>效期及时供货。</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en-US" w:eastAsia="zh-CN" w:bidi="ar-SA"/>
        </w:rPr>
        <w:t>3</w:t>
      </w:r>
      <w:r>
        <w:rPr>
          <w:rFonts w:hint="eastAsia" w:asciiTheme="minorEastAsia" w:hAnsiTheme="minorEastAsia" w:eastAsiaTheme="minorEastAsia" w:cstheme="minorEastAsia"/>
          <w:color w:val="auto"/>
          <w:kern w:val="2"/>
          <w:sz w:val="21"/>
          <w:szCs w:val="21"/>
          <w:lang w:val="zh-CN" w:eastAsia="zh-CN" w:bidi="ar-SA"/>
        </w:rPr>
        <w:t>.</w:t>
      </w:r>
      <w:r>
        <w:rPr>
          <w:rFonts w:hint="eastAsia" w:asciiTheme="minorEastAsia" w:hAnsiTheme="minorEastAsia" w:eastAsiaTheme="minorEastAsia" w:cstheme="minorEastAsia"/>
          <w:color w:val="auto"/>
          <w:sz w:val="21"/>
          <w:szCs w:val="21"/>
          <w:highlight w:val="none"/>
          <w:lang w:val="zh-CN"/>
        </w:rPr>
        <w:t>耗材外观清洁，产品包装上（包括大包装、小包装等）需附有以下所列各项国家规定的中文标识：</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（1）耗材名称、型号、规格；</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（2）生产企业名称、注册地址、生产地址、联系方式；</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（3）耗材注册证号、生产许可证号；</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（4）耗材标准编号；</w:t>
      </w:r>
    </w:p>
    <w:p>
      <w:pPr>
        <w:keepNext w:val="0"/>
        <w:keepLines w:val="0"/>
        <w:pageBreakBefore w:val="0"/>
        <w:widowControl w:val="0"/>
        <w:tabs>
          <w:tab w:val="left" w:pos="0"/>
          <w:tab w:val="left" w:pos="420"/>
        </w:tabs>
        <w:kinsoku/>
        <w:wordWrap/>
        <w:overflowPunct/>
        <w:topLinePunct w:val="0"/>
        <w:autoSpaceDE/>
        <w:autoSpaceDN/>
        <w:bidi w:val="0"/>
        <w:adjustRightInd/>
        <w:snapToGrid/>
        <w:spacing w:line="24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（5）耗材生产日期或批（编）号、有效期限。</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en-US" w:eastAsia="zh-CN" w:bidi="ar-SA"/>
        </w:rPr>
        <w:t>4</w:t>
      </w:r>
      <w:r>
        <w:rPr>
          <w:rFonts w:hint="eastAsia" w:asciiTheme="minorEastAsia" w:hAnsiTheme="minorEastAsia" w:eastAsiaTheme="minorEastAsia" w:cstheme="minorEastAsia"/>
          <w:color w:val="auto"/>
          <w:kern w:val="2"/>
          <w:sz w:val="21"/>
          <w:szCs w:val="21"/>
          <w:lang w:val="zh-CN" w:eastAsia="zh-CN" w:bidi="ar-SA"/>
        </w:rPr>
        <w:t>.</w:t>
      </w:r>
      <w:r>
        <w:rPr>
          <w:rFonts w:hint="eastAsia" w:asciiTheme="minorEastAsia" w:hAnsiTheme="minorEastAsia" w:eastAsiaTheme="minorEastAsia" w:cstheme="minorEastAsia"/>
          <w:color w:val="auto"/>
          <w:sz w:val="21"/>
          <w:szCs w:val="21"/>
          <w:highlight w:val="none"/>
          <w:lang w:val="zh-CN"/>
        </w:rPr>
        <w:t>所有耗材在开封检验时完好，无破损，配置与说明书相符。如有破损，应无条件退换。</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en-US" w:eastAsia="zh-CN" w:bidi="ar-SA"/>
        </w:rPr>
        <w:t>5</w:t>
      </w:r>
      <w:r>
        <w:rPr>
          <w:rFonts w:hint="eastAsia" w:asciiTheme="minorEastAsia" w:hAnsiTheme="minorEastAsia" w:eastAsiaTheme="minorEastAsia" w:cstheme="minorEastAsia"/>
          <w:color w:val="auto"/>
          <w:kern w:val="2"/>
          <w:sz w:val="21"/>
          <w:szCs w:val="21"/>
          <w:lang w:val="zh-CN" w:eastAsia="zh-CN" w:bidi="ar-SA"/>
        </w:rPr>
        <w:t>.</w:t>
      </w:r>
      <w:r>
        <w:rPr>
          <w:rFonts w:hint="eastAsia" w:asciiTheme="minorEastAsia" w:hAnsiTheme="minorEastAsia" w:eastAsiaTheme="minorEastAsia" w:cstheme="minorEastAsia"/>
          <w:color w:val="auto"/>
          <w:sz w:val="21"/>
          <w:szCs w:val="21"/>
          <w:highlight w:val="none"/>
          <w:lang w:val="zh-CN"/>
        </w:rPr>
        <w:t>耗材符合</w:t>
      </w: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lang w:val="zh-CN"/>
        </w:rPr>
        <w:t>文件技术规格参数的要求，具备产品合格证，性能满足要求。</w:t>
      </w:r>
    </w:p>
    <w:p>
      <w:pPr>
        <w:tabs>
          <w:tab w:val="left" w:pos="1260"/>
        </w:tabs>
        <w:ind w:firstLine="420" w:firstLineChars="200"/>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6.医院接受货物后若有疑义或使用前发现不宜使用的现象，公司提供免费退换货服务。</w:t>
      </w:r>
    </w:p>
    <w:p>
      <w:pPr>
        <w:keepNext w:val="0"/>
        <w:keepLines w:val="0"/>
        <w:pageBreakBefore w:val="0"/>
        <w:widowControl w:val="0"/>
        <w:numPr>
          <w:ilvl w:val="0"/>
          <w:numId w:val="7"/>
        </w:numPr>
        <w:tabs>
          <w:tab w:val="left" w:pos="0"/>
          <w:tab w:val="left" w:pos="220"/>
        </w:tabs>
        <w:kinsoku/>
        <w:wordWrap/>
        <w:overflowPunct/>
        <w:topLinePunct w:val="0"/>
        <w:autoSpaceDE/>
        <w:autoSpaceDN/>
        <w:bidi w:val="0"/>
        <w:adjustRightInd/>
        <w:snapToGrid/>
        <w:spacing w:line="240" w:lineRule="auto"/>
        <w:ind w:left="-2" w:leftChars="0" w:firstLine="422" w:firstLineChars="0"/>
        <w:jc w:val="left"/>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运输要求</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投标人负责将耗材安全无损运抵采购人指定地点，并承担包装、运输、保险、装卸、关税、增值税和进口代理等费用。</w:t>
      </w:r>
    </w:p>
    <w:p>
      <w:pPr>
        <w:keepNext w:val="0"/>
        <w:keepLines w:val="0"/>
        <w:pageBreakBefore w:val="0"/>
        <w:widowControl w:val="0"/>
        <w:numPr>
          <w:ilvl w:val="0"/>
          <w:numId w:val="7"/>
        </w:numPr>
        <w:tabs>
          <w:tab w:val="left" w:pos="0"/>
          <w:tab w:val="left" w:pos="220"/>
        </w:tabs>
        <w:kinsoku/>
        <w:wordWrap/>
        <w:overflowPunct/>
        <w:topLinePunct w:val="0"/>
        <w:autoSpaceDE/>
        <w:autoSpaceDN/>
        <w:bidi w:val="0"/>
        <w:adjustRightInd/>
        <w:snapToGrid/>
        <w:spacing w:line="240" w:lineRule="auto"/>
        <w:ind w:left="-2" w:leftChars="0" w:firstLine="422" w:firstLineChars="0"/>
        <w:jc w:val="left"/>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质量及知识产权要求</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1.</w:t>
      </w:r>
      <w:r>
        <w:rPr>
          <w:rFonts w:hint="eastAsia" w:asciiTheme="minorEastAsia" w:hAnsiTheme="minorEastAsia" w:eastAsiaTheme="minorEastAsia" w:cstheme="minorEastAsia"/>
          <w:color w:val="auto"/>
          <w:sz w:val="21"/>
          <w:szCs w:val="21"/>
          <w:highlight w:val="none"/>
          <w:lang w:val="zh-CN"/>
        </w:rPr>
        <w:t>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zh-CN" w:eastAsia="zh-CN" w:bidi="ar-SA"/>
        </w:rPr>
        <w:t>2.</w:t>
      </w:r>
      <w:r>
        <w:rPr>
          <w:rFonts w:hint="eastAsia" w:asciiTheme="minorEastAsia" w:hAnsiTheme="minorEastAsia" w:eastAsiaTheme="minorEastAsia" w:cstheme="minorEastAsia"/>
          <w:color w:val="auto"/>
          <w:sz w:val="21"/>
          <w:szCs w:val="21"/>
          <w:highlight w:val="none"/>
          <w:lang w:val="zh-CN"/>
        </w:rPr>
        <w:t xml:space="preserve"> 采购人购买产品后，有权对该产品与其他设备进行配套、整合或适当改进，而免受侵犯专利权的起诉。</w:t>
      </w:r>
    </w:p>
    <w:p>
      <w:pPr>
        <w:keepNext w:val="0"/>
        <w:keepLines w:val="0"/>
        <w:pageBreakBefore w:val="0"/>
        <w:widowControl w:val="0"/>
        <w:numPr>
          <w:ilvl w:val="0"/>
          <w:numId w:val="7"/>
        </w:numPr>
        <w:tabs>
          <w:tab w:val="left" w:pos="0"/>
          <w:tab w:val="left" w:pos="220"/>
        </w:tabs>
        <w:kinsoku/>
        <w:wordWrap/>
        <w:overflowPunct/>
        <w:topLinePunct w:val="0"/>
        <w:autoSpaceDE/>
        <w:autoSpaceDN/>
        <w:bidi w:val="0"/>
        <w:adjustRightInd/>
        <w:snapToGrid/>
        <w:spacing w:line="240" w:lineRule="auto"/>
        <w:ind w:left="-2" w:leftChars="0" w:firstLine="422" w:firstLineChars="0"/>
        <w:jc w:val="left"/>
        <w:textAlignment w:val="auto"/>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违约责任</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lang w:val="en-US" w:eastAsia="zh-CN" w:bidi="ar-SA"/>
        </w:rPr>
        <w:t>1</w:t>
      </w:r>
      <w:r>
        <w:rPr>
          <w:rFonts w:hint="eastAsia" w:asciiTheme="minorEastAsia" w:hAnsiTheme="minorEastAsia" w:eastAsiaTheme="minorEastAsia" w:cstheme="minorEastAsia"/>
          <w:color w:val="auto"/>
          <w:kern w:val="2"/>
          <w:sz w:val="21"/>
          <w:szCs w:val="21"/>
          <w:lang w:val="zh-CN" w:eastAsia="zh-CN" w:bidi="ar-SA"/>
        </w:rPr>
        <w:t>.</w:t>
      </w:r>
      <w:r>
        <w:rPr>
          <w:rFonts w:hint="eastAsia" w:asciiTheme="minorEastAsia" w:hAnsiTheme="minorEastAsia" w:eastAsiaTheme="minorEastAsia" w:cstheme="minorEastAsia"/>
          <w:color w:val="auto"/>
          <w:sz w:val="21"/>
          <w:szCs w:val="21"/>
          <w:highlight w:val="none"/>
          <w:lang w:val="zh-CN"/>
        </w:rPr>
        <w:t>如投标人未按照投标文件中承诺的时间交货或提供服务，投标人应承担延期交货和延期服务的违约责任，并赔偿采购人因此造成的实际经济损失。</w:t>
      </w:r>
    </w:p>
    <w:p>
      <w:pPr>
        <w:keepNext w:val="0"/>
        <w:keepLines w:val="0"/>
        <w:pageBreakBefore w:val="0"/>
        <w:widowControl w:val="0"/>
        <w:numPr>
          <w:ilvl w:val="0"/>
          <w:numId w:val="0"/>
        </w:numPr>
        <w:tabs>
          <w:tab w:val="left" w:pos="0"/>
          <w:tab w:val="left" w:pos="420"/>
        </w:tabs>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kern w:val="2"/>
          <w:sz w:val="21"/>
          <w:szCs w:val="21"/>
          <w:highlight w:val="none"/>
          <w:lang w:val="zh-CN" w:eastAsia="zh-CN" w:bidi="ar-SA"/>
        </w:rPr>
        <w:t>.</w:t>
      </w:r>
      <w:r>
        <w:rPr>
          <w:rFonts w:hint="eastAsia" w:asciiTheme="minorEastAsia" w:hAnsiTheme="minorEastAsia" w:eastAsiaTheme="minorEastAsia" w:cstheme="minorEastAsia"/>
          <w:color w:val="auto"/>
          <w:sz w:val="21"/>
          <w:szCs w:val="21"/>
          <w:highlight w:val="none"/>
          <w:lang w:val="zh-CN"/>
        </w:rPr>
        <w:t>投标人所提供耗材的品种、型号、规格、质量、技术参数等方面不能实质性满足</w:t>
      </w:r>
      <w:r>
        <w:rPr>
          <w:rFonts w:hint="eastAsia" w:asciiTheme="minorEastAsia" w:hAnsiTheme="minorEastAsia" w:eastAsiaTheme="minorEastAsia" w:cstheme="minorEastAsia"/>
          <w:color w:val="auto"/>
          <w:sz w:val="21"/>
          <w:szCs w:val="21"/>
          <w:highlight w:val="none"/>
          <w:lang w:val="en-US" w:eastAsia="zh-CN"/>
        </w:rPr>
        <w:t>招标</w:t>
      </w:r>
      <w:r>
        <w:rPr>
          <w:rFonts w:hint="eastAsia" w:asciiTheme="minorEastAsia" w:hAnsiTheme="minorEastAsia" w:eastAsiaTheme="minorEastAsia" w:cstheme="minorEastAsia"/>
          <w:color w:val="auto"/>
          <w:sz w:val="21"/>
          <w:szCs w:val="21"/>
          <w:highlight w:val="none"/>
          <w:lang w:val="zh-CN"/>
        </w:rPr>
        <w:t>文件要约的，采购人有权拒绝收货，投标人向采购人偿付项目采购金额千分之十（千分之十以上千分之二十以下）的违约金；造成严重后果的，根据《深圳经济特区政府采购条例》第五十七条第（二）款规定，由主管部门对中标人进行处罚。</w:t>
      </w:r>
    </w:p>
    <w:p>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投标人不能交付耗材的，投标人向采购人偿付项目采购金额千分之二十（千分之十以上千分之二十以下）的违约金；造成严重后果的，根据《深圳经济特区政府采购条例》第五十七条第（二）款规定，由主管部门对中标人进行处罚。</w:t>
      </w:r>
    </w:p>
    <w:p>
      <w:pPr>
        <w:ind w:firstLine="422" w:firstLineChars="200"/>
        <w:rPr>
          <w:rFonts w:hint="eastAsia" w:asciiTheme="minorEastAsia" w:hAnsiTheme="minorEastAsia" w:eastAsiaTheme="minorEastAsia" w:cstheme="minorEastAsia"/>
          <w:b/>
          <w:color w:val="FF0000"/>
          <w:sz w:val="21"/>
          <w:szCs w:val="21"/>
          <w:lang w:val="en-US" w:eastAsia="zh-CN"/>
        </w:rPr>
      </w:pPr>
      <w:r>
        <w:rPr>
          <w:rFonts w:hint="eastAsia" w:asciiTheme="minorEastAsia" w:hAnsiTheme="minorEastAsia" w:eastAsiaTheme="minorEastAsia" w:cstheme="minorEastAsia"/>
          <w:b/>
          <w:color w:val="FF0000"/>
          <w:sz w:val="21"/>
          <w:szCs w:val="21"/>
          <w:lang w:val="en-US" w:eastAsia="zh-CN"/>
        </w:rPr>
        <w:t>（十）项目（产品）要求</w:t>
      </w:r>
    </w:p>
    <w:p>
      <w:pPr>
        <w:pStyle w:val="18"/>
        <w:ind w:firstLine="422" w:firstLineChars="200"/>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w:t>
      </w:r>
      <w:r>
        <w:rPr>
          <w:rFonts w:hint="eastAsia" w:asciiTheme="minorEastAsia" w:hAnsiTheme="minorEastAsia" w:eastAsiaTheme="minorEastAsia" w:cstheme="minorEastAsia"/>
          <w:b/>
          <w:color w:val="FF0000"/>
          <w:sz w:val="21"/>
          <w:szCs w:val="21"/>
          <w:lang w:val="en-US" w:eastAsia="zh-CN"/>
        </w:rPr>
        <w:t>10</w:t>
      </w:r>
      <w:r>
        <w:rPr>
          <w:rFonts w:hint="eastAsia" w:asciiTheme="minorEastAsia" w:hAnsiTheme="minorEastAsia" w:eastAsiaTheme="minorEastAsia" w:cstheme="minorEastAsia"/>
          <w:b/>
          <w:color w:val="FF0000"/>
          <w:sz w:val="21"/>
          <w:szCs w:val="21"/>
        </w:rPr>
        <w:t>.1</w:t>
      </w:r>
      <w:r>
        <w:rPr>
          <w:rFonts w:hint="eastAsia" w:asciiTheme="minorEastAsia" w:hAnsiTheme="minorEastAsia" w:eastAsiaTheme="minorEastAsia" w:cstheme="minorEastAsia"/>
          <w:color w:val="FF0000"/>
          <w:sz w:val="21"/>
          <w:szCs w:val="21"/>
          <w:lang w:val="en-US" w:eastAsia="zh-CN"/>
        </w:rPr>
        <w:t>供应商</w:t>
      </w:r>
      <w:r>
        <w:rPr>
          <w:rFonts w:hint="eastAsia" w:asciiTheme="minorEastAsia" w:hAnsiTheme="minorEastAsia" w:eastAsiaTheme="minorEastAsia" w:cstheme="minorEastAsia"/>
          <w:b/>
          <w:color w:val="FF0000"/>
          <w:sz w:val="21"/>
          <w:szCs w:val="21"/>
        </w:rPr>
        <w:t>所投产品具备相关主管部门要求的认证资料：所</w:t>
      </w:r>
      <w:r>
        <w:rPr>
          <w:rFonts w:hint="eastAsia" w:asciiTheme="minorEastAsia" w:hAnsiTheme="minorEastAsia" w:eastAsiaTheme="minorEastAsia" w:cstheme="minorEastAsia"/>
          <w:b/>
          <w:color w:val="FF0000"/>
          <w:sz w:val="21"/>
          <w:szCs w:val="21"/>
          <w:lang w:val="en-US" w:eastAsia="zh-CN"/>
        </w:rPr>
        <w:t>应答</w:t>
      </w:r>
      <w:r>
        <w:rPr>
          <w:rFonts w:hint="eastAsia" w:asciiTheme="minorEastAsia" w:hAnsiTheme="minorEastAsia" w:eastAsiaTheme="minorEastAsia" w:cstheme="minorEastAsia"/>
          <w:b/>
          <w:color w:val="FF0000"/>
          <w:sz w:val="21"/>
          <w:szCs w:val="21"/>
        </w:rPr>
        <w:t>产品为第一类医疗器械的，</w:t>
      </w:r>
      <w:r>
        <w:rPr>
          <w:rFonts w:hint="eastAsia" w:asciiTheme="minorEastAsia" w:hAnsiTheme="minorEastAsia" w:eastAsiaTheme="minorEastAsia" w:cstheme="minorEastAsia"/>
          <w:b/>
          <w:color w:val="FF0000"/>
          <w:sz w:val="21"/>
          <w:szCs w:val="21"/>
          <w:lang w:val="en-US" w:eastAsia="zh-CN"/>
        </w:rPr>
        <w:t>应答时</w:t>
      </w:r>
      <w:r>
        <w:rPr>
          <w:rFonts w:hint="eastAsia" w:asciiTheme="minorEastAsia" w:hAnsiTheme="minorEastAsia" w:eastAsiaTheme="minorEastAsia" w:cstheme="minorEastAsia"/>
          <w:b/>
          <w:color w:val="FF0000"/>
          <w:sz w:val="21"/>
          <w:szCs w:val="21"/>
        </w:rPr>
        <w:t>提供监督管理部门签发的有效的《医疗器械备案凭证》扫描件；所</w:t>
      </w:r>
      <w:r>
        <w:rPr>
          <w:rFonts w:hint="eastAsia" w:asciiTheme="minorEastAsia" w:hAnsiTheme="minorEastAsia" w:eastAsiaTheme="minorEastAsia" w:cstheme="minorEastAsia"/>
          <w:b/>
          <w:color w:val="FF0000"/>
          <w:sz w:val="21"/>
          <w:szCs w:val="21"/>
          <w:lang w:val="en-US" w:eastAsia="zh-CN"/>
        </w:rPr>
        <w:t>应答</w:t>
      </w:r>
      <w:r>
        <w:rPr>
          <w:rFonts w:hint="eastAsia" w:asciiTheme="minorEastAsia" w:hAnsiTheme="minorEastAsia" w:eastAsiaTheme="minorEastAsia" w:cstheme="minorEastAsia"/>
          <w:b/>
          <w:color w:val="FF0000"/>
          <w:sz w:val="21"/>
          <w:szCs w:val="21"/>
        </w:rPr>
        <w:t>产品为第二、三类医疗器械的，</w:t>
      </w:r>
      <w:r>
        <w:rPr>
          <w:rFonts w:hint="eastAsia" w:asciiTheme="minorEastAsia" w:hAnsiTheme="minorEastAsia" w:eastAsiaTheme="minorEastAsia" w:cstheme="minorEastAsia"/>
          <w:b/>
          <w:color w:val="FF0000"/>
          <w:sz w:val="21"/>
          <w:szCs w:val="21"/>
          <w:lang w:val="en-US" w:eastAsia="zh-CN"/>
        </w:rPr>
        <w:t>应答时</w:t>
      </w:r>
      <w:r>
        <w:rPr>
          <w:rFonts w:hint="eastAsia" w:asciiTheme="minorEastAsia" w:hAnsiTheme="minorEastAsia" w:eastAsiaTheme="minorEastAsia" w:cstheme="minorEastAsia"/>
          <w:b/>
          <w:color w:val="FF0000"/>
          <w:sz w:val="21"/>
          <w:szCs w:val="21"/>
        </w:rPr>
        <w:t>提供监督管理部门签发的涵盖所</w:t>
      </w:r>
      <w:r>
        <w:rPr>
          <w:rFonts w:hint="eastAsia" w:asciiTheme="minorEastAsia" w:hAnsiTheme="minorEastAsia" w:eastAsiaTheme="minorEastAsia" w:cstheme="minorEastAsia"/>
          <w:b/>
          <w:color w:val="FF0000"/>
          <w:sz w:val="21"/>
          <w:szCs w:val="21"/>
          <w:lang w:val="en-US" w:eastAsia="zh-CN"/>
        </w:rPr>
        <w:t>应答</w:t>
      </w:r>
      <w:r>
        <w:rPr>
          <w:rFonts w:hint="eastAsia" w:asciiTheme="minorEastAsia" w:hAnsiTheme="minorEastAsia" w:eastAsiaTheme="minorEastAsia" w:cstheme="minorEastAsia"/>
          <w:b/>
          <w:color w:val="FF0000"/>
          <w:sz w:val="21"/>
          <w:szCs w:val="21"/>
        </w:rPr>
        <w:t>产品的《医疗器械注册证》(有效期内)扫描件。</w:t>
      </w:r>
    </w:p>
    <w:p>
      <w:pPr>
        <w:pStyle w:val="19"/>
        <w:ind w:firstLine="420"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b/>
          <w:color w:val="FF0000"/>
          <w:sz w:val="21"/>
          <w:szCs w:val="21"/>
          <w:lang w:val="en-US" w:eastAsia="zh-CN"/>
        </w:rPr>
        <w:t>10</w:t>
      </w:r>
      <w:r>
        <w:rPr>
          <w:rFonts w:hint="eastAsia" w:asciiTheme="minorEastAsia" w:hAnsiTheme="minorEastAsia" w:eastAsiaTheme="minorEastAsia" w:cstheme="minorEastAsia"/>
          <w:b/>
          <w:color w:val="FF0000"/>
          <w:sz w:val="21"/>
          <w:szCs w:val="21"/>
        </w:rPr>
        <w:t>.1若所</w:t>
      </w:r>
      <w:r>
        <w:rPr>
          <w:rFonts w:hint="eastAsia" w:asciiTheme="minorEastAsia" w:hAnsiTheme="minorEastAsia" w:eastAsiaTheme="minorEastAsia" w:cstheme="minorEastAsia"/>
          <w:b/>
          <w:color w:val="FF0000"/>
          <w:sz w:val="21"/>
          <w:szCs w:val="21"/>
          <w:lang w:val="en-US" w:eastAsia="zh-CN"/>
        </w:rPr>
        <w:t>应答</w:t>
      </w:r>
      <w:r>
        <w:rPr>
          <w:rFonts w:hint="eastAsia" w:asciiTheme="minorEastAsia" w:hAnsiTheme="minorEastAsia" w:eastAsiaTheme="minorEastAsia" w:cstheme="minorEastAsia"/>
          <w:b/>
          <w:color w:val="FF0000"/>
          <w:sz w:val="21"/>
          <w:szCs w:val="21"/>
        </w:rPr>
        <w:t>产品为进口，则</w:t>
      </w:r>
      <w:r>
        <w:rPr>
          <w:rFonts w:hint="eastAsia" w:asciiTheme="minorEastAsia" w:hAnsiTheme="minorEastAsia" w:eastAsiaTheme="minorEastAsia" w:cstheme="minorEastAsia"/>
          <w:b/>
          <w:color w:val="FF0000"/>
          <w:sz w:val="21"/>
          <w:szCs w:val="21"/>
          <w:lang w:val="en-US" w:eastAsia="zh-CN"/>
        </w:rPr>
        <w:t>供应商应答时</w:t>
      </w:r>
      <w:r>
        <w:rPr>
          <w:rFonts w:hint="eastAsia" w:asciiTheme="minorEastAsia" w:hAnsiTheme="minorEastAsia" w:eastAsiaTheme="minorEastAsia" w:cstheme="minorEastAsia"/>
          <w:b/>
          <w:color w:val="FF0000"/>
          <w:sz w:val="21"/>
          <w:szCs w:val="21"/>
        </w:rPr>
        <w:t>需提供由设备制造商或授权的中国总代理签署的合法有效的保修、维修承诺函（免费保修期满足招标文件要求）扫描件；若所</w:t>
      </w:r>
      <w:r>
        <w:rPr>
          <w:rFonts w:hint="eastAsia" w:asciiTheme="minorEastAsia" w:hAnsiTheme="minorEastAsia" w:eastAsiaTheme="minorEastAsia" w:cstheme="minorEastAsia"/>
          <w:b/>
          <w:color w:val="FF0000"/>
          <w:sz w:val="21"/>
          <w:szCs w:val="21"/>
          <w:lang w:val="en-US" w:eastAsia="zh-CN"/>
        </w:rPr>
        <w:t>应答</w:t>
      </w:r>
      <w:r>
        <w:rPr>
          <w:rFonts w:hint="eastAsia" w:asciiTheme="minorEastAsia" w:hAnsiTheme="minorEastAsia" w:eastAsiaTheme="minorEastAsia" w:cstheme="minorEastAsia"/>
          <w:b/>
          <w:color w:val="FF0000"/>
          <w:sz w:val="21"/>
          <w:szCs w:val="21"/>
        </w:rPr>
        <w:t>产品为国产产品，则无需提供。</w:t>
      </w:r>
    </w:p>
    <w:p>
      <w:pPr>
        <w:pStyle w:val="5"/>
        <w:spacing w:before="120" w:beforeLines="50" w:after="120" w:afterLines="50"/>
        <w:rPr>
          <w:sz w:val="28"/>
          <w:szCs w:val="28"/>
        </w:rPr>
      </w:pPr>
      <w:r>
        <w:rPr>
          <w:rFonts w:hint="eastAsia"/>
          <w:sz w:val="28"/>
          <w:szCs w:val="28"/>
        </w:rPr>
        <w:t>六、其他重要条款</w:t>
      </w:r>
    </w:p>
    <w:p>
      <w:pPr>
        <w:ind w:firstLine="420" w:firstLineChars="200"/>
        <w:rPr>
          <w:bCs/>
          <w:szCs w:val="21"/>
        </w:rPr>
      </w:pPr>
      <w:r>
        <w:rPr>
          <w:rFonts w:hint="eastAsia"/>
          <w:bCs/>
          <w:szCs w:val="21"/>
        </w:rPr>
        <w:t>1、本项目应答报价采用包干制，应包括成本、法定税费和相应的利润，应涵盖本项目采购范围和谈判文件所列的各项内容中所述的全部。由供应商根据采购需求自行测算应答报价；一经成交，应答报价即作为成交单位与采购人签定的合同金额。</w:t>
      </w:r>
    </w:p>
    <w:p>
      <w:pPr>
        <w:pStyle w:val="7"/>
        <w:spacing w:before="60" w:beforeLines="25" w:after="60" w:afterLines="25"/>
        <w:ind w:firstLine="392" w:firstLineChars="187"/>
        <w:rPr>
          <w:rFonts w:ascii="宋体" w:hAnsi="宋体"/>
          <w:szCs w:val="21"/>
        </w:rPr>
      </w:pPr>
      <w:r>
        <w:rPr>
          <w:bCs/>
          <w:szCs w:val="21"/>
        </w:rPr>
        <w:t>2</w:t>
      </w:r>
      <w:r>
        <w:rPr>
          <w:rFonts w:hint="eastAsia"/>
          <w:bCs/>
          <w:szCs w:val="21"/>
        </w:rPr>
        <w:t>、供应商应充分了解项目的位置、情况、道路及任何其它足以影响应答报价的情况，任何因忽视或误解项目情况而导致的索赔或服务期限延长申请将不获批准。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、供应商不得期望通过索赔等方式获取补偿，否则，除可能遭到拒绝外，还可能将被作为不良行为记录在案，并可能影响其以后正常参与政府采购项目。各供应商在应答报价时，应充分考虑风险。</w:t>
      </w:r>
    </w:p>
    <w:p>
      <w:pPr>
        <w:ind w:firstLine="420" w:firstLineChars="200"/>
        <w:rPr>
          <w:bCs/>
          <w:szCs w:val="21"/>
        </w:rPr>
      </w:pPr>
      <w:r>
        <w:rPr>
          <w:rFonts w:hint="eastAsia"/>
          <w:bCs/>
          <w:szCs w:val="21"/>
          <w:lang w:val="en-US" w:eastAsia="zh-CN"/>
        </w:rPr>
        <w:t>4</w:t>
      </w:r>
      <w:r>
        <w:rPr>
          <w:rFonts w:hint="eastAsia"/>
          <w:bCs/>
          <w:szCs w:val="21"/>
        </w:rPr>
        <w:t>、除政府采购合同继续履行将损害国家利益和社会公共利益外，双方当事人不得擅自变更、中止或者终止合同。</w:t>
      </w:r>
    </w:p>
    <w:p>
      <w:pPr>
        <w:ind w:firstLine="420" w:firstLineChars="200"/>
        <w:rPr>
          <w:rFonts w:hint="eastAsia" w:eastAsia="宋体"/>
          <w:bCs/>
          <w:szCs w:val="21"/>
          <w:lang w:eastAsia="zh-CN"/>
        </w:rPr>
      </w:pPr>
      <w:r>
        <w:rPr>
          <w:rFonts w:hint="eastAsia"/>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w:t>
      </w:r>
      <w:r>
        <w:rPr>
          <w:rFonts w:hint="eastAsia"/>
          <w:bCs/>
          <w:szCs w:val="21"/>
          <w:lang w:eastAsia="zh-CN"/>
        </w:rPr>
        <w:t>（</w:t>
      </w:r>
      <w:r>
        <w:rPr>
          <w:rFonts w:hint="eastAsia"/>
          <w:bCs/>
          <w:szCs w:val="21"/>
          <w:lang w:val="en-US" w:eastAsia="zh-CN"/>
        </w:rPr>
        <w:t>谈判</w:t>
      </w:r>
      <w:r>
        <w:rPr>
          <w:rFonts w:hint="eastAsia"/>
          <w:bCs/>
          <w:szCs w:val="21"/>
          <w:lang w:eastAsia="zh-CN"/>
        </w:rPr>
        <w:t>）</w:t>
      </w:r>
      <w:r>
        <w:rPr>
          <w:rFonts w:hint="eastAsia"/>
          <w:bCs/>
          <w:szCs w:val="21"/>
        </w:rPr>
        <w:t>当日的查询结果为准</w:t>
      </w:r>
      <w:r>
        <w:rPr>
          <w:rFonts w:hint="eastAsia"/>
          <w:bCs/>
          <w:szCs w:val="21"/>
          <w:lang w:eastAsia="zh-CN"/>
        </w:rPr>
        <w:t>。</w:t>
      </w:r>
    </w:p>
    <w:p>
      <w:pPr>
        <w:rPr>
          <w:rFonts w:ascii="宋体" w:hAnsi="宋体"/>
          <w:highlight w:val="none"/>
        </w:rPr>
        <w:sectPr>
          <w:pgSz w:w="11907" w:h="16840"/>
          <w:pgMar w:top="1440" w:right="1797" w:bottom="1440" w:left="1797" w:header="851" w:footer="992" w:gutter="0"/>
          <w:cols w:space="425" w:num="1"/>
          <w:titlePg/>
          <w:docGrid w:linePitch="462" w:charSpace="0"/>
        </w:sectPr>
      </w:pPr>
    </w:p>
    <w:p>
      <w:pPr>
        <w:pStyle w:val="5"/>
        <w:rPr>
          <w:kern w:val="2"/>
        </w:rPr>
      </w:pPr>
      <w:r>
        <w:rPr>
          <w:rFonts w:hint="eastAsia"/>
          <w:kern w:val="2"/>
        </w:rPr>
        <w:t>第四章</w:t>
      </w:r>
      <w:r>
        <w:rPr>
          <w:kern w:val="2"/>
        </w:rPr>
        <w:t xml:space="preserve"> </w:t>
      </w:r>
      <w:r>
        <w:rPr>
          <w:rFonts w:hint="eastAsia"/>
          <w:kern w:val="2"/>
        </w:rPr>
        <w:t xml:space="preserve"> 应答文件组成要求及格式</w:t>
      </w:r>
    </w:p>
    <w:p>
      <w:pPr>
        <w:rPr>
          <w:rStyle w:val="58"/>
          <w:sz w:val="24"/>
        </w:rPr>
      </w:pPr>
      <w:r>
        <w:rPr>
          <w:rStyle w:val="58"/>
          <w:rFonts w:hint="eastAsia"/>
          <w:sz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rPr>
      </w:pPr>
      <w:bookmarkStart w:id="42" w:name="_Hlk72257167"/>
      <w:r>
        <w:rPr>
          <w:rFonts w:hint="eastAsia" w:ascii="宋体" w:hAnsi="宋体" w:eastAsia="宋体" w:cs="宋体"/>
          <w:b/>
          <w:color w:val="FF0000"/>
          <w:sz w:val="24"/>
          <w:szCs w:val="24"/>
          <w:highlight w:val="none"/>
          <w:lang w:val="en-US" w:eastAsia="zh-CN"/>
        </w:rPr>
        <w:t>1、</w:t>
      </w:r>
      <w:r>
        <w:rPr>
          <w:rFonts w:hint="eastAsia" w:ascii="宋体" w:hAnsi="宋体" w:eastAsia="宋体" w:cs="宋体"/>
          <w:b/>
          <w:color w:val="FF0000"/>
          <w:sz w:val="24"/>
          <w:szCs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lang w:val="en-US" w:eastAsia="zh-CN"/>
        </w:rPr>
        <w:t>2、</w:t>
      </w:r>
      <w:r>
        <w:rPr>
          <w:rFonts w:hint="eastAsia" w:ascii="宋体" w:hAnsi="宋体" w:eastAsia="宋体" w:cs="宋体"/>
          <w:b/>
          <w:color w:val="FF0000"/>
          <w:sz w:val="24"/>
          <w:szCs w:val="24"/>
          <w:highlight w:val="none"/>
        </w:rPr>
        <w:t>投标文件</w:t>
      </w:r>
      <w:r>
        <w:rPr>
          <w:rFonts w:hint="eastAsia" w:ascii="宋体" w:hAnsi="宋体" w:eastAsia="宋体" w:cs="宋体"/>
          <w:b/>
          <w:color w:val="FF0000"/>
          <w:sz w:val="24"/>
          <w:szCs w:val="24"/>
          <w:highlight w:val="none"/>
          <w:lang w:val="en-US" w:eastAsia="zh-CN"/>
        </w:rPr>
        <w:t>正文（信息公开部分）必须编制于“正文（公开部分）”部分，投标文件附件（非信息公开部分）必须编制于“附件（不公开部分）”部分。</w:t>
      </w:r>
    </w:p>
    <w:p>
      <w:pPr>
        <w:ind w:firstLine="482" w:firstLineChars="200"/>
        <w:rPr>
          <w:rFonts w:ascii="仿宋_GB2312" w:eastAsia="仿宋_GB2312"/>
          <w:sz w:val="24"/>
        </w:rPr>
      </w:pPr>
      <w:r>
        <w:rPr>
          <w:rFonts w:hint="eastAsia" w:ascii="宋体" w:hAnsi="宋体" w:eastAsia="宋体" w:cs="宋体"/>
          <w:b/>
          <w:color w:val="FF0000"/>
          <w:sz w:val="24"/>
          <w:szCs w:val="24"/>
          <w:highlight w:val="none"/>
          <w:lang w:val="en-US" w:eastAsia="zh-CN"/>
        </w:rPr>
        <w:t>3、</w:t>
      </w:r>
      <w:r>
        <w:rPr>
          <w:rFonts w:hint="eastAsia" w:ascii="宋体" w:hAnsi="宋体" w:cs="宋体"/>
          <w:b/>
          <w:color w:val="FF0000"/>
          <w:sz w:val="24"/>
          <w:szCs w:val="24"/>
          <w:highlight w:val="none"/>
          <w:lang w:val="en-US" w:eastAsia="zh-CN"/>
        </w:rPr>
        <w:t>代理机构</w:t>
      </w:r>
      <w:r>
        <w:rPr>
          <w:rFonts w:hint="eastAsia" w:ascii="宋体" w:hAnsi="宋体" w:eastAsia="宋体" w:cs="宋体"/>
          <w:b/>
          <w:color w:val="FF0000"/>
          <w:sz w:val="24"/>
          <w:szCs w:val="24"/>
          <w:highlight w:val="none"/>
          <w:lang w:val="en-US" w:eastAsia="zh-CN"/>
        </w:rPr>
        <w:t>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bookmarkEnd w:id="42"/>
    <w:p>
      <w:pPr>
        <w:rPr>
          <w:rFonts w:ascii="仿宋_GB2312" w:eastAsia="仿宋_GB2312"/>
          <w:sz w:val="24"/>
        </w:rPr>
      </w:pPr>
    </w:p>
    <w:p>
      <w:pPr>
        <w:pStyle w:val="18"/>
        <w:rPr>
          <w:rFonts w:ascii="仿宋_GB2312" w:eastAsia="仿宋_GB2312"/>
          <w:sz w:val="24"/>
        </w:rPr>
      </w:pPr>
    </w:p>
    <w:p>
      <w:pPr>
        <w:pStyle w:val="18"/>
        <w:rPr>
          <w:rFonts w:ascii="仿宋_GB2312" w:eastAsia="仿宋_GB2312"/>
          <w:sz w:val="24"/>
        </w:rPr>
      </w:pPr>
    </w:p>
    <w:p>
      <w:pPr>
        <w:pStyle w:val="18"/>
        <w:rPr>
          <w:rFonts w:ascii="仿宋_GB2312" w:eastAsia="仿宋_GB2312"/>
          <w:sz w:val="24"/>
        </w:rPr>
      </w:pPr>
    </w:p>
    <w:p>
      <w:pPr>
        <w:pStyle w:val="18"/>
        <w:rPr>
          <w:rFonts w:ascii="仿宋_GB2312" w:eastAsia="仿宋_GB2312"/>
          <w:sz w:val="24"/>
        </w:rPr>
      </w:pPr>
    </w:p>
    <w:p>
      <w:pPr>
        <w:pStyle w:val="18"/>
        <w:rPr>
          <w:rFonts w:ascii="仿宋_GB2312" w:eastAsia="仿宋_GB2312"/>
          <w:sz w:val="24"/>
        </w:rPr>
      </w:pPr>
    </w:p>
    <w:p>
      <w:pPr>
        <w:pStyle w:val="18"/>
        <w:rPr>
          <w:rFonts w:ascii="仿宋_GB2312" w:eastAsia="仿宋_GB2312"/>
          <w:sz w:val="24"/>
        </w:rPr>
      </w:pPr>
    </w:p>
    <w:p>
      <w:pPr>
        <w:outlineLvl w:val="0"/>
        <w:rPr>
          <w:rStyle w:val="58"/>
          <w:sz w:val="28"/>
          <w:szCs w:val="28"/>
        </w:rPr>
      </w:pPr>
      <w:r>
        <w:rPr>
          <w:rStyle w:val="58"/>
          <w:rFonts w:hint="eastAsia"/>
          <w:sz w:val="28"/>
          <w:szCs w:val="28"/>
        </w:rPr>
        <w:t>应答文件组成：</w:t>
      </w:r>
    </w:p>
    <w:p>
      <w:pPr>
        <w:jc w:val="center"/>
      </w:pPr>
      <w:r>
        <w:rPr>
          <w:rFonts w:hint="eastAsia"/>
        </w:rPr>
        <w:t>1.应答文件正文</w:t>
      </w:r>
      <w:r>
        <w:rPr>
          <w:rFonts w:hint="eastAsia"/>
          <w:b/>
          <w:color w:val="FF0000"/>
        </w:rPr>
        <w:t>（信息公开部分）</w:t>
      </w:r>
      <w:r>
        <w:rPr>
          <w:rFonts w:hint="eastAsia"/>
        </w:rPr>
        <w:t>，主要包括以下内容：</w:t>
      </w:r>
    </w:p>
    <w:p>
      <w:pPr>
        <w:ind w:left="718" w:leftChars="342" w:firstLine="1417" w:firstLineChars="675"/>
        <w:rPr>
          <w:szCs w:val="21"/>
        </w:rPr>
      </w:pPr>
      <w:r>
        <w:rPr>
          <w:rFonts w:hint="eastAsia"/>
          <w:szCs w:val="21"/>
        </w:rPr>
        <w:t>（1）应答书</w:t>
      </w:r>
    </w:p>
    <w:p>
      <w:pPr>
        <w:ind w:left="718" w:leftChars="342" w:firstLine="1417" w:firstLineChars="675"/>
        <w:rPr>
          <w:szCs w:val="21"/>
        </w:rPr>
      </w:pPr>
      <w:r>
        <w:rPr>
          <w:rFonts w:hint="eastAsia"/>
          <w:szCs w:val="21"/>
        </w:rPr>
        <w:t>（2）政府采购应答及履约承诺函</w:t>
      </w:r>
    </w:p>
    <w:p>
      <w:pPr>
        <w:ind w:left="718" w:leftChars="342" w:firstLine="1417" w:firstLineChars="675"/>
        <w:rPr>
          <w:szCs w:val="21"/>
        </w:rPr>
      </w:pPr>
      <w:r>
        <w:rPr>
          <w:rFonts w:hint="eastAsia"/>
          <w:szCs w:val="21"/>
        </w:rPr>
        <w:t>（</w:t>
      </w:r>
      <w:r>
        <w:rPr>
          <w:szCs w:val="21"/>
        </w:rPr>
        <w:t>3</w:t>
      </w:r>
      <w:r>
        <w:rPr>
          <w:rFonts w:hint="eastAsia"/>
          <w:szCs w:val="21"/>
        </w:rPr>
        <w:t>）供应商情况及资格证明文件</w:t>
      </w:r>
    </w:p>
    <w:p>
      <w:pPr>
        <w:ind w:left="718" w:leftChars="342" w:firstLine="1417" w:firstLineChars="675"/>
        <w:rPr>
          <w:rFonts w:hint="eastAsia"/>
          <w:highlight w:val="none"/>
        </w:rPr>
      </w:pPr>
      <w:bookmarkStart w:id="43" w:name="_Hlk72257201"/>
      <w:r>
        <w:rPr>
          <w:rFonts w:hint="eastAsia"/>
          <w:szCs w:val="21"/>
        </w:rPr>
        <w:t>（</w:t>
      </w:r>
      <w:r>
        <w:rPr>
          <w:szCs w:val="21"/>
        </w:rPr>
        <w:t>4</w:t>
      </w:r>
      <w:r>
        <w:rPr>
          <w:rFonts w:hint="eastAsia"/>
          <w:szCs w:val="21"/>
        </w:rPr>
        <w:t>）项目详细报价</w:t>
      </w:r>
      <w:bookmarkEnd w:id="43"/>
    </w:p>
    <w:p>
      <w:pPr>
        <w:jc w:val="center"/>
        <w:rPr>
          <w:highlight w:val="none"/>
        </w:rPr>
      </w:pPr>
      <w:r>
        <w:rPr>
          <w:rFonts w:hint="eastAsia"/>
          <w:highlight w:val="none"/>
        </w:rPr>
        <w:t>2.应答文件附件</w:t>
      </w:r>
      <w:r>
        <w:rPr>
          <w:rFonts w:hint="eastAsia"/>
          <w:b/>
          <w:color w:val="FF0000"/>
          <w:highlight w:val="none"/>
        </w:rPr>
        <w:t>（信息不公开部分）</w:t>
      </w:r>
      <w:r>
        <w:rPr>
          <w:rFonts w:hint="eastAsia"/>
          <w:highlight w:val="none"/>
        </w:rPr>
        <w:t>：主要包括以下内容：</w:t>
      </w:r>
    </w:p>
    <w:p>
      <w:pPr>
        <w:ind w:firstLine="2100" w:firstLineChars="1000"/>
        <w:rPr>
          <w:szCs w:val="21"/>
          <w:highlight w:val="none"/>
        </w:rPr>
      </w:pPr>
      <w:r>
        <w:rPr>
          <w:rFonts w:hint="eastAsia"/>
          <w:szCs w:val="21"/>
          <w:highlight w:val="none"/>
        </w:rPr>
        <w:t>（1）法定代表人（负责人）证明书</w:t>
      </w:r>
    </w:p>
    <w:p>
      <w:pPr>
        <w:ind w:left="718" w:leftChars="342" w:firstLine="1417" w:firstLineChars="675"/>
        <w:rPr>
          <w:szCs w:val="21"/>
          <w:highlight w:val="none"/>
        </w:rPr>
      </w:pPr>
      <w:r>
        <w:rPr>
          <w:rFonts w:hint="eastAsia"/>
          <w:szCs w:val="21"/>
          <w:highlight w:val="none"/>
        </w:rPr>
        <w:t>（2）谈判应答文件签署授权委托书</w:t>
      </w:r>
    </w:p>
    <w:p>
      <w:pPr>
        <w:ind w:left="718" w:leftChars="342" w:firstLine="1417" w:firstLineChars="675"/>
        <w:rPr>
          <w:szCs w:val="21"/>
          <w:highlight w:val="none"/>
        </w:rPr>
      </w:pPr>
      <w:bookmarkStart w:id="44" w:name="OLE_LINK164"/>
      <w:r>
        <w:rPr>
          <w:rFonts w:hint="eastAsia"/>
          <w:szCs w:val="21"/>
          <w:highlight w:val="none"/>
        </w:rPr>
        <w:t>（3）</w:t>
      </w:r>
      <w:bookmarkEnd w:id="44"/>
      <w:r>
        <w:rPr>
          <w:szCs w:val="21"/>
          <w:highlight w:val="none"/>
        </w:rPr>
        <w:t>实质性条款响应情况表</w:t>
      </w:r>
    </w:p>
    <w:p>
      <w:pPr>
        <w:ind w:left="718" w:leftChars="342" w:firstLine="1417" w:firstLineChars="675"/>
        <w:rPr>
          <w:rFonts w:ascii="Times New Roman" w:hAnsi="Times New Roman" w:eastAsia="宋体" w:cs="Times New Roman"/>
          <w:szCs w:val="21"/>
          <w:highlight w:val="none"/>
        </w:rPr>
      </w:pPr>
      <w:r>
        <w:rPr>
          <w:rFonts w:hint="eastAsia"/>
          <w:szCs w:val="21"/>
          <w:highlight w:val="none"/>
        </w:rPr>
        <w:t>（4）</w:t>
      </w:r>
      <w:r>
        <w:rPr>
          <w:rFonts w:hint="eastAsia" w:ascii="Times New Roman" w:hAnsi="Times New Roman" w:eastAsia="宋体" w:cs="Times New Roman"/>
          <w:szCs w:val="21"/>
          <w:highlight w:val="none"/>
          <w:lang w:val="en-US" w:eastAsia="zh-CN"/>
        </w:rPr>
        <w:t>供应商</w:t>
      </w:r>
      <w:r>
        <w:rPr>
          <w:rFonts w:hint="eastAsia" w:ascii="Times New Roman" w:hAnsi="Times New Roman" w:eastAsia="宋体" w:cs="Times New Roman"/>
          <w:szCs w:val="21"/>
          <w:highlight w:val="none"/>
        </w:rPr>
        <w:t>认为需要加以说明的其他内容（格式自定）</w:t>
      </w:r>
    </w:p>
    <w:p>
      <w:pPr>
        <w:ind w:left="718" w:leftChars="342" w:firstLine="1417" w:firstLineChars="675"/>
        <w:rPr>
          <w:szCs w:val="21"/>
          <w:highlight w:val="none"/>
        </w:rPr>
      </w:pPr>
    </w:p>
    <w:p>
      <w:pPr>
        <w:ind w:left="718" w:leftChars="342" w:firstLine="1417" w:firstLineChars="675"/>
        <w:rPr>
          <w:rFonts w:hint="eastAsia"/>
          <w:szCs w:val="21"/>
          <w:highlight w:val="none"/>
        </w:rPr>
      </w:pPr>
    </w:p>
    <w:p>
      <w:pPr>
        <w:ind w:firstLine="426" w:firstLineChars="202"/>
        <w:rPr>
          <w:rFonts w:ascii="宋体" w:hAnsi="宋体"/>
          <w:b/>
          <w:szCs w:val="21"/>
          <w:highlight w:val="none"/>
        </w:rPr>
      </w:pPr>
      <w:r>
        <w:rPr>
          <w:rFonts w:hint="eastAsia" w:ascii="宋体" w:hAnsi="宋体"/>
          <w:b/>
          <w:szCs w:val="21"/>
          <w:highlight w:val="none"/>
        </w:rPr>
        <w:t>备注：</w:t>
      </w:r>
    </w:p>
    <w:p>
      <w:pPr>
        <w:ind w:firstLine="426" w:firstLineChars="202"/>
        <w:rPr>
          <w:rFonts w:ascii="宋体" w:hAnsi="宋体"/>
          <w:b/>
          <w:szCs w:val="21"/>
          <w:highlight w:val="none"/>
        </w:rPr>
      </w:pPr>
      <w:r>
        <w:rPr>
          <w:rFonts w:hint="eastAsia" w:ascii="宋体" w:hAnsi="宋体"/>
          <w:b/>
          <w:szCs w:val="21"/>
          <w:highlight w:val="none"/>
        </w:rPr>
        <w:t>1.本项目为网上电子</w:t>
      </w:r>
      <w:r>
        <w:rPr>
          <w:rFonts w:hint="eastAsia" w:ascii="宋体" w:hAnsi="宋体"/>
          <w:b/>
          <w:szCs w:val="21"/>
          <w:highlight w:val="none"/>
          <w:lang w:val="en-US" w:eastAsia="zh-CN"/>
        </w:rPr>
        <w:t>应答</w:t>
      </w:r>
      <w:r>
        <w:rPr>
          <w:rFonts w:hint="eastAsia" w:ascii="宋体" w:hAnsi="宋体"/>
          <w:b/>
          <w:szCs w:val="21"/>
          <w:highlight w:val="none"/>
        </w:rPr>
        <w:t>项目，</w:t>
      </w:r>
      <w:r>
        <w:rPr>
          <w:rFonts w:hint="eastAsia" w:ascii="宋体" w:hAnsi="宋体"/>
          <w:b/>
          <w:szCs w:val="21"/>
          <w:highlight w:val="none"/>
          <w:lang w:val="en-US" w:eastAsia="zh-CN"/>
        </w:rPr>
        <w:t>应答</w:t>
      </w:r>
      <w:r>
        <w:rPr>
          <w:rFonts w:hint="eastAsia" w:ascii="宋体" w:hAnsi="宋体"/>
          <w:b/>
          <w:szCs w:val="21"/>
          <w:highlight w:val="none"/>
        </w:rPr>
        <w:t>文件不需法人或授权委托人另行签字，无需加盖单位公章，</w:t>
      </w:r>
      <w:r>
        <w:rPr>
          <w:rFonts w:hint="eastAsia" w:ascii="宋体" w:hAnsi="宋体"/>
          <w:b/>
          <w:szCs w:val="21"/>
          <w:highlight w:val="none"/>
          <w:lang w:val="en-US" w:eastAsia="zh-CN"/>
        </w:rPr>
        <w:t>采购</w:t>
      </w:r>
      <w:r>
        <w:rPr>
          <w:rFonts w:hint="eastAsia" w:ascii="宋体" w:hAnsi="宋体"/>
          <w:b/>
          <w:szCs w:val="21"/>
          <w:highlight w:val="none"/>
        </w:rPr>
        <w:t>文件另有规定的除外。</w:t>
      </w:r>
    </w:p>
    <w:p>
      <w:pPr>
        <w:pStyle w:val="18"/>
        <w:rPr>
          <w:rFonts w:hint="eastAsia"/>
          <w:highlight w:val="none"/>
        </w:rPr>
        <w:sectPr>
          <w:pgSz w:w="11907" w:h="16840"/>
          <w:pgMar w:top="1440" w:right="1797" w:bottom="1440" w:left="1797" w:header="851" w:footer="992" w:gutter="0"/>
          <w:cols w:space="425" w:num="1"/>
          <w:titlePg/>
          <w:docGrid w:linePitch="462" w:charSpace="0"/>
        </w:sectPr>
      </w:pPr>
    </w:p>
    <w:p>
      <w:pPr>
        <w:outlineLvl w:val="1"/>
        <w:rPr>
          <w:rFonts w:ascii="宋体" w:hAnsi="宋体"/>
          <w:b/>
          <w:color w:val="FF0000"/>
          <w:sz w:val="28"/>
          <w:szCs w:val="28"/>
        </w:rPr>
      </w:pPr>
      <w:r>
        <w:rPr>
          <w:rFonts w:hint="eastAsia" w:ascii="宋体" w:hAnsi="宋体"/>
          <w:b/>
          <w:color w:val="FF0000"/>
          <w:sz w:val="28"/>
          <w:szCs w:val="28"/>
        </w:rPr>
        <w:t>应答文件正文（信息公开部分）</w:t>
      </w:r>
    </w:p>
    <w:p>
      <w:pPr>
        <w:pStyle w:val="3"/>
        <w:spacing w:before="120" w:after="120"/>
        <w:jc w:val="center"/>
        <w:rPr>
          <w:rFonts w:ascii="黑体" w:eastAsia="黑体"/>
          <w:b w:val="0"/>
          <w:sz w:val="24"/>
        </w:rPr>
      </w:pPr>
      <w:r>
        <w:rPr>
          <w:rFonts w:hint="eastAsia" w:ascii="黑体" w:eastAsia="黑体"/>
          <w:b w:val="0"/>
          <w:sz w:val="24"/>
        </w:rPr>
        <w:t>一、应答书</w:t>
      </w:r>
    </w:p>
    <w:p>
      <w:pPr>
        <w:rPr>
          <w:rFonts w:ascii="宋体" w:hAnsi="宋体"/>
          <w:color w:val="FF0000"/>
          <w:sz w:val="24"/>
        </w:rPr>
      </w:pPr>
    </w:p>
    <w:p>
      <w:pPr>
        <w:spacing w:line="360" w:lineRule="auto"/>
        <w:rPr>
          <w:rFonts w:ascii="宋体" w:hAnsi="宋体"/>
          <w:szCs w:val="21"/>
        </w:rPr>
      </w:pPr>
      <w:r>
        <w:rPr>
          <w:rFonts w:hint="eastAsia" w:ascii="宋体" w:hAnsi="宋体"/>
          <w:szCs w:val="21"/>
        </w:rPr>
        <w:t>致：深圳公共资源交易中心</w:t>
      </w:r>
    </w:p>
    <w:p>
      <w:pPr>
        <w:ind w:firstLine="420" w:firstLineChars="200"/>
        <w:rPr>
          <w:rFonts w:ascii="宋体" w:hAnsi="宋体"/>
          <w:szCs w:val="21"/>
        </w:rPr>
      </w:pPr>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项目的谈判公告，遵照《深圳经济特区政府采购条例》和《深圳网上政府采购管理暂行办法》等有关规定，我单位经研究谈判文件后，</w:t>
      </w:r>
      <w:r>
        <w:rPr>
          <w:rFonts w:hint="eastAsia" w:ascii="宋体" w:hAnsi="宋体"/>
          <w:szCs w:val="21"/>
        </w:rPr>
        <w:t>代表</w:t>
      </w:r>
      <w:r>
        <w:rPr>
          <w:rFonts w:hint="eastAsia" w:ascii="宋体" w:hAnsi="宋体"/>
          <w:szCs w:val="21"/>
          <w:u w:val="single"/>
        </w:rPr>
        <w:t xml:space="preserve">    </w:t>
      </w:r>
      <w:r>
        <w:rPr>
          <w:rFonts w:hint="eastAsia" w:ascii="宋体" w:hAnsi="宋体"/>
          <w:szCs w:val="21"/>
        </w:rPr>
        <w:t>（姓名、职务）经正式授权并代表</w:t>
      </w:r>
      <w:r>
        <w:rPr>
          <w:rFonts w:hint="eastAsia" w:ascii="宋体" w:hAnsi="宋体"/>
          <w:szCs w:val="21"/>
          <w:u w:val="single"/>
        </w:rPr>
        <w:t xml:space="preserve">    </w:t>
      </w:r>
      <w:r>
        <w:rPr>
          <w:rFonts w:hint="eastAsia" w:ascii="宋体" w:hAnsi="宋体"/>
          <w:szCs w:val="21"/>
        </w:rPr>
        <w:t>（供应商名称、地址）提交电子谈判应答文件一份。</w:t>
      </w:r>
    </w:p>
    <w:p>
      <w:pPr>
        <w:ind w:firstLine="420" w:firstLineChars="200"/>
        <w:rPr>
          <w:rFonts w:ascii="宋体" w:hAnsi="宋体"/>
          <w:szCs w:val="21"/>
        </w:rPr>
      </w:pPr>
      <w:r>
        <w:rPr>
          <w:rFonts w:ascii="宋体" w:hAnsi="宋体"/>
          <w:szCs w:val="21"/>
        </w:rPr>
        <w:t>2</w:t>
      </w:r>
      <w:r>
        <w:rPr>
          <w:rFonts w:hint="eastAsia" w:ascii="宋体" w:hAnsi="宋体"/>
          <w:szCs w:val="21"/>
        </w:rPr>
        <w:t>、谈判价格具体见“项目详细报价”，具体以谈判最终报价为准。</w:t>
      </w:r>
    </w:p>
    <w:p>
      <w:pPr>
        <w:ind w:firstLine="420" w:firstLineChars="200"/>
        <w:rPr>
          <w:rFonts w:ascii="宋体" w:hAnsi="宋体"/>
          <w:szCs w:val="21"/>
        </w:rPr>
      </w:pPr>
      <w:r>
        <w:rPr>
          <w:rFonts w:ascii="宋体" w:hAnsi="宋体"/>
          <w:szCs w:val="21"/>
        </w:rPr>
        <w:t>3</w:t>
      </w:r>
      <w:r>
        <w:rPr>
          <w:rFonts w:hint="eastAsia" w:ascii="宋体" w:hAnsi="宋体"/>
          <w:szCs w:val="21"/>
        </w:rPr>
        <w:t>、如果我单位获得成交资格，我单位将按照谈判文件的要求足额提交履约担保。</w:t>
      </w:r>
    </w:p>
    <w:p>
      <w:pPr>
        <w:ind w:firstLine="420" w:firstLineChars="200"/>
        <w:rPr>
          <w:rFonts w:ascii="宋体" w:hAnsi="宋体"/>
          <w:szCs w:val="21"/>
        </w:rPr>
      </w:pPr>
      <w:r>
        <w:rPr>
          <w:rFonts w:ascii="宋体" w:hAnsi="宋体"/>
          <w:szCs w:val="21"/>
        </w:rPr>
        <w:t>4</w:t>
      </w:r>
      <w:r>
        <w:rPr>
          <w:rFonts w:hint="eastAsia" w:ascii="宋体" w:hAnsi="宋体"/>
          <w:szCs w:val="21"/>
        </w:rPr>
        <w:t>、我单位同意所递交的应答文件在“对谈判须知条款的补充内容”中明确的谈判应答有效期内有效，在此期间内我单位有可能获得成交资格，我单位将受此约束，履行合同责任和义务。</w:t>
      </w:r>
    </w:p>
    <w:p>
      <w:pPr>
        <w:ind w:firstLine="420" w:firstLineChars="200"/>
        <w:rPr>
          <w:rFonts w:ascii="宋体" w:hAnsi="宋体"/>
          <w:szCs w:val="21"/>
        </w:rPr>
      </w:pPr>
      <w:r>
        <w:rPr>
          <w:rFonts w:ascii="宋体" w:hAnsi="宋体"/>
          <w:szCs w:val="21"/>
        </w:rPr>
        <w:t>5</w:t>
      </w:r>
      <w:r>
        <w:rPr>
          <w:rFonts w:hint="eastAsia" w:ascii="宋体" w:hAnsi="宋体"/>
          <w:szCs w:val="21"/>
        </w:rPr>
        <w:t>、除非另外达成协议并生效，贵单位的成交通知书和本应答文件（含谈判过程中的其他承诺）将构成合同的重要内容。</w:t>
      </w:r>
    </w:p>
    <w:p>
      <w:pPr>
        <w:ind w:firstLine="420" w:firstLineChars="200"/>
        <w:rPr>
          <w:rFonts w:ascii="宋体" w:hAnsi="宋体"/>
          <w:szCs w:val="21"/>
        </w:rPr>
      </w:pPr>
      <w:r>
        <w:rPr>
          <w:rFonts w:ascii="宋体" w:hAnsi="宋体"/>
          <w:szCs w:val="21"/>
        </w:rPr>
        <w:t>6</w:t>
      </w:r>
      <w:r>
        <w:rPr>
          <w:rFonts w:hint="eastAsia" w:ascii="宋体" w:hAnsi="宋体"/>
          <w:szCs w:val="21"/>
        </w:rPr>
        <w:t>、我单位理解贵单位将不受必须接受所收到的最低报价或其它任何应答文件的约束。</w:t>
      </w:r>
    </w:p>
    <w:p>
      <w:pPr>
        <w:ind w:firstLine="420" w:firstLineChars="200"/>
        <w:rPr>
          <w:rFonts w:ascii="宋体" w:hAnsi="宋体"/>
          <w:szCs w:val="21"/>
        </w:rPr>
      </w:pPr>
      <w:r>
        <w:rPr>
          <w:rFonts w:hint="eastAsia" w:ascii="宋体" w:hAnsi="宋体"/>
          <w:szCs w:val="21"/>
        </w:rPr>
        <w:t>7、如我单位提交样品，且未在规定时间内取回样品的，视同放弃取回，同意深圳公共资源交易中心对我单位提交的样品进行清理。</w:t>
      </w:r>
    </w:p>
    <w:p>
      <w:pPr>
        <w:spacing w:line="360" w:lineRule="auto"/>
        <w:rPr>
          <w:rFonts w:ascii="宋体" w:hAnsi="宋体"/>
          <w:szCs w:val="21"/>
        </w:rPr>
      </w:pPr>
    </w:p>
    <w:p>
      <w:pPr>
        <w:ind w:left="540" w:leftChars="257"/>
        <w:rPr>
          <w:rFonts w:hint="eastAsia" w:eastAsia="宋体"/>
          <w:szCs w:val="21"/>
          <w:u w:val="single"/>
          <w:lang w:eastAsia="zh-CN"/>
        </w:rPr>
      </w:pPr>
      <w:r>
        <w:rPr>
          <w:rFonts w:hint="eastAsia"/>
          <w:szCs w:val="21"/>
        </w:rPr>
        <w:t>供应商</w:t>
      </w:r>
      <w:r>
        <w:rPr>
          <w:rFonts w:hint="eastAsia"/>
          <w:szCs w:val="21"/>
          <w:lang w:val="en-US" w:eastAsia="zh-CN"/>
        </w:rPr>
        <w:t>名称</w:t>
      </w:r>
      <w:r>
        <w:rPr>
          <w:rFonts w:hint="eastAsia"/>
          <w:szCs w:val="21"/>
        </w:rPr>
        <w:t>：</w:t>
      </w:r>
      <w:r>
        <w:rPr>
          <w:rFonts w:hint="eastAsia"/>
          <w:szCs w:val="21"/>
          <w:u w:val="single"/>
        </w:rPr>
        <w:t xml:space="preserve">                   </w:t>
      </w:r>
      <w:r>
        <w:rPr>
          <w:rFonts w:hint="eastAsia"/>
          <w:szCs w:val="21"/>
        </w:rPr>
        <w:t xml:space="preserve">    单位地址：</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ind w:left="540" w:leftChars="257"/>
        <w:rPr>
          <w:rFonts w:hint="eastAsia" w:eastAsia="宋体"/>
          <w:szCs w:val="21"/>
          <w:u w:val="single"/>
          <w:lang w:eastAsia="zh-CN"/>
        </w:rPr>
      </w:pPr>
      <w:r>
        <w:rPr>
          <w:rFonts w:hint="eastAsia"/>
          <w:szCs w:val="21"/>
        </w:rPr>
        <w:t>法定代表人（负责人）或其</w:t>
      </w:r>
      <w:r>
        <w:rPr>
          <w:rFonts w:hint="eastAsia"/>
          <w:szCs w:val="21"/>
          <w:lang w:val="en-US" w:eastAsia="zh-CN"/>
        </w:rPr>
        <w:t>授权委托</w:t>
      </w:r>
      <w:r>
        <w:rPr>
          <w:rFonts w:hint="eastAsia"/>
          <w:szCs w:val="21"/>
        </w:rPr>
        <w:t>代理人：</w:t>
      </w:r>
      <w:r>
        <w:rPr>
          <w:rFonts w:hint="eastAsia"/>
          <w:szCs w:val="21"/>
          <w:u w:val="single"/>
        </w:rPr>
        <w:t xml:space="preserve">                   </w:t>
      </w:r>
      <w:r>
        <w:rPr>
          <w:rFonts w:hint="eastAsia"/>
          <w:szCs w:val="21"/>
          <w:u w:val="none"/>
          <w:lang w:eastAsia="zh-CN"/>
        </w:rPr>
        <w:t>；</w:t>
      </w:r>
    </w:p>
    <w:p>
      <w:pPr>
        <w:ind w:left="540" w:leftChars="257" w:firstLine="0" w:firstLineChars="0"/>
        <w:rPr>
          <w:rFonts w:hint="eastAsia" w:eastAsia="宋体"/>
          <w:szCs w:val="21"/>
          <w:u w:val="single"/>
          <w:lang w:eastAsia="zh-CN"/>
        </w:rPr>
      </w:pPr>
      <w:r>
        <w:rPr>
          <w:rFonts w:hint="eastAsia"/>
          <w:szCs w:val="21"/>
          <w:lang w:val="en-US" w:eastAsia="zh-CN"/>
        </w:rPr>
        <w:t>开户银行名称：</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ind w:left="540" w:leftChars="257"/>
        <w:rPr>
          <w:rFonts w:hint="eastAsia" w:eastAsia="宋体"/>
          <w:szCs w:val="21"/>
          <w:u w:val="single"/>
          <w:lang w:eastAsia="zh-CN"/>
        </w:rPr>
      </w:pPr>
      <w:r>
        <w:rPr>
          <w:rFonts w:hint="eastAsia"/>
          <w:szCs w:val="21"/>
          <w:u w:val="none"/>
          <w:lang w:val="en-US" w:eastAsia="zh-CN"/>
        </w:rPr>
        <w:t>开户银行账号</w:t>
      </w:r>
      <w:r>
        <w:rPr>
          <w:rFonts w:hint="eastAsia"/>
          <w:szCs w:val="21"/>
          <w:u w:val="none"/>
        </w:rPr>
        <w:t xml:space="preserve"> </w:t>
      </w:r>
      <w:r>
        <w:rPr>
          <w:rFonts w:hint="eastAsia"/>
          <w:szCs w:val="21"/>
          <w:u w:val="none"/>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ind w:left="540" w:leftChars="257"/>
        <w:rPr>
          <w:rFonts w:hint="eastAsia" w:eastAsia="宋体"/>
          <w:szCs w:val="21"/>
          <w:lang w:eastAsia="zh-CN"/>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r>
        <w:rPr>
          <w:rFonts w:hint="eastAsia"/>
          <w:szCs w:val="21"/>
          <w:u w:val="none"/>
          <w:lang w:eastAsia="zh-CN"/>
        </w:rPr>
        <w:t>；</w:t>
      </w:r>
    </w:p>
    <w:p>
      <w:pPr>
        <w:spacing w:line="360" w:lineRule="auto"/>
        <w:ind w:firstLine="560"/>
        <w:rPr>
          <w:rFonts w:hint="eastAsia" w:ascii="宋体" w:hAnsi="宋体"/>
          <w:szCs w:val="21"/>
        </w:rPr>
      </w:pPr>
    </w:p>
    <w:p>
      <w:pPr>
        <w:spacing w:line="360" w:lineRule="auto"/>
        <w:ind w:firstLine="560"/>
        <w:rPr>
          <w:rFonts w:hint="eastAsia"/>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60"/>
        <w:rPr>
          <w:rFonts w:hint="eastAsia"/>
          <w:szCs w:val="21"/>
        </w:rPr>
      </w:pPr>
    </w:p>
    <w:p>
      <w:pPr>
        <w:pStyle w:val="3"/>
        <w:jc w:val="center"/>
        <w:rPr>
          <w:rFonts w:ascii="黑体" w:eastAsia="黑体"/>
          <w:b w:val="0"/>
          <w:sz w:val="24"/>
        </w:rPr>
      </w:pPr>
      <w:r>
        <w:rPr>
          <w:rFonts w:hint="eastAsia" w:ascii="黑体" w:eastAsia="黑体"/>
          <w:b w:val="0"/>
          <w:sz w:val="24"/>
        </w:rPr>
        <w:t>二、政府采购应答及履约承诺函</w:t>
      </w: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highlight w:val="none"/>
        </w:rPr>
      </w:pPr>
      <w:r>
        <w:rPr>
          <w:rFonts w:hint="eastAsia" w:ascii="宋体" w:hAnsi="宋体"/>
          <w:szCs w:val="21"/>
        </w:rPr>
        <w:t>1.</w:t>
      </w:r>
      <w:r>
        <w:rPr>
          <w:rFonts w:hint="eastAsia" w:ascii="宋体" w:hAnsi="宋体"/>
          <w:b w:val="0"/>
          <w:bCs/>
          <w:szCs w:val="21"/>
        </w:rPr>
        <w:t>我单位参与本项目所投标（响应）的货物、工程或服务，不存在侵犯知识产权的情况。</w:t>
      </w:r>
    </w:p>
    <w:p>
      <w:pPr>
        <w:ind w:firstLine="420" w:firstLineChars="200"/>
        <w:rPr>
          <w:rFonts w:ascii="宋体" w:hAnsi="宋体"/>
          <w:szCs w:val="21"/>
          <w:highlight w:val="none"/>
        </w:rPr>
      </w:pPr>
      <w:r>
        <w:rPr>
          <w:rFonts w:hint="eastAsia" w:ascii="宋体" w:hAnsi="宋体"/>
          <w:szCs w:val="21"/>
          <w:highlight w:val="none"/>
        </w:rPr>
        <w:t>2.我单位参与本项目</w:t>
      </w:r>
      <w:r>
        <w:rPr>
          <w:rFonts w:hint="eastAsia"/>
          <w:highlight w:val="none"/>
        </w:rPr>
        <w:t>政府采购活动时不存在被有关部门禁止参与政府采购活动且在有效期内的情况。符合</w:t>
      </w:r>
      <w:r>
        <w:rPr>
          <w:rFonts w:hint="eastAsia"/>
          <w:highlight w:val="none"/>
          <w:lang w:val="en-US" w:eastAsia="zh-CN"/>
        </w:rPr>
        <w:t>谈判文件</w:t>
      </w:r>
      <w:r>
        <w:rPr>
          <w:rFonts w:hint="eastAsia"/>
          <w:highlight w:val="none"/>
        </w:rPr>
        <w:t>关于联合体及进口产品的相关资格要求。</w:t>
      </w:r>
    </w:p>
    <w:p>
      <w:pPr>
        <w:ind w:firstLine="420" w:firstLineChars="200"/>
        <w:rPr>
          <w:rFonts w:ascii="宋体" w:hAnsi="宋体"/>
          <w:szCs w:val="21"/>
          <w:highlight w:val="none"/>
        </w:rPr>
      </w:pPr>
      <w:r>
        <w:rPr>
          <w:rFonts w:hint="eastAsia" w:ascii="宋体" w:hAnsi="宋体"/>
          <w:szCs w:val="21"/>
          <w:highlight w:val="none"/>
        </w:rPr>
        <w:t>3.我单位具备《中华人民共和国政府采购法》第二十二条第一款</w:t>
      </w:r>
      <w:r>
        <w:rPr>
          <w:rFonts w:hint="eastAsia" w:ascii="宋体" w:hAnsi="宋体"/>
          <w:szCs w:val="21"/>
          <w:highlight w:val="none"/>
          <w:lang w:eastAsia="zh-CN"/>
        </w:rPr>
        <w:t>的</w:t>
      </w:r>
      <w:r>
        <w:rPr>
          <w:rFonts w:hint="eastAsia" w:ascii="宋体" w:hAnsi="宋体"/>
          <w:szCs w:val="21"/>
          <w:highlight w:val="none"/>
        </w:rPr>
        <w:t>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谈判，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获得成交资格，将做到守信，不偷工减料，依照本项目谈判文件需求内容、签署的采购合同及本单位在谈判中所作的一切承诺履约。我单位对本项目的报价负责，成交后将严格按照本项目谈判文件需求、签署的采购合同及我单位在谈判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.我单位承诺成交后项目不转包，未经采购人同意不进行分包。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eastAsia="宋体"/>
          <w:lang w:val="en-US" w:eastAsia="zh-CN"/>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w:t>
      </w:r>
      <w:r>
        <w:rPr>
          <w:rFonts w:hint="eastAsia" w:ascii="宋体" w:hAnsi="宋体"/>
          <w:lang w:val="en-US" w:eastAsia="zh-CN"/>
        </w:rPr>
        <w:t>响应</w:t>
      </w:r>
      <w:r>
        <w:rPr>
          <w:rFonts w:hint="eastAsia" w:ascii="宋体" w:hAnsi="宋体"/>
        </w:rPr>
        <w:t>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w:t>
      </w:r>
      <w:r>
        <w:rPr>
          <w:rFonts w:hint="eastAsia" w:ascii="宋体" w:hAnsi="宋体"/>
          <w:lang w:val="en-US" w:eastAsia="zh-CN"/>
        </w:rPr>
        <w:t>响应</w:t>
      </w:r>
      <w:r>
        <w:rPr>
          <w:rFonts w:hint="eastAsia" w:ascii="宋体" w:hAnsi="宋体"/>
        </w:rPr>
        <w:t>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ascii="宋体" w:hAnsi="宋体"/>
          <w:b w:val="0"/>
          <w:bCs/>
        </w:rPr>
      </w:pPr>
      <w:r>
        <w:rPr>
          <w:rFonts w:hint="eastAsia" w:ascii="宋体" w:hAnsi="宋体"/>
          <w:b w:val="0"/>
          <w:bCs/>
        </w:rPr>
        <w:t>1</w:t>
      </w:r>
      <w:r>
        <w:rPr>
          <w:rFonts w:hint="eastAsia" w:ascii="宋体" w:hAnsi="宋体"/>
          <w:b w:val="0"/>
          <w:bCs/>
          <w:lang w:val="en-US" w:eastAsia="zh-CN"/>
        </w:rPr>
        <w:t>2</w:t>
      </w:r>
      <w:r>
        <w:rPr>
          <w:rFonts w:hint="eastAsia" w:ascii="宋体" w:hAnsi="宋体"/>
          <w:b w:val="0"/>
          <w:bCs/>
        </w:rPr>
        <w:t>.我单位已知悉并同意中标（成交）结果信息公示（公开）的内容。</w:t>
      </w:r>
    </w:p>
    <w:p>
      <w:pPr>
        <w:ind w:firstLine="420" w:firstLineChars="200"/>
        <w:rPr>
          <w:rFonts w:hint="default" w:ascii="宋体" w:hAnsi="宋体"/>
          <w:b/>
          <w:szCs w:val="21"/>
          <w:highlight w:val="none"/>
          <w:lang w:val="en-US"/>
        </w:rPr>
      </w:pPr>
      <w:r>
        <w:rPr>
          <w:rFonts w:hint="eastAsia" w:ascii="宋体" w:hAnsi="宋体" w:cs="宋体"/>
          <w:b w:val="0"/>
          <w:bCs/>
          <w:kern w:val="0"/>
          <w:szCs w:val="21"/>
        </w:rPr>
        <w:t>1</w:t>
      </w:r>
      <w:r>
        <w:rPr>
          <w:rFonts w:hint="eastAsia" w:ascii="宋体" w:hAnsi="宋体" w:cs="宋体"/>
          <w:b w:val="0"/>
          <w:bCs/>
          <w:kern w:val="0"/>
          <w:szCs w:val="21"/>
          <w:lang w:val="en-US" w:eastAsia="zh-CN"/>
        </w:rPr>
        <w:t>3</w:t>
      </w:r>
      <w:r>
        <w:rPr>
          <w:rFonts w:hint="eastAsia" w:ascii="宋体" w:hAnsi="宋体" w:cs="宋体"/>
          <w:b w:val="0"/>
          <w:bCs/>
          <w:kern w:val="0"/>
          <w:szCs w:val="21"/>
        </w:rPr>
        <w:t>.</w:t>
      </w:r>
      <w:r>
        <w:rPr>
          <w:rFonts w:hint="eastAsia" w:ascii="宋体" w:hAnsi="宋体"/>
          <w:b/>
          <w:lang w:val="en-US" w:eastAsia="zh-CN"/>
        </w:rPr>
        <w:t>我单位清楚，如存在违反应答承诺行</w:t>
      </w:r>
      <w:r>
        <w:rPr>
          <w:rFonts w:hint="eastAsia" w:ascii="宋体" w:hAnsi="宋体"/>
          <w:b/>
          <w:highlight w:val="none"/>
          <w:lang w:val="en-US" w:eastAsia="zh-CN"/>
        </w:rPr>
        <w:t>为情节严重的，将根据《深圳市财政局关于印发&lt;深圳市财政局政府采购供应商信用信息管理办法&gt;的通知》，依法被列入失信信息。</w:t>
      </w:r>
    </w:p>
    <w:p>
      <w:pPr>
        <w:ind w:firstLine="420" w:firstLineChars="200"/>
        <w:rPr>
          <w:rFonts w:ascii="宋体" w:hAnsi="宋体"/>
          <w:highlight w:val="none"/>
        </w:rPr>
      </w:pPr>
      <w:r>
        <w:rPr>
          <w:rFonts w:hint="default" w:ascii="宋体" w:hAnsi="宋体"/>
          <w:b w:val="0"/>
          <w:bCs/>
          <w:highlight w:val="none"/>
          <w:lang w:val="en-US" w:eastAsia="zh-CN"/>
        </w:rPr>
        <w:t>1</w:t>
      </w:r>
      <w:r>
        <w:rPr>
          <w:rFonts w:hint="eastAsia" w:ascii="宋体" w:hAnsi="宋体"/>
          <w:b w:val="0"/>
          <w:bCs/>
          <w:highlight w:val="none"/>
          <w:lang w:val="en-US" w:eastAsia="zh-CN"/>
        </w:rPr>
        <w:t>4</w:t>
      </w:r>
      <w:r>
        <w:rPr>
          <w:rFonts w:hint="default" w:ascii="宋体" w:hAnsi="宋体"/>
          <w:b w:val="0"/>
          <w:bCs/>
          <w:highlight w:val="none"/>
          <w:lang w:val="en-US" w:eastAsia="zh-CN"/>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highlight w:val="none"/>
        </w:rPr>
      </w:pPr>
      <w:r>
        <w:rPr>
          <w:rFonts w:hint="eastAsia" w:ascii="宋体" w:hAnsi="宋体"/>
          <w:szCs w:val="21"/>
          <w:highlight w:val="none"/>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line="360" w:lineRule="auto"/>
        <w:ind w:firstLine="5460" w:firstLineChars="2600"/>
        <w:rPr>
          <w:color w:val="FF0000"/>
          <w:szCs w:val="21"/>
        </w:rPr>
      </w:pPr>
    </w:p>
    <w:p>
      <w:pPr>
        <w:spacing w:line="360" w:lineRule="auto"/>
        <w:ind w:firstLine="5460" w:firstLineChars="2600"/>
        <w:rPr>
          <w:rFonts w:ascii="宋体" w:hAnsi="宋体"/>
          <w:szCs w:val="21"/>
        </w:rPr>
      </w:pPr>
      <w:r>
        <w:rPr>
          <w:rFonts w:hint="eastAsia"/>
          <w:szCs w:val="21"/>
        </w:rPr>
        <w:t>供应商：</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645"/>
        <w:rPr>
          <w:rFonts w:ascii="宋体" w:hAnsi="宋体"/>
          <w:szCs w:val="21"/>
        </w:rPr>
      </w:pPr>
      <w:r>
        <w:rPr>
          <w:rFonts w:hint="eastAsia" w:ascii="宋体" w:hAnsi="宋体"/>
          <w:szCs w:val="21"/>
        </w:rPr>
        <w:t xml:space="preserve">                                              日</w:t>
      </w:r>
      <w:r>
        <w:rPr>
          <w:rFonts w:hint="eastAsia" w:ascii="宋体" w:hAnsi="宋体"/>
          <w:szCs w:val="21"/>
          <w:lang w:val="en-US" w:eastAsia="zh-CN"/>
        </w:rPr>
        <w:t xml:space="preserve">  </w:t>
      </w:r>
      <w:r>
        <w:rPr>
          <w:rFonts w:hint="eastAsia" w:ascii="宋体" w:hAnsi="宋体"/>
          <w:szCs w:val="21"/>
        </w:rPr>
        <w:t>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560"/>
        <w:rPr>
          <w:rFonts w:hint="eastAsia"/>
          <w:sz w:val="24"/>
        </w:rPr>
      </w:pPr>
    </w:p>
    <w:p>
      <w:pPr>
        <w:spacing w:line="360" w:lineRule="auto"/>
        <w:ind w:firstLine="560"/>
        <w:rPr>
          <w:rFonts w:hint="eastAsia"/>
          <w:sz w:val="24"/>
        </w:rPr>
      </w:pPr>
    </w:p>
    <w:p>
      <w:pPr>
        <w:pStyle w:val="3"/>
        <w:jc w:val="center"/>
        <w:rPr>
          <w:rFonts w:ascii="黑体" w:eastAsia="黑体"/>
          <w:b w:val="0"/>
          <w:sz w:val="24"/>
          <w:szCs w:val="24"/>
        </w:rPr>
      </w:pPr>
      <w:r>
        <w:rPr>
          <w:rFonts w:hint="eastAsia" w:ascii="黑体" w:eastAsia="黑体"/>
          <w:b w:val="0"/>
          <w:sz w:val="24"/>
          <w:szCs w:val="24"/>
        </w:rPr>
        <w:t>三、供应商情况及资格证明文件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（一）供应商资格证明文件</w:t>
      </w:r>
    </w:p>
    <w:p>
      <w:pPr>
        <w:spacing w:before="120" w:beforeLines="50"/>
        <w:ind w:firstLine="422" w:firstLineChars="200"/>
        <w:rPr>
          <w:b/>
          <w:bCs/>
          <w:color w:val="FF0000"/>
          <w:sz w:val="24"/>
        </w:rPr>
      </w:pPr>
      <w:r>
        <w:rPr>
          <w:rFonts w:hint="eastAsia"/>
          <w:b/>
          <w:bCs/>
          <w:color w:val="FF0000"/>
        </w:rPr>
        <w:t>【特别提示：供应商须按本谈判文件第一章谈判公告 “申请人的资格要求”（即供应商资格要求）提供相关的资格证明资料，未提供或提供不完整、不符合要求的，将作</w:t>
      </w:r>
      <w:r>
        <w:rPr>
          <w:rFonts w:hint="eastAsia"/>
          <w:b/>
          <w:bCs/>
          <w:color w:val="FF0000"/>
          <w:lang w:val="en-US" w:eastAsia="zh-CN"/>
        </w:rPr>
        <w:t>应答</w:t>
      </w:r>
      <w:r>
        <w:rPr>
          <w:rFonts w:hint="eastAsia"/>
          <w:b/>
          <w:bCs/>
          <w:color w:val="FF0000"/>
        </w:rPr>
        <w:t>无效处理，其中要求提供《政府采购投标及履约承诺函》且已在“二、政府采购投标及履约承诺函”章节中提供了，此处可不重复提供。】</w:t>
      </w:r>
    </w:p>
    <w:p>
      <w:pPr>
        <w:pStyle w:val="3"/>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1312"/>
        <w:gridCol w:w="453"/>
        <w:gridCol w:w="513"/>
        <w:gridCol w:w="480"/>
        <w:gridCol w:w="532"/>
        <w:gridCol w:w="453"/>
        <w:gridCol w:w="453"/>
        <w:gridCol w:w="1129"/>
        <w:gridCol w:w="480"/>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bCs/>
                <w:szCs w:val="21"/>
              </w:rPr>
            </w:pPr>
            <w:r>
              <w:rPr>
                <w:rFonts w:hint="eastAsia"/>
                <w:bCs/>
                <w:szCs w:val="21"/>
              </w:rPr>
              <w:t>序号</w:t>
            </w:r>
          </w:p>
        </w:tc>
        <w:tc>
          <w:tcPr>
            <w:tcW w:w="0" w:type="auto"/>
            <w:vAlign w:val="center"/>
          </w:tcPr>
          <w:p>
            <w:pPr>
              <w:jc w:val="center"/>
              <w:rPr>
                <w:rFonts w:hint="eastAsia"/>
                <w:szCs w:val="21"/>
              </w:rPr>
            </w:pPr>
            <w:r>
              <w:rPr>
                <w:rFonts w:hint="eastAsia"/>
                <w:bCs/>
                <w:szCs w:val="21"/>
              </w:rPr>
              <w:t>货物名称（标的名称）</w:t>
            </w:r>
          </w:p>
        </w:tc>
        <w:tc>
          <w:tcPr>
            <w:tcW w:w="0" w:type="auto"/>
            <w:vAlign w:val="center"/>
          </w:tcPr>
          <w:p>
            <w:pPr>
              <w:jc w:val="center"/>
              <w:rPr>
                <w:rFonts w:hint="eastAsia"/>
                <w:bCs/>
                <w:szCs w:val="21"/>
              </w:rPr>
            </w:pPr>
            <w:r>
              <w:rPr>
                <w:rFonts w:hint="eastAsia"/>
                <w:szCs w:val="21"/>
              </w:rPr>
              <w:t>品牌</w:t>
            </w:r>
          </w:p>
        </w:tc>
        <w:tc>
          <w:tcPr>
            <w:tcW w:w="0" w:type="auto"/>
            <w:vAlign w:val="center"/>
          </w:tcPr>
          <w:p>
            <w:pPr>
              <w:jc w:val="center"/>
              <w:rPr>
                <w:rFonts w:hint="eastAsia"/>
                <w:bCs/>
                <w:szCs w:val="21"/>
              </w:rPr>
            </w:pPr>
            <w:r>
              <w:rPr>
                <w:rFonts w:hint="eastAsia"/>
                <w:szCs w:val="21"/>
              </w:rPr>
              <w:t>规格/型号</w:t>
            </w:r>
          </w:p>
        </w:tc>
        <w:tc>
          <w:tcPr>
            <w:tcW w:w="0" w:type="auto"/>
            <w:vAlign w:val="center"/>
          </w:tcPr>
          <w:p>
            <w:pPr>
              <w:jc w:val="center"/>
              <w:rPr>
                <w:rFonts w:hint="eastAsia"/>
                <w:bCs/>
                <w:szCs w:val="21"/>
              </w:rPr>
            </w:pPr>
            <w:r>
              <w:rPr>
                <w:rFonts w:hint="eastAsia"/>
                <w:b/>
                <w:color w:val="FF0000"/>
                <w:szCs w:val="21"/>
              </w:rPr>
              <w:t>原产地</w:t>
            </w:r>
          </w:p>
        </w:tc>
        <w:tc>
          <w:tcPr>
            <w:tcW w:w="0" w:type="auto"/>
            <w:vAlign w:val="center"/>
          </w:tcPr>
          <w:p>
            <w:pPr>
              <w:jc w:val="center"/>
              <w:rPr>
                <w:rFonts w:hint="eastAsia"/>
                <w:bCs/>
                <w:szCs w:val="21"/>
              </w:rPr>
            </w:pPr>
            <w:r>
              <w:rPr>
                <w:rFonts w:hint="eastAsia"/>
                <w:szCs w:val="21"/>
              </w:rPr>
              <w:t>制造商名称</w:t>
            </w:r>
          </w:p>
        </w:tc>
        <w:tc>
          <w:tcPr>
            <w:tcW w:w="0" w:type="auto"/>
            <w:vAlign w:val="center"/>
          </w:tcPr>
          <w:p>
            <w:pPr>
              <w:jc w:val="center"/>
              <w:rPr>
                <w:bCs/>
                <w:szCs w:val="21"/>
              </w:rPr>
            </w:pPr>
            <w:r>
              <w:rPr>
                <w:rFonts w:hint="eastAsia"/>
                <w:bCs/>
                <w:szCs w:val="21"/>
              </w:rPr>
              <w:t>数量</w:t>
            </w:r>
          </w:p>
        </w:tc>
        <w:tc>
          <w:tcPr>
            <w:tcW w:w="0" w:type="auto"/>
            <w:vAlign w:val="center"/>
          </w:tcPr>
          <w:p>
            <w:pPr>
              <w:jc w:val="center"/>
              <w:rPr>
                <w:bCs/>
                <w:szCs w:val="21"/>
              </w:rPr>
            </w:pPr>
            <w:r>
              <w:rPr>
                <w:rFonts w:hint="eastAsia"/>
                <w:bCs/>
                <w:szCs w:val="21"/>
              </w:rPr>
              <w:t>单位</w:t>
            </w:r>
          </w:p>
        </w:tc>
        <w:tc>
          <w:tcPr>
            <w:tcW w:w="0" w:type="auto"/>
            <w:vAlign w:val="center"/>
          </w:tcPr>
          <w:p>
            <w:pPr>
              <w:jc w:val="center"/>
              <w:rPr>
                <w:b/>
                <w:bCs/>
                <w:color w:val="FF0000"/>
                <w:szCs w:val="21"/>
              </w:rPr>
            </w:pPr>
            <w:r>
              <w:rPr>
                <w:rFonts w:hint="eastAsia"/>
                <w:b/>
                <w:bCs/>
                <w:color w:val="FF0000"/>
                <w:szCs w:val="21"/>
              </w:rPr>
              <w:t>最高</w:t>
            </w:r>
            <w:r>
              <w:rPr>
                <w:rFonts w:hint="eastAsia"/>
                <w:b/>
                <w:bCs/>
                <w:color w:val="FF0000"/>
                <w:szCs w:val="21"/>
                <w:lang w:val="en-US" w:eastAsia="zh-CN"/>
              </w:rPr>
              <w:t>单价</w:t>
            </w:r>
            <w:r>
              <w:rPr>
                <w:rFonts w:hint="eastAsia"/>
                <w:b/>
                <w:bCs/>
                <w:color w:val="FF0000"/>
                <w:szCs w:val="21"/>
              </w:rPr>
              <w:t>限价（元）</w:t>
            </w:r>
          </w:p>
        </w:tc>
        <w:tc>
          <w:tcPr>
            <w:tcW w:w="0" w:type="auto"/>
            <w:vAlign w:val="center"/>
          </w:tcPr>
          <w:p>
            <w:pPr>
              <w:jc w:val="center"/>
              <w:rPr>
                <w:rFonts w:hint="eastAsia"/>
                <w:b/>
                <w:bCs/>
                <w:color w:val="FF0000"/>
                <w:szCs w:val="21"/>
              </w:rPr>
            </w:pPr>
            <w:r>
              <w:rPr>
                <w:rFonts w:hint="eastAsia"/>
                <w:b/>
                <w:bCs/>
                <w:color w:val="FF0000"/>
                <w:szCs w:val="21"/>
              </w:rPr>
              <w:t>折扣率</w:t>
            </w:r>
          </w:p>
        </w:tc>
        <w:tc>
          <w:tcPr>
            <w:tcW w:w="0" w:type="auto"/>
            <w:vAlign w:val="center"/>
          </w:tcPr>
          <w:p>
            <w:pPr>
              <w:jc w:val="center"/>
              <w:rPr>
                <w:rFonts w:hint="eastAsia"/>
                <w:b/>
                <w:bCs/>
                <w:color w:val="FF0000"/>
                <w:szCs w:val="21"/>
              </w:rPr>
            </w:pPr>
            <w:r>
              <w:rPr>
                <w:rFonts w:hint="eastAsia"/>
                <w:b/>
                <w:bCs/>
                <w:color w:val="FF0000"/>
                <w:szCs w:val="21"/>
              </w:rPr>
              <w:t>预算金额（元）</w:t>
            </w:r>
          </w:p>
        </w:tc>
        <w:tc>
          <w:tcPr>
            <w:tcW w:w="0" w:type="auto"/>
            <w:vAlign w:val="center"/>
          </w:tcPr>
          <w:p>
            <w:pPr>
              <w:jc w:val="center"/>
              <w:rPr>
                <w:b/>
                <w:bCs/>
                <w:color w:val="FF0000"/>
                <w:szCs w:val="21"/>
              </w:rPr>
            </w:pPr>
            <w:r>
              <w:rPr>
                <w:rFonts w:hint="eastAsia"/>
                <w:b/>
                <w:bCs/>
                <w:color w:val="FF0000"/>
                <w:szCs w:val="21"/>
              </w:rPr>
              <w:t>支付上限（元）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bCs/>
                <w:szCs w:val="21"/>
              </w:rPr>
            </w:pPr>
            <w:r>
              <w:rPr>
                <w:rFonts w:hint="eastAsia"/>
                <w:bCs/>
                <w:szCs w:val="21"/>
              </w:rPr>
              <w:t>1</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ACE手术弯剪</w:t>
            </w:r>
          </w:p>
        </w:tc>
        <w:tc>
          <w:tcPr>
            <w:tcW w:w="0" w:type="auto"/>
            <w:vAlign w:val="center"/>
          </w:tcPr>
          <w:p>
            <w:pPr>
              <w:jc w:val="center"/>
              <w:rPr>
                <w:rFonts w:hint="eastAsia"/>
              </w:rPr>
            </w:pPr>
          </w:p>
        </w:tc>
        <w:tc>
          <w:tcPr>
            <w:tcW w:w="0" w:type="auto"/>
            <w:vAlign w:val="center"/>
          </w:tcPr>
          <w:p>
            <w:pPr>
              <w:jc w:val="center"/>
              <w:rPr>
                <w:rFonts w:hint="eastAsia"/>
              </w:rPr>
            </w:pPr>
          </w:p>
        </w:tc>
        <w:tc>
          <w:tcPr>
            <w:tcW w:w="0" w:type="auto"/>
            <w:vAlign w:val="center"/>
          </w:tcPr>
          <w:p>
            <w:pPr>
              <w:jc w:val="center"/>
              <w:rPr>
                <w:rFonts w:hint="eastAsia"/>
              </w:rPr>
            </w:pPr>
          </w:p>
        </w:tc>
        <w:tc>
          <w:tcPr>
            <w:tcW w:w="0" w:type="auto"/>
            <w:vAlign w:val="center"/>
          </w:tcPr>
          <w:p>
            <w:pPr>
              <w:jc w:val="center"/>
              <w:rPr>
                <w:rFonts w:hint="eastAsia"/>
              </w:rPr>
            </w:pPr>
          </w:p>
        </w:tc>
        <w:tc>
          <w:tcPr>
            <w:tcW w:w="0" w:type="auto"/>
            <w:vMerge w:val="restart"/>
            <w:vAlign w:val="center"/>
          </w:tcPr>
          <w:p>
            <w:pPr>
              <w:jc w:val="center"/>
            </w:pPr>
            <w:r>
              <w:rPr>
                <w:rFonts w:hint="eastAsia"/>
              </w:rPr>
              <w:t>1</w:t>
            </w:r>
          </w:p>
        </w:tc>
        <w:tc>
          <w:tcPr>
            <w:tcW w:w="0" w:type="auto"/>
            <w:vMerge w:val="restart"/>
            <w:vAlign w:val="center"/>
          </w:tcPr>
          <w:p>
            <w:pPr>
              <w:jc w:val="center"/>
              <w:rPr>
                <w:bCs/>
                <w:szCs w:val="21"/>
              </w:rPr>
            </w:pPr>
            <w:r>
              <w:rPr>
                <w:rFonts w:hint="eastAsia"/>
                <w:bCs/>
                <w:szCs w:val="21"/>
              </w:rPr>
              <w:t>批</w:t>
            </w:r>
          </w:p>
        </w:tc>
        <w:tc>
          <w:tcPr>
            <w:tcW w:w="0" w:type="auto"/>
            <w:vAlign w:val="center"/>
          </w:tcPr>
          <w:p>
            <w:pPr>
              <w:keepNext w:val="0"/>
              <w:keepLines w:val="0"/>
              <w:widowControl/>
              <w:suppressLineNumbers w:val="0"/>
              <w:jc w:val="center"/>
              <w:textAlignment w:val="center"/>
              <w:rPr>
                <w:szCs w:val="21"/>
              </w:rPr>
            </w:pPr>
            <w:r>
              <w:rPr>
                <w:rFonts w:ascii="宋体" w:hAnsi="宋体" w:eastAsia="宋体" w:cs="宋体"/>
                <w:i w:val="0"/>
                <w:iCs w:val="0"/>
                <w:color w:val="000000"/>
                <w:kern w:val="0"/>
                <w:sz w:val="22"/>
                <w:szCs w:val="22"/>
                <w:highlight w:val="none"/>
                <w:u w:val="none"/>
                <w:lang w:val="en-US" w:eastAsia="zh-CN" w:bidi="ar"/>
              </w:rPr>
              <w:t>8922.16</w:t>
            </w:r>
          </w:p>
        </w:tc>
        <w:tc>
          <w:tcPr>
            <w:tcW w:w="0" w:type="auto"/>
            <w:vMerge w:val="restart"/>
            <w:vAlign w:val="center"/>
          </w:tcPr>
          <w:p>
            <w:pPr>
              <w:jc w:val="center"/>
              <w:rPr>
                <w:szCs w:val="21"/>
              </w:rPr>
            </w:pPr>
          </w:p>
        </w:tc>
        <w:tc>
          <w:tcPr>
            <w:tcW w:w="0" w:type="auto"/>
            <w:vMerge w:val="restart"/>
            <w:vAlign w:val="center"/>
          </w:tcPr>
          <w:p>
            <w:pPr>
              <w:jc w:val="center"/>
              <w:rPr>
                <w:b/>
                <w:bCs/>
                <w:color w:val="FF0000"/>
                <w:szCs w:val="21"/>
              </w:rPr>
            </w:pPr>
            <w:r>
              <w:rPr>
                <w:rFonts w:hint="eastAsia" w:ascii="Times New Roman" w:hAnsi="Times New Roman" w:eastAsia="宋体" w:cs="Times New Roman"/>
                <w:bCs/>
                <w:color w:val="FF0000"/>
                <w:szCs w:val="21"/>
                <w:lang w:val="en-US" w:eastAsia="zh-CN"/>
              </w:rPr>
              <w:t>15004246</w:t>
            </w:r>
          </w:p>
        </w:tc>
        <w:tc>
          <w:tcPr>
            <w:tcW w:w="0" w:type="auto"/>
            <w:vMerge w:val="restart"/>
            <w:vAlign w:val="center"/>
          </w:tcPr>
          <w:p>
            <w:pPr>
              <w:jc w:val="center"/>
              <w:rPr>
                <w:b/>
                <w:bCs/>
                <w:color w:val="FF0000"/>
                <w:szCs w:val="21"/>
              </w:rPr>
            </w:pPr>
            <w:r>
              <w:rPr>
                <w:rFonts w:hint="eastAsia" w:ascii="Times New Roman" w:hAnsi="Times New Roman" w:eastAsia="宋体" w:cs="Times New Roman"/>
                <w:bCs/>
                <w:color w:val="FF0000"/>
                <w:szCs w:val="21"/>
                <w:lang w:val="en-US" w:eastAsia="zh-CN"/>
              </w:rPr>
              <w:t>15004246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bCs/>
                <w:szCs w:val="21"/>
              </w:rPr>
            </w:pPr>
            <w:r>
              <w:rPr>
                <w:rFonts w:hint="eastAsia"/>
                <w:bCs/>
                <w:szCs w:val="21"/>
              </w:rPr>
              <w:t>2</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器械臂无菌套</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szCs w:val="21"/>
              </w:rPr>
            </w:pPr>
            <w:r>
              <w:rPr>
                <w:rFonts w:ascii="宋体" w:hAnsi="宋体" w:eastAsia="宋体" w:cs="宋体"/>
                <w:i w:val="0"/>
                <w:iCs w:val="0"/>
                <w:color w:val="000000"/>
                <w:kern w:val="0"/>
                <w:sz w:val="22"/>
                <w:szCs w:val="22"/>
                <w:highlight w:val="none"/>
                <w:u w:val="none"/>
                <w:lang w:val="en-US" w:eastAsia="zh-CN" w:bidi="ar"/>
              </w:rPr>
              <w:t>761.65</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bCs/>
                <w:szCs w:val="21"/>
              </w:rPr>
            </w:pPr>
            <w:r>
              <w:rPr>
                <w:rFonts w:hint="eastAsia"/>
                <w:bCs/>
                <w:szCs w:val="21"/>
              </w:rPr>
              <w:t>3</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5-8mm套管密封件</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szCs w:val="21"/>
              </w:rPr>
            </w:pPr>
            <w:r>
              <w:rPr>
                <w:rFonts w:ascii="宋体" w:hAnsi="宋体" w:eastAsia="宋体" w:cs="宋体"/>
                <w:i w:val="0"/>
                <w:iCs w:val="0"/>
                <w:color w:val="000000"/>
                <w:kern w:val="0"/>
                <w:sz w:val="22"/>
                <w:szCs w:val="22"/>
                <w:highlight w:val="none"/>
                <w:u w:val="none"/>
                <w:lang w:val="en-US" w:eastAsia="zh-CN" w:bidi="ar"/>
              </w:rPr>
              <w:t>263.7</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bCs/>
                <w:szCs w:val="21"/>
              </w:rPr>
            </w:pPr>
            <w:r>
              <w:rPr>
                <w:rFonts w:hint="eastAsia"/>
                <w:bCs/>
                <w:szCs w:val="21"/>
              </w:rPr>
              <w:t>4</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尖端盖附件（单级弯剪）</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szCs w:val="21"/>
              </w:rPr>
            </w:pPr>
            <w:r>
              <w:rPr>
                <w:rFonts w:ascii="宋体" w:hAnsi="宋体" w:eastAsia="宋体" w:cs="宋体"/>
                <w:i w:val="0"/>
                <w:iCs w:val="0"/>
                <w:color w:val="000000"/>
                <w:kern w:val="0"/>
                <w:sz w:val="22"/>
                <w:szCs w:val="22"/>
                <w:highlight w:val="none"/>
                <w:u w:val="none"/>
                <w:lang w:val="en-US" w:eastAsia="zh-CN" w:bidi="ar"/>
              </w:rPr>
              <w:t>233.7</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bCs/>
                <w:szCs w:val="21"/>
              </w:rPr>
            </w:pPr>
            <w:r>
              <w:rPr>
                <w:rFonts w:hint="eastAsia"/>
                <w:bCs/>
                <w:szCs w:val="21"/>
              </w:rPr>
              <w:t>5</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8mm无刃透明闭孔器（短）</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szCs w:val="21"/>
              </w:rPr>
            </w:pPr>
            <w:r>
              <w:rPr>
                <w:rFonts w:ascii="宋体" w:hAnsi="宋体" w:eastAsia="宋体" w:cs="宋体"/>
                <w:i w:val="0"/>
                <w:iCs w:val="0"/>
                <w:color w:val="000000"/>
                <w:kern w:val="0"/>
                <w:sz w:val="22"/>
                <w:szCs w:val="22"/>
                <w:highlight w:val="none"/>
                <w:u w:val="none"/>
                <w:lang w:val="en-US" w:eastAsia="zh-CN" w:bidi="ar"/>
              </w:rPr>
              <w:t>439.5</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bCs/>
                <w:szCs w:val="21"/>
              </w:rPr>
            </w:pPr>
            <w:r>
              <w:rPr>
                <w:rFonts w:hint="eastAsia"/>
                <w:bCs/>
                <w:szCs w:val="21"/>
              </w:rPr>
              <w:t>6</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CADIERE镊</w:t>
            </w:r>
          </w:p>
        </w:tc>
        <w:tc>
          <w:tcPr>
            <w:tcW w:w="0" w:type="auto"/>
            <w:vAlign w:val="center"/>
          </w:tcPr>
          <w:p>
            <w:pPr>
              <w:jc w:val="center"/>
              <w:rPr>
                <w:bCs/>
                <w:szCs w:val="21"/>
              </w:rPr>
            </w:pPr>
          </w:p>
        </w:tc>
        <w:tc>
          <w:tcPr>
            <w:tcW w:w="0" w:type="auto"/>
            <w:vAlign w:val="center"/>
          </w:tcPr>
          <w:p>
            <w:pPr>
              <w:jc w:val="center"/>
              <w:rPr>
                <w:bCs/>
                <w:szCs w:val="21"/>
              </w:rPr>
            </w:pPr>
          </w:p>
        </w:tc>
        <w:tc>
          <w:tcPr>
            <w:tcW w:w="0" w:type="auto"/>
            <w:vAlign w:val="center"/>
          </w:tcPr>
          <w:p>
            <w:pPr>
              <w:jc w:val="center"/>
              <w:rPr>
                <w:bCs/>
                <w:szCs w:val="21"/>
              </w:rPr>
            </w:pPr>
          </w:p>
        </w:tc>
        <w:tc>
          <w:tcPr>
            <w:tcW w:w="0" w:type="auto"/>
            <w:vAlign w:val="center"/>
          </w:tcPr>
          <w:p>
            <w:pPr>
              <w:jc w:val="center"/>
              <w:rPr>
                <w:bCs/>
                <w:szCs w:val="21"/>
              </w:rPr>
            </w:pPr>
          </w:p>
        </w:tc>
        <w:tc>
          <w:tcPr>
            <w:tcW w:w="0" w:type="auto"/>
            <w:vMerge w:val="continue"/>
            <w:vAlign w:val="center"/>
          </w:tcPr>
          <w:p>
            <w:pPr>
              <w:jc w:val="center"/>
              <w:rPr>
                <w:bCs/>
                <w:szCs w:val="21"/>
              </w:rP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szCs w:val="21"/>
              </w:rPr>
            </w:pPr>
            <w:r>
              <w:rPr>
                <w:rFonts w:ascii="宋体" w:hAnsi="宋体" w:eastAsia="宋体" w:cs="宋体"/>
                <w:i w:val="0"/>
                <w:iCs w:val="0"/>
                <w:color w:val="000000"/>
                <w:kern w:val="0"/>
                <w:sz w:val="22"/>
                <w:szCs w:val="22"/>
                <w:highlight w:val="none"/>
                <w:u w:val="none"/>
                <w:lang w:val="en-US" w:eastAsia="zh-CN" w:bidi="ar"/>
              </w:rPr>
              <w:t>34379</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rFonts w:hint="eastAsia" w:eastAsia="宋体"/>
                <w:bCs/>
                <w:szCs w:val="21"/>
                <w:lang w:val="en-US" w:eastAsia="zh-CN"/>
              </w:rPr>
            </w:pPr>
            <w:r>
              <w:rPr>
                <w:rFonts w:hint="eastAsia"/>
                <w:bCs/>
                <w:szCs w:val="21"/>
                <w:lang w:val="en-US" w:eastAsia="zh-CN"/>
              </w:rPr>
              <w:t>7</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有孔双极镊</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44201</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0" w:type="auto"/>
            <w:vAlign w:val="center"/>
          </w:tcPr>
          <w:p>
            <w:pPr>
              <w:jc w:val="center"/>
              <w:rPr>
                <w:rFonts w:hint="eastAsia" w:eastAsia="宋体"/>
                <w:bCs/>
                <w:szCs w:val="21"/>
                <w:lang w:val="en-US" w:eastAsia="zh-CN"/>
              </w:rPr>
            </w:pPr>
            <w:r>
              <w:rPr>
                <w:rFonts w:hint="eastAsia"/>
                <w:bCs/>
                <w:szCs w:val="21"/>
                <w:lang w:val="en-US" w:eastAsia="zh-CN"/>
              </w:rPr>
              <w:t>8</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MARYLAND双极镊</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44201</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rFonts w:hint="eastAsia" w:eastAsia="宋体"/>
                <w:bCs/>
                <w:szCs w:val="21"/>
                <w:lang w:val="en-US" w:eastAsia="zh-CN"/>
              </w:rPr>
            </w:pPr>
            <w:r>
              <w:rPr>
                <w:rFonts w:hint="eastAsia"/>
                <w:bCs/>
                <w:szCs w:val="21"/>
                <w:lang w:val="en-US" w:eastAsia="zh-CN"/>
              </w:rPr>
              <w:t>9</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单极手术弯剪</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52387</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rFonts w:hint="default" w:eastAsia="宋体"/>
                <w:bCs/>
                <w:szCs w:val="21"/>
                <w:lang w:val="en-US" w:eastAsia="zh-CN"/>
              </w:rPr>
            </w:pPr>
            <w:r>
              <w:rPr>
                <w:bCs/>
                <w:szCs w:val="21"/>
              </w:rPr>
              <w:t>10</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MEGATM持针钳</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36016</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rFonts w:hint="eastAsia"/>
                <w:bCs/>
                <w:szCs w:val="21"/>
                <w:lang w:val="en-US" w:eastAsia="zh-CN"/>
              </w:rPr>
            </w:pPr>
            <w:r>
              <w:rPr>
                <w:rFonts w:hint="eastAsia"/>
                <w:bCs/>
                <w:szCs w:val="21"/>
                <w:lang w:val="en-US" w:eastAsia="zh-CN"/>
              </w:rPr>
              <w:t>11</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大号持针钳</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36016</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rFonts w:hint="eastAsia"/>
                <w:bCs/>
                <w:szCs w:val="21"/>
                <w:lang w:val="en-US" w:eastAsia="zh-CN"/>
              </w:rPr>
            </w:pPr>
            <w:r>
              <w:rPr>
                <w:rFonts w:hint="eastAsia"/>
                <w:bCs/>
                <w:szCs w:val="21"/>
                <w:lang w:val="en-US" w:eastAsia="zh-CN"/>
              </w:rPr>
              <w:t>12</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永久电钩</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32742</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rFonts w:hint="eastAsia"/>
                <w:bCs/>
                <w:szCs w:val="21"/>
                <w:lang w:val="en-US" w:eastAsia="zh-CN"/>
              </w:rPr>
            </w:pPr>
            <w:r>
              <w:rPr>
                <w:rFonts w:hint="eastAsia"/>
                <w:bCs/>
                <w:szCs w:val="21"/>
                <w:lang w:val="en-US" w:eastAsia="zh-CN"/>
              </w:rPr>
              <w:t>13</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8mm钝型闭孔器</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9004</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rFonts w:hint="eastAsia"/>
                <w:bCs/>
                <w:szCs w:val="21"/>
                <w:lang w:val="en-US" w:eastAsia="zh-CN"/>
              </w:rPr>
            </w:pPr>
            <w:r>
              <w:rPr>
                <w:rFonts w:hint="eastAsia"/>
                <w:bCs/>
                <w:szCs w:val="21"/>
                <w:lang w:val="en-US" w:eastAsia="zh-CN"/>
              </w:rPr>
              <w:t>14</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8mm器械套管</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9822</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rFonts w:hint="eastAsia"/>
                <w:bCs/>
                <w:szCs w:val="21"/>
                <w:lang w:val="en-US" w:eastAsia="zh-CN"/>
              </w:rPr>
            </w:pPr>
            <w:r>
              <w:rPr>
                <w:rFonts w:hint="eastAsia"/>
                <w:bCs/>
                <w:szCs w:val="21"/>
                <w:lang w:val="en-US" w:eastAsia="zh-CN"/>
              </w:rPr>
              <w:t>15</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单极高频电缆</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4419</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0" w:type="auto"/>
            <w:vAlign w:val="center"/>
          </w:tcPr>
          <w:p>
            <w:pPr>
              <w:jc w:val="center"/>
              <w:rPr>
                <w:rFonts w:hint="eastAsia"/>
                <w:bCs/>
                <w:szCs w:val="21"/>
                <w:lang w:val="en-US" w:eastAsia="zh-CN"/>
              </w:rPr>
            </w:pPr>
            <w:r>
              <w:rPr>
                <w:rFonts w:hint="eastAsia"/>
                <w:bCs/>
                <w:szCs w:val="21"/>
                <w:lang w:val="en-US" w:eastAsia="zh-CN"/>
              </w:rPr>
              <w:t>16</w:t>
            </w:r>
          </w:p>
        </w:tc>
        <w:tc>
          <w:tcPr>
            <w:tcW w:w="0" w:type="auto"/>
            <w:vAlign w:val="center"/>
          </w:tcPr>
          <w:p>
            <w:pPr>
              <w:keepNext w:val="0"/>
              <w:keepLines w:val="0"/>
              <w:widowControl/>
              <w:suppressLineNumbers w:val="0"/>
              <w:jc w:val="center"/>
              <w:textAlignment w:val="center"/>
              <w:rPr>
                <w:bCs/>
                <w:szCs w:val="21"/>
              </w:rPr>
            </w:pPr>
            <w:r>
              <w:rPr>
                <w:rFonts w:ascii="宋体" w:hAnsi="宋体" w:eastAsia="宋体" w:cs="宋体"/>
                <w:i w:val="0"/>
                <w:iCs w:val="0"/>
                <w:color w:val="000000"/>
                <w:kern w:val="0"/>
                <w:sz w:val="22"/>
                <w:szCs w:val="22"/>
                <w:u w:val="none"/>
                <w:lang w:val="en-US" w:eastAsia="zh-CN" w:bidi="ar"/>
              </w:rPr>
              <w:t>双极高频电缆</w:t>
            </w: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Align w:val="center"/>
          </w:tcPr>
          <w:p>
            <w:pPr>
              <w:jc w:val="center"/>
            </w:pPr>
          </w:p>
        </w:tc>
        <w:tc>
          <w:tcPr>
            <w:tcW w:w="0" w:type="auto"/>
            <w:vMerge w:val="continue"/>
            <w:vAlign w:val="center"/>
          </w:tcPr>
          <w:p>
            <w:pPr>
              <w:jc w:val="center"/>
            </w:pPr>
          </w:p>
        </w:tc>
        <w:tc>
          <w:tcPr>
            <w:tcW w:w="0" w:type="auto"/>
            <w:vMerge w:val="continue"/>
            <w:vAlign w:val="center"/>
          </w:tcPr>
          <w:p>
            <w:pPr>
              <w:jc w:val="center"/>
              <w:rPr>
                <w:bCs/>
                <w:szCs w:val="21"/>
              </w:rPr>
            </w:pPr>
          </w:p>
        </w:tc>
        <w:tc>
          <w:tcPr>
            <w:tcW w:w="0" w:type="auto"/>
            <w:vAlign w:val="center"/>
          </w:tcPr>
          <w:p>
            <w:pPr>
              <w:keepNext w:val="0"/>
              <w:keepLines w:val="0"/>
              <w:widowControl/>
              <w:suppressLineNumbers w:val="0"/>
              <w:jc w:val="center"/>
              <w:textAlignment w:val="center"/>
              <w:rPr>
                <w:rFonts w:hint="eastAsia"/>
                <w:szCs w:val="21"/>
              </w:rPr>
            </w:pPr>
            <w:r>
              <w:rPr>
                <w:rFonts w:ascii="宋体" w:hAnsi="宋体" w:eastAsia="宋体" w:cs="宋体"/>
                <w:i w:val="0"/>
                <w:iCs w:val="0"/>
                <w:color w:val="000000"/>
                <w:kern w:val="0"/>
                <w:sz w:val="22"/>
                <w:szCs w:val="22"/>
                <w:highlight w:val="none"/>
                <w:u w:val="none"/>
                <w:lang w:val="en-US" w:eastAsia="zh-CN" w:bidi="ar"/>
              </w:rPr>
              <w:t>4419</w:t>
            </w:r>
          </w:p>
        </w:tc>
        <w:tc>
          <w:tcPr>
            <w:tcW w:w="0" w:type="auto"/>
            <w:vMerge w:val="continue"/>
            <w:vAlign w:val="center"/>
          </w:tcPr>
          <w:p>
            <w:pPr>
              <w:jc w:val="center"/>
              <w:rPr>
                <w:szCs w:val="21"/>
              </w:rPr>
            </w:pPr>
          </w:p>
        </w:tc>
        <w:tc>
          <w:tcPr>
            <w:tcW w:w="0" w:type="auto"/>
            <w:vMerge w:val="continue"/>
            <w:vAlign w:val="center"/>
          </w:tcPr>
          <w:p>
            <w:pPr>
              <w:jc w:val="center"/>
              <w:rPr>
                <w:b/>
                <w:bCs/>
                <w:color w:val="FF0000"/>
                <w:szCs w:val="21"/>
              </w:rPr>
            </w:pPr>
          </w:p>
        </w:tc>
        <w:tc>
          <w:tcPr>
            <w:tcW w:w="0" w:type="auto"/>
            <w:vMerge w:val="continue"/>
            <w:vAlign w:val="center"/>
          </w:tcPr>
          <w:p>
            <w:pPr>
              <w:jc w:val="center"/>
              <w:rPr>
                <w:b/>
                <w:bCs/>
                <w:color w:val="FF0000"/>
                <w:szCs w:val="21"/>
              </w:rPr>
            </w:pPr>
          </w:p>
        </w:tc>
      </w:tr>
    </w:tbl>
    <w:p>
      <w:pPr>
        <w:ind w:firstLine="482" w:firstLineChars="200"/>
        <w:rPr>
          <w:rFonts w:ascii="宋体" w:hAnsi="宋体"/>
          <w:b/>
          <w:sz w:val="24"/>
        </w:rPr>
      </w:pPr>
      <w:r>
        <w:rPr>
          <w:rFonts w:hint="eastAsia" w:ascii="宋体" w:hAnsi="宋体"/>
          <w:b/>
          <w:sz w:val="24"/>
        </w:rPr>
        <w:t>注：1.本表可按同样格式扩展。</w:t>
      </w:r>
    </w:p>
    <w:p>
      <w:pPr>
        <w:ind w:firstLine="472" w:firstLineChars="196"/>
        <w:rPr>
          <w:rFonts w:hint="default" w:ascii="宋体" w:hAnsi="宋体" w:eastAsia="宋体"/>
          <w:b/>
          <w:sz w:val="24"/>
          <w:lang w:val="en-US" w:eastAsia="zh-CN"/>
        </w:rPr>
      </w:pPr>
      <w:r>
        <w:rPr>
          <w:rFonts w:hint="eastAsia" w:ascii="宋体" w:hAnsi="宋体"/>
          <w:b/>
          <w:color w:val="FF0000"/>
          <w:sz w:val="24"/>
        </w:rPr>
        <w:t>2</w:t>
      </w:r>
      <w:r>
        <w:rPr>
          <w:rFonts w:ascii="宋体" w:hAnsi="宋体"/>
          <w:b/>
          <w:color w:val="FF0000"/>
          <w:sz w:val="24"/>
        </w:rPr>
        <w:t>.</w:t>
      </w:r>
      <w:r>
        <w:rPr>
          <w:rFonts w:hint="eastAsia" w:ascii="宋体" w:hAnsi="宋体"/>
          <w:b/>
          <w:color w:val="FF0000"/>
          <w:sz w:val="24"/>
          <w:lang w:eastAsia="zh-CN"/>
        </w:rPr>
        <w:t>“</w:t>
      </w:r>
      <w:r>
        <w:rPr>
          <w:rFonts w:hint="eastAsia" w:ascii="宋体" w:hAnsi="宋体"/>
          <w:b/>
          <w:color w:val="FF0000"/>
          <w:sz w:val="24"/>
          <w:lang w:val="en-US" w:eastAsia="zh-CN"/>
        </w:rPr>
        <w:t>品牌</w:t>
      </w:r>
      <w:r>
        <w:rPr>
          <w:rFonts w:hint="eastAsia" w:ascii="宋体" w:hAnsi="宋体"/>
          <w:b/>
          <w:color w:val="FF0000"/>
          <w:sz w:val="24"/>
          <w:lang w:eastAsia="zh-CN"/>
        </w:rPr>
        <w:t>”</w:t>
      </w:r>
      <w:r>
        <w:rPr>
          <w:rFonts w:hint="eastAsia" w:ascii="宋体" w:hAnsi="宋体"/>
          <w:b/>
          <w:color w:val="FF0000"/>
          <w:sz w:val="24"/>
          <w:lang w:val="en-US" w:eastAsia="zh-CN"/>
        </w:rPr>
        <w:t>可以与商标一致，也可以填写便于区分其他公司商品的制造商简称或者制造商认可的品牌名称</w:t>
      </w:r>
      <w:r>
        <w:rPr>
          <w:rFonts w:hint="eastAsia" w:ascii="宋体" w:hAnsi="宋体"/>
          <w:b/>
          <w:color w:val="FF0000"/>
          <w:sz w:val="24"/>
        </w:rPr>
        <w:t>。</w:t>
      </w:r>
    </w:p>
    <w:p>
      <w:pPr>
        <w:ind w:firstLine="472" w:firstLineChars="196"/>
        <w:rPr>
          <w:rFonts w:ascii="宋体" w:hAnsi="宋体"/>
          <w:b/>
          <w:sz w:val="24"/>
        </w:rPr>
      </w:pPr>
      <w:r>
        <w:rPr>
          <w:rFonts w:hint="eastAsia" w:ascii="宋体" w:hAnsi="宋体"/>
          <w:b/>
          <w:sz w:val="24"/>
          <w:lang w:val="en-US" w:eastAsia="zh-CN"/>
        </w:rPr>
        <w:t>3.</w:t>
      </w:r>
      <w:r>
        <w:rPr>
          <w:rFonts w:hint="eastAsia" w:ascii="宋体" w:hAnsi="宋体"/>
          <w:b/>
          <w:sz w:val="24"/>
        </w:rPr>
        <w:t>如所</w:t>
      </w:r>
      <w:r>
        <w:rPr>
          <w:rFonts w:hint="eastAsia" w:ascii="宋体" w:hAnsi="宋体"/>
          <w:b/>
          <w:sz w:val="24"/>
          <w:lang w:val="en-US" w:eastAsia="zh-CN"/>
        </w:rPr>
        <w:t>应答</w:t>
      </w:r>
      <w:r>
        <w:rPr>
          <w:rFonts w:hint="eastAsia" w:ascii="宋体" w:hAnsi="宋体"/>
          <w:b/>
          <w:sz w:val="24"/>
        </w:rPr>
        <w:t>货物属于定制类的非量产货物或无具体型号的货物，可以在“规格/型号”</w:t>
      </w:r>
      <w:r>
        <w:rPr>
          <w:rFonts w:hint="eastAsia" w:ascii="宋体" w:hAnsi="宋体"/>
          <w:b/>
          <w:sz w:val="24"/>
          <w:lang w:val="en-US" w:eastAsia="zh-CN"/>
        </w:rPr>
        <w:t>栏目</w:t>
      </w:r>
      <w:r>
        <w:rPr>
          <w:rFonts w:hint="eastAsia" w:ascii="宋体" w:hAnsi="宋体"/>
          <w:b/>
          <w:sz w:val="24"/>
        </w:rPr>
        <w:t>仅填写规格信息而不填型号信息（型号信息用“定制”描述即可）；</w:t>
      </w:r>
      <w:bookmarkStart w:id="45" w:name="_Hlk73646428"/>
      <w:r>
        <w:rPr>
          <w:rFonts w:hint="eastAsia" w:ascii="宋体" w:hAnsi="宋体"/>
          <w:b/>
          <w:sz w:val="24"/>
        </w:rPr>
        <w:t>此类填写错误</w:t>
      </w:r>
      <w:r>
        <w:rPr>
          <w:rFonts w:hint="eastAsia" w:ascii="宋体" w:hAnsi="宋体"/>
          <w:b/>
          <w:sz w:val="24"/>
          <w:lang w:val="en-US" w:eastAsia="zh-CN"/>
        </w:rPr>
        <w:t>或缺漏</w:t>
      </w:r>
      <w:r>
        <w:rPr>
          <w:rFonts w:hint="eastAsia" w:ascii="宋体" w:hAnsi="宋体"/>
          <w:b/>
          <w:sz w:val="24"/>
        </w:rPr>
        <w:t>（所投货物为定制类的非量产货物但供应商却错误填报了型号）的不利后果由供应商承担</w:t>
      </w:r>
      <w:r>
        <w:rPr>
          <w:rFonts w:hint="eastAsia"/>
          <w:b/>
          <w:sz w:val="24"/>
        </w:rPr>
        <w:t>。</w:t>
      </w:r>
      <w:bookmarkEnd w:id="45"/>
    </w:p>
    <w:p>
      <w:pPr>
        <w:ind w:firstLine="472" w:firstLineChars="196"/>
        <w:rPr>
          <w:rFonts w:hint="eastAsia" w:ascii="宋体" w:hAnsi="宋体"/>
          <w:b/>
          <w:sz w:val="24"/>
        </w:rPr>
      </w:pPr>
      <w:r>
        <w:rPr>
          <w:rFonts w:ascii="宋体" w:hAnsi="宋体"/>
          <w:b/>
          <w:sz w:val="24"/>
        </w:rPr>
        <w:t>3</w:t>
      </w:r>
      <w:r>
        <w:rPr>
          <w:rFonts w:hint="eastAsia" w:ascii="宋体" w:hAnsi="宋体"/>
          <w:b/>
          <w:sz w:val="24"/>
        </w:rPr>
        <w:t>.“原产地”是指货物的实际生产加工地，非品牌所在地。</w:t>
      </w:r>
    </w:p>
    <w:p>
      <w:pPr>
        <w:ind w:firstLine="472" w:firstLineChars="196"/>
        <w:rPr>
          <w:rFonts w:hint="eastAsia" w:ascii="宋体" w:hAnsi="宋体"/>
          <w:b/>
          <w:sz w:val="24"/>
        </w:rPr>
      </w:pPr>
      <w:r>
        <w:rPr>
          <w:rFonts w:hint="eastAsia" w:ascii="宋体" w:hAnsi="宋体"/>
          <w:b/>
          <w:sz w:val="24"/>
          <w:lang w:val="en-US" w:eastAsia="zh-CN"/>
        </w:rPr>
        <w:t>4.</w:t>
      </w:r>
      <w:r>
        <w:rPr>
          <w:rFonts w:hint="eastAsia" w:ascii="宋体" w:hAnsi="宋体"/>
          <w:b/>
          <w:sz w:val="24"/>
        </w:rPr>
        <w:t>所投货物均应填写制造商名称</w:t>
      </w:r>
      <w:r>
        <w:rPr>
          <w:rFonts w:hint="eastAsia" w:ascii="宋体" w:hAnsi="宋体"/>
          <w:b/>
          <w:sz w:val="24"/>
          <w:lang w:eastAsia="zh-CN"/>
        </w:rPr>
        <w:t>，</w:t>
      </w:r>
      <w:r>
        <w:rPr>
          <w:rFonts w:hint="eastAsia" w:ascii="宋体" w:hAnsi="宋体"/>
          <w:b/>
          <w:sz w:val="24"/>
        </w:rPr>
        <w:t>“制造商”是指产品品牌厂商，产品代工制造的，应填写接受委托生产制造的制造商。</w:t>
      </w:r>
    </w:p>
    <w:p>
      <w:pPr>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.谈判应答总价为包干价，即三者均应包含货物的价款、包装、运输、装卸、安装、调试、技术指导、培训、咨询、服务、保险、税费、检测、验收合格交付使用之前以及技术和售后服务等其他各项有关费用。</w:t>
      </w:r>
    </w:p>
    <w:p>
      <w:pPr>
        <w:ind w:firstLine="472" w:firstLineChars="196"/>
        <w:rPr>
          <w:rFonts w:hint="eastAsia" w:ascii="宋体" w:hAnsi="宋体"/>
          <w:b/>
          <w:color w:val="FF0000"/>
          <w:sz w:val="24"/>
        </w:rPr>
      </w:pPr>
      <w:r>
        <w:rPr>
          <w:rFonts w:hint="eastAsia" w:ascii="宋体" w:hAnsi="宋体"/>
          <w:b/>
          <w:color w:val="FF0000"/>
          <w:sz w:val="24"/>
          <w:lang w:val="en-US" w:eastAsia="zh-CN"/>
        </w:rPr>
        <w:t>6.</w:t>
      </w:r>
      <w:r>
        <w:rPr>
          <w:rFonts w:hint="eastAsia" w:ascii="宋体" w:hAnsi="宋体"/>
          <w:b/>
          <w:color w:val="FF0000"/>
          <w:sz w:val="24"/>
        </w:rPr>
        <w:t>本次</w:t>
      </w:r>
      <w:r>
        <w:rPr>
          <w:rFonts w:hint="eastAsia" w:ascii="宋体" w:hAnsi="宋体"/>
          <w:b/>
          <w:color w:val="FF0000"/>
          <w:sz w:val="24"/>
          <w:lang w:val="en-US" w:eastAsia="zh-CN"/>
        </w:rPr>
        <w:t>谈判</w:t>
      </w:r>
      <w:r>
        <w:rPr>
          <w:rFonts w:hint="eastAsia" w:ascii="宋体" w:hAnsi="宋体"/>
          <w:b/>
          <w:color w:val="FF0000"/>
          <w:sz w:val="24"/>
        </w:rPr>
        <w:t>不涉及具体</w:t>
      </w:r>
      <w:r>
        <w:rPr>
          <w:rFonts w:hint="eastAsia" w:ascii="宋体" w:hAnsi="宋体"/>
          <w:b/>
          <w:color w:val="FF0000"/>
          <w:sz w:val="24"/>
          <w:lang w:val="en-US" w:eastAsia="zh-CN"/>
        </w:rPr>
        <w:t>谈判</w:t>
      </w:r>
      <w:r>
        <w:rPr>
          <w:rFonts w:hint="eastAsia" w:ascii="宋体" w:hAnsi="宋体"/>
          <w:b/>
          <w:color w:val="FF0000"/>
          <w:sz w:val="24"/>
        </w:rPr>
        <w:t>金额（无须</w:t>
      </w:r>
      <w:r>
        <w:rPr>
          <w:rFonts w:hint="eastAsia" w:ascii="宋体" w:hAnsi="宋体"/>
          <w:b/>
          <w:color w:val="FF0000"/>
          <w:sz w:val="24"/>
          <w:lang w:val="en-US" w:eastAsia="zh-CN"/>
        </w:rPr>
        <w:t>应答</w:t>
      </w:r>
      <w:r>
        <w:rPr>
          <w:rFonts w:hint="eastAsia" w:ascii="宋体" w:hAnsi="宋体"/>
          <w:b/>
          <w:color w:val="FF0000"/>
          <w:sz w:val="24"/>
        </w:rPr>
        <w:t>人在</w:t>
      </w:r>
      <w:r>
        <w:rPr>
          <w:rFonts w:hint="eastAsia" w:ascii="宋体" w:hAnsi="宋体"/>
          <w:b/>
          <w:color w:val="FF0000"/>
          <w:sz w:val="24"/>
          <w:lang w:val="en-US" w:eastAsia="zh-CN"/>
        </w:rPr>
        <w:t>应答</w:t>
      </w:r>
      <w:r>
        <w:rPr>
          <w:rFonts w:hint="eastAsia" w:ascii="宋体" w:hAnsi="宋体"/>
          <w:b/>
          <w:color w:val="FF0000"/>
          <w:sz w:val="24"/>
        </w:rPr>
        <w:t>文件中填报具体</w:t>
      </w:r>
      <w:r>
        <w:rPr>
          <w:rFonts w:hint="eastAsia" w:ascii="宋体" w:hAnsi="宋体"/>
          <w:b/>
          <w:color w:val="FF0000"/>
          <w:sz w:val="24"/>
          <w:lang w:val="en-US" w:eastAsia="zh-CN"/>
        </w:rPr>
        <w:t>应答</w:t>
      </w:r>
      <w:r>
        <w:rPr>
          <w:rFonts w:hint="eastAsia" w:ascii="宋体" w:hAnsi="宋体"/>
          <w:b/>
          <w:color w:val="FF0000"/>
          <w:sz w:val="24"/>
        </w:rPr>
        <w:t>金额），</w:t>
      </w:r>
      <w:r>
        <w:rPr>
          <w:rFonts w:hint="eastAsia" w:ascii="宋体" w:hAnsi="宋体"/>
          <w:b/>
          <w:color w:val="FF0000"/>
          <w:sz w:val="24"/>
          <w:lang w:val="en-US" w:eastAsia="zh-CN"/>
        </w:rPr>
        <w:t>应答</w:t>
      </w:r>
      <w:r>
        <w:rPr>
          <w:rFonts w:hint="eastAsia" w:ascii="宋体" w:hAnsi="宋体"/>
          <w:b/>
          <w:color w:val="FF0000"/>
          <w:sz w:val="24"/>
        </w:rPr>
        <w:t>人只需在</w:t>
      </w:r>
      <w:r>
        <w:rPr>
          <w:rFonts w:hint="eastAsia" w:ascii="宋体" w:hAnsi="宋体"/>
          <w:b/>
          <w:color w:val="FF0000"/>
          <w:sz w:val="24"/>
          <w:lang w:val="en-US" w:eastAsia="zh-CN"/>
        </w:rPr>
        <w:t>应答</w:t>
      </w:r>
      <w:r>
        <w:rPr>
          <w:rFonts w:hint="eastAsia" w:ascii="宋体" w:hAnsi="宋体"/>
          <w:b/>
          <w:color w:val="FF0000"/>
          <w:sz w:val="24"/>
        </w:rPr>
        <w:t>文件开标一览表及项目报价表中就报价标准填报唯一的“折扣率”。</w:t>
      </w:r>
      <w:r>
        <w:rPr>
          <w:rFonts w:hint="eastAsia" w:ascii="宋体" w:hAnsi="宋体"/>
          <w:b/>
          <w:color w:val="FF0000"/>
          <w:sz w:val="24"/>
          <w:lang w:val="en-US" w:eastAsia="zh-CN"/>
        </w:rPr>
        <w:t>应答</w:t>
      </w:r>
      <w:r>
        <w:rPr>
          <w:rFonts w:hint="eastAsia" w:ascii="宋体" w:hAnsi="宋体"/>
          <w:b/>
          <w:color w:val="FF0000"/>
          <w:sz w:val="24"/>
        </w:rPr>
        <w:t>人应根据自身成本自行填报“折扣率”，但不得以低于其成本的报价竞标。</w:t>
      </w:r>
    </w:p>
    <w:p>
      <w:pPr>
        <w:ind w:firstLine="472" w:firstLineChars="196"/>
        <w:rPr>
          <w:rFonts w:hint="eastAsia" w:ascii="宋体" w:hAnsi="宋体"/>
          <w:b/>
          <w:color w:val="FF0000"/>
          <w:sz w:val="24"/>
        </w:rPr>
      </w:pPr>
      <w:r>
        <w:rPr>
          <w:rFonts w:hint="eastAsia" w:ascii="宋体" w:hAnsi="宋体"/>
          <w:b/>
          <w:color w:val="FF0000"/>
          <w:sz w:val="24"/>
          <w:lang w:val="en-US" w:eastAsia="zh-CN"/>
        </w:rPr>
        <w:t>7</w:t>
      </w:r>
      <w:r>
        <w:rPr>
          <w:rFonts w:hint="eastAsia" w:ascii="宋体" w:hAnsi="宋体"/>
          <w:b/>
          <w:color w:val="FF0000"/>
          <w:sz w:val="24"/>
        </w:rPr>
        <w:t>.“折扣率”填写要求：</w:t>
      </w:r>
    </w:p>
    <w:p>
      <w:pPr>
        <w:ind w:firstLine="472" w:firstLineChars="196"/>
        <w:rPr>
          <w:rFonts w:hint="eastAsia" w:ascii="宋体" w:hAnsi="宋体"/>
          <w:b/>
          <w:color w:val="FF0000"/>
          <w:sz w:val="24"/>
        </w:rPr>
      </w:pPr>
      <w:r>
        <w:rPr>
          <w:rFonts w:hint="eastAsia" w:ascii="宋体" w:hAnsi="宋体"/>
          <w:b/>
          <w:color w:val="FF0000"/>
          <w:sz w:val="24"/>
        </w:rPr>
        <w:t>（1）填写要求：0＜折扣率≤1，未按此要求填写将作投标无效处理；</w:t>
      </w:r>
    </w:p>
    <w:p>
      <w:pPr>
        <w:ind w:firstLine="472" w:firstLineChars="196"/>
        <w:rPr>
          <w:rFonts w:hint="eastAsia" w:ascii="宋体" w:hAnsi="宋体"/>
          <w:b/>
          <w:color w:val="FF0000"/>
          <w:sz w:val="24"/>
        </w:rPr>
      </w:pPr>
      <w:r>
        <w:rPr>
          <w:rFonts w:hint="eastAsia" w:ascii="宋体" w:hAnsi="宋体"/>
          <w:b/>
          <w:color w:val="FF0000"/>
          <w:sz w:val="24"/>
        </w:rPr>
        <w:t>（2）填写的“折扣率”应为小数（至多保留至小数点后</w:t>
      </w:r>
      <w:r>
        <w:rPr>
          <w:rFonts w:hint="eastAsia" w:ascii="宋体" w:hAnsi="宋体"/>
          <w:b/>
          <w:color w:val="FF0000"/>
          <w:sz w:val="24"/>
          <w:lang w:val="en-US" w:eastAsia="zh-CN"/>
        </w:rPr>
        <w:t>两</w:t>
      </w:r>
      <w:r>
        <w:rPr>
          <w:rFonts w:hint="eastAsia" w:ascii="宋体" w:hAnsi="宋体"/>
          <w:b/>
          <w:color w:val="FF0000"/>
          <w:sz w:val="24"/>
        </w:rPr>
        <w:t>位）；如0.</w:t>
      </w:r>
      <w:r>
        <w:rPr>
          <w:rFonts w:hint="eastAsia" w:ascii="宋体" w:hAnsi="宋体"/>
          <w:b/>
          <w:color w:val="FF0000"/>
          <w:sz w:val="24"/>
          <w:lang w:val="en-US" w:eastAsia="zh-CN"/>
        </w:rPr>
        <w:t>3</w:t>
      </w:r>
      <w:r>
        <w:rPr>
          <w:rFonts w:hint="eastAsia" w:ascii="宋体" w:hAnsi="宋体"/>
          <w:b/>
          <w:color w:val="FF0000"/>
          <w:sz w:val="24"/>
        </w:rPr>
        <w:t>、0.04；</w:t>
      </w:r>
    </w:p>
    <w:p>
      <w:pPr>
        <w:ind w:firstLine="472" w:firstLineChars="196"/>
        <w:rPr>
          <w:rFonts w:hint="eastAsia" w:ascii="宋体" w:hAnsi="宋体"/>
          <w:b/>
          <w:color w:val="FF0000"/>
          <w:sz w:val="24"/>
        </w:rPr>
      </w:pPr>
      <w:r>
        <w:rPr>
          <w:rFonts w:hint="eastAsia" w:ascii="宋体" w:hAnsi="宋体"/>
          <w:b/>
          <w:color w:val="FF0000"/>
          <w:sz w:val="24"/>
        </w:rPr>
        <w:t>（3）</w:t>
      </w:r>
      <w:r>
        <w:rPr>
          <w:rFonts w:hint="eastAsia" w:ascii="宋体" w:hAnsi="宋体"/>
          <w:b/>
          <w:color w:val="FF0000"/>
          <w:sz w:val="24"/>
          <w:lang w:val="en-US" w:eastAsia="zh-CN"/>
        </w:rPr>
        <w:t>应答</w:t>
      </w:r>
      <w:r>
        <w:rPr>
          <w:rFonts w:hint="eastAsia" w:ascii="宋体" w:hAnsi="宋体"/>
          <w:b/>
          <w:color w:val="FF0000"/>
          <w:sz w:val="24"/>
        </w:rPr>
        <w:t>人参与</w:t>
      </w:r>
      <w:r>
        <w:rPr>
          <w:rFonts w:hint="eastAsia" w:ascii="宋体" w:hAnsi="宋体"/>
          <w:b/>
          <w:color w:val="FF0000"/>
          <w:sz w:val="24"/>
          <w:lang w:val="en-US" w:eastAsia="zh-CN"/>
        </w:rPr>
        <w:t>谈判每轮</w:t>
      </w:r>
      <w:r>
        <w:rPr>
          <w:rFonts w:hint="eastAsia" w:ascii="宋体" w:hAnsi="宋体"/>
          <w:b/>
          <w:color w:val="FF0000"/>
          <w:sz w:val="24"/>
        </w:rPr>
        <w:t>只允许填报唯一1个“折扣率”，不允许填报2个（或以上）的“折扣率”；</w:t>
      </w:r>
      <w:r>
        <w:rPr>
          <w:rFonts w:hint="eastAsia" w:ascii="宋体" w:hAnsi="宋体"/>
          <w:b/>
          <w:color w:val="FF0000"/>
          <w:sz w:val="24"/>
          <w:lang w:val="en-US" w:eastAsia="zh-CN"/>
        </w:rPr>
        <w:t>每轮</w:t>
      </w:r>
      <w:r>
        <w:rPr>
          <w:rFonts w:hint="eastAsia" w:ascii="宋体" w:hAnsi="宋体"/>
          <w:b/>
          <w:color w:val="FF0000"/>
          <w:sz w:val="24"/>
        </w:rPr>
        <w:t>填报了2个或以上“折扣率”的，将作</w:t>
      </w:r>
      <w:r>
        <w:rPr>
          <w:rFonts w:hint="eastAsia" w:ascii="宋体" w:hAnsi="宋体"/>
          <w:b/>
          <w:color w:val="FF0000"/>
          <w:sz w:val="24"/>
          <w:lang w:val="en-US" w:eastAsia="zh-CN"/>
        </w:rPr>
        <w:t>应答</w:t>
      </w:r>
      <w:r>
        <w:rPr>
          <w:rFonts w:hint="eastAsia" w:ascii="宋体" w:hAnsi="宋体"/>
          <w:b/>
          <w:color w:val="FF0000"/>
          <w:sz w:val="24"/>
        </w:rPr>
        <w:t>无效处理；</w:t>
      </w:r>
    </w:p>
    <w:p>
      <w:pPr>
        <w:ind w:firstLine="472" w:firstLineChars="196"/>
        <w:rPr>
          <w:rFonts w:hint="eastAsia" w:ascii="宋体" w:hAnsi="宋体"/>
          <w:b/>
          <w:color w:val="FF0000"/>
          <w:sz w:val="24"/>
        </w:rPr>
      </w:pPr>
      <w:r>
        <w:rPr>
          <w:rFonts w:hint="eastAsia" w:ascii="宋体" w:hAnsi="宋体"/>
          <w:b/>
          <w:color w:val="FF0000"/>
          <w:sz w:val="24"/>
        </w:rPr>
        <w:t>（4）“折扣率”缺填、漏填将作</w:t>
      </w:r>
      <w:r>
        <w:rPr>
          <w:rFonts w:hint="eastAsia" w:ascii="宋体" w:hAnsi="宋体"/>
          <w:b/>
          <w:color w:val="FF0000"/>
          <w:sz w:val="24"/>
          <w:lang w:val="en-US" w:eastAsia="zh-CN"/>
        </w:rPr>
        <w:t>应答</w:t>
      </w:r>
      <w:r>
        <w:rPr>
          <w:rFonts w:hint="eastAsia" w:ascii="宋体" w:hAnsi="宋体"/>
          <w:b/>
          <w:color w:val="FF0000"/>
          <w:sz w:val="24"/>
        </w:rPr>
        <w:t>无效处理。</w:t>
      </w:r>
    </w:p>
    <w:p>
      <w:pPr>
        <w:rPr>
          <w:rFonts w:ascii="宋体" w:hAnsi="宋体"/>
          <w:b/>
          <w:color w:val="FF0000"/>
          <w:sz w:val="24"/>
        </w:rPr>
      </w:pPr>
    </w:p>
    <w:p>
      <w:pPr>
        <w:rPr>
          <w:b/>
          <w:sz w:val="24"/>
        </w:rPr>
      </w:pPr>
    </w:p>
    <w:p>
      <w:pPr>
        <w:tabs>
          <w:tab w:val="left" w:pos="720"/>
        </w:tabs>
        <w:ind w:firstLine="1928" w:firstLineChars="800"/>
        <w:rPr>
          <w:b/>
          <w:sz w:val="24"/>
        </w:rPr>
      </w:pPr>
      <w:r>
        <w:rPr>
          <w:rFonts w:hint="eastAsia"/>
          <w:b/>
          <w:sz w:val="24"/>
        </w:rPr>
        <w:t>（二）可选配件报价清单（不包括在总报价内）</w:t>
      </w:r>
    </w:p>
    <w:p>
      <w:pPr>
        <w:ind w:firstLine="422" w:firstLineChars="200"/>
        <w:rPr>
          <w:rFonts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（三）供应商认为需要涉及的其他内容报价清单</w:t>
      </w:r>
    </w:p>
    <w:p>
      <w:pPr>
        <w:spacing w:line="360" w:lineRule="auto"/>
        <w:ind w:firstLine="0"/>
        <w:rPr>
          <w:rFonts w:hint="eastAsia"/>
          <w:sz w:val="24"/>
          <w:highlight w:val="none"/>
        </w:rPr>
      </w:pPr>
    </w:p>
    <w:p>
      <w:pPr>
        <w:ind w:firstLine="723" w:firstLineChars="300"/>
        <w:rPr>
          <w:rFonts w:hint="eastAsia"/>
          <w:b/>
          <w:color w:val="FF0000"/>
          <w:sz w:val="24"/>
          <w:highlight w:val="none"/>
        </w:rPr>
      </w:pPr>
      <w:r>
        <w:rPr>
          <w:rFonts w:hint="eastAsia"/>
          <w:b/>
          <w:color w:val="FF0000"/>
          <w:sz w:val="24"/>
          <w:highlight w:val="none"/>
        </w:rPr>
        <w:t>（信息公开部分的内容到此为止！以下为信息不公开部分。）</w:t>
      </w:r>
    </w:p>
    <w:p>
      <w:pPr>
        <w:spacing w:line="360" w:lineRule="auto"/>
        <w:ind w:firstLine="560"/>
        <w:rPr>
          <w:rFonts w:hint="eastAsia"/>
          <w:sz w:val="24"/>
          <w:highlight w:val="none"/>
        </w:rPr>
        <w:sectPr>
          <w:pgSz w:w="11907" w:h="16840"/>
          <w:pgMar w:top="1440" w:right="1797" w:bottom="1440" w:left="1797" w:header="851" w:footer="992" w:gutter="0"/>
          <w:cols w:space="425" w:num="1"/>
          <w:titlePg/>
          <w:docGrid w:linePitch="462" w:charSpace="0"/>
        </w:sectPr>
      </w:pPr>
    </w:p>
    <w:p>
      <w:pPr>
        <w:outlineLvl w:val="1"/>
        <w:rPr>
          <w:rFonts w:ascii="宋体" w:hAnsi="宋体"/>
          <w:b/>
          <w:color w:val="FF0000"/>
          <w:sz w:val="28"/>
          <w:szCs w:val="28"/>
          <w:highlight w:val="none"/>
        </w:rPr>
      </w:pPr>
      <w:r>
        <w:rPr>
          <w:rFonts w:hint="eastAsia" w:ascii="宋体" w:hAnsi="宋体"/>
          <w:b/>
          <w:color w:val="FF0000"/>
          <w:sz w:val="28"/>
          <w:szCs w:val="28"/>
          <w:highlight w:val="none"/>
        </w:rPr>
        <w:t>应答文件附件（信息不公开部分）</w:t>
      </w:r>
    </w:p>
    <w:p>
      <w:pPr>
        <w:ind w:left="718" w:leftChars="342" w:firstLine="1417" w:firstLineChars="675"/>
        <w:rPr>
          <w:szCs w:val="21"/>
          <w:highlight w:val="none"/>
        </w:rPr>
      </w:pPr>
    </w:p>
    <w:p>
      <w:pPr>
        <w:pStyle w:val="3"/>
        <w:jc w:val="center"/>
        <w:rPr>
          <w:rFonts w:ascii="黑体" w:eastAsia="黑体"/>
          <w:b w:val="0"/>
          <w:sz w:val="24"/>
        </w:rPr>
      </w:pPr>
      <w:r>
        <w:rPr>
          <w:rFonts w:hint="eastAsia" w:ascii="黑体" w:eastAsia="黑体"/>
          <w:b w:val="0"/>
          <w:sz w:val="24"/>
        </w:rPr>
        <w:t>一、</w:t>
      </w:r>
      <w:bookmarkStart w:id="46" w:name="_Hlk72092499"/>
      <w:r>
        <w:rPr>
          <w:rFonts w:hint="eastAsia" w:ascii="黑体" w:eastAsia="黑体"/>
          <w:b w:val="0"/>
          <w:sz w:val="24"/>
        </w:rPr>
        <w:t>法定代表人（负责人）证明书</w:t>
      </w:r>
      <w:bookmarkEnd w:id="46"/>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w:t>
      </w:r>
      <w:r>
        <w:rPr>
          <w:rFonts w:hint="eastAsia"/>
          <w:szCs w:val="21"/>
          <w:lang w:val="en-US" w:eastAsia="zh-CN"/>
        </w:rPr>
        <w:t>供应商</w:t>
      </w:r>
      <w:r>
        <w:rPr>
          <w:rFonts w:hint="eastAsia"/>
          <w:szCs w:val="21"/>
        </w:rPr>
        <w:t>（企业事业单位、国家机关、社会团体）的主要行政负责人。</w:t>
      </w:r>
    </w:p>
    <w:p>
      <w:pPr>
        <w:numPr>
          <w:ilvl w:val="0"/>
          <w:numId w:val="8"/>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8"/>
        </w:numPr>
        <w:spacing w:line="360" w:lineRule="auto"/>
        <w:ind w:firstLine="420" w:firstLineChars="200"/>
        <w:rPr>
          <w:szCs w:val="21"/>
        </w:rPr>
      </w:pPr>
      <w:r>
        <w:rPr>
          <w:rFonts w:hint="eastAsia" w:eastAsia="宋体"/>
          <w:color w:val="auto"/>
          <w:szCs w:val="21"/>
          <w:lang w:eastAsia="zh-Hans"/>
        </w:rPr>
        <w:t>本项目</w:t>
      </w:r>
      <w:r>
        <w:rPr>
          <w:rFonts w:hint="eastAsia"/>
          <w:color w:val="auto"/>
          <w:szCs w:val="21"/>
          <w:lang w:val="en-US" w:eastAsia="zh-CN"/>
        </w:rPr>
        <w:t>应答</w:t>
      </w:r>
      <w:r>
        <w:rPr>
          <w:rFonts w:hint="eastAsia" w:eastAsia="宋体"/>
          <w:color w:val="auto"/>
          <w:szCs w:val="21"/>
          <w:lang w:eastAsia="zh-Hans"/>
        </w:rPr>
        <w:t>授权代表为法定代表人（负责人）的，无需提供</w:t>
      </w:r>
      <w:r>
        <w:rPr>
          <w:rFonts w:hint="eastAsia"/>
          <w:color w:val="auto"/>
          <w:szCs w:val="21"/>
        </w:rPr>
        <w:t>《谈判应答文件签署授权委托书》</w:t>
      </w:r>
      <w:r>
        <w:rPr>
          <w:rFonts w:hint="eastAsia" w:eastAsia="宋体"/>
          <w:color w:val="auto"/>
          <w:szCs w:val="21"/>
          <w:lang w:eastAsia="zh-Hans"/>
        </w:rPr>
        <w:t>。</w:t>
      </w:r>
    </w:p>
    <w:p>
      <w:pPr>
        <w:numPr>
          <w:ilvl w:val="0"/>
          <w:numId w:val="8"/>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18"/>
              <w:jc w:val="center"/>
              <w:rPr>
                <w:rFonts w:hint="eastAsia"/>
                <w:lang w:val="en-US" w:eastAsia="zh-CN"/>
              </w:rPr>
            </w:pPr>
          </w:p>
          <w:p>
            <w:pPr>
              <w:pStyle w:val="19"/>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18"/>
              <w:jc w:val="center"/>
              <w:rPr>
                <w:rFonts w:hint="eastAsia"/>
                <w:lang w:val="en-US" w:eastAsia="zh-CN"/>
              </w:rPr>
            </w:pPr>
          </w:p>
          <w:p>
            <w:pPr>
              <w:pStyle w:val="19"/>
              <w:jc w:val="center"/>
              <w:rPr>
                <w:rFonts w:hint="eastAsia"/>
                <w:sz w:val="24"/>
                <w:vertAlign w:val="baseline"/>
                <w:lang w:val="en-US" w:eastAsia="zh-CN"/>
              </w:rPr>
            </w:pPr>
          </w:p>
        </w:tc>
      </w:tr>
    </w:tbl>
    <w:p>
      <w:pPr>
        <w:rPr>
          <w:sz w:val="24"/>
        </w:rPr>
      </w:pPr>
    </w:p>
    <w:p>
      <w:pPr>
        <w:pStyle w:val="3"/>
        <w:spacing w:before="120" w:after="120"/>
        <w:jc w:val="center"/>
        <w:rPr>
          <w:rFonts w:ascii="黑体" w:eastAsia="黑体"/>
          <w:b w:val="0"/>
          <w:sz w:val="24"/>
        </w:rPr>
      </w:pPr>
      <w:r>
        <w:rPr>
          <w:rFonts w:hint="eastAsia" w:ascii="黑体" w:eastAsia="黑体"/>
          <w:b w:val="0"/>
          <w:sz w:val="24"/>
        </w:rPr>
        <w:t>二、谈判应答文件签署授权委托书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（供应商名称）的法定代表人（负责人），现授权委托</w:t>
      </w:r>
      <w:r>
        <w:rPr>
          <w:rFonts w:hint="eastAsia"/>
          <w:szCs w:val="21"/>
          <w:u w:val="single"/>
        </w:rPr>
        <w:t xml:space="preserve">            </w:t>
      </w:r>
      <w:r>
        <w:rPr>
          <w:rFonts w:hint="eastAsia"/>
          <w:szCs w:val="21"/>
        </w:rPr>
        <w:t>（姓名）为我单位签署本项目已递交的谈判应答文件的法定代表人（负责人）的授权委托代理人，</w:t>
      </w:r>
      <w:r>
        <w:rPr>
          <w:rFonts w:hint="eastAsia" w:ascii="宋体" w:hAnsi="宋体"/>
          <w:szCs w:val="21"/>
        </w:rPr>
        <w:t>代理人全权代表我所签署的本项目已递交的谈判应答文件内容，以及本项目谈判组织实施过程中对谈判应答文件的修改和补充内容我均承认。</w:t>
      </w:r>
    </w:p>
    <w:p>
      <w:pPr>
        <w:pStyle w:val="7"/>
        <w:spacing w:line="360" w:lineRule="auto"/>
        <w:rPr>
          <w:szCs w:val="21"/>
        </w:rPr>
      </w:pPr>
      <w:r>
        <w:rPr>
          <w:rFonts w:hint="eastAsia"/>
          <w:szCs w:val="21"/>
        </w:rPr>
        <w:t>代理人无转委托权，特此委托。</w:t>
      </w: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18"/>
              <w:jc w:val="center"/>
              <w:rPr>
                <w:rFonts w:hint="eastAsia"/>
                <w:lang w:val="en-US" w:eastAsia="zh-CN"/>
              </w:rPr>
            </w:pPr>
          </w:p>
          <w:p>
            <w:pPr>
              <w:pStyle w:val="19"/>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18"/>
              <w:jc w:val="center"/>
              <w:rPr>
                <w:rFonts w:hint="eastAsia"/>
                <w:lang w:val="en-US" w:eastAsia="zh-CN"/>
              </w:rPr>
            </w:pPr>
          </w:p>
          <w:p>
            <w:pPr>
              <w:pStyle w:val="19"/>
              <w:jc w:val="center"/>
              <w:rPr>
                <w:rFonts w:hint="eastAsia"/>
                <w:sz w:val="24"/>
                <w:vertAlign w:val="baseline"/>
                <w:lang w:val="en-US" w:eastAsia="zh-CN"/>
              </w:rPr>
            </w:pPr>
          </w:p>
        </w:tc>
      </w:tr>
    </w:tbl>
    <w:p>
      <w:pPr>
        <w:spacing w:line="360" w:lineRule="auto"/>
        <w:ind w:firstLine="422" w:firstLineChars="200"/>
        <w:rPr>
          <w:b/>
          <w:color w:val="FF0000"/>
          <w:szCs w:val="21"/>
        </w:rPr>
      </w:pPr>
    </w:p>
    <w:p>
      <w:pPr>
        <w:pStyle w:val="3"/>
        <w:jc w:val="center"/>
        <w:rPr>
          <w:rFonts w:ascii="黑体" w:eastAsia="黑体"/>
          <w:b w:val="0"/>
          <w:kern w:val="0"/>
          <w:sz w:val="24"/>
          <w:szCs w:val="24"/>
        </w:rPr>
      </w:pPr>
      <w:r>
        <w:rPr>
          <w:rFonts w:hint="eastAsia" w:ascii="黑体" w:eastAsia="黑体"/>
          <w:b w:val="0"/>
          <w:kern w:val="0"/>
          <w:sz w:val="24"/>
          <w:szCs w:val="24"/>
        </w:rPr>
        <w:t>三、实质性条款响应情况表</w:t>
      </w:r>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95"/>
        <w:gridCol w:w="2572"/>
        <w:gridCol w:w="1131"/>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309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2572" w:type="dxa"/>
            <w:vAlign w:val="center"/>
          </w:tcPr>
          <w:p>
            <w:pPr>
              <w:adjustRightInd w:val="0"/>
              <w:snapToGrid w:val="0"/>
              <w:spacing w:line="360" w:lineRule="auto"/>
              <w:jc w:val="center"/>
              <w:rPr>
                <w:rFonts w:ascii="宋体" w:hAnsi="宋体"/>
                <w:kern w:val="0"/>
                <w:szCs w:val="21"/>
              </w:rPr>
            </w:pPr>
            <w:r>
              <w:rPr>
                <w:rFonts w:hint="eastAsia"/>
              </w:rPr>
              <w:t>谈判响应</w:t>
            </w:r>
          </w:p>
        </w:tc>
        <w:tc>
          <w:tcPr>
            <w:tcW w:w="1131"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714" w:type="dxa"/>
            <w:vAlign w:val="center"/>
          </w:tcPr>
          <w:p>
            <w:pPr>
              <w:adjustRightInd w:val="0"/>
              <w:snapToGrid w:val="0"/>
              <w:spacing w:line="360" w:lineRule="auto"/>
              <w:jc w:val="center"/>
              <w:rPr>
                <w:rFonts w:ascii="宋体" w:hAnsi="宋体"/>
                <w:kern w:val="0"/>
                <w:szCs w:val="21"/>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3095" w:type="dxa"/>
            <w:vAlign w:val="center"/>
          </w:tcPr>
          <w:p>
            <w:pPr>
              <w:adjustRightInd w:val="0"/>
              <w:snapToGrid w:val="0"/>
              <w:spacing w:line="360" w:lineRule="auto"/>
              <w:jc w:val="center"/>
              <w:rPr>
                <w:rFonts w:hAnsi="宋体"/>
                <w:kern w:val="0"/>
                <w:szCs w:val="21"/>
              </w:rPr>
            </w:pPr>
            <w:r>
              <w:rPr>
                <w:rFonts w:hint="eastAsia"/>
              </w:rPr>
              <w:t>满足本项目标★的条款要求</w:t>
            </w:r>
          </w:p>
        </w:tc>
        <w:tc>
          <w:tcPr>
            <w:tcW w:w="2572" w:type="dxa"/>
          </w:tcPr>
          <w:p>
            <w:pPr>
              <w:adjustRightInd w:val="0"/>
              <w:snapToGrid w:val="0"/>
              <w:spacing w:line="360" w:lineRule="auto"/>
              <w:rPr>
                <w:rFonts w:ascii="宋体" w:hAnsi="宋体"/>
                <w:kern w:val="0"/>
                <w:szCs w:val="21"/>
              </w:rPr>
            </w:pPr>
          </w:p>
        </w:tc>
        <w:tc>
          <w:tcPr>
            <w:tcW w:w="1131" w:type="dxa"/>
          </w:tcPr>
          <w:p>
            <w:pPr>
              <w:adjustRightInd w:val="0"/>
              <w:snapToGrid w:val="0"/>
              <w:spacing w:line="360" w:lineRule="auto"/>
              <w:rPr>
                <w:rFonts w:ascii="宋体" w:hAnsi="宋体"/>
                <w:kern w:val="0"/>
                <w:szCs w:val="21"/>
              </w:rPr>
            </w:pPr>
          </w:p>
        </w:tc>
        <w:tc>
          <w:tcPr>
            <w:tcW w:w="714" w:type="dxa"/>
          </w:tcPr>
          <w:p>
            <w:pPr>
              <w:adjustRightInd w:val="0"/>
              <w:snapToGrid w:val="0"/>
              <w:spacing w:line="360" w:lineRule="auto"/>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numPr>
          <w:ilvl w:val="-1"/>
          <w:numId w:val="0"/>
        </w:numPr>
        <w:ind w:firstLine="482" w:firstLineChars="200"/>
        <w:rPr>
          <w:rFonts w:hint="eastAsia"/>
          <w:b/>
          <w:sz w:val="24"/>
          <w:szCs w:val="22"/>
        </w:rPr>
      </w:pPr>
      <w:r>
        <w:rPr>
          <w:rFonts w:hint="eastAsia"/>
          <w:b/>
          <w:sz w:val="24"/>
          <w:szCs w:val="22"/>
          <w:lang w:val="en-US" w:eastAsia="zh-CN"/>
        </w:rPr>
        <w:t>2.</w:t>
      </w:r>
      <w:r>
        <w:rPr>
          <w:rFonts w:hint="eastAsia"/>
          <w:b/>
          <w:sz w:val="24"/>
          <w:szCs w:val="22"/>
        </w:rPr>
        <w:t>“谈判响应”一栏应当详细填写供应商自身响应情况，而不能不合理照搬照抄谈判文件实质性条款具体内容。</w:t>
      </w:r>
    </w:p>
    <w:p>
      <w:pPr>
        <w:ind w:firstLine="482" w:firstLineChars="200"/>
        <w:rPr>
          <w:rFonts w:hint="eastAsia"/>
          <w:b/>
          <w:sz w:val="24"/>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应答）响应优于实质性条款具体内容要求”，“负偏离”表示“投标（应答）响应不满足实质性条款具体内容要求”，“无偏离”表示“投标（应答）响应与实质性条款具体内容要求一致”。</w:t>
      </w:r>
    </w:p>
    <w:p>
      <w:pPr>
        <w:ind w:firstLine="482" w:firstLineChars="200"/>
        <w:rPr>
          <w:b/>
          <w:sz w:val="24"/>
        </w:rPr>
      </w:pPr>
      <w:r>
        <w:rPr>
          <w:b/>
          <w:sz w:val="24"/>
        </w:rPr>
        <w:t>4.</w:t>
      </w:r>
      <w:r>
        <w:rPr>
          <w:rFonts w:hint="eastAsia"/>
          <w:b/>
          <w:sz w:val="24"/>
        </w:rPr>
        <w:t>谈判小组有权对谈判响应情况作出判断（作出评审结论）。</w:t>
      </w:r>
    </w:p>
    <w:p>
      <w:pPr>
        <w:ind w:firstLine="482" w:firstLineChars="200"/>
        <w:rPr>
          <w:b/>
          <w:sz w:val="24"/>
          <w:szCs w:val="22"/>
        </w:rPr>
      </w:pPr>
      <w:r>
        <w:rPr>
          <w:b/>
          <w:sz w:val="24"/>
          <w:szCs w:val="22"/>
        </w:rPr>
        <w:t>5</w:t>
      </w:r>
      <w:r>
        <w:rPr>
          <w:rFonts w:hint="eastAsia"/>
          <w:b/>
          <w:sz w:val="24"/>
          <w:szCs w:val="22"/>
        </w:rPr>
        <w:t>.实质性响应条款“谈判响应”情况与应答文件其它内容冲突的，以实质性响应条款“谈判响应”内容为准。</w:t>
      </w:r>
    </w:p>
    <w:p>
      <w:pPr>
        <w:ind w:firstLine="482" w:firstLineChars="200"/>
        <w:rPr>
          <w:b/>
          <w:sz w:val="24"/>
          <w:szCs w:val="22"/>
        </w:rPr>
      </w:pPr>
      <w:r>
        <w:rPr>
          <w:rFonts w:hint="eastAsia"/>
          <w:b/>
          <w:sz w:val="24"/>
          <w:szCs w:val="22"/>
        </w:rPr>
        <w:t>6.要求提供证明资料，在“说明”一栏中列明证明资料的位置</w:t>
      </w:r>
      <w:r>
        <w:rPr>
          <w:rFonts w:hint="eastAsia"/>
          <w:b/>
          <w:sz w:val="24"/>
          <w:szCs w:val="22"/>
          <w:lang w:eastAsia="zh-CN"/>
        </w:rPr>
        <w:t>，</w:t>
      </w:r>
      <w:r>
        <w:rPr>
          <w:rFonts w:hint="eastAsia"/>
          <w:b/>
          <w:sz w:val="24"/>
          <w:szCs w:val="22"/>
        </w:rPr>
        <w:t>以便谈判；未要求提供证明材料的，供应商可以不提供。</w:t>
      </w:r>
    </w:p>
    <w:p>
      <w:pPr>
        <w:ind w:firstLine="482" w:firstLineChars="200"/>
        <w:rPr>
          <w:b/>
          <w:sz w:val="24"/>
          <w:szCs w:val="22"/>
        </w:rPr>
      </w:pPr>
    </w:p>
    <w:p>
      <w:pPr>
        <w:rPr>
          <w:sz w:val="24"/>
        </w:rPr>
      </w:pPr>
    </w:p>
    <w:p>
      <w:pPr>
        <w:jc w:val="left"/>
        <w:rPr>
          <w:rFonts w:ascii="黑体" w:eastAsia="黑体"/>
          <w:b w:val="0"/>
          <w:bCs w:val="0"/>
          <w:sz w:val="24"/>
          <w:szCs w:val="20"/>
          <w:highlight w:val="none"/>
        </w:rPr>
      </w:pPr>
      <w:r>
        <w:rPr>
          <w:rFonts w:hint="eastAsia" w:ascii="黑体" w:eastAsia="黑体"/>
          <w:b w:val="0"/>
          <w:sz w:val="24"/>
          <w:szCs w:val="24"/>
        </w:rPr>
        <w:t>四、</w:t>
      </w:r>
      <w:bookmarkStart w:id="47" w:name="_Hlk72062872"/>
      <w:bookmarkStart w:id="48" w:name="_Hlk72260576"/>
      <w:r>
        <w:rPr>
          <w:rFonts w:hint="eastAsia" w:ascii="黑体" w:eastAsia="黑体"/>
          <w:b w:val="0"/>
          <w:bCs w:val="0"/>
          <w:sz w:val="24"/>
          <w:szCs w:val="20"/>
          <w:highlight w:val="none"/>
        </w:rPr>
        <w:t>供应商认为需要加以说明的其他内容</w:t>
      </w:r>
      <w:bookmarkEnd w:id="47"/>
    </w:p>
    <w:bookmarkEnd w:id="48"/>
    <w:p>
      <w:pPr>
        <w:rPr>
          <w:sz w:val="24"/>
          <w:highlight w:val="none"/>
        </w:rPr>
      </w:pPr>
    </w:p>
    <w:p>
      <w:pPr>
        <w:widowControl/>
        <w:jc w:val="center"/>
        <w:rPr>
          <w:rFonts w:ascii="黑体" w:hAnsi="宋体" w:eastAsia="黑体"/>
          <w:kern w:val="0"/>
          <w:sz w:val="24"/>
          <w:highlight w:val="none"/>
        </w:rPr>
      </w:pPr>
      <w:r>
        <w:rPr>
          <w:rFonts w:hint="eastAsia" w:ascii="黑体" w:hAnsi="黑体" w:eastAsia="黑体"/>
          <w:kern w:val="0"/>
          <w:sz w:val="24"/>
          <w:highlight w:val="none"/>
        </w:rPr>
        <w:t>（一）政府采购违法行为风险知悉确认书</w:t>
      </w:r>
    </w:p>
    <w:p>
      <w:pPr>
        <w:widowControl/>
        <w:jc w:val="center"/>
        <w:rPr>
          <w:rFonts w:ascii="黑体" w:hAnsi="宋体" w:eastAsia="黑体"/>
          <w:kern w:val="0"/>
          <w:sz w:val="24"/>
        </w:rPr>
      </w:pPr>
      <w:r>
        <w:rPr>
          <w:rFonts w:hint="eastAsia" w:ascii="黑体" w:hAnsi="宋体" w:eastAsia="黑体"/>
          <w:kern w:val="0"/>
          <w:sz w:val="24"/>
        </w:rPr>
        <w:t xml:space="preserve"> </w:t>
      </w:r>
    </w:p>
    <w:p>
      <w:pPr>
        <w:ind w:firstLine="420" w:firstLineChars="200"/>
        <w:rPr>
          <w:szCs w:val="21"/>
        </w:rPr>
      </w:pPr>
      <w:r>
        <w:rPr>
          <w:rFonts w:hint="eastAsia" w:ascii="宋体" w:hAnsi="宋体"/>
        </w:rPr>
        <w:t>本公司在应答前已充分知悉以下情形为参与政府采购活动时的重大风险事项，并承诺已对下述风险提示事项重点排查，做到严谨、诚信、依法依规参与政府采购活动。</w:t>
      </w:r>
    </w:p>
    <w:p>
      <w:pPr>
        <w:ind w:firstLine="422" w:firstLineChars="200"/>
        <w:rPr>
          <w:b/>
          <w:bCs/>
        </w:rPr>
      </w:pPr>
      <w:r>
        <w:rPr>
          <w:rFonts w:hint="eastAsia" w:ascii="宋体" w:hAnsi="宋体"/>
          <w:b/>
          <w:bCs/>
        </w:rPr>
        <w:t>一、本公司已充分知悉</w:t>
      </w:r>
      <w:r>
        <w:rPr>
          <w:rFonts w:hint="eastAsia"/>
          <w:b/>
          <w:bCs/>
        </w:rPr>
        <w:t>“隐瞒真实情况，提供虚假资料”的法定情形，相关情形包括但不限于：</w:t>
      </w:r>
    </w:p>
    <w:p>
      <w:pPr>
        <w:ind w:firstLine="420" w:firstLineChars="200"/>
      </w:pPr>
      <w:r>
        <w:rPr>
          <w:rFonts w:hint="eastAsia" w:ascii="宋体" w:hAnsi="宋体"/>
        </w:rPr>
        <w:t>（一）通过转让或者租借等方式从其他单位获取资格或者资质证书投标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的。</w:t>
      </w:r>
    </w:p>
    <w:p>
      <w:pPr>
        <w:ind w:firstLine="420" w:firstLineChars="200"/>
      </w:pPr>
      <w:r>
        <w:rPr>
          <w:rFonts w:hint="eastAsia" w:ascii="宋体" w:hAnsi="宋体"/>
        </w:rPr>
        <w:t>（二）由其他单位或者其他单位负责人在投标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供应商编制的投标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文件上加盖印章或者签字的。</w:t>
      </w:r>
    </w:p>
    <w:p>
      <w:pPr>
        <w:ind w:firstLine="420" w:firstLineChars="200"/>
      </w:pPr>
      <w:r>
        <w:rPr>
          <w:rFonts w:hint="eastAsia" w:ascii="宋体" w:hAnsi="宋体"/>
        </w:rPr>
        <w:t>（三）项目负责人或者主要技术人员不是本单位人员的。</w:t>
      </w:r>
    </w:p>
    <w:p>
      <w:pPr>
        <w:ind w:firstLine="420" w:firstLineChars="200"/>
      </w:pPr>
      <w:r>
        <w:rPr>
          <w:rFonts w:hint="eastAsia" w:ascii="宋体" w:hAnsi="宋体"/>
        </w:rPr>
        <w:t>（四）投标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保证金不是从投标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供应商基本账户转出的。</w:t>
      </w:r>
    </w:p>
    <w:p>
      <w:pPr>
        <w:ind w:firstLine="420" w:firstLineChars="200"/>
      </w:pPr>
      <w:r>
        <w:rPr>
          <w:rFonts w:hint="eastAsia" w:ascii="宋体" w:hAnsi="宋体"/>
        </w:rPr>
        <w:t>（五）其他隐瞒真实情况、提供虚假资料的行为。</w:t>
      </w:r>
    </w:p>
    <w:p>
      <w:pPr>
        <w:ind w:firstLine="422" w:firstLineChars="200"/>
        <w:rPr>
          <w:b/>
          <w:bCs/>
        </w:rPr>
      </w:pPr>
      <w:r>
        <w:rPr>
          <w:rFonts w:hint="eastAsia" w:ascii="宋体" w:hAnsi="宋体"/>
          <w:b/>
          <w:bCs/>
        </w:rPr>
        <w:t>二、本公司已充分知悉</w:t>
      </w:r>
      <w:r>
        <w:rPr>
          <w:rFonts w:hint="eastAsia"/>
          <w:b/>
          <w:bCs/>
        </w:rPr>
        <w:t>“与其他采购参加人串通投标”的法定情形，相关情形包括但不限于：</w:t>
      </w:r>
    </w:p>
    <w:p>
      <w:pPr>
        <w:ind w:firstLine="420" w:firstLineChars="200"/>
      </w:pPr>
      <w:r>
        <w:rPr>
          <w:rFonts w:hint="eastAsia" w:ascii="宋体" w:hAnsi="宋体"/>
        </w:rPr>
        <w:t>（一）投标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供应商之间相互约定给予未中标的供应商利益补偿。</w:t>
      </w:r>
    </w:p>
    <w:p>
      <w:pPr>
        <w:ind w:firstLine="420" w:firstLineChars="200"/>
      </w:pPr>
      <w:r>
        <w:rPr>
          <w:rFonts w:hint="eastAsia" w:ascii="宋体" w:hAnsi="宋体"/>
        </w:rPr>
        <w:t>（二）不同投标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供应商的法定代表人、主要经营负责人、项目投标授权代表人、项目负责人、主要技术人员为同一人、属同一单位或者在同一单位缴纳社会保险。</w:t>
      </w:r>
    </w:p>
    <w:p>
      <w:pPr>
        <w:ind w:firstLine="420" w:firstLineChars="200"/>
      </w:pPr>
      <w:r>
        <w:rPr>
          <w:rFonts w:hint="eastAsia" w:ascii="宋体" w:hAnsi="宋体"/>
        </w:rPr>
        <w:t>（三）不同投标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供应商的投标文件由同一单位或者同一人编制，或者由同一人分阶段参与编制的。</w:t>
      </w:r>
    </w:p>
    <w:p>
      <w:pPr>
        <w:ind w:firstLine="420" w:firstLineChars="200"/>
      </w:pPr>
      <w:r>
        <w:rPr>
          <w:rFonts w:hint="eastAsia" w:ascii="宋体" w:hAnsi="宋体"/>
        </w:rPr>
        <w:t>（四）不同投标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供应商的投标文件或部分投标文件相互混装。</w:t>
      </w:r>
    </w:p>
    <w:p>
      <w:pPr>
        <w:ind w:firstLine="420" w:firstLineChars="200"/>
      </w:pPr>
      <w:r>
        <w:rPr>
          <w:rFonts w:hint="eastAsia" w:ascii="宋体" w:hAnsi="宋体"/>
        </w:rPr>
        <w:t>（五）不同投标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供应商的投标文件内容存在非正常一致。</w:t>
      </w:r>
    </w:p>
    <w:p>
      <w:pPr>
        <w:ind w:firstLine="420" w:firstLineChars="200"/>
      </w:pPr>
      <w:r>
        <w:rPr>
          <w:rFonts w:hint="eastAsia" w:ascii="宋体" w:hAnsi="宋体"/>
        </w:rPr>
        <w:t>（六）由同一单位工作人员为两家以上（含两家）供应商进行同一项投标活动的。</w:t>
      </w:r>
    </w:p>
    <w:p>
      <w:pPr>
        <w:ind w:firstLine="420" w:firstLineChars="200"/>
      </w:pPr>
      <w:r>
        <w:rPr>
          <w:rFonts w:hint="eastAsia" w:ascii="宋体" w:hAnsi="宋体"/>
        </w:rPr>
        <w:t>（七）不同供应商的投标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报价呈规律性差异。</w:t>
      </w:r>
    </w:p>
    <w:p>
      <w:pPr>
        <w:ind w:firstLine="420" w:firstLineChars="200"/>
      </w:pPr>
      <w:r>
        <w:rPr>
          <w:rFonts w:hint="eastAsia" w:ascii="宋体" w:hAnsi="宋体"/>
        </w:rPr>
        <w:t>（八）不同供应商的投标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rPr>
        <w:t>保证金从同一单位或者个人的账户转出。</w:t>
      </w:r>
    </w:p>
    <w:p>
      <w:pPr>
        <w:ind w:firstLine="420" w:firstLineChars="200"/>
      </w:pPr>
      <w:r>
        <w:rPr>
          <w:rFonts w:hint="eastAsia" w:ascii="宋体" w:hAnsi="宋体"/>
        </w:rPr>
        <w:t>（九）主管部门依照法律、法规认定的其他情形。</w:t>
      </w:r>
    </w:p>
    <w:p>
      <w:pPr>
        <w:ind w:firstLine="422" w:firstLineChars="200"/>
        <w:rPr>
          <w:b/>
          <w:bCs/>
        </w:rPr>
      </w:pPr>
      <w:r>
        <w:rPr>
          <w:rFonts w:hint="eastAsia" w:ascii="宋体" w:hAnsi="宋体"/>
          <w:b/>
          <w:bCs/>
        </w:rPr>
        <w:t>三、本公司已充分知悉下列情形所对应的法律风险，并在应答前已对相关风险事项进行排查。</w:t>
      </w:r>
    </w:p>
    <w:p>
      <w:pPr>
        <w:ind w:firstLine="420" w:firstLineChars="200"/>
        <w:rPr>
          <w:b/>
          <w:bCs/>
        </w:rPr>
      </w:pPr>
      <w:r>
        <w:rPr>
          <w:rFonts w:hint="eastAsia" w:ascii="宋体" w:hAnsi="宋体"/>
        </w:rPr>
        <w:t>（一）对于从其他主体获取的投标（应答）资料，供应商应审慎核查，确保投标（应答）资料的真实性。</w:t>
      </w:r>
      <w:r>
        <w:rPr>
          <w:rFonts w:hint="eastAsia" w:ascii="宋体" w:hAnsi="宋体"/>
          <w:b/>
          <w:bCs/>
        </w:rPr>
        <w:t>如主管部门查实投标（应答）文件中存在虚假资料的，无论相关资料是否由第三方或本公司员工提供，均不影响主管部门对供应商存在</w:t>
      </w:r>
      <w:r>
        <w:rPr>
          <w:rFonts w:hint="eastAsia"/>
          <w:b/>
          <w:bCs/>
        </w:rPr>
        <w:t>“隐瞒真实情况，提供虚假资料”违法行为的认定。</w:t>
      </w:r>
    </w:p>
    <w:p>
      <w:pPr>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ascii="宋体" w:hAnsi="宋体"/>
        </w:rPr>
        <w:t>（三）对于涉及安全生产、特种作业、抢险救灾、防疫等政府采购项目，供应商实施提供虚假资料、串通投标等违法行为的，主管部门将依法从严处理。</w:t>
      </w:r>
    </w:p>
    <w:p>
      <w:pPr>
        <w:ind w:firstLine="420" w:firstLineChars="200"/>
      </w:pPr>
      <w:r>
        <w:rPr>
          <w:rFonts w:hint="eastAsia" w:ascii="宋体" w:hAnsi="宋体"/>
        </w:rPr>
        <w:t>（四）供应商应严格规范项目授权代表、员工参与招标投标的行为，加强对投标（应答）文件的审核。项目授权代表、员工编制、上传投标（应答）文件等行为违反政府采购法律法规或谈判文件要求的，供应商应当依法承担相应法律责任。</w:t>
      </w:r>
    </w:p>
    <w:p>
      <w:pPr>
        <w:ind w:firstLine="420" w:firstLineChars="200"/>
      </w:pPr>
      <w:r>
        <w:rPr>
          <w:rFonts w:hint="eastAsia" w:ascii="宋体" w:hAnsi="宋体"/>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ascii="宋体" w:hAnsi="宋体"/>
        </w:rPr>
        <w:t>（六）单位负责人为同一人或者存在直接控股、管理关系的不同供应商，不得参加同一合同项下的政府采购活动。相关情形如查实，依法作投标（应答）无效处理；涉嫌串通投标等违法行为的，主管部门将依法调查处理。</w:t>
      </w:r>
    </w:p>
    <w:p>
      <w:pPr>
        <w:ind w:firstLine="422" w:firstLineChars="200"/>
        <w:rPr>
          <w:b/>
          <w:bCs/>
        </w:rPr>
      </w:pPr>
      <w:r>
        <w:rPr>
          <w:rFonts w:hint="eastAsia" w:ascii="宋体" w:hAnsi="宋体"/>
          <w:b/>
          <w:bCs/>
        </w:rPr>
        <w:t>四、本公司已充分知悉政府采购违法、违规行为的法律后果。</w:t>
      </w:r>
    </w:p>
    <w:p>
      <w:pPr>
        <w:ind w:firstLine="420" w:firstLineChars="200"/>
        <w:rPr>
          <w:highlight w:val="none"/>
        </w:rPr>
      </w:pPr>
      <w:r>
        <w:rPr>
          <w:rFonts w:hint="eastAsia" w:ascii="宋体" w:hAnsi="宋体"/>
        </w:rPr>
        <w:t>经查实，若供应商存在政府采购违法、违规行为，主管部门将依据《深圳经济特区政府采购条例》第五十七条的规定，处以</w:t>
      </w:r>
      <w:r>
        <w:rPr>
          <w:rFonts w:hint="eastAsia" w:ascii="宋体" w:hAnsi="宋体"/>
          <w:highlight w:val="none"/>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以下文字请供应商抄写并确认：</w:t>
      </w:r>
      <w:r>
        <w:rPr>
          <w:rFonts w:hint="eastAsia"/>
          <w:highlight w:val="none"/>
        </w:rPr>
        <w:t>“本公司已仔细阅读《政府采购违法行为风险知悉确认书》，充分知悉违法行为的法律后果，并承诺将严谨、诚信、依法依规参与政府采购活动”。</w:t>
      </w:r>
    </w:p>
    <w:tbl>
      <w:tblPr>
        <w:tblStyle w:val="477"/>
        <w:tblW w:w="852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spacing w:val="-4"/>
                <w:kern w:val="0"/>
                <w:szCs w:val="21"/>
              </w:rPr>
            </w:pPr>
          </w:p>
        </w:tc>
      </w:tr>
    </w:tbl>
    <w:p>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负责人/谈判授权代表签名：</w:t>
      </w:r>
      <w:r>
        <w:rPr>
          <w:rFonts w:hint="eastAsia" w:ascii="宋体" w:hAnsi="宋体"/>
          <w:spacing w:val="-4"/>
          <w:kern w:val="0"/>
          <w:u w:val="single"/>
        </w:rPr>
        <w:t xml:space="preserve">              </w:t>
      </w:r>
    </w:p>
    <w:p>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知悉人（公章）：</w:t>
      </w:r>
      <w:r>
        <w:rPr>
          <w:rFonts w:hint="eastAsia" w:ascii="宋体" w:hAnsi="宋体"/>
          <w:spacing w:val="-4"/>
          <w:kern w:val="0"/>
          <w:u w:val="single"/>
        </w:rPr>
        <w:t xml:space="preserve">              </w:t>
      </w:r>
    </w:p>
    <w:p>
      <w:pPr>
        <w:widowControl/>
        <w:wordWrap w:val="0"/>
        <w:autoSpaceDE w:val="0"/>
        <w:autoSpaceDN w:val="0"/>
        <w:spacing w:line="400" w:lineRule="exact"/>
        <w:ind w:right="808" w:firstLine="404" w:firstLineChars="200"/>
        <w:jc w:val="right"/>
        <w:rPr>
          <w:rFonts w:hint="eastAsia"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pPr>
        <w:widowControl/>
        <w:autoSpaceDE w:val="0"/>
        <w:autoSpaceDN w:val="0"/>
        <w:spacing w:line="400" w:lineRule="exact"/>
        <w:ind w:firstLine="406" w:firstLineChars="200"/>
        <w:jc w:val="left"/>
        <w:rPr>
          <w:rFonts w:hint="eastAsia" w:ascii="宋体" w:hAnsi="宋体"/>
          <w:b/>
          <w:bCs/>
          <w:color w:val="FF0000"/>
          <w:spacing w:val="-4"/>
          <w:kern w:val="0"/>
        </w:rPr>
      </w:pPr>
    </w:p>
    <w:p>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rPr>
        <w:t>注：1.</w:t>
      </w:r>
      <w:r>
        <w:rPr>
          <w:rFonts w:hint="eastAsia" w:ascii="宋体" w:hAnsi="宋体" w:eastAsiaTheme="minorEastAsia"/>
          <w:b/>
          <w:bCs/>
          <w:color w:val="FF0000"/>
          <w:spacing w:val="-4"/>
          <w:kern w:val="0"/>
          <w:szCs w:val="21"/>
        </w:rPr>
        <w:t>根据《深圳市财政局关于采购文件增加风险告知有关事项的通知》（深财购〔2022〕22号），该风险知悉确认书用于对供应商违法行为的警示，</w:t>
      </w:r>
      <w:r>
        <w:rPr>
          <w:rFonts w:hint="eastAsia" w:ascii="宋体" w:hAnsi="宋体"/>
          <w:b/>
          <w:bCs/>
          <w:color w:val="FF0000"/>
          <w:spacing w:val="-4"/>
          <w:kern w:val="0"/>
        </w:rPr>
        <w:t>不作为供应商资格性审查及符合性审查条件。</w:t>
      </w:r>
    </w:p>
    <w:p>
      <w:pPr>
        <w:widowControl/>
        <w:autoSpaceDE w:val="0"/>
        <w:autoSpaceDN w:val="0"/>
        <w:spacing w:line="400" w:lineRule="exact"/>
        <w:ind w:firstLine="406" w:firstLineChars="200"/>
        <w:jc w:val="left"/>
        <w:rPr>
          <w:rFonts w:ascii="宋体" w:hAnsi="宋体"/>
          <w:spacing w:val="-4"/>
          <w:kern w:val="0"/>
          <w:u w:val="single"/>
        </w:rPr>
      </w:pPr>
      <w:r>
        <w:rPr>
          <w:rFonts w:hint="eastAsia" w:ascii="宋体" w:hAnsi="宋体"/>
          <w:b/>
          <w:bCs/>
          <w:color w:val="FF0000"/>
          <w:spacing w:val="-4"/>
          <w:kern w:val="0"/>
        </w:rPr>
        <w:t>2.供应商负责人或谈判授权代表签字</w:t>
      </w:r>
      <w:r>
        <w:rPr>
          <w:rFonts w:hint="eastAsia" w:ascii="宋体" w:hAnsi="宋体"/>
          <w:b/>
          <w:bCs/>
          <w:color w:val="FF0000"/>
          <w:spacing w:val="-4"/>
          <w:kern w:val="0"/>
          <w:highlight w:val="none"/>
        </w:rPr>
        <w:t>并加盖单位公章</w:t>
      </w:r>
      <w:r>
        <w:rPr>
          <w:rFonts w:hint="eastAsia" w:ascii="宋体" w:hAnsi="宋体"/>
          <w:b/>
          <w:bCs/>
          <w:color w:val="FF0000"/>
          <w:spacing w:val="-4"/>
          <w:kern w:val="0"/>
        </w:rPr>
        <w:t>后，扫描上传至应答文件一并提交。</w:t>
      </w:r>
    </w:p>
    <w:p/>
    <w:p>
      <w:pPr>
        <w:widowControl/>
        <w:jc w:val="center"/>
        <w:rPr>
          <w:rFonts w:ascii="黑体" w:hAnsi="宋体" w:eastAsia="黑体"/>
          <w:kern w:val="0"/>
          <w:sz w:val="24"/>
          <w:szCs w:val="20"/>
        </w:rPr>
      </w:pPr>
      <w:r>
        <w:rPr>
          <w:rFonts w:hint="eastAsia" w:ascii="黑体" w:hAnsi="宋体" w:eastAsia="黑体"/>
          <w:kern w:val="0"/>
          <w:sz w:val="24"/>
          <w:szCs w:val="20"/>
        </w:rPr>
        <w:t>（二）供应商认为需要加以说明的其他内容（格式自定）</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pPr>
      <w:r>
        <w:rPr>
          <w:rFonts w:hint="eastAsia"/>
        </w:rPr>
        <w:t>第五章  合同条款及格式</w:t>
      </w:r>
    </w:p>
    <w:p>
      <w:pPr>
        <w:ind w:firstLine="411" w:firstLineChars="196"/>
      </w:pPr>
    </w:p>
    <w:p>
      <w:pPr>
        <w:jc w:val="center"/>
        <w:outlineLvl w:val="0"/>
      </w:pPr>
      <w:bookmarkStart w:id="49" w:name="_Hlk72260917"/>
      <w:r>
        <w:rPr>
          <w:rFonts w:hint="eastAsia"/>
          <w:b/>
          <w:sz w:val="24"/>
        </w:rPr>
        <w:t>（仅供参考，具体以项目需求及采购结果为准）</w:t>
      </w:r>
    </w:p>
    <w:bookmarkEnd w:id="49"/>
    <w:p/>
    <w:p/>
    <w:p>
      <w:pPr>
        <w:widowControl w:val="0"/>
        <w:spacing w:after="0"/>
        <w:jc w:val="center"/>
        <w:rPr>
          <w:rFonts w:ascii="宋体" w:hAnsi="宋体" w:eastAsia="宋体" w:cs="宋体"/>
          <w:b/>
          <w:bCs/>
          <w:spacing w:val="-20"/>
          <w:kern w:val="44"/>
          <w:sz w:val="48"/>
          <w:szCs w:val="48"/>
          <w:lang w:val="en-US" w:eastAsia="zh-CN" w:bidi="ar-SA"/>
        </w:rPr>
      </w:pPr>
    </w:p>
    <w:p>
      <w:pPr>
        <w:pStyle w:val="18"/>
        <w:rPr>
          <w:lang w:val="en-US" w:eastAsia="zh-CN"/>
        </w:rPr>
      </w:pP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sz w:val="44"/>
          <w:szCs w:val="4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widowControl w:val="0"/>
        <w:adjustRightInd w:val="0"/>
        <w:snapToGrid w:val="0"/>
        <w:spacing w:beforeLines="0" w:line="400" w:lineRule="exact"/>
        <w:jc w:val="center"/>
        <w:outlineLvl w:val="1"/>
        <w:rPr>
          <w:rFonts w:hint="eastAsia" w:ascii="黑体" w:hAnsi="黑体" w:eastAsia="黑体" w:cs="Times New Roman"/>
          <w:b/>
          <w:bCs/>
          <w:kern w:val="2"/>
          <w:sz w:val="28"/>
          <w:szCs w:val="28"/>
          <w:lang w:val="en-US" w:eastAsia="zh-CN" w:bidi="ar-SA"/>
        </w:rPr>
      </w:pPr>
      <w:bookmarkStart w:id="50" w:name="_Toc22209"/>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50"/>
    </w:p>
    <w:p>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p>
    <w:p>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beforeLines="0" w:line="400" w:lineRule="exact"/>
        <w:rPr>
          <w:rFonts w:hint="default" w:eastAsia="宋体"/>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pPr>
        <w:numPr>
          <w:ilvl w:val="0"/>
          <w:numId w:val="9"/>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pPr>
        <w:widowControl w:val="0"/>
        <w:numPr>
          <w:ilvl w:val="0"/>
          <w:numId w:val="10"/>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9"/>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9"/>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9"/>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pPr>
        <w:numPr>
          <w:ilvl w:val="0"/>
          <w:numId w:val="11"/>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9"/>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9"/>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9"/>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pPr>
        <w:rPr>
          <w:rFonts w:hint="eastAsia" w:eastAsia="宋体"/>
        </w:rPr>
      </w:pPr>
      <w:r>
        <w:rPr>
          <w:rFonts w:hint="eastAsia" w:eastAsia="宋体"/>
        </w:rPr>
        <w:br w:type="page"/>
      </w:r>
    </w:p>
    <w:p>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4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51" w:name="_Toc27624"/>
      <w:r>
        <w:rPr>
          <w:rFonts w:hint="eastAsia" w:ascii="黑体" w:hAnsi="黑体" w:eastAsia="黑体" w:cs="Times New Roman"/>
          <w:b w:val="0"/>
          <w:bCs w:val="0"/>
          <w:kern w:val="2"/>
          <w:sz w:val="28"/>
          <w:szCs w:val="28"/>
          <w:lang w:val="en-US" w:eastAsia="zh-CN" w:bidi="ar-SA"/>
        </w:rPr>
        <w:t>第二节 政府采购合同通用条款</w:t>
      </w:r>
      <w:bookmarkEnd w:id="51"/>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12"/>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13"/>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5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2"/>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14"/>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5"/>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53"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53"/>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rPr>
          <w:rFonts w:eastAsia="宋体"/>
        </w:rPr>
      </w:pPr>
    </w:p>
    <w:p/>
    <w:p/>
    <w:p/>
    <w:p>
      <w:pPr>
        <w:sectPr>
          <w:pgSz w:w="11907" w:h="16840"/>
          <w:pgMar w:top="1440" w:right="1797" w:bottom="1440" w:left="1797" w:header="851" w:footer="992" w:gutter="0"/>
          <w:cols w:space="425" w:num="1"/>
          <w:titlePg/>
          <w:docGrid w:linePitch="462" w:charSpace="0"/>
        </w:sectPr>
      </w:pPr>
    </w:p>
    <w:p>
      <w:pPr>
        <w:pStyle w:val="5"/>
        <w:rPr>
          <w:kern w:val="2"/>
        </w:rPr>
      </w:pPr>
      <w:r>
        <w:rPr>
          <w:rFonts w:hint="eastAsia"/>
          <w:kern w:val="2"/>
        </w:rPr>
        <w:t xml:space="preserve">第六章 </w:t>
      </w:r>
      <w:r>
        <w:rPr>
          <w:kern w:val="2"/>
        </w:rPr>
        <w:t xml:space="preserve"> </w:t>
      </w:r>
      <w:r>
        <w:rPr>
          <w:rFonts w:hint="eastAsia"/>
          <w:kern w:val="2"/>
        </w:rPr>
        <w:t>谈判须知</w:t>
      </w:r>
    </w:p>
    <w:p>
      <w:pPr>
        <w:pStyle w:val="5"/>
        <w:rPr>
          <w:kern w:val="2"/>
        </w:rPr>
      </w:pPr>
      <w:r>
        <w:rPr>
          <w:rFonts w:hint="eastAsia"/>
          <w:kern w:val="2"/>
        </w:rPr>
        <w:t>一、总则</w:t>
      </w:r>
    </w:p>
    <w:p>
      <w:pPr>
        <w:rPr>
          <w:rFonts w:ascii="黑体" w:hAnsi="宋体" w:eastAsia="黑体"/>
          <w:sz w:val="24"/>
        </w:rPr>
      </w:pPr>
      <w:r>
        <w:rPr>
          <w:rFonts w:hint="eastAsia" w:ascii="黑体" w:hAnsi="宋体" w:eastAsia="黑体"/>
          <w:sz w:val="24"/>
        </w:rPr>
        <w:t>1. 谈判须知说明</w:t>
      </w:r>
    </w:p>
    <w:p>
      <w:pPr>
        <w:ind w:firstLine="411" w:firstLineChars="196"/>
        <w:rPr>
          <w:rFonts w:ascii="宋体" w:hAnsi="宋体"/>
          <w:szCs w:val="21"/>
        </w:rPr>
      </w:pPr>
      <w:r>
        <w:rPr>
          <w:rFonts w:hint="eastAsia" w:ascii="宋体" w:hAnsi="宋体"/>
          <w:szCs w:val="21"/>
        </w:rPr>
        <w:t>1.1</w:t>
      </w:r>
      <w:r>
        <w:rPr>
          <w:rFonts w:hint="eastAsia" w:ascii="宋体" w:hAnsi="宋体"/>
          <w:szCs w:val="21"/>
          <w:highlight w:val="none"/>
          <w:lang w:eastAsia="zh-CN"/>
        </w:rPr>
        <w:t>代理机构</w:t>
      </w:r>
      <w:r>
        <w:rPr>
          <w:rFonts w:hint="eastAsia" w:ascii="宋体" w:hAnsi="宋体"/>
          <w:szCs w:val="21"/>
        </w:rPr>
        <w:t>发出谈判文件谈判须知，列出深圳市</w:t>
      </w:r>
      <w:r>
        <w:rPr>
          <w:rFonts w:hint="eastAsia" w:ascii="宋体" w:hAnsi="宋体"/>
          <w:szCs w:val="21"/>
          <w:lang w:val="en-US" w:eastAsia="zh-CN"/>
        </w:rPr>
        <w:t>自行</w:t>
      </w:r>
      <w:r>
        <w:rPr>
          <w:rFonts w:hint="eastAsia" w:ascii="宋体" w:hAnsi="宋体"/>
          <w:szCs w:val="21"/>
        </w:rPr>
        <w:t>采购项目进行竞争性谈判</w:t>
      </w:r>
      <w:r>
        <w:rPr>
          <w:rFonts w:ascii="宋体" w:hAnsi="宋体"/>
          <w:szCs w:val="21"/>
        </w:rPr>
        <w:t>/</w:t>
      </w:r>
      <w:r>
        <w:rPr>
          <w:rFonts w:hint="eastAsia" w:ascii="宋体" w:hAnsi="宋体"/>
          <w:szCs w:val="21"/>
        </w:rPr>
        <w:t>单一来源采购所适用的一般性须知内容。如有需要，</w:t>
      </w:r>
      <w:r>
        <w:rPr>
          <w:rFonts w:hint="eastAsia" w:ascii="宋体" w:hAnsi="宋体"/>
          <w:szCs w:val="21"/>
          <w:lang w:eastAsia="zh-CN"/>
        </w:rPr>
        <w:t>代理机构</w:t>
      </w:r>
      <w:r>
        <w:rPr>
          <w:rFonts w:hint="eastAsia" w:ascii="宋体" w:hAnsi="宋体"/>
          <w:szCs w:val="21"/>
        </w:rPr>
        <w:t>可以对谈判须知的内容进行补充。</w:t>
      </w:r>
    </w:p>
    <w:p>
      <w:pPr>
        <w:rPr>
          <w:rFonts w:ascii="黑体" w:hAnsi="宋体" w:eastAsia="黑体"/>
          <w:sz w:val="24"/>
        </w:rPr>
      </w:pPr>
      <w:r>
        <w:rPr>
          <w:rFonts w:ascii="黑体" w:hAnsi="宋体" w:eastAsia="黑体"/>
          <w:sz w:val="24"/>
        </w:rPr>
        <w:t>2．</w:t>
      </w:r>
      <w:r>
        <w:rPr>
          <w:rFonts w:hint="eastAsia" w:ascii="黑体" w:hAnsi="宋体" w:eastAsia="黑体"/>
          <w:sz w:val="24"/>
        </w:rPr>
        <w:t>谈判说明</w:t>
      </w:r>
    </w:p>
    <w:p>
      <w:pPr>
        <w:ind w:firstLine="411" w:firstLineChars="196"/>
        <w:rPr>
          <w:rFonts w:ascii="宋体" w:hAnsi="宋体"/>
          <w:szCs w:val="21"/>
        </w:rPr>
      </w:pPr>
      <w:r>
        <w:rPr>
          <w:rFonts w:hint="eastAsia" w:ascii="宋体" w:hAnsi="宋体"/>
          <w:szCs w:val="21"/>
        </w:rPr>
        <w:t>本项目为自行采购项目，参照《深圳经济特区政府采购条例》、《深圳经济特区政府采购条例实施细则》及政府采购其他法律法规，通过竞争性谈判/单一来源采购方式确定成交供应商。</w:t>
      </w:r>
    </w:p>
    <w:p>
      <w:pPr>
        <w:rPr>
          <w:rFonts w:ascii="黑体" w:hAnsi="宋体" w:eastAsia="黑体"/>
          <w:sz w:val="24"/>
        </w:rPr>
      </w:pPr>
      <w:r>
        <w:rPr>
          <w:rFonts w:ascii="黑体" w:hAnsi="宋体" w:eastAsia="黑体"/>
          <w:sz w:val="24"/>
        </w:rPr>
        <w:t>3</w:t>
      </w:r>
      <w:r>
        <w:rPr>
          <w:rFonts w:hint="eastAsia" w:ascii="黑体" w:hAnsi="宋体" w:eastAsia="黑体"/>
          <w:sz w:val="24"/>
        </w:rPr>
        <w:t>．定义</w:t>
      </w:r>
    </w:p>
    <w:p>
      <w:pPr>
        <w:ind w:firstLine="420" w:firstLineChars="200"/>
        <w:rPr>
          <w:rFonts w:ascii="宋体" w:hAnsi="宋体"/>
          <w:szCs w:val="21"/>
        </w:rPr>
      </w:pPr>
      <w:r>
        <w:rPr>
          <w:rFonts w:hint="eastAsia" w:ascii="宋体" w:hAnsi="宋体"/>
          <w:szCs w:val="21"/>
        </w:rPr>
        <w:t>谈判</w:t>
      </w:r>
      <w:r>
        <w:rPr>
          <w:rFonts w:ascii="宋体" w:hAnsi="宋体"/>
          <w:szCs w:val="21"/>
        </w:rPr>
        <w:t>文件中下列术语应解释为：</w:t>
      </w:r>
    </w:p>
    <w:p>
      <w:pPr>
        <w:ind w:firstLine="411" w:firstLineChars="196"/>
        <w:rPr>
          <w:rFonts w:ascii="宋体" w:hAns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“采购人”：指利用财政性资金依法进行</w:t>
      </w:r>
      <w:r>
        <w:rPr>
          <w:rFonts w:hint="eastAsia" w:ascii="宋体" w:hAnsi="宋体"/>
          <w:szCs w:val="21"/>
          <w:lang w:val="en-US" w:eastAsia="zh-CN"/>
        </w:rPr>
        <w:t>自行</w:t>
      </w:r>
      <w:r>
        <w:rPr>
          <w:rFonts w:hint="eastAsia" w:ascii="宋体" w:hAnsi="宋体"/>
          <w:szCs w:val="21"/>
        </w:rPr>
        <w:t>采购的国家机关、事业单位、团体组织；</w:t>
      </w:r>
      <w:r>
        <w:rPr>
          <w:rFonts w:ascii="宋体" w:hAnsi="宋体"/>
          <w:szCs w:val="21"/>
        </w:rPr>
        <w:t xml:space="preserve"> </w:t>
      </w:r>
    </w:p>
    <w:p>
      <w:pPr>
        <w:ind w:firstLine="411" w:firstLineChars="196"/>
        <w:rPr>
          <w:rFonts w:ascii="宋体" w:hAnsi="宋体"/>
          <w:szCs w:val="21"/>
        </w:rPr>
      </w:pPr>
      <w:r>
        <w:rPr>
          <w:rFonts w:ascii="宋体" w:hAnsi="宋体"/>
          <w:szCs w:val="21"/>
        </w:rPr>
        <w:t>3</w:t>
      </w:r>
      <w:r>
        <w:rPr>
          <w:rFonts w:hint="eastAsia" w:ascii="宋体" w:hAnsi="宋体"/>
          <w:szCs w:val="21"/>
        </w:rPr>
        <w:t>.2 “</w:t>
      </w:r>
      <w:r>
        <w:rPr>
          <w:rFonts w:hint="eastAsia" w:ascii="宋体" w:hAnsi="宋体"/>
          <w:szCs w:val="21"/>
          <w:lang w:eastAsia="zh-CN"/>
        </w:rPr>
        <w:t>代理机构</w:t>
      </w:r>
      <w:r>
        <w:rPr>
          <w:rFonts w:hint="eastAsia" w:ascii="宋体" w:hAnsi="宋体"/>
          <w:szCs w:val="21"/>
        </w:rPr>
        <w:t>”</w:t>
      </w:r>
      <w:r>
        <w:rPr>
          <w:rFonts w:hint="eastAsia" w:ascii="Arial" w:hAnsi="Arial" w:cs="Arial"/>
          <w:szCs w:val="21"/>
          <w:shd w:val="clear" w:color="auto" w:fill="FFFFFF"/>
        </w:rPr>
        <w:t>是指组织实施采购项目，并对采购活动提供服务的专门机构；</w:t>
      </w:r>
      <w:r>
        <w:rPr>
          <w:rFonts w:hint="eastAsia" w:ascii="宋体" w:hAnsi="宋体"/>
          <w:szCs w:val="21"/>
        </w:rPr>
        <w:t>本文件所述的“</w:t>
      </w:r>
      <w:r>
        <w:rPr>
          <w:rFonts w:hint="eastAsia" w:ascii="宋体" w:hAnsi="宋体"/>
          <w:szCs w:val="21"/>
          <w:lang w:eastAsia="zh-CN"/>
        </w:rPr>
        <w:t>代理机构</w:t>
      </w:r>
      <w:r>
        <w:rPr>
          <w:rFonts w:hint="eastAsia" w:ascii="宋体" w:hAnsi="宋体"/>
          <w:szCs w:val="21"/>
        </w:rPr>
        <w:t>”</w:t>
      </w:r>
      <w:r>
        <w:rPr>
          <w:rFonts w:ascii="宋体" w:hAnsi="宋体"/>
          <w:szCs w:val="21"/>
        </w:rPr>
        <w:t>指</w:t>
      </w:r>
      <w:r>
        <w:rPr>
          <w:rFonts w:hint="eastAsia" w:ascii="宋体" w:hAnsi="宋体"/>
          <w:b/>
          <w:bCs/>
          <w:szCs w:val="21"/>
        </w:rPr>
        <w:t>深圳公共资源交易中心（深圳交易集团有限公司</w:t>
      </w:r>
      <w:r>
        <w:rPr>
          <w:rFonts w:hint="eastAsia" w:ascii="宋体" w:hAnsi="宋体"/>
          <w:b/>
          <w:bCs/>
          <w:szCs w:val="21"/>
          <w:lang w:eastAsia="zh-CN"/>
        </w:rPr>
        <w:t>政府采购业务分公司</w:t>
      </w:r>
      <w:r>
        <w:rPr>
          <w:rFonts w:hint="eastAsia" w:ascii="宋体" w:hAnsi="宋体"/>
          <w:b/>
          <w:bCs/>
          <w:szCs w:val="21"/>
        </w:rPr>
        <w:t>）</w:t>
      </w:r>
      <w:r>
        <w:rPr>
          <w:rFonts w:hint="eastAsia" w:ascii="宋体" w:hAnsi="宋体"/>
          <w:szCs w:val="21"/>
        </w:rPr>
        <w:t>；</w:t>
      </w:r>
    </w:p>
    <w:p>
      <w:pPr>
        <w:ind w:firstLine="411" w:firstLineChars="196"/>
        <w:rPr>
          <w:rFonts w:ascii="宋体" w:hAnsi="宋体"/>
          <w:szCs w:val="21"/>
        </w:rPr>
      </w:pPr>
      <w:r>
        <w:rPr>
          <w:rFonts w:ascii="宋体" w:hAnsi="宋体"/>
          <w:szCs w:val="21"/>
        </w:rPr>
        <w:t>3</w:t>
      </w:r>
      <w:r>
        <w:rPr>
          <w:rFonts w:hint="eastAsia" w:ascii="宋体" w:hAnsi="宋体"/>
          <w:szCs w:val="21"/>
        </w:rPr>
        <w:t>.3“供应商”，即谈判供应商，指参加谈判竞争并愿意按照谈判文件要求向采购人提供货物、工程或者服务的依法成立的法人、其他组织或者自然人；</w:t>
      </w:r>
    </w:p>
    <w:p>
      <w:pPr>
        <w:ind w:firstLine="411" w:firstLineChars="196"/>
        <w:rPr>
          <w:rFonts w:ascii="宋体" w:hAnsi="宋体"/>
          <w:szCs w:val="21"/>
        </w:rPr>
      </w:pPr>
      <w:r>
        <w:rPr>
          <w:rFonts w:ascii="宋体" w:hAnsi="宋体"/>
          <w:szCs w:val="21"/>
        </w:rPr>
        <w:t>3</w:t>
      </w:r>
      <w:r>
        <w:rPr>
          <w:rFonts w:hint="eastAsia" w:ascii="宋体" w:hAnsi="宋体"/>
          <w:szCs w:val="21"/>
        </w:rPr>
        <w:t>.4“谈判小组”是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《深圳经济特区政府采购条例》、《深圳经济特区政府采购条例实施细则》等有关规定组建的专门负责本次谈判工作的临时性机构；</w:t>
      </w:r>
    </w:p>
    <w:p>
      <w:pPr>
        <w:ind w:firstLine="411" w:firstLineChars="196"/>
        <w:rPr>
          <w:rFonts w:ascii="宋体" w:hAnsi="宋体"/>
          <w:szCs w:val="21"/>
        </w:rPr>
      </w:pPr>
      <w:r>
        <w:rPr>
          <w:rFonts w:ascii="宋体" w:hAnsi="宋体"/>
          <w:szCs w:val="21"/>
        </w:rPr>
        <w:t>3</w:t>
      </w:r>
      <w:r>
        <w:rPr>
          <w:rFonts w:hint="eastAsia" w:ascii="宋体" w:hAnsi="宋体"/>
          <w:szCs w:val="21"/>
        </w:rPr>
        <w:t>.5“日期”</w:t>
      </w:r>
      <w:r>
        <w:rPr>
          <w:rFonts w:ascii="宋体" w:hAnsi="宋体"/>
          <w:szCs w:val="21"/>
        </w:rPr>
        <w:t>指</w:t>
      </w:r>
      <w:r>
        <w:rPr>
          <w:rFonts w:hint="eastAsia" w:ascii="宋体" w:hAnsi="宋体"/>
          <w:szCs w:val="21"/>
        </w:rPr>
        <w:t>公历日；</w:t>
      </w:r>
    </w:p>
    <w:p>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ascii="宋体" w:hAnsi="宋体"/>
          <w:szCs w:val="21"/>
        </w:rPr>
      </w:pPr>
      <w:r>
        <w:rPr>
          <w:rFonts w:ascii="宋体" w:hAnsi="宋体"/>
          <w:szCs w:val="21"/>
        </w:rPr>
        <w:t>3</w:t>
      </w:r>
      <w:r>
        <w:rPr>
          <w:rFonts w:hint="eastAsia" w:ascii="宋体" w:hAnsi="宋体"/>
          <w:szCs w:val="21"/>
        </w:rPr>
        <w:t>.6“合同”指由本次所采购产生的合同或合约文件；</w:t>
      </w:r>
    </w:p>
    <w:p>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ascii="宋体" w:hAnsi="宋体"/>
          <w:szCs w:val="21"/>
        </w:rPr>
      </w:pPr>
      <w:r>
        <w:rPr>
          <w:rFonts w:ascii="宋体" w:hAnsi="宋体"/>
          <w:szCs w:val="21"/>
        </w:rPr>
        <w:t>3</w:t>
      </w:r>
      <w:r>
        <w:rPr>
          <w:rFonts w:hint="eastAsia" w:ascii="宋体" w:hAnsi="宋体"/>
          <w:szCs w:val="21"/>
        </w:rPr>
        <w:t>.7“电子投标文件”即谈判应答文件，指利用</w:t>
      </w:r>
      <w:r>
        <w:rPr>
          <w:rFonts w:hint="eastAsia" w:ascii="宋体" w:hAnsi="宋体"/>
          <w:b/>
          <w:bCs/>
          <w:szCs w:val="21"/>
        </w:rPr>
        <w:t>深圳公共资源交易中心（深圳交易集团有限公司</w:t>
      </w:r>
      <w:r>
        <w:rPr>
          <w:rFonts w:hint="eastAsia" w:ascii="宋体" w:hAnsi="宋体"/>
          <w:b/>
          <w:bCs/>
          <w:szCs w:val="21"/>
          <w:lang w:eastAsia="zh-CN"/>
        </w:rPr>
        <w:t>政府采购业务分公司</w:t>
      </w:r>
      <w:r>
        <w:rPr>
          <w:rFonts w:hint="eastAsia" w:ascii="宋体" w:hAnsi="宋体"/>
          <w:b/>
          <w:bCs/>
          <w:szCs w:val="21"/>
        </w:rPr>
        <w:t>）</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ascii="宋体" w:hAnsi="宋体"/>
          <w:szCs w:val="21"/>
        </w:rPr>
      </w:pPr>
      <w:r>
        <w:rPr>
          <w:rFonts w:ascii="宋体" w:hAnsi="宋体"/>
          <w:szCs w:val="21"/>
        </w:rPr>
        <w:t>3</w:t>
      </w:r>
      <w:r>
        <w:rPr>
          <w:rFonts w:hint="eastAsia" w:ascii="宋体" w:hAnsi="宋体"/>
          <w:szCs w:val="21"/>
        </w:rPr>
        <w:t>.8“网上投标”指通过</w:t>
      </w:r>
      <w:r>
        <w:rPr>
          <w:rFonts w:hint="eastAsia" w:ascii="宋体" w:hAnsi="宋体"/>
          <w:b/>
          <w:bCs/>
          <w:szCs w:val="21"/>
        </w:rPr>
        <w:t>深圳公共资源交易中心（深圳交易集团有限公司</w:t>
      </w:r>
      <w:r>
        <w:rPr>
          <w:rFonts w:hint="eastAsia" w:ascii="宋体" w:hAnsi="宋体"/>
          <w:b/>
          <w:bCs/>
          <w:szCs w:val="21"/>
          <w:lang w:eastAsia="zh-CN"/>
        </w:rPr>
        <w:t>政府采购业务分公司</w:t>
      </w:r>
      <w:r>
        <w:rPr>
          <w:rFonts w:hint="eastAsia" w:ascii="宋体" w:hAnsi="宋体"/>
          <w:b/>
          <w:bCs/>
          <w:szCs w:val="21"/>
        </w:rPr>
        <w:t>）</w:t>
      </w:r>
      <w:r>
        <w:rPr>
          <w:rFonts w:hint="eastAsia" w:ascii="宋体" w:hAnsi="宋体"/>
          <w:szCs w:val="21"/>
        </w:rPr>
        <w:t>网站上传电子投标</w:t>
      </w:r>
      <w:r>
        <w:rPr>
          <w:rFonts w:hint="eastAsia" w:ascii="宋体" w:hAnsi="宋体"/>
          <w:lang w:eastAsia="zh-CN"/>
        </w:rPr>
        <w:t>（</w:t>
      </w:r>
      <w:r>
        <w:rPr>
          <w:rFonts w:hint="eastAsia" w:ascii="宋体" w:hAnsi="宋体"/>
          <w:lang w:val="en-US" w:eastAsia="zh-CN"/>
        </w:rPr>
        <w:t>应答</w:t>
      </w:r>
      <w:r>
        <w:rPr>
          <w:rFonts w:hint="eastAsia" w:ascii="宋体" w:hAnsi="宋体"/>
          <w:lang w:eastAsia="zh-CN"/>
        </w:rPr>
        <w:t>）</w:t>
      </w:r>
      <w:r>
        <w:rPr>
          <w:rFonts w:hint="eastAsia" w:ascii="宋体" w:hAnsi="宋体"/>
          <w:szCs w:val="21"/>
        </w:rPr>
        <w:t>文件；</w:t>
      </w:r>
    </w:p>
    <w:p>
      <w:pPr>
        <w:ind w:firstLine="411" w:firstLineChars="196"/>
        <w:rPr>
          <w:rFonts w:ascii="宋体" w:hAnsi="宋体"/>
          <w:szCs w:val="21"/>
        </w:rPr>
      </w:pPr>
      <w:r>
        <w:rPr>
          <w:rFonts w:ascii="宋体" w:hAnsi="宋体"/>
          <w:szCs w:val="21"/>
        </w:rPr>
        <w:t>3</w:t>
      </w:r>
      <w:r>
        <w:rPr>
          <w:rFonts w:hint="eastAsia" w:ascii="宋体" w:hAnsi="宋体"/>
          <w:szCs w:val="21"/>
        </w:rPr>
        <w:t>.9谈判文件中的标题或题名仅起引导作用，而不应视为对谈判文件内容的理解和解释。</w:t>
      </w:r>
    </w:p>
    <w:p>
      <w:pPr>
        <w:rPr>
          <w:rFonts w:ascii="黑体" w:hAnsi="宋体" w:eastAsia="黑体"/>
          <w:sz w:val="24"/>
        </w:rPr>
      </w:pPr>
      <w:r>
        <w:rPr>
          <w:rFonts w:hint="eastAsia" w:ascii="黑体" w:hAnsi="宋体" w:eastAsia="黑体"/>
          <w:sz w:val="24"/>
        </w:rPr>
        <w:t>4</w:t>
      </w:r>
      <w:r>
        <w:rPr>
          <w:rFonts w:ascii="黑体" w:hAnsi="宋体" w:eastAsia="黑体"/>
          <w:sz w:val="24"/>
        </w:rPr>
        <w:t>.</w:t>
      </w:r>
      <w:r>
        <w:rPr>
          <w:rFonts w:hint="eastAsia" w:ascii="黑体" w:hAnsi="宋体" w:eastAsia="黑体"/>
          <w:sz w:val="24"/>
          <w:lang w:val="en-US" w:eastAsia="zh-CN"/>
        </w:rPr>
        <w:t>自行</w:t>
      </w:r>
      <w:r>
        <w:rPr>
          <w:rFonts w:hint="eastAsia" w:ascii="黑体" w:hAnsi="宋体" w:eastAsia="黑体"/>
          <w:sz w:val="24"/>
        </w:rPr>
        <w:t>采购供应商责任</w:t>
      </w:r>
    </w:p>
    <w:p>
      <w:pPr>
        <w:ind w:firstLine="411" w:firstLineChars="196"/>
        <w:rPr>
          <w:rFonts w:ascii="宋体" w:hAnsi="宋体"/>
          <w:szCs w:val="21"/>
        </w:rPr>
      </w:pPr>
      <w:r>
        <w:rPr>
          <w:rFonts w:hint="eastAsia" w:ascii="宋体" w:hAnsi="宋体"/>
          <w:szCs w:val="21"/>
        </w:rPr>
        <w:t>4.1欢迎诚信、有实力和有社会责任心的供应商参与</w:t>
      </w:r>
      <w:r>
        <w:rPr>
          <w:rFonts w:hint="eastAsia" w:ascii="宋体" w:hAnsi="宋体"/>
          <w:szCs w:val="21"/>
          <w:lang w:val="en-US" w:eastAsia="zh-CN"/>
        </w:rPr>
        <w:t>自行</w:t>
      </w:r>
      <w:r>
        <w:rPr>
          <w:rFonts w:hint="eastAsia" w:ascii="宋体" w:hAnsi="宋体"/>
          <w:szCs w:val="21"/>
        </w:rPr>
        <w:t>采购事业。</w:t>
      </w:r>
    </w:p>
    <w:p>
      <w:pPr>
        <w:ind w:firstLine="411" w:firstLineChars="196"/>
        <w:rPr>
          <w:rFonts w:ascii="宋体" w:hAnsi="宋体"/>
          <w:szCs w:val="21"/>
        </w:rPr>
      </w:pPr>
      <w:r>
        <w:rPr>
          <w:rFonts w:hint="eastAsia" w:ascii="宋体" w:hAnsi="宋体"/>
          <w:szCs w:val="21"/>
        </w:rPr>
        <w:t>4.2谈判供应商应当遵循公平竞争的原则，不得恶意串通，不得妨碍其他谈判供应商的竞争行为，不得损害采购人或者其他谈判供应商的合法权益。如违反上述要求，经核实后，供应商的谈判应答无效。</w:t>
      </w:r>
    </w:p>
    <w:p>
      <w:pPr>
        <w:rPr>
          <w:rFonts w:ascii="黑体" w:hAnsi="宋体" w:eastAsia="黑体"/>
          <w:sz w:val="24"/>
        </w:rPr>
      </w:pPr>
      <w:r>
        <w:rPr>
          <w:rFonts w:hint="eastAsia" w:ascii="黑体" w:hAnsi="宋体" w:eastAsia="黑体"/>
          <w:sz w:val="24"/>
        </w:rPr>
        <w:t>5．供应商参加政府采购的条件</w:t>
      </w:r>
    </w:p>
    <w:p>
      <w:pPr>
        <w:ind w:firstLine="411" w:firstLineChars="196"/>
        <w:rPr>
          <w:rFonts w:ascii="宋体" w:hAnsi="宋体"/>
          <w:szCs w:val="21"/>
        </w:rPr>
      </w:pPr>
      <w:r>
        <w:rPr>
          <w:rFonts w:hint="eastAsia" w:ascii="宋体" w:hAnsi="宋体"/>
          <w:szCs w:val="21"/>
        </w:rPr>
        <w:t>5.1</w:t>
      </w:r>
      <w:r>
        <w:rPr>
          <w:rFonts w:hint="eastAsia" w:ascii="宋体" w:hAnsi="宋体"/>
          <w:szCs w:val="21"/>
          <w:lang w:val="en-US" w:eastAsia="zh-CN"/>
        </w:rPr>
        <w:t>供应商</w:t>
      </w:r>
      <w:r>
        <w:rPr>
          <w:rFonts w:hint="eastAsia" w:ascii="宋体" w:hAnsi="宋体"/>
          <w:szCs w:val="21"/>
        </w:rPr>
        <w:t>应在</w:t>
      </w:r>
      <w:r>
        <w:rPr>
          <w:rFonts w:hint="eastAsia" w:ascii="宋体" w:hAnsi="宋体"/>
          <w:szCs w:val="21"/>
          <w:lang w:val="en-US" w:eastAsia="zh-CN"/>
        </w:rPr>
        <w:t>应答</w:t>
      </w:r>
      <w:r>
        <w:rPr>
          <w:rFonts w:hint="eastAsia" w:ascii="宋体" w:hAnsi="宋体"/>
          <w:szCs w:val="21"/>
        </w:rPr>
        <w:t>前到深圳市自行采购系统（具体在深圳交易集团有限公司政府采购业务分公司进行办理）进行注册并办理电子密钥。《深圳政府采购自行采购系统用户操作指引（供应商）》详见www.szggzy.com网站“交易服务指南-政府采购-资料下载”。</w:t>
      </w:r>
    </w:p>
    <w:p>
      <w:pPr>
        <w:ind w:firstLine="411" w:firstLineChars="196"/>
        <w:rPr>
          <w:rFonts w:ascii="宋体" w:hAnsi="宋体"/>
          <w:szCs w:val="21"/>
          <w:highlight w:val="none"/>
        </w:rPr>
      </w:pPr>
      <w:r>
        <w:rPr>
          <w:rFonts w:hint="eastAsia" w:ascii="宋体" w:hAnsi="宋体"/>
          <w:szCs w:val="21"/>
        </w:rPr>
        <w:t>5.2供应商资格要求</w:t>
      </w:r>
    </w:p>
    <w:p>
      <w:pPr>
        <w:ind w:firstLine="411" w:firstLineChars="196"/>
        <w:rPr>
          <w:rFonts w:ascii="宋体" w:hAnsi="宋体"/>
          <w:szCs w:val="21"/>
        </w:rPr>
      </w:pPr>
      <w:r>
        <w:rPr>
          <w:rFonts w:hint="eastAsia" w:ascii="宋体" w:hAnsi="宋体"/>
          <w:szCs w:val="21"/>
          <w:highlight w:val="none"/>
        </w:rPr>
        <w:t>参加本项目的供应商应具备的资格条件详见本项目谈判公告中“申请人的资格要求”（即供应商资格要求）</w:t>
      </w:r>
      <w:r>
        <w:rPr>
          <w:rFonts w:hint="eastAsia" w:ascii="宋体" w:hAnsi="宋体"/>
          <w:szCs w:val="21"/>
        </w:rPr>
        <w:t>的内容。</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lang w:val="en-US" w:eastAsia="zh-CN"/>
        </w:rPr>
        <w:t>本项目</w:t>
      </w:r>
      <w:r>
        <w:rPr>
          <w:rFonts w:hint="eastAsia" w:ascii="宋体" w:hAnsi="宋体"/>
        </w:rPr>
        <w:t>采购</w:t>
      </w:r>
      <w:r>
        <w:rPr>
          <w:rFonts w:hint="eastAsia"/>
        </w:rPr>
        <w:t>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shd w:val="clear" w:color="auto" w:fill="FFFFFF"/>
        </w:rPr>
      </w:pPr>
      <w:r>
        <w:rPr>
          <w:rFonts w:hint="eastAsia" w:ascii="宋体" w:hAnsi="宋体"/>
          <w:lang w:val="en-US" w:eastAsia="zh-CN"/>
        </w:rPr>
        <w:t>6.3  本项目支持供应商性别平等的相关政策。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国产的货物及其有关服务必须符合中华人民共和国的设计、制造生产标准及行业标准。谈判公告有其他要求的，亦应符合其要求。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谈判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bookmarkStart w:id="54" w:name="_Hlk72152753"/>
      <w:r>
        <w:rPr>
          <w:rFonts w:hint="eastAsia" w:ascii="宋体" w:hAnsi="宋体"/>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54"/>
    </w:p>
    <w:p>
      <w:pPr>
        <w:ind w:firstLine="411" w:firstLineChars="196"/>
        <w:rPr>
          <w:rFonts w:ascii="宋体" w:hAnsi="宋体"/>
        </w:rPr>
      </w:pPr>
      <w:r>
        <w:rPr>
          <w:rFonts w:hint="eastAsia" w:ascii="宋体" w:hAnsi="宋体"/>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pPr>
        <w:ind w:firstLine="411" w:firstLineChars="196"/>
        <w:rPr>
          <w:rFonts w:ascii="宋体" w:hAnsi="宋体"/>
        </w:rPr>
      </w:pPr>
      <w:r>
        <w:rPr>
          <w:rFonts w:hint="eastAsia" w:ascii="宋体" w:hAnsi="宋体"/>
        </w:rPr>
        <w:t xml:space="preserve">7.6 </w:t>
      </w:r>
      <w:bookmarkStart w:id="55" w:name="_Hlk72399342"/>
      <w:r>
        <w:rPr>
          <w:rFonts w:hint="eastAsia" w:ascii="宋体" w:hAnsi="宋体"/>
        </w:rPr>
        <w:t>工期要求：供应商在谈判时对其所投项目应提交交货进度、交货计划等，在合同规定的时间内完成项目实施工作。</w:t>
      </w:r>
      <w:bookmarkEnd w:id="55"/>
    </w:p>
    <w:p>
      <w:pPr>
        <w:ind w:firstLine="411" w:firstLineChars="196"/>
        <w:rPr>
          <w:rFonts w:ascii="宋体" w:hAnsi="宋体"/>
        </w:rPr>
      </w:pPr>
      <w:r>
        <w:rPr>
          <w:rFonts w:hint="eastAsia" w:ascii="宋体" w:hAnsi="宋体"/>
        </w:rPr>
        <w:t>7.7</w:t>
      </w:r>
      <w:bookmarkStart w:id="56" w:name="_Hlk72665183"/>
      <w:r>
        <w:rPr>
          <w:rFonts w:hint="eastAsia" w:ascii="宋体" w:hAnsi="宋体"/>
        </w:rPr>
        <w:t>成交供应商必须承担货物运输、安装调试、验收检测和提供设备操作说明书、图纸等其他相关及类似的义务。</w:t>
      </w:r>
      <w:bookmarkEnd w:id="56"/>
    </w:p>
    <w:p>
      <w:pPr>
        <w:rPr>
          <w:rFonts w:ascii="黑体" w:hAnsi="宋体" w:eastAsia="黑体"/>
          <w:sz w:val="24"/>
        </w:rPr>
      </w:pPr>
      <w:r>
        <w:rPr>
          <w:rFonts w:hint="eastAsia" w:ascii="黑体" w:hAnsi="宋体" w:eastAsia="黑体"/>
          <w:sz w:val="24"/>
        </w:rPr>
        <w:t>8．谈判费用</w:t>
      </w:r>
    </w:p>
    <w:p>
      <w:pPr>
        <w:ind w:firstLine="411" w:firstLineChars="196"/>
        <w:rPr>
          <w:rFonts w:ascii="宋体" w:hAnsi="宋体"/>
          <w:szCs w:val="21"/>
        </w:rPr>
      </w:pPr>
      <w:r>
        <w:rPr>
          <w:rFonts w:hint="eastAsia" w:ascii="宋体" w:hAnsi="宋体"/>
          <w:szCs w:val="21"/>
        </w:rPr>
        <w:t>不论谈判结果如何，供应商应承担其编制应答文件与递交应答文件所涉及的一切费用。</w:t>
      </w:r>
    </w:p>
    <w:p>
      <w:pPr>
        <w:pStyle w:val="5"/>
      </w:pPr>
      <w:r>
        <w:rPr>
          <w:rFonts w:hint="eastAsia"/>
        </w:rPr>
        <w:t>二、谈判文件</w:t>
      </w:r>
    </w:p>
    <w:p>
      <w:pPr>
        <w:rPr>
          <w:rFonts w:ascii="黑体" w:hAnsi="宋体" w:eastAsia="黑体"/>
          <w:sz w:val="24"/>
        </w:rPr>
      </w:pPr>
      <w:r>
        <w:rPr>
          <w:rFonts w:hint="eastAsia" w:ascii="黑体" w:hAnsi="宋体" w:eastAsia="黑体"/>
          <w:sz w:val="24"/>
        </w:rPr>
        <w:t>9</w:t>
      </w:r>
      <w:r>
        <w:rPr>
          <w:rFonts w:ascii="黑体" w:hAnsi="宋体" w:eastAsia="黑体"/>
          <w:sz w:val="24"/>
        </w:rPr>
        <w:t>.</w:t>
      </w:r>
      <w:r>
        <w:rPr>
          <w:rFonts w:hint="eastAsia" w:ascii="黑体" w:hAnsi="宋体" w:eastAsia="黑体"/>
          <w:sz w:val="24"/>
        </w:rPr>
        <w:t>谈判文件的编制与组成</w:t>
      </w:r>
    </w:p>
    <w:p>
      <w:pPr>
        <w:snapToGrid w:val="0"/>
        <w:ind w:firstLine="420" w:firstLineChars="200"/>
        <w:rPr>
          <w:rFonts w:ascii="宋体" w:hAnsi="宋体"/>
          <w:szCs w:val="21"/>
        </w:rPr>
      </w:pPr>
      <w:r>
        <w:rPr>
          <w:rFonts w:ascii="宋体" w:hAnsi="宋体"/>
          <w:szCs w:val="21"/>
        </w:rPr>
        <w:t>9</w:t>
      </w:r>
      <w:r>
        <w:rPr>
          <w:rFonts w:hint="eastAsia" w:ascii="宋体" w:hAnsi="宋体"/>
          <w:szCs w:val="21"/>
        </w:rPr>
        <w:t>.1谈判文件除以下内容外，</w:t>
      </w:r>
      <w:r>
        <w:rPr>
          <w:rFonts w:hint="eastAsia" w:ascii="宋体" w:hAnsi="宋体"/>
          <w:szCs w:val="21"/>
          <w:lang w:eastAsia="zh-CN"/>
        </w:rPr>
        <w:t>代理机构</w:t>
      </w:r>
      <w:r>
        <w:rPr>
          <w:rFonts w:hint="eastAsia" w:ascii="宋体" w:hAnsi="宋体"/>
          <w:szCs w:val="21"/>
        </w:rPr>
        <w:t>在谈判期间发出的澄清或修改等相关公告或通知内容，均是谈判文件的组成部分，对供应商起约束作用；</w:t>
      </w:r>
    </w:p>
    <w:p>
      <w:pPr>
        <w:ind w:firstLine="411" w:firstLineChars="196"/>
        <w:rPr>
          <w:rFonts w:ascii="宋体" w:hAnsi="宋体"/>
          <w:szCs w:val="21"/>
        </w:rPr>
      </w:pPr>
      <w:r>
        <w:rPr>
          <w:rFonts w:hint="eastAsia" w:ascii="宋体" w:hAnsi="宋体"/>
          <w:szCs w:val="21"/>
        </w:rPr>
        <w:t>谈判文件包括下列内容：</w:t>
      </w:r>
    </w:p>
    <w:p>
      <w:pPr>
        <w:ind w:left="1079" w:leftChars="514"/>
        <w:rPr>
          <w:rFonts w:ascii="宋体" w:hAnsi="宋体"/>
          <w:b/>
          <w:szCs w:val="21"/>
        </w:rPr>
      </w:pPr>
      <w:r>
        <w:rPr>
          <w:rFonts w:hint="eastAsia" w:ascii="宋体" w:hAnsi="宋体"/>
          <w:b/>
          <w:szCs w:val="21"/>
        </w:rPr>
        <w:t>关键信息</w:t>
      </w:r>
    </w:p>
    <w:p>
      <w:pPr>
        <w:widowControl/>
        <w:wordWrap w:val="0"/>
        <w:ind w:firstLine="1260" w:firstLineChars="600"/>
        <w:jc w:val="left"/>
        <w:textAlignment w:val="top"/>
        <w:rPr>
          <w:szCs w:val="21"/>
        </w:rPr>
      </w:pPr>
      <w:r>
        <w:rPr>
          <w:rFonts w:hint="eastAsia"/>
          <w:szCs w:val="21"/>
        </w:rPr>
        <w:t>第一章  谈判公告</w:t>
      </w:r>
    </w:p>
    <w:p>
      <w:pPr>
        <w:widowControl/>
        <w:wordWrap w:val="0"/>
        <w:ind w:firstLine="1260" w:firstLineChars="600"/>
        <w:jc w:val="left"/>
        <w:textAlignment w:val="top"/>
        <w:rPr>
          <w:szCs w:val="21"/>
        </w:rPr>
      </w:pPr>
      <w:r>
        <w:rPr>
          <w:rFonts w:hint="eastAsia"/>
          <w:szCs w:val="21"/>
        </w:rPr>
        <w:t>第二章  对谈判须知条款的补充内容及其他关键信息</w:t>
      </w:r>
    </w:p>
    <w:p>
      <w:pPr>
        <w:widowControl/>
        <w:wordWrap w:val="0"/>
        <w:ind w:firstLine="1260" w:firstLineChars="600"/>
        <w:jc w:val="left"/>
        <w:textAlignment w:val="top"/>
        <w:rPr>
          <w:szCs w:val="21"/>
        </w:rPr>
      </w:pPr>
      <w:r>
        <w:rPr>
          <w:rFonts w:hint="eastAsia"/>
          <w:szCs w:val="21"/>
        </w:rPr>
        <w:t xml:space="preserve">第三章 </w:t>
      </w:r>
      <w:r>
        <w:rPr>
          <w:szCs w:val="21"/>
        </w:rPr>
        <w:t xml:space="preserve"> </w:t>
      </w:r>
      <w:r>
        <w:rPr>
          <w:rFonts w:hint="eastAsia"/>
          <w:szCs w:val="21"/>
        </w:rPr>
        <w:t>用户需求书</w:t>
      </w:r>
    </w:p>
    <w:p>
      <w:pPr>
        <w:widowControl/>
        <w:wordWrap w:val="0"/>
        <w:ind w:firstLine="1260" w:firstLineChars="600"/>
        <w:jc w:val="left"/>
        <w:textAlignment w:val="top"/>
        <w:rPr>
          <w:szCs w:val="21"/>
        </w:rPr>
      </w:pPr>
      <w:r>
        <w:rPr>
          <w:rFonts w:hint="eastAsia"/>
          <w:szCs w:val="21"/>
        </w:rPr>
        <w:t xml:space="preserve">第四章 </w:t>
      </w:r>
      <w:r>
        <w:rPr>
          <w:szCs w:val="21"/>
        </w:rPr>
        <w:t xml:space="preserve"> </w:t>
      </w:r>
      <w:r>
        <w:rPr>
          <w:rFonts w:hint="eastAsia"/>
          <w:szCs w:val="21"/>
        </w:rPr>
        <w:t>谈判应答文件组成要求及格式</w:t>
      </w:r>
    </w:p>
    <w:p>
      <w:pPr>
        <w:widowControl/>
        <w:wordWrap w:val="0"/>
        <w:ind w:firstLine="1260" w:firstLineChars="600"/>
        <w:jc w:val="left"/>
        <w:textAlignment w:val="top"/>
        <w:rPr>
          <w:szCs w:val="21"/>
        </w:rPr>
      </w:pPr>
      <w:r>
        <w:rPr>
          <w:rFonts w:hint="eastAsia"/>
          <w:szCs w:val="21"/>
        </w:rPr>
        <w:t>第五章  合同条款及格式</w:t>
      </w:r>
    </w:p>
    <w:p>
      <w:pPr>
        <w:ind w:left="630" w:leftChars="300" w:firstLine="621" w:firstLineChars="296"/>
        <w:rPr>
          <w:rFonts w:ascii="宋体" w:hAnsi="宋体"/>
          <w:szCs w:val="21"/>
        </w:rPr>
      </w:pPr>
      <w:r>
        <w:rPr>
          <w:rFonts w:hint="eastAsia"/>
          <w:szCs w:val="21"/>
        </w:rPr>
        <w:t xml:space="preserve">第六章 </w:t>
      </w:r>
      <w:r>
        <w:rPr>
          <w:szCs w:val="21"/>
        </w:rPr>
        <w:t xml:space="preserve"> </w:t>
      </w:r>
      <w:r>
        <w:rPr>
          <w:rFonts w:hint="eastAsia"/>
          <w:szCs w:val="21"/>
        </w:rPr>
        <w:t>谈判须知</w:t>
      </w:r>
    </w:p>
    <w:p>
      <w:pPr>
        <w:ind w:firstLine="411" w:firstLineChars="196"/>
        <w:rPr>
          <w:rFonts w:ascii="宋体" w:hAnsi="宋体"/>
          <w:szCs w:val="21"/>
        </w:rPr>
      </w:pPr>
      <w:r>
        <w:rPr>
          <w:rFonts w:ascii="宋体" w:hAnsi="宋体"/>
          <w:szCs w:val="21"/>
        </w:rPr>
        <w:t>9</w:t>
      </w:r>
      <w:r>
        <w:rPr>
          <w:rFonts w:hint="eastAsia" w:ascii="宋体" w:hAnsi="宋体"/>
          <w:szCs w:val="21"/>
        </w:rPr>
        <w:t>.2 供应商下载谈判文件后，应仔细检查谈判文件的所有内容，如有疑问应在答疑截止时间之前向</w:t>
      </w:r>
      <w:r>
        <w:rPr>
          <w:rFonts w:hint="eastAsia" w:ascii="宋体" w:hAnsi="宋体"/>
          <w:szCs w:val="21"/>
          <w:lang w:eastAsia="zh-CN"/>
        </w:rPr>
        <w:t>代理机构</w:t>
      </w:r>
      <w:r>
        <w:rPr>
          <w:rFonts w:hint="eastAsia" w:ascii="宋体" w:hAnsi="宋体"/>
          <w:szCs w:val="21"/>
        </w:rPr>
        <w:t>提出，否则，由此引起的损失自负；供应商同时应认真审阅谈判文件所有的事项、格式、条款和规范要求等，如果供应商的应答文件未按谈判文件要求提交全部资料或者应答文件未对谈判文件做出实质性响应，其风险由供应商自行承担。</w:t>
      </w:r>
    </w:p>
    <w:p>
      <w:pPr>
        <w:ind w:firstLine="411" w:firstLineChars="196"/>
        <w:rPr>
          <w:rFonts w:ascii="宋体" w:hAnsi="宋体"/>
          <w:szCs w:val="21"/>
        </w:rPr>
      </w:pPr>
      <w:r>
        <w:rPr>
          <w:rFonts w:ascii="宋体" w:hAnsi="宋体"/>
          <w:szCs w:val="21"/>
        </w:rPr>
        <w:t>9</w:t>
      </w:r>
      <w:r>
        <w:rPr>
          <w:rFonts w:hint="eastAsia" w:ascii="宋体" w:hAnsi="宋体"/>
          <w:szCs w:val="21"/>
        </w:rPr>
        <w:t>.3</w:t>
      </w:r>
      <w:r>
        <w:rPr>
          <w:rFonts w:hint="eastAsia" w:ascii="宋体" w:hAnsi="宋体"/>
        </w:rPr>
        <w:t>任何人或任何组织向供应商提交的任何书面或口头资料，未经</w:t>
      </w:r>
      <w:r>
        <w:rPr>
          <w:rFonts w:hint="eastAsia" w:ascii="宋体" w:hAnsi="宋体"/>
          <w:lang w:eastAsia="zh-CN"/>
        </w:rPr>
        <w:t>代理机构</w:t>
      </w:r>
      <w:r>
        <w:rPr>
          <w:rFonts w:hint="eastAsia" w:ascii="宋体" w:hAnsi="宋体"/>
        </w:rPr>
        <w:t>在网上发布或书面通知，均作无效处理，不得作为谈判文件的组成部分。</w:t>
      </w:r>
      <w:r>
        <w:rPr>
          <w:rFonts w:hint="eastAsia" w:ascii="宋体" w:hAnsi="宋体"/>
          <w:lang w:val="en-US" w:eastAsia="zh-CN"/>
        </w:rPr>
        <w:t>代理</w:t>
      </w:r>
      <w:r>
        <w:rPr>
          <w:rFonts w:hint="eastAsia" w:ascii="宋体" w:hAnsi="宋体"/>
        </w:rPr>
        <w:t>机构对供应商由此而做出的推论、理解和结论概不负责。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．谈判文件的澄清</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.1谈判文件澄清的目的是澄清、解答供应商在查阅谈判文件后可能提出的与谈判有关的疑问或询问。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.2供应商如对谈判文件内容有疑问，应当在谈判公告规定的澄清（提问）截止时间前</w:t>
      </w:r>
      <w:r>
        <w:rPr>
          <w:rFonts w:hint="eastAsia" w:ascii="宋体" w:hAnsi="宋体"/>
          <w:color w:val="FF0000"/>
          <w:szCs w:val="21"/>
          <w:lang w:val="en-US" w:eastAsia="zh-CN"/>
        </w:rPr>
        <w:t>将疑问内容加盖公章书面</w:t>
      </w:r>
      <w:r>
        <w:rPr>
          <w:rFonts w:hint="eastAsia" w:ascii="宋体" w:hAnsi="宋体"/>
          <w:color w:val="FF0000"/>
          <w:szCs w:val="21"/>
        </w:rPr>
        <w:t>提交</w:t>
      </w:r>
      <w:r>
        <w:rPr>
          <w:rFonts w:hint="eastAsia" w:ascii="宋体" w:hAnsi="宋体"/>
          <w:color w:val="FF0000"/>
          <w:szCs w:val="21"/>
          <w:lang w:val="en-US" w:eastAsia="zh-CN"/>
        </w:rPr>
        <w:t>至</w:t>
      </w:r>
      <w:r>
        <w:rPr>
          <w:rFonts w:hint="eastAsia" w:ascii="宋体" w:hAnsi="宋体"/>
          <w:szCs w:val="21"/>
          <w:lang w:eastAsia="zh-CN"/>
        </w:rPr>
        <w:t>代理机构</w:t>
      </w:r>
      <w:r>
        <w:rPr>
          <w:rFonts w:hint="eastAsia" w:ascii="宋体" w:hAnsi="宋体"/>
          <w:szCs w:val="21"/>
        </w:rPr>
        <w:t>。</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.3不论是</w:t>
      </w:r>
      <w:r>
        <w:rPr>
          <w:rFonts w:hint="eastAsia" w:ascii="宋体" w:hAnsi="宋体"/>
          <w:szCs w:val="21"/>
          <w:lang w:eastAsia="zh-CN"/>
        </w:rPr>
        <w:t>代理机构</w:t>
      </w:r>
      <w:r>
        <w:rPr>
          <w:rFonts w:hint="eastAsia" w:ascii="宋体" w:hAnsi="宋体"/>
          <w:szCs w:val="21"/>
        </w:rPr>
        <w:t>根据需要主动对谈判文件进行必要的澄清或是根据供应商的要求对谈判文件做出澄清，</w:t>
      </w:r>
      <w:r>
        <w:rPr>
          <w:rFonts w:hint="eastAsia" w:ascii="宋体" w:hAnsi="宋体"/>
          <w:szCs w:val="21"/>
          <w:lang w:eastAsia="zh-CN"/>
        </w:rPr>
        <w:t>代理机构</w:t>
      </w:r>
      <w:r>
        <w:rPr>
          <w:rFonts w:hint="eastAsia" w:ascii="宋体" w:hAnsi="宋体"/>
          <w:szCs w:val="21"/>
        </w:rPr>
        <w:t>都将在谈判截止日期前以书面形式（包括</w:t>
      </w:r>
      <w:r>
        <w:rPr>
          <w:rFonts w:hint="eastAsia" w:ascii="宋体" w:hAnsi="宋体"/>
          <w:szCs w:val="21"/>
          <w:lang w:eastAsia="zh-CN"/>
        </w:rPr>
        <w:t>代理机构</w:t>
      </w:r>
      <w:r>
        <w:rPr>
          <w:rFonts w:hint="eastAsia" w:ascii="宋体" w:hAnsi="宋体"/>
          <w:szCs w:val="21"/>
        </w:rPr>
        <w:t>网站发布方式）答复或发送给所有供应商。答复内容是谈判文件的组成部分，对供应商起约束作用，其有效性按照本谈判须知第1</w:t>
      </w:r>
      <w:r>
        <w:rPr>
          <w:rFonts w:ascii="宋体" w:hAnsi="宋体"/>
          <w:szCs w:val="21"/>
        </w:rPr>
        <w:t>1.3</w:t>
      </w:r>
      <w:r>
        <w:rPr>
          <w:rFonts w:hint="eastAsia" w:ascii="宋体" w:hAnsi="宋体"/>
          <w:szCs w:val="21"/>
        </w:rPr>
        <w:t>、1</w:t>
      </w:r>
      <w:r>
        <w:rPr>
          <w:rFonts w:ascii="宋体" w:hAnsi="宋体"/>
          <w:szCs w:val="21"/>
        </w:rPr>
        <w:t>1.4</w:t>
      </w:r>
      <w:r>
        <w:rPr>
          <w:rFonts w:hint="eastAsia" w:ascii="宋体" w:hAnsi="宋体"/>
          <w:szCs w:val="21"/>
        </w:rPr>
        <w:t>款规定执行。</w:t>
      </w:r>
    </w:p>
    <w:p>
      <w:pPr>
        <w:rPr>
          <w:rFonts w:ascii="黑体" w:hAnsi="宋体" w:eastAsia="黑体"/>
          <w:sz w:val="24"/>
        </w:rPr>
      </w:pPr>
      <w:r>
        <w:rPr>
          <w:rFonts w:ascii="黑体" w:hAnsi="宋体" w:eastAsia="黑体"/>
          <w:sz w:val="24"/>
        </w:rPr>
        <w:t>11</w:t>
      </w:r>
      <w:r>
        <w:rPr>
          <w:rFonts w:hint="eastAsia" w:ascii="黑体" w:hAnsi="宋体" w:eastAsia="黑体"/>
          <w:sz w:val="24"/>
        </w:rPr>
        <w:t>．谈判文件的修改</w:t>
      </w:r>
    </w:p>
    <w:p>
      <w:pPr>
        <w:ind w:firstLine="411" w:firstLineChars="196"/>
        <w:rPr>
          <w:rFonts w:ascii="宋体" w:hAnsi="宋体"/>
          <w:szCs w:val="21"/>
        </w:rPr>
      </w:pPr>
      <w:r>
        <w:rPr>
          <w:rFonts w:ascii="宋体" w:hAnsi="宋体"/>
          <w:szCs w:val="21"/>
        </w:rPr>
        <w:t>11</w:t>
      </w:r>
      <w:r>
        <w:rPr>
          <w:rFonts w:hint="eastAsia" w:ascii="宋体" w:hAnsi="宋体"/>
          <w:szCs w:val="21"/>
        </w:rPr>
        <w:t>.1谈判文件发出后，在谈判截止日期前任何时候，确需要变更谈判文件内容的，</w:t>
      </w:r>
      <w:r>
        <w:rPr>
          <w:rFonts w:hint="eastAsia" w:ascii="宋体" w:hAnsi="宋体"/>
          <w:szCs w:val="21"/>
          <w:lang w:eastAsia="zh-CN"/>
        </w:rPr>
        <w:t>代理机构</w:t>
      </w:r>
      <w:r>
        <w:rPr>
          <w:rFonts w:hint="eastAsia" w:ascii="宋体" w:hAnsi="宋体"/>
          <w:szCs w:val="21"/>
        </w:rPr>
        <w:t>可主动或在解答供应商提出的澄清问题时对谈判文件进行修改。</w:t>
      </w:r>
    </w:p>
    <w:p>
      <w:pPr>
        <w:ind w:firstLine="411" w:firstLineChars="196"/>
        <w:rPr>
          <w:rFonts w:ascii="宋体" w:hAnsi="宋体"/>
          <w:szCs w:val="21"/>
        </w:rPr>
      </w:pPr>
      <w:r>
        <w:rPr>
          <w:rFonts w:ascii="宋体" w:hAnsi="宋体"/>
          <w:szCs w:val="21"/>
        </w:rPr>
        <w:t>11</w:t>
      </w:r>
      <w:r>
        <w:rPr>
          <w:rFonts w:hint="eastAsia" w:ascii="宋体" w:hAnsi="宋体"/>
          <w:szCs w:val="21"/>
        </w:rPr>
        <w:t>.2谈判文件的修改以书面形式（包括</w:t>
      </w:r>
      <w:r>
        <w:rPr>
          <w:rFonts w:hint="eastAsia" w:ascii="宋体" w:hAnsi="宋体"/>
          <w:szCs w:val="21"/>
          <w:lang w:eastAsia="zh-CN"/>
        </w:rPr>
        <w:t>代理机构</w:t>
      </w:r>
      <w:r>
        <w:rPr>
          <w:rFonts w:hint="eastAsia" w:ascii="宋体" w:hAnsi="宋体"/>
          <w:szCs w:val="21"/>
        </w:rPr>
        <w:t>网站发布方式，如更正公告等）发送给所有供应商，谈判文件的修改内容作为谈判文件的组成部分，并具有约束力。</w:t>
      </w:r>
    </w:p>
    <w:p>
      <w:pPr>
        <w:ind w:firstLine="411" w:firstLineChars="196"/>
        <w:rPr>
          <w:rFonts w:ascii="宋体" w:hAnsi="宋体"/>
          <w:szCs w:val="21"/>
        </w:rPr>
      </w:pPr>
      <w:r>
        <w:rPr>
          <w:rFonts w:ascii="宋体" w:hAnsi="宋体"/>
          <w:szCs w:val="21"/>
        </w:rPr>
        <w:t>11</w:t>
      </w:r>
      <w:r>
        <w:rPr>
          <w:rFonts w:hint="eastAsia" w:ascii="宋体" w:hAnsi="宋体"/>
          <w:szCs w:val="21"/>
        </w:rPr>
        <w:t>.3谈判文件、谈判文件澄清答复内容、谈判文件修改补充内容均以书面形式（包括</w:t>
      </w:r>
      <w:r>
        <w:rPr>
          <w:rFonts w:hint="eastAsia" w:ascii="宋体" w:hAnsi="宋体"/>
          <w:szCs w:val="21"/>
          <w:lang w:eastAsia="zh-CN"/>
        </w:rPr>
        <w:t>代理机构</w:t>
      </w:r>
      <w:r>
        <w:rPr>
          <w:rFonts w:hint="eastAsia" w:ascii="宋体" w:hAnsi="宋体"/>
          <w:szCs w:val="21"/>
        </w:rPr>
        <w:t>网站公开发布方式，如更正公告等）明确的内容为准。当谈判文件、修改补充通知、谈判文件澄清答复内容相互矛盾时，以最后发出的内容为准。</w:t>
      </w:r>
    </w:p>
    <w:p>
      <w:pPr>
        <w:ind w:firstLine="411" w:firstLineChars="196"/>
        <w:rPr>
          <w:rFonts w:ascii="宋体" w:hAnsi="宋体"/>
          <w:szCs w:val="21"/>
        </w:rPr>
      </w:pPr>
      <w:r>
        <w:rPr>
          <w:rFonts w:ascii="宋体" w:hAnsi="宋体"/>
          <w:szCs w:val="21"/>
        </w:rPr>
        <w:t>11</w:t>
      </w:r>
      <w:r>
        <w:rPr>
          <w:rFonts w:hint="eastAsia" w:ascii="宋体" w:hAnsi="宋体"/>
          <w:szCs w:val="21"/>
        </w:rPr>
        <w:t>.4</w:t>
      </w:r>
      <w:r>
        <w:rPr>
          <w:rFonts w:hint="eastAsia" w:ascii="宋体" w:hAnsi="宋体"/>
          <w:szCs w:val="21"/>
          <w:lang w:eastAsia="zh-CN"/>
        </w:rPr>
        <w:t>代理机构</w:t>
      </w:r>
      <w:r>
        <w:rPr>
          <w:rFonts w:hint="eastAsia" w:ascii="宋体" w:hAnsi="宋体"/>
          <w:szCs w:val="21"/>
        </w:rPr>
        <w:t>保证谈判文件澄清答复内容和谈判文件修改补充内容在谈判截止时间前以书面形式（包括</w:t>
      </w:r>
      <w:r>
        <w:rPr>
          <w:rFonts w:hint="eastAsia" w:ascii="宋体" w:hAnsi="宋体"/>
          <w:szCs w:val="21"/>
          <w:lang w:eastAsia="zh-CN"/>
        </w:rPr>
        <w:t>代理机构</w:t>
      </w:r>
      <w:r>
        <w:rPr>
          <w:rFonts w:hint="eastAsia" w:ascii="宋体" w:hAnsi="宋体"/>
          <w:szCs w:val="21"/>
        </w:rPr>
        <w:t>网站发布方式，如更正公告等）发送给所有供应商。为使供应商在编制谈判文件时有充分时间对谈判文件的修改部分进行研究，</w:t>
      </w:r>
      <w:r>
        <w:rPr>
          <w:rFonts w:hint="eastAsia" w:ascii="宋体" w:hAnsi="宋体"/>
          <w:szCs w:val="21"/>
          <w:lang w:eastAsia="zh-CN"/>
        </w:rPr>
        <w:t>代理机构</w:t>
      </w:r>
      <w:r>
        <w:rPr>
          <w:rFonts w:hint="eastAsia" w:ascii="宋体" w:hAnsi="宋体"/>
          <w:szCs w:val="21"/>
        </w:rPr>
        <w:t>可以酌情延长递交应答文件的截止日期。</w:t>
      </w:r>
    </w:p>
    <w:p>
      <w:pPr>
        <w:pStyle w:val="5"/>
      </w:pPr>
      <w:r>
        <w:rPr>
          <w:rFonts w:hint="eastAsia"/>
        </w:rPr>
        <w:t>三、应答文件</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应答文件的语言及度量单位</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 供应商与</w:t>
      </w:r>
      <w:r>
        <w:rPr>
          <w:rFonts w:hint="eastAsia" w:ascii="宋体" w:hAnsi="宋体"/>
          <w:szCs w:val="21"/>
          <w:lang w:eastAsia="zh-CN"/>
        </w:rPr>
        <w:t>代理机构</w:t>
      </w:r>
      <w:r>
        <w:rPr>
          <w:rFonts w:hint="eastAsia" w:ascii="宋体" w:hAnsi="宋体"/>
          <w:szCs w:val="21"/>
        </w:rPr>
        <w:t>之间与谈判有关的所有往来通知、函件和应答文件均用中文表述。供应商随应答文件提供的证明文件和资料可以为其它语言，但必须附中文译文。翻译的中文资料与外文资料如果出现差异时，以中文为准。</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 除技术规范另有规定外，应答文件使用的度量单位，均采用中华人民共和国法定计量单位。</w:t>
      </w:r>
    </w:p>
    <w:p>
      <w:pPr>
        <w:rPr>
          <w:rFonts w:ascii="黑体" w:hAnsi="宋体" w:eastAsia="黑体"/>
          <w:sz w:val="24"/>
        </w:rPr>
      </w:pPr>
      <w:r>
        <w:rPr>
          <w:rFonts w:hint="eastAsia" w:ascii="黑体" w:hAnsi="宋体" w:eastAsia="黑体"/>
          <w:sz w:val="24"/>
        </w:rPr>
        <w:t>1</w:t>
      </w:r>
      <w:r>
        <w:rPr>
          <w:rFonts w:ascii="黑体" w:hAnsi="宋体" w:eastAsia="黑体"/>
          <w:sz w:val="24"/>
        </w:rPr>
        <w:t>3.</w:t>
      </w:r>
      <w:r>
        <w:rPr>
          <w:rFonts w:hint="eastAsia" w:ascii="黑体" w:hAnsi="宋体" w:eastAsia="黑体"/>
          <w:sz w:val="24"/>
        </w:rPr>
        <w:t>应答文件组成</w:t>
      </w:r>
    </w:p>
    <w:p>
      <w:pPr>
        <w:ind w:firstLine="411" w:firstLineChars="196"/>
        <w:rPr>
          <w:rFonts w:ascii="宋体" w:hAnsi="宋体"/>
          <w:szCs w:val="21"/>
        </w:rPr>
      </w:pPr>
      <w:r>
        <w:rPr>
          <w:rFonts w:hint="eastAsia" w:ascii="宋体" w:hAnsi="宋体"/>
          <w:szCs w:val="21"/>
        </w:rPr>
        <w:t>具体要求在第四章“</w:t>
      </w:r>
      <w:r>
        <w:rPr>
          <w:rFonts w:hint="eastAsia"/>
        </w:rPr>
        <w:t>应答文件组成要求及格式”</w:t>
      </w:r>
      <w:r>
        <w:rPr>
          <w:rFonts w:hint="eastAsia" w:ascii="宋体" w:hAnsi="宋体"/>
          <w:szCs w:val="21"/>
        </w:rPr>
        <w:t>进行规定。</w:t>
      </w:r>
    </w:p>
    <w:p>
      <w:pPr>
        <w:rPr>
          <w:rFonts w:ascii="黑体" w:hAnsi="宋体" w:eastAsia="黑体"/>
          <w:sz w:val="24"/>
        </w:rPr>
      </w:pPr>
      <w:r>
        <w:rPr>
          <w:rFonts w:ascii="黑体" w:hAnsi="宋体" w:eastAsia="黑体"/>
          <w:sz w:val="24"/>
        </w:rPr>
        <w:t>14</w:t>
      </w:r>
      <w:r>
        <w:rPr>
          <w:rFonts w:hint="eastAsia" w:ascii="黑体" w:hAnsi="宋体" w:eastAsia="黑体"/>
          <w:sz w:val="24"/>
        </w:rPr>
        <w:t>.应答</w:t>
      </w:r>
      <w:r>
        <w:rPr>
          <w:rFonts w:ascii="黑体" w:hAnsi="宋体" w:eastAsia="黑体"/>
          <w:sz w:val="24"/>
        </w:rPr>
        <w:t>文件格式</w:t>
      </w:r>
    </w:p>
    <w:p>
      <w:pPr>
        <w:ind w:firstLine="411" w:firstLineChars="196"/>
        <w:rPr>
          <w:rFonts w:ascii="宋体" w:hAnsi="宋体"/>
          <w:szCs w:val="21"/>
        </w:rPr>
      </w:pPr>
      <w:r>
        <w:rPr>
          <w:rFonts w:ascii="宋体" w:hAnsi="宋体"/>
          <w:szCs w:val="21"/>
        </w:rPr>
        <w:t>如</w:t>
      </w:r>
      <w:r>
        <w:rPr>
          <w:rFonts w:hint="eastAsia" w:ascii="宋体" w:hAnsi="宋体"/>
          <w:szCs w:val="21"/>
        </w:rPr>
        <w:t>谈判</w:t>
      </w:r>
      <w:r>
        <w:rPr>
          <w:rFonts w:ascii="宋体" w:hAnsi="宋体"/>
          <w:szCs w:val="21"/>
        </w:rPr>
        <w:t>文件提供了</w:t>
      </w:r>
      <w:r>
        <w:rPr>
          <w:rFonts w:hint="eastAsia" w:ascii="宋体" w:hAnsi="宋体"/>
          <w:szCs w:val="21"/>
        </w:rPr>
        <w:t>应答</w:t>
      </w:r>
      <w:r>
        <w:rPr>
          <w:rFonts w:ascii="宋体" w:hAnsi="宋体"/>
          <w:szCs w:val="21"/>
        </w:rPr>
        <w:t>文件格式，则</w:t>
      </w:r>
      <w:r>
        <w:rPr>
          <w:rFonts w:hint="eastAsia" w:ascii="宋体" w:hAnsi="宋体"/>
          <w:b/>
          <w:bCs/>
          <w:szCs w:val="21"/>
        </w:rPr>
        <w:t>供应商提交的应答文件应毫无例外地使用谈判文件所提供的相应格式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w:t>
      </w:r>
      <w:r>
        <w:rPr>
          <w:rFonts w:ascii="黑体" w:hAnsi="宋体" w:eastAsia="黑体"/>
          <w:sz w:val="24"/>
        </w:rPr>
        <w:t>5.</w:t>
      </w:r>
      <w:r>
        <w:rPr>
          <w:rFonts w:hint="eastAsia" w:ascii="黑体" w:hAnsi="宋体" w:eastAsia="黑体"/>
          <w:sz w:val="24"/>
        </w:rPr>
        <w:t>谈判报价货币</w:t>
      </w:r>
    </w:p>
    <w:p>
      <w:pPr>
        <w:ind w:firstLine="411" w:firstLineChars="196"/>
        <w:rPr>
          <w:rFonts w:ascii="宋体" w:hAnsi="宋体"/>
          <w:szCs w:val="21"/>
        </w:rPr>
      </w:pPr>
      <w:r>
        <w:rPr>
          <w:rFonts w:hint="eastAsia" w:ascii="宋体" w:hAnsi="宋体"/>
          <w:szCs w:val="21"/>
        </w:rPr>
        <w:t>本项目的谈判应答报价应以人民币计。</w:t>
      </w:r>
    </w:p>
    <w:p>
      <w:pPr>
        <w:rPr>
          <w:rFonts w:ascii="黑体" w:hAnsi="宋体" w:eastAsia="黑体"/>
          <w:sz w:val="24"/>
        </w:rPr>
      </w:pPr>
      <w:r>
        <w:rPr>
          <w:rFonts w:hint="eastAsia" w:ascii="黑体" w:hAnsi="宋体" w:eastAsia="黑体"/>
          <w:sz w:val="24"/>
        </w:rPr>
        <w:t>1</w:t>
      </w:r>
      <w:r>
        <w:rPr>
          <w:rFonts w:ascii="黑体" w:hAnsi="宋体" w:eastAsia="黑体"/>
          <w:sz w:val="24"/>
        </w:rPr>
        <w:t>6.</w:t>
      </w:r>
      <w:r>
        <w:rPr>
          <w:rFonts w:hint="eastAsia" w:ascii="黑体" w:hAnsi="宋体" w:eastAsia="黑体"/>
          <w:sz w:val="24"/>
        </w:rPr>
        <w:t>证明应答文件技术方案的合格性和符合谈判文件规定的文件要求</w:t>
      </w:r>
    </w:p>
    <w:p>
      <w:pPr>
        <w:ind w:firstLine="411" w:firstLineChars="196"/>
        <w:rPr>
          <w:rFonts w:ascii="宋体" w:hAnsi="宋体"/>
          <w:szCs w:val="21"/>
        </w:rPr>
      </w:pPr>
      <w:r>
        <w:rPr>
          <w:rFonts w:hint="eastAsia" w:ascii="宋体" w:hAnsi="宋体"/>
          <w:szCs w:val="21"/>
        </w:rPr>
        <w:t>1</w:t>
      </w:r>
      <w:r>
        <w:rPr>
          <w:rFonts w:ascii="宋体" w:hAnsi="宋体"/>
          <w:szCs w:val="21"/>
        </w:rPr>
        <w:t xml:space="preserve">6.1 </w:t>
      </w:r>
      <w:r>
        <w:rPr>
          <w:rFonts w:hint="eastAsia" w:ascii="宋体" w:hAnsi="宋体"/>
          <w:szCs w:val="21"/>
        </w:rPr>
        <w:t>供应商应提交证明文件，证明其应答技术方案项下的货物和服务的合格性符合谈判文件规定。该应答技术方案及其证明文件均作为应答文件组成部分。</w:t>
      </w:r>
    </w:p>
    <w:p>
      <w:pPr>
        <w:ind w:firstLine="411" w:firstLineChars="196"/>
        <w:rPr>
          <w:rFonts w:ascii="宋体" w:hAnsi="宋体"/>
          <w:szCs w:val="21"/>
        </w:rPr>
      </w:pPr>
      <w:bookmarkStart w:id="57" w:name="_Hlk72665367"/>
      <w:r>
        <w:rPr>
          <w:rFonts w:ascii="宋体" w:hAnsi="宋体"/>
          <w:szCs w:val="21"/>
        </w:rPr>
        <w:t xml:space="preserve">16.2 </w:t>
      </w:r>
      <w:r>
        <w:rPr>
          <w:rFonts w:hint="eastAsia" w:ascii="宋体" w:hAnsi="宋体"/>
          <w:szCs w:val="21"/>
        </w:rPr>
        <w:t>供应商提供证明应答技术方案与谈判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.2.1主要技术指标和性能的详细说明。</w:t>
      </w:r>
    </w:p>
    <w:p>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2</w:t>
      </w:r>
      <w:r>
        <w:rPr>
          <w:rFonts w:hint="eastAsia" w:ascii="宋体" w:hAnsi="宋体"/>
          <w:szCs w:val="21"/>
        </w:rPr>
        <w:t>相关产品从采购人开始使用至谈判文件中规定的周期内正常、连续地使用所必须的备件和专用工具清单，包括备件和专用工具的货源及现行价格。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w:t>
      </w:r>
      <w:r>
        <w:rPr>
          <w:rFonts w:ascii="宋体" w:hAnsi="宋体"/>
          <w:szCs w:val="21"/>
        </w:rPr>
        <w:t>3</w:t>
      </w:r>
      <w:r>
        <w:rPr>
          <w:rFonts w:hint="eastAsia" w:ascii="宋体" w:hAnsi="宋体"/>
          <w:szCs w:val="21"/>
        </w:rPr>
        <w:t>对照谈判文件技术规格，逐条说明应答技术方案已对采购人的技术规格做出了实质性的响应，或申明与技术规格条文的偏差和例外。供应商应详细说明应答文件技术方案中产品的具体参数，不得不合理照搬照抄谈判文件的技术要求。</w:t>
      </w:r>
    </w:p>
    <w:p>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.3相关资料不符合1</w:t>
      </w:r>
      <w:r>
        <w:rPr>
          <w:rFonts w:ascii="宋体" w:hAnsi="宋体"/>
          <w:szCs w:val="21"/>
        </w:rPr>
        <w:t>6</w:t>
      </w:r>
      <w:r>
        <w:rPr>
          <w:rFonts w:hint="eastAsia" w:ascii="宋体" w:hAnsi="宋体"/>
          <w:szCs w:val="21"/>
        </w:rPr>
        <w:t>.2款要求的，谈判小组有权认定为应答技术方案不合格响应，其相关分数予以扣减或作应答无效处理。</w:t>
      </w:r>
    </w:p>
    <w:p>
      <w:pPr>
        <w:ind w:firstLine="411" w:firstLineChars="196"/>
        <w:rPr>
          <w:rFonts w:ascii="宋体" w:hAnsi="宋体"/>
          <w:szCs w:val="21"/>
        </w:rPr>
      </w:pPr>
      <w:r>
        <w:rPr>
          <w:rFonts w:ascii="宋体" w:hAnsi="宋体"/>
          <w:szCs w:val="21"/>
        </w:rPr>
        <w:t>16.</w:t>
      </w:r>
      <w:r>
        <w:rPr>
          <w:rFonts w:hint="eastAsia" w:ascii="宋体" w:hAnsi="宋体"/>
          <w:szCs w:val="21"/>
        </w:rPr>
        <w:t>4供应商在阐述上述第1</w:t>
      </w:r>
      <w:r>
        <w:rPr>
          <w:rFonts w:ascii="宋体" w:hAnsi="宋体"/>
          <w:szCs w:val="21"/>
        </w:rPr>
        <w:t>6</w:t>
      </w:r>
      <w:r>
        <w:rPr>
          <w:rFonts w:hint="eastAsia" w:ascii="宋体" w:hAnsi="宋体"/>
          <w:szCs w:val="21"/>
        </w:rPr>
        <w:t>.2时应注意采购人在技术规格中指出的工艺、材料和设备的标准以及参照的牌号或分类号仅起说明作用，并没有任何限制性。供应商在应答中可以选用替代标准、牌号或分类号，但这些替代要实质上满足谈判文件中技术规格的要求，是否</w:t>
      </w:r>
      <w:r>
        <w:rPr>
          <w:rFonts w:hint="eastAsia"/>
        </w:rPr>
        <w:t>满足要求</w:t>
      </w:r>
      <w:r>
        <w:rPr>
          <w:rFonts w:hint="eastAsia" w:ascii="宋体" w:hAnsi="宋体"/>
          <w:szCs w:val="21"/>
        </w:rPr>
        <w:t>，由谈判小组来评判。</w:t>
      </w:r>
    </w:p>
    <w:p>
      <w:pPr>
        <w:ind w:firstLine="411" w:firstLineChars="196"/>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.5除非另有规定或说明，供应商对同一项目不得同时提供两套或两套以上的应答方案。</w:t>
      </w:r>
      <w:bookmarkEnd w:id="57"/>
    </w:p>
    <w:p>
      <w:pPr>
        <w:rPr>
          <w:rFonts w:ascii="黑体" w:hAnsi="宋体" w:eastAsia="黑体"/>
          <w:sz w:val="24"/>
        </w:rPr>
      </w:pPr>
      <w:r>
        <w:rPr>
          <w:rFonts w:hint="eastAsia" w:ascii="黑体" w:hAnsi="宋体" w:eastAsia="黑体"/>
          <w:sz w:val="24"/>
        </w:rPr>
        <w:t>1</w:t>
      </w:r>
      <w:r>
        <w:rPr>
          <w:rFonts w:ascii="黑体" w:hAnsi="宋体" w:eastAsia="黑体"/>
          <w:sz w:val="24"/>
        </w:rPr>
        <w:t>7.</w:t>
      </w:r>
      <w:r>
        <w:rPr>
          <w:rFonts w:hint="eastAsia" w:ascii="黑体" w:hAnsi="宋体" w:eastAsia="黑体"/>
          <w:sz w:val="24"/>
        </w:rPr>
        <w:t>应答文件其他证明文件的要求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w:t>
      </w:r>
      <w:r>
        <w:rPr>
          <w:rFonts w:ascii="宋体" w:hAnsi="宋体"/>
          <w:szCs w:val="21"/>
        </w:rPr>
        <w:t>7</w:t>
      </w:r>
      <w:r>
        <w:rPr>
          <w:rFonts w:hint="eastAsia" w:ascii="宋体" w:hAnsi="宋体"/>
          <w:szCs w:val="21"/>
        </w:rPr>
        <w:t>.1采用综合评分法的项目，对项目谈判文件《评审信息》评分项中涉及的相关业绩、社保情况等内容以及《资格性审查表》和《符合性审查表》中涉及的证明材料，供应商应提供相关部门出具的证明材料扫描件或照片。有关扫描件（或照片）的尺寸和清晰度要求能够使用电脑阅读、识别和判断。若供应商未按要求提供证明材料或提供的是部分证明材料或提供不清晰的扫描件（或照片）的，谈判小组有权认定其应答文件未对谈判文件有关需求进行响应，涉及资格性检查或符合性检查的予以应答无效处理，涉及《评审信息》打分项的则该项评分予以0分处理。谈判小组对供应商应答资料是否异常、是否有效问题进行核查和判定，如认为供应商应答资料有异常或无效的，若涉及资格性审查或符合性审查条款的，则应作应答无效处理；若涉及评分的，则作不得分处理。</w:t>
      </w:r>
      <w:bookmarkStart w:id="58" w:name="_Hlk71407299"/>
    </w:p>
    <w:bookmarkEnd w:id="58"/>
    <w:p>
      <w:pPr>
        <w:ind w:firstLine="411" w:firstLineChars="196"/>
        <w:rPr>
          <w:rFonts w:ascii="宋体" w:hAnsi="宋体"/>
          <w:szCs w:val="21"/>
        </w:rPr>
      </w:pPr>
      <w:bookmarkStart w:id="59" w:name="_Hlk72665714"/>
      <w:r>
        <w:rPr>
          <w:rFonts w:hint="eastAsia" w:ascii="宋体" w:hAnsi="宋体"/>
          <w:szCs w:val="21"/>
        </w:rPr>
        <w:t>1</w:t>
      </w:r>
      <w:r>
        <w:rPr>
          <w:rFonts w:ascii="宋体" w:hAnsi="宋体"/>
          <w:szCs w:val="21"/>
        </w:rPr>
        <w:t>7</w:t>
      </w:r>
      <w:r>
        <w:rPr>
          <w:rFonts w:hint="eastAsia" w:ascii="宋体" w:hAnsi="宋体"/>
          <w:szCs w:val="21"/>
        </w:rPr>
        <w:t>.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参与谈判；若供应商正在申报上一级别资质（资格），在未获批准之前，仍按原级别资质（资格）参与谈判。</w:t>
      </w:r>
      <w:bookmarkEnd w:id="59"/>
    </w:p>
    <w:p>
      <w:pPr>
        <w:rPr>
          <w:rFonts w:ascii="黑体" w:hAnsi="宋体" w:eastAsia="黑体"/>
          <w:sz w:val="24"/>
        </w:rPr>
      </w:pPr>
      <w:r>
        <w:rPr>
          <w:rFonts w:ascii="黑体" w:hAnsi="宋体" w:eastAsia="黑体"/>
          <w:sz w:val="24"/>
        </w:rPr>
        <w:t>18</w:t>
      </w:r>
      <w:r>
        <w:rPr>
          <w:rFonts w:hint="eastAsia" w:ascii="黑体" w:hAnsi="宋体" w:eastAsia="黑体"/>
          <w:sz w:val="24"/>
        </w:rPr>
        <w:t>．谈判应答有效期</w:t>
      </w:r>
    </w:p>
    <w:p>
      <w:pPr>
        <w:ind w:firstLine="411" w:firstLineChars="196"/>
        <w:rPr>
          <w:rFonts w:ascii="宋体" w:hAnsi="宋体"/>
          <w:szCs w:val="21"/>
        </w:rPr>
      </w:pPr>
      <w:bookmarkStart w:id="60" w:name="_Hlk72665501"/>
      <w:r>
        <w:rPr>
          <w:rFonts w:ascii="宋体" w:hAnsi="宋体"/>
          <w:szCs w:val="21"/>
        </w:rPr>
        <w:t>18</w:t>
      </w:r>
      <w:r>
        <w:rPr>
          <w:rFonts w:hint="eastAsia" w:ascii="宋体" w:hAnsi="宋体"/>
          <w:szCs w:val="21"/>
        </w:rPr>
        <w:t>.1 谈判应答有效期为</w:t>
      </w:r>
      <w:r>
        <w:rPr>
          <w:rFonts w:hint="eastAsia" w:ascii="Arial" w:hAnsi="Arial" w:cs="Arial"/>
          <w:szCs w:val="21"/>
        </w:rPr>
        <w:t>从谈判截止之日算起的日历天数。</w:t>
      </w:r>
      <w:r>
        <w:rPr>
          <w:rFonts w:hint="eastAsia" w:ascii="宋体" w:hAnsi="宋体"/>
          <w:szCs w:val="21"/>
        </w:rPr>
        <w:t>在此期限内，所有应答文件均保持有效。</w:t>
      </w:r>
    </w:p>
    <w:p>
      <w:pPr>
        <w:ind w:firstLine="411" w:firstLineChars="196"/>
        <w:rPr>
          <w:rFonts w:ascii="宋体" w:hAnsi="宋体"/>
          <w:szCs w:val="21"/>
        </w:rPr>
      </w:pPr>
      <w:bookmarkStart w:id="61" w:name="_Hlk72665771"/>
      <w:r>
        <w:rPr>
          <w:rFonts w:ascii="宋体" w:hAnsi="宋体"/>
          <w:szCs w:val="21"/>
        </w:rPr>
        <w:t>18</w:t>
      </w:r>
      <w:r>
        <w:rPr>
          <w:rFonts w:hint="eastAsia" w:ascii="宋体" w:hAnsi="宋体"/>
          <w:szCs w:val="21"/>
        </w:rPr>
        <w:t>.2 在特殊情况下，</w:t>
      </w:r>
      <w:r>
        <w:rPr>
          <w:rFonts w:hint="eastAsia" w:ascii="宋体" w:hAnsi="宋体"/>
          <w:szCs w:val="21"/>
          <w:lang w:eastAsia="zh-CN"/>
        </w:rPr>
        <w:t>代理机构</w:t>
      </w:r>
      <w:r>
        <w:rPr>
          <w:rFonts w:hint="eastAsia" w:ascii="宋体" w:hAnsi="宋体"/>
          <w:szCs w:val="21"/>
        </w:rPr>
        <w:t>在原定的谈判应答有效期满之前，</w:t>
      </w:r>
      <w:r>
        <w:rPr>
          <w:rFonts w:hint="eastAsia" w:ascii="宋体" w:hAnsi="宋体"/>
          <w:szCs w:val="21"/>
          <w:lang w:eastAsia="zh-CN"/>
        </w:rPr>
        <w:t>代理机构</w:t>
      </w:r>
      <w:r>
        <w:rPr>
          <w:rFonts w:hint="eastAsia" w:ascii="宋体" w:hAnsi="宋体"/>
          <w:szCs w:val="21"/>
        </w:rPr>
        <w:t>可以根据需要以书面形式（包括</w:t>
      </w:r>
      <w:r>
        <w:rPr>
          <w:rFonts w:hint="eastAsia" w:ascii="宋体" w:hAnsi="宋体"/>
          <w:szCs w:val="21"/>
          <w:lang w:eastAsia="zh-CN"/>
        </w:rPr>
        <w:t>代理机构</w:t>
      </w:r>
      <w:r>
        <w:rPr>
          <w:rFonts w:hint="eastAsia" w:ascii="宋体" w:hAnsi="宋体"/>
          <w:szCs w:val="21"/>
        </w:rPr>
        <w:t>网站公开发布方式）向供应商提出延长谈判应答有效期的要求，对此要求供应商须以书面形式予以答复，供应商可以拒绝</w:t>
      </w:r>
      <w:r>
        <w:rPr>
          <w:rFonts w:hint="eastAsia" w:ascii="宋体" w:hAnsi="宋体"/>
          <w:szCs w:val="21"/>
          <w:lang w:eastAsia="zh-CN"/>
        </w:rPr>
        <w:t>代理机构</w:t>
      </w:r>
      <w:r>
        <w:rPr>
          <w:rFonts w:hint="eastAsia" w:ascii="宋体" w:hAnsi="宋体"/>
          <w:szCs w:val="21"/>
        </w:rPr>
        <w:t>此项要求，其应答在原谈判应答有效期满后不再有效。同意延长谈判应答有效期的供应商不能要求也不允许修改其应答文件。</w:t>
      </w:r>
      <w:bookmarkEnd w:id="61"/>
    </w:p>
    <w:p>
      <w:pPr>
        <w:ind w:firstLine="411" w:firstLineChars="196"/>
        <w:rPr>
          <w:rFonts w:ascii="宋体" w:hAnsi="宋体"/>
          <w:szCs w:val="21"/>
        </w:rPr>
      </w:pPr>
      <w:r>
        <w:rPr>
          <w:rFonts w:ascii="宋体" w:hAnsi="宋体"/>
          <w:szCs w:val="21"/>
        </w:rPr>
        <w:t>18.3</w:t>
      </w:r>
      <w:r>
        <w:rPr>
          <w:rFonts w:hint="eastAsia" w:ascii="宋体" w:hAnsi="宋体"/>
          <w:szCs w:val="21"/>
        </w:rPr>
        <w:t xml:space="preserve"> 成交供应商的应答文件有效期，截止于完成本谈判文件规定的全部项目内容，并通过竣工验收及保修期结束。</w:t>
      </w:r>
      <w:bookmarkEnd w:id="60"/>
    </w:p>
    <w:p>
      <w:pPr>
        <w:rPr>
          <w:rFonts w:ascii="黑体" w:hAnsi="宋体" w:eastAsia="黑体"/>
          <w:sz w:val="24"/>
        </w:rPr>
      </w:pPr>
      <w:r>
        <w:rPr>
          <w:rFonts w:hint="eastAsia" w:ascii="黑体" w:hAnsi="宋体" w:eastAsia="黑体"/>
          <w:sz w:val="24"/>
        </w:rPr>
        <w:t>1</w:t>
      </w:r>
      <w:r>
        <w:rPr>
          <w:rFonts w:ascii="黑体" w:hAnsi="宋体" w:eastAsia="黑体"/>
          <w:sz w:val="24"/>
        </w:rPr>
        <w:t>9.</w:t>
      </w:r>
      <w:r>
        <w:rPr>
          <w:rFonts w:hint="eastAsia" w:ascii="黑体" w:hAnsi="宋体" w:eastAsia="黑体"/>
          <w:sz w:val="24"/>
        </w:rPr>
        <w:t xml:space="preserve">关于谈判保证金 </w:t>
      </w:r>
    </w:p>
    <w:p>
      <w:pPr>
        <w:rPr>
          <w:rFonts w:ascii="宋体" w:hAnsi="宋体"/>
          <w:szCs w:val="21"/>
        </w:rPr>
      </w:pPr>
      <w:r>
        <w:rPr>
          <w:rFonts w:hint="eastAsia" w:ascii="宋体" w:hAnsi="宋体"/>
          <w:szCs w:val="21"/>
        </w:rPr>
        <w:t xml:space="preserve">    </w:t>
      </w:r>
      <w:r>
        <w:rPr>
          <w:rFonts w:ascii="宋体" w:hAnsi="宋体"/>
          <w:szCs w:val="21"/>
        </w:rPr>
        <w:t>19</w:t>
      </w:r>
      <w:r>
        <w:rPr>
          <w:rFonts w:hint="eastAsia" w:ascii="宋体" w:hAnsi="宋体"/>
          <w:szCs w:val="21"/>
        </w:rPr>
        <w:t xml:space="preserve">.1 </w:t>
      </w:r>
      <w:r>
        <w:rPr>
          <w:rFonts w:hint="eastAsia"/>
        </w:rPr>
        <w:t>根据《深圳市财政局关于调整政府采购投标（响应）保证金管理政策的通知</w:t>
      </w:r>
      <w:r>
        <w:rPr>
          <w:rFonts w:hint="eastAsia"/>
          <w:lang w:val="en-US" w:eastAsia="zh-CN"/>
        </w:rPr>
        <w:tab/>
      </w:r>
      <w:r>
        <w:rPr>
          <w:rFonts w:hint="eastAsia"/>
        </w:rPr>
        <w:t>》（深财购〔2021〕51号）文的规定，本项目不收取谈判保证金。</w:t>
      </w:r>
    </w:p>
    <w:p>
      <w:pPr>
        <w:rPr>
          <w:rFonts w:ascii="黑体" w:hAnsi="宋体" w:eastAsia="黑体"/>
          <w:sz w:val="24"/>
        </w:rPr>
      </w:pPr>
      <w:r>
        <w:rPr>
          <w:rFonts w:ascii="黑体" w:hAnsi="宋体" w:eastAsia="黑体"/>
          <w:sz w:val="24"/>
        </w:rPr>
        <w:t>20.</w:t>
      </w:r>
      <w:r>
        <w:rPr>
          <w:rFonts w:hint="eastAsia" w:ascii="黑体" w:hAnsi="宋体" w:eastAsia="黑体"/>
          <w:sz w:val="24"/>
        </w:rPr>
        <w:t>供应商的替代方案</w:t>
      </w:r>
    </w:p>
    <w:p>
      <w:pPr>
        <w:ind w:firstLine="411" w:firstLineChars="196"/>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.1供应商所提交的应答文件应完全满足谈判文件（包括图纸和技术规范所示的基本技术设计）的要求。除非项目明确允许供应商提交替代方案，否则供应商有关替代方案的条款将初审不通过，作应答无效处理。</w:t>
      </w:r>
    </w:p>
    <w:p>
      <w:pPr>
        <w:ind w:firstLine="411" w:firstLineChars="196"/>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.2 如果允许供应商提交替代方案，则准备提交替代方案的供应商除应提交一份满足谈判文件（包括图纸和技术规范所示的基本技术设计）要求的应答文件外，还应提交需评审其替代方案所需的全部资料，包括项目方案书、技术规范、替代方案报价书、所建议的项目方案及有关的其它详细资料。</w:t>
      </w:r>
    </w:p>
    <w:p>
      <w:pPr>
        <w:rPr>
          <w:rFonts w:ascii="黑体" w:hAnsi="宋体" w:eastAsia="黑体"/>
          <w:sz w:val="24"/>
        </w:rPr>
      </w:pPr>
      <w:r>
        <w:rPr>
          <w:rFonts w:hint="eastAsia" w:ascii="黑体" w:hAnsi="宋体" w:eastAsia="黑体"/>
          <w:sz w:val="24"/>
        </w:rPr>
        <w:t>2</w:t>
      </w:r>
      <w:r>
        <w:rPr>
          <w:rFonts w:ascii="黑体" w:hAnsi="宋体" w:eastAsia="黑体"/>
          <w:sz w:val="24"/>
        </w:rPr>
        <w:t>1.</w:t>
      </w:r>
      <w:r>
        <w:rPr>
          <w:rFonts w:hint="eastAsia" w:ascii="黑体" w:hAnsi="宋体" w:eastAsia="黑体"/>
          <w:sz w:val="24"/>
        </w:rPr>
        <w:t>应答</w:t>
      </w:r>
      <w:r>
        <w:rPr>
          <w:rFonts w:ascii="黑体" w:hAnsi="宋体" w:eastAsia="黑体"/>
          <w:sz w:val="24"/>
        </w:rPr>
        <w:t>文件的</w:t>
      </w:r>
      <w:r>
        <w:rPr>
          <w:rFonts w:hint="eastAsia" w:ascii="黑体" w:hAnsi="宋体" w:eastAsia="黑体"/>
          <w:sz w:val="24"/>
        </w:rPr>
        <w:t>制作</w:t>
      </w:r>
      <w:r>
        <w:rPr>
          <w:rFonts w:ascii="黑体" w:hAnsi="宋体" w:eastAsia="黑体"/>
          <w:sz w:val="24"/>
        </w:rPr>
        <w:t>要求</w:t>
      </w:r>
    </w:p>
    <w:p>
      <w:pPr>
        <w:ind w:firstLine="411" w:firstLineChars="196"/>
        <w:rPr>
          <w:rFonts w:hint="eastAsia" w:ascii="宋体" w:hAnsi="宋体"/>
          <w:color w:val="FF0000"/>
        </w:rPr>
      </w:pPr>
      <w:r>
        <w:rPr>
          <w:rFonts w:hint="eastAsia" w:ascii="宋体" w:hAnsi="宋体"/>
          <w:color w:val="FF0000"/>
        </w:rPr>
        <w:t>2</w:t>
      </w:r>
      <w:r>
        <w:rPr>
          <w:rFonts w:ascii="宋体" w:hAnsi="宋体"/>
          <w:color w:val="FF0000"/>
        </w:rPr>
        <w:t>1</w:t>
      </w:r>
      <w:r>
        <w:rPr>
          <w:rFonts w:hint="eastAsia" w:ascii="宋体" w:hAnsi="宋体"/>
          <w:color w:val="FF0000"/>
        </w:rPr>
        <w:t>.1</w:t>
      </w:r>
      <w:r>
        <w:rPr>
          <w:rFonts w:hint="eastAsia" w:ascii="宋体" w:hAnsi="宋体"/>
          <w:color w:val="FF0000"/>
          <w:lang w:val="en-US" w:eastAsia="zh-CN"/>
        </w:rPr>
        <w:t>供应商</w:t>
      </w:r>
      <w:r>
        <w:rPr>
          <w:rFonts w:hint="eastAsia" w:ascii="宋体" w:hAnsi="宋体"/>
          <w:color w:val="FF0000"/>
        </w:rPr>
        <w:t>应准备所投项目的电子</w:t>
      </w:r>
      <w:r>
        <w:rPr>
          <w:rFonts w:hint="eastAsia" w:ascii="宋体" w:hAnsi="宋体"/>
          <w:color w:val="FF0000"/>
          <w:lang w:val="en-US" w:eastAsia="zh-CN"/>
        </w:rPr>
        <w:t>应答</w:t>
      </w:r>
      <w:r>
        <w:rPr>
          <w:rFonts w:hint="eastAsia" w:ascii="宋体" w:hAnsi="宋体"/>
          <w:color w:val="FF0000"/>
        </w:rPr>
        <w:t>文件一份。</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.2</w:t>
      </w:r>
      <w:r>
        <w:rPr>
          <w:rFonts w:hint="eastAsia" w:ascii="宋体" w:hAnsi="宋体"/>
          <w:color w:val="FF0000"/>
          <w:lang w:eastAsia="zh-CN"/>
        </w:rPr>
        <w:t>供应商</w:t>
      </w:r>
      <w:r>
        <w:rPr>
          <w:rFonts w:hint="eastAsia" w:ascii="宋体" w:hAnsi="宋体"/>
          <w:color w:val="FF0000"/>
        </w:rPr>
        <w:t>在使用《投标书编制软件》编制</w:t>
      </w:r>
      <w:r>
        <w:rPr>
          <w:rFonts w:hint="eastAsia" w:ascii="宋体" w:hAnsi="宋体"/>
          <w:color w:val="FF0000"/>
          <w:lang w:eastAsia="zh-CN"/>
        </w:rPr>
        <w:t>应答文件</w:t>
      </w:r>
      <w:r>
        <w:rPr>
          <w:rFonts w:hint="eastAsia" w:ascii="宋体" w:hAnsi="宋体"/>
          <w:color w:val="FF0000"/>
        </w:rPr>
        <w:t>时须注意：</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.2.1导入《投标书编制软件》的招标文件项目编号、包号应与以此制作的</w:t>
      </w:r>
      <w:r>
        <w:rPr>
          <w:rFonts w:hint="eastAsia" w:ascii="宋体" w:hAnsi="宋体"/>
          <w:color w:val="FF0000"/>
          <w:lang w:eastAsia="zh-CN"/>
        </w:rPr>
        <w:t>应答文件</w:t>
      </w:r>
      <w:r>
        <w:rPr>
          <w:rFonts w:hint="eastAsia" w:ascii="宋体" w:hAnsi="宋体"/>
          <w:color w:val="FF0000"/>
        </w:rPr>
        <w:t>项目编号、包号一致。例如，不能将甲项目A包的招标书导入《投标书编制软件》，制作乙项目B包的投标书。</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.2.2不能用非本公司的电子密钥加密本公司的</w:t>
      </w:r>
      <w:r>
        <w:rPr>
          <w:rFonts w:hint="eastAsia" w:ascii="宋体" w:hAnsi="宋体"/>
          <w:color w:val="FF0000"/>
          <w:lang w:eastAsia="zh-CN"/>
        </w:rPr>
        <w:t>应答文件</w:t>
      </w:r>
      <w:r>
        <w:rPr>
          <w:rFonts w:hint="eastAsia" w:ascii="宋体" w:hAnsi="宋体"/>
          <w:color w:val="FF0000"/>
        </w:rPr>
        <w:t>，或者用其它公司的登录用户上传本公司的</w:t>
      </w:r>
      <w:r>
        <w:rPr>
          <w:rFonts w:hint="eastAsia" w:ascii="宋体" w:hAnsi="宋体"/>
          <w:color w:val="FF0000"/>
          <w:lang w:eastAsia="zh-CN"/>
        </w:rPr>
        <w:t>应答文件</w:t>
      </w:r>
      <w:r>
        <w:rPr>
          <w:rFonts w:hint="eastAsia" w:ascii="宋体" w:hAnsi="宋体"/>
          <w:color w:val="FF0000"/>
        </w:rPr>
        <w:t>。</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.2.3要求用《投标书编制软件》编制投标书的包，不能用其它方式编制投标书。编制</w:t>
      </w:r>
      <w:r>
        <w:rPr>
          <w:rFonts w:hint="eastAsia" w:ascii="宋体" w:hAnsi="宋体"/>
          <w:color w:val="FF0000"/>
          <w:lang w:eastAsia="zh-CN"/>
        </w:rPr>
        <w:t>应答文件</w:t>
      </w:r>
      <w:r>
        <w:rPr>
          <w:rFonts w:hint="eastAsia" w:ascii="宋体" w:hAnsi="宋体"/>
          <w:color w:val="FF0000"/>
        </w:rPr>
        <w:t>时，电脑须连通互联网。</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.2.4</w:t>
      </w:r>
      <w:r>
        <w:rPr>
          <w:rFonts w:hint="eastAsia" w:ascii="宋体" w:hAnsi="宋体"/>
          <w:color w:val="FF0000"/>
          <w:lang w:eastAsia="zh-CN"/>
        </w:rPr>
        <w:t>应答文件</w:t>
      </w:r>
      <w:r>
        <w:rPr>
          <w:rFonts w:hint="eastAsia" w:ascii="宋体" w:hAnsi="宋体"/>
          <w:color w:val="FF0000"/>
        </w:rPr>
        <w:t>不能带病毒。</w:t>
      </w:r>
      <w:r>
        <w:rPr>
          <w:rFonts w:hint="eastAsia" w:ascii="宋体" w:hAnsi="宋体"/>
          <w:color w:val="FF0000"/>
          <w:lang w:eastAsia="zh-CN"/>
        </w:rPr>
        <w:t>代理机构</w:t>
      </w:r>
      <w:r>
        <w:rPr>
          <w:rFonts w:hint="eastAsia" w:ascii="宋体" w:hAnsi="宋体"/>
          <w:color w:val="FF0000"/>
        </w:rPr>
        <w:t>将用专业杀毒软件对</w:t>
      </w:r>
      <w:r>
        <w:rPr>
          <w:rFonts w:hint="eastAsia" w:ascii="宋体" w:hAnsi="宋体"/>
          <w:color w:val="FF0000"/>
          <w:lang w:eastAsia="zh-CN"/>
        </w:rPr>
        <w:t>应答文件</w:t>
      </w:r>
      <w:r>
        <w:rPr>
          <w:rFonts w:hint="eastAsia" w:ascii="宋体" w:hAnsi="宋体"/>
          <w:color w:val="FF0000"/>
        </w:rPr>
        <w:t>进行病毒检测，如果这两种软件均报告发现病毒，则</w:t>
      </w:r>
      <w:r>
        <w:rPr>
          <w:rFonts w:hint="eastAsia" w:ascii="宋体" w:hAnsi="宋体"/>
          <w:color w:val="FF0000"/>
          <w:lang w:eastAsia="zh-CN"/>
        </w:rPr>
        <w:t>代理机构</w:t>
      </w:r>
      <w:r>
        <w:rPr>
          <w:rFonts w:hint="eastAsia" w:ascii="宋体" w:hAnsi="宋体"/>
          <w:color w:val="FF0000"/>
        </w:rPr>
        <w:t>认为该</w:t>
      </w:r>
      <w:r>
        <w:rPr>
          <w:rFonts w:hint="eastAsia" w:ascii="宋体" w:hAnsi="宋体"/>
          <w:color w:val="FF0000"/>
          <w:lang w:eastAsia="zh-CN"/>
        </w:rPr>
        <w:t>应答文件</w:t>
      </w:r>
      <w:r>
        <w:rPr>
          <w:rFonts w:hint="eastAsia" w:ascii="宋体" w:hAnsi="宋体"/>
          <w:color w:val="FF0000"/>
        </w:rPr>
        <w:t>带病毒。</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.2.6</w:t>
      </w:r>
      <w:r>
        <w:rPr>
          <w:rFonts w:hint="eastAsia" w:ascii="宋体" w:hAnsi="宋体"/>
          <w:color w:val="FF0000"/>
          <w:lang w:eastAsia="zh-CN"/>
        </w:rPr>
        <w:t>供应商</w:t>
      </w:r>
      <w:r>
        <w:rPr>
          <w:rFonts w:hint="eastAsia" w:ascii="宋体" w:hAnsi="宋体"/>
          <w:color w:val="FF0000"/>
        </w:rPr>
        <w:t>在编辑</w:t>
      </w:r>
      <w:r>
        <w:rPr>
          <w:rFonts w:hint="eastAsia" w:ascii="宋体" w:hAnsi="宋体"/>
          <w:color w:val="FF0000"/>
          <w:lang w:eastAsia="zh-CN"/>
        </w:rPr>
        <w:t>应答文件</w:t>
      </w:r>
      <w:r>
        <w:rPr>
          <w:rFonts w:hint="eastAsia" w:ascii="宋体" w:hAnsi="宋体"/>
          <w:color w:val="FF0000"/>
        </w:rPr>
        <w:t>时，在</w:t>
      </w:r>
      <w:r>
        <w:rPr>
          <w:rFonts w:hint="eastAsia" w:ascii="宋体" w:hAnsi="宋体"/>
          <w:color w:val="FF0000"/>
          <w:lang w:eastAsia="zh-CN"/>
        </w:rPr>
        <w:t>应答文件</w:t>
      </w:r>
      <w:r>
        <w:rPr>
          <w:rFonts w:hint="eastAsia" w:ascii="宋体" w:hAnsi="宋体"/>
          <w:color w:val="FF0000"/>
        </w:rPr>
        <w:t>目录中属于本节点内容的必须在本节点中填写，填写到其他节点或附件，一切后果由供应商自行承担。</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.2.7</w:t>
      </w:r>
      <w:r>
        <w:rPr>
          <w:rFonts w:hint="eastAsia" w:ascii="宋体" w:hAnsi="宋体"/>
          <w:color w:val="FF0000"/>
          <w:lang w:eastAsia="zh-CN"/>
        </w:rPr>
        <w:t>应答文件</w:t>
      </w:r>
      <w:r>
        <w:rPr>
          <w:rFonts w:hint="eastAsia" w:ascii="宋体" w:hAnsi="宋体"/>
          <w:color w:val="FF0000"/>
        </w:rPr>
        <w:t>编写完成后，必须用属于</w:t>
      </w:r>
      <w:r>
        <w:rPr>
          <w:rFonts w:hint="eastAsia" w:ascii="宋体" w:hAnsi="宋体"/>
          <w:color w:val="FF0000"/>
          <w:lang w:eastAsia="zh-CN"/>
        </w:rPr>
        <w:t>供应商</w:t>
      </w:r>
      <w:r>
        <w:rPr>
          <w:rFonts w:hint="eastAsia" w:ascii="宋体" w:hAnsi="宋体"/>
          <w:color w:val="FF0000"/>
        </w:rPr>
        <w:t>的电子密钥进行加密，否则视同未盖公章，将导致</w:t>
      </w:r>
      <w:r>
        <w:rPr>
          <w:rFonts w:hint="eastAsia" w:ascii="宋体" w:hAnsi="宋体"/>
          <w:color w:val="FF0000"/>
          <w:lang w:eastAsia="zh-CN"/>
        </w:rPr>
        <w:t>应答文件</w:t>
      </w:r>
      <w:r>
        <w:rPr>
          <w:rFonts w:hint="eastAsia" w:ascii="宋体" w:hAnsi="宋体"/>
          <w:color w:val="FF0000"/>
        </w:rPr>
        <w:t>无效。</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.2.8</w:t>
      </w:r>
      <w:r>
        <w:rPr>
          <w:rFonts w:hint="eastAsia" w:ascii="宋体" w:hAnsi="宋体"/>
          <w:color w:val="FF0000"/>
          <w:lang w:eastAsia="zh-CN"/>
        </w:rPr>
        <w:t>代理机构</w:t>
      </w:r>
      <w:r>
        <w:rPr>
          <w:rFonts w:hint="eastAsia" w:ascii="宋体" w:hAnsi="宋体"/>
          <w:color w:val="FF0000"/>
        </w:rPr>
        <w:t>不接受</w:t>
      </w:r>
      <w:r>
        <w:rPr>
          <w:rFonts w:hint="eastAsia" w:ascii="宋体" w:hAnsi="宋体"/>
          <w:color w:val="FF0000"/>
          <w:lang w:val="en-US" w:eastAsia="zh-CN"/>
        </w:rPr>
        <w:t>响应</w:t>
      </w:r>
      <w:r>
        <w:rPr>
          <w:rFonts w:hint="eastAsia" w:ascii="宋体" w:hAnsi="宋体"/>
          <w:color w:val="FF0000"/>
        </w:rPr>
        <w:t>截止时间后递交的纸质、电子、传真等所有形式的</w:t>
      </w:r>
      <w:r>
        <w:rPr>
          <w:rFonts w:hint="eastAsia" w:ascii="宋体" w:hAnsi="宋体"/>
          <w:color w:val="FF0000"/>
          <w:lang w:eastAsia="zh-CN"/>
        </w:rPr>
        <w:t>应答文件</w:t>
      </w:r>
      <w:r>
        <w:rPr>
          <w:rFonts w:hint="eastAsia" w:ascii="宋体" w:hAnsi="宋体"/>
          <w:color w:val="FF0000"/>
        </w:rPr>
        <w:t>。由于对网上自行采购系统操作不熟悉或自身电脑、网络等原因导致不能在投标截止时间之前上传</w:t>
      </w:r>
      <w:r>
        <w:rPr>
          <w:rFonts w:hint="eastAsia" w:ascii="宋体" w:hAnsi="宋体"/>
          <w:color w:val="FF0000"/>
          <w:lang w:eastAsia="zh-CN"/>
        </w:rPr>
        <w:t>应答文件</w:t>
      </w:r>
      <w:r>
        <w:rPr>
          <w:rFonts w:hint="eastAsia" w:ascii="宋体" w:hAnsi="宋体"/>
          <w:color w:val="FF0000"/>
        </w:rPr>
        <w:t>，</w:t>
      </w:r>
      <w:r>
        <w:rPr>
          <w:rFonts w:hint="eastAsia" w:ascii="宋体" w:hAnsi="宋体"/>
          <w:color w:val="FF0000"/>
          <w:lang w:eastAsia="zh-CN"/>
        </w:rPr>
        <w:t>代理机构</w:t>
      </w:r>
      <w:r>
        <w:rPr>
          <w:rFonts w:hint="eastAsia" w:ascii="宋体" w:hAnsi="宋体"/>
          <w:color w:val="FF0000"/>
        </w:rPr>
        <w:t>概不负责。建议于开标前一个工作日完成</w:t>
      </w:r>
      <w:r>
        <w:rPr>
          <w:rFonts w:hint="eastAsia" w:ascii="宋体" w:hAnsi="宋体"/>
          <w:color w:val="FF0000"/>
          <w:lang w:eastAsia="zh-CN"/>
        </w:rPr>
        <w:t>应答文件</w:t>
      </w:r>
      <w:r>
        <w:rPr>
          <w:rFonts w:hint="eastAsia" w:ascii="宋体" w:hAnsi="宋体"/>
          <w:color w:val="FF0000"/>
        </w:rPr>
        <w:t>的制作与上传，如上传确有困难，请及时咨询。</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.2.9如果</w:t>
      </w:r>
      <w:r>
        <w:rPr>
          <w:rFonts w:hint="eastAsia" w:ascii="宋体" w:hAnsi="宋体"/>
          <w:color w:val="FF0000"/>
          <w:lang w:val="en-US" w:eastAsia="zh-CN"/>
        </w:rPr>
        <w:t>开启</w:t>
      </w:r>
      <w:r>
        <w:rPr>
          <w:rFonts w:hint="eastAsia" w:ascii="宋体" w:hAnsi="宋体"/>
          <w:color w:val="FF0000"/>
        </w:rPr>
        <w:t>时出现网络故障、技术故障，影响了采购活动，</w:t>
      </w:r>
      <w:r>
        <w:rPr>
          <w:rFonts w:hint="eastAsia" w:ascii="宋体" w:hAnsi="宋体"/>
          <w:color w:val="FF0000"/>
          <w:lang w:eastAsia="zh-CN"/>
        </w:rPr>
        <w:t>代理机构</w:t>
      </w:r>
      <w:r>
        <w:rPr>
          <w:rFonts w:hint="eastAsia" w:ascii="宋体" w:hAnsi="宋体"/>
          <w:color w:val="FF0000"/>
        </w:rPr>
        <w:t>有权采取措施如延期、接受无法从网上上传的</w:t>
      </w:r>
      <w:r>
        <w:rPr>
          <w:rFonts w:hint="eastAsia" w:ascii="宋体" w:hAnsi="宋体"/>
          <w:color w:val="FF0000"/>
          <w:lang w:val="en-US" w:eastAsia="zh-CN"/>
        </w:rPr>
        <w:t>应答</w:t>
      </w:r>
      <w:r>
        <w:rPr>
          <w:rFonts w:hint="eastAsia" w:ascii="宋体" w:hAnsi="宋体"/>
          <w:color w:val="FF0000"/>
        </w:rPr>
        <w:t>书等，以保障采购活动的公开、公平和公正。</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.3电报、电话、传真形式的投标概不接受。</w:t>
      </w:r>
    </w:p>
    <w:p>
      <w:pPr>
        <w:ind w:firstLine="411" w:firstLineChars="196"/>
        <w:rPr>
          <w:rFonts w:hint="eastAsia" w:ascii="宋体" w:hAnsi="宋体"/>
          <w:color w:val="FF0000"/>
        </w:rPr>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.4经</w:t>
      </w:r>
      <w:r>
        <w:rPr>
          <w:rFonts w:hint="eastAsia" w:ascii="宋体" w:hAnsi="宋体"/>
          <w:color w:val="FF0000"/>
          <w:lang w:eastAsia="zh-CN"/>
        </w:rPr>
        <w:t>供应商</w:t>
      </w:r>
      <w:r>
        <w:rPr>
          <w:rFonts w:hint="eastAsia" w:ascii="宋体" w:hAnsi="宋体"/>
          <w:color w:val="FF0000"/>
        </w:rPr>
        <w:t>电子密钥加密的</w:t>
      </w:r>
      <w:r>
        <w:rPr>
          <w:rFonts w:hint="eastAsia" w:ascii="宋体" w:hAnsi="宋体"/>
          <w:color w:val="FF0000"/>
          <w:lang w:eastAsia="zh-CN"/>
        </w:rPr>
        <w:t>应答文件</w:t>
      </w:r>
      <w:r>
        <w:rPr>
          <w:rFonts w:hint="eastAsia" w:ascii="宋体" w:hAnsi="宋体"/>
          <w:color w:val="FF0000"/>
        </w:rPr>
        <w:t>无须盖章或签字，专用条款另有要求的除外。</w:t>
      </w:r>
    </w:p>
    <w:p>
      <w:pPr>
        <w:spacing w:line="360" w:lineRule="auto"/>
        <w:ind w:firstLine="420" w:firstLineChars="200"/>
        <w:jc w:val="left"/>
      </w:pPr>
      <w:r>
        <w:rPr>
          <w:rFonts w:hint="eastAsia" w:ascii="宋体" w:hAnsi="宋体"/>
          <w:color w:val="FF0000"/>
        </w:rPr>
        <w:t>2</w:t>
      </w:r>
      <w:r>
        <w:rPr>
          <w:rFonts w:hint="eastAsia" w:ascii="宋体" w:hAnsi="宋体"/>
          <w:color w:val="FF0000"/>
          <w:lang w:val="en-US" w:eastAsia="zh-CN"/>
        </w:rPr>
        <w:t>1</w:t>
      </w:r>
      <w:r>
        <w:rPr>
          <w:rFonts w:hint="eastAsia" w:ascii="宋体" w:hAnsi="宋体"/>
          <w:color w:val="FF0000"/>
        </w:rPr>
        <w:t>.5 各类资格（资质）文件提供扫描件，专用条款另有要求的除外。</w:t>
      </w:r>
      <w:r>
        <w:rPr>
          <w:rFonts w:hint="eastAsia" w:ascii="宋体" w:hAnsi="宋体"/>
        </w:rPr>
        <w:t>。</w:t>
      </w:r>
    </w:p>
    <w:p>
      <w:pPr>
        <w:pStyle w:val="5"/>
      </w:pPr>
      <w:r>
        <w:rPr>
          <w:rFonts w:hint="eastAsia"/>
        </w:rPr>
        <w:t>四、应答文件的递交</w:t>
      </w:r>
    </w:p>
    <w:p>
      <w:pPr>
        <w:rPr>
          <w:rFonts w:ascii="宋体" w:hAnsi="宋体"/>
          <w:color w:val="FF0000"/>
        </w:rPr>
      </w:pPr>
      <w:r>
        <w:rPr>
          <w:rFonts w:hint="eastAsia" w:ascii="黑体" w:hAnsi="宋体" w:eastAsia="黑体"/>
          <w:sz w:val="24"/>
        </w:rPr>
        <w:t>24．应答文件的保密</w:t>
      </w:r>
    </w:p>
    <w:p>
      <w:pPr>
        <w:widowControl/>
        <w:ind w:firstLine="420" w:firstLineChars="200"/>
        <w:jc w:val="left"/>
        <w:rPr>
          <w:sz w:val="24"/>
        </w:rPr>
      </w:pPr>
      <w:r>
        <w:rPr>
          <w:rFonts w:hint="eastAsia" w:ascii="宋体" w:hAnsi="宋体"/>
          <w:color w:val="FF0000"/>
        </w:rPr>
        <w:t>24.1</w:t>
      </w:r>
      <w:r>
        <w:rPr>
          <w:rFonts w:hint="eastAsia" w:ascii="宋体" w:hAnsi="宋体" w:eastAsia="宋体" w:cs="Times New Roman"/>
          <w:color w:val="FF0000"/>
        </w:rPr>
        <w:t>在应答文件制作完成后，生成后会选择是否加密</w:t>
      </w:r>
      <w:r>
        <w:rPr>
          <w:rFonts w:hint="eastAsia" w:ascii="宋体" w:hAnsi="宋体"/>
          <w:color w:val="FF0000"/>
        </w:rPr>
        <w:t>应答</w:t>
      </w:r>
      <w:r>
        <w:rPr>
          <w:rFonts w:hint="eastAsia" w:ascii="宋体" w:hAnsi="宋体" w:eastAsia="宋体" w:cs="Times New Roman"/>
          <w:color w:val="FF0000"/>
        </w:rPr>
        <w:t>文件，如不加密则直接点击生成文件即可，如需加密请插入CA锁，点击加密后生成文件，需输入CA锁密码即可加密成功。加密后会提示文件生成成功！(注意：加密的</w:t>
      </w:r>
      <w:r>
        <w:rPr>
          <w:rFonts w:hint="eastAsia" w:ascii="宋体" w:hAnsi="宋体"/>
          <w:color w:val="FF0000"/>
        </w:rPr>
        <w:t>应答</w:t>
      </w:r>
      <w:r>
        <w:rPr>
          <w:rFonts w:hint="eastAsia" w:ascii="宋体" w:hAnsi="宋体" w:eastAsia="宋体" w:cs="Times New Roman"/>
          <w:color w:val="FF0000"/>
        </w:rPr>
        <w:t>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szCs w:val="21"/>
        </w:rPr>
        <w:t>如果供下载的</w:t>
      </w:r>
      <w:r>
        <w:rPr>
          <w:rFonts w:hint="eastAsia" w:ascii="宋体" w:hAnsi="宋体"/>
          <w:b/>
          <w:szCs w:val="21"/>
          <w:lang w:val="en-US" w:eastAsia="zh-CN"/>
        </w:rPr>
        <w:t>采购</w:t>
      </w:r>
      <w:r>
        <w:rPr>
          <w:rFonts w:hint="eastAsia" w:ascii="宋体" w:hAnsi="宋体"/>
          <w:b/>
          <w:szCs w:val="21"/>
        </w:rPr>
        <w:t>文件有更新，</w:t>
      </w:r>
      <w:r>
        <w:rPr>
          <w:rFonts w:hint="eastAsia" w:ascii="宋体" w:hAnsi="宋体"/>
          <w:b/>
          <w:szCs w:val="21"/>
          <w:lang w:val="en-US" w:eastAsia="zh-CN"/>
        </w:rPr>
        <w:t>应答</w:t>
      </w:r>
      <w:r>
        <w:rPr>
          <w:rFonts w:hint="eastAsia" w:ascii="宋体" w:hAnsi="宋体"/>
          <w:b/>
          <w:szCs w:val="21"/>
        </w:rPr>
        <w:t>人必须重新下载</w:t>
      </w:r>
      <w:r>
        <w:rPr>
          <w:rFonts w:hint="eastAsia" w:ascii="宋体" w:hAnsi="宋体"/>
          <w:b/>
          <w:szCs w:val="21"/>
          <w:lang w:val="en-US" w:eastAsia="zh-CN"/>
        </w:rPr>
        <w:t>采购</w:t>
      </w:r>
      <w:r>
        <w:rPr>
          <w:rFonts w:hint="eastAsia" w:ascii="宋体" w:hAnsi="宋体"/>
          <w:b/>
          <w:szCs w:val="21"/>
        </w:rPr>
        <w:t>文件、重新制作</w:t>
      </w:r>
      <w:r>
        <w:rPr>
          <w:rFonts w:hint="eastAsia" w:ascii="宋体" w:hAnsi="宋体"/>
          <w:b/>
          <w:szCs w:val="21"/>
          <w:lang w:val="en-US" w:eastAsia="zh-CN"/>
        </w:rPr>
        <w:t>应答</w:t>
      </w:r>
      <w:r>
        <w:rPr>
          <w:rFonts w:hint="eastAsia" w:ascii="宋体" w:hAnsi="宋体"/>
          <w:b/>
          <w:szCs w:val="21"/>
        </w:rPr>
        <w:t>文件、重新加密</w:t>
      </w:r>
      <w:r>
        <w:rPr>
          <w:rFonts w:hint="eastAsia" w:ascii="宋体" w:hAnsi="宋体"/>
          <w:b/>
          <w:szCs w:val="21"/>
          <w:lang w:val="en-US" w:eastAsia="zh-CN"/>
        </w:rPr>
        <w:t>应答</w:t>
      </w:r>
      <w:r>
        <w:rPr>
          <w:rFonts w:hint="eastAsia" w:ascii="宋体" w:hAnsi="宋体"/>
          <w:b/>
          <w:szCs w:val="21"/>
        </w:rPr>
        <w:t>文件、重新上传</w:t>
      </w:r>
      <w:r>
        <w:rPr>
          <w:rFonts w:hint="eastAsia" w:ascii="宋体" w:hAnsi="宋体"/>
          <w:b/>
          <w:szCs w:val="21"/>
          <w:lang w:val="en-US" w:eastAsia="zh-CN"/>
        </w:rPr>
        <w:t>应答</w:t>
      </w:r>
      <w:r>
        <w:rPr>
          <w:rFonts w:hint="eastAsia" w:ascii="宋体" w:hAnsi="宋体"/>
          <w:b/>
          <w:szCs w:val="21"/>
        </w:rPr>
        <w:t>文件。</w:t>
      </w:r>
    </w:p>
    <w:p>
      <w:pPr>
        <w:rPr>
          <w:rFonts w:ascii="黑体" w:hAnsi="宋体" w:eastAsia="黑体"/>
          <w:sz w:val="24"/>
        </w:rPr>
      </w:pPr>
      <w:bookmarkStart w:id="62" w:name="_Hlk72665941"/>
      <w:r>
        <w:rPr>
          <w:rFonts w:hint="eastAsia" w:ascii="黑体" w:hAnsi="宋体" w:eastAsia="黑体"/>
          <w:sz w:val="24"/>
        </w:rPr>
        <w:t>25．上传应答文件及谈判截止日期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1实行网上投标，供应商</w:t>
      </w:r>
      <w:r>
        <w:rPr>
          <w:rFonts w:ascii="宋体" w:hAnsi="宋体"/>
        </w:rPr>
        <w:t>必须</w:t>
      </w:r>
      <w:r>
        <w:rPr>
          <w:rFonts w:hint="eastAsia" w:ascii="宋体" w:hAnsi="宋体"/>
        </w:rPr>
        <w:t>在谈判</w:t>
      </w:r>
      <w:r>
        <w:rPr>
          <w:rFonts w:ascii="宋体" w:hAnsi="宋体"/>
        </w:rPr>
        <w:t>文件规定的</w:t>
      </w:r>
      <w:r>
        <w:rPr>
          <w:rFonts w:hint="eastAsia" w:ascii="宋体" w:hAnsi="宋体"/>
        </w:rPr>
        <w:t>谈判</w:t>
      </w:r>
      <w:r>
        <w:rPr>
          <w:rFonts w:ascii="宋体" w:hAnsi="宋体"/>
        </w:rPr>
        <w:t>截止时间前</w:t>
      </w:r>
      <w:r>
        <w:rPr>
          <w:rFonts w:hint="eastAsia" w:ascii="宋体" w:hAnsi="宋体"/>
        </w:rPr>
        <w:t>用电子密钥登录“深圳市自行采购系统（https://trade.szggzy.com/ggzy/center/#/login）”上传</w:t>
      </w:r>
      <w:r>
        <w:rPr>
          <w:rFonts w:hint="eastAsia" w:ascii="宋体" w:hAnsi="宋体"/>
          <w:lang w:val="en-US" w:eastAsia="zh-CN"/>
        </w:rPr>
        <w:t>应答</w:t>
      </w:r>
      <w:r>
        <w:rPr>
          <w:rFonts w:hint="eastAsia" w:ascii="宋体" w:hAnsi="宋体"/>
        </w:rPr>
        <w:t>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。如多次上传均告失败，请在谈判截止时间之前携带加密后的电子投标文件（应答文件）送达至</w:t>
      </w:r>
      <w:r>
        <w:rPr>
          <w:rFonts w:hint="eastAsia" w:ascii="宋体" w:hAnsi="宋体" w:eastAsia="宋体" w:cs="Times New Roman"/>
          <w:b/>
          <w:bCs/>
          <w:szCs w:val="21"/>
        </w:rPr>
        <w:t>深圳公共资源交易中心（深圳交易集团有限公司</w:t>
      </w:r>
      <w:r>
        <w:rPr>
          <w:rFonts w:hint="eastAsia" w:ascii="宋体" w:hAnsi="宋体" w:eastAsia="宋体" w:cs="Times New Roman"/>
          <w:b/>
          <w:bCs/>
          <w:szCs w:val="21"/>
          <w:lang w:eastAsia="zh-CN"/>
        </w:rPr>
        <w:t>政府采购业务分公司</w:t>
      </w:r>
      <w:r>
        <w:rPr>
          <w:rFonts w:hint="eastAsia" w:ascii="宋体" w:hAnsi="宋体" w:eastAsia="宋体" w:cs="Times New Roman"/>
          <w:b/>
          <w:bCs/>
          <w:szCs w:val="21"/>
        </w:rPr>
        <w:t>）</w:t>
      </w:r>
      <w:r>
        <w:rPr>
          <w:rFonts w:hint="eastAsia" w:ascii="宋体" w:hAnsi="宋体" w:eastAsia="宋体" w:cs="Times New Roman"/>
          <w:b/>
          <w:bCs/>
        </w:rPr>
        <w:t>（地址：深圳市南山区沙河西路3185号南山智谷A座（深圳交易集团总部大楼）</w:t>
      </w:r>
      <w:r>
        <w:rPr>
          <w:rFonts w:hint="eastAsia" w:ascii="宋体" w:hAnsi="宋体" w:cs="Times New Roman"/>
          <w:b/>
          <w:bCs/>
          <w:lang w:val="en-US" w:eastAsia="zh-CN"/>
        </w:rPr>
        <w:t>3楼</w:t>
      </w:r>
      <w:r>
        <w:rPr>
          <w:rFonts w:hint="eastAsia" w:ascii="宋体" w:hAnsi="宋体" w:eastAsia="宋体" w:cs="Times New Roman"/>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中应答</w:t>
      </w:r>
      <w:r>
        <w:rPr>
          <w:rFonts w:ascii="宋体" w:hAnsi="宋体"/>
          <w:b/>
          <w:bCs/>
        </w:rPr>
        <w:t>截止时间到达仍无法上传成功的，由</w:t>
      </w:r>
      <w:r>
        <w:rPr>
          <w:rFonts w:hint="eastAsia" w:ascii="宋体" w:hAnsi="宋体"/>
          <w:b/>
          <w:bCs/>
        </w:rPr>
        <w:t>供应商</w:t>
      </w:r>
      <w:r>
        <w:rPr>
          <w:rFonts w:ascii="宋体" w:hAnsi="宋体"/>
          <w:b/>
          <w:bCs/>
        </w:rPr>
        <w:t>自行负责</w:t>
      </w:r>
      <w:r>
        <w:rPr>
          <w:rFonts w:hint="eastAsia" w:ascii="宋体" w:hAnsi="宋体"/>
        </w:rPr>
        <w:t>。</w:t>
      </w:r>
    </w:p>
    <w:p>
      <w:pPr>
        <w:ind w:firstLine="420" w:firstLineChars="200"/>
        <w:rPr>
          <w:rFonts w:ascii="宋体" w:hAnsi="宋体"/>
          <w:szCs w:val="21"/>
        </w:rPr>
      </w:pPr>
      <w:r>
        <w:rPr>
          <w:rFonts w:hint="eastAsia" w:ascii="宋体" w:hAnsi="宋体"/>
          <w:szCs w:val="21"/>
        </w:rPr>
        <w:t>25.2</w:t>
      </w:r>
      <w:r>
        <w:rPr>
          <w:rFonts w:hint="eastAsia" w:ascii="宋体" w:hAnsi="宋体"/>
          <w:szCs w:val="21"/>
          <w:lang w:val="en-US" w:eastAsia="zh-CN"/>
        </w:rPr>
        <w:t>代理</w:t>
      </w:r>
      <w:r>
        <w:rPr>
          <w:rFonts w:hint="eastAsia" w:ascii="宋体" w:hAnsi="宋体"/>
          <w:szCs w:val="21"/>
        </w:rPr>
        <w:t>机构可以按本通用条款第1</w:t>
      </w:r>
      <w:r>
        <w:rPr>
          <w:rFonts w:hint="eastAsia" w:ascii="宋体" w:hAnsi="宋体"/>
          <w:szCs w:val="21"/>
          <w:lang w:val="en-US" w:eastAsia="zh-CN"/>
        </w:rPr>
        <w:t>1</w:t>
      </w:r>
      <w:r>
        <w:rPr>
          <w:rFonts w:hint="eastAsia" w:ascii="宋体" w:hAnsi="宋体"/>
          <w:szCs w:val="21"/>
        </w:rPr>
        <w:t>条规定，通过修改</w:t>
      </w:r>
      <w:r>
        <w:rPr>
          <w:rFonts w:hint="eastAsia" w:ascii="宋体" w:hAnsi="宋体"/>
          <w:szCs w:val="21"/>
          <w:lang w:val="en-US" w:eastAsia="zh-CN"/>
        </w:rPr>
        <w:t>采购</w:t>
      </w:r>
      <w:r>
        <w:rPr>
          <w:rFonts w:hint="eastAsia" w:ascii="宋体" w:hAnsi="宋体"/>
          <w:szCs w:val="21"/>
        </w:rPr>
        <w:t>文件自行决定酌情延长</w:t>
      </w:r>
      <w:r>
        <w:rPr>
          <w:rFonts w:hint="eastAsia" w:ascii="宋体" w:hAnsi="宋体"/>
          <w:szCs w:val="21"/>
          <w:lang w:val="en-US" w:eastAsia="zh-CN"/>
        </w:rPr>
        <w:t>应答</w:t>
      </w:r>
      <w:r>
        <w:rPr>
          <w:rFonts w:hint="eastAsia" w:ascii="宋体" w:hAnsi="宋体"/>
          <w:szCs w:val="21"/>
        </w:rPr>
        <w:t>截止期。在此情况下，</w:t>
      </w:r>
      <w:r>
        <w:rPr>
          <w:rFonts w:hint="eastAsia" w:ascii="宋体" w:hAnsi="宋体"/>
          <w:szCs w:val="21"/>
          <w:lang w:val="en-US" w:eastAsia="zh-CN"/>
        </w:rPr>
        <w:t>代理</w:t>
      </w:r>
      <w:r>
        <w:rPr>
          <w:rFonts w:hint="eastAsia" w:ascii="宋体" w:hAnsi="宋体"/>
          <w:szCs w:val="21"/>
        </w:rPr>
        <w:t>机构、采购人和</w:t>
      </w:r>
      <w:r>
        <w:rPr>
          <w:rFonts w:hint="eastAsia" w:ascii="宋体" w:hAnsi="宋体"/>
          <w:szCs w:val="21"/>
          <w:lang w:val="en-US" w:eastAsia="zh-CN"/>
        </w:rPr>
        <w:t>应答</w:t>
      </w:r>
      <w:r>
        <w:rPr>
          <w:rFonts w:hint="eastAsia" w:ascii="宋体" w:hAnsi="宋体"/>
          <w:szCs w:val="21"/>
        </w:rPr>
        <w:t>人受</w:t>
      </w:r>
      <w:r>
        <w:rPr>
          <w:rFonts w:hint="eastAsia" w:ascii="宋体" w:hAnsi="宋体"/>
          <w:szCs w:val="21"/>
          <w:lang w:val="en-US" w:eastAsia="zh-CN"/>
        </w:rPr>
        <w:t>应答</w:t>
      </w:r>
      <w:r>
        <w:rPr>
          <w:rFonts w:hint="eastAsia" w:ascii="宋体" w:hAnsi="宋体"/>
          <w:szCs w:val="21"/>
        </w:rPr>
        <w:t>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3谈判截止时间以后不得上传应答文件。</w:t>
      </w:r>
    </w:p>
    <w:p>
      <w:pPr>
        <w:rPr>
          <w:rFonts w:ascii="黑体" w:hAnsi="宋体" w:eastAsia="黑体"/>
          <w:sz w:val="24"/>
        </w:rPr>
      </w:pPr>
      <w:r>
        <w:rPr>
          <w:rFonts w:ascii="黑体" w:hAnsi="宋体" w:eastAsia="黑体"/>
          <w:sz w:val="24"/>
        </w:rPr>
        <w:t>26</w:t>
      </w:r>
      <w:r>
        <w:rPr>
          <w:rFonts w:hint="eastAsia" w:ascii="黑体" w:hAnsi="宋体" w:eastAsia="黑体"/>
          <w:sz w:val="24"/>
        </w:rPr>
        <w:t>．应答</w:t>
      </w:r>
      <w:r>
        <w:rPr>
          <w:rFonts w:ascii="黑体" w:hAnsi="宋体" w:eastAsia="黑体"/>
          <w:sz w:val="24"/>
        </w:rPr>
        <w:t>文件的修改和撤销</w:t>
      </w:r>
    </w:p>
    <w:p>
      <w:pPr>
        <w:ind w:firstLine="411" w:firstLineChars="196"/>
        <w:rPr>
          <w:rFonts w:ascii="宋体" w:hAnsi="宋体"/>
        </w:rPr>
      </w:pPr>
      <w:r>
        <w:rPr>
          <w:rFonts w:ascii="宋体" w:hAnsi="宋体"/>
        </w:rPr>
        <w:t>26.</w:t>
      </w:r>
      <w:r>
        <w:rPr>
          <w:rFonts w:hint="eastAsia" w:ascii="宋体" w:hAnsi="宋体"/>
        </w:rPr>
        <w:t>1供应商</w:t>
      </w:r>
      <w:r>
        <w:rPr>
          <w:rFonts w:ascii="宋体" w:hAnsi="宋体"/>
        </w:rPr>
        <w:t>在提交</w:t>
      </w:r>
      <w:r>
        <w:rPr>
          <w:rFonts w:hint="eastAsia" w:ascii="宋体" w:hAnsi="宋体"/>
        </w:rPr>
        <w:t>应答</w:t>
      </w:r>
      <w:r>
        <w:rPr>
          <w:rFonts w:ascii="宋体" w:hAnsi="宋体"/>
        </w:rPr>
        <w:t>文件后可对其</w:t>
      </w:r>
      <w:r>
        <w:rPr>
          <w:rFonts w:hint="eastAsia" w:ascii="宋体" w:hAnsi="宋体"/>
        </w:rPr>
        <w:t>应答</w:t>
      </w:r>
      <w:r>
        <w:rPr>
          <w:rFonts w:ascii="宋体" w:hAnsi="宋体"/>
        </w:rPr>
        <w:t>文件进行修改</w:t>
      </w:r>
      <w:r>
        <w:rPr>
          <w:rFonts w:hint="eastAsia" w:ascii="宋体" w:hAnsi="宋体"/>
        </w:rPr>
        <w:t>并重新上传应答文件</w:t>
      </w:r>
      <w:r>
        <w:rPr>
          <w:rFonts w:ascii="宋体" w:hAnsi="宋体"/>
        </w:rPr>
        <w:t>或</w:t>
      </w:r>
      <w:r>
        <w:rPr>
          <w:rFonts w:hint="eastAsia" w:ascii="宋体" w:hAnsi="宋体"/>
        </w:rPr>
        <w:t>在网上进行</w:t>
      </w:r>
      <w:r>
        <w:rPr>
          <w:rFonts w:ascii="宋体" w:hAnsi="宋体"/>
        </w:rPr>
        <w:t>撤销</w:t>
      </w:r>
      <w:r>
        <w:rPr>
          <w:rFonts w:hint="eastAsia" w:ascii="宋体" w:hAnsi="宋体"/>
        </w:rPr>
        <w:t>应答的操作</w:t>
      </w:r>
      <w:r>
        <w:rPr>
          <w:rFonts w:ascii="宋体" w:hAnsi="宋体"/>
        </w:rPr>
        <w:t>。</w:t>
      </w:r>
    </w:p>
    <w:p>
      <w:pPr>
        <w:ind w:firstLine="411" w:firstLineChars="196"/>
        <w:rPr>
          <w:rFonts w:ascii="宋体" w:hAnsi="宋体"/>
        </w:rPr>
      </w:pPr>
      <w:r>
        <w:rPr>
          <w:rFonts w:ascii="宋体" w:hAnsi="宋体"/>
        </w:rPr>
        <w:t>26.</w:t>
      </w:r>
      <w:r>
        <w:rPr>
          <w:rFonts w:hint="eastAsia" w:ascii="宋体" w:hAnsi="宋体"/>
        </w:rPr>
        <w:t>2</w:t>
      </w:r>
      <w:bookmarkStart w:id="63" w:name="_Hlk72663776"/>
      <w:r>
        <w:rPr>
          <w:rFonts w:hint="eastAsia" w:ascii="宋体" w:hAnsi="宋体"/>
        </w:rPr>
        <w:t>谈判</w:t>
      </w:r>
      <w:r>
        <w:rPr>
          <w:rFonts w:ascii="宋体" w:hAnsi="宋体"/>
        </w:rPr>
        <w:t>截止时间以后不</w:t>
      </w:r>
      <w:r>
        <w:rPr>
          <w:rFonts w:hint="eastAsia" w:ascii="宋体" w:hAnsi="宋体"/>
          <w:lang w:val="en-US" w:eastAsia="zh-CN"/>
        </w:rPr>
        <w:t>得</w:t>
      </w:r>
      <w:r>
        <w:rPr>
          <w:rFonts w:ascii="宋体" w:hAnsi="宋体"/>
        </w:rPr>
        <w:t>修改</w:t>
      </w:r>
      <w:r>
        <w:rPr>
          <w:rFonts w:hint="eastAsia" w:ascii="宋体" w:hAnsi="宋体"/>
        </w:rPr>
        <w:t>应答</w:t>
      </w:r>
      <w:r>
        <w:rPr>
          <w:rFonts w:ascii="宋体" w:hAnsi="宋体"/>
        </w:rPr>
        <w:t>文件。</w:t>
      </w:r>
      <w:bookmarkEnd w:id="63"/>
    </w:p>
    <w:p>
      <w:pPr>
        <w:ind w:firstLine="411" w:firstLineChars="196"/>
        <w:rPr>
          <w:rFonts w:ascii="宋体" w:hAnsi="宋体"/>
        </w:rPr>
      </w:pPr>
      <w:r>
        <w:rPr>
          <w:rFonts w:ascii="宋体" w:hAnsi="宋体"/>
        </w:rPr>
        <w:t>26.</w:t>
      </w:r>
      <w:r>
        <w:rPr>
          <w:rFonts w:hint="eastAsia" w:ascii="宋体" w:hAnsi="宋体"/>
        </w:rPr>
        <w:t>3从应答截止期至供应商在应答文件中确定的谈判应答有效期之间的这段时间内，供应商不得撤回其谈判应答。</w:t>
      </w:r>
    </w:p>
    <w:p>
      <w:pPr>
        <w:ind w:firstLine="411" w:firstLineChars="196"/>
        <w:rPr>
          <w:rFonts w:ascii="宋体" w:hAnsi="宋体"/>
          <w:szCs w:val="21"/>
        </w:rPr>
      </w:pPr>
      <w:r>
        <w:rPr>
          <w:rFonts w:hint="eastAsia" w:ascii="宋体" w:hAnsi="宋体"/>
          <w:szCs w:val="21"/>
        </w:rPr>
        <w:t>2</w:t>
      </w:r>
      <w:r>
        <w:rPr>
          <w:rFonts w:ascii="宋体" w:hAnsi="宋体"/>
          <w:szCs w:val="21"/>
        </w:rPr>
        <w:t>6</w:t>
      </w:r>
      <w:r>
        <w:rPr>
          <w:rFonts w:hint="eastAsia" w:ascii="宋体" w:hAnsi="宋体"/>
          <w:szCs w:val="21"/>
        </w:rPr>
        <w:t>.4</w:t>
      </w:r>
      <w:r>
        <w:rPr>
          <w:rFonts w:hint="eastAsia" w:ascii="宋体" w:hAnsi="宋体"/>
          <w:szCs w:val="21"/>
          <w:lang w:val="en-US" w:eastAsia="zh-CN"/>
        </w:rPr>
        <w:t>代理</w:t>
      </w:r>
      <w:r>
        <w:rPr>
          <w:rFonts w:hint="eastAsia" w:ascii="宋体" w:hAnsi="宋体"/>
          <w:szCs w:val="21"/>
        </w:rPr>
        <w:t>机构不退还应答文件。</w:t>
      </w:r>
      <w:bookmarkEnd w:id="62"/>
    </w:p>
    <w:p>
      <w:pPr>
        <w:pStyle w:val="5"/>
      </w:pPr>
      <w:r>
        <w:rPr>
          <w:rFonts w:hint="eastAsia"/>
        </w:rPr>
        <w:t>五、谈判</w:t>
      </w:r>
    </w:p>
    <w:p>
      <w:pPr>
        <w:rPr>
          <w:rFonts w:ascii="黑体" w:hAnsi="宋体" w:eastAsia="黑体"/>
          <w:sz w:val="24"/>
        </w:rPr>
      </w:pPr>
      <w:bookmarkStart w:id="64" w:name="_Toc78703964"/>
      <w:r>
        <w:rPr>
          <w:rFonts w:ascii="黑体" w:hAnsi="宋体" w:eastAsia="黑体"/>
          <w:sz w:val="24"/>
        </w:rPr>
        <w:t>27.</w:t>
      </w:r>
      <w:r>
        <w:rPr>
          <w:rFonts w:hint="eastAsia" w:ascii="黑体" w:hAnsi="宋体" w:eastAsia="黑体"/>
          <w:sz w:val="24"/>
        </w:rPr>
        <w:t>谈判</w:t>
      </w:r>
      <w:bookmarkEnd w:id="64"/>
      <w:r>
        <w:rPr>
          <w:rFonts w:hint="eastAsia" w:ascii="黑体" w:hAnsi="宋体" w:eastAsia="黑体"/>
          <w:sz w:val="24"/>
        </w:rPr>
        <w:t>要求</w:t>
      </w:r>
    </w:p>
    <w:p>
      <w:pPr>
        <w:keepNext w:val="0"/>
        <w:keepLines w:val="0"/>
        <w:pageBreakBefore w:val="0"/>
        <w:widowControl w:val="0"/>
        <w:tabs>
          <w:tab w:val="left" w:pos="-1080"/>
        </w:tabs>
        <w:kinsoku/>
        <w:wordWrap w:val="0"/>
        <w:overflowPunct/>
        <w:topLinePunct w:val="0"/>
        <w:autoSpaceDE/>
        <w:autoSpaceDN/>
        <w:bidi w:val="0"/>
        <w:adjustRightInd/>
        <w:snapToGrid/>
        <w:ind w:firstLine="420" w:firstLineChars="200"/>
        <w:textAlignment w:val="auto"/>
        <w:rPr>
          <w:rFonts w:hint="eastAsia" w:ascii="宋体" w:hAnsi="宋体"/>
        </w:rPr>
      </w:pPr>
      <w:r>
        <w:rPr>
          <w:rFonts w:ascii="宋体" w:hAnsi="宋体"/>
        </w:rPr>
        <w:t>27</w:t>
      </w:r>
      <w:r>
        <w:rPr>
          <w:rFonts w:hint="eastAsia" w:ascii="宋体" w:hAnsi="宋体"/>
        </w:rPr>
        <w:t>.1供应商须在谈判当日的谈判时间至解密截止时间内进行解密，逾期未解密的作应答处理。解密方法：</w:t>
      </w:r>
      <w:r>
        <w:rPr>
          <w:rFonts w:hint="eastAsia" w:ascii="宋体" w:hAnsi="宋体"/>
          <w:szCs w:val="21"/>
        </w:rPr>
        <w:t>登录“深圳市自行采购系统（https://trade.szggzy.com/ggzy/center/#/login）”，</w:t>
      </w:r>
      <w:r>
        <w:rPr>
          <w:rFonts w:hint="eastAsia" w:ascii="宋体" w:hAnsi="宋体"/>
        </w:rPr>
        <w:t>使用本单位制作电子投标(应答)文件同一个电子密钥，在线解密、查询开标情况。本项目谈判小组将于谈判应答文件提交截止时间到后一定时间内即开始进行谈判。</w:t>
      </w:r>
    </w:p>
    <w:p>
      <w:pPr>
        <w:ind w:firstLine="411" w:firstLineChars="196"/>
        <w:rPr>
          <w:rFonts w:ascii="宋体" w:hAnsi="宋体"/>
        </w:rPr>
      </w:pPr>
      <w:r>
        <w:rPr>
          <w:rFonts w:ascii="宋体" w:hAnsi="宋体"/>
        </w:rPr>
        <w:t>27</w:t>
      </w:r>
      <w:r>
        <w:rPr>
          <w:rFonts w:hint="eastAsia" w:ascii="宋体" w:hAnsi="宋体"/>
        </w:rPr>
        <w:t>.2</w:t>
      </w:r>
      <w:r>
        <w:rPr>
          <w:rFonts w:hint="eastAsia" w:ascii="宋体" w:hAnsi="宋体"/>
          <w:szCs w:val="21"/>
          <w:lang w:eastAsia="zh-CN"/>
        </w:rPr>
        <w:t>代理机构</w:t>
      </w:r>
      <w:r>
        <w:rPr>
          <w:rFonts w:hint="eastAsia" w:ascii="宋体" w:hAnsi="宋体"/>
          <w:szCs w:val="21"/>
        </w:rPr>
        <w:t>将在满足开标条件（①解密时间结束，解密后的</w:t>
      </w:r>
      <w:r>
        <w:rPr>
          <w:rFonts w:hint="eastAsia" w:ascii="宋体" w:hAnsi="宋体"/>
          <w:szCs w:val="21"/>
          <w:lang w:val="en-US" w:eastAsia="zh-CN"/>
        </w:rPr>
        <w:t>应答</w:t>
      </w:r>
      <w:r>
        <w:rPr>
          <w:rFonts w:hint="eastAsia" w:ascii="宋体" w:hAnsi="宋体"/>
          <w:szCs w:val="21"/>
        </w:rPr>
        <w:t>供应商数量满足开标要求或②解密时间结束前所有</w:t>
      </w:r>
      <w:r>
        <w:rPr>
          <w:rFonts w:hint="eastAsia" w:ascii="宋体" w:hAnsi="宋体"/>
          <w:szCs w:val="21"/>
          <w:lang w:val="en-US" w:eastAsia="zh-CN"/>
        </w:rPr>
        <w:t>应答</w:t>
      </w:r>
      <w:r>
        <w:rPr>
          <w:rFonts w:hint="eastAsia" w:ascii="宋体" w:hAnsi="宋体"/>
          <w:szCs w:val="21"/>
        </w:rPr>
        <w:t>供应商均完成</w:t>
      </w:r>
      <w:r>
        <w:rPr>
          <w:rFonts w:hint="eastAsia" w:ascii="宋体" w:hAnsi="宋体"/>
          <w:szCs w:val="21"/>
          <w:lang w:val="en-US" w:eastAsia="zh-CN"/>
        </w:rPr>
        <w:t>应答</w:t>
      </w:r>
      <w:r>
        <w:rPr>
          <w:rFonts w:hint="eastAsia" w:ascii="宋体" w:hAnsi="宋体"/>
          <w:szCs w:val="21"/>
        </w:rPr>
        <w:t>文件解密）后，对</w:t>
      </w:r>
      <w:r>
        <w:rPr>
          <w:rFonts w:hint="eastAsia" w:ascii="宋体" w:hAnsi="宋体"/>
          <w:szCs w:val="21"/>
          <w:lang w:val="en-US" w:eastAsia="zh-CN"/>
        </w:rPr>
        <w:t>应答</w:t>
      </w:r>
      <w:r>
        <w:rPr>
          <w:rFonts w:hint="eastAsia" w:ascii="宋体" w:hAnsi="宋体"/>
          <w:szCs w:val="21"/>
        </w:rPr>
        <w:t>文件进行开标，并在网上公布开标结果。</w:t>
      </w:r>
    </w:p>
    <w:p>
      <w:pPr>
        <w:ind w:firstLine="411" w:firstLineChars="196"/>
        <w:rPr>
          <w:rFonts w:ascii="宋体" w:hAnsi="宋体"/>
        </w:rPr>
      </w:pPr>
      <w:r>
        <w:rPr>
          <w:rFonts w:ascii="宋体" w:hAnsi="宋体"/>
        </w:rPr>
        <w:t>27</w:t>
      </w:r>
      <w:r>
        <w:rPr>
          <w:rFonts w:hint="eastAsia" w:ascii="宋体" w:hAnsi="宋体"/>
        </w:rPr>
        <w:t>.3评审委员会（谈判小组成员）由采购人代表和评审专家组成，成员人数应当为</w:t>
      </w:r>
      <w:r>
        <w:rPr>
          <w:rFonts w:ascii="宋体" w:hAnsi="宋体"/>
        </w:rPr>
        <w:t>3</w:t>
      </w:r>
      <w:r>
        <w:rPr>
          <w:rFonts w:hint="eastAsia" w:ascii="宋体" w:hAnsi="宋体"/>
        </w:rPr>
        <w:t>人以上单数，其中评审专家（谈判小组成员）不得少于成员总数的三分之二。</w:t>
      </w:r>
    </w:p>
    <w:p>
      <w:pPr>
        <w:rPr>
          <w:rFonts w:ascii="黑体" w:hAnsi="宋体" w:eastAsia="黑体"/>
          <w:sz w:val="24"/>
        </w:rPr>
      </w:pPr>
      <w:r>
        <w:rPr>
          <w:rFonts w:ascii="黑体" w:hAnsi="宋体" w:eastAsia="黑体"/>
          <w:sz w:val="24"/>
        </w:rPr>
        <w:t>28.</w:t>
      </w:r>
      <w:r>
        <w:rPr>
          <w:rFonts w:hint="eastAsia" w:ascii="黑体" w:hAnsi="宋体" w:eastAsia="黑体"/>
          <w:sz w:val="24"/>
        </w:rPr>
        <w:t>谈判应答文件的审查</w:t>
      </w:r>
    </w:p>
    <w:p>
      <w:pPr>
        <w:tabs>
          <w:tab w:val="left" w:pos="-1080"/>
        </w:tabs>
        <w:ind w:firstLine="420" w:firstLineChars="200"/>
        <w:rPr>
          <w:rFonts w:ascii="宋体" w:hAnsi="宋体"/>
          <w:b/>
          <w:bCs/>
        </w:rPr>
      </w:pPr>
      <w:r>
        <w:rPr>
          <w:rFonts w:ascii="宋体" w:hAnsi="宋体"/>
        </w:rPr>
        <w:t>28</w:t>
      </w:r>
      <w:r>
        <w:rPr>
          <w:rFonts w:hint="eastAsia" w:ascii="宋体" w:hAnsi="宋体"/>
        </w:rPr>
        <w:t>.1 谈判前，谈判小组将对谈判应答文件进行审查，</w:t>
      </w:r>
      <w:r>
        <w:rPr>
          <w:rFonts w:hint="eastAsia" w:ascii="宋体" w:hAnsi="宋体"/>
          <w:b/>
          <w:bCs/>
        </w:rPr>
        <w:t>当谈判应答文件出现下列情况之一的将视为无效，按应答无效处理，不得进入谈判：</w:t>
      </w:r>
    </w:p>
    <w:p>
      <w:pPr>
        <w:tabs>
          <w:tab w:val="left" w:pos="-1080"/>
        </w:tabs>
        <w:ind w:firstLine="422" w:firstLineChars="200"/>
        <w:rPr>
          <w:rFonts w:ascii="宋体" w:hAnsi="宋体"/>
          <w:b/>
        </w:rPr>
      </w:pPr>
      <w:r>
        <w:rPr>
          <w:rFonts w:hint="eastAsia" w:ascii="宋体" w:hAnsi="宋体"/>
          <w:b/>
        </w:rPr>
        <w:t>具体内容见《资格性审查表》。</w:t>
      </w:r>
    </w:p>
    <w:p>
      <w:pPr>
        <w:rPr>
          <w:rFonts w:ascii="黑体" w:hAnsi="宋体" w:eastAsia="黑体"/>
          <w:sz w:val="24"/>
        </w:rPr>
      </w:pPr>
      <w:bookmarkStart w:id="65" w:name="_Toc78703965"/>
      <w:r>
        <w:rPr>
          <w:rFonts w:ascii="黑体" w:hAnsi="宋体" w:eastAsia="黑体"/>
          <w:sz w:val="24"/>
        </w:rPr>
        <w:t>29.</w:t>
      </w:r>
      <w:r>
        <w:rPr>
          <w:rFonts w:hint="eastAsia" w:ascii="黑体" w:hAnsi="宋体" w:eastAsia="黑体"/>
          <w:sz w:val="24"/>
        </w:rPr>
        <w:t>谈判应答文件的澄清或修改</w:t>
      </w:r>
      <w:bookmarkEnd w:id="65"/>
    </w:p>
    <w:p>
      <w:pPr>
        <w:tabs>
          <w:tab w:val="left" w:pos="-1080"/>
        </w:tabs>
        <w:ind w:firstLine="420" w:firstLineChars="200"/>
        <w:rPr>
          <w:rFonts w:ascii="宋体" w:hAnsi="宋体"/>
        </w:rPr>
      </w:pPr>
      <w:r>
        <w:rPr>
          <w:rFonts w:ascii="宋体" w:hAnsi="宋体"/>
        </w:rPr>
        <w:t>29</w:t>
      </w:r>
      <w:r>
        <w:rPr>
          <w:rFonts w:hint="eastAsia" w:ascii="宋体" w:hAnsi="宋体"/>
        </w:rPr>
        <w:t>.1谈判小组可以要求供应商对谈判应答文件含义不明确的内容作必要的澄清或者说明，供应商应进行澄清、说明。</w:t>
      </w:r>
    </w:p>
    <w:p>
      <w:pPr>
        <w:tabs>
          <w:tab w:val="left" w:pos="-1080"/>
        </w:tabs>
        <w:ind w:firstLine="420" w:firstLineChars="200"/>
        <w:rPr>
          <w:rFonts w:ascii="宋体" w:hAnsi="宋体"/>
        </w:rPr>
      </w:pPr>
      <w:r>
        <w:rPr>
          <w:rFonts w:ascii="宋体" w:hAnsi="宋体"/>
        </w:rPr>
        <w:t>29.2</w:t>
      </w:r>
      <w:r>
        <w:rPr>
          <w:rFonts w:hint="eastAsia" w:ascii="宋体" w:hAnsi="宋体"/>
        </w:rPr>
        <w:t>允许供应商在谈判结束之前根据谈判小组提出的内容进行澄清、修改或完善，或对方案进行相应的调整。</w:t>
      </w:r>
    </w:p>
    <w:p>
      <w:pPr>
        <w:rPr>
          <w:rFonts w:ascii="黑体" w:hAnsi="宋体" w:eastAsia="黑体"/>
          <w:sz w:val="24"/>
        </w:rPr>
      </w:pPr>
      <w:bookmarkStart w:id="66" w:name="_Toc78703966"/>
      <w:r>
        <w:rPr>
          <w:rFonts w:ascii="黑体" w:hAnsi="宋体" w:eastAsia="黑体"/>
          <w:sz w:val="24"/>
        </w:rPr>
        <w:t>30.</w:t>
      </w:r>
      <w:r>
        <w:rPr>
          <w:rFonts w:hint="eastAsia" w:ascii="黑体" w:hAnsi="宋体" w:eastAsia="黑体"/>
          <w:sz w:val="24"/>
        </w:rPr>
        <w:t>谈判方式及程序</w:t>
      </w:r>
      <w:bookmarkEnd w:id="66"/>
    </w:p>
    <w:p>
      <w:pPr>
        <w:tabs>
          <w:tab w:val="left" w:pos="-1080"/>
        </w:tabs>
        <w:ind w:firstLine="420" w:firstLineChars="200"/>
        <w:rPr>
          <w:rFonts w:ascii="宋体" w:hAnsi="宋体"/>
        </w:rPr>
      </w:pPr>
      <w:r>
        <w:rPr>
          <w:rFonts w:ascii="宋体" w:hAnsi="宋体"/>
          <w:szCs w:val="21"/>
        </w:rPr>
        <w:t>30</w:t>
      </w:r>
      <w:r>
        <w:rPr>
          <w:rFonts w:hint="eastAsia" w:ascii="宋体" w:hAnsi="宋体"/>
          <w:szCs w:val="21"/>
        </w:rPr>
        <w:t>.1谈判方式为</w:t>
      </w:r>
      <w:r>
        <w:rPr>
          <w:rFonts w:hint="eastAsia" w:ascii="宋体" w:hAnsi="宋体"/>
          <w:b/>
          <w:color w:val="FF0000"/>
          <w:szCs w:val="21"/>
        </w:rPr>
        <w:t>网下谈判</w:t>
      </w:r>
      <w:r>
        <w:rPr>
          <w:rFonts w:hint="eastAsia" w:ascii="宋体" w:hAnsi="宋体"/>
          <w:szCs w:val="21"/>
        </w:rPr>
        <w:t>，谈判程序如下：</w:t>
      </w:r>
    </w:p>
    <w:p>
      <w:pPr>
        <w:tabs>
          <w:tab w:val="left" w:pos="-1080"/>
        </w:tabs>
        <w:ind w:firstLine="420" w:firstLineChars="200"/>
        <w:rPr>
          <w:rFonts w:ascii="宋体" w:hAnsi="宋体"/>
        </w:rPr>
      </w:pPr>
      <w:r>
        <w:rPr>
          <w:rFonts w:ascii="宋体" w:hAnsi="宋体"/>
        </w:rPr>
        <w:t>30</w:t>
      </w:r>
      <w:r>
        <w:rPr>
          <w:rFonts w:hint="eastAsia" w:ascii="宋体" w:hAnsi="宋体"/>
        </w:rPr>
        <w:t>.2参加谈判的供应商谈判代表和谈判小组成员到谈判现场填写谈判供应商签到表，并交验身份证明文件。</w:t>
      </w:r>
      <w:r>
        <w:rPr>
          <w:rFonts w:hint="eastAsia" w:ascii="宋体" w:hAnsi="宋体"/>
          <w:color w:val="FF0000"/>
        </w:rPr>
        <w:t>身份证明文件指被授权的谈判代表的身份证原件(非中国国籍管辖范围人员，可以提供公安部门认可的身份证明材料)；如被授权的谈判代表不是法定代表人（负责人），也不是谈判应答文件签署授权委托书中列明的可以对谈判应答文件的修改和补充的授权委托代理人，则需同时提供法定代表人（负责人）证明书（加盖公章）、法人授权委托书（加盖公章，授权委托内容至少应当包括授权其在本项目谈判组织实施过程中对谈判应答文件进行修改和补充）、被授权的谈判代表身份证原件作为身份证明文件。</w:t>
      </w:r>
    </w:p>
    <w:p>
      <w:pPr>
        <w:tabs>
          <w:tab w:val="left" w:pos="-1080"/>
        </w:tabs>
        <w:ind w:firstLine="420" w:firstLineChars="200"/>
        <w:rPr>
          <w:rFonts w:ascii="宋体" w:hAnsi="宋体"/>
        </w:rPr>
      </w:pPr>
      <w:r>
        <w:rPr>
          <w:rFonts w:ascii="宋体" w:hAnsi="宋体"/>
        </w:rPr>
        <w:t>30.</w:t>
      </w:r>
      <w:r>
        <w:rPr>
          <w:rFonts w:hint="eastAsia" w:ascii="宋体" w:hAnsi="宋体"/>
        </w:rPr>
        <w:t>3谈判主持人将在谈判现场宣布谈判规则和谈判纪律。</w:t>
      </w:r>
    </w:p>
    <w:p>
      <w:pPr>
        <w:tabs>
          <w:tab w:val="left" w:pos="-1080"/>
        </w:tabs>
        <w:ind w:firstLine="420" w:firstLineChars="200"/>
        <w:rPr>
          <w:rFonts w:ascii="宋体" w:hAnsi="宋体"/>
        </w:rPr>
      </w:pPr>
      <w:r>
        <w:rPr>
          <w:rFonts w:ascii="宋体" w:hAnsi="宋体"/>
        </w:rPr>
        <w:t>30.</w:t>
      </w:r>
      <w:r>
        <w:rPr>
          <w:rFonts w:hint="eastAsia" w:ascii="宋体" w:hAnsi="宋体"/>
        </w:rPr>
        <w:t>4在谈判中，谈判小组将就服务方案、报价及其它相关事项跟供应商进行谈判。采购文件有实质性变更的，谈判小组应当通过</w:t>
      </w:r>
      <w:r>
        <w:rPr>
          <w:rFonts w:hint="eastAsia" w:ascii="宋体" w:hAnsi="宋体"/>
          <w:lang w:val="en-US" w:eastAsia="zh-CN"/>
        </w:rPr>
        <w:t>深圳公共资源交易中心</w:t>
      </w:r>
      <w:r>
        <w:rPr>
          <w:rFonts w:hint="eastAsia" w:ascii="宋体" w:hAnsi="宋体"/>
        </w:rPr>
        <w:t>书面告知所有参加谈判的供应商。</w:t>
      </w:r>
    </w:p>
    <w:p>
      <w:pPr>
        <w:tabs>
          <w:tab w:val="left" w:pos="-1080"/>
        </w:tabs>
        <w:ind w:firstLine="420" w:firstLineChars="200"/>
        <w:rPr>
          <w:rFonts w:ascii="宋体" w:hAnsi="宋体"/>
        </w:rPr>
      </w:pPr>
      <w:r>
        <w:rPr>
          <w:rFonts w:ascii="宋体" w:hAnsi="宋体"/>
        </w:rPr>
        <w:t>30.</w:t>
      </w:r>
      <w:r>
        <w:rPr>
          <w:rFonts w:hint="eastAsia" w:ascii="宋体" w:hAnsi="宋体"/>
        </w:rPr>
        <w:t>5谈判小组所有成员集中与单一供应商分别进行谈判，谈判应不少于三轮。谈判小组将在每一轮谈判前向所有供应商公布各供应商最新的承诺及报价排名，但不得透露每一家供应商的具体报价及技术资料。应答文件中的报价即为供应商的第一轮报价；最后一轮谈判时供应商谈判代表将获得提示（提示为最后一轮谈判），供应商谈判代表应在规定的时间内对应答文件进行最后更改及书面承诺（含最终报价）。</w:t>
      </w:r>
    </w:p>
    <w:p>
      <w:pPr>
        <w:tabs>
          <w:tab w:val="left" w:pos="-1080"/>
        </w:tabs>
        <w:ind w:firstLine="420" w:firstLineChars="200"/>
        <w:rPr>
          <w:rFonts w:ascii="宋体" w:hAnsi="宋体"/>
          <w:highlight w:val="none"/>
        </w:rPr>
      </w:pPr>
      <w:r>
        <w:rPr>
          <w:rFonts w:ascii="宋体" w:hAnsi="宋体"/>
        </w:rPr>
        <w:t>30.</w:t>
      </w:r>
      <w:r>
        <w:rPr>
          <w:rFonts w:hint="eastAsia" w:ascii="宋体" w:hAnsi="宋体"/>
        </w:rPr>
        <w:t>6谈判结束后，谈判小组根据供应商提供</w:t>
      </w:r>
      <w:r>
        <w:rPr>
          <w:rFonts w:hint="eastAsia" w:ascii="宋体" w:hAnsi="宋体"/>
          <w:highlight w:val="none"/>
        </w:rPr>
        <w:t>的谈判应答文件、谈判过程中产生的相关资料，对供应商谈判应答文件进行评估与比较，提出书面评审意见。</w:t>
      </w:r>
    </w:p>
    <w:p>
      <w:pPr>
        <w:tabs>
          <w:tab w:val="left" w:pos="-1080"/>
        </w:tabs>
        <w:ind w:firstLine="420" w:firstLineChars="200"/>
        <w:rPr>
          <w:rFonts w:hint="eastAsia" w:ascii="宋体" w:hAnsi="宋体"/>
          <w:highlight w:val="none"/>
        </w:rPr>
      </w:pPr>
      <w:r>
        <w:rPr>
          <w:rFonts w:ascii="宋体" w:hAnsi="宋体"/>
          <w:highlight w:val="none"/>
        </w:rPr>
        <w:t>30</w:t>
      </w:r>
      <w:r>
        <w:rPr>
          <w:rFonts w:hint="eastAsia" w:ascii="宋体" w:hAnsi="宋体"/>
          <w:highlight w:val="none"/>
        </w:rPr>
        <w:t>.7谈判小组将对谈判过程进行记录，以存档备查。</w:t>
      </w:r>
    </w:p>
    <w:p>
      <w:pPr>
        <w:keepNext/>
        <w:keepLines/>
        <w:adjustRightInd w:val="0"/>
        <w:snapToGrid w:val="0"/>
        <w:jc w:val="both"/>
        <w:outlineLvl w:val="1"/>
        <w:rPr>
          <w:rFonts w:hint="eastAsia" w:asciiTheme="majorHAnsi" w:hAnsiTheme="majorHAnsi" w:eastAsiaTheme="majorEastAsia" w:cstheme="majorBidi"/>
          <w:b/>
          <w:bCs/>
          <w:sz w:val="28"/>
          <w:szCs w:val="28"/>
          <w:highlight w:val="none"/>
        </w:rPr>
      </w:pPr>
    </w:p>
    <w:p>
      <w:pPr>
        <w:pStyle w:val="18"/>
        <w:rPr>
          <w:rFonts w:hint="eastAsia"/>
        </w:rPr>
      </w:pPr>
    </w:p>
    <w:p>
      <w:pPr>
        <w:keepNext/>
        <w:keepLines/>
        <w:adjustRightInd w:val="0"/>
        <w:snapToGrid w:val="0"/>
        <w:jc w:val="center"/>
        <w:outlineLvl w:val="1"/>
        <w:rPr>
          <w:rFonts w:hint="eastAsia" w:asciiTheme="majorHAnsi" w:hAnsiTheme="majorHAnsi" w:eastAsiaTheme="majorEastAsia" w:cstheme="majorBidi"/>
          <w:b/>
          <w:bCs/>
          <w:sz w:val="28"/>
          <w:szCs w:val="28"/>
          <w:highlight w:val="none"/>
        </w:rPr>
      </w:pPr>
    </w:p>
    <w:p>
      <w:pPr>
        <w:keepNext/>
        <w:keepLines/>
        <w:adjustRightInd w:val="0"/>
        <w:snapToGrid w:val="0"/>
        <w:jc w:val="center"/>
        <w:outlineLvl w:val="1"/>
        <w:rPr>
          <w:rFonts w:asciiTheme="majorHAnsi" w:hAnsiTheme="majorHAnsi" w:eastAsiaTheme="majorEastAsia" w:cstheme="majorBidi"/>
          <w:b/>
          <w:bCs/>
          <w:sz w:val="28"/>
          <w:szCs w:val="28"/>
          <w:highlight w:val="none"/>
        </w:rPr>
      </w:pPr>
      <w:r>
        <w:rPr>
          <w:rFonts w:hint="eastAsia" w:asciiTheme="majorHAnsi" w:hAnsiTheme="majorHAnsi" w:eastAsiaTheme="majorEastAsia" w:cstheme="majorBidi"/>
          <w:b/>
          <w:bCs/>
          <w:sz w:val="28"/>
          <w:szCs w:val="28"/>
          <w:highlight w:val="none"/>
        </w:rPr>
        <w:t>六、成交</w:t>
      </w:r>
    </w:p>
    <w:p>
      <w:pPr>
        <w:rPr>
          <w:rFonts w:ascii="黑体" w:hAnsi="宋体" w:eastAsia="黑体"/>
          <w:sz w:val="24"/>
          <w:highlight w:val="none"/>
        </w:rPr>
      </w:pPr>
      <w:bookmarkStart w:id="67" w:name="_Toc78703968"/>
      <w:r>
        <w:rPr>
          <w:rFonts w:ascii="黑体" w:hAnsi="宋体" w:eastAsia="黑体"/>
          <w:sz w:val="24"/>
          <w:highlight w:val="none"/>
        </w:rPr>
        <w:t>31.</w:t>
      </w:r>
      <w:r>
        <w:rPr>
          <w:rFonts w:hint="eastAsia" w:ascii="黑体" w:hAnsi="宋体" w:eastAsia="黑体"/>
          <w:sz w:val="24"/>
          <w:highlight w:val="none"/>
        </w:rPr>
        <w:t>应答无效</w:t>
      </w:r>
    </w:p>
    <w:p>
      <w:pPr>
        <w:tabs>
          <w:tab w:val="left" w:pos="-1080"/>
        </w:tabs>
        <w:ind w:firstLine="422" w:firstLineChars="200"/>
        <w:rPr>
          <w:rFonts w:ascii="宋体" w:hAnsi="宋体"/>
          <w:b/>
          <w:bCs/>
        </w:rPr>
      </w:pPr>
      <w:r>
        <w:rPr>
          <w:rFonts w:ascii="宋体" w:hAnsi="宋体"/>
          <w:b/>
          <w:bCs/>
          <w:highlight w:val="none"/>
        </w:rPr>
        <w:t>31</w:t>
      </w:r>
      <w:r>
        <w:rPr>
          <w:rFonts w:hint="eastAsia" w:ascii="宋体" w:hAnsi="宋体"/>
          <w:b/>
          <w:bCs/>
          <w:highlight w:val="none"/>
        </w:rPr>
        <w:t>.1有下列情形之一的，该供应商的谈判作应答无效处理</w:t>
      </w:r>
      <w:r>
        <w:rPr>
          <w:rFonts w:hint="eastAsia" w:ascii="宋体" w:hAnsi="宋体"/>
          <w:b/>
          <w:bCs/>
        </w:rPr>
        <w:t>：</w:t>
      </w:r>
    </w:p>
    <w:p>
      <w:pPr>
        <w:tabs>
          <w:tab w:val="left" w:pos="-1080"/>
        </w:tabs>
        <w:ind w:firstLine="422" w:firstLineChars="200"/>
        <w:rPr>
          <w:rFonts w:ascii="宋体" w:hAnsi="宋体"/>
          <w:b/>
        </w:rPr>
      </w:pPr>
      <w:r>
        <w:rPr>
          <w:rFonts w:hint="eastAsia" w:ascii="宋体" w:hAnsi="宋体"/>
          <w:b/>
        </w:rPr>
        <w:t>具体内容见</w:t>
      </w:r>
      <w:r>
        <w:rPr>
          <w:rFonts w:hint="eastAsia"/>
        </w:rPr>
        <w:t>《</w:t>
      </w:r>
      <w:r>
        <w:rPr>
          <w:rFonts w:hint="eastAsia"/>
          <w:b/>
          <w:bCs/>
        </w:rPr>
        <w:t>资格性审查表</w:t>
      </w:r>
      <w:r>
        <w:rPr>
          <w:rFonts w:hint="eastAsia"/>
        </w:rPr>
        <w:t>》、</w:t>
      </w:r>
      <w:r>
        <w:rPr>
          <w:rFonts w:hint="eastAsia" w:ascii="宋体" w:hAnsi="宋体"/>
          <w:b/>
        </w:rPr>
        <w:t>《符合性审查表》。</w:t>
      </w:r>
    </w:p>
    <w:p>
      <w:pPr>
        <w:tabs>
          <w:tab w:val="left" w:pos="-1080"/>
        </w:tabs>
        <w:ind w:firstLine="422" w:firstLineChars="200"/>
        <w:rPr>
          <w:rFonts w:hint="eastAsia" w:ascii="宋体" w:hAnsi="宋体"/>
          <w:b/>
        </w:rPr>
      </w:pPr>
      <w:bookmarkStart w:id="68" w:name="_Hlk72665028"/>
      <w:r>
        <w:rPr>
          <w:rFonts w:hint="eastAsia" w:ascii="宋体" w:hAnsi="宋体"/>
          <w:b/>
        </w:rPr>
        <w:t>注：《资格性审查表》、《符合性审查表》的所有条款均为应答无效条款，对不属于应答无效条款所列的其它情形，除法律法规另有规定外，不得作为应答无效的理由。供应商若有一条审查不通过则按应答无效处理。</w:t>
      </w:r>
      <w:bookmarkEnd w:id="68"/>
    </w:p>
    <w:p>
      <w:pPr>
        <w:rPr>
          <w:rFonts w:ascii="黑体" w:hAnsi="宋体" w:eastAsia="黑体"/>
          <w:sz w:val="24"/>
        </w:rPr>
      </w:pPr>
      <w:r>
        <w:rPr>
          <w:rFonts w:ascii="黑体" w:hAnsi="宋体" w:eastAsia="黑体"/>
          <w:sz w:val="24"/>
        </w:rPr>
        <w:t>32.</w:t>
      </w:r>
      <w:bookmarkEnd w:id="67"/>
      <w:r>
        <w:rPr>
          <w:rFonts w:hint="eastAsia" w:ascii="黑体" w:hAnsi="宋体" w:eastAsia="黑体"/>
          <w:sz w:val="24"/>
        </w:rPr>
        <w:t>成交</w:t>
      </w:r>
    </w:p>
    <w:p>
      <w:pPr>
        <w:tabs>
          <w:tab w:val="left" w:pos="-1080"/>
        </w:tabs>
        <w:ind w:firstLine="420" w:firstLineChars="200"/>
        <w:rPr>
          <w:rFonts w:ascii="宋体" w:hAnsi="宋体"/>
        </w:rPr>
      </w:pPr>
      <w:r>
        <w:rPr>
          <w:rFonts w:ascii="宋体" w:hAnsi="宋体"/>
        </w:rPr>
        <w:t>32</w:t>
      </w:r>
      <w:r>
        <w:rPr>
          <w:rFonts w:hint="eastAsia" w:ascii="宋体" w:hAnsi="宋体"/>
        </w:rPr>
        <w:t>.1谈判小组依据本须知对谈判应答文件进行评审和比较，综合各家供应商最终的方案、服务和投资等谈判结果并按最低价法/综合评分法[以评审信息为准]进行评审。</w:t>
      </w:r>
      <w:bookmarkStart w:id="69" w:name="评标方法3"/>
    </w:p>
    <w:p>
      <w:pPr>
        <w:tabs>
          <w:tab w:val="left" w:pos="-1080"/>
        </w:tabs>
        <w:ind w:firstLine="420" w:firstLineChars="200"/>
        <w:rPr>
          <w:rFonts w:ascii="宋体" w:hAnsi="宋体"/>
        </w:rPr>
      </w:pPr>
      <w:r>
        <w:rPr>
          <w:rFonts w:ascii="宋体" w:hAnsi="宋体"/>
        </w:rPr>
        <w:t>最低价法，是指</w:t>
      </w:r>
      <w:r>
        <w:rPr>
          <w:rFonts w:hint="eastAsia" w:ascii="宋体" w:hAnsi="宋体"/>
        </w:rPr>
        <w:t>应答文件</w:t>
      </w:r>
      <w:r>
        <w:rPr>
          <w:rFonts w:ascii="宋体" w:hAnsi="宋体"/>
        </w:rPr>
        <w:t>满足</w:t>
      </w:r>
      <w:r>
        <w:rPr>
          <w:rFonts w:hint="eastAsia" w:ascii="宋体" w:hAnsi="宋体"/>
        </w:rPr>
        <w:t>谈判</w:t>
      </w:r>
      <w:r>
        <w:rPr>
          <w:rFonts w:ascii="宋体" w:hAnsi="宋体"/>
        </w:rPr>
        <w:t>文件实质性要求，</w:t>
      </w:r>
      <w:r>
        <w:rPr>
          <w:rFonts w:hint="eastAsia" w:ascii="宋体" w:hAnsi="宋体"/>
        </w:rPr>
        <w:t>按照报价由低到高的顺序，以报价最低的供应商作为成交供应商的评审方法。</w:t>
      </w:r>
    </w:p>
    <w:bookmarkEnd w:id="69"/>
    <w:p>
      <w:pPr>
        <w:tabs>
          <w:tab w:val="left" w:pos="-1080"/>
        </w:tabs>
        <w:ind w:firstLine="420" w:firstLineChars="200"/>
        <w:rPr>
          <w:rFonts w:ascii="宋体" w:hAnsi="宋体"/>
          <w:bCs/>
          <w:szCs w:val="21"/>
        </w:rPr>
      </w:pPr>
      <w:r>
        <w:rPr>
          <w:rFonts w:ascii="宋体" w:hAnsi="宋体"/>
        </w:rPr>
        <w:t>综合评分法，是指</w:t>
      </w:r>
      <w:r>
        <w:rPr>
          <w:rFonts w:hint="eastAsia" w:ascii="宋体" w:hAnsi="宋体"/>
        </w:rPr>
        <w:t>应答</w:t>
      </w:r>
      <w:r>
        <w:rPr>
          <w:rFonts w:ascii="宋体" w:hAnsi="宋体"/>
        </w:rPr>
        <w:t>文件满足</w:t>
      </w:r>
      <w:r>
        <w:rPr>
          <w:rFonts w:hint="eastAsia" w:ascii="宋体" w:hAnsi="宋体"/>
        </w:rPr>
        <w:t>谈判</w:t>
      </w:r>
      <w:r>
        <w:rPr>
          <w:rFonts w:ascii="宋体" w:hAnsi="宋体"/>
        </w:rPr>
        <w:t>文件全部实</w:t>
      </w:r>
      <w:r>
        <w:rPr>
          <w:szCs w:val="21"/>
        </w:rPr>
        <w:t>质性要求，且按照评审因素的量化指标评审得分最高的</w:t>
      </w:r>
      <w:r>
        <w:rPr>
          <w:rFonts w:hint="eastAsia"/>
          <w:szCs w:val="21"/>
        </w:rPr>
        <w:t>供应商</w:t>
      </w:r>
      <w:r>
        <w:rPr>
          <w:szCs w:val="21"/>
        </w:rPr>
        <w:t>为</w:t>
      </w:r>
      <w:r>
        <w:rPr>
          <w:rFonts w:hint="eastAsia"/>
          <w:szCs w:val="21"/>
        </w:rPr>
        <w:t>成交</w:t>
      </w:r>
      <w:r>
        <w:rPr>
          <w:rFonts w:hint="eastAsia" w:ascii="宋体" w:hAnsi="宋体"/>
          <w:bCs/>
          <w:szCs w:val="21"/>
        </w:rPr>
        <w:t>候选</w:t>
      </w:r>
      <w:r>
        <w:rPr>
          <w:rFonts w:hint="eastAsia"/>
          <w:szCs w:val="21"/>
        </w:rPr>
        <w:t>供应商</w:t>
      </w:r>
      <w:r>
        <w:rPr>
          <w:szCs w:val="21"/>
        </w:rPr>
        <w:t>的评</w:t>
      </w:r>
      <w:r>
        <w:rPr>
          <w:rFonts w:hint="eastAsia"/>
          <w:szCs w:val="21"/>
        </w:rPr>
        <w:t>审</w:t>
      </w:r>
      <w:r>
        <w:rPr>
          <w:szCs w:val="21"/>
        </w:rPr>
        <w:t>方法。</w:t>
      </w:r>
    </w:p>
    <w:p>
      <w:pPr>
        <w:tabs>
          <w:tab w:val="left" w:pos="-1080"/>
        </w:tabs>
        <w:ind w:firstLine="420" w:firstLineChars="200"/>
        <w:rPr>
          <w:rFonts w:ascii="宋体" w:hAnsi="宋体"/>
        </w:rPr>
      </w:pPr>
      <w:r>
        <w:rPr>
          <w:rFonts w:ascii="宋体" w:hAnsi="宋体"/>
        </w:rPr>
        <w:t>32</w:t>
      </w:r>
      <w:r>
        <w:rPr>
          <w:rFonts w:hint="eastAsia" w:ascii="宋体" w:hAnsi="宋体"/>
        </w:rPr>
        <w:t>.2谈判小组向</w:t>
      </w:r>
      <w:r>
        <w:rPr>
          <w:rFonts w:hint="eastAsia" w:ascii="宋体" w:hAnsi="宋体"/>
          <w:lang w:eastAsia="zh-CN"/>
        </w:rPr>
        <w:t>代理机构</w:t>
      </w:r>
      <w:r>
        <w:rPr>
          <w:rFonts w:hint="eastAsia" w:ascii="宋体" w:hAnsi="宋体"/>
        </w:rPr>
        <w:t>提交书面评审报告，并受采购人委托直接确定成交供应商。</w:t>
      </w:r>
    </w:p>
    <w:p>
      <w:pPr>
        <w:rPr>
          <w:rFonts w:ascii="黑体" w:hAnsi="宋体" w:eastAsia="黑体"/>
          <w:sz w:val="24"/>
        </w:rPr>
      </w:pPr>
      <w:r>
        <w:rPr>
          <w:rFonts w:ascii="黑体" w:hAnsi="宋体" w:eastAsia="黑体"/>
          <w:sz w:val="24"/>
        </w:rPr>
        <w:t>33</w:t>
      </w:r>
      <w:r>
        <w:rPr>
          <w:rFonts w:hint="eastAsia" w:ascii="黑体" w:hAnsi="宋体" w:eastAsia="黑体"/>
          <w:sz w:val="24"/>
        </w:rPr>
        <w:t>.谈判结果公示</w:t>
      </w:r>
    </w:p>
    <w:p>
      <w:pPr>
        <w:ind w:firstLine="411" w:firstLineChars="196"/>
        <w:rPr>
          <w:rFonts w:ascii="宋体" w:hAnsi="宋体"/>
          <w:szCs w:val="21"/>
        </w:rPr>
      </w:pPr>
      <w:r>
        <w:rPr>
          <w:rFonts w:ascii="宋体" w:hAnsi="宋体"/>
        </w:rPr>
        <w:t>33</w:t>
      </w:r>
      <w:r>
        <w:rPr>
          <w:rFonts w:hint="eastAsia" w:ascii="宋体" w:hAnsi="宋体"/>
        </w:rPr>
        <w:t>.1</w:t>
      </w:r>
      <w:r>
        <w:rPr>
          <w:rFonts w:hint="eastAsia" w:ascii="宋体" w:hAnsi="宋体"/>
          <w:szCs w:val="21"/>
        </w:rPr>
        <w:t>为体现“公开、公平、公正”的原则，谈判结束后经采购人确认评审结果，</w:t>
      </w:r>
      <w:r>
        <w:rPr>
          <w:rFonts w:hint="eastAsia" w:ascii="宋体" w:hAnsi="宋体"/>
          <w:szCs w:val="21"/>
          <w:lang w:eastAsia="zh-CN"/>
        </w:rPr>
        <w:t>代理机构</w:t>
      </w:r>
      <w:r>
        <w:rPr>
          <w:rFonts w:hint="eastAsia" w:ascii="宋体" w:hAnsi="宋体"/>
          <w:szCs w:val="21"/>
        </w:rPr>
        <w:t>将在“深圳市自行采购系统（https://trade.szggzy.com/ggzy/center/#/login）”上发布成交结果公告。供应商如对评审结果有异议，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lang w:eastAsia="zh-CN"/>
        </w:rPr>
        <w:t>代理机构</w:t>
      </w:r>
      <w:r>
        <w:rPr>
          <w:rFonts w:ascii="宋体" w:hAnsi="宋体"/>
          <w:szCs w:val="21"/>
        </w:rPr>
        <w:t xml:space="preserve">提出。 </w:t>
      </w:r>
      <w:r>
        <w:rPr>
          <w:rFonts w:hint="eastAsia" w:ascii="宋体" w:hAnsi="宋体"/>
          <w:szCs w:val="21"/>
        </w:rPr>
        <w:t>监督电话：0755-83948143</w:t>
      </w:r>
      <w:r>
        <w:rPr>
          <w:rFonts w:ascii="宋体" w:hAnsi="宋体"/>
          <w:szCs w:val="21"/>
        </w:rPr>
        <w:t>。</w:t>
      </w:r>
      <w:r>
        <w:rPr>
          <w:rFonts w:hint="eastAsia" w:ascii="宋体" w:hAnsi="宋体"/>
          <w:szCs w:val="21"/>
        </w:rPr>
        <w:t>若在公示期内未提出质疑，则视为认同该评审结果。</w:t>
      </w:r>
    </w:p>
    <w:p>
      <w:pPr>
        <w:tabs>
          <w:tab w:val="left" w:pos="-1080"/>
        </w:tabs>
        <w:ind w:firstLine="420" w:firstLineChars="200"/>
        <w:rPr>
          <w:rFonts w:ascii="宋体" w:hAnsi="宋体"/>
        </w:rPr>
      </w:pPr>
      <w:r>
        <w:rPr>
          <w:rFonts w:ascii="宋体" w:hAnsi="宋体"/>
        </w:rPr>
        <w:t>33</w:t>
      </w:r>
      <w:r>
        <w:rPr>
          <w:rFonts w:hint="eastAsia" w:ascii="宋体" w:hAnsi="宋体"/>
        </w:rPr>
        <w:t>.2质疑、投诉供应商应保证质疑、投诉内容的真实性和可靠性，并承担相应的法律责任。</w:t>
      </w:r>
    </w:p>
    <w:p>
      <w:pPr>
        <w:rPr>
          <w:rFonts w:ascii="黑体" w:hAnsi="宋体" w:eastAsia="黑体"/>
          <w:sz w:val="24"/>
        </w:rPr>
      </w:pPr>
      <w:bookmarkStart w:id="70" w:name="_Toc78703971"/>
      <w:r>
        <w:rPr>
          <w:rFonts w:ascii="黑体" w:hAnsi="宋体" w:eastAsia="黑体"/>
          <w:sz w:val="24"/>
        </w:rPr>
        <w:t>34.</w:t>
      </w:r>
      <w:r>
        <w:rPr>
          <w:rFonts w:hint="eastAsia" w:ascii="黑体" w:hAnsi="宋体" w:eastAsia="黑体"/>
          <w:sz w:val="24"/>
        </w:rPr>
        <w:t>成交通知书</w:t>
      </w:r>
      <w:bookmarkEnd w:id="70"/>
    </w:p>
    <w:p>
      <w:pPr>
        <w:ind w:firstLine="411" w:firstLineChars="196"/>
        <w:rPr>
          <w:rFonts w:ascii="宋体" w:hAnsi="宋体"/>
          <w:szCs w:val="21"/>
        </w:rPr>
      </w:pPr>
      <w:r>
        <w:rPr>
          <w:rFonts w:ascii="宋体" w:hAnsi="宋体"/>
        </w:rPr>
        <w:t>34</w:t>
      </w:r>
      <w:r>
        <w:rPr>
          <w:rFonts w:hint="eastAsia" w:ascii="宋体" w:hAnsi="宋体"/>
        </w:rPr>
        <w:t>.1采购结果公告公布以后,</w:t>
      </w:r>
      <w:r>
        <w:rPr>
          <w:rFonts w:hint="eastAsia" w:ascii="宋体" w:hAnsi="宋体"/>
          <w:szCs w:val="21"/>
        </w:rPr>
        <w:t xml:space="preserve"> 公示期内无有效质疑投诉,成交供应商和采购人可自行在“深圳市自行采购系统（https://trade.szggzy.com/ggzy/center/#/login）”上打印</w:t>
      </w:r>
      <w:r>
        <w:rPr>
          <w:rFonts w:hint="eastAsia" w:ascii="宋体" w:hAnsi="宋体"/>
          <w:b/>
          <w:szCs w:val="21"/>
        </w:rPr>
        <w:t>《数字中标（成交）通知书》</w:t>
      </w:r>
      <w:r>
        <w:rPr>
          <w:rFonts w:hint="eastAsia" w:ascii="宋体" w:hAnsi="宋体"/>
          <w:szCs w:val="21"/>
        </w:rPr>
        <w:t>。</w:t>
      </w:r>
    </w:p>
    <w:p>
      <w:pPr>
        <w:ind w:firstLine="411" w:firstLineChars="196"/>
        <w:rPr>
          <w:rFonts w:ascii="宋体" w:hAnsi="宋体"/>
          <w:szCs w:val="21"/>
        </w:rPr>
      </w:pPr>
      <w:r>
        <w:rPr>
          <w:rFonts w:ascii="宋体" w:hAnsi="宋体"/>
          <w:szCs w:val="21"/>
        </w:rPr>
        <w:t>34.2</w:t>
      </w:r>
      <w:r>
        <w:rPr>
          <w:rFonts w:hint="eastAsia" w:ascii="宋体" w:hAnsi="宋体"/>
          <w:szCs w:val="21"/>
        </w:rPr>
        <w:t>成交通知书是合同的重要组成部分。</w:t>
      </w:r>
    </w:p>
    <w:p>
      <w:pPr>
        <w:ind w:firstLine="411" w:firstLineChars="196"/>
        <w:rPr>
          <w:rFonts w:ascii="宋体" w:hAnsi="宋体"/>
          <w:szCs w:val="21"/>
        </w:rPr>
      </w:pPr>
      <w:r>
        <w:rPr>
          <w:rFonts w:ascii="宋体" w:hAnsi="宋体"/>
          <w:szCs w:val="21"/>
        </w:rPr>
        <w:t>34</w:t>
      </w:r>
      <w:r>
        <w:rPr>
          <w:rFonts w:hint="eastAsia" w:ascii="宋体" w:hAnsi="宋体"/>
          <w:szCs w:val="21"/>
        </w:rPr>
        <w:t>.3因质疑投诉或其它原因导致项目结果变更或采购终止的，</w:t>
      </w:r>
      <w:r>
        <w:rPr>
          <w:rFonts w:hint="eastAsia" w:ascii="宋体" w:hAnsi="宋体"/>
          <w:szCs w:val="21"/>
          <w:lang w:eastAsia="zh-CN"/>
        </w:rPr>
        <w:t>代理机构</w:t>
      </w:r>
      <w:r>
        <w:rPr>
          <w:rFonts w:hint="eastAsia" w:ascii="宋体" w:hAnsi="宋体"/>
          <w:szCs w:val="21"/>
        </w:rPr>
        <w:t>有权吊销成交通知书。</w:t>
      </w:r>
    </w:p>
    <w:p>
      <w:pPr>
        <w:ind w:firstLine="411" w:firstLineChars="196"/>
        <w:rPr>
          <w:rFonts w:ascii="宋体" w:hAnsi="宋体"/>
          <w:szCs w:val="21"/>
        </w:rPr>
      </w:pPr>
    </w:p>
    <w:p>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七、合同的授予与备案</w:t>
      </w:r>
    </w:p>
    <w:p>
      <w:pPr>
        <w:rPr>
          <w:rFonts w:ascii="黑体" w:hAnsi="宋体" w:eastAsia="黑体"/>
          <w:sz w:val="24"/>
        </w:rPr>
      </w:pPr>
      <w:bookmarkStart w:id="71" w:name="_Toc73521674"/>
      <w:bookmarkStart w:id="72" w:name="_Toc73518157"/>
      <w:bookmarkStart w:id="73" w:name="_Toc100052408"/>
      <w:bookmarkStart w:id="74" w:name="_Toc73517679"/>
      <w:bookmarkStart w:id="75" w:name="_Toc73521586"/>
      <w:r>
        <w:rPr>
          <w:rFonts w:ascii="黑体" w:hAnsi="宋体" w:eastAsia="黑体"/>
          <w:sz w:val="24"/>
        </w:rPr>
        <w:t>35</w:t>
      </w:r>
      <w:r>
        <w:rPr>
          <w:rFonts w:hint="eastAsia" w:ascii="黑体" w:hAnsi="宋体" w:eastAsia="黑体"/>
          <w:sz w:val="24"/>
        </w:rPr>
        <w:t>．合同授予标准</w:t>
      </w:r>
      <w:bookmarkEnd w:id="71"/>
      <w:bookmarkEnd w:id="72"/>
      <w:bookmarkEnd w:id="73"/>
      <w:bookmarkEnd w:id="74"/>
      <w:bookmarkEnd w:id="75"/>
    </w:p>
    <w:p>
      <w:pPr>
        <w:ind w:firstLine="411" w:firstLineChars="196"/>
        <w:rPr>
          <w:rFonts w:ascii="宋体" w:hAnsi="宋体"/>
          <w:szCs w:val="21"/>
        </w:rPr>
      </w:pPr>
      <w:r>
        <w:rPr>
          <w:rFonts w:hint="eastAsia" w:ascii="宋体" w:hAnsi="宋体"/>
          <w:szCs w:val="21"/>
        </w:rPr>
        <w:t>本项目的合同将授予经本谈判文件规定评审确定的成交供应商。</w:t>
      </w:r>
    </w:p>
    <w:p>
      <w:pPr>
        <w:rPr>
          <w:rFonts w:ascii="黑体" w:hAnsi="宋体" w:eastAsia="黑体"/>
          <w:sz w:val="24"/>
        </w:rPr>
      </w:pPr>
      <w:bookmarkStart w:id="76" w:name="_Toc73521587"/>
      <w:bookmarkStart w:id="77" w:name="_Toc73521675"/>
      <w:bookmarkStart w:id="78" w:name="_Toc73518158"/>
      <w:bookmarkStart w:id="79" w:name="_Toc73517680"/>
      <w:bookmarkStart w:id="80" w:name="_Toc100052409"/>
      <w:r>
        <w:rPr>
          <w:rFonts w:ascii="黑体" w:hAnsi="宋体" w:eastAsia="黑体"/>
          <w:sz w:val="24"/>
        </w:rPr>
        <w:t>36</w:t>
      </w:r>
      <w:r>
        <w:rPr>
          <w:rFonts w:hint="eastAsia" w:ascii="黑体" w:hAnsi="宋体" w:eastAsia="黑体"/>
          <w:sz w:val="24"/>
        </w:rPr>
        <w:t>．</w:t>
      </w:r>
      <w:bookmarkEnd w:id="76"/>
      <w:bookmarkEnd w:id="77"/>
      <w:bookmarkEnd w:id="78"/>
      <w:bookmarkEnd w:id="79"/>
      <w:bookmarkEnd w:id="80"/>
      <w:r>
        <w:rPr>
          <w:rFonts w:hint="eastAsia" w:ascii="黑体" w:hAnsi="宋体" w:eastAsia="黑体"/>
          <w:sz w:val="24"/>
        </w:rPr>
        <w:t>接受和拒绝任何或所有应答的权力</w:t>
      </w:r>
    </w:p>
    <w:p>
      <w:pPr>
        <w:ind w:firstLine="411" w:firstLineChars="196"/>
        <w:rPr>
          <w:rFonts w:ascii="宋体" w:hAnsi="宋体"/>
          <w:szCs w:val="21"/>
        </w:rPr>
      </w:pPr>
      <w:r>
        <w:rPr>
          <w:rFonts w:hint="eastAsia" w:ascii="宋体" w:hAnsi="宋体"/>
          <w:szCs w:val="21"/>
          <w:lang w:eastAsia="zh-CN"/>
        </w:rPr>
        <w:t>代理机构</w:t>
      </w:r>
      <w:r>
        <w:rPr>
          <w:rFonts w:hint="eastAsia" w:ascii="宋体" w:hAnsi="宋体"/>
          <w:szCs w:val="21"/>
        </w:rPr>
        <w:t>和采购人保留在谈判截止时间之前任何时候接受或拒绝任何应答或所有应答，以及宣布谈判无效的权力，对受影响的供应商不承担任何责任，也无义务向受影响的供应商解释采取这一行动的理由。</w:t>
      </w:r>
    </w:p>
    <w:p>
      <w:pPr>
        <w:rPr>
          <w:rFonts w:ascii="黑体" w:hAnsi="宋体" w:eastAsia="黑体"/>
          <w:sz w:val="24"/>
        </w:rPr>
      </w:pPr>
      <w:bookmarkStart w:id="81" w:name="_Toc73517682"/>
      <w:bookmarkStart w:id="82" w:name="_Toc73521677"/>
      <w:bookmarkStart w:id="83" w:name="_Toc73521589"/>
      <w:bookmarkStart w:id="84" w:name="_Toc100052410"/>
      <w:bookmarkStart w:id="85" w:name="_Toc73518160"/>
      <w:r>
        <w:rPr>
          <w:rFonts w:ascii="黑体" w:hAnsi="宋体" w:eastAsia="黑体"/>
          <w:sz w:val="24"/>
        </w:rPr>
        <w:t>37</w:t>
      </w:r>
      <w:r>
        <w:rPr>
          <w:rFonts w:hint="eastAsia" w:ascii="黑体" w:hAnsi="宋体" w:eastAsia="黑体"/>
          <w:sz w:val="24"/>
        </w:rPr>
        <w:t>．合同的签订</w:t>
      </w:r>
      <w:bookmarkEnd w:id="81"/>
      <w:bookmarkEnd w:id="82"/>
      <w:bookmarkEnd w:id="83"/>
      <w:bookmarkEnd w:id="84"/>
      <w:bookmarkEnd w:id="85"/>
    </w:p>
    <w:p>
      <w:pPr>
        <w:ind w:firstLine="411" w:firstLineChars="196"/>
        <w:rPr>
          <w:rFonts w:ascii="宋体" w:hAnsi="宋体"/>
          <w:szCs w:val="21"/>
        </w:rPr>
      </w:pPr>
      <w:r>
        <w:rPr>
          <w:rFonts w:ascii="宋体" w:hAnsi="宋体"/>
          <w:szCs w:val="21"/>
        </w:rPr>
        <w:t>37</w:t>
      </w:r>
      <w:r>
        <w:rPr>
          <w:rFonts w:hint="eastAsia" w:ascii="宋体" w:hAnsi="宋体"/>
          <w:szCs w:val="21"/>
        </w:rPr>
        <w:t>.1成交供应商将于成交通知书发出之日起十个工作日内，按照采购文件和谈判应答内容与采购人签订政府采购合同；合同的实质性内容应当符合谈判文件的规定；</w:t>
      </w:r>
    </w:p>
    <w:p>
      <w:pPr>
        <w:ind w:firstLine="411" w:firstLineChars="196"/>
        <w:rPr>
          <w:rFonts w:ascii="宋体" w:hAnsi="宋体"/>
          <w:szCs w:val="21"/>
        </w:rPr>
      </w:pPr>
      <w:r>
        <w:rPr>
          <w:rFonts w:ascii="宋体" w:hAnsi="宋体"/>
          <w:szCs w:val="21"/>
        </w:rPr>
        <w:t>37</w:t>
      </w:r>
      <w:r>
        <w:rPr>
          <w:rFonts w:hint="eastAsia" w:ascii="宋体" w:hAnsi="宋体"/>
          <w:szCs w:val="21"/>
        </w:rPr>
        <w:t>.2成交供应商如不按本通用条款第</w:t>
      </w:r>
      <w:r>
        <w:rPr>
          <w:rFonts w:ascii="宋体" w:hAnsi="宋体"/>
          <w:szCs w:val="21"/>
        </w:rPr>
        <w:t>37.1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ascii="宋体" w:hAnsi="宋体"/>
          <w:szCs w:val="21"/>
        </w:rPr>
        <w:t>37</w:t>
      </w:r>
      <w:r>
        <w:rPr>
          <w:rFonts w:hint="eastAsia" w:ascii="宋体" w:hAnsi="宋体"/>
          <w:szCs w:val="21"/>
        </w:rPr>
        <w:t>.3成交供应商应当按照合同约定履行义务，完成成交项目，不得将成交项目转让（转包）给他人。</w:t>
      </w:r>
    </w:p>
    <w:p>
      <w:pPr>
        <w:rPr>
          <w:rFonts w:ascii="黑体" w:hAnsi="宋体" w:eastAsia="黑体"/>
          <w:sz w:val="24"/>
        </w:rPr>
      </w:pPr>
      <w:bookmarkStart w:id="86" w:name="_Toc73521590"/>
      <w:bookmarkStart w:id="87" w:name="_Toc100052411"/>
      <w:bookmarkStart w:id="88" w:name="_Toc73521678"/>
      <w:bookmarkStart w:id="89" w:name="_Toc73518161"/>
      <w:bookmarkStart w:id="90" w:name="_Toc73517683"/>
      <w:r>
        <w:rPr>
          <w:rFonts w:ascii="黑体" w:hAnsi="宋体" w:eastAsia="黑体"/>
          <w:sz w:val="24"/>
        </w:rPr>
        <w:t>38</w:t>
      </w:r>
      <w:r>
        <w:rPr>
          <w:rFonts w:hint="eastAsia" w:ascii="黑体" w:hAnsi="宋体" w:eastAsia="黑体"/>
          <w:sz w:val="24"/>
        </w:rPr>
        <w:t>．履约担保</w:t>
      </w:r>
      <w:bookmarkEnd w:id="86"/>
      <w:bookmarkEnd w:id="87"/>
      <w:bookmarkEnd w:id="88"/>
      <w:bookmarkEnd w:id="89"/>
      <w:bookmarkEnd w:id="90"/>
    </w:p>
    <w:p>
      <w:pPr>
        <w:ind w:firstLine="411" w:firstLineChars="196"/>
        <w:rPr>
          <w:rFonts w:ascii="宋体" w:hAnsi="宋体"/>
          <w:szCs w:val="21"/>
        </w:rPr>
      </w:pPr>
      <w:r>
        <w:rPr>
          <w:rFonts w:ascii="宋体" w:hAnsi="宋体"/>
          <w:szCs w:val="21"/>
        </w:rPr>
        <w:t>38</w:t>
      </w:r>
      <w:r>
        <w:rPr>
          <w:rFonts w:hint="eastAsia" w:ascii="宋体" w:hAnsi="宋体"/>
          <w:szCs w:val="21"/>
        </w:rPr>
        <w:t>.1在签订项目合同的同时，成交供应商应按“对谈判须知条款的补充内容”中规定的金额向采购人提交履约担保；</w:t>
      </w:r>
    </w:p>
    <w:p>
      <w:pPr>
        <w:ind w:firstLine="411" w:firstLineChars="196"/>
        <w:rPr>
          <w:rFonts w:ascii="宋体" w:hAnsi="宋体"/>
          <w:szCs w:val="21"/>
        </w:rPr>
      </w:pPr>
      <w:r>
        <w:rPr>
          <w:rFonts w:ascii="宋体" w:hAnsi="宋体"/>
          <w:szCs w:val="21"/>
        </w:rPr>
        <w:t>38</w:t>
      </w:r>
      <w:r>
        <w:rPr>
          <w:rFonts w:hint="eastAsia" w:ascii="宋体" w:hAnsi="宋体"/>
          <w:szCs w:val="21"/>
        </w:rPr>
        <w:t>.2，允许供应商自主选择以支票、汇票、本票、保函等非现金方式提交履约担保；</w:t>
      </w:r>
      <w:r>
        <w:rPr>
          <w:rFonts w:hint="eastAsia"/>
        </w:rPr>
        <w:t>成交供应商</w:t>
      </w:r>
      <w:r>
        <w:t>提交履约</w:t>
      </w:r>
      <w:r>
        <w:rPr>
          <w:rFonts w:hint="eastAsia"/>
        </w:rPr>
        <w:t>担保不是</w:t>
      </w:r>
      <w:r>
        <w:t>合同签订的</w:t>
      </w:r>
      <w:r>
        <w:rPr>
          <w:rFonts w:hint="eastAsia"/>
        </w:rPr>
        <w:t>前提</w:t>
      </w:r>
      <w:r>
        <w:t>条件，不要求</w:t>
      </w:r>
      <w:r>
        <w:rPr>
          <w:rFonts w:hint="eastAsia"/>
        </w:rPr>
        <w:t>成交供应商</w:t>
      </w:r>
      <w:r>
        <w:t>提供除法律、法规明确规定外的其他担保</w:t>
      </w:r>
      <w:r>
        <w:rPr>
          <w:rFonts w:hint="eastAsia"/>
        </w:rPr>
        <w:t>。</w:t>
      </w:r>
    </w:p>
    <w:p>
      <w:pPr>
        <w:rPr>
          <w:rFonts w:ascii="黑体" w:hAnsi="宋体" w:eastAsia="黑体"/>
          <w:sz w:val="24"/>
        </w:rPr>
      </w:pPr>
      <w:r>
        <w:rPr>
          <w:rFonts w:ascii="黑体" w:hAnsi="宋体" w:eastAsia="黑体"/>
          <w:sz w:val="24"/>
        </w:rPr>
        <w:t>39</w:t>
      </w:r>
      <w:r>
        <w:rPr>
          <w:rFonts w:hint="eastAsia" w:ascii="黑体" w:hAnsi="宋体" w:eastAsia="黑体"/>
          <w:sz w:val="24"/>
        </w:rPr>
        <w:t>. 合同备案</w:t>
      </w:r>
    </w:p>
    <w:p>
      <w:pPr>
        <w:ind w:firstLine="411" w:firstLineChars="196"/>
        <w:rPr>
          <w:rFonts w:ascii="宋体" w:hAnsi="宋体"/>
          <w:szCs w:val="21"/>
        </w:rPr>
      </w:pPr>
      <w:r>
        <w:rPr>
          <w:rFonts w:hint="eastAsia" w:ascii="宋体" w:hAnsi="宋体"/>
          <w:szCs w:val="21"/>
        </w:rPr>
        <w:t>采购人与成交供应商应自成交通知书发出之日起10个工作日内签订政府采购合同，</w:t>
      </w:r>
      <w:r>
        <w:rPr>
          <w:rFonts w:hint="eastAsia" w:ascii="宋体" w:hAnsi="宋体"/>
          <w:szCs w:val="21"/>
          <w:lang w:val="en-US" w:eastAsia="zh-CN"/>
        </w:rPr>
        <w:t>并按财政部门规定提交备案。</w:t>
      </w:r>
    </w:p>
    <w:p>
      <w:pPr>
        <w:rPr>
          <w:rFonts w:ascii="黑体" w:hAnsi="宋体" w:eastAsia="黑体"/>
          <w:sz w:val="24"/>
        </w:rPr>
      </w:pPr>
      <w:r>
        <w:rPr>
          <w:rFonts w:hint="eastAsia" w:ascii="黑体" w:hAnsi="宋体" w:eastAsia="黑体"/>
          <w:sz w:val="24"/>
        </w:rPr>
        <w:t>4</w:t>
      </w:r>
      <w:r>
        <w:rPr>
          <w:rFonts w:ascii="黑体" w:hAnsi="宋体" w:eastAsia="黑体"/>
          <w:sz w:val="24"/>
        </w:rPr>
        <w:t>0</w:t>
      </w:r>
      <w:r>
        <w:rPr>
          <w:rFonts w:hint="eastAsia" w:ascii="黑体" w:hAnsi="宋体" w:eastAsia="黑体"/>
          <w:sz w:val="24"/>
        </w:rPr>
        <w:t>. 合同变更</w:t>
      </w:r>
    </w:p>
    <w:p>
      <w:pPr>
        <w:ind w:firstLine="411" w:firstLineChars="196"/>
        <w:rPr>
          <w:rFonts w:ascii="宋体" w:hAnsi="宋体"/>
          <w:szCs w:val="21"/>
        </w:rPr>
      </w:pPr>
      <w:bookmarkStart w:id="91" w:name="_Hlk72666335"/>
      <w:r>
        <w:rPr>
          <w:rFonts w:hint="eastAsia" w:ascii="宋体" w:hAnsi="宋体"/>
          <w:szCs w:val="21"/>
        </w:rPr>
        <w:t>合同变更事宜按</w:t>
      </w:r>
      <w:r>
        <w:rPr>
          <w:rFonts w:hint="eastAsia" w:ascii="宋体" w:hAnsi="宋体"/>
          <w:szCs w:val="21"/>
          <w:lang w:val="en-US" w:eastAsia="zh-CN"/>
        </w:rPr>
        <w:t>采购人内控制度及法规</w:t>
      </w:r>
      <w:r>
        <w:rPr>
          <w:rFonts w:hint="eastAsia" w:ascii="宋体" w:hAnsi="宋体"/>
          <w:szCs w:val="21"/>
        </w:rPr>
        <w:t>相关规定执行。</w:t>
      </w:r>
    </w:p>
    <w:p>
      <w:pPr>
        <w:rPr>
          <w:rFonts w:ascii="黑体" w:hAnsi="宋体" w:eastAsia="黑体"/>
          <w:sz w:val="24"/>
        </w:rPr>
      </w:pPr>
      <w:r>
        <w:rPr>
          <w:rFonts w:hint="eastAsia" w:ascii="黑体" w:hAnsi="宋体" w:eastAsia="黑体"/>
          <w:sz w:val="24"/>
        </w:rPr>
        <w:t>4</w:t>
      </w:r>
      <w:r>
        <w:rPr>
          <w:rFonts w:ascii="黑体" w:hAnsi="宋体" w:eastAsia="黑体"/>
          <w:sz w:val="24"/>
        </w:rPr>
        <w:t>1</w:t>
      </w:r>
      <w:r>
        <w:rPr>
          <w:rFonts w:hint="eastAsia" w:ascii="黑体" w:hAnsi="宋体" w:eastAsia="黑体"/>
          <w:sz w:val="24"/>
        </w:rPr>
        <w:t>. 项目验收</w:t>
      </w:r>
    </w:p>
    <w:p>
      <w:pPr>
        <w:widowControl/>
        <w:ind w:right="176" w:firstLine="420"/>
        <w:jc w:val="left"/>
        <w:rPr>
          <w:rFonts w:ascii="宋体" w:hAnsi="宋体"/>
        </w:rPr>
      </w:pPr>
      <w:r>
        <w:rPr>
          <w:rFonts w:hint="eastAsia" w:ascii="宋体" w:hAnsi="宋体"/>
        </w:rPr>
        <w:t>4</w:t>
      </w:r>
      <w:r>
        <w:rPr>
          <w:rFonts w:ascii="宋体" w:hAnsi="宋体"/>
        </w:rPr>
        <w:t>1</w:t>
      </w:r>
      <w:r>
        <w:rPr>
          <w:rFonts w:hint="eastAsia" w:ascii="宋体" w:hAnsi="宋体"/>
        </w:rPr>
        <w:t>.1采购人应当按照谈判文件和合同规定的标准和方法，及时组织验收。</w:t>
      </w:r>
      <w:r>
        <w:rPr>
          <w:rFonts w:ascii="宋体" w:hAnsi="宋体"/>
        </w:rPr>
        <w:t xml:space="preserve"> </w:t>
      </w:r>
    </w:p>
    <w:p>
      <w:pPr>
        <w:rPr>
          <w:rFonts w:ascii="黑体" w:hAnsi="宋体" w:eastAsia="黑体"/>
          <w:sz w:val="24"/>
        </w:rPr>
      </w:pPr>
      <w:r>
        <w:rPr>
          <w:rFonts w:ascii="黑体" w:hAnsi="宋体" w:eastAsia="黑体"/>
          <w:sz w:val="24"/>
        </w:rPr>
        <w:t>42</w:t>
      </w:r>
      <w:r>
        <w:rPr>
          <w:rFonts w:hint="eastAsia" w:ascii="黑体" w:hAnsi="宋体" w:eastAsia="黑体"/>
          <w:sz w:val="24"/>
        </w:rPr>
        <w:t>.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lang w:eastAsia="zh-CN"/>
        </w:rPr>
        <w:t>代理机构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ascii="黑体" w:hAnsi="宋体" w:eastAsia="黑体"/>
          <w:sz w:val="24"/>
        </w:rPr>
        <w:t>43</w:t>
      </w:r>
      <w:r>
        <w:rPr>
          <w:rFonts w:hint="eastAsia" w:ascii="黑体" w:hAnsi="宋体" w:eastAsia="黑体"/>
          <w:sz w:val="24"/>
        </w:rPr>
        <w:t>. 供应商违法责任</w:t>
      </w:r>
    </w:p>
    <w:p>
      <w:pPr>
        <w:ind w:firstLine="411" w:firstLineChars="196"/>
        <w:rPr>
          <w:rFonts w:ascii="宋体" w:hAnsi="宋体"/>
          <w:szCs w:val="21"/>
        </w:rPr>
      </w:pPr>
      <w:r>
        <w:rPr>
          <w:rFonts w:ascii="宋体" w:hAnsi="宋体"/>
          <w:szCs w:val="21"/>
        </w:rPr>
        <w:t>43.1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（5）与其他采购参加人串通投标（谈判）的；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ascii="宋体" w:hAnsi="宋体"/>
          <w:szCs w:val="21"/>
        </w:rPr>
        <w:t xml:space="preserve">43.2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w:t>
      </w:r>
      <w:bookmarkStart w:id="92" w:name="_Hlk72440717"/>
      <w:r>
        <w:rPr>
          <w:rFonts w:hint="eastAsia" w:ascii="宋体" w:hAnsi="宋体"/>
          <w:szCs w:val="21"/>
        </w:rPr>
        <w:t>第八十条所列情形的</w:t>
      </w:r>
      <w:bookmarkEnd w:id="92"/>
      <w:r>
        <w:rPr>
          <w:rFonts w:hint="eastAsia" w:ascii="宋体" w:hAnsi="宋体"/>
          <w:szCs w:val="21"/>
        </w:rPr>
        <w:t>，</w:t>
      </w:r>
      <w:r>
        <w:rPr>
          <w:rFonts w:hint="eastAsia" w:ascii="宋体" w:hAnsi="宋体"/>
          <w:szCs w:val="21"/>
          <w:lang w:eastAsia="zh-CN"/>
        </w:rPr>
        <w:t>代理机构</w:t>
      </w:r>
      <w:r>
        <w:rPr>
          <w:rFonts w:hint="eastAsia" w:ascii="宋体" w:hAnsi="宋体"/>
          <w:szCs w:val="21"/>
        </w:rPr>
        <w:t xml:space="preserve">或采购人不予退还其交纳的谈判保证金，情节严重的，并由主管部门记入供应商诚信档案，予以通报： </w:t>
      </w:r>
    </w:p>
    <w:p>
      <w:pPr>
        <w:ind w:firstLine="411" w:firstLineChars="19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w:t>
      </w:r>
      <w:r>
        <w:rPr>
          <w:rFonts w:ascii="宋体" w:hAnsi="宋体"/>
          <w:szCs w:val="21"/>
        </w:rPr>
        <w:t>截止</w:t>
      </w:r>
      <w:r>
        <w:rPr>
          <w:rFonts w:hint="eastAsia" w:ascii="宋体" w:hAnsi="宋体"/>
          <w:szCs w:val="21"/>
        </w:rPr>
        <w:t>时间</w:t>
      </w:r>
      <w:r>
        <w:rPr>
          <w:rFonts w:ascii="宋体" w:hAnsi="宋体"/>
          <w:szCs w:val="21"/>
        </w:rPr>
        <w:t>后，撤销</w:t>
      </w:r>
      <w:r>
        <w:rPr>
          <w:rFonts w:hint="eastAsia" w:ascii="宋体" w:hAnsi="宋体"/>
          <w:szCs w:val="21"/>
        </w:rPr>
        <w:t>应答</w:t>
      </w:r>
      <w:r>
        <w:rPr>
          <w:rFonts w:ascii="宋体" w:hAnsi="宋体"/>
          <w:szCs w:val="21"/>
        </w:rPr>
        <w:t>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成交</w:t>
      </w:r>
      <w:r>
        <w:rPr>
          <w:rFonts w:ascii="宋体" w:hAnsi="宋体"/>
          <w:szCs w:val="21"/>
        </w:rPr>
        <w:t>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w:t>
      </w:r>
      <w:r>
        <w:rPr>
          <w:rFonts w:hint="eastAsia" w:ascii="宋体" w:hAnsi="宋体"/>
          <w:szCs w:val="21"/>
        </w:rPr>
        <w:t>成交</w:t>
      </w:r>
      <w:r>
        <w:rPr>
          <w:rFonts w:ascii="宋体" w:hAnsi="宋体"/>
          <w:szCs w:val="21"/>
        </w:rPr>
        <w:t>项目转让给他人或者在</w:t>
      </w:r>
      <w:r>
        <w:rPr>
          <w:rFonts w:hint="eastAsia" w:ascii="宋体" w:hAnsi="宋体"/>
          <w:szCs w:val="21"/>
        </w:rPr>
        <w:t>应答</w:t>
      </w:r>
      <w:r>
        <w:rPr>
          <w:rFonts w:ascii="宋体" w:hAnsi="宋体"/>
          <w:szCs w:val="21"/>
        </w:rPr>
        <w:t>文件中未说明且未经采购人、</w:t>
      </w:r>
      <w:r>
        <w:rPr>
          <w:rFonts w:hint="eastAsia" w:ascii="宋体" w:hAnsi="宋体"/>
          <w:szCs w:val="21"/>
          <w:lang w:eastAsia="zh-CN"/>
        </w:rPr>
        <w:t>代理机构</w:t>
      </w:r>
      <w:r>
        <w:rPr>
          <w:rFonts w:ascii="宋体" w:hAnsi="宋体"/>
          <w:szCs w:val="21"/>
        </w:rPr>
        <w:t>同意，将</w:t>
      </w:r>
      <w:r>
        <w:rPr>
          <w:rFonts w:hint="eastAsia" w:ascii="宋体" w:hAnsi="宋体"/>
          <w:szCs w:val="21"/>
        </w:rPr>
        <w:t>成交</w:t>
      </w:r>
      <w:r>
        <w:rPr>
          <w:rFonts w:ascii="宋体" w:hAnsi="宋体"/>
          <w:szCs w:val="21"/>
        </w:rPr>
        <w:t>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keepNext/>
        <w:keepLines/>
        <w:adjustRightInd w:val="0"/>
        <w:snapToGrid w:val="0"/>
        <w:jc w:val="center"/>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八、质疑处理</w:t>
      </w:r>
    </w:p>
    <w:p>
      <w:pPr>
        <w:rPr>
          <w:rFonts w:ascii="黑体" w:hAnsi="宋体" w:eastAsia="黑体"/>
          <w:sz w:val="24"/>
        </w:rPr>
      </w:pPr>
      <w:r>
        <w:rPr>
          <w:rFonts w:ascii="黑体" w:hAnsi="宋体" w:eastAsia="黑体"/>
          <w:sz w:val="24"/>
        </w:rPr>
        <w:t>44</w:t>
      </w:r>
      <w:r>
        <w:rPr>
          <w:rFonts w:hint="eastAsia" w:ascii="黑体" w:hAnsi="宋体" w:eastAsia="黑体"/>
          <w:sz w:val="24"/>
        </w:rPr>
        <w:t>.质疑提出与答复</w:t>
      </w:r>
    </w:p>
    <w:p>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w:t>
      </w:r>
      <w:r>
        <w:rPr>
          <w:rFonts w:hint="eastAsia" w:ascii="宋体" w:hAnsi="宋体"/>
          <w:szCs w:val="21"/>
          <w:lang w:eastAsia="zh-CN"/>
        </w:rPr>
        <w:t>代理机构</w:t>
      </w:r>
      <w:r>
        <w:rPr>
          <w:rFonts w:hint="eastAsia" w:ascii="宋体" w:hAnsi="宋体"/>
          <w:szCs w:val="21"/>
        </w:rPr>
        <w:t>以书面形式提出质疑。</w:t>
      </w:r>
    </w:p>
    <w:p>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ascii="宋体" w:hAnsi="宋体"/>
          <w:szCs w:val="21"/>
        </w:rPr>
        <w:t>44</w:t>
      </w:r>
      <w:r>
        <w:rPr>
          <w:rFonts w:hint="eastAsia" w:ascii="宋体" w:hAnsi="宋体"/>
          <w:szCs w:val="21"/>
        </w:rPr>
        <w:t>.3质疑条件</w:t>
      </w:r>
    </w:p>
    <w:p>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.3.1提出质疑的供应商应当是参与所质疑项目采购活动的供应商；</w:t>
      </w:r>
    </w:p>
    <w:p>
      <w:pPr>
        <w:rPr>
          <w:rFonts w:ascii="宋体" w:hAnsi="宋体"/>
          <w:szCs w:val="21"/>
        </w:rPr>
      </w:pPr>
      <w:r>
        <w:rPr>
          <w:rFonts w:hint="eastAsia" w:ascii="宋体" w:hAnsi="宋体"/>
          <w:szCs w:val="21"/>
        </w:rPr>
        <w:t xml:space="preserve">    </w:t>
      </w:r>
      <w:bookmarkStart w:id="93" w:name="_Hlk72666302"/>
      <w:r>
        <w:rPr>
          <w:rFonts w:ascii="宋体" w:hAnsi="宋体"/>
          <w:szCs w:val="21"/>
        </w:rPr>
        <w:t>44</w:t>
      </w:r>
      <w:r>
        <w:rPr>
          <w:rFonts w:hint="eastAsia" w:ascii="宋体" w:hAnsi="宋体"/>
          <w:szCs w:val="21"/>
        </w:rPr>
        <w:t>.3.2应当在法定质疑期内一次性提出针对同一采购程序环节的质疑，法定质疑期为自知道或应当知道权益受到损害之日起7个工作日内。应当知道其权益受到损害之日是指：对招标（谈判）文件的质疑，为招标（谈判）文件公布之日；对采购过程的质疑，为各采购程序环节结束之日；对中标(成交)结果以及评审委员会（谈判小组）组成人员的质疑，为中标（成交）结果公示之日；</w:t>
      </w:r>
      <w:bookmarkEnd w:id="93"/>
    </w:p>
    <w:p>
      <w:pPr>
        <w:ind w:firstLine="420"/>
        <w:rPr>
          <w:rFonts w:ascii="宋体" w:hAnsi="宋体"/>
          <w:szCs w:val="21"/>
        </w:rPr>
      </w:pPr>
      <w:r>
        <w:rPr>
          <w:rFonts w:ascii="宋体" w:hAnsi="宋体"/>
          <w:szCs w:val="21"/>
        </w:rPr>
        <w:t>44</w:t>
      </w:r>
      <w:r>
        <w:rPr>
          <w:rFonts w:hint="eastAsia" w:ascii="宋体" w:hAnsi="宋体"/>
          <w:szCs w:val="21"/>
        </w:rPr>
        <w:t>.3.3应提交书面质疑函，质疑函应当包括以下内容：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ascii="宋体" w:hAnsi="宋体"/>
          <w:szCs w:val="21"/>
        </w:rPr>
        <w:t>44</w:t>
      </w:r>
      <w:r>
        <w:rPr>
          <w:rFonts w:hint="eastAsia" w:ascii="宋体" w:hAnsi="宋体"/>
          <w:szCs w:val="21"/>
        </w:rPr>
        <w:t>.4提交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ascii="宋体" w:hAnsi="宋体"/>
          <w:szCs w:val="21"/>
        </w:rPr>
        <w:t>44</w:t>
      </w:r>
      <w:r>
        <w:rPr>
          <w:rFonts w:hint="eastAsia" w:ascii="宋体" w:hAnsi="宋体"/>
          <w:szCs w:val="21"/>
        </w:rPr>
        <w:t>.5收文地点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eastAsia="zh-CN"/>
        </w:rPr>
        <w:t>政府采购业务分公司</w:t>
      </w:r>
      <w:r>
        <w:rPr>
          <w:rFonts w:hint="eastAsia" w:ascii="宋体" w:hAnsi="宋体"/>
          <w:b/>
          <w:bCs/>
          <w:szCs w:val="21"/>
        </w:rPr>
        <w:t>）深圳市南山区沙河西路3185号南山智谷A座（深圳交易集团总部大楼）27楼，质疑咨询电话：0755-86500050。</w:t>
      </w:r>
    </w:p>
    <w:p>
      <w:pPr>
        <w:ind w:firstLine="420" w:firstLineChars="200"/>
        <w:rPr>
          <w:rFonts w:ascii="宋体" w:hAnsi="宋体"/>
          <w:szCs w:val="21"/>
        </w:rPr>
      </w:pPr>
      <w:r>
        <w:rPr>
          <w:rFonts w:ascii="宋体" w:hAnsi="宋体"/>
          <w:szCs w:val="21"/>
        </w:rPr>
        <w:t>44</w:t>
      </w:r>
      <w:r>
        <w:rPr>
          <w:rFonts w:hint="eastAsia" w:ascii="宋体" w:hAnsi="宋体"/>
          <w:szCs w:val="21"/>
        </w:rPr>
        <w:t>.6收文办理</w:t>
      </w:r>
      <w:r>
        <w:rPr>
          <w:rFonts w:ascii="宋体" w:hAnsi="宋体"/>
          <w:szCs w:val="21"/>
        </w:rPr>
        <w:t>程序</w:t>
      </w:r>
    </w:p>
    <w:p>
      <w:pPr>
        <w:ind w:firstLine="420" w:firstLineChars="200"/>
        <w:rPr>
          <w:rFonts w:ascii="宋体" w:hAnsi="宋体"/>
          <w:szCs w:val="21"/>
        </w:rPr>
      </w:pPr>
      <w:r>
        <w:rPr>
          <w:rFonts w:ascii="宋体" w:hAnsi="宋体"/>
          <w:szCs w:val="21"/>
        </w:rPr>
        <w:t>44</w:t>
      </w:r>
      <w:r>
        <w:rPr>
          <w:rFonts w:hint="eastAsia" w:ascii="宋体" w:hAnsi="宋体"/>
          <w:szCs w:val="21"/>
        </w:rPr>
        <w:t>.6.1供应商提交的质疑符合受理条件的，</w:t>
      </w:r>
      <w:r>
        <w:rPr>
          <w:rFonts w:hint="eastAsia" w:ascii="宋体" w:hAnsi="宋体"/>
          <w:szCs w:val="21"/>
          <w:lang w:eastAsia="zh-CN"/>
        </w:rPr>
        <w:t>代理机构</w:t>
      </w:r>
      <w:r>
        <w:rPr>
          <w:rFonts w:hint="eastAsia" w:ascii="宋体" w:hAnsi="宋体"/>
          <w:szCs w:val="21"/>
        </w:rPr>
        <w:t>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ascii="宋体" w:hAnsi="宋体"/>
          <w:szCs w:val="21"/>
        </w:rPr>
        <w:t>44</w:t>
      </w:r>
      <w:r>
        <w:rPr>
          <w:rFonts w:hint="eastAsia" w:ascii="宋体" w:hAnsi="宋体"/>
          <w:szCs w:val="21"/>
        </w:rPr>
        <w:t>.6.2供应商提交的质疑材料不符合质疑条件的，视情况处理：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w:t>
      </w:r>
      <w:r>
        <w:rPr>
          <w:rFonts w:hint="eastAsia" w:ascii="宋体" w:hAnsi="宋体"/>
          <w:szCs w:val="21"/>
          <w:lang w:eastAsia="zh-CN"/>
        </w:rPr>
        <w:t>代理机构</w:t>
      </w:r>
      <w:r>
        <w:rPr>
          <w:rFonts w:hint="eastAsia" w:ascii="宋体" w:hAnsi="宋体"/>
          <w:szCs w:val="21"/>
        </w:rPr>
        <w:t>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w:t>
      </w:r>
      <w:r>
        <w:rPr>
          <w:rFonts w:hint="eastAsia" w:ascii="宋体" w:hAnsi="宋体"/>
          <w:szCs w:val="21"/>
          <w:lang w:eastAsia="zh-CN"/>
        </w:rPr>
        <w:t>代理机构</w:t>
      </w:r>
      <w:r>
        <w:rPr>
          <w:rFonts w:hint="eastAsia" w:ascii="宋体" w:hAnsi="宋体"/>
          <w:szCs w:val="21"/>
        </w:rPr>
        <w:t>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w:t>
      </w:r>
      <w:r>
        <w:rPr>
          <w:rFonts w:ascii="宋体" w:hAnsi="宋体"/>
          <w:szCs w:val="21"/>
        </w:rPr>
        <w:t>44</w:t>
      </w:r>
      <w:r>
        <w:rPr>
          <w:rFonts w:hint="eastAsia" w:ascii="宋体" w:hAnsi="宋体"/>
          <w:szCs w:val="21"/>
        </w:rPr>
        <w:t>.7质疑答复时限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w:t>
      </w:r>
      <w:r>
        <w:rPr>
          <w:rFonts w:ascii="宋体" w:hAnsi="宋体"/>
          <w:szCs w:val="21"/>
        </w:rPr>
        <w:t>44</w:t>
      </w:r>
      <w:r>
        <w:rPr>
          <w:rFonts w:hint="eastAsia" w:ascii="宋体" w:hAnsi="宋体"/>
          <w:szCs w:val="21"/>
        </w:rPr>
        <w:t>.8投诉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ascii="黑体" w:hAnsi="宋体" w:eastAsia="黑体"/>
          <w:sz w:val="24"/>
        </w:rPr>
        <w:t>45</w:t>
      </w:r>
      <w:r>
        <w:rPr>
          <w:rFonts w:hint="eastAsia" w:ascii="黑体" w:hAnsi="宋体" w:eastAsia="黑体"/>
          <w:sz w:val="24"/>
        </w:rPr>
        <w:t>. 质疑后续处理</w:t>
      </w:r>
    </w:p>
    <w:p>
      <w:pPr>
        <w:rPr>
          <w:rFonts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.1供应商质疑不成立，或者成立但未对中标、成交结果构成影响的，继续开展采购活动。</w:t>
      </w:r>
    </w:p>
    <w:p>
      <w:pPr>
        <w:rPr>
          <w:rFonts w:ascii="宋体" w:hAnsi="宋体"/>
          <w:szCs w:val="21"/>
        </w:rPr>
      </w:pPr>
      <w:r>
        <w:rPr>
          <w:rFonts w:hint="eastAsia" w:ascii="宋体" w:hAnsi="宋体"/>
          <w:szCs w:val="21"/>
        </w:rPr>
        <w:t xml:space="preserve">    </w:t>
      </w:r>
      <w:r>
        <w:rPr>
          <w:rFonts w:ascii="宋体" w:hAnsi="宋体"/>
          <w:szCs w:val="21"/>
        </w:rPr>
        <w:t>45</w:t>
      </w:r>
      <w:r>
        <w:rPr>
          <w:rFonts w:hint="eastAsia" w:ascii="宋体" w:hAnsi="宋体"/>
          <w:szCs w:val="21"/>
        </w:rPr>
        <w:t>.2供应商质疑成立且影响或者可能影响中标、成交结果的，按照下列情况处理：（1）对谈判文件提出的质疑，依法通过澄清或者修改可以继续开展采购活动的，澄清或者修改谈判文件后继续开展采购活动；否则应当修改谈判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End w:id="91"/>
    </w:p>
    <w:p>
      <w:pPr>
        <w:jc w:val="center"/>
      </w:pPr>
      <w:r>
        <w:t>---- END ----</w:t>
      </w:r>
    </w:p>
    <w:p>
      <w:pPr>
        <w:spacing w:line="360" w:lineRule="auto"/>
        <w:ind w:firstLine="560"/>
        <w:jc w:val="left"/>
      </w:pPr>
    </w:p>
    <w:p>
      <w:pPr>
        <w:spacing w:line="360" w:lineRule="auto"/>
        <w:ind w:firstLine="0"/>
        <w:jc w:val="left"/>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t xml:space="preserve">- </w:t>
    </w:r>
    <w:r>
      <w:fldChar w:fldCharType="begin"/>
    </w:r>
    <w:r>
      <w:instrText xml:space="preserve"> PAGE </w:instrText>
    </w:r>
    <w:r>
      <w:fldChar w:fldCharType="separate"/>
    </w:r>
    <w:r>
      <w:t>41</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5</w:t>
    </w:r>
    <w:r>
      <w:rPr>
        <w:rStyle w:val="48"/>
      </w:rP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FFF7C"/>
    <w:multiLevelType w:val="singleLevel"/>
    <w:tmpl w:val="FFFFFF7C"/>
    <w:lvl w:ilvl="0" w:tentative="0">
      <w:start w:val="1"/>
      <w:numFmt w:val="decimal"/>
      <w:pStyle w:val="59"/>
      <w:lvlText w:val="%1."/>
      <w:lvlJc w:val="left"/>
      <w:pPr>
        <w:tabs>
          <w:tab w:val="left" w:pos="7994"/>
        </w:tabs>
        <w:ind w:left="7994" w:leftChars="800" w:hanging="360" w:hangingChars="200"/>
      </w:pPr>
    </w:lvl>
  </w:abstractNum>
  <w:abstractNum w:abstractNumId="8">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9">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60D20D0"/>
    <w:multiLevelType w:val="multilevel"/>
    <w:tmpl w:val="160D20D0"/>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bullet"/>
      <w:pStyle w:val="7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19212E70"/>
    <w:multiLevelType w:val="singleLevel"/>
    <w:tmpl w:val="19212E70"/>
    <w:lvl w:ilvl="0" w:tentative="0">
      <w:start w:val="1"/>
      <w:numFmt w:val="chineseCounting"/>
      <w:suff w:val="nothing"/>
      <w:lvlText w:val="（%1）"/>
      <w:lvlJc w:val="left"/>
      <w:pPr>
        <w:ind w:left="-2" w:firstLine="420"/>
      </w:pPr>
      <w:rPr>
        <w:rFonts w:hint="eastAsia"/>
      </w:rPr>
    </w:lvl>
  </w:abstractNum>
  <w:abstractNum w:abstractNumId="12">
    <w:nsid w:val="2F395B7B"/>
    <w:multiLevelType w:val="multilevel"/>
    <w:tmpl w:val="2F395B7B"/>
    <w:lvl w:ilvl="0" w:tentative="0">
      <w:start w:val="1"/>
      <w:numFmt w:val="bullet"/>
      <w:pStyle w:val="167"/>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3">
    <w:nsid w:val="7A0F6431"/>
    <w:multiLevelType w:val="singleLevel"/>
    <w:tmpl w:val="7A0F6431"/>
    <w:lvl w:ilvl="0" w:tentative="0">
      <w:start w:val="1"/>
      <w:numFmt w:val="decimal"/>
      <w:suff w:val="space"/>
      <w:lvlText w:val="%1."/>
      <w:lvlJc w:val="left"/>
    </w:lvl>
  </w:abstractNum>
  <w:abstractNum w:abstractNumId="14">
    <w:nsid w:val="7AEF7716"/>
    <w:multiLevelType w:val="multilevel"/>
    <w:tmpl w:val="7AEF7716"/>
    <w:lvl w:ilvl="0" w:tentative="0">
      <w:start w:val="1"/>
      <w:numFmt w:val="chineseCountingThousand"/>
      <w:pStyle w:val="120"/>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7"/>
  </w:num>
  <w:num w:numId="3">
    <w:abstractNumId w:val="10"/>
  </w:num>
  <w:num w:numId="4">
    <w:abstractNumId w:val="9"/>
  </w:num>
  <w:num w:numId="5">
    <w:abstractNumId w:val="14"/>
  </w:num>
  <w:num w:numId="6">
    <w:abstractNumId w:val="12"/>
  </w:num>
  <w:num w:numId="7">
    <w:abstractNumId w:val="11"/>
  </w:num>
  <w:num w:numId="8">
    <w:abstractNumId w:val="0"/>
  </w:num>
  <w:num w:numId="9">
    <w:abstractNumId w:val="13"/>
  </w:num>
  <w:num w:numId="10">
    <w:abstractNumId w:val="2"/>
  </w:num>
  <w:num w:numId="11">
    <w:abstractNumId w:val="6"/>
  </w:num>
  <w:num w:numId="12">
    <w:abstractNumId w:val="4"/>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GFjNmZlNzA2YWU1MWNmYmI4ODU4NzgxNWNhYzkifQ=="/>
  </w:docVars>
  <w:rsids>
    <w:rsidRoot w:val="006C5683"/>
    <w:rsid w:val="00000AD9"/>
    <w:rsid w:val="000029CB"/>
    <w:rsid w:val="000043C0"/>
    <w:rsid w:val="00004F2D"/>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9DB"/>
    <w:rsid w:val="00026A57"/>
    <w:rsid w:val="00027645"/>
    <w:rsid w:val="000300AE"/>
    <w:rsid w:val="000300EE"/>
    <w:rsid w:val="000302B6"/>
    <w:rsid w:val="0003106D"/>
    <w:rsid w:val="00031700"/>
    <w:rsid w:val="00031F6E"/>
    <w:rsid w:val="0003277F"/>
    <w:rsid w:val="00032948"/>
    <w:rsid w:val="00032B0A"/>
    <w:rsid w:val="0003315D"/>
    <w:rsid w:val="00033578"/>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7EA"/>
    <w:rsid w:val="00056ADB"/>
    <w:rsid w:val="00056C11"/>
    <w:rsid w:val="00057302"/>
    <w:rsid w:val="00057332"/>
    <w:rsid w:val="00057D00"/>
    <w:rsid w:val="00060A3D"/>
    <w:rsid w:val="00060C1C"/>
    <w:rsid w:val="00060C6A"/>
    <w:rsid w:val="00061D20"/>
    <w:rsid w:val="0006267A"/>
    <w:rsid w:val="0006335B"/>
    <w:rsid w:val="0006352D"/>
    <w:rsid w:val="00063C25"/>
    <w:rsid w:val="00064892"/>
    <w:rsid w:val="00066026"/>
    <w:rsid w:val="0006660A"/>
    <w:rsid w:val="0006670C"/>
    <w:rsid w:val="00067960"/>
    <w:rsid w:val="0007003A"/>
    <w:rsid w:val="00070210"/>
    <w:rsid w:val="000707BF"/>
    <w:rsid w:val="00072B70"/>
    <w:rsid w:val="00072CB4"/>
    <w:rsid w:val="000734CD"/>
    <w:rsid w:val="00074403"/>
    <w:rsid w:val="000750DC"/>
    <w:rsid w:val="00075497"/>
    <w:rsid w:val="0007583C"/>
    <w:rsid w:val="00075E26"/>
    <w:rsid w:val="00076057"/>
    <w:rsid w:val="000770EC"/>
    <w:rsid w:val="00080613"/>
    <w:rsid w:val="00082667"/>
    <w:rsid w:val="00082AD2"/>
    <w:rsid w:val="00083DC6"/>
    <w:rsid w:val="00084857"/>
    <w:rsid w:val="000850AF"/>
    <w:rsid w:val="000852EB"/>
    <w:rsid w:val="000869D8"/>
    <w:rsid w:val="00086CA6"/>
    <w:rsid w:val="00090213"/>
    <w:rsid w:val="00092FC7"/>
    <w:rsid w:val="00093133"/>
    <w:rsid w:val="0009395E"/>
    <w:rsid w:val="00094C6E"/>
    <w:rsid w:val="000954D5"/>
    <w:rsid w:val="00095723"/>
    <w:rsid w:val="00095A74"/>
    <w:rsid w:val="0009618D"/>
    <w:rsid w:val="0009709B"/>
    <w:rsid w:val="000975E3"/>
    <w:rsid w:val="000A1DD1"/>
    <w:rsid w:val="000A20C7"/>
    <w:rsid w:val="000A21A5"/>
    <w:rsid w:val="000A3908"/>
    <w:rsid w:val="000A4C29"/>
    <w:rsid w:val="000A5B36"/>
    <w:rsid w:val="000A6E2B"/>
    <w:rsid w:val="000A79D3"/>
    <w:rsid w:val="000B05E2"/>
    <w:rsid w:val="000B2568"/>
    <w:rsid w:val="000B41BB"/>
    <w:rsid w:val="000B5357"/>
    <w:rsid w:val="000B597F"/>
    <w:rsid w:val="000B61CE"/>
    <w:rsid w:val="000B634D"/>
    <w:rsid w:val="000B73D2"/>
    <w:rsid w:val="000B7465"/>
    <w:rsid w:val="000C14CB"/>
    <w:rsid w:val="000C18BC"/>
    <w:rsid w:val="000C1D03"/>
    <w:rsid w:val="000C1EE4"/>
    <w:rsid w:val="000C1FF9"/>
    <w:rsid w:val="000C4151"/>
    <w:rsid w:val="000C4425"/>
    <w:rsid w:val="000C4B12"/>
    <w:rsid w:val="000C5F2C"/>
    <w:rsid w:val="000C5FA7"/>
    <w:rsid w:val="000C7E71"/>
    <w:rsid w:val="000D0BCE"/>
    <w:rsid w:val="000D16AA"/>
    <w:rsid w:val="000D1A7D"/>
    <w:rsid w:val="000D2309"/>
    <w:rsid w:val="000D2CCA"/>
    <w:rsid w:val="000D366B"/>
    <w:rsid w:val="000D38F9"/>
    <w:rsid w:val="000D3C8D"/>
    <w:rsid w:val="000D5D6B"/>
    <w:rsid w:val="000D7A20"/>
    <w:rsid w:val="000E0D45"/>
    <w:rsid w:val="000E161C"/>
    <w:rsid w:val="000E2C39"/>
    <w:rsid w:val="000E355C"/>
    <w:rsid w:val="000E4445"/>
    <w:rsid w:val="000E470B"/>
    <w:rsid w:val="000E4DE8"/>
    <w:rsid w:val="000E4EF8"/>
    <w:rsid w:val="000E50F5"/>
    <w:rsid w:val="000E5E99"/>
    <w:rsid w:val="000E6A66"/>
    <w:rsid w:val="000F0C3B"/>
    <w:rsid w:val="000F0E9F"/>
    <w:rsid w:val="000F1540"/>
    <w:rsid w:val="000F1D4A"/>
    <w:rsid w:val="000F2065"/>
    <w:rsid w:val="000F2A88"/>
    <w:rsid w:val="000F2C23"/>
    <w:rsid w:val="000F2D1B"/>
    <w:rsid w:val="000F3658"/>
    <w:rsid w:val="000F3B37"/>
    <w:rsid w:val="000F3C85"/>
    <w:rsid w:val="000F3F12"/>
    <w:rsid w:val="000F565B"/>
    <w:rsid w:val="000F5C6C"/>
    <w:rsid w:val="000F5F3F"/>
    <w:rsid w:val="000F64AD"/>
    <w:rsid w:val="00100570"/>
    <w:rsid w:val="00101CE5"/>
    <w:rsid w:val="00101DD0"/>
    <w:rsid w:val="00102555"/>
    <w:rsid w:val="0010291B"/>
    <w:rsid w:val="00102B4B"/>
    <w:rsid w:val="00103AB9"/>
    <w:rsid w:val="00103E80"/>
    <w:rsid w:val="00107187"/>
    <w:rsid w:val="00107272"/>
    <w:rsid w:val="00107D54"/>
    <w:rsid w:val="00110383"/>
    <w:rsid w:val="00110B62"/>
    <w:rsid w:val="00111581"/>
    <w:rsid w:val="00111CEB"/>
    <w:rsid w:val="0011245C"/>
    <w:rsid w:val="0011500F"/>
    <w:rsid w:val="00115A55"/>
    <w:rsid w:val="0011665D"/>
    <w:rsid w:val="00116AAC"/>
    <w:rsid w:val="001170EA"/>
    <w:rsid w:val="00117C5D"/>
    <w:rsid w:val="00117D55"/>
    <w:rsid w:val="001204B2"/>
    <w:rsid w:val="001212EF"/>
    <w:rsid w:val="001217DC"/>
    <w:rsid w:val="00121F81"/>
    <w:rsid w:val="0012203F"/>
    <w:rsid w:val="00123CC6"/>
    <w:rsid w:val="00125689"/>
    <w:rsid w:val="00125C8A"/>
    <w:rsid w:val="001261FC"/>
    <w:rsid w:val="00130694"/>
    <w:rsid w:val="001306FE"/>
    <w:rsid w:val="00130827"/>
    <w:rsid w:val="001308A2"/>
    <w:rsid w:val="00131140"/>
    <w:rsid w:val="001317AD"/>
    <w:rsid w:val="00131FC3"/>
    <w:rsid w:val="0013281E"/>
    <w:rsid w:val="00132FD3"/>
    <w:rsid w:val="001339CF"/>
    <w:rsid w:val="00135135"/>
    <w:rsid w:val="0013673A"/>
    <w:rsid w:val="00136D81"/>
    <w:rsid w:val="00137038"/>
    <w:rsid w:val="001410EB"/>
    <w:rsid w:val="00141224"/>
    <w:rsid w:val="00142E1A"/>
    <w:rsid w:val="00143103"/>
    <w:rsid w:val="00143554"/>
    <w:rsid w:val="00143653"/>
    <w:rsid w:val="00143934"/>
    <w:rsid w:val="00143B3A"/>
    <w:rsid w:val="00143E43"/>
    <w:rsid w:val="00143FFC"/>
    <w:rsid w:val="00145760"/>
    <w:rsid w:val="00146ABB"/>
    <w:rsid w:val="00147338"/>
    <w:rsid w:val="00147A48"/>
    <w:rsid w:val="00150143"/>
    <w:rsid w:val="001509AB"/>
    <w:rsid w:val="00152D25"/>
    <w:rsid w:val="00152E91"/>
    <w:rsid w:val="0015460B"/>
    <w:rsid w:val="00154736"/>
    <w:rsid w:val="00154ABE"/>
    <w:rsid w:val="00156CA9"/>
    <w:rsid w:val="00157465"/>
    <w:rsid w:val="00157E23"/>
    <w:rsid w:val="00157FC3"/>
    <w:rsid w:val="0016064F"/>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41F"/>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6EAE"/>
    <w:rsid w:val="00186F7A"/>
    <w:rsid w:val="00187518"/>
    <w:rsid w:val="00187743"/>
    <w:rsid w:val="00187F07"/>
    <w:rsid w:val="0019096C"/>
    <w:rsid w:val="00191EA7"/>
    <w:rsid w:val="00192164"/>
    <w:rsid w:val="00192883"/>
    <w:rsid w:val="00194C98"/>
    <w:rsid w:val="00194FB7"/>
    <w:rsid w:val="00195D28"/>
    <w:rsid w:val="001960F8"/>
    <w:rsid w:val="00196669"/>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9C5"/>
    <w:rsid w:val="001B1339"/>
    <w:rsid w:val="001B1B58"/>
    <w:rsid w:val="001B1F55"/>
    <w:rsid w:val="001B2049"/>
    <w:rsid w:val="001B2934"/>
    <w:rsid w:val="001B4A37"/>
    <w:rsid w:val="001B5963"/>
    <w:rsid w:val="001B6FAD"/>
    <w:rsid w:val="001C04B2"/>
    <w:rsid w:val="001C0F9A"/>
    <w:rsid w:val="001C14C1"/>
    <w:rsid w:val="001C1FDE"/>
    <w:rsid w:val="001C2063"/>
    <w:rsid w:val="001C21E1"/>
    <w:rsid w:val="001C33A1"/>
    <w:rsid w:val="001C3426"/>
    <w:rsid w:val="001C4675"/>
    <w:rsid w:val="001C4768"/>
    <w:rsid w:val="001C5839"/>
    <w:rsid w:val="001C6AF6"/>
    <w:rsid w:val="001C7129"/>
    <w:rsid w:val="001C77E1"/>
    <w:rsid w:val="001C7ADA"/>
    <w:rsid w:val="001C7B48"/>
    <w:rsid w:val="001C7EA0"/>
    <w:rsid w:val="001D0A85"/>
    <w:rsid w:val="001D121D"/>
    <w:rsid w:val="001D3543"/>
    <w:rsid w:val="001D4151"/>
    <w:rsid w:val="001D58E5"/>
    <w:rsid w:val="001D6546"/>
    <w:rsid w:val="001D7299"/>
    <w:rsid w:val="001E0FAB"/>
    <w:rsid w:val="001E2084"/>
    <w:rsid w:val="001E2502"/>
    <w:rsid w:val="001E292F"/>
    <w:rsid w:val="001E351C"/>
    <w:rsid w:val="001E474D"/>
    <w:rsid w:val="001E5194"/>
    <w:rsid w:val="001E5851"/>
    <w:rsid w:val="001E5A81"/>
    <w:rsid w:val="001E62FB"/>
    <w:rsid w:val="001E6A0B"/>
    <w:rsid w:val="001E77DA"/>
    <w:rsid w:val="001E7A2F"/>
    <w:rsid w:val="001E7AB0"/>
    <w:rsid w:val="001E7DD0"/>
    <w:rsid w:val="001F0349"/>
    <w:rsid w:val="001F077B"/>
    <w:rsid w:val="001F0B74"/>
    <w:rsid w:val="001F2648"/>
    <w:rsid w:val="001F3E37"/>
    <w:rsid w:val="001F41B9"/>
    <w:rsid w:val="001F4BE8"/>
    <w:rsid w:val="001F4EB8"/>
    <w:rsid w:val="001F560A"/>
    <w:rsid w:val="001F6318"/>
    <w:rsid w:val="001F65B1"/>
    <w:rsid w:val="001F6B83"/>
    <w:rsid w:val="001F6F6A"/>
    <w:rsid w:val="001F7595"/>
    <w:rsid w:val="002000B8"/>
    <w:rsid w:val="002004D9"/>
    <w:rsid w:val="002005CD"/>
    <w:rsid w:val="00200B4C"/>
    <w:rsid w:val="00201557"/>
    <w:rsid w:val="00202F46"/>
    <w:rsid w:val="00203267"/>
    <w:rsid w:val="00203897"/>
    <w:rsid w:val="0020391D"/>
    <w:rsid w:val="00205F9C"/>
    <w:rsid w:val="002060F7"/>
    <w:rsid w:val="00207BC6"/>
    <w:rsid w:val="00210771"/>
    <w:rsid w:val="00210EE2"/>
    <w:rsid w:val="00211885"/>
    <w:rsid w:val="00212864"/>
    <w:rsid w:val="00212ADF"/>
    <w:rsid w:val="002134CF"/>
    <w:rsid w:val="00213A60"/>
    <w:rsid w:val="0021429B"/>
    <w:rsid w:val="00215699"/>
    <w:rsid w:val="002159DE"/>
    <w:rsid w:val="00215E99"/>
    <w:rsid w:val="0021667D"/>
    <w:rsid w:val="002166A1"/>
    <w:rsid w:val="002166A6"/>
    <w:rsid w:val="00216BB6"/>
    <w:rsid w:val="00217568"/>
    <w:rsid w:val="0022039D"/>
    <w:rsid w:val="0022048B"/>
    <w:rsid w:val="0022175C"/>
    <w:rsid w:val="00222261"/>
    <w:rsid w:val="002227DF"/>
    <w:rsid w:val="00223AC8"/>
    <w:rsid w:val="00223C96"/>
    <w:rsid w:val="002246D6"/>
    <w:rsid w:val="00224852"/>
    <w:rsid w:val="0022634D"/>
    <w:rsid w:val="00226935"/>
    <w:rsid w:val="00227512"/>
    <w:rsid w:val="0022766E"/>
    <w:rsid w:val="0022777A"/>
    <w:rsid w:val="002278D5"/>
    <w:rsid w:val="00227C13"/>
    <w:rsid w:val="00227D49"/>
    <w:rsid w:val="00227FC7"/>
    <w:rsid w:val="0023110A"/>
    <w:rsid w:val="002314A5"/>
    <w:rsid w:val="00233A54"/>
    <w:rsid w:val="00234440"/>
    <w:rsid w:val="002347C9"/>
    <w:rsid w:val="00234D59"/>
    <w:rsid w:val="00236E72"/>
    <w:rsid w:val="0023738E"/>
    <w:rsid w:val="002411BD"/>
    <w:rsid w:val="00244711"/>
    <w:rsid w:val="00244AE4"/>
    <w:rsid w:val="00245EBE"/>
    <w:rsid w:val="002472C1"/>
    <w:rsid w:val="002473F4"/>
    <w:rsid w:val="00247D64"/>
    <w:rsid w:val="00250F42"/>
    <w:rsid w:val="00252EBA"/>
    <w:rsid w:val="0025361A"/>
    <w:rsid w:val="002545EF"/>
    <w:rsid w:val="00254B44"/>
    <w:rsid w:val="00254E99"/>
    <w:rsid w:val="00255B9B"/>
    <w:rsid w:val="00256596"/>
    <w:rsid w:val="00256604"/>
    <w:rsid w:val="0026027A"/>
    <w:rsid w:val="00260533"/>
    <w:rsid w:val="002605CE"/>
    <w:rsid w:val="00261367"/>
    <w:rsid w:val="00261A54"/>
    <w:rsid w:val="00261C21"/>
    <w:rsid w:val="00261D37"/>
    <w:rsid w:val="00262D6B"/>
    <w:rsid w:val="00262ED0"/>
    <w:rsid w:val="00263607"/>
    <w:rsid w:val="002638EE"/>
    <w:rsid w:val="00264965"/>
    <w:rsid w:val="002656E1"/>
    <w:rsid w:val="00265BC3"/>
    <w:rsid w:val="00265CFF"/>
    <w:rsid w:val="00265EF5"/>
    <w:rsid w:val="002702CD"/>
    <w:rsid w:val="00270B4E"/>
    <w:rsid w:val="00271500"/>
    <w:rsid w:val="00272E57"/>
    <w:rsid w:val="00274663"/>
    <w:rsid w:val="00275641"/>
    <w:rsid w:val="0027569A"/>
    <w:rsid w:val="002767D9"/>
    <w:rsid w:val="00280382"/>
    <w:rsid w:val="00280F4B"/>
    <w:rsid w:val="002821E9"/>
    <w:rsid w:val="00282564"/>
    <w:rsid w:val="002827D2"/>
    <w:rsid w:val="002835B7"/>
    <w:rsid w:val="00284C1F"/>
    <w:rsid w:val="002851AF"/>
    <w:rsid w:val="00285866"/>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4E9"/>
    <w:rsid w:val="002B660D"/>
    <w:rsid w:val="002B7969"/>
    <w:rsid w:val="002C0031"/>
    <w:rsid w:val="002C0485"/>
    <w:rsid w:val="002C0762"/>
    <w:rsid w:val="002C257A"/>
    <w:rsid w:val="002C2BEC"/>
    <w:rsid w:val="002C30C0"/>
    <w:rsid w:val="002C4F4B"/>
    <w:rsid w:val="002C5233"/>
    <w:rsid w:val="002C6EC0"/>
    <w:rsid w:val="002C7258"/>
    <w:rsid w:val="002C77D7"/>
    <w:rsid w:val="002D0189"/>
    <w:rsid w:val="002D0356"/>
    <w:rsid w:val="002D07C0"/>
    <w:rsid w:val="002D0F98"/>
    <w:rsid w:val="002D1DFB"/>
    <w:rsid w:val="002D40B9"/>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1FA"/>
    <w:rsid w:val="002F0545"/>
    <w:rsid w:val="002F0823"/>
    <w:rsid w:val="002F2471"/>
    <w:rsid w:val="002F2B7A"/>
    <w:rsid w:val="002F3105"/>
    <w:rsid w:val="002F49AA"/>
    <w:rsid w:val="002F5E6C"/>
    <w:rsid w:val="002F72FF"/>
    <w:rsid w:val="00300BF3"/>
    <w:rsid w:val="0030143F"/>
    <w:rsid w:val="00301A2B"/>
    <w:rsid w:val="00301BCD"/>
    <w:rsid w:val="003028A2"/>
    <w:rsid w:val="00302988"/>
    <w:rsid w:val="00303ACF"/>
    <w:rsid w:val="0030463E"/>
    <w:rsid w:val="00304ED6"/>
    <w:rsid w:val="00306654"/>
    <w:rsid w:val="00306D5D"/>
    <w:rsid w:val="00306FF4"/>
    <w:rsid w:val="00310EE1"/>
    <w:rsid w:val="003122B0"/>
    <w:rsid w:val="00312390"/>
    <w:rsid w:val="003123F4"/>
    <w:rsid w:val="00313487"/>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7BA"/>
    <w:rsid w:val="00324A1D"/>
    <w:rsid w:val="00324C55"/>
    <w:rsid w:val="003250B4"/>
    <w:rsid w:val="00325742"/>
    <w:rsid w:val="00327224"/>
    <w:rsid w:val="00327AB3"/>
    <w:rsid w:val="00327F9E"/>
    <w:rsid w:val="00330527"/>
    <w:rsid w:val="00330C9F"/>
    <w:rsid w:val="003318A6"/>
    <w:rsid w:val="003321A8"/>
    <w:rsid w:val="00332EB1"/>
    <w:rsid w:val="00333E63"/>
    <w:rsid w:val="00334044"/>
    <w:rsid w:val="00334CB0"/>
    <w:rsid w:val="00335188"/>
    <w:rsid w:val="00335234"/>
    <w:rsid w:val="003373B8"/>
    <w:rsid w:val="003413F4"/>
    <w:rsid w:val="00342DC1"/>
    <w:rsid w:val="00342EF7"/>
    <w:rsid w:val="003432B6"/>
    <w:rsid w:val="003434E9"/>
    <w:rsid w:val="00343F41"/>
    <w:rsid w:val="00344BF3"/>
    <w:rsid w:val="00345CC1"/>
    <w:rsid w:val="00345EA7"/>
    <w:rsid w:val="0034652C"/>
    <w:rsid w:val="00346606"/>
    <w:rsid w:val="00346E73"/>
    <w:rsid w:val="00346F27"/>
    <w:rsid w:val="0035067B"/>
    <w:rsid w:val="00350681"/>
    <w:rsid w:val="00350B6E"/>
    <w:rsid w:val="00351A4A"/>
    <w:rsid w:val="00351D95"/>
    <w:rsid w:val="00351FB4"/>
    <w:rsid w:val="00352DB5"/>
    <w:rsid w:val="00353860"/>
    <w:rsid w:val="00354CD9"/>
    <w:rsid w:val="003556C1"/>
    <w:rsid w:val="00355EEE"/>
    <w:rsid w:val="003566B5"/>
    <w:rsid w:val="00356FC1"/>
    <w:rsid w:val="00357883"/>
    <w:rsid w:val="00360494"/>
    <w:rsid w:val="00360C00"/>
    <w:rsid w:val="00360E24"/>
    <w:rsid w:val="00361243"/>
    <w:rsid w:val="00361633"/>
    <w:rsid w:val="00361935"/>
    <w:rsid w:val="003626AE"/>
    <w:rsid w:val="0036292A"/>
    <w:rsid w:val="00362AF3"/>
    <w:rsid w:val="00364BEE"/>
    <w:rsid w:val="0036508D"/>
    <w:rsid w:val="003651C8"/>
    <w:rsid w:val="00366321"/>
    <w:rsid w:val="00366419"/>
    <w:rsid w:val="003669F1"/>
    <w:rsid w:val="00366F10"/>
    <w:rsid w:val="003700A3"/>
    <w:rsid w:val="00370B40"/>
    <w:rsid w:val="00371C15"/>
    <w:rsid w:val="00372CDF"/>
    <w:rsid w:val="00373411"/>
    <w:rsid w:val="00373D40"/>
    <w:rsid w:val="003741F6"/>
    <w:rsid w:val="00374A29"/>
    <w:rsid w:val="00374FA4"/>
    <w:rsid w:val="003756C6"/>
    <w:rsid w:val="00375FB2"/>
    <w:rsid w:val="00376E35"/>
    <w:rsid w:val="003773AC"/>
    <w:rsid w:val="00377F6C"/>
    <w:rsid w:val="00380094"/>
    <w:rsid w:val="00380256"/>
    <w:rsid w:val="0038165D"/>
    <w:rsid w:val="00383071"/>
    <w:rsid w:val="003841AB"/>
    <w:rsid w:val="00385175"/>
    <w:rsid w:val="00385444"/>
    <w:rsid w:val="00385F39"/>
    <w:rsid w:val="00386070"/>
    <w:rsid w:val="00387DCF"/>
    <w:rsid w:val="00390006"/>
    <w:rsid w:val="003900A5"/>
    <w:rsid w:val="003917AD"/>
    <w:rsid w:val="003917D1"/>
    <w:rsid w:val="00391FAB"/>
    <w:rsid w:val="00392539"/>
    <w:rsid w:val="00392677"/>
    <w:rsid w:val="00393431"/>
    <w:rsid w:val="00393633"/>
    <w:rsid w:val="003945E2"/>
    <w:rsid w:val="00394981"/>
    <w:rsid w:val="00395100"/>
    <w:rsid w:val="003953A8"/>
    <w:rsid w:val="003958E6"/>
    <w:rsid w:val="00395D76"/>
    <w:rsid w:val="00395E89"/>
    <w:rsid w:val="00396F7B"/>
    <w:rsid w:val="00396FA3"/>
    <w:rsid w:val="0039788E"/>
    <w:rsid w:val="00397F0D"/>
    <w:rsid w:val="003A011D"/>
    <w:rsid w:val="003A0DC3"/>
    <w:rsid w:val="003A1675"/>
    <w:rsid w:val="003A1CA9"/>
    <w:rsid w:val="003A1CF5"/>
    <w:rsid w:val="003A2812"/>
    <w:rsid w:val="003A2D0C"/>
    <w:rsid w:val="003A3304"/>
    <w:rsid w:val="003A3551"/>
    <w:rsid w:val="003A38F0"/>
    <w:rsid w:val="003A443D"/>
    <w:rsid w:val="003A4DE4"/>
    <w:rsid w:val="003A58EE"/>
    <w:rsid w:val="003A6A5A"/>
    <w:rsid w:val="003A72E9"/>
    <w:rsid w:val="003B175A"/>
    <w:rsid w:val="003B3231"/>
    <w:rsid w:val="003B3381"/>
    <w:rsid w:val="003B341A"/>
    <w:rsid w:val="003B357A"/>
    <w:rsid w:val="003B4859"/>
    <w:rsid w:val="003B499C"/>
    <w:rsid w:val="003B4CCD"/>
    <w:rsid w:val="003B53D4"/>
    <w:rsid w:val="003B56D7"/>
    <w:rsid w:val="003B7298"/>
    <w:rsid w:val="003C0FF8"/>
    <w:rsid w:val="003C1D0C"/>
    <w:rsid w:val="003C1F2E"/>
    <w:rsid w:val="003C28FE"/>
    <w:rsid w:val="003C42A3"/>
    <w:rsid w:val="003C49D5"/>
    <w:rsid w:val="003C4FD5"/>
    <w:rsid w:val="003C582B"/>
    <w:rsid w:val="003C6BFF"/>
    <w:rsid w:val="003C6D84"/>
    <w:rsid w:val="003D0EAF"/>
    <w:rsid w:val="003D2333"/>
    <w:rsid w:val="003D30C7"/>
    <w:rsid w:val="003D3241"/>
    <w:rsid w:val="003D39AE"/>
    <w:rsid w:val="003D4804"/>
    <w:rsid w:val="003D5413"/>
    <w:rsid w:val="003D7685"/>
    <w:rsid w:val="003D7E9A"/>
    <w:rsid w:val="003E0366"/>
    <w:rsid w:val="003E0B09"/>
    <w:rsid w:val="003E100C"/>
    <w:rsid w:val="003E1C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7679"/>
    <w:rsid w:val="00400C13"/>
    <w:rsid w:val="00401F48"/>
    <w:rsid w:val="00402311"/>
    <w:rsid w:val="0040239F"/>
    <w:rsid w:val="00402C97"/>
    <w:rsid w:val="00403364"/>
    <w:rsid w:val="0040415C"/>
    <w:rsid w:val="00404AA4"/>
    <w:rsid w:val="00404AF1"/>
    <w:rsid w:val="00404C61"/>
    <w:rsid w:val="004050C9"/>
    <w:rsid w:val="004051F0"/>
    <w:rsid w:val="00405C04"/>
    <w:rsid w:val="00406314"/>
    <w:rsid w:val="00406376"/>
    <w:rsid w:val="00406896"/>
    <w:rsid w:val="00411B37"/>
    <w:rsid w:val="0041244F"/>
    <w:rsid w:val="004125ED"/>
    <w:rsid w:val="0041353D"/>
    <w:rsid w:val="00413B39"/>
    <w:rsid w:val="0041450E"/>
    <w:rsid w:val="0041456E"/>
    <w:rsid w:val="00415370"/>
    <w:rsid w:val="00415781"/>
    <w:rsid w:val="00416485"/>
    <w:rsid w:val="00416F40"/>
    <w:rsid w:val="004175A7"/>
    <w:rsid w:val="00417769"/>
    <w:rsid w:val="00417F0D"/>
    <w:rsid w:val="00420765"/>
    <w:rsid w:val="00421EF2"/>
    <w:rsid w:val="00422668"/>
    <w:rsid w:val="00424946"/>
    <w:rsid w:val="0042602D"/>
    <w:rsid w:val="004261DA"/>
    <w:rsid w:val="00427004"/>
    <w:rsid w:val="00431540"/>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59DC"/>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57EFC"/>
    <w:rsid w:val="0046064C"/>
    <w:rsid w:val="004611B6"/>
    <w:rsid w:val="00461997"/>
    <w:rsid w:val="00463F8B"/>
    <w:rsid w:val="004644C2"/>
    <w:rsid w:val="004649AD"/>
    <w:rsid w:val="004650E7"/>
    <w:rsid w:val="0046687B"/>
    <w:rsid w:val="00466CB4"/>
    <w:rsid w:val="00470418"/>
    <w:rsid w:val="004704EA"/>
    <w:rsid w:val="0047071D"/>
    <w:rsid w:val="004727C4"/>
    <w:rsid w:val="00472F62"/>
    <w:rsid w:val="00473579"/>
    <w:rsid w:val="00473E50"/>
    <w:rsid w:val="00474E5A"/>
    <w:rsid w:val="0047558F"/>
    <w:rsid w:val="00475FD5"/>
    <w:rsid w:val="00476FED"/>
    <w:rsid w:val="0047725A"/>
    <w:rsid w:val="004812F4"/>
    <w:rsid w:val="0048231B"/>
    <w:rsid w:val="004838D4"/>
    <w:rsid w:val="004845AC"/>
    <w:rsid w:val="004847B7"/>
    <w:rsid w:val="00484C31"/>
    <w:rsid w:val="00485E3C"/>
    <w:rsid w:val="00486F09"/>
    <w:rsid w:val="004877FB"/>
    <w:rsid w:val="00487E64"/>
    <w:rsid w:val="004906DB"/>
    <w:rsid w:val="00490C0F"/>
    <w:rsid w:val="00491FF2"/>
    <w:rsid w:val="004925EE"/>
    <w:rsid w:val="00492735"/>
    <w:rsid w:val="00493926"/>
    <w:rsid w:val="004945E8"/>
    <w:rsid w:val="00494FC9"/>
    <w:rsid w:val="00495228"/>
    <w:rsid w:val="004963B6"/>
    <w:rsid w:val="004A1AB1"/>
    <w:rsid w:val="004A2013"/>
    <w:rsid w:val="004A201B"/>
    <w:rsid w:val="004A2B7A"/>
    <w:rsid w:val="004A3EB3"/>
    <w:rsid w:val="004A4377"/>
    <w:rsid w:val="004A57EB"/>
    <w:rsid w:val="004A5824"/>
    <w:rsid w:val="004A59D3"/>
    <w:rsid w:val="004A6156"/>
    <w:rsid w:val="004A6D7C"/>
    <w:rsid w:val="004A6F11"/>
    <w:rsid w:val="004A74DD"/>
    <w:rsid w:val="004A7FBF"/>
    <w:rsid w:val="004B00D1"/>
    <w:rsid w:val="004B0B57"/>
    <w:rsid w:val="004B0BBE"/>
    <w:rsid w:val="004B0EB0"/>
    <w:rsid w:val="004B1246"/>
    <w:rsid w:val="004B1CAB"/>
    <w:rsid w:val="004B2FF9"/>
    <w:rsid w:val="004B3397"/>
    <w:rsid w:val="004B3506"/>
    <w:rsid w:val="004B36ED"/>
    <w:rsid w:val="004B40DB"/>
    <w:rsid w:val="004B4EF6"/>
    <w:rsid w:val="004B612E"/>
    <w:rsid w:val="004B623B"/>
    <w:rsid w:val="004B6554"/>
    <w:rsid w:val="004B6B22"/>
    <w:rsid w:val="004B6C50"/>
    <w:rsid w:val="004C0DA0"/>
    <w:rsid w:val="004C1C32"/>
    <w:rsid w:val="004C3E02"/>
    <w:rsid w:val="004C422D"/>
    <w:rsid w:val="004C440E"/>
    <w:rsid w:val="004C4CEB"/>
    <w:rsid w:val="004C5CBA"/>
    <w:rsid w:val="004C64D8"/>
    <w:rsid w:val="004C64F7"/>
    <w:rsid w:val="004C6C09"/>
    <w:rsid w:val="004C6EA3"/>
    <w:rsid w:val="004C7BCD"/>
    <w:rsid w:val="004D000F"/>
    <w:rsid w:val="004D055D"/>
    <w:rsid w:val="004D1240"/>
    <w:rsid w:val="004D12F6"/>
    <w:rsid w:val="004D32ED"/>
    <w:rsid w:val="004D3E71"/>
    <w:rsid w:val="004D49EE"/>
    <w:rsid w:val="004D4AE0"/>
    <w:rsid w:val="004D4C0B"/>
    <w:rsid w:val="004D69FC"/>
    <w:rsid w:val="004D72BA"/>
    <w:rsid w:val="004D77BD"/>
    <w:rsid w:val="004D77DE"/>
    <w:rsid w:val="004D7BF4"/>
    <w:rsid w:val="004D7C92"/>
    <w:rsid w:val="004E20E5"/>
    <w:rsid w:val="004E295C"/>
    <w:rsid w:val="004E38B2"/>
    <w:rsid w:val="004E3936"/>
    <w:rsid w:val="004E490B"/>
    <w:rsid w:val="004E57F7"/>
    <w:rsid w:val="004E5D9C"/>
    <w:rsid w:val="004E6191"/>
    <w:rsid w:val="004E6707"/>
    <w:rsid w:val="004E6B8E"/>
    <w:rsid w:val="004F0543"/>
    <w:rsid w:val="004F0D33"/>
    <w:rsid w:val="004F2385"/>
    <w:rsid w:val="004F246C"/>
    <w:rsid w:val="004F3A97"/>
    <w:rsid w:val="004F5591"/>
    <w:rsid w:val="004F5D14"/>
    <w:rsid w:val="004F68DC"/>
    <w:rsid w:val="004F7F44"/>
    <w:rsid w:val="00500421"/>
    <w:rsid w:val="00500598"/>
    <w:rsid w:val="00500F7A"/>
    <w:rsid w:val="005012AD"/>
    <w:rsid w:val="005016E5"/>
    <w:rsid w:val="00501A56"/>
    <w:rsid w:val="00502317"/>
    <w:rsid w:val="005027BB"/>
    <w:rsid w:val="00503415"/>
    <w:rsid w:val="005034C1"/>
    <w:rsid w:val="005037E1"/>
    <w:rsid w:val="00503B5C"/>
    <w:rsid w:val="0050456A"/>
    <w:rsid w:val="005068E1"/>
    <w:rsid w:val="005070B6"/>
    <w:rsid w:val="005077C5"/>
    <w:rsid w:val="00510B80"/>
    <w:rsid w:val="0051168A"/>
    <w:rsid w:val="005117D2"/>
    <w:rsid w:val="005118A6"/>
    <w:rsid w:val="005122F4"/>
    <w:rsid w:val="00512830"/>
    <w:rsid w:val="0051405F"/>
    <w:rsid w:val="0051444F"/>
    <w:rsid w:val="005156A6"/>
    <w:rsid w:val="00516393"/>
    <w:rsid w:val="00516669"/>
    <w:rsid w:val="005179A5"/>
    <w:rsid w:val="00520B4F"/>
    <w:rsid w:val="00524AD7"/>
    <w:rsid w:val="005254FD"/>
    <w:rsid w:val="00525BDC"/>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0B60"/>
    <w:rsid w:val="00541076"/>
    <w:rsid w:val="00541136"/>
    <w:rsid w:val="0054216F"/>
    <w:rsid w:val="00542F18"/>
    <w:rsid w:val="0054343C"/>
    <w:rsid w:val="00544853"/>
    <w:rsid w:val="00544CA5"/>
    <w:rsid w:val="005450E2"/>
    <w:rsid w:val="00545B19"/>
    <w:rsid w:val="00547404"/>
    <w:rsid w:val="005474A2"/>
    <w:rsid w:val="00547520"/>
    <w:rsid w:val="0055035F"/>
    <w:rsid w:val="005507FD"/>
    <w:rsid w:val="005511C0"/>
    <w:rsid w:val="00551E3C"/>
    <w:rsid w:val="0055232C"/>
    <w:rsid w:val="0055278E"/>
    <w:rsid w:val="00555488"/>
    <w:rsid w:val="0055549A"/>
    <w:rsid w:val="00555B18"/>
    <w:rsid w:val="00555C9C"/>
    <w:rsid w:val="00556A4D"/>
    <w:rsid w:val="00557319"/>
    <w:rsid w:val="0055764E"/>
    <w:rsid w:val="00557CD6"/>
    <w:rsid w:val="00560528"/>
    <w:rsid w:val="00560699"/>
    <w:rsid w:val="00561503"/>
    <w:rsid w:val="00561923"/>
    <w:rsid w:val="005622F8"/>
    <w:rsid w:val="0056310A"/>
    <w:rsid w:val="0056336F"/>
    <w:rsid w:val="00565AF7"/>
    <w:rsid w:val="00565C93"/>
    <w:rsid w:val="00566024"/>
    <w:rsid w:val="00566627"/>
    <w:rsid w:val="005671C3"/>
    <w:rsid w:val="0057060C"/>
    <w:rsid w:val="0057189C"/>
    <w:rsid w:val="00571BD2"/>
    <w:rsid w:val="00571CD7"/>
    <w:rsid w:val="00571D59"/>
    <w:rsid w:val="00572E3E"/>
    <w:rsid w:val="0057332B"/>
    <w:rsid w:val="0057364D"/>
    <w:rsid w:val="005737FC"/>
    <w:rsid w:val="0057420B"/>
    <w:rsid w:val="0057593B"/>
    <w:rsid w:val="005762CE"/>
    <w:rsid w:val="00580280"/>
    <w:rsid w:val="00580B9E"/>
    <w:rsid w:val="00580DAB"/>
    <w:rsid w:val="0058135A"/>
    <w:rsid w:val="005817D9"/>
    <w:rsid w:val="00581F7C"/>
    <w:rsid w:val="00582685"/>
    <w:rsid w:val="00583358"/>
    <w:rsid w:val="005839BF"/>
    <w:rsid w:val="00584058"/>
    <w:rsid w:val="005844A5"/>
    <w:rsid w:val="005846B4"/>
    <w:rsid w:val="005850E5"/>
    <w:rsid w:val="005851E0"/>
    <w:rsid w:val="00585571"/>
    <w:rsid w:val="005856F9"/>
    <w:rsid w:val="00585B91"/>
    <w:rsid w:val="00586BB0"/>
    <w:rsid w:val="00586BF1"/>
    <w:rsid w:val="00587DC4"/>
    <w:rsid w:val="0059008F"/>
    <w:rsid w:val="005903E4"/>
    <w:rsid w:val="005907D5"/>
    <w:rsid w:val="005910C0"/>
    <w:rsid w:val="005913EE"/>
    <w:rsid w:val="00591A25"/>
    <w:rsid w:val="00592461"/>
    <w:rsid w:val="00592CAB"/>
    <w:rsid w:val="005950D6"/>
    <w:rsid w:val="0059519C"/>
    <w:rsid w:val="00595524"/>
    <w:rsid w:val="00595CB7"/>
    <w:rsid w:val="0059749D"/>
    <w:rsid w:val="005974F3"/>
    <w:rsid w:val="0059751C"/>
    <w:rsid w:val="00597919"/>
    <w:rsid w:val="005A0B9F"/>
    <w:rsid w:val="005A0EFC"/>
    <w:rsid w:val="005A44E7"/>
    <w:rsid w:val="005A5D8E"/>
    <w:rsid w:val="005A63D8"/>
    <w:rsid w:val="005A7420"/>
    <w:rsid w:val="005A7C14"/>
    <w:rsid w:val="005A7DBE"/>
    <w:rsid w:val="005B152C"/>
    <w:rsid w:val="005B1C64"/>
    <w:rsid w:val="005B1DE8"/>
    <w:rsid w:val="005B2294"/>
    <w:rsid w:val="005B2601"/>
    <w:rsid w:val="005B271E"/>
    <w:rsid w:val="005B2807"/>
    <w:rsid w:val="005B3606"/>
    <w:rsid w:val="005B388D"/>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C53AE"/>
    <w:rsid w:val="005C6E71"/>
    <w:rsid w:val="005C736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BF4"/>
    <w:rsid w:val="005E7ECB"/>
    <w:rsid w:val="005F0C00"/>
    <w:rsid w:val="005F1037"/>
    <w:rsid w:val="005F2BF8"/>
    <w:rsid w:val="005F2EA8"/>
    <w:rsid w:val="005F3B04"/>
    <w:rsid w:val="005F5574"/>
    <w:rsid w:val="005F5D1D"/>
    <w:rsid w:val="005F60C9"/>
    <w:rsid w:val="005F64C6"/>
    <w:rsid w:val="006008F1"/>
    <w:rsid w:val="00601714"/>
    <w:rsid w:val="00601735"/>
    <w:rsid w:val="00602BD2"/>
    <w:rsid w:val="00604980"/>
    <w:rsid w:val="0060614D"/>
    <w:rsid w:val="00610871"/>
    <w:rsid w:val="00610E48"/>
    <w:rsid w:val="00610FE0"/>
    <w:rsid w:val="006118FF"/>
    <w:rsid w:val="00613C47"/>
    <w:rsid w:val="00615086"/>
    <w:rsid w:val="00616201"/>
    <w:rsid w:val="00616225"/>
    <w:rsid w:val="00616BA2"/>
    <w:rsid w:val="0061705E"/>
    <w:rsid w:val="00617914"/>
    <w:rsid w:val="00617A8B"/>
    <w:rsid w:val="00621904"/>
    <w:rsid w:val="00622248"/>
    <w:rsid w:val="00622FEA"/>
    <w:rsid w:val="00623CDF"/>
    <w:rsid w:val="00623DB1"/>
    <w:rsid w:val="006245F3"/>
    <w:rsid w:val="0062485E"/>
    <w:rsid w:val="00624DBE"/>
    <w:rsid w:val="00625450"/>
    <w:rsid w:val="0062557A"/>
    <w:rsid w:val="0062624F"/>
    <w:rsid w:val="006319CA"/>
    <w:rsid w:val="00633B3E"/>
    <w:rsid w:val="00634EC0"/>
    <w:rsid w:val="0063627F"/>
    <w:rsid w:val="006376C4"/>
    <w:rsid w:val="006403E7"/>
    <w:rsid w:val="00642D72"/>
    <w:rsid w:val="00642E69"/>
    <w:rsid w:val="006443CB"/>
    <w:rsid w:val="006448B8"/>
    <w:rsid w:val="00644F80"/>
    <w:rsid w:val="00645874"/>
    <w:rsid w:val="00647673"/>
    <w:rsid w:val="00650F81"/>
    <w:rsid w:val="00650FC7"/>
    <w:rsid w:val="00651F86"/>
    <w:rsid w:val="00652EEB"/>
    <w:rsid w:val="0065395E"/>
    <w:rsid w:val="00653C24"/>
    <w:rsid w:val="00653D68"/>
    <w:rsid w:val="00653E4E"/>
    <w:rsid w:val="00654275"/>
    <w:rsid w:val="0065446D"/>
    <w:rsid w:val="00654891"/>
    <w:rsid w:val="00654894"/>
    <w:rsid w:val="00655104"/>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5468"/>
    <w:rsid w:val="0067738E"/>
    <w:rsid w:val="00677F23"/>
    <w:rsid w:val="0068055B"/>
    <w:rsid w:val="00680936"/>
    <w:rsid w:val="00680D8C"/>
    <w:rsid w:val="00680D99"/>
    <w:rsid w:val="006821B2"/>
    <w:rsid w:val="00682725"/>
    <w:rsid w:val="00682A1B"/>
    <w:rsid w:val="00682D73"/>
    <w:rsid w:val="00682ED3"/>
    <w:rsid w:val="00683126"/>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1DE"/>
    <w:rsid w:val="006A43E6"/>
    <w:rsid w:val="006A47EB"/>
    <w:rsid w:val="006A4AEE"/>
    <w:rsid w:val="006A70BE"/>
    <w:rsid w:val="006A7934"/>
    <w:rsid w:val="006A7BC8"/>
    <w:rsid w:val="006B0001"/>
    <w:rsid w:val="006B054B"/>
    <w:rsid w:val="006B059F"/>
    <w:rsid w:val="006B2048"/>
    <w:rsid w:val="006B215A"/>
    <w:rsid w:val="006B2AD6"/>
    <w:rsid w:val="006B342E"/>
    <w:rsid w:val="006B3812"/>
    <w:rsid w:val="006B3B80"/>
    <w:rsid w:val="006B6EF0"/>
    <w:rsid w:val="006B6F32"/>
    <w:rsid w:val="006B7130"/>
    <w:rsid w:val="006B7361"/>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123"/>
    <w:rsid w:val="006C7EB1"/>
    <w:rsid w:val="006D013F"/>
    <w:rsid w:val="006D017F"/>
    <w:rsid w:val="006D08BD"/>
    <w:rsid w:val="006D0F8E"/>
    <w:rsid w:val="006D1416"/>
    <w:rsid w:val="006D1D3F"/>
    <w:rsid w:val="006D253B"/>
    <w:rsid w:val="006D325A"/>
    <w:rsid w:val="006D386A"/>
    <w:rsid w:val="006D38BD"/>
    <w:rsid w:val="006D4242"/>
    <w:rsid w:val="006D45F0"/>
    <w:rsid w:val="006D4C8F"/>
    <w:rsid w:val="006D52A0"/>
    <w:rsid w:val="006D57CB"/>
    <w:rsid w:val="006D5819"/>
    <w:rsid w:val="006D5E6F"/>
    <w:rsid w:val="006D693F"/>
    <w:rsid w:val="006D6CDD"/>
    <w:rsid w:val="006D7604"/>
    <w:rsid w:val="006D765E"/>
    <w:rsid w:val="006D76CB"/>
    <w:rsid w:val="006E0455"/>
    <w:rsid w:val="006E4238"/>
    <w:rsid w:val="006E4551"/>
    <w:rsid w:val="006E5F01"/>
    <w:rsid w:val="006E7033"/>
    <w:rsid w:val="006E7404"/>
    <w:rsid w:val="006E7B97"/>
    <w:rsid w:val="006F05B9"/>
    <w:rsid w:val="006F1972"/>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7023EA"/>
    <w:rsid w:val="00702B1B"/>
    <w:rsid w:val="00702BAE"/>
    <w:rsid w:val="007032B3"/>
    <w:rsid w:val="00704164"/>
    <w:rsid w:val="00705B10"/>
    <w:rsid w:val="007063BD"/>
    <w:rsid w:val="00706A58"/>
    <w:rsid w:val="00707517"/>
    <w:rsid w:val="007078ED"/>
    <w:rsid w:val="00710187"/>
    <w:rsid w:val="007101D7"/>
    <w:rsid w:val="007110E1"/>
    <w:rsid w:val="00711B18"/>
    <w:rsid w:val="007126D1"/>
    <w:rsid w:val="00714394"/>
    <w:rsid w:val="00714C87"/>
    <w:rsid w:val="00714ED6"/>
    <w:rsid w:val="00715E8D"/>
    <w:rsid w:val="00721C26"/>
    <w:rsid w:val="00721F7E"/>
    <w:rsid w:val="00722E29"/>
    <w:rsid w:val="00723ECB"/>
    <w:rsid w:val="00724606"/>
    <w:rsid w:val="00724A36"/>
    <w:rsid w:val="00724A60"/>
    <w:rsid w:val="00724E85"/>
    <w:rsid w:val="0072525D"/>
    <w:rsid w:val="00726596"/>
    <w:rsid w:val="00726E8A"/>
    <w:rsid w:val="00727047"/>
    <w:rsid w:val="00727A0E"/>
    <w:rsid w:val="00727C81"/>
    <w:rsid w:val="00730104"/>
    <w:rsid w:val="00730B33"/>
    <w:rsid w:val="007316CE"/>
    <w:rsid w:val="00734510"/>
    <w:rsid w:val="00734887"/>
    <w:rsid w:val="007348C4"/>
    <w:rsid w:val="007365B6"/>
    <w:rsid w:val="00737394"/>
    <w:rsid w:val="007401E2"/>
    <w:rsid w:val="00740205"/>
    <w:rsid w:val="007411E5"/>
    <w:rsid w:val="00741605"/>
    <w:rsid w:val="00742788"/>
    <w:rsid w:val="007436F2"/>
    <w:rsid w:val="00743B2E"/>
    <w:rsid w:val="0074419A"/>
    <w:rsid w:val="0074436D"/>
    <w:rsid w:val="00746951"/>
    <w:rsid w:val="00746F65"/>
    <w:rsid w:val="007472C3"/>
    <w:rsid w:val="0074791E"/>
    <w:rsid w:val="00750948"/>
    <w:rsid w:val="00750A23"/>
    <w:rsid w:val="007510D5"/>
    <w:rsid w:val="0075115D"/>
    <w:rsid w:val="00751A33"/>
    <w:rsid w:val="007525EA"/>
    <w:rsid w:val="00753890"/>
    <w:rsid w:val="0075466D"/>
    <w:rsid w:val="007555DF"/>
    <w:rsid w:val="007569DC"/>
    <w:rsid w:val="0075711E"/>
    <w:rsid w:val="00757549"/>
    <w:rsid w:val="007579F2"/>
    <w:rsid w:val="00761434"/>
    <w:rsid w:val="00761FD5"/>
    <w:rsid w:val="00762BB6"/>
    <w:rsid w:val="0076341D"/>
    <w:rsid w:val="0076446D"/>
    <w:rsid w:val="007647EF"/>
    <w:rsid w:val="00765DD8"/>
    <w:rsid w:val="00766230"/>
    <w:rsid w:val="00766B33"/>
    <w:rsid w:val="00766D36"/>
    <w:rsid w:val="00767607"/>
    <w:rsid w:val="00767ACD"/>
    <w:rsid w:val="007705B5"/>
    <w:rsid w:val="0077270D"/>
    <w:rsid w:val="00773874"/>
    <w:rsid w:val="0077393B"/>
    <w:rsid w:val="00775D3B"/>
    <w:rsid w:val="0077615A"/>
    <w:rsid w:val="007806A0"/>
    <w:rsid w:val="00781690"/>
    <w:rsid w:val="00782346"/>
    <w:rsid w:val="007838CD"/>
    <w:rsid w:val="007840F3"/>
    <w:rsid w:val="007849BE"/>
    <w:rsid w:val="00785491"/>
    <w:rsid w:val="007858C0"/>
    <w:rsid w:val="0078679A"/>
    <w:rsid w:val="00786BDC"/>
    <w:rsid w:val="007871FE"/>
    <w:rsid w:val="00787C89"/>
    <w:rsid w:val="007908ED"/>
    <w:rsid w:val="00790F74"/>
    <w:rsid w:val="00792014"/>
    <w:rsid w:val="00792288"/>
    <w:rsid w:val="00792447"/>
    <w:rsid w:val="007928C6"/>
    <w:rsid w:val="00792E73"/>
    <w:rsid w:val="0079694C"/>
    <w:rsid w:val="007A0187"/>
    <w:rsid w:val="007A19AC"/>
    <w:rsid w:val="007A268F"/>
    <w:rsid w:val="007A29EC"/>
    <w:rsid w:val="007A4A53"/>
    <w:rsid w:val="007A4C93"/>
    <w:rsid w:val="007A4E17"/>
    <w:rsid w:val="007A6DB9"/>
    <w:rsid w:val="007A7F6D"/>
    <w:rsid w:val="007B0FBD"/>
    <w:rsid w:val="007B1BAF"/>
    <w:rsid w:val="007B20C3"/>
    <w:rsid w:val="007B2284"/>
    <w:rsid w:val="007B2FE8"/>
    <w:rsid w:val="007B35F7"/>
    <w:rsid w:val="007B48DF"/>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4A8F"/>
    <w:rsid w:val="007D563E"/>
    <w:rsid w:val="007D5A49"/>
    <w:rsid w:val="007D5FC1"/>
    <w:rsid w:val="007D6EB6"/>
    <w:rsid w:val="007D715A"/>
    <w:rsid w:val="007E002B"/>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800D05"/>
    <w:rsid w:val="00801D7A"/>
    <w:rsid w:val="008020F2"/>
    <w:rsid w:val="00803F74"/>
    <w:rsid w:val="00804653"/>
    <w:rsid w:val="00804C48"/>
    <w:rsid w:val="0080505A"/>
    <w:rsid w:val="008060B3"/>
    <w:rsid w:val="00806639"/>
    <w:rsid w:val="00806A84"/>
    <w:rsid w:val="008073A4"/>
    <w:rsid w:val="00807C6C"/>
    <w:rsid w:val="008102F1"/>
    <w:rsid w:val="008115ED"/>
    <w:rsid w:val="0081254B"/>
    <w:rsid w:val="0081340B"/>
    <w:rsid w:val="00815822"/>
    <w:rsid w:val="00815B93"/>
    <w:rsid w:val="00816585"/>
    <w:rsid w:val="0081760E"/>
    <w:rsid w:val="00817BB4"/>
    <w:rsid w:val="00817CF9"/>
    <w:rsid w:val="00817E4F"/>
    <w:rsid w:val="00820F5B"/>
    <w:rsid w:val="00821021"/>
    <w:rsid w:val="008214BB"/>
    <w:rsid w:val="00821B58"/>
    <w:rsid w:val="00822D4E"/>
    <w:rsid w:val="00822FBA"/>
    <w:rsid w:val="0082398C"/>
    <w:rsid w:val="008244B4"/>
    <w:rsid w:val="00824FF1"/>
    <w:rsid w:val="00825196"/>
    <w:rsid w:val="00826F4C"/>
    <w:rsid w:val="008303A6"/>
    <w:rsid w:val="00830CD0"/>
    <w:rsid w:val="008310B4"/>
    <w:rsid w:val="00831573"/>
    <w:rsid w:val="00831C7F"/>
    <w:rsid w:val="00833C51"/>
    <w:rsid w:val="00834577"/>
    <w:rsid w:val="008349A6"/>
    <w:rsid w:val="00835271"/>
    <w:rsid w:val="00835679"/>
    <w:rsid w:val="00837358"/>
    <w:rsid w:val="008377DA"/>
    <w:rsid w:val="00841982"/>
    <w:rsid w:val="00841F21"/>
    <w:rsid w:val="00842991"/>
    <w:rsid w:val="008429B0"/>
    <w:rsid w:val="00843900"/>
    <w:rsid w:val="00844C5B"/>
    <w:rsid w:val="00845A15"/>
    <w:rsid w:val="0084632F"/>
    <w:rsid w:val="008474A9"/>
    <w:rsid w:val="00847809"/>
    <w:rsid w:val="00851180"/>
    <w:rsid w:val="008514A3"/>
    <w:rsid w:val="00852528"/>
    <w:rsid w:val="0085434F"/>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4716"/>
    <w:rsid w:val="00865BAA"/>
    <w:rsid w:val="00865C83"/>
    <w:rsid w:val="008677CB"/>
    <w:rsid w:val="0087026D"/>
    <w:rsid w:val="0087056E"/>
    <w:rsid w:val="00870C24"/>
    <w:rsid w:val="00870CB6"/>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2DCB"/>
    <w:rsid w:val="00893479"/>
    <w:rsid w:val="0089375D"/>
    <w:rsid w:val="00893B2E"/>
    <w:rsid w:val="008943CB"/>
    <w:rsid w:val="008946B9"/>
    <w:rsid w:val="008A0882"/>
    <w:rsid w:val="008A10C1"/>
    <w:rsid w:val="008A181A"/>
    <w:rsid w:val="008A183F"/>
    <w:rsid w:val="008A1C47"/>
    <w:rsid w:val="008A2289"/>
    <w:rsid w:val="008A34BA"/>
    <w:rsid w:val="008A3766"/>
    <w:rsid w:val="008A4132"/>
    <w:rsid w:val="008A4F66"/>
    <w:rsid w:val="008A5290"/>
    <w:rsid w:val="008A593A"/>
    <w:rsid w:val="008A6A60"/>
    <w:rsid w:val="008A6C5A"/>
    <w:rsid w:val="008A6CCA"/>
    <w:rsid w:val="008A7D1D"/>
    <w:rsid w:val="008B0A79"/>
    <w:rsid w:val="008B1B8C"/>
    <w:rsid w:val="008B2C59"/>
    <w:rsid w:val="008B2DF3"/>
    <w:rsid w:val="008B376A"/>
    <w:rsid w:val="008B444E"/>
    <w:rsid w:val="008B569F"/>
    <w:rsid w:val="008B7220"/>
    <w:rsid w:val="008C0669"/>
    <w:rsid w:val="008C0814"/>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6EAC"/>
    <w:rsid w:val="008E78F2"/>
    <w:rsid w:val="008E7B12"/>
    <w:rsid w:val="008F022C"/>
    <w:rsid w:val="008F152D"/>
    <w:rsid w:val="008F2A60"/>
    <w:rsid w:val="008F310D"/>
    <w:rsid w:val="008F314A"/>
    <w:rsid w:val="008F3888"/>
    <w:rsid w:val="008F3B22"/>
    <w:rsid w:val="008F43C7"/>
    <w:rsid w:val="008F4823"/>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6AD1"/>
    <w:rsid w:val="009075A4"/>
    <w:rsid w:val="009101AF"/>
    <w:rsid w:val="00911808"/>
    <w:rsid w:val="00912F07"/>
    <w:rsid w:val="009145FB"/>
    <w:rsid w:val="009153E8"/>
    <w:rsid w:val="0091555E"/>
    <w:rsid w:val="00915786"/>
    <w:rsid w:val="0091746C"/>
    <w:rsid w:val="00917816"/>
    <w:rsid w:val="00917D06"/>
    <w:rsid w:val="009204E1"/>
    <w:rsid w:val="009207DB"/>
    <w:rsid w:val="00921202"/>
    <w:rsid w:val="00922024"/>
    <w:rsid w:val="009222A3"/>
    <w:rsid w:val="009224EE"/>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1B8"/>
    <w:rsid w:val="00945EC2"/>
    <w:rsid w:val="00946136"/>
    <w:rsid w:val="00946CD9"/>
    <w:rsid w:val="00946E7C"/>
    <w:rsid w:val="00947046"/>
    <w:rsid w:val="00950297"/>
    <w:rsid w:val="009505F4"/>
    <w:rsid w:val="00951216"/>
    <w:rsid w:val="00951614"/>
    <w:rsid w:val="0095279B"/>
    <w:rsid w:val="009533C3"/>
    <w:rsid w:val="009535D3"/>
    <w:rsid w:val="00953807"/>
    <w:rsid w:val="00954282"/>
    <w:rsid w:val="00954427"/>
    <w:rsid w:val="0095611C"/>
    <w:rsid w:val="009564ED"/>
    <w:rsid w:val="009566CD"/>
    <w:rsid w:val="00956CA2"/>
    <w:rsid w:val="0096079B"/>
    <w:rsid w:val="0096218D"/>
    <w:rsid w:val="00964509"/>
    <w:rsid w:val="0096501B"/>
    <w:rsid w:val="0096625E"/>
    <w:rsid w:val="0096662B"/>
    <w:rsid w:val="009666AF"/>
    <w:rsid w:val="00966C72"/>
    <w:rsid w:val="00967180"/>
    <w:rsid w:val="0096797D"/>
    <w:rsid w:val="00970704"/>
    <w:rsid w:val="00970B65"/>
    <w:rsid w:val="00970D66"/>
    <w:rsid w:val="00971127"/>
    <w:rsid w:val="0097119E"/>
    <w:rsid w:val="009718E9"/>
    <w:rsid w:val="00972C93"/>
    <w:rsid w:val="009734B8"/>
    <w:rsid w:val="00973514"/>
    <w:rsid w:val="009739F9"/>
    <w:rsid w:val="009741E7"/>
    <w:rsid w:val="00975C75"/>
    <w:rsid w:val="00977506"/>
    <w:rsid w:val="00977DFD"/>
    <w:rsid w:val="0098177A"/>
    <w:rsid w:val="00983583"/>
    <w:rsid w:val="00983EFD"/>
    <w:rsid w:val="00984FB0"/>
    <w:rsid w:val="009855B0"/>
    <w:rsid w:val="009859A8"/>
    <w:rsid w:val="00986257"/>
    <w:rsid w:val="00986564"/>
    <w:rsid w:val="0098658A"/>
    <w:rsid w:val="00986861"/>
    <w:rsid w:val="00986FB8"/>
    <w:rsid w:val="00987CBC"/>
    <w:rsid w:val="00991EB0"/>
    <w:rsid w:val="0099212B"/>
    <w:rsid w:val="0099245F"/>
    <w:rsid w:val="009928E8"/>
    <w:rsid w:val="00995768"/>
    <w:rsid w:val="00995F21"/>
    <w:rsid w:val="00996203"/>
    <w:rsid w:val="00996326"/>
    <w:rsid w:val="00996F95"/>
    <w:rsid w:val="00997B35"/>
    <w:rsid w:val="00997EA5"/>
    <w:rsid w:val="009A07D5"/>
    <w:rsid w:val="009A1FE7"/>
    <w:rsid w:val="009A2967"/>
    <w:rsid w:val="009A3274"/>
    <w:rsid w:val="009A36B7"/>
    <w:rsid w:val="009A3720"/>
    <w:rsid w:val="009A392B"/>
    <w:rsid w:val="009A3D58"/>
    <w:rsid w:val="009A42CF"/>
    <w:rsid w:val="009A44E8"/>
    <w:rsid w:val="009A581E"/>
    <w:rsid w:val="009A698D"/>
    <w:rsid w:val="009A6AB4"/>
    <w:rsid w:val="009B1DA5"/>
    <w:rsid w:val="009B1E1D"/>
    <w:rsid w:val="009B28FD"/>
    <w:rsid w:val="009B2AD6"/>
    <w:rsid w:val="009B3172"/>
    <w:rsid w:val="009B461D"/>
    <w:rsid w:val="009B4F1F"/>
    <w:rsid w:val="009B5594"/>
    <w:rsid w:val="009B59ED"/>
    <w:rsid w:val="009B6405"/>
    <w:rsid w:val="009B729E"/>
    <w:rsid w:val="009B7498"/>
    <w:rsid w:val="009C217C"/>
    <w:rsid w:val="009C264B"/>
    <w:rsid w:val="009C34F1"/>
    <w:rsid w:val="009C3AD4"/>
    <w:rsid w:val="009C3B80"/>
    <w:rsid w:val="009C3D84"/>
    <w:rsid w:val="009C3F5A"/>
    <w:rsid w:val="009C48C6"/>
    <w:rsid w:val="009C5D76"/>
    <w:rsid w:val="009C5DFB"/>
    <w:rsid w:val="009C5FDE"/>
    <w:rsid w:val="009C69E7"/>
    <w:rsid w:val="009C76E7"/>
    <w:rsid w:val="009C7B1D"/>
    <w:rsid w:val="009C7F10"/>
    <w:rsid w:val="009C7FF8"/>
    <w:rsid w:val="009D03F1"/>
    <w:rsid w:val="009D0921"/>
    <w:rsid w:val="009D101B"/>
    <w:rsid w:val="009D118E"/>
    <w:rsid w:val="009D1CF4"/>
    <w:rsid w:val="009D380F"/>
    <w:rsid w:val="009D57A7"/>
    <w:rsid w:val="009D65EE"/>
    <w:rsid w:val="009D6865"/>
    <w:rsid w:val="009D6903"/>
    <w:rsid w:val="009E0525"/>
    <w:rsid w:val="009E199C"/>
    <w:rsid w:val="009E1F76"/>
    <w:rsid w:val="009E20A6"/>
    <w:rsid w:val="009E233F"/>
    <w:rsid w:val="009E323A"/>
    <w:rsid w:val="009E328B"/>
    <w:rsid w:val="009E476A"/>
    <w:rsid w:val="009E68C1"/>
    <w:rsid w:val="009E6DD0"/>
    <w:rsid w:val="009E6DEE"/>
    <w:rsid w:val="009E700C"/>
    <w:rsid w:val="009F082A"/>
    <w:rsid w:val="009F0BD9"/>
    <w:rsid w:val="009F12B4"/>
    <w:rsid w:val="009F1875"/>
    <w:rsid w:val="009F33FA"/>
    <w:rsid w:val="009F347C"/>
    <w:rsid w:val="009F3F14"/>
    <w:rsid w:val="009F54D7"/>
    <w:rsid w:val="009F5B9D"/>
    <w:rsid w:val="009F6619"/>
    <w:rsid w:val="009F68FF"/>
    <w:rsid w:val="00A00E77"/>
    <w:rsid w:val="00A01A4C"/>
    <w:rsid w:val="00A01C1F"/>
    <w:rsid w:val="00A01C98"/>
    <w:rsid w:val="00A020F7"/>
    <w:rsid w:val="00A025E5"/>
    <w:rsid w:val="00A04B2F"/>
    <w:rsid w:val="00A054CB"/>
    <w:rsid w:val="00A05E8F"/>
    <w:rsid w:val="00A06A54"/>
    <w:rsid w:val="00A074DB"/>
    <w:rsid w:val="00A10423"/>
    <w:rsid w:val="00A10A6F"/>
    <w:rsid w:val="00A115B1"/>
    <w:rsid w:val="00A118B4"/>
    <w:rsid w:val="00A129C6"/>
    <w:rsid w:val="00A14BDD"/>
    <w:rsid w:val="00A15A52"/>
    <w:rsid w:val="00A169FE"/>
    <w:rsid w:val="00A1706F"/>
    <w:rsid w:val="00A1721D"/>
    <w:rsid w:val="00A20630"/>
    <w:rsid w:val="00A20956"/>
    <w:rsid w:val="00A210DB"/>
    <w:rsid w:val="00A21667"/>
    <w:rsid w:val="00A220FB"/>
    <w:rsid w:val="00A223A5"/>
    <w:rsid w:val="00A22946"/>
    <w:rsid w:val="00A23770"/>
    <w:rsid w:val="00A241FD"/>
    <w:rsid w:val="00A24BC5"/>
    <w:rsid w:val="00A2504C"/>
    <w:rsid w:val="00A26CA4"/>
    <w:rsid w:val="00A26D2E"/>
    <w:rsid w:val="00A26E5D"/>
    <w:rsid w:val="00A276A6"/>
    <w:rsid w:val="00A276FF"/>
    <w:rsid w:val="00A27883"/>
    <w:rsid w:val="00A27A41"/>
    <w:rsid w:val="00A30C82"/>
    <w:rsid w:val="00A31A01"/>
    <w:rsid w:val="00A32211"/>
    <w:rsid w:val="00A33842"/>
    <w:rsid w:val="00A33A1E"/>
    <w:rsid w:val="00A33FDC"/>
    <w:rsid w:val="00A34114"/>
    <w:rsid w:val="00A34C81"/>
    <w:rsid w:val="00A34E19"/>
    <w:rsid w:val="00A35C90"/>
    <w:rsid w:val="00A362F9"/>
    <w:rsid w:val="00A36BE7"/>
    <w:rsid w:val="00A36F35"/>
    <w:rsid w:val="00A373CC"/>
    <w:rsid w:val="00A3760C"/>
    <w:rsid w:val="00A37704"/>
    <w:rsid w:val="00A378A0"/>
    <w:rsid w:val="00A37E59"/>
    <w:rsid w:val="00A40108"/>
    <w:rsid w:val="00A404AF"/>
    <w:rsid w:val="00A40D0C"/>
    <w:rsid w:val="00A41302"/>
    <w:rsid w:val="00A41AFE"/>
    <w:rsid w:val="00A41C59"/>
    <w:rsid w:val="00A424AD"/>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579D7"/>
    <w:rsid w:val="00A606A0"/>
    <w:rsid w:val="00A60943"/>
    <w:rsid w:val="00A60A2E"/>
    <w:rsid w:val="00A60A5A"/>
    <w:rsid w:val="00A60A60"/>
    <w:rsid w:val="00A61263"/>
    <w:rsid w:val="00A614AD"/>
    <w:rsid w:val="00A616BD"/>
    <w:rsid w:val="00A61886"/>
    <w:rsid w:val="00A61E92"/>
    <w:rsid w:val="00A63D89"/>
    <w:rsid w:val="00A650F1"/>
    <w:rsid w:val="00A6526E"/>
    <w:rsid w:val="00A65DA4"/>
    <w:rsid w:val="00A66777"/>
    <w:rsid w:val="00A66E04"/>
    <w:rsid w:val="00A67194"/>
    <w:rsid w:val="00A671B3"/>
    <w:rsid w:val="00A67864"/>
    <w:rsid w:val="00A70242"/>
    <w:rsid w:val="00A7040E"/>
    <w:rsid w:val="00A7286F"/>
    <w:rsid w:val="00A734F2"/>
    <w:rsid w:val="00A73D2F"/>
    <w:rsid w:val="00A73DEE"/>
    <w:rsid w:val="00A74678"/>
    <w:rsid w:val="00A75AEA"/>
    <w:rsid w:val="00A76063"/>
    <w:rsid w:val="00A767EB"/>
    <w:rsid w:val="00A771BF"/>
    <w:rsid w:val="00A77299"/>
    <w:rsid w:val="00A803C1"/>
    <w:rsid w:val="00A815B6"/>
    <w:rsid w:val="00A81953"/>
    <w:rsid w:val="00A823D7"/>
    <w:rsid w:val="00A827C9"/>
    <w:rsid w:val="00A8350D"/>
    <w:rsid w:val="00A843C1"/>
    <w:rsid w:val="00A85B31"/>
    <w:rsid w:val="00A861F3"/>
    <w:rsid w:val="00A86C48"/>
    <w:rsid w:val="00A87428"/>
    <w:rsid w:val="00A874B2"/>
    <w:rsid w:val="00A90DB1"/>
    <w:rsid w:val="00A9147B"/>
    <w:rsid w:val="00A91BA8"/>
    <w:rsid w:val="00A91EF1"/>
    <w:rsid w:val="00A91EF2"/>
    <w:rsid w:val="00A9325C"/>
    <w:rsid w:val="00A93680"/>
    <w:rsid w:val="00A9430B"/>
    <w:rsid w:val="00A94483"/>
    <w:rsid w:val="00A959CA"/>
    <w:rsid w:val="00A96FC6"/>
    <w:rsid w:val="00A97848"/>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CE8"/>
    <w:rsid w:val="00AB2AE4"/>
    <w:rsid w:val="00AB2F06"/>
    <w:rsid w:val="00AB3C33"/>
    <w:rsid w:val="00AB4E0C"/>
    <w:rsid w:val="00AB4FFF"/>
    <w:rsid w:val="00AB5190"/>
    <w:rsid w:val="00AB5513"/>
    <w:rsid w:val="00AB5A0C"/>
    <w:rsid w:val="00AB6070"/>
    <w:rsid w:val="00AB6DFC"/>
    <w:rsid w:val="00AB7354"/>
    <w:rsid w:val="00AB7C46"/>
    <w:rsid w:val="00AB7DD5"/>
    <w:rsid w:val="00AC05D0"/>
    <w:rsid w:val="00AC3637"/>
    <w:rsid w:val="00AC3D4F"/>
    <w:rsid w:val="00AC3DB7"/>
    <w:rsid w:val="00AC4699"/>
    <w:rsid w:val="00AC5650"/>
    <w:rsid w:val="00AC59DF"/>
    <w:rsid w:val="00AC72C7"/>
    <w:rsid w:val="00AC7899"/>
    <w:rsid w:val="00AD13D6"/>
    <w:rsid w:val="00AD4087"/>
    <w:rsid w:val="00AD4E84"/>
    <w:rsid w:val="00AD6A21"/>
    <w:rsid w:val="00AD6BE0"/>
    <w:rsid w:val="00AD752F"/>
    <w:rsid w:val="00AD7C37"/>
    <w:rsid w:val="00AE0C8D"/>
    <w:rsid w:val="00AE0CBE"/>
    <w:rsid w:val="00AE0E2A"/>
    <w:rsid w:val="00AE1411"/>
    <w:rsid w:val="00AE19B4"/>
    <w:rsid w:val="00AE2330"/>
    <w:rsid w:val="00AE55BC"/>
    <w:rsid w:val="00AE62E7"/>
    <w:rsid w:val="00AE686D"/>
    <w:rsid w:val="00AE6B27"/>
    <w:rsid w:val="00AE78E3"/>
    <w:rsid w:val="00AF0DC0"/>
    <w:rsid w:val="00AF0F96"/>
    <w:rsid w:val="00AF21D7"/>
    <w:rsid w:val="00AF28EB"/>
    <w:rsid w:val="00AF31BA"/>
    <w:rsid w:val="00AF36B6"/>
    <w:rsid w:val="00AF3DF3"/>
    <w:rsid w:val="00AF4803"/>
    <w:rsid w:val="00AF4D10"/>
    <w:rsid w:val="00AF5627"/>
    <w:rsid w:val="00AF58CB"/>
    <w:rsid w:val="00AF726F"/>
    <w:rsid w:val="00B00506"/>
    <w:rsid w:val="00B00ED5"/>
    <w:rsid w:val="00B0128C"/>
    <w:rsid w:val="00B0190C"/>
    <w:rsid w:val="00B01C3F"/>
    <w:rsid w:val="00B02315"/>
    <w:rsid w:val="00B02BF0"/>
    <w:rsid w:val="00B02EA8"/>
    <w:rsid w:val="00B034DD"/>
    <w:rsid w:val="00B03AB4"/>
    <w:rsid w:val="00B05B91"/>
    <w:rsid w:val="00B066BB"/>
    <w:rsid w:val="00B06ED4"/>
    <w:rsid w:val="00B077CC"/>
    <w:rsid w:val="00B07A28"/>
    <w:rsid w:val="00B102E7"/>
    <w:rsid w:val="00B12A63"/>
    <w:rsid w:val="00B13397"/>
    <w:rsid w:val="00B1400D"/>
    <w:rsid w:val="00B147C9"/>
    <w:rsid w:val="00B15BB2"/>
    <w:rsid w:val="00B16EBE"/>
    <w:rsid w:val="00B20E3B"/>
    <w:rsid w:val="00B21D0E"/>
    <w:rsid w:val="00B22C57"/>
    <w:rsid w:val="00B23C76"/>
    <w:rsid w:val="00B23EEE"/>
    <w:rsid w:val="00B27298"/>
    <w:rsid w:val="00B27384"/>
    <w:rsid w:val="00B276E4"/>
    <w:rsid w:val="00B27A6D"/>
    <w:rsid w:val="00B309F9"/>
    <w:rsid w:val="00B30DAD"/>
    <w:rsid w:val="00B31782"/>
    <w:rsid w:val="00B3402E"/>
    <w:rsid w:val="00B34EA5"/>
    <w:rsid w:val="00B360B7"/>
    <w:rsid w:val="00B36928"/>
    <w:rsid w:val="00B37293"/>
    <w:rsid w:val="00B37635"/>
    <w:rsid w:val="00B4076A"/>
    <w:rsid w:val="00B413EB"/>
    <w:rsid w:val="00B42C20"/>
    <w:rsid w:val="00B43287"/>
    <w:rsid w:val="00B43864"/>
    <w:rsid w:val="00B43AD9"/>
    <w:rsid w:val="00B443D5"/>
    <w:rsid w:val="00B44482"/>
    <w:rsid w:val="00B450D9"/>
    <w:rsid w:val="00B46FF2"/>
    <w:rsid w:val="00B51B75"/>
    <w:rsid w:val="00B52AD3"/>
    <w:rsid w:val="00B539EB"/>
    <w:rsid w:val="00B53D08"/>
    <w:rsid w:val="00B5443F"/>
    <w:rsid w:val="00B54B76"/>
    <w:rsid w:val="00B55ECC"/>
    <w:rsid w:val="00B560E5"/>
    <w:rsid w:val="00B5610F"/>
    <w:rsid w:val="00B576E1"/>
    <w:rsid w:val="00B6088D"/>
    <w:rsid w:val="00B608F1"/>
    <w:rsid w:val="00B60F79"/>
    <w:rsid w:val="00B6252C"/>
    <w:rsid w:val="00B62CBE"/>
    <w:rsid w:val="00B62EFD"/>
    <w:rsid w:val="00B63999"/>
    <w:rsid w:val="00B63B4A"/>
    <w:rsid w:val="00B63E1F"/>
    <w:rsid w:val="00B641C5"/>
    <w:rsid w:val="00B64F8D"/>
    <w:rsid w:val="00B6533C"/>
    <w:rsid w:val="00B65388"/>
    <w:rsid w:val="00B6731A"/>
    <w:rsid w:val="00B673CA"/>
    <w:rsid w:val="00B70903"/>
    <w:rsid w:val="00B7108D"/>
    <w:rsid w:val="00B7117A"/>
    <w:rsid w:val="00B713F0"/>
    <w:rsid w:val="00B72053"/>
    <w:rsid w:val="00B72892"/>
    <w:rsid w:val="00B72895"/>
    <w:rsid w:val="00B73BEF"/>
    <w:rsid w:val="00B74530"/>
    <w:rsid w:val="00B7458C"/>
    <w:rsid w:val="00B74E4D"/>
    <w:rsid w:val="00B75D3F"/>
    <w:rsid w:val="00B75D4C"/>
    <w:rsid w:val="00B76F2C"/>
    <w:rsid w:val="00B77723"/>
    <w:rsid w:val="00B77863"/>
    <w:rsid w:val="00B801AC"/>
    <w:rsid w:val="00B815D3"/>
    <w:rsid w:val="00B8270D"/>
    <w:rsid w:val="00B82B33"/>
    <w:rsid w:val="00B8384C"/>
    <w:rsid w:val="00B843A1"/>
    <w:rsid w:val="00B85243"/>
    <w:rsid w:val="00B854BE"/>
    <w:rsid w:val="00B85704"/>
    <w:rsid w:val="00B86421"/>
    <w:rsid w:val="00B866BF"/>
    <w:rsid w:val="00B868D6"/>
    <w:rsid w:val="00B86D0A"/>
    <w:rsid w:val="00B8748B"/>
    <w:rsid w:val="00B87B3F"/>
    <w:rsid w:val="00B90972"/>
    <w:rsid w:val="00B91818"/>
    <w:rsid w:val="00B922D6"/>
    <w:rsid w:val="00B92819"/>
    <w:rsid w:val="00B93E18"/>
    <w:rsid w:val="00B93E2C"/>
    <w:rsid w:val="00B93F2F"/>
    <w:rsid w:val="00B94BE5"/>
    <w:rsid w:val="00B95B44"/>
    <w:rsid w:val="00B96069"/>
    <w:rsid w:val="00BA0A76"/>
    <w:rsid w:val="00BA11A9"/>
    <w:rsid w:val="00BA1642"/>
    <w:rsid w:val="00BA30C2"/>
    <w:rsid w:val="00BA31C6"/>
    <w:rsid w:val="00BA353A"/>
    <w:rsid w:val="00BA4B0A"/>
    <w:rsid w:val="00BA4FE7"/>
    <w:rsid w:val="00BA699B"/>
    <w:rsid w:val="00BA76AB"/>
    <w:rsid w:val="00BB0225"/>
    <w:rsid w:val="00BB0423"/>
    <w:rsid w:val="00BB1D73"/>
    <w:rsid w:val="00BB2CE4"/>
    <w:rsid w:val="00BB2D17"/>
    <w:rsid w:val="00BB2D1B"/>
    <w:rsid w:val="00BB42D2"/>
    <w:rsid w:val="00BB6ECF"/>
    <w:rsid w:val="00BB74B3"/>
    <w:rsid w:val="00BB777A"/>
    <w:rsid w:val="00BB7DC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07A5"/>
    <w:rsid w:val="00BE15DA"/>
    <w:rsid w:val="00BE19AD"/>
    <w:rsid w:val="00BE32F3"/>
    <w:rsid w:val="00BE369C"/>
    <w:rsid w:val="00BE4F97"/>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BF7EB2"/>
    <w:rsid w:val="00C00D03"/>
    <w:rsid w:val="00C00D9C"/>
    <w:rsid w:val="00C01DFC"/>
    <w:rsid w:val="00C0270E"/>
    <w:rsid w:val="00C0282B"/>
    <w:rsid w:val="00C03262"/>
    <w:rsid w:val="00C047A4"/>
    <w:rsid w:val="00C05013"/>
    <w:rsid w:val="00C067E0"/>
    <w:rsid w:val="00C0773D"/>
    <w:rsid w:val="00C1025D"/>
    <w:rsid w:val="00C11733"/>
    <w:rsid w:val="00C12CC1"/>
    <w:rsid w:val="00C12D93"/>
    <w:rsid w:val="00C12EE2"/>
    <w:rsid w:val="00C12EE5"/>
    <w:rsid w:val="00C1324B"/>
    <w:rsid w:val="00C139DE"/>
    <w:rsid w:val="00C13B55"/>
    <w:rsid w:val="00C13CB8"/>
    <w:rsid w:val="00C151CE"/>
    <w:rsid w:val="00C1561B"/>
    <w:rsid w:val="00C15BBB"/>
    <w:rsid w:val="00C2092E"/>
    <w:rsid w:val="00C20F37"/>
    <w:rsid w:val="00C213FD"/>
    <w:rsid w:val="00C21C42"/>
    <w:rsid w:val="00C228DC"/>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11B"/>
    <w:rsid w:val="00C357CB"/>
    <w:rsid w:val="00C35C8E"/>
    <w:rsid w:val="00C36B1D"/>
    <w:rsid w:val="00C3742C"/>
    <w:rsid w:val="00C410D2"/>
    <w:rsid w:val="00C41363"/>
    <w:rsid w:val="00C42A78"/>
    <w:rsid w:val="00C437D6"/>
    <w:rsid w:val="00C45C94"/>
    <w:rsid w:val="00C4601D"/>
    <w:rsid w:val="00C509D2"/>
    <w:rsid w:val="00C51CCA"/>
    <w:rsid w:val="00C523ED"/>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252A"/>
    <w:rsid w:val="00C6324D"/>
    <w:rsid w:val="00C64FAE"/>
    <w:rsid w:val="00C66344"/>
    <w:rsid w:val="00C66EDC"/>
    <w:rsid w:val="00C674F7"/>
    <w:rsid w:val="00C67D05"/>
    <w:rsid w:val="00C714EE"/>
    <w:rsid w:val="00C731E1"/>
    <w:rsid w:val="00C73883"/>
    <w:rsid w:val="00C7443F"/>
    <w:rsid w:val="00C745D7"/>
    <w:rsid w:val="00C7702A"/>
    <w:rsid w:val="00C7732F"/>
    <w:rsid w:val="00C773C8"/>
    <w:rsid w:val="00C80A25"/>
    <w:rsid w:val="00C80E5E"/>
    <w:rsid w:val="00C82930"/>
    <w:rsid w:val="00C82C9E"/>
    <w:rsid w:val="00C841BF"/>
    <w:rsid w:val="00C84F61"/>
    <w:rsid w:val="00C8531E"/>
    <w:rsid w:val="00C85560"/>
    <w:rsid w:val="00C85A50"/>
    <w:rsid w:val="00C85B6C"/>
    <w:rsid w:val="00C85ECE"/>
    <w:rsid w:val="00C86BFE"/>
    <w:rsid w:val="00C86D8A"/>
    <w:rsid w:val="00C86FF3"/>
    <w:rsid w:val="00C87E2F"/>
    <w:rsid w:val="00C87F5C"/>
    <w:rsid w:val="00C900B0"/>
    <w:rsid w:val="00C9080B"/>
    <w:rsid w:val="00C90EA7"/>
    <w:rsid w:val="00C90EF9"/>
    <w:rsid w:val="00C9146C"/>
    <w:rsid w:val="00C91711"/>
    <w:rsid w:val="00C91A95"/>
    <w:rsid w:val="00C92931"/>
    <w:rsid w:val="00C92949"/>
    <w:rsid w:val="00C9312F"/>
    <w:rsid w:val="00C94499"/>
    <w:rsid w:val="00C9491A"/>
    <w:rsid w:val="00C94BE9"/>
    <w:rsid w:val="00C95DD7"/>
    <w:rsid w:val="00C95ED6"/>
    <w:rsid w:val="00C96237"/>
    <w:rsid w:val="00C96BBB"/>
    <w:rsid w:val="00CA04D5"/>
    <w:rsid w:val="00CA1AC8"/>
    <w:rsid w:val="00CA1FB0"/>
    <w:rsid w:val="00CA24D1"/>
    <w:rsid w:val="00CA2AD9"/>
    <w:rsid w:val="00CA39CC"/>
    <w:rsid w:val="00CA3C11"/>
    <w:rsid w:val="00CA403D"/>
    <w:rsid w:val="00CA4743"/>
    <w:rsid w:val="00CA57FE"/>
    <w:rsid w:val="00CA5FF6"/>
    <w:rsid w:val="00CA6F32"/>
    <w:rsid w:val="00CA735E"/>
    <w:rsid w:val="00CB01B1"/>
    <w:rsid w:val="00CB138F"/>
    <w:rsid w:val="00CB13CF"/>
    <w:rsid w:val="00CB13E0"/>
    <w:rsid w:val="00CB2282"/>
    <w:rsid w:val="00CB2DE8"/>
    <w:rsid w:val="00CB2F02"/>
    <w:rsid w:val="00CB44CC"/>
    <w:rsid w:val="00CB4522"/>
    <w:rsid w:val="00CB76B8"/>
    <w:rsid w:val="00CB7703"/>
    <w:rsid w:val="00CB77EE"/>
    <w:rsid w:val="00CB783B"/>
    <w:rsid w:val="00CB7AE2"/>
    <w:rsid w:val="00CC1C1E"/>
    <w:rsid w:val="00CC2611"/>
    <w:rsid w:val="00CC2803"/>
    <w:rsid w:val="00CC295E"/>
    <w:rsid w:val="00CC41A0"/>
    <w:rsid w:val="00CC48D6"/>
    <w:rsid w:val="00CC4B7F"/>
    <w:rsid w:val="00CC544C"/>
    <w:rsid w:val="00CC559E"/>
    <w:rsid w:val="00CC707F"/>
    <w:rsid w:val="00CC708A"/>
    <w:rsid w:val="00CC79CD"/>
    <w:rsid w:val="00CD0365"/>
    <w:rsid w:val="00CD1447"/>
    <w:rsid w:val="00CD1841"/>
    <w:rsid w:val="00CD1BF1"/>
    <w:rsid w:val="00CD1D2E"/>
    <w:rsid w:val="00CD27CD"/>
    <w:rsid w:val="00CD4BF8"/>
    <w:rsid w:val="00CD52CD"/>
    <w:rsid w:val="00CD567E"/>
    <w:rsid w:val="00CD63FD"/>
    <w:rsid w:val="00CD652E"/>
    <w:rsid w:val="00CD6828"/>
    <w:rsid w:val="00CD685C"/>
    <w:rsid w:val="00CD68DD"/>
    <w:rsid w:val="00CD7B8B"/>
    <w:rsid w:val="00CE01F8"/>
    <w:rsid w:val="00CE0688"/>
    <w:rsid w:val="00CE0D43"/>
    <w:rsid w:val="00CE1EB8"/>
    <w:rsid w:val="00CE24B9"/>
    <w:rsid w:val="00CE2B04"/>
    <w:rsid w:val="00CE3E8B"/>
    <w:rsid w:val="00CE47DC"/>
    <w:rsid w:val="00CE5298"/>
    <w:rsid w:val="00CE5322"/>
    <w:rsid w:val="00CE58EB"/>
    <w:rsid w:val="00CE705F"/>
    <w:rsid w:val="00CE745E"/>
    <w:rsid w:val="00CF0041"/>
    <w:rsid w:val="00CF0D4B"/>
    <w:rsid w:val="00CF2605"/>
    <w:rsid w:val="00CF2804"/>
    <w:rsid w:val="00CF35B2"/>
    <w:rsid w:val="00CF36C4"/>
    <w:rsid w:val="00CF38D4"/>
    <w:rsid w:val="00CF5C07"/>
    <w:rsid w:val="00CF5CFC"/>
    <w:rsid w:val="00CF7869"/>
    <w:rsid w:val="00D00272"/>
    <w:rsid w:val="00D00AF5"/>
    <w:rsid w:val="00D00E75"/>
    <w:rsid w:val="00D00EE2"/>
    <w:rsid w:val="00D01057"/>
    <w:rsid w:val="00D01917"/>
    <w:rsid w:val="00D01EBC"/>
    <w:rsid w:val="00D0322F"/>
    <w:rsid w:val="00D036AC"/>
    <w:rsid w:val="00D03A19"/>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4CE"/>
    <w:rsid w:val="00D21820"/>
    <w:rsid w:val="00D220F4"/>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648C"/>
    <w:rsid w:val="00D37354"/>
    <w:rsid w:val="00D404B1"/>
    <w:rsid w:val="00D4104F"/>
    <w:rsid w:val="00D425ED"/>
    <w:rsid w:val="00D43988"/>
    <w:rsid w:val="00D450CE"/>
    <w:rsid w:val="00D4707E"/>
    <w:rsid w:val="00D47238"/>
    <w:rsid w:val="00D4762C"/>
    <w:rsid w:val="00D47867"/>
    <w:rsid w:val="00D47B4E"/>
    <w:rsid w:val="00D47EAF"/>
    <w:rsid w:val="00D50B2A"/>
    <w:rsid w:val="00D51517"/>
    <w:rsid w:val="00D52D4A"/>
    <w:rsid w:val="00D52D7F"/>
    <w:rsid w:val="00D53034"/>
    <w:rsid w:val="00D538B0"/>
    <w:rsid w:val="00D541A8"/>
    <w:rsid w:val="00D54991"/>
    <w:rsid w:val="00D55A05"/>
    <w:rsid w:val="00D562A8"/>
    <w:rsid w:val="00D60009"/>
    <w:rsid w:val="00D61A9F"/>
    <w:rsid w:val="00D61EDD"/>
    <w:rsid w:val="00D628AF"/>
    <w:rsid w:val="00D6294B"/>
    <w:rsid w:val="00D654F8"/>
    <w:rsid w:val="00D65F11"/>
    <w:rsid w:val="00D66697"/>
    <w:rsid w:val="00D676B3"/>
    <w:rsid w:val="00D6787A"/>
    <w:rsid w:val="00D67ACA"/>
    <w:rsid w:val="00D67F69"/>
    <w:rsid w:val="00D70DEE"/>
    <w:rsid w:val="00D71103"/>
    <w:rsid w:val="00D71213"/>
    <w:rsid w:val="00D713E4"/>
    <w:rsid w:val="00D72339"/>
    <w:rsid w:val="00D72FAD"/>
    <w:rsid w:val="00D7314F"/>
    <w:rsid w:val="00D73259"/>
    <w:rsid w:val="00D732D3"/>
    <w:rsid w:val="00D73678"/>
    <w:rsid w:val="00D73AF1"/>
    <w:rsid w:val="00D73E64"/>
    <w:rsid w:val="00D74504"/>
    <w:rsid w:val="00D74639"/>
    <w:rsid w:val="00D74926"/>
    <w:rsid w:val="00D75407"/>
    <w:rsid w:val="00D75449"/>
    <w:rsid w:val="00D7563E"/>
    <w:rsid w:val="00D76E21"/>
    <w:rsid w:val="00D770D5"/>
    <w:rsid w:val="00D809B7"/>
    <w:rsid w:val="00D80C1F"/>
    <w:rsid w:val="00D812A9"/>
    <w:rsid w:val="00D813B0"/>
    <w:rsid w:val="00D8141C"/>
    <w:rsid w:val="00D81A57"/>
    <w:rsid w:val="00D81A98"/>
    <w:rsid w:val="00D8269A"/>
    <w:rsid w:val="00D82962"/>
    <w:rsid w:val="00D82A4C"/>
    <w:rsid w:val="00D830B5"/>
    <w:rsid w:val="00D83A65"/>
    <w:rsid w:val="00D846CF"/>
    <w:rsid w:val="00D84999"/>
    <w:rsid w:val="00D85683"/>
    <w:rsid w:val="00D86D21"/>
    <w:rsid w:val="00D8772B"/>
    <w:rsid w:val="00D90824"/>
    <w:rsid w:val="00D90F8A"/>
    <w:rsid w:val="00D91621"/>
    <w:rsid w:val="00D9180B"/>
    <w:rsid w:val="00D925BC"/>
    <w:rsid w:val="00D9323B"/>
    <w:rsid w:val="00D937B4"/>
    <w:rsid w:val="00D94EB6"/>
    <w:rsid w:val="00D95111"/>
    <w:rsid w:val="00D954B6"/>
    <w:rsid w:val="00D9553A"/>
    <w:rsid w:val="00D958D2"/>
    <w:rsid w:val="00D95C5C"/>
    <w:rsid w:val="00D96B91"/>
    <w:rsid w:val="00D9740F"/>
    <w:rsid w:val="00D97545"/>
    <w:rsid w:val="00D9787B"/>
    <w:rsid w:val="00D97BA1"/>
    <w:rsid w:val="00DA09FC"/>
    <w:rsid w:val="00DA0A19"/>
    <w:rsid w:val="00DA16AA"/>
    <w:rsid w:val="00DA28A7"/>
    <w:rsid w:val="00DA2BB0"/>
    <w:rsid w:val="00DA2FCA"/>
    <w:rsid w:val="00DA348E"/>
    <w:rsid w:val="00DA373A"/>
    <w:rsid w:val="00DA4A4E"/>
    <w:rsid w:val="00DA59D2"/>
    <w:rsid w:val="00DA5A9C"/>
    <w:rsid w:val="00DA5F60"/>
    <w:rsid w:val="00DA6E9D"/>
    <w:rsid w:val="00DA6FF3"/>
    <w:rsid w:val="00DB0066"/>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6937"/>
    <w:rsid w:val="00DD7F9B"/>
    <w:rsid w:val="00DE1C74"/>
    <w:rsid w:val="00DE1CCF"/>
    <w:rsid w:val="00DE31EE"/>
    <w:rsid w:val="00DE3385"/>
    <w:rsid w:val="00DE3CA1"/>
    <w:rsid w:val="00DE4007"/>
    <w:rsid w:val="00DE4053"/>
    <w:rsid w:val="00DE4638"/>
    <w:rsid w:val="00DE4651"/>
    <w:rsid w:val="00DE4FEE"/>
    <w:rsid w:val="00DE534A"/>
    <w:rsid w:val="00DE55FD"/>
    <w:rsid w:val="00DE60A8"/>
    <w:rsid w:val="00DE7265"/>
    <w:rsid w:val="00DE7525"/>
    <w:rsid w:val="00DE7C1C"/>
    <w:rsid w:val="00DF0111"/>
    <w:rsid w:val="00DF01E6"/>
    <w:rsid w:val="00DF14DF"/>
    <w:rsid w:val="00DF2247"/>
    <w:rsid w:val="00DF2353"/>
    <w:rsid w:val="00DF3AB2"/>
    <w:rsid w:val="00DF4074"/>
    <w:rsid w:val="00DF4116"/>
    <w:rsid w:val="00DF5129"/>
    <w:rsid w:val="00DF5784"/>
    <w:rsid w:val="00DF58B8"/>
    <w:rsid w:val="00DF5FF8"/>
    <w:rsid w:val="00DF6EE5"/>
    <w:rsid w:val="00DF7E7E"/>
    <w:rsid w:val="00E0077B"/>
    <w:rsid w:val="00E00898"/>
    <w:rsid w:val="00E01095"/>
    <w:rsid w:val="00E03634"/>
    <w:rsid w:val="00E050B6"/>
    <w:rsid w:val="00E0557E"/>
    <w:rsid w:val="00E05980"/>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0BB5"/>
    <w:rsid w:val="00E21F5A"/>
    <w:rsid w:val="00E221D8"/>
    <w:rsid w:val="00E23BDA"/>
    <w:rsid w:val="00E24DF5"/>
    <w:rsid w:val="00E25124"/>
    <w:rsid w:val="00E261F8"/>
    <w:rsid w:val="00E26E25"/>
    <w:rsid w:val="00E27DF3"/>
    <w:rsid w:val="00E3110A"/>
    <w:rsid w:val="00E319DC"/>
    <w:rsid w:val="00E324AD"/>
    <w:rsid w:val="00E32C41"/>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2F2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BB7"/>
    <w:rsid w:val="00E64EEE"/>
    <w:rsid w:val="00E66F49"/>
    <w:rsid w:val="00E721A9"/>
    <w:rsid w:val="00E73549"/>
    <w:rsid w:val="00E73FCA"/>
    <w:rsid w:val="00E7484F"/>
    <w:rsid w:val="00E74861"/>
    <w:rsid w:val="00E74B50"/>
    <w:rsid w:val="00E74EC9"/>
    <w:rsid w:val="00E75572"/>
    <w:rsid w:val="00E75733"/>
    <w:rsid w:val="00E75A9D"/>
    <w:rsid w:val="00E77754"/>
    <w:rsid w:val="00E80CF7"/>
    <w:rsid w:val="00E80FB4"/>
    <w:rsid w:val="00E81B8E"/>
    <w:rsid w:val="00E81ED7"/>
    <w:rsid w:val="00E8369B"/>
    <w:rsid w:val="00E8377F"/>
    <w:rsid w:val="00E83850"/>
    <w:rsid w:val="00E85244"/>
    <w:rsid w:val="00E85A96"/>
    <w:rsid w:val="00E86159"/>
    <w:rsid w:val="00E86741"/>
    <w:rsid w:val="00E87AE4"/>
    <w:rsid w:val="00E900B3"/>
    <w:rsid w:val="00E90A5A"/>
    <w:rsid w:val="00E90C1F"/>
    <w:rsid w:val="00E9124A"/>
    <w:rsid w:val="00E9222C"/>
    <w:rsid w:val="00E9296D"/>
    <w:rsid w:val="00E92AA5"/>
    <w:rsid w:val="00E94509"/>
    <w:rsid w:val="00E94A0D"/>
    <w:rsid w:val="00E9558B"/>
    <w:rsid w:val="00E95A44"/>
    <w:rsid w:val="00E95D1B"/>
    <w:rsid w:val="00E969A4"/>
    <w:rsid w:val="00E9735C"/>
    <w:rsid w:val="00EA234B"/>
    <w:rsid w:val="00EA274B"/>
    <w:rsid w:val="00EA2EFA"/>
    <w:rsid w:val="00EA3184"/>
    <w:rsid w:val="00EA3732"/>
    <w:rsid w:val="00EA3794"/>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12C"/>
    <w:rsid w:val="00EB2216"/>
    <w:rsid w:val="00EB27D1"/>
    <w:rsid w:val="00EB33F4"/>
    <w:rsid w:val="00EB3B9C"/>
    <w:rsid w:val="00EB40E0"/>
    <w:rsid w:val="00EB4C04"/>
    <w:rsid w:val="00EB6502"/>
    <w:rsid w:val="00EB7D9C"/>
    <w:rsid w:val="00EC01F0"/>
    <w:rsid w:val="00EC1406"/>
    <w:rsid w:val="00EC1526"/>
    <w:rsid w:val="00EC23F3"/>
    <w:rsid w:val="00EC2677"/>
    <w:rsid w:val="00EC2AB5"/>
    <w:rsid w:val="00EC36F2"/>
    <w:rsid w:val="00EC4920"/>
    <w:rsid w:val="00EC4B79"/>
    <w:rsid w:val="00EC4F33"/>
    <w:rsid w:val="00EC7E82"/>
    <w:rsid w:val="00ED0B81"/>
    <w:rsid w:val="00ED19B3"/>
    <w:rsid w:val="00ED1A64"/>
    <w:rsid w:val="00ED28DD"/>
    <w:rsid w:val="00ED421C"/>
    <w:rsid w:val="00ED43A6"/>
    <w:rsid w:val="00ED502A"/>
    <w:rsid w:val="00ED69B3"/>
    <w:rsid w:val="00ED6AF3"/>
    <w:rsid w:val="00ED6FB9"/>
    <w:rsid w:val="00ED7371"/>
    <w:rsid w:val="00ED7E2F"/>
    <w:rsid w:val="00ED7EA8"/>
    <w:rsid w:val="00EE1313"/>
    <w:rsid w:val="00EE2126"/>
    <w:rsid w:val="00EE2F90"/>
    <w:rsid w:val="00EE3363"/>
    <w:rsid w:val="00EE3725"/>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07B03"/>
    <w:rsid w:val="00F115A2"/>
    <w:rsid w:val="00F11635"/>
    <w:rsid w:val="00F11928"/>
    <w:rsid w:val="00F12D86"/>
    <w:rsid w:val="00F131AA"/>
    <w:rsid w:val="00F131FD"/>
    <w:rsid w:val="00F1350B"/>
    <w:rsid w:val="00F13B05"/>
    <w:rsid w:val="00F13B5A"/>
    <w:rsid w:val="00F13EED"/>
    <w:rsid w:val="00F15AF2"/>
    <w:rsid w:val="00F21290"/>
    <w:rsid w:val="00F2299F"/>
    <w:rsid w:val="00F231F0"/>
    <w:rsid w:val="00F24787"/>
    <w:rsid w:val="00F25311"/>
    <w:rsid w:val="00F259A5"/>
    <w:rsid w:val="00F263E5"/>
    <w:rsid w:val="00F301E0"/>
    <w:rsid w:val="00F307CC"/>
    <w:rsid w:val="00F30BBA"/>
    <w:rsid w:val="00F31630"/>
    <w:rsid w:val="00F31A8F"/>
    <w:rsid w:val="00F320C0"/>
    <w:rsid w:val="00F32D63"/>
    <w:rsid w:val="00F34012"/>
    <w:rsid w:val="00F343A3"/>
    <w:rsid w:val="00F34A86"/>
    <w:rsid w:val="00F34C99"/>
    <w:rsid w:val="00F3531A"/>
    <w:rsid w:val="00F353E8"/>
    <w:rsid w:val="00F41DB0"/>
    <w:rsid w:val="00F439BB"/>
    <w:rsid w:val="00F43CEB"/>
    <w:rsid w:val="00F449D7"/>
    <w:rsid w:val="00F457C9"/>
    <w:rsid w:val="00F460C4"/>
    <w:rsid w:val="00F461AE"/>
    <w:rsid w:val="00F467F9"/>
    <w:rsid w:val="00F47426"/>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1A48"/>
    <w:rsid w:val="00F82021"/>
    <w:rsid w:val="00F82080"/>
    <w:rsid w:val="00F82A7B"/>
    <w:rsid w:val="00F8476C"/>
    <w:rsid w:val="00F850A1"/>
    <w:rsid w:val="00F85CBD"/>
    <w:rsid w:val="00F87810"/>
    <w:rsid w:val="00F905B8"/>
    <w:rsid w:val="00F91164"/>
    <w:rsid w:val="00F91292"/>
    <w:rsid w:val="00F91D47"/>
    <w:rsid w:val="00F92B0F"/>
    <w:rsid w:val="00F9354E"/>
    <w:rsid w:val="00F941FC"/>
    <w:rsid w:val="00F96D24"/>
    <w:rsid w:val="00F97093"/>
    <w:rsid w:val="00F97FF3"/>
    <w:rsid w:val="00FA0091"/>
    <w:rsid w:val="00FA1AA9"/>
    <w:rsid w:val="00FA2C8B"/>
    <w:rsid w:val="00FA375E"/>
    <w:rsid w:val="00FA3E0C"/>
    <w:rsid w:val="00FA4FBA"/>
    <w:rsid w:val="00FA5580"/>
    <w:rsid w:val="00FA655A"/>
    <w:rsid w:val="00FA69C3"/>
    <w:rsid w:val="00FA6AAC"/>
    <w:rsid w:val="00FA6CBC"/>
    <w:rsid w:val="00FA6D48"/>
    <w:rsid w:val="00FA7027"/>
    <w:rsid w:val="00FA7775"/>
    <w:rsid w:val="00FA7EC0"/>
    <w:rsid w:val="00FB1729"/>
    <w:rsid w:val="00FB30A2"/>
    <w:rsid w:val="00FB4993"/>
    <w:rsid w:val="00FB4FEE"/>
    <w:rsid w:val="00FC072E"/>
    <w:rsid w:val="00FC1364"/>
    <w:rsid w:val="00FC39F6"/>
    <w:rsid w:val="00FC4323"/>
    <w:rsid w:val="00FC4F92"/>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4A75"/>
    <w:rsid w:val="00FD54E6"/>
    <w:rsid w:val="00FD5688"/>
    <w:rsid w:val="00FD5725"/>
    <w:rsid w:val="00FD5E1C"/>
    <w:rsid w:val="00FD5F36"/>
    <w:rsid w:val="00FD6624"/>
    <w:rsid w:val="00FD7F6B"/>
    <w:rsid w:val="00FE0948"/>
    <w:rsid w:val="00FE1880"/>
    <w:rsid w:val="00FE304D"/>
    <w:rsid w:val="00FE3256"/>
    <w:rsid w:val="00FE3F8E"/>
    <w:rsid w:val="00FE445D"/>
    <w:rsid w:val="00FE47ED"/>
    <w:rsid w:val="00FE5101"/>
    <w:rsid w:val="00FE5EA3"/>
    <w:rsid w:val="00FE61DC"/>
    <w:rsid w:val="00FE67D0"/>
    <w:rsid w:val="00FE689B"/>
    <w:rsid w:val="00FE7081"/>
    <w:rsid w:val="00FE79CE"/>
    <w:rsid w:val="00FF06FA"/>
    <w:rsid w:val="00FF081E"/>
    <w:rsid w:val="00FF145C"/>
    <w:rsid w:val="00FF26EE"/>
    <w:rsid w:val="00FF28EC"/>
    <w:rsid w:val="00FF47A3"/>
    <w:rsid w:val="00FF4B3F"/>
    <w:rsid w:val="00FF4B43"/>
    <w:rsid w:val="00FF574F"/>
    <w:rsid w:val="01062EEC"/>
    <w:rsid w:val="010D7DD7"/>
    <w:rsid w:val="011E42FB"/>
    <w:rsid w:val="012146C6"/>
    <w:rsid w:val="01347A59"/>
    <w:rsid w:val="018E4D89"/>
    <w:rsid w:val="01A9592D"/>
    <w:rsid w:val="01B3097E"/>
    <w:rsid w:val="01E274B5"/>
    <w:rsid w:val="01FE26FC"/>
    <w:rsid w:val="02313F99"/>
    <w:rsid w:val="0243264B"/>
    <w:rsid w:val="024912E2"/>
    <w:rsid w:val="02592399"/>
    <w:rsid w:val="028916DF"/>
    <w:rsid w:val="02902A6D"/>
    <w:rsid w:val="02D31698"/>
    <w:rsid w:val="02DA1580"/>
    <w:rsid w:val="033E696D"/>
    <w:rsid w:val="0374413D"/>
    <w:rsid w:val="038A1BB2"/>
    <w:rsid w:val="03A20ACB"/>
    <w:rsid w:val="03B804CE"/>
    <w:rsid w:val="03E2670F"/>
    <w:rsid w:val="03EC2B06"/>
    <w:rsid w:val="040B54CA"/>
    <w:rsid w:val="0458580D"/>
    <w:rsid w:val="04730898"/>
    <w:rsid w:val="04732647"/>
    <w:rsid w:val="04A03468"/>
    <w:rsid w:val="04A44EF6"/>
    <w:rsid w:val="04B05649"/>
    <w:rsid w:val="04FC088E"/>
    <w:rsid w:val="052703A9"/>
    <w:rsid w:val="054162A1"/>
    <w:rsid w:val="05504736"/>
    <w:rsid w:val="057743B8"/>
    <w:rsid w:val="05821997"/>
    <w:rsid w:val="058A40EC"/>
    <w:rsid w:val="05912835"/>
    <w:rsid w:val="05CF1AFF"/>
    <w:rsid w:val="062C463F"/>
    <w:rsid w:val="0639341C"/>
    <w:rsid w:val="06823015"/>
    <w:rsid w:val="06C76C7A"/>
    <w:rsid w:val="06E7576D"/>
    <w:rsid w:val="06FF6413"/>
    <w:rsid w:val="07021F31"/>
    <w:rsid w:val="070659F4"/>
    <w:rsid w:val="070D0B30"/>
    <w:rsid w:val="071562FC"/>
    <w:rsid w:val="075449B1"/>
    <w:rsid w:val="075524D7"/>
    <w:rsid w:val="07694C43"/>
    <w:rsid w:val="076B5857"/>
    <w:rsid w:val="08435AFA"/>
    <w:rsid w:val="08465C44"/>
    <w:rsid w:val="085052C8"/>
    <w:rsid w:val="0854486F"/>
    <w:rsid w:val="087C6CB3"/>
    <w:rsid w:val="088C4039"/>
    <w:rsid w:val="08C72F61"/>
    <w:rsid w:val="08CB2A51"/>
    <w:rsid w:val="08DD09D6"/>
    <w:rsid w:val="090C7C1B"/>
    <w:rsid w:val="091A0E0E"/>
    <w:rsid w:val="098175B4"/>
    <w:rsid w:val="09B449E0"/>
    <w:rsid w:val="09FC4E8C"/>
    <w:rsid w:val="0AAC0660"/>
    <w:rsid w:val="0ACB4F8A"/>
    <w:rsid w:val="0ACB5747"/>
    <w:rsid w:val="0AFA069B"/>
    <w:rsid w:val="0B0C55A3"/>
    <w:rsid w:val="0B664CB3"/>
    <w:rsid w:val="0BB7550F"/>
    <w:rsid w:val="0BE04A65"/>
    <w:rsid w:val="0BE107DE"/>
    <w:rsid w:val="0C4C5587"/>
    <w:rsid w:val="0C9355A8"/>
    <w:rsid w:val="0C9C6814"/>
    <w:rsid w:val="0CB63A18"/>
    <w:rsid w:val="0CC7352F"/>
    <w:rsid w:val="0CD7315C"/>
    <w:rsid w:val="0CEA1990"/>
    <w:rsid w:val="0CFB142B"/>
    <w:rsid w:val="0D5F19BA"/>
    <w:rsid w:val="0D752971"/>
    <w:rsid w:val="0D7749BA"/>
    <w:rsid w:val="0D782DDE"/>
    <w:rsid w:val="0DAD4E1B"/>
    <w:rsid w:val="0DAE2941"/>
    <w:rsid w:val="0DBE2B84"/>
    <w:rsid w:val="0DDF0D4D"/>
    <w:rsid w:val="0DEF585A"/>
    <w:rsid w:val="0E3B2427"/>
    <w:rsid w:val="0E501060"/>
    <w:rsid w:val="0E5434E9"/>
    <w:rsid w:val="0E680D42"/>
    <w:rsid w:val="0E6E6F80"/>
    <w:rsid w:val="0E7B2823"/>
    <w:rsid w:val="0ED71A24"/>
    <w:rsid w:val="0EE860A7"/>
    <w:rsid w:val="0F184516"/>
    <w:rsid w:val="0F9811B3"/>
    <w:rsid w:val="0FB56209"/>
    <w:rsid w:val="0FE4264A"/>
    <w:rsid w:val="0FE607CA"/>
    <w:rsid w:val="0FF87EA4"/>
    <w:rsid w:val="0FF94323"/>
    <w:rsid w:val="10127524"/>
    <w:rsid w:val="103A04BC"/>
    <w:rsid w:val="104B4477"/>
    <w:rsid w:val="104E2D0D"/>
    <w:rsid w:val="108D4A90"/>
    <w:rsid w:val="10A1053B"/>
    <w:rsid w:val="10D90C1A"/>
    <w:rsid w:val="11096327"/>
    <w:rsid w:val="117814DA"/>
    <w:rsid w:val="11A37A6B"/>
    <w:rsid w:val="11BD13A5"/>
    <w:rsid w:val="11CE35B2"/>
    <w:rsid w:val="11E3705D"/>
    <w:rsid w:val="1222745A"/>
    <w:rsid w:val="127C3F7B"/>
    <w:rsid w:val="12810624"/>
    <w:rsid w:val="13392CAD"/>
    <w:rsid w:val="133E2072"/>
    <w:rsid w:val="139879D4"/>
    <w:rsid w:val="13AE71F7"/>
    <w:rsid w:val="13B10A95"/>
    <w:rsid w:val="13BE4B8E"/>
    <w:rsid w:val="140C2170"/>
    <w:rsid w:val="147F0B94"/>
    <w:rsid w:val="14924987"/>
    <w:rsid w:val="14D62EA9"/>
    <w:rsid w:val="14E54E9B"/>
    <w:rsid w:val="15251355"/>
    <w:rsid w:val="153951E6"/>
    <w:rsid w:val="15F80BFE"/>
    <w:rsid w:val="161A1EE6"/>
    <w:rsid w:val="16691AFB"/>
    <w:rsid w:val="16AB3EC2"/>
    <w:rsid w:val="16B20DAC"/>
    <w:rsid w:val="16B83CF9"/>
    <w:rsid w:val="17410382"/>
    <w:rsid w:val="17793FC0"/>
    <w:rsid w:val="1787048B"/>
    <w:rsid w:val="17B212B7"/>
    <w:rsid w:val="180563E2"/>
    <w:rsid w:val="185C46A5"/>
    <w:rsid w:val="1890336F"/>
    <w:rsid w:val="18C354F3"/>
    <w:rsid w:val="18DF7C0E"/>
    <w:rsid w:val="18FE29CF"/>
    <w:rsid w:val="192F2B88"/>
    <w:rsid w:val="19616ABA"/>
    <w:rsid w:val="196813EC"/>
    <w:rsid w:val="198C7D83"/>
    <w:rsid w:val="198E1224"/>
    <w:rsid w:val="19EC6CCB"/>
    <w:rsid w:val="19EF48CD"/>
    <w:rsid w:val="1A0F6942"/>
    <w:rsid w:val="1A7F48EC"/>
    <w:rsid w:val="1A937147"/>
    <w:rsid w:val="1AA50377"/>
    <w:rsid w:val="1AC27A2C"/>
    <w:rsid w:val="1ADA4D76"/>
    <w:rsid w:val="1B122762"/>
    <w:rsid w:val="1B1E2EB4"/>
    <w:rsid w:val="1B9C64CF"/>
    <w:rsid w:val="1BFF5B2E"/>
    <w:rsid w:val="1C1F5136"/>
    <w:rsid w:val="1C231486"/>
    <w:rsid w:val="1C3B329B"/>
    <w:rsid w:val="1C683D33"/>
    <w:rsid w:val="1CFD42AA"/>
    <w:rsid w:val="1CFF2872"/>
    <w:rsid w:val="1D012A8E"/>
    <w:rsid w:val="1D156539"/>
    <w:rsid w:val="1D2B3667"/>
    <w:rsid w:val="1D7E40DE"/>
    <w:rsid w:val="1DA13929"/>
    <w:rsid w:val="1E0A5972"/>
    <w:rsid w:val="1E0F4D36"/>
    <w:rsid w:val="1E2E78B2"/>
    <w:rsid w:val="1E3D2D20"/>
    <w:rsid w:val="1E3D7AF5"/>
    <w:rsid w:val="1E3E73CA"/>
    <w:rsid w:val="1E4A2212"/>
    <w:rsid w:val="1E76046A"/>
    <w:rsid w:val="1E7D7EF2"/>
    <w:rsid w:val="1E8474D2"/>
    <w:rsid w:val="1EEA0FD6"/>
    <w:rsid w:val="1F016D75"/>
    <w:rsid w:val="1F2667DB"/>
    <w:rsid w:val="1F3F5AEF"/>
    <w:rsid w:val="1FFC578E"/>
    <w:rsid w:val="1FFF4758"/>
    <w:rsid w:val="20062169"/>
    <w:rsid w:val="20474C5B"/>
    <w:rsid w:val="205C7FDB"/>
    <w:rsid w:val="20765541"/>
    <w:rsid w:val="208512E0"/>
    <w:rsid w:val="20985170"/>
    <w:rsid w:val="20A67E18"/>
    <w:rsid w:val="20DF4E94"/>
    <w:rsid w:val="20E26732"/>
    <w:rsid w:val="20FF5536"/>
    <w:rsid w:val="21464F13"/>
    <w:rsid w:val="21466CC1"/>
    <w:rsid w:val="21515666"/>
    <w:rsid w:val="217C09A7"/>
    <w:rsid w:val="218D2B42"/>
    <w:rsid w:val="219A1B7F"/>
    <w:rsid w:val="21C665C1"/>
    <w:rsid w:val="21E86250"/>
    <w:rsid w:val="21FA7AAB"/>
    <w:rsid w:val="22196184"/>
    <w:rsid w:val="229879F0"/>
    <w:rsid w:val="22FE5379"/>
    <w:rsid w:val="23735D67"/>
    <w:rsid w:val="23AA6A32"/>
    <w:rsid w:val="23CB5BA3"/>
    <w:rsid w:val="23F76998"/>
    <w:rsid w:val="24156E1F"/>
    <w:rsid w:val="24286B52"/>
    <w:rsid w:val="243F5C4A"/>
    <w:rsid w:val="248024EA"/>
    <w:rsid w:val="25445C0D"/>
    <w:rsid w:val="25B83F05"/>
    <w:rsid w:val="25BF34E6"/>
    <w:rsid w:val="25D074A1"/>
    <w:rsid w:val="25DA0320"/>
    <w:rsid w:val="25DC5E46"/>
    <w:rsid w:val="25F11338"/>
    <w:rsid w:val="261849A4"/>
    <w:rsid w:val="26235823"/>
    <w:rsid w:val="268B781B"/>
    <w:rsid w:val="269B7AAF"/>
    <w:rsid w:val="26B40B71"/>
    <w:rsid w:val="26F70A5D"/>
    <w:rsid w:val="27180D71"/>
    <w:rsid w:val="272A2BE1"/>
    <w:rsid w:val="27AB439F"/>
    <w:rsid w:val="27C64431"/>
    <w:rsid w:val="27D21F0C"/>
    <w:rsid w:val="27E014F2"/>
    <w:rsid w:val="27F16003"/>
    <w:rsid w:val="284C00F1"/>
    <w:rsid w:val="28597616"/>
    <w:rsid w:val="287560DE"/>
    <w:rsid w:val="289309DF"/>
    <w:rsid w:val="28A15125"/>
    <w:rsid w:val="28A54C15"/>
    <w:rsid w:val="28AF656F"/>
    <w:rsid w:val="28B61661"/>
    <w:rsid w:val="28D23530"/>
    <w:rsid w:val="28DA6DC4"/>
    <w:rsid w:val="28F214DC"/>
    <w:rsid w:val="29232D68"/>
    <w:rsid w:val="292A6EC8"/>
    <w:rsid w:val="292C2C40"/>
    <w:rsid w:val="29362978"/>
    <w:rsid w:val="293B2E83"/>
    <w:rsid w:val="29437F8A"/>
    <w:rsid w:val="294D2BB7"/>
    <w:rsid w:val="296B2F5E"/>
    <w:rsid w:val="2987256D"/>
    <w:rsid w:val="299B6018"/>
    <w:rsid w:val="2A0140CD"/>
    <w:rsid w:val="2A1F27A5"/>
    <w:rsid w:val="2A236BA5"/>
    <w:rsid w:val="2A263B34"/>
    <w:rsid w:val="2A7A3E7F"/>
    <w:rsid w:val="2AD27817"/>
    <w:rsid w:val="2AF23A16"/>
    <w:rsid w:val="2B033371"/>
    <w:rsid w:val="2B54647E"/>
    <w:rsid w:val="2B626DED"/>
    <w:rsid w:val="2B69017C"/>
    <w:rsid w:val="2B8D100C"/>
    <w:rsid w:val="2B8F5708"/>
    <w:rsid w:val="2B940F71"/>
    <w:rsid w:val="2C240F34"/>
    <w:rsid w:val="2C2440A3"/>
    <w:rsid w:val="2C3D6F12"/>
    <w:rsid w:val="2C456736"/>
    <w:rsid w:val="2C64115C"/>
    <w:rsid w:val="2C970D19"/>
    <w:rsid w:val="2CA945A8"/>
    <w:rsid w:val="2CB27900"/>
    <w:rsid w:val="2CE55C70"/>
    <w:rsid w:val="2CEF2903"/>
    <w:rsid w:val="2CFD2074"/>
    <w:rsid w:val="2D012636"/>
    <w:rsid w:val="2D0B54A3"/>
    <w:rsid w:val="2D214A86"/>
    <w:rsid w:val="2D331AE8"/>
    <w:rsid w:val="2D7719E8"/>
    <w:rsid w:val="2D865225"/>
    <w:rsid w:val="2D8E6140"/>
    <w:rsid w:val="2DBE17D7"/>
    <w:rsid w:val="2DF67CC1"/>
    <w:rsid w:val="2E051CB2"/>
    <w:rsid w:val="2E304F81"/>
    <w:rsid w:val="2E56075F"/>
    <w:rsid w:val="2EAA73B0"/>
    <w:rsid w:val="2EDD678B"/>
    <w:rsid w:val="2EE30245"/>
    <w:rsid w:val="2F0361F1"/>
    <w:rsid w:val="2F1523C9"/>
    <w:rsid w:val="2F3A3BDD"/>
    <w:rsid w:val="2F3B1E2F"/>
    <w:rsid w:val="2F4A3E20"/>
    <w:rsid w:val="2F4E4BAC"/>
    <w:rsid w:val="2F594063"/>
    <w:rsid w:val="2F676D98"/>
    <w:rsid w:val="2FF40230"/>
    <w:rsid w:val="300801AF"/>
    <w:rsid w:val="30330D58"/>
    <w:rsid w:val="303D5733"/>
    <w:rsid w:val="3063463F"/>
    <w:rsid w:val="30954C40"/>
    <w:rsid w:val="30B8125D"/>
    <w:rsid w:val="31175F84"/>
    <w:rsid w:val="31225815"/>
    <w:rsid w:val="31666F0B"/>
    <w:rsid w:val="316A69FC"/>
    <w:rsid w:val="316F4012"/>
    <w:rsid w:val="31784976"/>
    <w:rsid w:val="318555E4"/>
    <w:rsid w:val="31BC1D43"/>
    <w:rsid w:val="31CD2AE7"/>
    <w:rsid w:val="321107A2"/>
    <w:rsid w:val="321B1AA4"/>
    <w:rsid w:val="322A1CE7"/>
    <w:rsid w:val="324B16F5"/>
    <w:rsid w:val="325103CA"/>
    <w:rsid w:val="32794A1C"/>
    <w:rsid w:val="32892EB1"/>
    <w:rsid w:val="32BA750F"/>
    <w:rsid w:val="32FF3174"/>
    <w:rsid w:val="33233306"/>
    <w:rsid w:val="33386686"/>
    <w:rsid w:val="33423060"/>
    <w:rsid w:val="335D0CAA"/>
    <w:rsid w:val="3376133B"/>
    <w:rsid w:val="338B51B6"/>
    <w:rsid w:val="33A67A93"/>
    <w:rsid w:val="33B67A9F"/>
    <w:rsid w:val="33CF6FEA"/>
    <w:rsid w:val="33D91C17"/>
    <w:rsid w:val="33E365F1"/>
    <w:rsid w:val="340B78F6"/>
    <w:rsid w:val="34147CF3"/>
    <w:rsid w:val="342963DF"/>
    <w:rsid w:val="342D5ABF"/>
    <w:rsid w:val="34346E4D"/>
    <w:rsid w:val="343531AB"/>
    <w:rsid w:val="345C4655"/>
    <w:rsid w:val="34BB131C"/>
    <w:rsid w:val="34DD74E5"/>
    <w:rsid w:val="34E60A39"/>
    <w:rsid w:val="350B22A4"/>
    <w:rsid w:val="3511695E"/>
    <w:rsid w:val="35422F87"/>
    <w:rsid w:val="356814A4"/>
    <w:rsid w:val="357C29C0"/>
    <w:rsid w:val="35A95619"/>
    <w:rsid w:val="35BE4133"/>
    <w:rsid w:val="35D22DC1"/>
    <w:rsid w:val="361138EA"/>
    <w:rsid w:val="361A338E"/>
    <w:rsid w:val="366D6646"/>
    <w:rsid w:val="36820344"/>
    <w:rsid w:val="36934A86"/>
    <w:rsid w:val="36985DB9"/>
    <w:rsid w:val="36BD767D"/>
    <w:rsid w:val="36CE088C"/>
    <w:rsid w:val="36E50120"/>
    <w:rsid w:val="36F86858"/>
    <w:rsid w:val="36FE6E72"/>
    <w:rsid w:val="372376B1"/>
    <w:rsid w:val="374B2E2B"/>
    <w:rsid w:val="37620175"/>
    <w:rsid w:val="376265C6"/>
    <w:rsid w:val="3793032E"/>
    <w:rsid w:val="379A790F"/>
    <w:rsid w:val="37AB58F1"/>
    <w:rsid w:val="38124A6D"/>
    <w:rsid w:val="385C2E16"/>
    <w:rsid w:val="38675A43"/>
    <w:rsid w:val="38710670"/>
    <w:rsid w:val="388E7474"/>
    <w:rsid w:val="389600D6"/>
    <w:rsid w:val="38F117B0"/>
    <w:rsid w:val="39080F30"/>
    <w:rsid w:val="391F09BC"/>
    <w:rsid w:val="393567AD"/>
    <w:rsid w:val="39382F3B"/>
    <w:rsid w:val="398C5C35"/>
    <w:rsid w:val="399B32A6"/>
    <w:rsid w:val="39A61E91"/>
    <w:rsid w:val="39AB195F"/>
    <w:rsid w:val="39B8407C"/>
    <w:rsid w:val="39BC3B6C"/>
    <w:rsid w:val="39CE564E"/>
    <w:rsid w:val="3A080B60"/>
    <w:rsid w:val="3A410516"/>
    <w:rsid w:val="3A5048EC"/>
    <w:rsid w:val="3A555D6F"/>
    <w:rsid w:val="3A577D39"/>
    <w:rsid w:val="3A9E3272"/>
    <w:rsid w:val="3AB94550"/>
    <w:rsid w:val="3AD849D6"/>
    <w:rsid w:val="3AE351DB"/>
    <w:rsid w:val="3AF70BD4"/>
    <w:rsid w:val="3B07670B"/>
    <w:rsid w:val="3B2C6AD0"/>
    <w:rsid w:val="3B455DE4"/>
    <w:rsid w:val="3B7A3CDF"/>
    <w:rsid w:val="3B927F7A"/>
    <w:rsid w:val="3BD01B51"/>
    <w:rsid w:val="3BEB698B"/>
    <w:rsid w:val="3C2F45AC"/>
    <w:rsid w:val="3C461E13"/>
    <w:rsid w:val="3C5A766D"/>
    <w:rsid w:val="3C7544A7"/>
    <w:rsid w:val="3CB23005"/>
    <w:rsid w:val="3CCF3BB7"/>
    <w:rsid w:val="3CDF3135"/>
    <w:rsid w:val="3CE15104"/>
    <w:rsid w:val="3CFD4BC8"/>
    <w:rsid w:val="3D1E4B3E"/>
    <w:rsid w:val="3D3954D4"/>
    <w:rsid w:val="3D6C7658"/>
    <w:rsid w:val="3D850719"/>
    <w:rsid w:val="3DC254CA"/>
    <w:rsid w:val="3E776616"/>
    <w:rsid w:val="3EA03A5D"/>
    <w:rsid w:val="3ED84D68"/>
    <w:rsid w:val="3EEA2F2A"/>
    <w:rsid w:val="3F081602"/>
    <w:rsid w:val="3F463D0F"/>
    <w:rsid w:val="3F632CDC"/>
    <w:rsid w:val="3F634225"/>
    <w:rsid w:val="3F676329"/>
    <w:rsid w:val="3F7E3672"/>
    <w:rsid w:val="3FA81937"/>
    <w:rsid w:val="3FB269C3"/>
    <w:rsid w:val="401221A3"/>
    <w:rsid w:val="401C4178"/>
    <w:rsid w:val="40291830"/>
    <w:rsid w:val="406C796F"/>
    <w:rsid w:val="40771F3B"/>
    <w:rsid w:val="410061AC"/>
    <w:rsid w:val="41023479"/>
    <w:rsid w:val="41086856"/>
    <w:rsid w:val="41313092"/>
    <w:rsid w:val="41405083"/>
    <w:rsid w:val="4151103E"/>
    <w:rsid w:val="41571D6E"/>
    <w:rsid w:val="4174508F"/>
    <w:rsid w:val="418D4040"/>
    <w:rsid w:val="41B63597"/>
    <w:rsid w:val="41BB0BAE"/>
    <w:rsid w:val="41BD0482"/>
    <w:rsid w:val="41D85AC1"/>
    <w:rsid w:val="420718AB"/>
    <w:rsid w:val="42770F78"/>
    <w:rsid w:val="42E303BC"/>
    <w:rsid w:val="42E331B5"/>
    <w:rsid w:val="42F500EF"/>
    <w:rsid w:val="434B5FC5"/>
    <w:rsid w:val="43911BC6"/>
    <w:rsid w:val="43A23DD3"/>
    <w:rsid w:val="43AD4526"/>
    <w:rsid w:val="43E3619A"/>
    <w:rsid w:val="43FE4D82"/>
    <w:rsid w:val="440A4DD0"/>
    <w:rsid w:val="44316776"/>
    <w:rsid w:val="44333BC3"/>
    <w:rsid w:val="44466E54"/>
    <w:rsid w:val="445A2900"/>
    <w:rsid w:val="446F0DF1"/>
    <w:rsid w:val="44BB7F43"/>
    <w:rsid w:val="4524142E"/>
    <w:rsid w:val="45464C32"/>
    <w:rsid w:val="454722BC"/>
    <w:rsid w:val="45E00BE3"/>
    <w:rsid w:val="464D6693"/>
    <w:rsid w:val="465810C1"/>
    <w:rsid w:val="46843C64"/>
    <w:rsid w:val="469320F9"/>
    <w:rsid w:val="46D22C21"/>
    <w:rsid w:val="47043965"/>
    <w:rsid w:val="472745EF"/>
    <w:rsid w:val="47656BD8"/>
    <w:rsid w:val="478C4AD1"/>
    <w:rsid w:val="47C562E2"/>
    <w:rsid w:val="48074B4D"/>
    <w:rsid w:val="481C1C7A"/>
    <w:rsid w:val="482A4397"/>
    <w:rsid w:val="484E4529"/>
    <w:rsid w:val="486F44A0"/>
    <w:rsid w:val="48733F90"/>
    <w:rsid w:val="48961A2D"/>
    <w:rsid w:val="489B1D19"/>
    <w:rsid w:val="48A44149"/>
    <w:rsid w:val="48B546F4"/>
    <w:rsid w:val="48D43EA7"/>
    <w:rsid w:val="48F7696F"/>
    <w:rsid w:val="4921579A"/>
    <w:rsid w:val="49292D5B"/>
    <w:rsid w:val="49784EAA"/>
    <w:rsid w:val="49B77EAC"/>
    <w:rsid w:val="4A161077"/>
    <w:rsid w:val="4A1B668D"/>
    <w:rsid w:val="4A3A1CA0"/>
    <w:rsid w:val="4A9F72BE"/>
    <w:rsid w:val="4B2867D9"/>
    <w:rsid w:val="4B466DCB"/>
    <w:rsid w:val="4B4734B2"/>
    <w:rsid w:val="4BBF129A"/>
    <w:rsid w:val="4BE551A5"/>
    <w:rsid w:val="4C143394"/>
    <w:rsid w:val="4C516396"/>
    <w:rsid w:val="4CB22BAD"/>
    <w:rsid w:val="4CB41150"/>
    <w:rsid w:val="4CDC4BFF"/>
    <w:rsid w:val="4CE03BBE"/>
    <w:rsid w:val="4D007DBC"/>
    <w:rsid w:val="4D0478AD"/>
    <w:rsid w:val="4D20220D"/>
    <w:rsid w:val="4DA8284C"/>
    <w:rsid w:val="4DF46EBD"/>
    <w:rsid w:val="4E047235"/>
    <w:rsid w:val="4E1071EC"/>
    <w:rsid w:val="4E86609F"/>
    <w:rsid w:val="4EA33953"/>
    <w:rsid w:val="4ECA68D4"/>
    <w:rsid w:val="4F1813ED"/>
    <w:rsid w:val="4F2543D2"/>
    <w:rsid w:val="4F5F0DCA"/>
    <w:rsid w:val="4F734876"/>
    <w:rsid w:val="4F7A3E56"/>
    <w:rsid w:val="4FBB7FCB"/>
    <w:rsid w:val="4FCF4DA2"/>
    <w:rsid w:val="4FD01CC8"/>
    <w:rsid w:val="4FD277EE"/>
    <w:rsid w:val="4FD86DCF"/>
    <w:rsid w:val="4FE47521"/>
    <w:rsid w:val="4FEC07C0"/>
    <w:rsid w:val="4FFC486B"/>
    <w:rsid w:val="504C60D4"/>
    <w:rsid w:val="5057423D"/>
    <w:rsid w:val="505F278C"/>
    <w:rsid w:val="50942CF5"/>
    <w:rsid w:val="50CC6933"/>
    <w:rsid w:val="50DC1061"/>
    <w:rsid w:val="51226553"/>
    <w:rsid w:val="514F30C0"/>
    <w:rsid w:val="51B80C66"/>
    <w:rsid w:val="51C92E73"/>
    <w:rsid w:val="51D81308"/>
    <w:rsid w:val="520C2D5F"/>
    <w:rsid w:val="523C1897"/>
    <w:rsid w:val="52974D1F"/>
    <w:rsid w:val="52E82B21"/>
    <w:rsid w:val="52F45030"/>
    <w:rsid w:val="52F67168"/>
    <w:rsid w:val="52F7756C"/>
    <w:rsid w:val="53410230"/>
    <w:rsid w:val="536966BB"/>
    <w:rsid w:val="536A2433"/>
    <w:rsid w:val="53703A2E"/>
    <w:rsid w:val="53807561"/>
    <w:rsid w:val="53B57275"/>
    <w:rsid w:val="53D8114B"/>
    <w:rsid w:val="53E421E6"/>
    <w:rsid w:val="545E3D46"/>
    <w:rsid w:val="54682209"/>
    <w:rsid w:val="549E568D"/>
    <w:rsid w:val="54AD6E2C"/>
    <w:rsid w:val="54BC6199"/>
    <w:rsid w:val="54ED0C26"/>
    <w:rsid w:val="54F14BBA"/>
    <w:rsid w:val="551268DF"/>
    <w:rsid w:val="55191A1B"/>
    <w:rsid w:val="552B32A3"/>
    <w:rsid w:val="5538368D"/>
    <w:rsid w:val="55477397"/>
    <w:rsid w:val="55621614"/>
    <w:rsid w:val="5587107B"/>
    <w:rsid w:val="55BE7DE1"/>
    <w:rsid w:val="55BF42DF"/>
    <w:rsid w:val="55C852E4"/>
    <w:rsid w:val="55FA30D6"/>
    <w:rsid w:val="560372E2"/>
    <w:rsid w:val="561072C2"/>
    <w:rsid w:val="562E599A"/>
    <w:rsid w:val="566969D2"/>
    <w:rsid w:val="56786C15"/>
    <w:rsid w:val="568B06F7"/>
    <w:rsid w:val="56EA1A54"/>
    <w:rsid w:val="56FE711B"/>
    <w:rsid w:val="571757AC"/>
    <w:rsid w:val="57435475"/>
    <w:rsid w:val="575136EE"/>
    <w:rsid w:val="57803FD4"/>
    <w:rsid w:val="579D6934"/>
    <w:rsid w:val="57BC064E"/>
    <w:rsid w:val="57C2639A"/>
    <w:rsid w:val="580A1CA0"/>
    <w:rsid w:val="5818420C"/>
    <w:rsid w:val="58207565"/>
    <w:rsid w:val="58321EC6"/>
    <w:rsid w:val="586757C9"/>
    <w:rsid w:val="58682646"/>
    <w:rsid w:val="586B4C84"/>
    <w:rsid w:val="5874376E"/>
    <w:rsid w:val="58831FCD"/>
    <w:rsid w:val="58896EB8"/>
    <w:rsid w:val="58931AE5"/>
    <w:rsid w:val="58B10512"/>
    <w:rsid w:val="58F85DEC"/>
    <w:rsid w:val="590774A3"/>
    <w:rsid w:val="59162E41"/>
    <w:rsid w:val="593037D7"/>
    <w:rsid w:val="59345076"/>
    <w:rsid w:val="59724AEB"/>
    <w:rsid w:val="59AC4B70"/>
    <w:rsid w:val="59F9006D"/>
    <w:rsid w:val="5A1A070F"/>
    <w:rsid w:val="5A395F09"/>
    <w:rsid w:val="5AE91E90"/>
    <w:rsid w:val="5B04316E"/>
    <w:rsid w:val="5B1D0E7D"/>
    <w:rsid w:val="5B305D11"/>
    <w:rsid w:val="5B7531AB"/>
    <w:rsid w:val="5BB43BDB"/>
    <w:rsid w:val="5BD91F04"/>
    <w:rsid w:val="5BDE751B"/>
    <w:rsid w:val="5C2A09B2"/>
    <w:rsid w:val="5C7165E1"/>
    <w:rsid w:val="5C82259C"/>
    <w:rsid w:val="5C904CB9"/>
    <w:rsid w:val="5C98591B"/>
    <w:rsid w:val="5CB5471F"/>
    <w:rsid w:val="5CF54B1C"/>
    <w:rsid w:val="5CF8413F"/>
    <w:rsid w:val="5D240832"/>
    <w:rsid w:val="5D276C9F"/>
    <w:rsid w:val="5D290C69"/>
    <w:rsid w:val="5D5061F6"/>
    <w:rsid w:val="5D8D744A"/>
    <w:rsid w:val="5DC015CE"/>
    <w:rsid w:val="5DD35B9B"/>
    <w:rsid w:val="5DD5494D"/>
    <w:rsid w:val="5DE05C92"/>
    <w:rsid w:val="5DE84681"/>
    <w:rsid w:val="5E053485"/>
    <w:rsid w:val="5E0D70F6"/>
    <w:rsid w:val="5E176D14"/>
    <w:rsid w:val="5E3E2A3C"/>
    <w:rsid w:val="5E643D94"/>
    <w:rsid w:val="5E6D6ACD"/>
    <w:rsid w:val="5E7E6D93"/>
    <w:rsid w:val="5E9C7EDD"/>
    <w:rsid w:val="5EB34C8F"/>
    <w:rsid w:val="5EB804F7"/>
    <w:rsid w:val="5EEC4F2C"/>
    <w:rsid w:val="5F006EEA"/>
    <w:rsid w:val="5F1A2F60"/>
    <w:rsid w:val="5F88684B"/>
    <w:rsid w:val="5FA10F8B"/>
    <w:rsid w:val="5FA443BB"/>
    <w:rsid w:val="5FBE38EB"/>
    <w:rsid w:val="5FEC48FC"/>
    <w:rsid w:val="600339F4"/>
    <w:rsid w:val="602B6AA7"/>
    <w:rsid w:val="60397415"/>
    <w:rsid w:val="60455DBA"/>
    <w:rsid w:val="60575AEE"/>
    <w:rsid w:val="6082700E"/>
    <w:rsid w:val="609805E0"/>
    <w:rsid w:val="61314591"/>
    <w:rsid w:val="61695AD8"/>
    <w:rsid w:val="61722BDF"/>
    <w:rsid w:val="61834DEC"/>
    <w:rsid w:val="61B2747F"/>
    <w:rsid w:val="61BC02FE"/>
    <w:rsid w:val="61F41846"/>
    <w:rsid w:val="61F77588"/>
    <w:rsid w:val="621F43E9"/>
    <w:rsid w:val="623B69FA"/>
    <w:rsid w:val="62A06203"/>
    <w:rsid w:val="62E25B42"/>
    <w:rsid w:val="62E61E70"/>
    <w:rsid w:val="62F13FD7"/>
    <w:rsid w:val="63480727"/>
    <w:rsid w:val="637459FC"/>
    <w:rsid w:val="638F1141"/>
    <w:rsid w:val="63BA261B"/>
    <w:rsid w:val="64224A63"/>
    <w:rsid w:val="64601A57"/>
    <w:rsid w:val="649C7F73"/>
    <w:rsid w:val="64BB4ABD"/>
    <w:rsid w:val="64DA3C5C"/>
    <w:rsid w:val="64E75328"/>
    <w:rsid w:val="654552F3"/>
    <w:rsid w:val="658729D1"/>
    <w:rsid w:val="658B082B"/>
    <w:rsid w:val="65AC068A"/>
    <w:rsid w:val="65FF4C5D"/>
    <w:rsid w:val="66185077"/>
    <w:rsid w:val="661F2C0A"/>
    <w:rsid w:val="666B09B5"/>
    <w:rsid w:val="66723681"/>
    <w:rsid w:val="66885224"/>
    <w:rsid w:val="66FB5425"/>
    <w:rsid w:val="67087B42"/>
    <w:rsid w:val="670C7632"/>
    <w:rsid w:val="67627252"/>
    <w:rsid w:val="676A25AA"/>
    <w:rsid w:val="678D6C46"/>
    <w:rsid w:val="67B30605"/>
    <w:rsid w:val="681E7219"/>
    <w:rsid w:val="68282249"/>
    <w:rsid w:val="686B65DA"/>
    <w:rsid w:val="686C5682"/>
    <w:rsid w:val="68752FB5"/>
    <w:rsid w:val="68D127F4"/>
    <w:rsid w:val="68D357B0"/>
    <w:rsid w:val="68F11A09"/>
    <w:rsid w:val="68F16ADF"/>
    <w:rsid w:val="6917406C"/>
    <w:rsid w:val="691B3B5C"/>
    <w:rsid w:val="694E3F32"/>
    <w:rsid w:val="696E0130"/>
    <w:rsid w:val="69990F25"/>
    <w:rsid w:val="699B1C63"/>
    <w:rsid w:val="699B2EEF"/>
    <w:rsid w:val="69A9560C"/>
    <w:rsid w:val="69B33D95"/>
    <w:rsid w:val="69D4537F"/>
    <w:rsid w:val="69D514B0"/>
    <w:rsid w:val="6A38073E"/>
    <w:rsid w:val="6A440E91"/>
    <w:rsid w:val="6A446CC0"/>
    <w:rsid w:val="6A5F69C7"/>
    <w:rsid w:val="6A6701C9"/>
    <w:rsid w:val="6A7F636D"/>
    <w:rsid w:val="6A9C2DDD"/>
    <w:rsid w:val="6A9C6F1F"/>
    <w:rsid w:val="6AAA163C"/>
    <w:rsid w:val="6ACB25B2"/>
    <w:rsid w:val="6AD55F8D"/>
    <w:rsid w:val="6B1C3BBC"/>
    <w:rsid w:val="6B23319C"/>
    <w:rsid w:val="6B272C8C"/>
    <w:rsid w:val="6B405650"/>
    <w:rsid w:val="6B563571"/>
    <w:rsid w:val="6B985938"/>
    <w:rsid w:val="6BA77929"/>
    <w:rsid w:val="6BBB2EE0"/>
    <w:rsid w:val="6C9205D9"/>
    <w:rsid w:val="6CA57696"/>
    <w:rsid w:val="6CDF30F3"/>
    <w:rsid w:val="6D050C16"/>
    <w:rsid w:val="6D0D1A0E"/>
    <w:rsid w:val="6D115C30"/>
    <w:rsid w:val="6D583CB9"/>
    <w:rsid w:val="6D761DCD"/>
    <w:rsid w:val="6E070B53"/>
    <w:rsid w:val="6E096679"/>
    <w:rsid w:val="6E0B37AB"/>
    <w:rsid w:val="6E14501E"/>
    <w:rsid w:val="6E3851B0"/>
    <w:rsid w:val="6E8E3022"/>
    <w:rsid w:val="6ED42611"/>
    <w:rsid w:val="6EF56BFD"/>
    <w:rsid w:val="6F173557"/>
    <w:rsid w:val="6F3C482C"/>
    <w:rsid w:val="6F4E4C48"/>
    <w:rsid w:val="6F71097A"/>
    <w:rsid w:val="6F806E0F"/>
    <w:rsid w:val="6F946416"/>
    <w:rsid w:val="6FA67EF8"/>
    <w:rsid w:val="6FF13869"/>
    <w:rsid w:val="6FFD220E"/>
    <w:rsid w:val="700E303D"/>
    <w:rsid w:val="70111815"/>
    <w:rsid w:val="70293003"/>
    <w:rsid w:val="703B2D36"/>
    <w:rsid w:val="7047367F"/>
    <w:rsid w:val="70626FA0"/>
    <w:rsid w:val="707A560C"/>
    <w:rsid w:val="70967F6C"/>
    <w:rsid w:val="70A64443"/>
    <w:rsid w:val="718F1BCC"/>
    <w:rsid w:val="71A16BC9"/>
    <w:rsid w:val="71AD37BF"/>
    <w:rsid w:val="71C31235"/>
    <w:rsid w:val="71CC0549"/>
    <w:rsid w:val="71D92806"/>
    <w:rsid w:val="71F26718"/>
    <w:rsid w:val="7218332F"/>
    <w:rsid w:val="72192C03"/>
    <w:rsid w:val="72897D89"/>
    <w:rsid w:val="728B1D53"/>
    <w:rsid w:val="72D37256"/>
    <w:rsid w:val="72E23171"/>
    <w:rsid w:val="72EB459F"/>
    <w:rsid w:val="731C062A"/>
    <w:rsid w:val="736D3206"/>
    <w:rsid w:val="737C5B3F"/>
    <w:rsid w:val="73832A2A"/>
    <w:rsid w:val="73D2750D"/>
    <w:rsid w:val="73D6524F"/>
    <w:rsid w:val="73E536E4"/>
    <w:rsid w:val="74633A5E"/>
    <w:rsid w:val="7465326D"/>
    <w:rsid w:val="74C92BDE"/>
    <w:rsid w:val="75071F23"/>
    <w:rsid w:val="750A2CD7"/>
    <w:rsid w:val="754538F5"/>
    <w:rsid w:val="759C7DD3"/>
    <w:rsid w:val="75D457BF"/>
    <w:rsid w:val="75F5197F"/>
    <w:rsid w:val="75F7263E"/>
    <w:rsid w:val="75FF08B1"/>
    <w:rsid w:val="762D4ECF"/>
    <w:rsid w:val="765B1A3C"/>
    <w:rsid w:val="76AA4771"/>
    <w:rsid w:val="76CF41D8"/>
    <w:rsid w:val="76D10E3F"/>
    <w:rsid w:val="76DE441B"/>
    <w:rsid w:val="76EE28B0"/>
    <w:rsid w:val="773F4EBA"/>
    <w:rsid w:val="7755292F"/>
    <w:rsid w:val="776963DA"/>
    <w:rsid w:val="778448BB"/>
    <w:rsid w:val="77901832"/>
    <w:rsid w:val="77A17922"/>
    <w:rsid w:val="77AB07A1"/>
    <w:rsid w:val="77B21B30"/>
    <w:rsid w:val="77B533CE"/>
    <w:rsid w:val="782D11B6"/>
    <w:rsid w:val="78393FFF"/>
    <w:rsid w:val="78504689"/>
    <w:rsid w:val="786B73C0"/>
    <w:rsid w:val="78874D6A"/>
    <w:rsid w:val="79393ACB"/>
    <w:rsid w:val="794964C4"/>
    <w:rsid w:val="79527EAA"/>
    <w:rsid w:val="795C61F7"/>
    <w:rsid w:val="79600858"/>
    <w:rsid w:val="797321E6"/>
    <w:rsid w:val="79A720CE"/>
    <w:rsid w:val="79BC0A44"/>
    <w:rsid w:val="79C30024"/>
    <w:rsid w:val="79D839CF"/>
    <w:rsid w:val="7A1E34AC"/>
    <w:rsid w:val="7A396538"/>
    <w:rsid w:val="7ACD0A2E"/>
    <w:rsid w:val="7AD87AFF"/>
    <w:rsid w:val="7B366FAF"/>
    <w:rsid w:val="7B5A6766"/>
    <w:rsid w:val="7B845591"/>
    <w:rsid w:val="7B876E2F"/>
    <w:rsid w:val="7B933A26"/>
    <w:rsid w:val="7BAE260E"/>
    <w:rsid w:val="7BC736D0"/>
    <w:rsid w:val="7BDA1655"/>
    <w:rsid w:val="7BDB7DFC"/>
    <w:rsid w:val="7BE97AEA"/>
    <w:rsid w:val="7BEE6720"/>
    <w:rsid w:val="7C042B76"/>
    <w:rsid w:val="7C43544C"/>
    <w:rsid w:val="7C4D62CB"/>
    <w:rsid w:val="7C547659"/>
    <w:rsid w:val="7C55517F"/>
    <w:rsid w:val="7C5F1B5A"/>
    <w:rsid w:val="7C7A456A"/>
    <w:rsid w:val="7CC85951"/>
    <w:rsid w:val="7D193C03"/>
    <w:rsid w:val="7D6C13E8"/>
    <w:rsid w:val="7DB23C95"/>
    <w:rsid w:val="7DCD599D"/>
    <w:rsid w:val="7DFF1847"/>
    <w:rsid w:val="7E355268"/>
    <w:rsid w:val="7EB51F05"/>
    <w:rsid w:val="7EFE1AFE"/>
    <w:rsid w:val="7F032C71"/>
    <w:rsid w:val="7F0D4474"/>
    <w:rsid w:val="7F21385B"/>
    <w:rsid w:val="7F761695"/>
    <w:rsid w:val="7F8B58A9"/>
    <w:rsid w:val="7F9D30C5"/>
    <w:rsid w:val="7FA44454"/>
    <w:rsid w:val="7FD9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6"/>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71"/>
    <w:qFormat/>
    <w:uiPriority w:val="0"/>
    <w:pPr>
      <w:adjustRightInd w:val="0"/>
      <w:jc w:val="center"/>
      <w:textAlignment w:val="baseline"/>
      <w:outlineLvl w:val="1"/>
    </w:pPr>
    <w:rPr>
      <w:kern w:val="0"/>
      <w:sz w:val="24"/>
      <w:szCs w:val="20"/>
    </w:rPr>
  </w:style>
  <w:style w:type="paragraph" w:styleId="3">
    <w:name w:val="heading 3"/>
    <w:basedOn w:val="4"/>
    <w:next w:val="1"/>
    <w:link w:val="55"/>
    <w:qFormat/>
    <w:uiPriority w:val="0"/>
    <w:pPr>
      <w:spacing w:before="260" w:after="260" w:line="240" w:lineRule="auto"/>
      <w:outlineLvl w:val="2"/>
    </w:pPr>
    <w:rPr>
      <w:rFonts w:ascii="宋体" w:hAnsi="宋体" w:eastAsia="宋体"/>
      <w:szCs w:val="32"/>
    </w:rPr>
  </w:style>
  <w:style w:type="paragraph" w:styleId="4">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0"/>
    <w:qFormat/>
    <w:uiPriority w:val="0"/>
    <w:pPr>
      <w:keepNext/>
      <w:keepLines/>
      <w:spacing w:before="280" w:after="290" w:line="376" w:lineRule="auto"/>
      <w:outlineLvl w:val="4"/>
    </w:pPr>
    <w:rPr>
      <w:b/>
      <w:sz w:val="28"/>
      <w:szCs w:val="20"/>
    </w:rPr>
  </w:style>
  <w:style w:type="paragraph" w:styleId="8">
    <w:name w:val="heading 6"/>
    <w:basedOn w:val="1"/>
    <w:next w:val="7"/>
    <w:link w:val="8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4"/>
    <w:qFormat/>
    <w:uiPriority w:val="0"/>
    <w:pPr>
      <w:keepNext/>
      <w:keepLines/>
      <w:spacing w:before="240" w:after="64" w:line="320" w:lineRule="auto"/>
      <w:outlineLvl w:val="6"/>
    </w:pPr>
    <w:rPr>
      <w:b/>
      <w:sz w:val="24"/>
      <w:szCs w:val="20"/>
    </w:rPr>
  </w:style>
  <w:style w:type="paragraph" w:styleId="10">
    <w:name w:val="heading 8"/>
    <w:basedOn w:val="1"/>
    <w:next w:val="7"/>
    <w:link w:val="8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6"/>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7"/>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4"/>
    <w:semiHidden/>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8"/>
    <w:qFormat/>
    <w:uiPriority w:val="0"/>
    <w:pPr>
      <w:spacing w:after="120"/>
    </w:pPr>
    <w:rPr>
      <w:sz w:val="16"/>
      <w:szCs w:val="16"/>
    </w:rPr>
  </w:style>
  <w:style w:type="paragraph" w:styleId="18">
    <w:name w:val="Body Text"/>
    <w:basedOn w:val="1"/>
    <w:next w:val="19"/>
    <w:link w:val="92"/>
    <w:qFormat/>
    <w:uiPriority w:val="0"/>
    <w:pPr>
      <w:spacing w:line="360" w:lineRule="auto"/>
    </w:pPr>
    <w:rPr>
      <w:b/>
      <w:bCs/>
      <w:sz w:val="24"/>
    </w:rPr>
  </w:style>
  <w:style w:type="paragraph" w:styleId="19">
    <w:name w:val="Body Text 2"/>
    <w:basedOn w:val="1"/>
    <w:link w:val="96"/>
    <w:qFormat/>
    <w:uiPriority w:val="0"/>
    <w:pPr>
      <w:spacing w:line="360" w:lineRule="auto"/>
    </w:pPr>
    <w:rPr>
      <w:sz w:val="24"/>
    </w:rPr>
  </w:style>
  <w:style w:type="paragraph" w:styleId="20">
    <w:name w:val="Body Text Indent"/>
    <w:basedOn w:val="1"/>
    <w:link w:val="79"/>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0"/>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8"/>
    <w:qFormat/>
    <w:uiPriority w:val="0"/>
    <w:rPr>
      <w:rFonts w:ascii="宋体" w:hAnsi="Courier New"/>
      <w:sz w:val="32"/>
      <w:szCs w:val="20"/>
    </w:rPr>
  </w:style>
  <w:style w:type="paragraph" w:styleId="26">
    <w:name w:val="Body Text Indent 2"/>
    <w:basedOn w:val="1"/>
    <w:link w:val="93"/>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9"/>
    <w:semiHidden/>
    <w:qFormat/>
    <w:uiPriority w:val="0"/>
    <w:rPr>
      <w:sz w:val="18"/>
      <w:szCs w:val="18"/>
    </w:rPr>
  </w:style>
  <w:style w:type="paragraph" w:styleId="28">
    <w:name w:val="footer"/>
    <w:basedOn w:val="1"/>
    <w:link w:val="97"/>
    <w:qFormat/>
    <w:uiPriority w:val="0"/>
    <w:pPr>
      <w:tabs>
        <w:tab w:val="center" w:pos="4153"/>
        <w:tab w:val="right" w:pos="8306"/>
      </w:tabs>
      <w:snapToGrid w:val="0"/>
      <w:jc w:val="left"/>
    </w:pPr>
    <w:rPr>
      <w:sz w:val="18"/>
      <w:szCs w:val="18"/>
    </w:rPr>
  </w:style>
  <w:style w:type="paragraph" w:styleId="29">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Subtitle"/>
    <w:next w:val="1"/>
    <w:link w:val="309"/>
    <w:qFormat/>
    <w:uiPriority w:val="0"/>
    <w:pPr>
      <w:wordWrap w:val="0"/>
      <w:spacing w:after="60"/>
      <w:jc w:val="center"/>
    </w:pPr>
    <w:rPr>
      <w:rFonts w:ascii="Calibri" w:hAnsi="Calibri" w:eastAsia="宋体" w:cs="Times New Roman"/>
      <w:sz w:val="24"/>
      <w:lang w:val="en-US" w:eastAsia="zh-CN" w:bidi="ar-SA"/>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5"/>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7"/>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85"/>
    <w:qFormat/>
    <w:uiPriority w:val="0"/>
    <w:pPr>
      <w:autoSpaceDE/>
      <w:autoSpaceDN/>
      <w:adjustRightInd/>
      <w:textAlignment w:val="auto"/>
    </w:pPr>
    <w:rPr>
      <w:rFonts w:ascii="Times New Roman"/>
      <w:b/>
      <w:bCs/>
      <w:kern w:val="2"/>
      <w:sz w:val="21"/>
      <w:szCs w:val="24"/>
    </w:rPr>
  </w:style>
  <w:style w:type="paragraph" w:styleId="42">
    <w:name w:val="Body Text First Indent"/>
    <w:basedOn w:val="18"/>
    <w:link w:val="130"/>
    <w:qFormat/>
    <w:uiPriority w:val="0"/>
    <w:pPr>
      <w:spacing w:after="120" w:line="240" w:lineRule="auto"/>
      <w:ind w:firstLine="420" w:firstLineChars="100"/>
    </w:pPr>
    <w:rPr>
      <w:sz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Table Elegant"/>
    <w:basedOn w:val="43"/>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sz w:val="20"/>
    </w:rPr>
  </w:style>
  <w:style w:type="character" w:styleId="51">
    <w:name w:val="Hyperlink"/>
    <w:qFormat/>
    <w:uiPriority w:val="0"/>
    <w:rPr>
      <w:color w:val="0000FF"/>
      <w:u w:val="single"/>
    </w:rPr>
  </w:style>
  <w:style w:type="character" w:styleId="52">
    <w:name w:val="annotation reference"/>
    <w:basedOn w:val="46"/>
    <w:qFormat/>
    <w:uiPriority w:val="0"/>
    <w:rPr>
      <w:sz w:val="21"/>
      <w:szCs w:val="21"/>
    </w:rPr>
  </w:style>
  <w:style w:type="character" w:customStyle="1" w:styleId="53">
    <w:name w:val="标题 4 Char"/>
    <w:link w:val="4"/>
    <w:qFormat/>
    <w:uiPriority w:val="0"/>
    <w:rPr>
      <w:rFonts w:ascii="Arial" w:hAnsi="Arial" w:eastAsia="黑体"/>
      <w:b/>
      <w:bCs/>
      <w:kern w:val="2"/>
      <w:sz w:val="28"/>
      <w:szCs w:val="28"/>
      <w:lang w:val="en-US" w:eastAsia="zh-CN" w:bidi="ar-SA"/>
    </w:rPr>
  </w:style>
  <w:style w:type="paragraph" w:customStyle="1" w:styleId="5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5">
    <w:name w:val="标题 3 Char1"/>
    <w:link w:val="3"/>
    <w:qFormat/>
    <w:uiPriority w:val="0"/>
    <w:rPr>
      <w:rFonts w:ascii="宋体" w:hAnsi="宋体" w:eastAsia="宋体"/>
      <w:b/>
      <w:bCs/>
      <w:kern w:val="2"/>
      <w:sz w:val="28"/>
      <w:szCs w:val="32"/>
      <w:lang w:val="en-US" w:eastAsia="zh-CN" w:bidi="ar-SA"/>
    </w:rPr>
  </w:style>
  <w:style w:type="character" w:customStyle="1" w:styleId="56">
    <w:name w:val="标题 1 Char"/>
    <w:link w:val="2"/>
    <w:qFormat/>
    <w:uiPriority w:val="0"/>
    <w:rPr>
      <w:rFonts w:ascii="宋体" w:hAnsi="宋体" w:eastAsia="黑体"/>
      <w:b/>
      <w:bCs/>
      <w:kern w:val="44"/>
      <w:sz w:val="28"/>
      <w:szCs w:val="44"/>
      <w:lang w:val="en-US" w:eastAsia="zh-CN" w:bidi="ar-SA"/>
    </w:rPr>
  </w:style>
  <w:style w:type="character" w:customStyle="1" w:styleId="57">
    <w:name w:val="正文缩进 Char"/>
    <w:link w:val="7"/>
    <w:qFormat/>
    <w:uiPriority w:val="0"/>
    <w:rPr>
      <w:rFonts w:eastAsia="宋体"/>
      <w:kern w:val="2"/>
      <w:sz w:val="21"/>
      <w:lang w:val="en-US" w:eastAsia="zh-CN" w:bidi="ar-SA"/>
    </w:rPr>
  </w:style>
  <w:style w:type="character" w:customStyle="1" w:styleId="58">
    <w:name w:val="标题 3 Char"/>
    <w:qFormat/>
    <w:uiPriority w:val="0"/>
    <w:rPr>
      <w:rFonts w:ascii="黑体" w:eastAsia="黑体"/>
      <w:bCs/>
      <w:sz w:val="30"/>
    </w:rPr>
  </w:style>
  <w:style w:type="paragraph" w:customStyle="1" w:styleId="59">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6">
    <w:name w:val="自定义正文"/>
    <w:basedOn w:val="1"/>
    <w:qFormat/>
    <w:uiPriority w:val="0"/>
    <w:pPr>
      <w:spacing w:afterLines="50"/>
      <w:ind w:left="600" w:leftChars="600"/>
    </w:pPr>
  </w:style>
  <w:style w:type="paragraph" w:customStyle="1" w:styleId="67">
    <w:name w:val="Char Char Char Char Char"/>
    <w:basedOn w:val="1"/>
    <w:qFormat/>
    <w:uiPriority w:val="0"/>
    <w:rPr>
      <w:rFonts w:ascii="Tahoma" w:hAnsi="Tahoma"/>
      <w:sz w:val="24"/>
      <w:szCs w:val="20"/>
    </w:rPr>
  </w:style>
  <w:style w:type="paragraph" w:customStyle="1" w:styleId="6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9">
    <w:name w:val="Char Char"/>
    <w:basedOn w:val="1"/>
    <w:qFormat/>
    <w:uiPriority w:val="0"/>
    <w:rPr>
      <w:rFonts w:ascii="Tahoma" w:hAnsi="Tahoma"/>
      <w:sz w:val="24"/>
      <w:szCs w:val="2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1">
    <w:name w:val="标题 2 Char"/>
    <w:link w:val="5"/>
    <w:qFormat/>
    <w:uiPriority w:val="0"/>
    <w:rPr>
      <w:rFonts w:ascii="宋体" w:hAnsi="宋体" w:eastAsia="宋体"/>
      <w:b/>
      <w:bCs/>
      <w:sz w:val="24"/>
      <w:lang w:val="en-US" w:eastAsia="zh-CN" w:bidi="ar-SA"/>
    </w:rPr>
  </w:style>
  <w:style w:type="paragraph" w:customStyle="1" w:styleId="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USE 1"/>
    <w:basedOn w:val="1"/>
    <w:qFormat/>
    <w:uiPriority w:val="0"/>
    <w:pPr>
      <w:spacing w:line="200" w:lineRule="atLeast"/>
      <w:jc w:val="left"/>
    </w:pPr>
    <w:rPr>
      <w:rFonts w:ascii="宋体" w:hAnsi="宋体"/>
      <w:b/>
      <w:sz w:val="24"/>
      <w:szCs w:val="28"/>
    </w:rPr>
  </w:style>
  <w:style w:type="paragraph" w:customStyle="1" w:styleId="75">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6">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7">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8">
    <w:name w:val="H4 Char2"/>
    <w:qFormat/>
    <w:uiPriority w:val="0"/>
    <w:rPr>
      <w:rFonts w:ascii="Arial" w:hAnsi="Arial" w:eastAsia="黑体"/>
      <w:b/>
      <w:bCs/>
      <w:kern w:val="2"/>
      <w:sz w:val="28"/>
      <w:szCs w:val="28"/>
      <w:lang w:val="en-US" w:eastAsia="zh-CN" w:bidi="ar-SA"/>
    </w:rPr>
  </w:style>
  <w:style w:type="character" w:customStyle="1" w:styleId="79">
    <w:name w:val="正文文本缩进 Char"/>
    <w:link w:val="20"/>
    <w:qFormat/>
    <w:uiPriority w:val="0"/>
    <w:rPr>
      <w:rFonts w:eastAsia="宋体"/>
      <w:kern w:val="2"/>
      <w:sz w:val="21"/>
      <w:szCs w:val="24"/>
      <w:lang w:val="en-US" w:eastAsia="zh-CN" w:bidi="ar-SA"/>
    </w:rPr>
  </w:style>
  <w:style w:type="character" w:customStyle="1" w:styleId="80">
    <w:name w:val="标题 5 Char"/>
    <w:link w:val="6"/>
    <w:qFormat/>
    <w:uiPriority w:val="0"/>
    <w:rPr>
      <w:rFonts w:eastAsia="宋体"/>
      <w:b/>
      <w:kern w:val="2"/>
      <w:sz w:val="28"/>
      <w:lang w:val="en-US" w:eastAsia="zh-CN" w:bidi="ar-SA"/>
    </w:rPr>
  </w:style>
  <w:style w:type="character" w:customStyle="1" w:styleId="81">
    <w:name w:val="第*章 Char"/>
    <w:qFormat/>
    <w:uiPriority w:val="0"/>
    <w:rPr>
      <w:rFonts w:ascii="Arial" w:hAnsi="Arial" w:eastAsia="黑体"/>
      <w:b/>
      <w:bCs/>
      <w:kern w:val="2"/>
      <w:sz w:val="32"/>
      <w:szCs w:val="32"/>
    </w:rPr>
  </w:style>
  <w:style w:type="character" w:customStyle="1" w:styleId="82">
    <w:name w:val="章标题1 Char"/>
    <w:qFormat/>
    <w:uiPriority w:val="0"/>
    <w:rPr>
      <w:rFonts w:eastAsia="宋体"/>
      <w:b/>
      <w:bCs/>
      <w:kern w:val="2"/>
      <w:sz w:val="32"/>
      <w:szCs w:val="32"/>
      <w:lang w:val="en-US" w:eastAsia="zh-CN" w:bidi="ar-SA"/>
    </w:rPr>
  </w:style>
  <w:style w:type="character" w:customStyle="1" w:styleId="83">
    <w:name w:val="标题 6 Char"/>
    <w:link w:val="8"/>
    <w:qFormat/>
    <w:uiPriority w:val="0"/>
    <w:rPr>
      <w:rFonts w:ascii="Arial" w:hAnsi="Arial" w:eastAsia="黑体"/>
      <w:b/>
      <w:kern w:val="2"/>
      <w:sz w:val="24"/>
      <w:lang w:val="en-US" w:eastAsia="zh-CN" w:bidi="ar-SA"/>
    </w:rPr>
  </w:style>
  <w:style w:type="character" w:customStyle="1" w:styleId="84">
    <w:name w:val="标题 7 Char"/>
    <w:link w:val="9"/>
    <w:qFormat/>
    <w:uiPriority w:val="0"/>
    <w:rPr>
      <w:rFonts w:eastAsia="宋体"/>
      <w:b/>
      <w:kern w:val="2"/>
      <w:sz w:val="24"/>
      <w:lang w:val="en-US" w:eastAsia="zh-CN" w:bidi="ar-SA"/>
    </w:rPr>
  </w:style>
  <w:style w:type="character" w:customStyle="1" w:styleId="85">
    <w:name w:val="标题 8 Char"/>
    <w:link w:val="10"/>
    <w:qFormat/>
    <w:uiPriority w:val="0"/>
    <w:rPr>
      <w:rFonts w:ascii="Arial" w:hAnsi="Arial" w:eastAsia="黑体"/>
      <w:kern w:val="2"/>
      <w:sz w:val="24"/>
      <w:lang w:val="en-US" w:eastAsia="zh-CN" w:bidi="ar-SA"/>
    </w:rPr>
  </w:style>
  <w:style w:type="character" w:customStyle="1" w:styleId="86">
    <w:name w:val="标题 9 Char"/>
    <w:link w:val="11"/>
    <w:qFormat/>
    <w:uiPriority w:val="0"/>
    <w:rPr>
      <w:rFonts w:ascii="Arial" w:hAnsi="Arial" w:eastAsia="黑体"/>
      <w:kern w:val="2"/>
      <w:sz w:val="21"/>
      <w:lang w:val="en-US" w:eastAsia="zh-CN" w:bidi="ar-SA"/>
    </w:rPr>
  </w:style>
  <w:style w:type="character" w:customStyle="1" w:styleId="87">
    <w:name w:val="标题 Char"/>
    <w:link w:val="40"/>
    <w:qFormat/>
    <w:uiPriority w:val="0"/>
    <w:rPr>
      <w:rFonts w:ascii="Arial" w:hAnsi="Arial" w:eastAsia="隶书" w:cs="Arial"/>
      <w:b/>
      <w:bCs/>
      <w:kern w:val="2"/>
      <w:sz w:val="32"/>
      <w:szCs w:val="32"/>
      <w:lang w:val="en-US" w:eastAsia="zh-CN" w:bidi="ar-SA"/>
    </w:rPr>
  </w:style>
  <w:style w:type="character" w:customStyle="1" w:styleId="88">
    <w:name w:val="日期 Char"/>
    <w:link w:val="25"/>
    <w:qFormat/>
    <w:uiPriority w:val="0"/>
    <w:rPr>
      <w:rFonts w:ascii="宋体" w:hAnsi="Courier New" w:eastAsia="宋体"/>
      <w:kern w:val="2"/>
      <w:sz w:val="32"/>
      <w:lang w:val="en-US" w:eastAsia="zh-CN" w:bidi="ar-SA"/>
    </w:rPr>
  </w:style>
  <w:style w:type="character" w:customStyle="1" w:styleId="89">
    <w:name w:val="HTML 预设格式 Char"/>
    <w:link w:val="37"/>
    <w:qFormat/>
    <w:uiPriority w:val="0"/>
    <w:rPr>
      <w:rFonts w:ascii="Arial Unicode MS" w:hAnsi="Arial Unicode MS" w:eastAsia="Arial Unicode MS"/>
      <w:color w:val="000000"/>
      <w:lang w:val="en-US" w:eastAsia="zh-CN" w:bidi="ar-SA"/>
    </w:rPr>
  </w:style>
  <w:style w:type="character" w:customStyle="1" w:styleId="90">
    <w:name w:val="纯文本 Char"/>
    <w:link w:val="23"/>
    <w:qFormat/>
    <w:uiPriority w:val="0"/>
    <w:rPr>
      <w:rFonts w:ascii="宋体" w:hAnsi="Courier New" w:eastAsia="宋体"/>
      <w:kern w:val="2"/>
      <w:sz w:val="21"/>
      <w:lang w:val="en-US" w:eastAsia="zh-CN" w:bidi="ar-SA"/>
    </w:rPr>
  </w:style>
  <w:style w:type="character" w:customStyle="1" w:styleId="91">
    <w:name w:val="正文文字首行缩进 Char"/>
    <w:qFormat/>
    <w:uiPriority w:val="0"/>
    <w:rPr>
      <w:kern w:val="2"/>
      <w:sz w:val="21"/>
      <w:szCs w:val="24"/>
    </w:rPr>
  </w:style>
  <w:style w:type="character" w:customStyle="1" w:styleId="92">
    <w:name w:val="正文文本 Char"/>
    <w:link w:val="18"/>
    <w:qFormat/>
    <w:uiPriority w:val="0"/>
    <w:rPr>
      <w:rFonts w:eastAsia="宋体"/>
      <w:b/>
      <w:bCs/>
      <w:kern w:val="2"/>
      <w:sz w:val="24"/>
      <w:szCs w:val="24"/>
      <w:lang w:val="en-US" w:eastAsia="zh-CN" w:bidi="ar-SA"/>
    </w:rPr>
  </w:style>
  <w:style w:type="character" w:customStyle="1" w:styleId="93">
    <w:name w:val="正文文本缩进 2 Char"/>
    <w:link w:val="26"/>
    <w:qFormat/>
    <w:uiPriority w:val="0"/>
    <w:rPr>
      <w:rFonts w:ascii="宋体" w:hAnsi="宋体" w:eastAsia="宋体"/>
      <w:kern w:val="2"/>
      <w:sz w:val="21"/>
      <w:szCs w:val="24"/>
      <w:lang w:val="en-US" w:eastAsia="zh-CN" w:bidi="ar-SA"/>
    </w:rPr>
  </w:style>
  <w:style w:type="character" w:customStyle="1" w:styleId="94">
    <w:name w:val="页眉 Char"/>
    <w:link w:val="29"/>
    <w:qFormat/>
    <w:uiPriority w:val="99"/>
    <w:rPr>
      <w:rFonts w:eastAsia="宋体"/>
      <w:kern w:val="2"/>
      <w:sz w:val="18"/>
      <w:szCs w:val="18"/>
      <w:lang w:val="en-US" w:eastAsia="zh-CN" w:bidi="ar-SA"/>
    </w:rPr>
  </w:style>
  <w:style w:type="character" w:customStyle="1" w:styleId="95">
    <w:name w:val="正文文本缩进 3 Char"/>
    <w:link w:val="34"/>
    <w:qFormat/>
    <w:uiPriority w:val="0"/>
    <w:rPr>
      <w:rFonts w:ascii="宋体" w:eastAsia="宋体"/>
      <w:b/>
      <w:bCs/>
      <w:kern w:val="2"/>
      <w:sz w:val="24"/>
      <w:szCs w:val="24"/>
      <w:lang w:val="en-US" w:eastAsia="zh-CN" w:bidi="ar-SA"/>
    </w:rPr>
  </w:style>
  <w:style w:type="character" w:customStyle="1" w:styleId="96">
    <w:name w:val="正文文本 2 Char"/>
    <w:link w:val="19"/>
    <w:qFormat/>
    <w:uiPriority w:val="0"/>
    <w:rPr>
      <w:rFonts w:eastAsia="宋体"/>
      <w:kern w:val="2"/>
      <w:sz w:val="24"/>
      <w:szCs w:val="24"/>
      <w:lang w:val="en-US" w:eastAsia="zh-CN" w:bidi="ar-SA"/>
    </w:rPr>
  </w:style>
  <w:style w:type="character" w:customStyle="1" w:styleId="97">
    <w:name w:val="页脚 Char"/>
    <w:link w:val="28"/>
    <w:qFormat/>
    <w:uiPriority w:val="0"/>
    <w:rPr>
      <w:rFonts w:eastAsia="宋体"/>
      <w:kern w:val="2"/>
      <w:sz w:val="18"/>
      <w:szCs w:val="18"/>
      <w:lang w:val="en-US" w:eastAsia="zh-CN" w:bidi="ar-SA"/>
    </w:rPr>
  </w:style>
  <w:style w:type="character" w:customStyle="1" w:styleId="98">
    <w:name w:val="正文文本 3 Char"/>
    <w:link w:val="17"/>
    <w:qFormat/>
    <w:uiPriority w:val="0"/>
    <w:rPr>
      <w:rFonts w:eastAsia="宋体"/>
      <w:kern w:val="2"/>
      <w:sz w:val="16"/>
      <w:szCs w:val="16"/>
      <w:lang w:val="en-US" w:eastAsia="zh-CN" w:bidi="ar-SA"/>
    </w:rPr>
  </w:style>
  <w:style w:type="character" w:customStyle="1" w:styleId="99">
    <w:name w:val="批注框文本 Char"/>
    <w:link w:val="27"/>
    <w:semiHidden/>
    <w:qFormat/>
    <w:uiPriority w:val="0"/>
    <w:rPr>
      <w:rFonts w:eastAsia="宋体"/>
      <w:kern w:val="2"/>
      <w:sz w:val="18"/>
      <w:szCs w:val="18"/>
      <w:lang w:val="en-US" w:eastAsia="zh-CN" w:bidi="ar-SA"/>
    </w:rPr>
  </w:style>
  <w:style w:type="paragraph" w:customStyle="1" w:styleId="100">
    <w:name w:val="样式1"/>
    <w:basedOn w:val="40"/>
    <w:qFormat/>
    <w:uiPriority w:val="0"/>
    <w:pPr>
      <w:spacing w:before="120" w:after="120"/>
    </w:pPr>
    <w:rPr>
      <w:rFonts w:eastAsia="黑体"/>
      <w:b w:val="0"/>
      <w:sz w:val="30"/>
      <w:szCs w:val="21"/>
    </w:rPr>
  </w:style>
  <w:style w:type="paragraph" w:customStyle="1" w:styleId="101">
    <w:name w:val="样式2"/>
    <w:basedOn w:val="40"/>
    <w:next w:val="100"/>
    <w:qFormat/>
    <w:uiPriority w:val="0"/>
    <w:pPr>
      <w:spacing w:before="120" w:after="120"/>
    </w:pPr>
    <w:rPr>
      <w:rFonts w:eastAsia="黑体"/>
      <w:b w:val="0"/>
      <w:sz w:val="30"/>
      <w:szCs w:val="30"/>
    </w:rPr>
  </w:style>
  <w:style w:type="character" w:customStyle="1" w:styleId="102">
    <w:name w:val="标题 3 Char Char"/>
    <w:qFormat/>
    <w:uiPriority w:val="0"/>
    <w:rPr>
      <w:rFonts w:eastAsia="宋体"/>
      <w:b/>
      <w:bCs/>
      <w:kern w:val="2"/>
      <w:sz w:val="32"/>
      <w:szCs w:val="32"/>
      <w:lang w:val="en-US" w:eastAsia="zh-CN" w:bidi="ar-SA"/>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szCs w:val="20"/>
    </w:rPr>
  </w:style>
  <w:style w:type="paragraph" w:customStyle="1" w:styleId="10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7">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sz w:val="24"/>
    </w:rPr>
  </w:style>
  <w:style w:type="paragraph" w:customStyle="1" w:styleId="109">
    <w:name w:val="文字"/>
    <w:basedOn w:val="1"/>
    <w:qFormat/>
    <w:uiPriority w:val="0"/>
    <w:pPr>
      <w:tabs>
        <w:tab w:val="left" w:pos="8520"/>
      </w:tabs>
      <w:spacing w:line="312" w:lineRule="auto"/>
      <w:ind w:right="-210" w:firstLine="556"/>
    </w:pPr>
    <w:rPr>
      <w:rFonts w:ascii="宋体"/>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szCs w:val="21"/>
    </w:rPr>
  </w:style>
  <w:style w:type="paragraph" w:customStyle="1" w:styleId="113">
    <w:name w:val="--规划-题注"/>
    <w:basedOn w:val="1"/>
    <w:next w:val="105"/>
    <w:qFormat/>
    <w:uiPriority w:val="0"/>
    <w:pPr>
      <w:spacing w:line="360" w:lineRule="auto"/>
      <w:jc w:val="center"/>
    </w:pPr>
    <w:rPr>
      <w:rFonts w:eastAsia="黑体"/>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eastAsia="黑体"/>
    </w:rPr>
  </w:style>
  <w:style w:type="paragraph" w:customStyle="1" w:styleId="116">
    <w:name w:val="--规划正文 Char"/>
    <w:basedOn w:val="1"/>
    <w:qFormat/>
    <w:uiPriority w:val="0"/>
    <w:pPr>
      <w:spacing w:line="360" w:lineRule="auto"/>
      <w:ind w:firstLine="200" w:firstLineChars="200"/>
    </w:pPr>
    <w:rPr>
      <w:sz w:val="24"/>
    </w:rPr>
  </w:style>
  <w:style w:type="paragraph" w:customStyle="1" w:styleId="117">
    <w:name w:val="缺省文本"/>
    <w:basedOn w:val="1"/>
    <w:qFormat/>
    <w:uiPriority w:val="0"/>
    <w:pPr>
      <w:autoSpaceDE w:val="0"/>
      <w:autoSpaceDN w:val="0"/>
      <w:adjustRightInd w:val="0"/>
      <w:jc w:val="left"/>
    </w:pPr>
    <w:rPr>
      <w:kern w:val="0"/>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9">
    <w:name w:val="--规划正文 Char Char"/>
    <w:qFormat/>
    <w:uiPriority w:val="0"/>
    <w:rPr>
      <w:rFonts w:eastAsia="宋体"/>
      <w:kern w:val="2"/>
      <w:sz w:val="24"/>
      <w:szCs w:val="24"/>
      <w:lang w:val="en-US" w:eastAsia="zh-CN" w:bidi="ar-SA"/>
    </w:rPr>
  </w:style>
  <w:style w:type="paragraph" w:customStyle="1" w:styleId="120">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1">
    <w:name w:val="--规划正文 Char1"/>
    <w:qFormat/>
    <w:uiPriority w:val="0"/>
    <w:rPr>
      <w:rFonts w:eastAsia="宋体"/>
      <w:kern w:val="2"/>
      <w:sz w:val="21"/>
      <w:lang w:val="en-US" w:eastAsia="zh-CN" w:bidi="ar-SA"/>
    </w:rPr>
  </w:style>
  <w:style w:type="paragraph" w:customStyle="1" w:styleId="12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3">
    <w:name w:val="列表项目"/>
    <w:basedOn w:val="1"/>
    <w:qFormat/>
    <w:uiPriority w:val="0"/>
    <w:pPr>
      <w:tabs>
        <w:tab w:val="left" w:pos="420"/>
        <w:tab w:val="left" w:pos="1080"/>
      </w:tabs>
      <w:spacing w:line="288" w:lineRule="auto"/>
      <w:ind w:left="1080" w:hanging="360"/>
    </w:pPr>
    <w:rPr>
      <w:sz w:val="24"/>
      <w:szCs w:val="20"/>
    </w:rPr>
  </w:style>
  <w:style w:type="character" w:customStyle="1" w:styleId="124">
    <w:name w:val="content1"/>
    <w:qFormat/>
    <w:uiPriority w:val="0"/>
    <w:rPr>
      <w:rFonts w:hint="default" w:ascii="??" w:hAnsi="??"/>
      <w:sz w:val="16"/>
      <w:szCs w:val="16"/>
      <w:u w:val="none"/>
    </w:rPr>
  </w:style>
  <w:style w:type="character" w:customStyle="1" w:styleId="125">
    <w:name w:val="unnamed4"/>
    <w:basedOn w:val="46"/>
    <w:qFormat/>
    <w:uiPriority w:val="0"/>
  </w:style>
  <w:style w:type="character" w:customStyle="1" w:styleId="126">
    <w:name w:val="font2"/>
    <w:basedOn w:val="46"/>
    <w:qFormat/>
    <w:uiPriority w:val="0"/>
  </w:style>
  <w:style w:type="character" w:customStyle="1" w:styleId="127">
    <w:name w:val="font41"/>
    <w:qFormat/>
    <w:uiPriority w:val="0"/>
    <w:rPr>
      <w:color w:val="000000"/>
      <w:spacing w:val="260"/>
      <w:sz w:val="18"/>
      <w:szCs w:val="18"/>
      <w:u w:val="none"/>
    </w:rPr>
  </w:style>
  <w:style w:type="paragraph" w:customStyle="1" w:styleId="12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9">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0">
    <w:name w:val="正文首行缩进 Char"/>
    <w:link w:val="42"/>
    <w:qFormat/>
    <w:uiPriority w:val="0"/>
    <w:rPr>
      <w:rFonts w:eastAsia="宋体"/>
      <w:b/>
      <w:bCs/>
      <w:kern w:val="2"/>
      <w:sz w:val="21"/>
      <w:szCs w:val="24"/>
      <w:lang w:val="en-US" w:eastAsia="zh-CN" w:bidi="ar-SA"/>
    </w:rPr>
  </w:style>
  <w:style w:type="paragraph" w:customStyle="1" w:styleId="13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4">
    <w:name w:val="mode"/>
    <w:basedOn w:val="46"/>
    <w:qFormat/>
    <w:uiPriority w:val="0"/>
  </w:style>
  <w:style w:type="paragraph" w:customStyle="1" w:styleId="135">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6">
    <w:name w:val="unnamed3"/>
    <w:basedOn w:val="46"/>
    <w:qFormat/>
    <w:uiPriority w:val="0"/>
  </w:style>
  <w:style w:type="paragraph" w:customStyle="1" w:styleId="137">
    <w:name w:val="8"/>
    <w:basedOn w:val="1"/>
    <w:next w:val="20"/>
    <w:qFormat/>
    <w:uiPriority w:val="0"/>
    <w:pPr>
      <w:spacing w:after="120"/>
      <w:ind w:left="420" w:leftChars="200"/>
    </w:pPr>
  </w:style>
  <w:style w:type="paragraph" w:customStyle="1" w:styleId="13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0">
    <w:name w:val="5"/>
    <w:basedOn w:val="1"/>
    <w:qFormat/>
    <w:uiPriority w:val="0"/>
    <w:pPr>
      <w:autoSpaceDE w:val="0"/>
      <w:autoSpaceDN w:val="0"/>
      <w:adjustRightInd w:val="0"/>
      <w:jc w:val="left"/>
    </w:pPr>
    <w:rPr>
      <w:rFonts w:ascii="宋体"/>
      <w:b/>
      <w:bCs/>
      <w:kern w:val="0"/>
      <w:sz w:val="18"/>
      <w:szCs w:val="18"/>
    </w:rPr>
  </w:style>
  <w:style w:type="paragraph" w:customStyle="1" w:styleId="141">
    <w:name w:val="6"/>
    <w:basedOn w:val="140"/>
    <w:qFormat/>
    <w:uiPriority w:val="0"/>
    <w:pPr>
      <w:spacing w:line="270" w:lineRule="atLeast"/>
      <w:jc w:val="both"/>
    </w:pPr>
    <w:rPr>
      <w:b w:val="0"/>
      <w:bCs w:val="0"/>
    </w:rPr>
  </w:style>
  <w:style w:type="paragraph" w:customStyle="1" w:styleId="142">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3">
    <w:name w:val="姜文清定义的正文"/>
    <w:basedOn w:val="1"/>
    <w:qFormat/>
    <w:uiPriority w:val="0"/>
    <w:pPr>
      <w:spacing w:line="240" w:lineRule="atLeast"/>
      <w:ind w:firstLine="567"/>
    </w:pPr>
    <w:rPr>
      <w:szCs w:val="20"/>
    </w:rPr>
  </w:style>
  <w:style w:type="paragraph" w:customStyle="1" w:styleId="14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5">
    <w:name w:val="CM2"/>
    <w:basedOn w:val="144"/>
    <w:next w:val="144"/>
    <w:qFormat/>
    <w:uiPriority w:val="0"/>
    <w:pPr>
      <w:spacing w:line="200" w:lineRule="atLeast"/>
    </w:pPr>
    <w:rPr>
      <w:rFonts w:ascii="Arial" w:hAnsi="Arial" w:eastAsia="宋体" w:cs="Times New Roman"/>
      <w:color w:val="auto"/>
    </w:rPr>
  </w:style>
  <w:style w:type="paragraph" w:customStyle="1" w:styleId="146">
    <w:name w:val="Normal Paragraph"/>
    <w:basedOn w:val="1"/>
    <w:qFormat/>
    <w:uiPriority w:val="0"/>
    <w:pPr>
      <w:widowControl/>
      <w:spacing w:before="120" w:line="360" w:lineRule="auto"/>
      <w:ind w:firstLine="425"/>
    </w:pPr>
    <w:rPr>
      <w:kern w:val="0"/>
      <w:sz w:val="24"/>
    </w:rPr>
  </w:style>
  <w:style w:type="character" w:customStyle="1" w:styleId="147">
    <w:name w:val="blue"/>
    <w:basedOn w:val="46"/>
    <w:qFormat/>
    <w:uiPriority w:val="0"/>
  </w:style>
  <w:style w:type="paragraph" w:customStyle="1" w:styleId="148">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9">
    <w:name w:val="font"/>
    <w:basedOn w:val="46"/>
    <w:qFormat/>
    <w:uiPriority w:val="0"/>
  </w:style>
  <w:style w:type="character" w:customStyle="1" w:styleId="150">
    <w:name w:val="font11"/>
    <w:qFormat/>
    <w:uiPriority w:val="0"/>
    <w:rPr>
      <w:rFonts w:hint="default" w:ascii="ˎ̥" w:hAnsi="ˎ̥"/>
    </w:rPr>
  </w:style>
  <w:style w:type="paragraph" w:customStyle="1" w:styleId="15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2">
    <w:name w:val="proddescription"/>
    <w:basedOn w:val="46"/>
    <w:qFormat/>
    <w:uiPriority w:val="0"/>
  </w:style>
  <w:style w:type="character" w:customStyle="1" w:styleId="153">
    <w:name w:val="prodheadlines"/>
    <w:basedOn w:val="46"/>
    <w:qFormat/>
    <w:uiPriority w:val="0"/>
  </w:style>
  <w:style w:type="character" w:customStyle="1" w:styleId="154">
    <w:name w:val="text"/>
    <w:basedOn w:val="46"/>
    <w:qFormat/>
    <w:uiPriority w:val="0"/>
  </w:style>
  <w:style w:type="paragraph" w:customStyle="1" w:styleId="15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7">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9">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段落正文"/>
    <w:basedOn w:val="23"/>
    <w:qFormat/>
    <w:uiPriority w:val="0"/>
    <w:pPr>
      <w:ind w:firstLine="560" w:firstLineChars="200"/>
    </w:pPr>
    <w:rPr>
      <w:sz w:val="28"/>
    </w:rPr>
  </w:style>
  <w:style w:type="character" w:customStyle="1" w:styleId="161">
    <w:name w:val="gray6"/>
    <w:basedOn w:val="46"/>
    <w:qFormat/>
    <w:uiPriority w:val="0"/>
  </w:style>
  <w:style w:type="character" w:customStyle="1" w:styleId="162">
    <w:name w:val="style9"/>
    <w:basedOn w:val="46"/>
    <w:qFormat/>
    <w:uiPriority w:val="0"/>
  </w:style>
  <w:style w:type="paragraph" w:customStyle="1" w:styleId="163">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4">
    <w:name w:val="grame"/>
    <w:basedOn w:val="46"/>
    <w:qFormat/>
    <w:uiPriority w:val="0"/>
  </w:style>
  <w:style w:type="paragraph" w:customStyle="1" w:styleId="1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Char1"/>
    <w:basedOn w:val="1"/>
    <w:qFormat/>
    <w:uiPriority w:val="0"/>
    <w:pPr>
      <w:jc w:val="left"/>
    </w:pPr>
    <w:rPr>
      <w:rFonts w:ascii="Tahoma" w:hAnsi="Tahoma"/>
      <w:sz w:val="24"/>
      <w:szCs w:val="20"/>
    </w:rPr>
  </w:style>
  <w:style w:type="paragraph" w:customStyle="1" w:styleId="167">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8">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1">
    <w:name w:val="font6"/>
    <w:basedOn w:val="1"/>
    <w:qFormat/>
    <w:uiPriority w:val="0"/>
    <w:pPr>
      <w:widowControl/>
      <w:spacing w:before="100" w:beforeAutospacing="1" w:after="100" w:afterAutospacing="1"/>
      <w:jc w:val="left"/>
    </w:pPr>
    <w:rPr>
      <w:kern w:val="0"/>
      <w:sz w:val="24"/>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4">
    <w:name w:val="表格字"/>
    <w:basedOn w:val="1"/>
    <w:qFormat/>
    <w:uiPriority w:val="0"/>
    <w:pPr>
      <w:adjustRightInd w:val="0"/>
      <w:jc w:val="center"/>
    </w:pPr>
    <w:rPr>
      <w:rFonts w:ascii="宋体"/>
      <w:sz w:val="24"/>
      <w:szCs w:val="20"/>
    </w:rPr>
  </w:style>
  <w:style w:type="character" w:customStyle="1" w:styleId="175">
    <w:name w:val="样式 小三 加粗"/>
    <w:qFormat/>
    <w:uiPriority w:val="0"/>
    <w:rPr>
      <w:rFonts w:eastAsia="宋体"/>
      <w:b/>
      <w:bCs/>
      <w:sz w:val="32"/>
    </w:rPr>
  </w:style>
  <w:style w:type="paragraph" w:customStyle="1" w:styleId="1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8">
    <w:name w:val="Char Char Char"/>
    <w:basedOn w:val="1"/>
    <w:qFormat/>
    <w:uiPriority w:val="0"/>
    <w:rPr>
      <w:rFonts w:ascii="Tahoma" w:hAnsi="Tahoma"/>
      <w:sz w:val="24"/>
      <w:szCs w:val="20"/>
    </w:rPr>
  </w:style>
  <w:style w:type="paragraph" w:customStyle="1" w:styleId="17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0">
    <w:name w:val="info4"/>
    <w:basedOn w:val="46"/>
    <w:qFormat/>
    <w:uiPriority w:val="0"/>
  </w:style>
  <w:style w:type="paragraph" w:customStyle="1" w:styleId="181">
    <w:name w:val="缩进正文"/>
    <w:basedOn w:val="1"/>
    <w:link w:val="182"/>
    <w:qFormat/>
    <w:uiPriority w:val="0"/>
    <w:pPr>
      <w:ind w:firstLine="560" w:firstLineChars="200"/>
    </w:pPr>
    <w:rPr>
      <w:rFonts w:eastAsia="仿宋_GB2312" w:cs="宋体"/>
      <w:sz w:val="28"/>
      <w:szCs w:val="20"/>
    </w:rPr>
  </w:style>
  <w:style w:type="character" w:customStyle="1" w:styleId="182">
    <w:name w:val="缩进正文 Char"/>
    <w:link w:val="181"/>
    <w:qFormat/>
    <w:uiPriority w:val="0"/>
    <w:rPr>
      <w:rFonts w:eastAsia="仿宋_GB2312" w:cs="宋体"/>
      <w:kern w:val="2"/>
      <w:sz w:val="28"/>
      <w:lang w:val="en-US" w:eastAsia="zh-CN" w:bidi="ar-SA"/>
    </w:rPr>
  </w:style>
  <w:style w:type="paragraph" w:customStyle="1" w:styleId="183">
    <w:name w:val="列出段落1"/>
    <w:basedOn w:val="1"/>
    <w:qFormat/>
    <w:uiPriority w:val="0"/>
    <w:pPr>
      <w:ind w:firstLine="420" w:firstLineChars="200"/>
    </w:pPr>
    <w:rPr>
      <w:rFonts w:ascii="Calibri" w:hAnsi="Calibri" w:cs="Calibri"/>
      <w:szCs w:val="21"/>
    </w:rPr>
  </w:style>
  <w:style w:type="character" w:customStyle="1" w:styleId="184">
    <w:name w:val="批注文字 Char"/>
    <w:basedOn w:val="46"/>
    <w:link w:val="16"/>
    <w:semiHidden/>
    <w:qFormat/>
    <w:uiPriority w:val="0"/>
    <w:rPr>
      <w:rFonts w:ascii="宋体"/>
      <w:sz w:val="34"/>
    </w:rPr>
  </w:style>
  <w:style w:type="character" w:customStyle="1" w:styleId="185">
    <w:name w:val="批注主题 Char"/>
    <w:basedOn w:val="184"/>
    <w:link w:val="41"/>
    <w:qFormat/>
    <w:uiPriority w:val="0"/>
    <w:rPr>
      <w:rFonts w:ascii="宋体"/>
      <w:sz w:val="34"/>
    </w:rPr>
  </w:style>
  <w:style w:type="paragraph" w:customStyle="1" w:styleId="186">
    <w:name w:val="评价"/>
    <w:basedOn w:val="1"/>
    <w:qFormat/>
    <w:uiPriority w:val="0"/>
    <w:pPr>
      <w:spacing w:afterLines="20"/>
      <w:ind w:firstLine="1446" w:firstLineChars="200"/>
    </w:pPr>
    <w:rPr>
      <w:rFonts w:ascii="Calibri" w:hAnsi="Calibri"/>
      <w:sz w:val="24"/>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8">
    <w:name w:val="alt-edited1"/>
    <w:qFormat/>
    <w:uiPriority w:val="0"/>
    <w:rPr>
      <w:color w:val="4D90F0"/>
    </w:rPr>
  </w:style>
  <w:style w:type="paragraph" w:customStyle="1" w:styleId="189">
    <w:name w:val="toc 14"/>
    <w:next w:val="1"/>
    <w:qFormat/>
    <w:uiPriority w:val="0"/>
    <w:pPr>
      <w:wordWrap w:val="0"/>
      <w:jc w:val="both"/>
    </w:pPr>
    <w:rPr>
      <w:rFonts w:ascii="Calibri" w:hAnsi="Calibri" w:eastAsia="宋体" w:cs="Times New Roman"/>
      <w:sz w:val="21"/>
      <w:lang w:val="en-US" w:eastAsia="zh-CN" w:bidi="ar-SA"/>
    </w:rPr>
  </w:style>
  <w:style w:type="character" w:customStyle="1" w:styleId="190">
    <w:name w:val="文档结构图 Char1"/>
    <w:semiHidden/>
    <w:qFormat/>
    <w:uiPriority w:val="0"/>
    <w:rPr>
      <w:sz w:val="20"/>
    </w:rPr>
  </w:style>
  <w:style w:type="character" w:customStyle="1" w:styleId="191">
    <w:name w:val="文档结构图 Char"/>
    <w:semiHidden/>
    <w:qFormat/>
    <w:uiPriority w:val="0"/>
    <w:rPr>
      <w:sz w:val="20"/>
    </w:rPr>
  </w:style>
  <w:style w:type="character" w:customStyle="1" w:styleId="192">
    <w:name w:val="short_text"/>
    <w:basedOn w:val="46"/>
    <w:qFormat/>
    <w:uiPriority w:val="0"/>
    <w:rPr>
      <w:sz w:val="20"/>
    </w:rPr>
  </w:style>
  <w:style w:type="character" w:customStyle="1" w:styleId="193">
    <w:name w:val="标题 Char1"/>
    <w:qFormat/>
    <w:uiPriority w:val="0"/>
    <w:rPr>
      <w:b/>
      <w:sz w:val="20"/>
    </w:rPr>
  </w:style>
  <w:style w:type="character" w:customStyle="1" w:styleId="194">
    <w:name w:val="正文文本缩进 3 Char1"/>
    <w:semiHidden/>
    <w:qFormat/>
    <w:uiPriority w:val="0"/>
    <w:rPr>
      <w:sz w:val="20"/>
    </w:rPr>
  </w:style>
  <w:style w:type="character" w:customStyle="1" w:styleId="195">
    <w:name w:val="font21"/>
    <w:qFormat/>
    <w:uiPriority w:val="0"/>
    <w:rPr>
      <w:color w:val="FF0000"/>
      <w:sz w:val="20"/>
      <w:u w:val="none"/>
    </w:rPr>
  </w:style>
  <w:style w:type="character" w:customStyle="1" w:styleId="196">
    <w:name w:val="不明显强调1"/>
    <w:qFormat/>
    <w:uiPriority w:val="0"/>
    <w:rPr>
      <w:i/>
      <w:sz w:val="20"/>
    </w:rPr>
  </w:style>
  <w:style w:type="character" w:customStyle="1" w:styleId="197">
    <w:name w:val="font71"/>
    <w:qFormat/>
    <w:uiPriority w:val="0"/>
    <w:rPr>
      <w:sz w:val="20"/>
      <w:u w:val="none"/>
    </w:rPr>
  </w:style>
  <w:style w:type="character" w:customStyle="1" w:styleId="198">
    <w:name w:val="页眉 Char1"/>
    <w:semiHidden/>
    <w:qFormat/>
    <w:uiPriority w:val="0"/>
    <w:rPr>
      <w:sz w:val="20"/>
    </w:rPr>
  </w:style>
  <w:style w:type="character" w:customStyle="1" w:styleId="199">
    <w:name w:val="正文文本缩进 2 Char1"/>
    <w:semiHidden/>
    <w:qFormat/>
    <w:uiPriority w:val="0"/>
    <w:rPr>
      <w:sz w:val="20"/>
    </w:rPr>
  </w:style>
  <w:style w:type="character" w:customStyle="1" w:styleId="200">
    <w:name w:val="font61"/>
    <w:qFormat/>
    <w:uiPriority w:val="0"/>
    <w:rPr>
      <w:sz w:val="20"/>
      <w:u w:val="none"/>
    </w:rPr>
  </w:style>
  <w:style w:type="character" w:customStyle="1" w:styleId="201">
    <w:name w:val="纯文本 Char1"/>
    <w:semiHidden/>
    <w:qFormat/>
    <w:uiPriority w:val="0"/>
    <w:rPr>
      <w:sz w:val="20"/>
    </w:rPr>
  </w:style>
  <w:style w:type="character" w:customStyle="1" w:styleId="202">
    <w:name w:val="正文文本 3 Char1"/>
    <w:semiHidden/>
    <w:qFormat/>
    <w:uiPriority w:val="0"/>
    <w:rPr>
      <w:sz w:val="20"/>
    </w:rPr>
  </w:style>
  <w:style w:type="character" w:customStyle="1" w:styleId="203">
    <w:name w:val="正文文本缩进 Char1"/>
    <w:semiHidden/>
    <w:qFormat/>
    <w:uiPriority w:val="0"/>
    <w:rPr>
      <w:sz w:val="20"/>
    </w:rPr>
  </w:style>
  <w:style w:type="character" w:customStyle="1" w:styleId="204">
    <w:name w:val="明显参考1"/>
    <w:qFormat/>
    <w:uiPriority w:val="0"/>
    <w:rPr>
      <w:b/>
      <w:sz w:val="20"/>
    </w:rPr>
  </w:style>
  <w:style w:type="character" w:customStyle="1" w:styleId="205">
    <w:name w:val="apple-converted-space"/>
    <w:qFormat/>
    <w:uiPriority w:val="0"/>
    <w:rPr>
      <w:sz w:val="20"/>
    </w:rPr>
  </w:style>
  <w:style w:type="character" w:customStyle="1" w:styleId="206">
    <w:name w:val="书籍标题1"/>
    <w:qFormat/>
    <w:uiPriority w:val="0"/>
    <w:rPr>
      <w:b/>
      <w:i/>
      <w:sz w:val="20"/>
    </w:rPr>
  </w:style>
  <w:style w:type="character" w:customStyle="1" w:styleId="207">
    <w:name w:val="long_text"/>
    <w:qFormat/>
    <w:uiPriority w:val="0"/>
    <w:rPr>
      <w:sz w:val="20"/>
    </w:rPr>
  </w:style>
  <w:style w:type="character" w:customStyle="1" w:styleId="208">
    <w:name w:val="日期 Char1"/>
    <w:semiHidden/>
    <w:qFormat/>
    <w:uiPriority w:val="0"/>
    <w:rPr>
      <w:sz w:val="20"/>
    </w:rPr>
  </w:style>
  <w:style w:type="character" w:customStyle="1" w:styleId="209">
    <w:name w:val="批注文字 Char1"/>
    <w:semiHidden/>
    <w:qFormat/>
    <w:uiPriority w:val="0"/>
    <w:rPr>
      <w:sz w:val="20"/>
    </w:rPr>
  </w:style>
  <w:style w:type="character" w:customStyle="1" w:styleId="210">
    <w:name w:val="明显强调1"/>
    <w:qFormat/>
    <w:uiPriority w:val="0"/>
    <w:rPr>
      <w:i/>
      <w:sz w:val="20"/>
    </w:rPr>
  </w:style>
  <w:style w:type="character" w:customStyle="1" w:styleId="211">
    <w:name w:val="16"/>
    <w:qFormat/>
    <w:uiPriority w:val="0"/>
    <w:rPr>
      <w:b/>
      <w:color w:val="FF0356"/>
      <w:sz w:val="20"/>
    </w:rPr>
  </w:style>
  <w:style w:type="character" w:customStyle="1" w:styleId="212">
    <w:name w:val="批注主题 Char1"/>
    <w:semiHidden/>
    <w:qFormat/>
    <w:uiPriority w:val="0"/>
    <w:rPr>
      <w:b/>
      <w:sz w:val="20"/>
    </w:rPr>
  </w:style>
  <w:style w:type="character" w:customStyle="1" w:styleId="213">
    <w:name w:val="正文文本 2 Char1"/>
    <w:semiHidden/>
    <w:qFormat/>
    <w:uiPriority w:val="0"/>
    <w:rPr>
      <w:sz w:val="20"/>
    </w:rPr>
  </w:style>
  <w:style w:type="character" w:customStyle="1" w:styleId="214">
    <w:name w:val="font31"/>
    <w:qFormat/>
    <w:uiPriority w:val="0"/>
    <w:rPr>
      <w:color w:val="FF0000"/>
      <w:sz w:val="20"/>
      <w:u w:val="none"/>
      <w:vertAlign w:val="superscript"/>
    </w:rPr>
  </w:style>
  <w:style w:type="character" w:customStyle="1" w:styleId="215">
    <w:name w:val="不明显参考1"/>
    <w:qFormat/>
    <w:uiPriority w:val="0"/>
    <w:rPr>
      <w:sz w:val="20"/>
    </w:rPr>
  </w:style>
  <w:style w:type="character" w:customStyle="1" w:styleId="216">
    <w:name w:val="HTML 预设格式 Char1"/>
    <w:semiHidden/>
    <w:qFormat/>
    <w:uiPriority w:val="0"/>
    <w:rPr>
      <w:sz w:val="20"/>
    </w:rPr>
  </w:style>
  <w:style w:type="character" w:customStyle="1" w:styleId="217">
    <w:name w:val="font01"/>
    <w:basedOn w:val="46"/>
    <w:qFormat/>
    <w:uiPriority w:val="0"/>
    <w:rPr>
      <w:color w:val="FF0000"/>
      <w:sz w:val="20"/>
      <w:u w:val="none"/>
      <w:vertAlign w:val="superscript"/>
    </w:rPr>
  </w:style>
  <w:style w:type="character" w:customStyle="1" w:styleId="218">
    <w:name w:val="页脚 Char1"/>
    <w:semiHidden/>
    <w:qFormat/>
    <w:uiPriority w:val="0"/>
    <w:rPr>
      <w:sz w:val="20"/>
    </w:rPr>
  </w:style>
  <w:style w:type="character" w:customStyle="1" w:styleId="219">
    <w:name w:val="批注框文本 Char1"/>
    <w:semiHidden/>
    <w:qFormat/>
    <w:uiPriority w:val="0"/>
    <w:rPr>
      <w:sz w:val="20"/>
    </w:rPr>
  </w:style>
  <w:style w:type="paragraph" w:customStyle="1" w:styleId="220">
    <w:name w:val="列出段落2"/>
    <w:basedOn w:val="1"/>
    <w:next w:val="221"/>
    <w:qFormat/>
    <w:uiPriority w:val="0"/>
    <w:pPr>
      <w:ind w:firstLine="420"/>
    </w:pPr>
    <w:rPr>
      <w:rFonts w:hAnsi="Calibri"/>
      <w:kern w:val="0"/>
      <w:szCs w:val="20"/>
    </w:rPr>
  </w:style>
  <w:style w:type="paragraph" w:customStyle="1" w:styleId="221">
    <w:name w:val="toc 814"/>
    <w:next w:val="1"/>
    <w:qFormat/>
    <w:uiPriority w:val="0"/>
    <w:pPr>
      <w:wordWrap w:val="0"/>
      <w:ind w:left="2975"/>
      <w:jc w:val="both"/>
    </w:pPr>
    <w:rPr>
      <w:rFonts w:ascii="Calibri" w:hAnsi="Calibri" w:eastAsia="宋体" w:cs="Times New Roman"/>
      <w:sz w:val="21"/>
      <w:lang w:val="en-US" w:eastAsia="zh-CN" w:bidi="ar-SA"/>
    </w:rPr>
  </w:style>
  <w:style w:type="paragraph" w:customStyle="1" w:styleId="222">
    <w:name w:val="toc 62"/>
    <w:next w:val="1"/>
    <w:qFormat/>
    <w:uiPriority w:val="0"/>
    <w:pPr>
      <w:wordWrap w:val="0"/>
      <w:ind w:left="2125"/>
      <w:jc w:val="both"/>
    </w:pPr>
    <w:rPr>
      <w:rFonts w:ascii="Calibri" w:hAnsi="Calibri" w:eastAsia="宋体" w:cs="Times New Roman"/>
      <w:sz w:val="21"/>
      <w:lang w:val="en-US" w:eastAsia="zh-CN" w:bidi="ar-SA"/>
    </w:rPr>
  </w:style>
  <w:style w:type="paragraph" w:customStyle="1" w:styleId="223">
    <w:name w:val="toc 414"/>
    <w:next w:val="1"/>
    <w:qFormat/>
    <w:uiPriority w:val="0"/>
    <w:pPr>
      <w:wordWrap w:val="0"/>
      <w:ind w:left="1275"/>
      <w:jc w:val="both"/>
    </w:pPr>
    <w:rPr>
      <w:rFonts w:ascii="Calibri" w:hAnsi="Calibri" w:eastAsia="宋体" w:cs="Times New Roman"/>
      <w:sz w:val="21"/>
      <w:lang w:val="en-US" w:eastAsia="zh-CN" w:bidi="ar-SA"/>
    </w:rPr>
  </w:style>
  <w:style w:type="paragraph" w:customStyle="1" w:styleId="224">
    <w:name w:val="toc 411"/>
    <w:next w:val="1"/>
    <w:qFormat/>
    <w:uiPriority w:val="0"/>
    <w:pPr>
      <w:wordWrap w:val="0"/>
      <w:ind w:left="1275"/>
      <w:jc w:val="both"/>
    </w:pPr>
    <w:rPr>
      <w:rFonts w:ascii="Calibri" w:hAnsi="Calibri" w:eastAsia="宋体" w:cs="Times New Roman"/>
      <w:sz w:val="21"/>
      <w:lang w:val="en-US" w:eastAsia="zh-CN" w:bidi="ar-SA"/>
    </w:rPr>
  </w:style>
  <w:style w:type="paragraph" w:customStyle="1" w:styleId="225">
    <w:name w:val="xl86"/>
    <w:basedOn w:val="1"/>
    <w:next w:val="226"/>
    <w:qFormat/>
    <w:uiPriority w:val="0"/>
    <w:pPr>
      <w:widowControl/>
      <w:shd w:val="clear" w:color="000000" w:fill="FFFFFF"/>
      <w:spacing w:before="280" w:after="280"/>
      <w:jc w:val="center"/>
    </w:pPr>
    <w:rPr>
      <w:rFonts w:ascii="宋体" w:hAnsi="Calibri"/>
      <w:kern w:val="0"/>
      <w:sz w:val="20"/>
      <w:szCs w:val="20"/>
    </w:rPr>
  </w:style>
  <w:style w:type="paragraph" w:customStyle="1" w:styleId="226">
    <w:name w:val="toc 515"/>
    <w:next w:val="1"/>
    <w:qFormat/>
    <w:uiPriority w:val="0"/>
    <w:pPr>
      <w:wordWrap w:val="0"/>
      <w:ind w:left="1700"/>
      <w:jc w:val="both"/>
    </w:pPr>
    <w:rPr>
      <w:rFonts w:ascii="Calibri" w:hAnsi="Calibri" w:eastAsia="宋体" w:cs="Times New Roman"/>
      <w:sz w:val="21"/>
      <w:lang w:val="en-US" w:eastAsia="zh-CN" w:bidi="ar-SA"/>
    </w:rPr>
  </w:style>
  <w:style w:type="paragraph" w:customStyle="1" w:styleId="227">
    <w:name w:val="TOC Heading4"/>
    <w:next w:val="1"/>
    <w:qFormat/>
    <w:uiPriority w:val="0"/>
    <w:pPr>
      <w:wordWrap w:val="0"/>
    </w:pPr>
    <w:rPr>
      <w:rFonts w:ascii="Calibri" w:hAnsi="Calibri" w:eastAsia="宋体" w:cs="Times New Roman"/>
      <w:sz w:val="32"/>
      <w:lang w:val="en-US" w:eastAsia="zh-CN" w:bidi="ar-SA"/>
    </w:rPr>
  </w:style>
  <w:style w:type="paragraph" w:customStyle="1" w:styleId="228">
    <w:name w:val="toc 15"/>
    <w:next w:val="1"/>
    <w:qFormat/>
    <w:uiPriority w:val="0"/>
    <w:pPr>
      <w:wordWrap w:val="0"/>
      <w:jc w:val="both"/>
    </w:pPr>
    <w:rPr>
      <w:rFonts w:ascii="Calibri" w:hAnsi="Calibri" w:eastAsia="宋体" w:cs="Times New Roman"/>
      <w:sz w:val="21"/>
      <w:lang w:val="en-US" w:eastAsia="zh-CN" w:bidi="ar-SA"/>
    </w:rPr>
  </w:style>
  <w:style w:type="paragraph" w:customStyle="1" w:styleId="229">
    <w:name w:val="TOC Heading2"/>
    <w:next w:val="1"/>
    <w:qFormat/>
    <w:uiPriority w:val="0"/>
    <w:pPr>
      <w:wordWrap w:val="0"/>
    </w:pPr>
    <w:rPr>
      <w:rFonts w:ascii="Calibri" w:hAnsi="Calibri" w:eastAsia="宋体" w:cs="Times New Roman"/>
      <w:sz w:val="32"/>
      <w:lang w:val="en-US" w:eastAsia="zh-CN" w:bidi="ar-SA"/>
    </w:rPr>
  </w:style>
  <w:style w:type="paragraph" w:customStyle="1" w:styleId="230">
    <w:name w:val="TOC Heading1"/>
    <w:next w:val="1"/>
    <w:qFormat/>
    <w:uiPriority w:val="0"/>
    <w:pPr>
      <w:wordWrap w:val="0"/>
    </w:pPr>
    <w:rPr>
      <w:rFonts w:ascii="Calibri" w:hAnsi="Calibri" w:eastAsia="宋体" w:cs="Times New Roman"/>
      <w:sz w:val="32"/>
      <w:lang w:val="en-US" w:eastAsia="zh-CN" w:bidi="ar-SA"/>
    </w:rPr>
  </w:style>
  <w:style w:type="paragraph" w:customStyle="1" w:styleId="231">
    <w:name w:val="toc 73"/>
    <w:next w:val="1"/>
    <w:qFormat/>
    <w:uiPriority w:val="0"/>
    <w:pPr>
      <w:wordWrap w:val="0"/>
      <w:ind w:left="2550"/>
      <w:jc w:val="both"/>
    </w:pPr>
    <w:rPr>
      <w:rFonts w:ascii="Calibri" w:hAnsi="Calibri" w:eastAsia="宋体" w:cs="Times New Roman"/>
      <w:sz w:val="21"/>
      <w:lang w:val="en-US" w:eastAsia="zh-CN" w:bidi="ar-SA"/>
    </w:rPr>
  </w:style>
  <w:style w:type="paragraph" w:customStyle="1" w:styleId="232">
    <w:name w:val="font7"/>
    <w:basedOn w:val="1"/>
    <w:next w:val="233"/>
    <w:qFormat/>
    <w:uiPriority w:val="0"/>
    <w:pPr>
      <w:widowControl/>
      <w:spacing w:before="280" w:after="280"/>
    </w:pPr>
    <w:rPr>
      <w:rFonts w:ascii="Arial" w:hAnsi="Calibri"/>
      <w:kern w:val="0"/>
      <w:sz w:val="18"/>
      <w:szCs w:val="20"/>
    </w:rPr>
  </w:style>
  <w:style w:type="paragraph" w:customStyle="1" w:styleId="233">
    <w:name w:val="toc 810"/>
    <w:next w:val="1"/>
    <w:qFormat/>
    <w:uiPriority w:val="0"/>
    <w:pPr>
      <w:wordWrap w:val="0"/>
      <w:ind w:left="2975"/>
      <w:jc w:val="both"/>
    </w:pPr>
    <w:rPr>
      <w:rFonts w:ascii="Calibri" w:hAnsi="Calibri" w:eastAsia="宋体" w:cs="Times New Roman"/>
      <w:sz w:val="21"/>
      <w:lang w:val="en-US" w:eastAsia="zh-CN" w:bidi="ar-SA"/>
    </w:rPr>
  </w:style>
  <w:style w:type="paragraph" w:customStyle="1" w:styleId="234">
    <w:name w:val="xl113"/>
    <w:basedOn w:val="1"/>
    <w:next w:val="235"/>
    <w:qFormat/>
    <w:uiPriority w:val="0"/>
    <w:pPr>
      <w:widowControl/>
      <w:shd w:val="clear" w:color="000000" w:fill="FFFFFF"/>
      <w:spacing w:before="280" w:after="280"/>
      <w:jc w:val="center"/>
    </w:pPr>
    <w:rPr>
      <w:rFonts w:ascii="宋体" w:hAnsi="Calibri"/>
      <w:b/>
      <w:kern w:val="0"/>
      <w:sz w:val="20"/>
      <w:szCs w:val="20"/>
    </w:rPr>
  </w:style>
  <w:style w:type="paragraph" w:customStyle="1" w:styleId="235">
    <w:name w:val="TOC Heading10"/>
    <w:next w:val="1"/>
    <w:qFormat/>
    <w:uiPriority w:val="0"/>
    <w:pPr>
      <w:wordWrap w:val="0"/>
    </w:pPr>
    <w:rPr>
      <w:rFonts w:ascii="Calibri" w:hAnsi="Calibri" w:eastAsia="宋体" w:cs="Times New Roman"/>
      <w:sz w:val="32"/>
      <w:lang w:val="en-US" w:eastAsia="zh-CN" w:bidi="ar-SA"/>
    </w:rPr>
  </w:style>
  <w:style w:type="paragraph" w:customStyle="1" w:styleId="236">
    <w:name w:val="toc 89"/>
    <w:next w:val="1"/>
    <w:qFormat/>
    <w:uiPriority w:val="0"/>
    <w:pPr>
      <w:wordWrap w:val="0"/>
      <w:ind w:left="2975"/>
      <w:jc w:val="both"/>
    </w:pPr>
    <w:rPr>
      <w:rFonts w:ascii="Calibri" w:hAnsi="Calibri" w:eastAsia="宋体" w:cs="Times New Roman"/>
      <w:sz w:val="21"/>
      <w:lang w:val="en-US" w:eastAsia="zh-CN" w:bidi="ar-SA"/>
    </w:rPr>
  </w:style>
  <w:style w:type="paragraph" w:customStyle="1" w:styleId="237">
    <w:name w:val="xl73"/>
    <w:basedOn w:val="1"/>
    <w:next w:val="238"/>
    <w:qFormat/>
    <w:uiPriority w:val="0"/>
    <w:pPr>
      <w:widowControl/>
      <w:shd w:val="clear" w:color="000000" w:fill="FFFFFF"/>
      <w:spacing w:before="280" w:after="280"/>
      <w:jc w:val="center"/>
    </w:pPr>
    <w:rPr>
      <w:rFonts w:ascii="宋体" w:hAnsi="Calibri"/>
      <w:kern w:val="0"/>
      <w:sz w:val="20"/>
      <w:szCs w:val="20"/>
    </w:rPr>
  </w:style>
  <w:style w:type="paragraph" w:customStyle="1" w:styleId="238">
    <w:name w:val="toc 613"/>
    <w:next w:val="1"/>
    <w:qFormat/>
    <w:uiPriority w:val="0"/>
    <w:pPr>
      <w:wordWrap w:val="0"/>
      <w:ind w:left="2125"/>
      <w:jc w:val="both"/>
    </w:pPr>
    <w:rPr>
      <w:rFonts w:ascii="Calibri" w:hAnsi="Calibri" w:eastAsia="宋体" w:cs="Times New Roman"/>
      <w:sz w:val="21"/>
      <w:lang w:val="en-US" w:eastAsia="zh-CN" w:bidi="ar-SA"/>
    </w:rPr>
  </w:style>
  <w:style w:type="paragraph" w:customStyle="1" w:styleId="239">
    <w:name w:val="xl79"/>
    <w:basedOn w:val="1"/>
    <w:next w:val="240"/>
    <w:qFormat/>
    <w:uiPriority w:val="0"/>
    <w:pPr>
      <w:widowControl/>
      <w:shd w:val="clear" w:color="000000" w:fill="FFFFFF"/>
      <w:spacing w:before="280" w:after="280"/>
    </w:pPr>
    <w:rPr>
      <w:rFonts w:ascii="宋体" w:hAnsi="Calibri"/>
      <w:b/>
      <w:kern w:val="0"/>
      <w:sz w:val="20"/>
      <w:szCs w:val="20"/>
    </w:rPr>
  </w:style>
  <w:style w:type="paragraph" w:customStyle="1" w:styleId="240">
    <w:name w:val="toc 87"/>
    <w:next w:val="1"/>
    <w:qFormat/>
    <w:uiPriority w:val="0"/>
    <w:pPr>
      <w:wordWrap w:val="0"/>
      <w:ind w:left="2975"/>
      <w:jc w:val="both"/>
    </w:pPr>
    <w:rPr>
      <w:rFonts w:ascii="Calibri" w:hAnsi="Calibri" w:eastAsia="宋体" w:cs="Times New Roman"/>
      <w:sz w:val="21"/>
      <w:lang w:val="en-US" w:eastAsia="zh-CN" w:bidi="ar-SA"/>
    </w:rPr>
  </w:style>
  <w:style w:type="paragraph" w:customStyle="1" w:styleId="241">
    <w:name w:val="toc 11"/>
    <w:next w:val="1"/>
    <w:qFormat/>
    <w:uiPriority w:val="0"/>
    <w:pPr>
      <w:wordWrap w:val="0"/>
      <w:jc w:val="both"/>
    </w:pPr>
    <w:rPr>
      <w:rFonts w:ascii="Calibri" w:hAnsi="Calibri" w:eastAsia="宋体" w:cs="Times New Roman"/>
      <w:sz w:val="21"/>
      <w:lang w:val="en-US" w:eastAsia="zh-CN" w:bidi="ar-SA"/>
    </w:rPr>
  </w:style>
  <w:style w:type="paragraph" w:customStyle="1" w:styleId="242">
    <w:name w:val="toc 410"/>
    <w:next w:val="1"/>
    <w:qFormat/>
    <w:uiPriority w:val="0"/>
    <w:pPr>
      <w:wordWrap w:val="0"/>
      <w:ind w:left="1275"/>
      <w:jc w:val="both"/>
    </w:pPr>
    <w:rPr>
      <w:rFonts w:ascii="Calibri" w:hAnsi="Calibri" w:eastAsia="宋体" w:cs="Times New Roman"/>
      <w:sz w:val="21"/>
      <w:lang w:val="en-US" w:eastAsia="zh-CN" w:bidi="ar-SA"/>
    </w:rPr>
  </w:style>
  <w:style w:type="paragraph" w:customStyle="1" w:styleId="243">
    <w:name w:val="toc 611"/>
    <w:next w:val="1"/>
    <w:qFormat/>
    <w:uiPriority w:val="0"/>
    <w:pPr>
      <w:wordWrap w:val="0"/>
      <w:ind w:left="2125"/>
      <w:jc w:val="both"/>
    </w:pPr>
    <w:rPr>
      <w:rFonts w:ascii="Calibri" w:hAnsi="Calibri" w:eastAsia="宋体" w:cs="Times New Roman"/>
      <w:sz w:val="21"/>
      <w:lang w:val="en-US" w:eastAsia="zh-CN" w:bidi="ar-SA"/>
    </w:rPr>
  </w:style>
  <w:style w:type="paragraph" w:customStyle="1" w:styleId="244">
    <w:name w:val="xl112"/>
    <w:basedOn w:val="1"/>
    <w:next w:val="243"/>
    <w:qFormat/>
    <w:uiPriority w:val="0"/>
    <w:pPr>
      <w:widowControl/>
      <w:shd w:val="clear" w:color="000000" w:fill="FFFFFF"/>
      <w:spacing w:before="280" w:after="280"/>
      <w:jc w:val="center"/>
    </w:pPr>
    <w:rPr>
      <w:rFonts w:ascii="宋体" w:hAnsi="Calibri"/>
      <w:b/>
      <w:kern w:val="0"/>
      <w:sz w:val="20"/>
      <w:szCs w:val="20"/>
    </w:rPr>
  </w:style>
  <w:style w:type="paragraph" w:customStyle="1" w:styleId="245">
    <w:name w:val="toc 514"/>
    <w:next w:val="1"/>
    <w:qFormat/>
    <w:uiPriority w:val="0"/>
    <w:pPr>
      <w:wordWrap w:val="0"/>
      <w:ind w:left="1700"/>
      <w:jc w:val="both"/>
    </w:pPr>
    <w:rPr>
      <w:rFonts w:ascii="Calibri" w:hAnsi="Calibri" w:eastAsia="宋体" w:cs="Times New Roman"/>
      <w:sz w:val="21"/>
      <w:lang w:val="en-US" w:eastAsia="zh-CN" w:bidi="ar-SA"/>
    </w:rPr>
  </w:style>
  <w:style w:type="paragraph" w:customStyle="1" w:styleId="246">
    <w:name w:val="toc 44"/>
    <w:next w:val="1"/>
    <w:qFormat/>
    <w:uiPriority w:val="0"/>
    <w:pPr>
      <w:wordWrap w:val="0"/>
      <w:ind w:left="1275"/>
      <w:jc w:val="both"/>
    </w:pPr>
    <w:rPr>
      <w:rFonts w:ascii="Calibri" w:hAnsi="Calibri" w:eastAsia="宋体" w:cs="Times New Roman"/>
      <w:sz w:val="21"/>
      <w:lang w:val="en-US" w:eastAsia="zh-CN" w:bidi="ar-SA"/>
    </w:rPr>
  </w:style>
  <w:style w:type="paragraph" w:customStyle="1" w:styleId="247">
    <w:name w:val="toc 412"/>
    <w:next w:val="1"/>
    <w:qFormat/>
    <w:uiPriority w:val="0"/>
    <w:pPr>
      <w:wordWrap w:val="0"/>
      <w:ind w:left="1275"/>
      <w:jc w:val="both"/>
    </w:pPr>
    <w:rPr>
      <w:rFonts w:ascii="Calibri" w:hAnsi="Calibri" w:eastAsia="宋体" w:cs="Times New Roman"/>
      <w:sz w:val="21"/>
      <w:lang w:val="en-US" w:eastAsia="zh-CN" w:bidi="ar-SA"/>
    </w:rPr>
  </w:style>
  <w:style w:type="paragraph" w:customStyle="1" w:styleId="248">
    <w:name w:val="xl74"/>
    <w:basedOn w:val="1"/>
    <w:next w:val="249"/>
    <w:qFormat/>
    <w:uiPriority w:val="0"/>
    <w:pPr>
      <w:widowControl/>
      <w:shd w:val="clear" w:color="000000" w:fill="FFFFFF"/>
      <w:spacing w:before="280" w:after="280"/>
    </w:pPr>
    <w:rPr>
      <w:rFonts w:ascii="宋体" w:hAnsi="Calibri"/>
      <w:kern w:val="0"/>
      <w:sz w:val="20"/>
      <w:szCs w:val="20"/>
    </w:rPr>
  </w:style>
  <w:style w:type="paragraph" w:customStyle="1" w:styleId="249">
    <w:name w:val="toc 57"/>
    <w:next w:val="1"/>
    <w:qFormat/>
    <w:uiPriority w:val="0"/>
    <w:pPr>
      <w:wordWrap w:val="0"/>
      <w:ind w:left="1700"/>
      <w:jc w:val="both"/>
    </w:pPr>
    <w:rPr>
      <w:rFonts w:ascii="Calibri" w:hAnsi="Calibri" w:eastAsia="宋体" w:cs="Times New Roman"/>
      <w:sz w:val="21"/>
      <w:lang w:val="en-US" w:eastAsia="zh-CN" w:bidi="ar-SA"/>
    </w:rPr>
  </w:style>
  <w:style w:type="paragraph" w:customStyle="1" w:styleId="250">
    <w:name w:val="toc 912"/>
    <w:next w:val="1"/>
    <w:qFormat/>
    <w:uiPriority w:val="0"/>
    <w:pPr>
      <w:wordWrap w:val="0"/>
      <w:ind w:left="3400"/>
      <w:jc w:val="both"/>
    </w:pPr>
    <w:rPr>
      <w:rFonts w:ascii="Calibri" w:hAnsi="Calibri" w:eastAsia="宋体" w:cs="Times New Roman"/>
      <w:sz w:val="21"/>
      <w:lang w:val="en-US" w:eastAsia="zh-CN" w:bidi="ar-SA"/>
    </w:rPr>
  </w:style>
  <w:style w:type="paragraph" w:customStyle="1" w:styleId="251">
    <w:name w:val="toc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52">
    <w:name w:val="toc 38"/>
    <w:next w:val="1"/>
    <w:qFormat/>
    <w:uiPriority w:val="0"/>
    <w:pPr>
      <w:wordWrap w:val="0"/>
      <w:ind w:left="850"/>
      <w:jc w:val="both"/>
    </w:pPr>
    <w:rPr>
      <w:rFonts w:ascii="Calibri" w:hAnsi="Calibri" w:eastAsia="宋体" w:cs="Times New Roman"/>
      <w:sz w:val="21"/>
      <w:lang w:val="en-US" w:eastAsia="zh-CN" w:bidi="ar-SA"/>
    </w:rPr>
  </w:style>
  <w:style w:type="paragraph" w:customStyle="1" w:styleId="253">
    <w:name w:val="toc 95"/>
    <w:next w:val="1"/>
    <w:qFormat/>
    <w:uiPriority w:val="0"/>
    <w:pPr>
      <w:wordWrap w:val="0"/>
      <w:ind w:left="3400"/>
      <w:jc w:val="both"/>
    </w:pPr>
    <w:rPr>
      <w:rFonts w:ascii="Calibri" w:hAnsi="Calibri" w:eastAsia="宋体" w:cs="Times New Roman"/>
      <w:sz w:val="21"/>
      <w:lang w:val="en-US" w:eastAsia="zh-CN" w:bidi="ar-SA"/>
    </w:rPr>
  </w:style>
  <w:style w:type="paragraph" w:customStyle="1" w:styleId="254">
    <w:name w:val="列出段落5"/>
    <w:basedOn w:val="1"/>
    <w:next w:val="255"/>
    <w:qFormat/>
    <w:uiPriority w:val="0"/>
    <w:pPr>
      <w:ind w:firstLine="420"/>
    </w:pPr>
    <w:rPr>
      <w:rFonts w:hAnsi="Calibri"/>
      <w:kern w:val="0"/>
      <w:szCs w:val="20"/>
    </w:rPr>
  </w:style>
  <w:style w:type="paragraph" w:customStyle="1" w:styleId="255">
    <w:name w:val="toc 312"/>
    <w:next w:val="1"/>
    <w:qFormat/>
    <w:uiPriority w:val="0"/>
    <w:pPr>
      <w:wordWrap w:val="0"/>
      <w:ind w:left="850"/>
      <w:jc w:val="both"/>
    </w:pPr>
    <w:rPr>
      <w:rFonts w:ascii="Calibri" w:hAnsi="Calibri" w:eastAsia="宋体" w:cs="Times New Roman"/>
      <w:sz w:val="21"/>
      <w:lang w:val="en-US" w:eastAsia="zh-CN" w:bidi="ar-SA"/>
    </w:rPr>
  </w:style>
  <w:style w:type="paragraph" w:customStyle="1" w:styleId="256">
    <w:name w:val="xl66"/>
    <w:basedOn w:val="1"/>
    <w:next w:val="257"/>
    <w:qFormat/>
    <w:uiPriority w:val="0"/>
    <w:pPr>
      <w:widowControl/>
      <w:shd w:val="clear" w:color="000000" w:fill="FFFFFF"/>
      <w:spacing w:before="280" w:after="280"/>
    </w:pPr>
    <w:rPr>
      <w:rFonts w:ascii="宋体" w:hAnsi="Calibri"/>
      <w:kern w:val="0"/>
      <w:sz w:val="20"/>
      <w:szCs w:val="20"/>
    </w:rPr>
  </w:style>
  <w:style w:type="paragraph" w:customStyle="1" w:styleId="257">
    <w:name w:val="toc 56"/>
    <w:next w:val="1"/>
    <w:qFormat/>
    <w:uiPriority w:val="0"/>
    <w:pPr>
      <w:wordWrap w:val="0"/>
      <w:ind w:left="1700"/>
      <w:jc w:val="both"/>
    </w:pPr>
    <w:rPr>
      <w:rFonts w:ascii="Calibri" w:hAnsi="Calibri" w:eastAsia="宋体" w:cs="Times New Roman"/>
      <w:sz w:val="21"/>
      <w:lang w:val="en-US" w:eastAsia="zh-CN" w:bidi="ar-SA"/>
    </w:rPr>
  </w:style>
  <w:style w:type="paragraph" w:customStyle="1" w:styleId="258">
    <w:name w:val="TOC Heading3"/>
    <w:next w:val="1"/>
    <w:qFormat/>
    <w:uiPriority w:val="0"/>
    <w:pPr>
      <w:wordWrap w:val="0"/>
    </w:pPr>
    <w:rPr>
      <w:rFonts w:ascii="Calibri" w:hAnsi="Calibri" w:eastAsia="宋体" w:cs="Times New Roman"/>
      <w:sz w:val="32"/>
      <w:lang w:val="en-US" w:eastAsia="zh-CN" w:bidi="ar-SA"/>
    </w:rPr>
  </w:style>
  <w:style w:type="paragraph" w:customStyle="1" w:styleId="259">
    <w:name w:val="toc 65"/>
    <w:next w:val="1"/>
    <w:qFormat/>
    <w:uiPriority w:val="0"/>
    <w:pPr>
      <w:wordWrap w:val="0"/>
      <w:ind w:left="2125"/>
      <w:jc w:val="both"/>
    </w:pPr>
    <w:rPr>
      <w:rFonts w:ascii="Calibri" w:hAnsi="Calibri" w:eastAsia="宋体" w:cs="Times New Roman"/>
      <w:sz w:val="21"/>
      <w:lang w:val="en-US" w:eastAsia="zh-CN" w:bidi="ar-SA"/>
    </w:rPr>
  </w:style>
  <w:style w:type="paragraph" w:customStyle="1" w:styleId="260">
    <w:name w:val="toc 25"/>
    <w:next w:val="1"/>
    <w:qFormat/>
    <w:uiPriority w:val="0"/>
    <w:pPr>
      <w:wordWrap w:val="0"/>
      <w:ind w:left="425"/>
      <w:jc w:val="both"/>
    </w:pPr>
    <w:rPr>
      <w:rFonts w:ascii="Calibri" w:hAnsi="Calibri" w:eastAsia="宋体" w:cs="Times New Roman"/>
      <w:sz w:val="21"/>
      <w:lang w:val="en-US" w:eastAsia="zh-CN" w:bidi="ar-SA"/>
    </w:rPr>
  </w:style>
  <w:style w:type="paragraph" w:customStyle="1" w:styleId="261">
    <w:name w:val="xl84"/>
    <w:basedOn w:val="1"/>
    <w:next w:val="262"/>
    <w:qFormat/>
    <w:uiPriority w:val="0"/>
    <w:pPr>
      <w:widowControl/>
      <w:shd w:val="clear" w:color="000000" w:fill="FFFFFF"/>
      <w:spacing w:before="280" w:after="280"/>
      <w:jc w:val="center"/>
    </w:pPr>
    <w:rPr>
      <w:rFonts w:ascii="宋体" w:hAnsi="Calibri"/>
      <w:kern w:val="0"/>
      <w:sz w:val="20"/>
      <w:szCs w:val="20"/>
    </w:rPr>
  </w:style>
  <w:style w:type="paragraph" w:customStyle="1" w:styleId="262">
    <w:name w:val="toc 99"/>
    <w:next w:val="1"/>
    <w:qFormat/>
    <w:uiPriority w:val="0"/>
    <w:pPr>
      <w:wordWrap w:val="0"/>
      <w:ind w:left="3400"/>
      <w:jc w:val="both"/>
    </w:pPr>
    <w:rPr>
      <w:rFonts w:ascii="Calibri" w:hAnsi="Calibri" w:eastAsia="宋体" w:cs="Times New Roman"/>
      <w:sz w:val="21"/>
      <w:lang w:val="en-US" w:eastAsia="zh-CN" w:bidi="ar-SA"/>
    </w:rPr>
  </w:style>
  <w:style w:type="paragraph" w:customStyle="1" w:styleId="263">
    <w:name w:val="xl81"/>
    <w:basedOn w:val="1"/>
    <w:next w:val="264"/>
    <w:qFormat/>
    <w:uiPriority w:val="0"/>
    <w:pPr>
      <w:widowControl/>
      <w:shd w:val="clear" w:color="000000" w:fill="FFFFFF"/>
      <w:spacing w:before="280" w:after="280"/>
    </w:pPr>
    <w:rPr>
      <w:rFonts w:ascii="宋体" w:hAnsi="Calibri"/>
      <w:kern w:val="0"/>
      <w:sz w:val="20"/>
      <w:szCs w:val="20"/>
    </w:rPr>
  </w:style>
  <w:style w:type="paragraph" w:customStyle="1" w:styleId="264">
    <w:name w:val="toc 59"/>
    <w:next w:val="1"/>
    <w:qFormat/>
    <w:uiPriority w:val="0"/>
    <w:pPr>
      <w:wordWrap w:val="0"/>
      <w:ind w:left="1700"/>
      <w:jc w:val="both"/>
    </w:pPr>
    <w:rPr>
      <w:rFonts w:ascii="Calibri" w:hAnsi="Calibri" w:eastAsia="宋体" w:cs="Times New Roman"/>
      <w:sz w:val="21"/>
      <w:lang w:val="en-US" w:eastAsia="zh-CN" w:bidi="ar-SA"/>
    </w:rPr>
  </w:style>
  <w:style w:type="paragraph" w:customStyle="1" w:styleId="265">
    <w:name w:val="目录 11"/>
    <w:next w:val="1"/>
    <w:qFormat/>
    <w:uiPriority w:val="0"/>
    <w:pPr>
      <w:wordWrap w:val="0"/>
      <w:jc w:val="both"/>
    </w:pPr>
    <w:rPr>
      <w:rFonts w:ascii="Calibri" w:hAnsi="Calibri" w:eastAsia="宋体" w:cs="Times New Roman"/>
      <w:sz w:val="21"/>
      <w:lang w:val="en-US" w:eastAsia="zh-CN" w:bidi="ar-SA"/>
    </w:rPr>
  </w:style>
  <w:style w:type="paragraph" w:customStyle="1" w:styleId="266">
    <w:name w:val="toc 513"/>
    <w:next w:val="1"/>
    <w:qFormat/>
    <w:uiPriority w:val="0"/>
    <w:pPr>
      <w:wordWrap w:val="0"/>
      <w:ind w:left="1700"/>
      <w:jc w:val="both"/>
    </w:pPr>
    <w:rPr>
      <w:rFonts w:ascii="Calibri" w:hAnsi="Calibri" w:eastAsia="宋体" w:cs="Times New Roman"/>
      <w:sz w:val="21"/>
      <w:lang w:val="en-US" w:eastAsia="zh-CN" w:bidi="ar-SA"/>
    </w:rPr>
  </w:style>
  <w:style w:type="paragraph" w:customStyle="1" w:styleId="267">
    <w:name w:val="TOC Heading12"/>
    <w:next w:val="1"/>
    <w:qFormat/>
    <w:uiPriority w:val="0"/>
    <w:pPr>
      <w:wordWrap w:val="0"/>
    </w:pPr>
    <w:rPr>
      <w:rFonts w:ascii="Calibri" w:hAnsi="Calibri" w:eastAsia="宋体" w:cs="Times New Roman"/>
      <w:sz w:val="32"/>
      <w:lang w:val="en-US" w:eastAsia="zh-CN" w:bidi="ar-SA"/>
    </w:rPr>
  </w:style>
  <w:style w:type="paragraph" w:customStyle="1" w:styleId="268">
    <w:name w:val="TOC Heading8"/>
    <w:next w:val="1"/>
    <w:qFormat/>
    <w:uiPriority w:val="0"/>
    <w:pPr>
      <w:wordWrap w:val="0"/>
    </w:pPr>
    <w:rPr>
      <w:rFonts w:ascii="Calibri" w:hAnsi="Calibri" w:eastAsia="宋体" w:cs="Times New Roman"/>
      <w:sz w:val="32"/>
      <w:lang w:val="en-US" w:eastAsia="zh-CN" w:bidi="ar-SA"/>
    </w:rPr>
  </w:style>
  <w:style w:type="paragraph" w:customStyle="1" w:styleId="269">
    <w:name w:val="toc 711"/>
    <w:next w:val="1"/>
    <w:qFormat/>
    <w:uiPriority w:val="0"/>
    <w:pPr>
      <w:wordWrap w:val="0"/>
      <w:ind w:left="2550"/>
      <w:jc w:val="both"/>
    </w:pPr>
    <w:rPr>
      <w:rFonts w:ascii="Calibri" w:hAnsi="Calibri" w:eastAsia="宋体" w:cs="Times New Roman"/>
      <w:sz w:val="21"/>
      <w:lang w:val="en-US" w:eastAsia="zh-CN" w:bidi="ar-SA"/>
    </w:rPr>
  </w:style>
  <w:style w:type="paragraph" w:customStyle="1" w:styleId="270">
    <w:name w:val="toc 212"/>
    <w:next w:val="1"/>
    <w:qFormat/>
    <w:uiPriority w:val="0"/>
    <w:pPr>
      <w:wordWrap w:val="0"/>
      <w:ind w:left="425"/>
      <w:jc w:val="both"/>
    </w:pPr>
    <w:rPr>
      <w:rFonts w:ascii="Calibri" w:hAnsi="Calibri" w:eastAsia="宋体" w:cs="Times New Roman"/>
      <w:sz w:val="21"/>
      <w:lang w:val="en-US" w:eastAsia="zh-CN" w:bidi="ar-SA"/>
    </w:rPr>
  </w:style>
  <w:style w:type="paragraph" w:customStyle="1" w:styleId="271">
    <w:name w:val="目录 21"/>
    <w:next w:val="1"/>
    <w:qFormat/>
    <w:uiPriority w:val="0"/>
    <w:pPr>
      <w:wordWrap w:val="0"/>
      <w:ind w:left="425"/>
      <w:jc w:val="both"/>
    </w:pPr>
    <w:rPr>
      <w:rFonts w:ascii="Calibri" w:hAnsi="Calibri" w:eastAsia="宋体" w:cs="Times New Roman"/>
      <w:sz w:val="21"/>
      <w:lang w:val="en-US" w:eastAsia="zh-CN" w:bidi="ar-SA"/>
    </w:rPr>
  </w:style>
  <w:style w:type="paragraph" w:customStyle="1" w:styleId="272">
    <w:name w:val="toc 45"/>
    <w:next w:val="1"/>
    <w:qFormat/>
    <w:uiPriority w:val="0"/>
    <w:pPr>
      <w:wordWrap w:val="0"/>
      <w:ind w:left="1275"/>
      <w:jc w:val="both"/>
    </w:pPr>
    <w:rPr>
      <w:rFonts w:ascii="Calibri" w:hAnsi="Calibri" w:eastAsia="宋体" w:cs="Times New Roman"/>
      <w:sz w:val="21"/>
      <w:lang w:val="en-US" w:eastAsia="zh-CN" w:bidi="ar-SA"/>
    </w:rPr>
  </w:style>
  <w:style w:type="paragraph" w:customStyle="1" w:styleId="273">
    <w:name w:val="xl116"/>
    <w:basedOn w:val="1"/>
    <w:next w:val="274"/>
    <w:qFormat/>
    <w:uiPriority w:val="0"/>
    <w:pPr>
      <w:widowControl/>
      <w:shd w:val="clear" w:color="000000" w:fill="FFFFFF"/>
      <w:spacing w:before="280" w:after="280"/>
      <w:jc w:val="center"/>
    </w:pPr>
    <w:rPr>
      <w:rFonts w:ascii="Arial Narrow" w:hAnsi="Calibri"/>
      <w:kern w:val="0"/>
      <w:sz w:val="20"/>
      <w:szCs w:val="20"/>
    </w:rPr>
  </w:style>
  <w:style w:type="paragraph" w:customStyle="1" w:styleId="274">
    <w:name w:val="toc 78"/>
    <w:next w:val="1"/>
    <w:qFormat/>
    <w:uiPriority w:val="0"/>
    <w:pPr>
      <w:wordWrap w:val="0"/>
      <w:ind w:left="2550"/>
      <w:jc w:val="both"/>
    </w:pPr>
    <w:rPr>
      <w:rFonts w:ascii="Calibri" w:hAnsi="Calibri" w:eastAsia="宋体" w:cs="Times New Roman"/>
      <w:sz w:val="21"/>
      <w:lang w:val="en-US" w:eastAsia="zh-CN" w:bidi="ar-SA"/>
    </w:rPr>
  </w:style>
  <w:style w:type="paragraph" w:customStyle="1" w:styleId="275">
    <w:name w:val="font8"/>
    <w:basedOn w:val="1"/>
    <w:next w:val="276"/>
    <w:qFormat/>
    <w:uiPriority w:val="0"/>
    <w:pPr>
      <w:widowControl/>
      <w:spacing w:before="280" w:after="280"/>
    </w:pPr>
    <w:rPr>
      <w:rFonts w:ascii="Arial" w:hAnsi="Calibri"/>
      <w:kern w:val="0"/>
      <w:sz w:val="20"/>
      <w:szCs w:val="20"/>
    </w:rPr>
  </w:style>
  <w:style w:type="paragraph" w:customStyle="1" w:styleId="276">
    <w:name w:val="TOC Heading11"/>
    <w:next w:val="1"/>
    <w:qFormat/>
    <w:uiPriority w:val="0"/>
    <w:pPr>
      <w:wordWrap w:val="0"/>
    </w:pPr>
    <w:rPr>
      <w:rFonts w:ascii="Calibri" w:hAnsi="Calibri" w:eastAsia="宋体" w:cs="Times New Roman"/>
      <w:sz w:val="32"/>
      <w:lang w:val="en-US" w:eastAsia="zh-CN" w:bidi="ar-SA"/>
    </w:rPr>
  </w:style>
  <w:style w:type="paragraph" w:customStyle="1" w:styleId="277">
    <w:name w:val="xl69"/>
    <w:basedOn w:val="1"/>
    <w:next w:val="278"/>
    <w:qFormat/>
    <w:uiPriority w:val="0"/>
    <w:pPr>
      <w:widowControl/>
      <w:shd w:val="clear" w:color="000000" w:fill="FFFFFF"/>
      <w:spacing w:before="280" w:after="280"/>
    </w:pPr>
    <w:rPr>
      <w:rFonts w:ascii="宋体" w:hAnsi="Calibri"/>
      <w:b/>
      <w:kern w:val="0"/>
      <w:sz w:val="20"/>
      <w:szCs w:val="20"/>
    </w:rPr>
  </w:style>
  <w:style w:type="paragraph" w:customStyle="1" w:styleId="278">
    <w:name w:val="toc 48"/>
    <w:next w:val="1"/>
    <w:qFormat/>
    <w:uiPriority w:val="0"/>
    <w:pPr>
      <w:wordWrap w:val="0"/>
      <w:ind w:left="1275"/>
      <w:jc w:val="both"/>
    </w:pPr>
    <w:rPr>
      <w:rFonts w:ascii="Calibri" w:hAnsi="Calibri" w:eastAsia="宋体" w:cs="Times New Roman"/>
      <w:sz w:val="21"/>
      <w:lang w:val="en-US" w:eastAsia="zh-CN" w:bidi="ar-SA"/>
    </w:rPr>
  </w:style>
  <w:style w:type="paragraph" w:customStyle="1" w:styleId="279">
    <w:name w:val="toc 813"/>
    <w:next w:val="1"/>
    <w:qFormat/>
    <w:uiPriority w:val="0"/>
    <w:pPr>
      <w:wordWrap w:val="0"/>
      <w:ind w:left="2975"/>
      <w:jc w:val="both"/>
    </w:pPr>
    <w:rPr>
      <w:rFonts w:ascii="Calibri" w:hAnsi="Calibri" w:eastAsia="宋体" w:cs="Times New Roman"/>
      <w:sz w:val="21"/>
      <w:lang w:val="en-US" w:eastAsia="zh-CN" w:bidi="ar-SA"/>
    </w:rPr>
  </w:style>
  <w:style w:type="paragraph" w:customStyle="1" w:styleId="280">
    <w:name w:val="目录 91"/>
    <w:next w:val="1"/>
    <w:qFormat/>
    <w:uiPriority w:val="0"/>
    <w:pPr>
      <w:wordWrap w:val="0"/>
      <w:ind w:left="3400"/>
      <w:jc w:val="both"/>
    </w:pPr>
    <w:rPr>
      <w:rFonts w:ascii="Calibri" w:hAnsi="Calibri" w:eastAsia="宋体" w:cs="Times New Roman"/>
      <w:sz w:val="21"/>
      <w:lang w:val="en-US" w:eastAsia="zh-CN" w:bidi="ar-SA"/>
    </w:rPr>
  </w:style>
  <w:style w:type="paragraph" w:customStyle="1" w:styleId="281">
    <w:name w:val="列出段落3"/>
    <w:basedOn w:val="1"/>
    <w:next w:val="282"/>
    <w:qFormat/>
    <w:uiPriority w:val="0"/>
    <w:pPr>
      <w:ind w:firstLine="420"/>
    </w:pPr>
    <w:rPr>
      <w:rFonts w:hAnsi="Calibri"/>
      <w:kern w:val="0"/>
      <w:szCs w:val="20"/>
    </w:rPr>
  </w:style>
  <w:style w:type="paragraph" w:customStyle="1" w:styleId="282">
    <w:name w:val="toc 213"/>
    <w:next w:val="1"/>
    <w:qFormat/>
    <w:uiPriority w:val="0"/>
    <w:pPr>
      <w:wordWrap w:val="0"/>
      <w:ind w:left="425"/>
      <w:jc w:val="both"/>
    </w:pPr>
    <w:rPr>
      <w:rFonts w:ascii="Calibri" w:hAnsi="Calibri" w:eastAsia="宋体" w:cs="Times New Roman"/>
      <w:sz w:val="21"/>
      <w:lang w:val="en-US" w:eastAsia="zh-CN" w:bidi="ar-SA"/>
    </w:rPr>
  </w:style>
  <w:style w:type="paragraph" w:customStyle="1" w:styleId="283">
    <w:name w:val="TOC 标题1"/>
    <w:next w:val="1"/>
    <w:qFormat/>
    <w:uiPriority w:val="0"/>
    <w:pPr>
      <w:wordWrap w:val="0"/>
    </w:pPr>
    <w:rPr>
      <w:rFonts w:ascii="Calibri" w:hAnsi="Calibri" w:eastAsia="宋体" w:cs="Times New Roman"/>
      <w:sz w:val="32"/>
      <w:lang w:val="en-US" w:eastAsia="zh-CN" w:bidi="ar-SA"/>
    </w:rPr>
  </w:style>
  <w:style w:type="paragraph" w:customStyle="1" w:styleId="284">
    <w:name w:val="TOC Heading5"/>
    <w:next w:val="1"/>
    <w:qFormat/>
    <w:uiPriority w:val="0"/>
    <w:pPr>
      <w:wordWrap w:val="0"/>
    </w:pPr>
    <w:rPr>
      <w:rFonts w:ascii="Calibri" w:hAnsi="Calibri" w:eastAsia="宋体" w:cs="Times New Roman"/>
      <w:sz w:val="32"/>
      <w:lang w:val="en-US" w:eastAsia="zh-CN" w:bidi="ar-SA"/>
    </w:rPr>
  </w:style>
  <w:style w:type="paragraph" w:customStyle="1" w:styleId="285">
    <w:name w:val="toc 313"/>
    <w:next w:val="1"/>
    <w:qFormat/>
    <w:uiPriority w:val="0"/>
    <w:pPr>
      <w:wordWrap w:val="0"/>
      <w:ind w:left="850"/>
      <w:jc w:val="both"/>
    </w:pPr>
    <w:rPr>
      <w:rFonts w:ascii="Calibri" w:hAnsi="Calibri" w:eastAsia="宋体" w:cs="Times New Roman"/>
      <w:sz w:val="21"/>
      <w:lang w:val="en-US" w:eastAsia="zh-CN" w:bidi="ar-SA"/>
    </w:rPr>
  </w:style>
  <w:style w:type="paragraph" w:customStyle="1" w:styleId="286">
    <w:name w:val="toc 716"/>
    <w:next w:val="1"/>
    <w:qFormat/>
    <w:uiPriority w:val="0"/>
    <w:pPr>
      <w:wordWrap w:val="0"/>
      <w:ind w:left="2550"/>
      <w:jc w:val="both"/>
    </w:pPr>
    <w:rPr>
      <w:rFonts w:ascii="Calibri" w:hAnsi="Calibri" w:eastAsia="宋体" w:cs="Times New Roman"/>
      <w:sz w:val="21"/>
      <w:lang w:val="en-US" w:eastAsia="zh-CN" w:bidi="ar-SA"/>
    </w:rPr>
  </w:style>
  <w:style w:type="paragraph" w:customStyle="1" w:styleId="287">
    <w:name w:val="xl115"/>
    <w:basedOn w:val="1"/>
    <w:next w:val="288"/>
    <w:qFormat/>
    <w:uiPriority w:val="0"/>
    <w:pPr>
      <w:widowControl/>
      <w:shd w:val="clear" w:color="000000" w:fill="FFFFFF"/>
      <w:spacing w:before="280" w:after="280"/>
      <w:jc w:val="center"/>
    </w:pPr>
    <w:rPr>
      <w:rFonts w:ascii="宋体" w:hAnsi="Calibri"/>
      <w:b/>
      <w:kern w:val="0"/>
      <w:sz w:val="20"/>
      <w:szCs w:val="20"/>
    </w:rPr>
  </w:style>
  <w:style w:type="paragraph" w:customStyle="1" w:styleId="288">
    <w:name w:val="toc 712"/>
    <w:next w:val="1"/>
    <w:qFormat/>
    <w:uiPriority w:val="0"/>
    <w:pPr>
      <w:wordWrap w:val="0"/>
      <w:ind w:left="2550"/>
      <w:jc w:val="both"/>
    </w:pPr>
    <w:rPr>
      <w:rFonts w:ascii="Calibri" w:hAnsi="Calibri" w:eastAsia="宋体" w:cs="Times New Roman"/>
      <w:sz w:val="21"/>
      <w:lang w:val="en-US" w:eastAsia="zh-CN" w:bidi="ar-SA"/>
    </w:rPr>
  </w:style>
  <w:style w:type="paragraph" w:customStyle="1" w:styleId="289">
    <w:name w:val="toc 64"/>
    <w:next w:val="1"/>
    <w:qFormat/>
    <w:uiPriority w:val="0"/>
    <w:pPr>
      <w:wordWrap w:val="0"/>
      <w:ind w:left="2125"/>
      <w:jc w:val="both"/>
    </w:pPr>
    <w:rPr>
      <w:rFonts w:ascii="Calibri" w:hAnsi="Calibri" w:eastAsia="宋体" w:cs="Times New Roman"/>
      <w:sz w:val="21"/>
      <w:lang w:val="en-US" w:eastAsia="zh-CN" w:bidi="ar-SA"/>
    </w:rPr>
  </w:style>
  <w:style w:type="paragraph" w:customStyle="1" w:styleId="290">
    <w:name w:val="toc 24"/>
    <w:next w:val="1"/>
    <w:qFormat/>
    <w:uiPriority w:val="0"/>
    <w:pPr>
      <w:wordWrap w:val="0"/>
      <w:ind w:left="425"/>
      <w:jc w:val="both"/>
    </w:pPr>
    <w:rPr>
      <w:rFonts w:ascii="Calibri" w:hAnsi="Calibri" w:eastAsia="宋体" w:cs="Times New Roman"/>
      <w:sz w:val="21"/>
      <w:lang w:val="en-US" w:eastAsia="zh-CN" w:bidi="ar-SA"/>
    </w:rPr>
  </w:style>
  <w:style w:type="paragraph" w:customStyle="1" w:styleId="291">
    <w:name w:val="toc 54"/>
    <w:next w:val="1"/>
    <w:qFormat/>
    <w:uiPriority w:val="0"/>
    <w:pPr>
      <w:wordWrap w:val="0"/>
      <w:ind w:left="1700"/>
      <w:jc w:val="both"/>
    </w:pPr>
    <w:rPr>
      <w:rFonts w:ascii="Calibri" w:hAnsi="Calibri" w:eastAsia="宋体" w:cs="Times New Roman"/>
      <w:sz w:val="21"/>
      <w:lang w:val="en-US" w:eastAsia="zh-CN" w:bidi="ar-SA"/>
    </w:rPr>
  </w:style>
  <w:style w:type="paragraph" w:customStyle="1" w:styleId="292">
    <w:name w:val="xl93"/>
    <w:basedOn w:val="1"/>
    <w:next w:val="293"/>
    <w:qFormat/>
    <w:uiPriority w:val="0"/>
    <w:pPr>
      <w:widowControl/>
      <w:shd w:val="clear" w:color="000000" w:fill="FFFFFF"/>
      <w:spacing w:before="280" w:after="280"/>
      <w:jc w:val="center"/>
    </w:pPr>
    <w:rPr>
      <w:rFonts w:ascii="宋体" w:hAnsi="Calibri"/>
      <w:kern w:val="0"/>
      <w:sz w:val="20"/>
      <w:szCs w:val="20"/>
    </w:rPr>
  </w:style>
  <w:style w:type="paragraph" w:customStyle="1" w:styleId="293">
    <w:name w:val="toc 112"/>
    <w:next w:val="1"/>
    <w:qFormat/>
    <w:uiPriority w:val="0"/>
    <w:pPr>
      <w:wordWrap w:val="0"/>
      <w:jc w:val="both"/>
    </w:pPr>
    <w:rPr>
      <w:rFonts w:ascii="Calibri" w:hAnsi="Calibri" w:eastAsia="宋体" w:cs="Times New Roman"/>
      <w:sz w:val="21"/>
      <w:lang w:val="en-US" w:eastAsia="zh-CN" w:bidi="ar-SA"/>
    </w:rPr>
  </w:style>
  <w:style w:type="paragraph" w:customStyle="1" w:styleId="294">
    <w:name w:val="xl96"/>
    <w:basedOn w:val="1"/>
    <w:next w:val="245"/>
    <w:qFormat/>
    <w:uiPriority w:val="0"/>
    <w:pPr>
      <w:widowControl/>
      <w:shd w:val="clear" w:color="000000" w:fill="FFFFFF"/>
      <w:spacing w:before="280" w:after="280"/>
      <w:jc w:val="center"/>
    </w:pPr>
    <w:rPr>
      <w:rFonts w:ascii="宋体" w:hAnsi="Calibri"/>
      <w:kern w:val="0"/>
      <w:sz w:val="20"/>
      <w:szCs w:val="20"/>
    </w:rPr>
  </w:style>
  <w:style w:type="paragraph" w:customStyle="1" w:styleId="295">
    <w:name w:val="xl106"/>
    <w:basedOn w:val="1"/>
    <w:next w:val="279"/>
    <w:qFormat/>
    <w:uiPriority w:val="0"/>
    <w:pPr>
      <w:widowControl/>
      <w:shd w:val="clear" w:color="000000" w:fill="FFFFFF"/>
      <w:spacing w:before="280" w:after="280"/>
    </w:pPr>
    <w:rPr>
      <w:rFonts w:ascii="宋体" w:hAnsi="Calibri"/>
      <w:kern w:val="0"/>
      <w:sz w:val="20"/>
      <w:szCs w:val="20"/>
    </w:rPr>
  </w:style>
  <w:style w:type="paragraph" w:customStyle="1" w:styleId="296">
    <w:name w:val="toc 35"/>
    <w:next w:val="1"/>
    <w:qFormat/>
    <w:uiPriority w:val="0"/>
    <w:pPr>
      <w:wordWrap w:val="0"/>
      <w:ind w:left="850"/>
      <w:jc w:val="both"/>
    </w:pPr>
    <w:rPr>
      <w:rFonts w:ascii="Calibri" w:hAnsi="Calibri" w:eastAsia="宋体" w:cs="Times New Roman"/>
      <w:sz w:val="21"/>
      <w:lang w:val="en-US" w:eastAsia="zh-CN" w:bidi="ar-SA"/>
    </w:rPr>
  </w:style>
  <w:style w:type="paragraph" w:customStyle="1" w:styleId="297">
    <w:name w:val="TOC Heading14"/>
    <w:next w:val="1"/>
    <w:qFormat/>
    <w:uiPriority w:val="0"/>
    <w:pPr>
      <w:wordWrap w:val="0"/>
    </w:pPr>
    <w:rPr>
      <w:rFonts w:ascii="Calibri" w:hAnsi="Calibri" w:eastAsia="宋体" w:cs="Times New Roman"/>
      <w:sz w:val="32"/>
      <w:lang w:val="en-US" w:eastAsia="zh-CN" w:bidi="ar-SA"/>
    </w:rPr>
  </w:style>
  <w:style w:type="paragraph" w:customStyle="1" w:styleId="298">
    <w:name w:val="Char Char Char Char Char Char Char1"/>
    <w:basedOn w:val="1"/>
    <w:next w:val="299"/>
    <w:qFormat/>
    <w:uiPriority w:val="0"/>
    <w:pPr>
      <w:widowControl/>
      <w:spacing w:after="160" w:line="240" w:lineRule="exact"/>
    </w:pPr>
    <w:rPr>
      <w:rFonts w:hAnsi="Calibri"/>
      <w:kern w:val="0"/>
      <w:szCs w:val="20"/>
    </w:rPr>
  </w:style>
  <w:style w:type="paragraph" w:customStyle="1" w:styleId="299">
    <w:name w:val="toc 67"/>
    <w:next w:val="1"/>
    <w:qFormat/>
    <w:uiPriority w:val="0"/>
    <w:pPr>
      <w:wordWrap w:val="0"/>
      <w:ind w:left="2125"/>
      <w:jc w:val="both"/>
    </w:pPr>
    <w:rPr>
      <w:rFonts w:ascii="Calibri" w:hAnsi="Calibri" w:eastAsia="宋体" w:cs="Times New Roman"/>
      <w:sz w:val="21"/>
      <w:lang w:val="en-US" w:eastAsia="zh-CN" w:bidi="ar-SA"/>
    </w:rPr>
  </w:style>
  <w:style w:type="paragraph" w:customStyle="1" w:styleId="300">
    <w:name w:val="列出段落4"/>
    <w:basedOn w:val="1"/>
    <w:next w:val="301"/>
    <w:qFormat/>
    <w:uiPriority w:val="0"/>
    <w:pPr>
      <w:ind w:firstLine="420"/>
    </w:pPr>
    <w:rPr>
      <w:rFonts w:hAnsi="Calibri"/>
      <w:kern w:val="0"/>
      <w:szCs w:val="20"/>
    </w:rPr>
  </w:style>
  <w:style w:type="paragraph" w:customStyle="1" w:styleId="301">
    <w:name w:val="TOC Heading9"/>
    <w:next w:val="1"/>
    <w:qFormat/>
    <w:uiPriority w:val="0"/>
    <w:pPr>
      <w:wordWrap w:val="0"/>
    </w:pPr>
    <w:rPr>
      <w:rFonts w:ascii="Calibri" w:hAnsi="Calibri" w:eastAsia="宋体" w:cs="Times New Roman"/>
      <w:sz w:val="32"/>
      <w:lang w:val="en-US" w:eastAsia="zh-CN" w:bidi="ar-SA"/>
    </w:rPr>
  </w:style>
  <w:style w:type="paragraph" w:customStyle="1" w:styleId="302">
    <w:name w:val="xl71"/>
    <w:basedOn w:val="1"/>
    <w:next w:val="303"/>
    <w:qFormat/>
    <w:uiPriority w:val="0"/>
    <w:pPr>
      <w:widowControl/>
      <w:shd w:val="clear" w:color="000000" w:fill="FFFFFF"/>
      <w:spacing w:before="280" w:after="280"/>
    </w:pPr>
    <w:rPr>
      <w:rFonts w:ascii="宋体" w:hAnsi="Calibri"/>
      <w:kern w:val="0"/>
      <w:sz w:val="24"/>
      <w:szCs w:val="20"/>
    </w:rPr>
  </w:style>
  <w:style w:type="paragraph" w:customStyle="1" w:styleId="303">
    <w:name w:val="toc 115"/>
    <w:next w:val="1"/>
    <w:qFormat/>
    <w:uiPriority w:val="0"/>
    <w:pPr>
      <w:wordWrap w:val="0"/>
      <w:jc w:val="both"/>
    </w:pPr>
    <w:rPr>
      <w:rFonts w:ascii="Calibri" w:hAnsi="Calibri" w:eastAsia="宋体" w:cs="Times New Roman"/>
      <w:sz w:val="21"/>
      <w:lang w:val="en-US" w:eastAsia="zh-CN" w:bidi="ar-SA"/>
    </w:rPr>
  </w:style>
  <w:style w:type="paragraph" w:customStyle="1" w:styleId="304">
    <w:name w:val="toc 51"/>
    <w:next w:val="1"/>
    <w:qFormat/>
    <w:uiPriority w:val="0"/>
    <w:pPr>
      <w:wordWrap w:val="0"/>
      <w:ind w:left="1700"/>
      <w:jc w:val="both"/>
    </w:pPr>
    <w:rPr>
      <w:rFonts w:ascii="Calibri" w:hAnsi="Calibri" w:eastAsia="宋体" w:cs="Times New Roman"/>
      <w:sz w:val="21"/>
      <w:lang w:val="en-US" w:eastAsia="zh-CN" w:bidi="ar-SA"/>
    </w:rPr>
  </w:style>
  <w:style w:type="paragraph" w:customStyle="1" w:styleId="305">
    <w:name w:val="toc 47"/>
    <w:next w:val="1"/>
    <w:qFormat/>
    <w:uiPriority w:val="0"/>
    <w:pPr>
      <w:wordWrap w:val="0"/>
      <w:ind w:left="1275"/>
      <w:jc w:val="both"/>
    </w:pPr>
    <w:rPr>
      <w:rFonts w:ascii="Calibri" w:hAnsi="Calibri" w:eastAsia="宋体" w:cs="Times New Roman"/>
      <w:sz w:val="21"/>
      <w:lang w:val="en-US" w:eastAsia="zh-CN" w:bidi="ar-SA"/>
    </w:rPr>
  </w:style>
  <w:style w:type="paragraph" w:customStyle="1" w:styleId="306">
    <w:name w:val="xl108"/>
    <w:basedOn w:val="1"/>
    <w:next w:val="307"/>
    <w:qFormat/>
    <w:uiPriority w:val="0"/>
    <w:pPr>
      <w:widowControl/>
      <w:shd w:val="clear" w:color="000000" w:fill="FFFFFF"/>
      <w:spacing w:before="280" w:after="280"/>
    </w:pPr>
    <w:rPr>
      <w:rFonts w:ascii="宋体" w:hAnsi="Calibri"/>
      <w:kern w:val="0"/>
      <w:sz w:val="18"/>
      <w:szCs w:val="20"/>
    </w:rPr>
  </w:style>
  <w:style w:type="paragraph" w:customStyle="1" w:styleId="307">
    <w:name w:val="toc 18"/>
    <w:next w:val="1"/>
    <w:qFormat/>
    <w:uiPriority w:val="0"/>
    <w:pPr>
      <w:wordWrap w:val="0"/>
      <w:jc w:val="both"/>
    </w:pPr>
    <w:rPr>
      <w:rFonts w:ascii="Calibri" w:hAnsi="Calibri" w:eastAsia="宋体" w:cs="Times New Roman"/>
      <w:sz w:val="21"/>
      <w:lang w:val="en-US" w:eastAsia="zh-CN" w:bidi="ar-SA"/>
    </w:rPr>
  </w:style>
  <w:style w:type="paragraph" w:customStyle="1" w:styleId="308">
    <w:name w:val="TOC Heading7"/>
    <w:next w:val="1"/>
    <w:qFormat/>
    <w:uiPriority w:val="0"/>
    <w:pPr>
      <w:wordWrap w:val="0"/>
    </w:pPr>
    <w:rPr>
      <w:rFonts w:ascii="Calibri" w:hAnsi="Calibri" w:eastAsia="宋体" w:cs="Times New Roman"/>
      <w:sz w:val="32"/>
      <w:lang w:val="en-US" w:eastAsia="zh-CN" w:bidi="ar-SA"/>
    </w:rPr>
  </w:style>
  <w:style w:type="character" w:customStyle="1" w:styleId="309">
    <w:name w:val="副标题 Char"/>
    <w:basedOn w:val="46"/>
    <w:link w:val="32"/>
    <w:qFormat/>
    <w:uiPriority w:val="0"/>
    <w:rPr>
      <w:rFonts w:ascii="Calibri" w:hAnsi="Calibri"/>
      <w:sz w:val="24"/>
    </w:rPr>
  </w:style>
  <w:style w:type="paragraph" w:customStyle="1" w:styleId="31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311">
    <w:name w:val="toc 413"/>
    <w:next w:val="1"/>
    <w:qFormat/>
    <w:uiPriority w:val="0"/>
    <w:pPr>
      <w:wordWrap w:val="0"/>
      <w:ind w:left="1275"/>
      <w:jc w:val="both"/>
    </w:pPr>
    <w:rPr>
      <w:rFonts w:ascii="Calibri" w:hAnsi="Calibri" w:eastAsia="宋体" w:cs="Times New Roman"/>
      <w:sz w:val="21"/>
      <w:lang w:val="en-US" w:eastAsia="zh-CN" w:bidi="ar-SA"/>
    </w:rPr>
  </w:style>
  <w:style w:type="paragraph" w:customStyle="1" w:styleId="312">
    <w:name w:val="toc 85"/>
    <w:next w:val="1"/>
    <w:qFormat/>
    <w:uiPriority w:val="0"/>
    <w:pPr>
      <w:wordWrap w:val="0"/>
      <w:ind w:left="2975"/>
      <w:jc w:val="both"/>
    </w:pPr>
    <w:rPr>
      <w:rFonts w:ascii="Calibri" w:hAnsi="Calibri" w:eastAsia="宋体" w:cs="Times New Roman"/>
      <w:sz w:val="21"/>
      <w:lang w:val="en-US" w:eastAsia="zh-CN" w:bidi="ar-SA"/>
    </w:rPr>
  </w:style>
  <w:style w:type="paragraph" w:customStyle="1" w:styleId="313">
    <w:name w:val="列出段落6"/>
    <w:basedOn w:val="1"/>
    <w:next w:val="314"/>
    <w:qFormat/>
    <w:uiPriority w:val="0"/>
    <w:pPr>
      <w:ind w:firstLine="420"/>
    </w:pPr>
    <w:rPr>
      <w:rFonts w:hAnsi="Calibri"/>
      <w:kern w:val="0"/>
      <w:szCs w:val="20"/>
    </w:rPr>
  </w:style>
  <w:style w:type="paragraph" w:customStyle="1" w:styleId="314">
    <w:name w:val="toc 86"/>
    <w:next w:val="1"/>
    <w:qFormat/>
    <w:uiPriority w:val="0"/>
    <w:pPr>
      <w:wordWrap w:val="0"/>
      <w:ind w:left="2975"/>
      <w:jc w:val="both"/>
    </w:pPr>
    <w:rPr>
      <w:rFonts w:ascii="Calibri" w:hAnsi="Calibri" w:eastAsia="宋体" w:cs="Times New Roman"/>
      <w:sz w:val="21"/>
      <w:lang w:val="en-US" w:eastAsia="zh-CN" w:bidi="ar-SA"/>
    </w:rPr>
  </w:style>
  <w:style w:type="paragraph" w:customStyle="1" w:styleId="315">
    <w:name w:val="xl80"/>
    <w:basedOn w:val="1"/>
    <w:next w:val="316"/>
    <w:qFormat/>
    <w:uiPriority w:val="0"/>
    <w:pPr>
      <w:widowControl/>
      <w:shd w:val="clear" w:color="000000" w:fill="FFFFFF"/>
      <w:spacing w:before="280" w:after="280"/>
      <w:jc w:val="center"/>
    </w:pPr>
    <w:rPr>
      <w:rFonts w:ascii="宋体" w:hAnsi="Calibri"/>
      <w:b/>
      <w:kern w:val="0"/>
      <w:sz w:val="20"/>
      <w:szCs w:val="20"/>
    </w:rPr>
  </w:style>
  <w:style w:type="paragraph" w:customStyle="1" w:styleId="316">
    <w:name w:val="toc 49"/>
    <w:next w:val="1"/>
    <w:qFormat/>
    <w:uiPriority w:val="0"/>
    <w:pPr>
      <w:wordWrap w:val="0"/>
      <w:ind w:left="1275"/>
      <w:jc w:val="both"/>
    </w:pPr>
    <w:rPr>
      <w:rFonts w:ascii="Calibri" w:hAnsi="Calibri" w:eastAsia="宋体" w:cs="Times New Roman"/>
      <w:sz w:val="21"/>
      <w:lang w:val="en-US" w:eastAsia="zh-CN" w:bidi="ar-SA"/>
    </w:rPr>
  </w:style>
  <w:style w:type="paragraph" w:customStyle="1" w:styleId="317">
    <w:name w:val="Char Char Char Char1"/>
    <w:basedOn w:val="1"/>
    <w:next w:val="318"/>
    <w:qFormat/>
    <w:uiPriority w:val="0"/>
    <w:pPr>
      <w:widowControl/>
      <w:spacing w:after="160" w:line="240" w:lineRule="exact"/>
    </w:pPr>
    <w:rPr>
      <w:rFonts w:ascii="Verdana" w:hAnsi="Calibri" w:eastAsia="仿宋_GB2312"/>
      <w:kern w:val="0"/>
      <w:sz w:val="24"/>
      <w:szCs w:val="20"/>
    </w:rPr>
  </w:style>
  <w:style w:type="paragraph" w:customStyle="1" w:styleId="318">
    <w:name w:val="toc 713"/>
    <w:next w:val="1"/>
    <w:qFormat/>
    <w:uiPriority w:val="0"/>
    <w:pPr>
      <w:wordWrap w:val="0"/>
      <w:ind w:left="2550"/>
      <w:jc w:val="both"/>
    </w:pPr>
    <w:rPr>
      <w:rFonts w:ascii="Calibri" w:hAnsi="Calibri" w:eastAsia="宋体" w:cs="Times New Roman"/>
      <w:sz w:val="21"/>
      <w:lang w:val="en-US" w:eastAsia="zh-CN" w:bidi="ar-SA"/>
    </w:rPr>
  </w:style>
  <w:style w:type="paragraph" w:customStyle="1" w:styleId="319">
    <w:name w:val="xl102"/>
    <w:basedOn w:val="1"/>
    <w:next w:val="320"/>
    <w:qFormat/>
    <w:uiPriority w:val="0"/>
    <w:pPr>
      <w:widowControl/>
      <w:shd w:val="clear" w:color="000000" w:fill="FFFFFF"/>
      <w:spacing w:before="280" w:after="280"/>
      <w:jc w:val="right"/>
    </w:pPr>
    <w:rPr>
      <w:rFonts w:ascii="宋体" w:hAnsi="Calibri"/>
      <w:kern w:val="0"/>
      <w:sz w:val="20"/>
      <w:szCs w:val="20"/>
    </w:rPr>
  </w:style>
  <w:style w:type="paragraph" w:customStyle="1" w:styleId="320">
    <w:name w:val="toc 17"/>
    <w:next w:val="1"/>
    <w:qFormat/>
    <w:uiPriority w:val="0"/>
    <w:pPr>
      <w:wordWrap w:val="0"/>
      <w:jc w:val="both"/>
    </w:pPr>
    <w:rPr>
      <w:rFonts w:ascii="Calibri" w:hAnsi="Calibri" w:eastAsia="宋体" w:cs="Times New Roman"/>
      <w:sz w:val="21"/>
      <w:lang w:val="en-US" w:eastAsia="zh-CN" w:bidi="ar-SA"/>
    </w:rPr>
  </w:style>
  <w:style w:type="paragraph" w:customStyle="1" w:styleId="321">
    <w:name w:val="toc 46"/>
    <w:next w:val="1"/>
    <w:qFormat/>
    <w:uiPriority w:val="0"/>
    <w:pPr>
      <w:wordWrap w:val="0"/>
      <w:ind w:left="1275"/>
      <w:jc w:val="both"/>
    </w:pPr>
    <w:rPr>
      <w:rFonts w:ascii="Calibri" w:hAnsi="Calibri" w:eastAsia="宋体" w:cs="Times New Roman"/>
      <w:sz w:val="21"/>
      <w:lang w:val="en-US" w:eastAsia="zh-CN" w:bidi="ar-SA"/>
    </w:rPr>
  </w:style>
  <w:style w:type="paragraph" w:customStyle="1" w:styleId="322">
    <w:name w:val="toc 311"/>
    <w:next w:val="1"/>
    <w:qFormat/>
    <w:uiPriority w:val="0"/>
    <w:pPr>
      <w:wordWrap w:val="0"/>
      <w:ind w:left="850"/>
      <w:jc w:val="both"/>
    </w:pPr>
    <w:rPr>
      <w:rFonts w:ascii="Calibri" w:hAnsi="Calibri" w:eastAsia="宋体" w:cs="Times New Roman"/>
      <w:sz w:val="21"/>
      <w:lang w:val="en-US" w:eastAsia="zh-CN" w:bidi="ar-SA"/>
    </w:rPr>
  </w:style>
  <w:style w:type="paragraph" w:customStyle="1" w:styleId="323">
    <w:name w:val="xl65"/>
    <w:basedOn w:val="1"/>
    <w:next w:val="224"/>
    <w:qFormat/>
    <w:uiPriority w:val="0"/>
    <w:pPr>
      <w:widowControl/>
      <w:shd w:val="clear" w:color="000000" w:fill="FFFFFF"/>
      <w:spacing w:before="280" w:after="280"/>
      <w:jc w:val="center"/>
    </w:pPr>
    <w:rPr>
      <w:rFonts w:ascii="宋体" w:hAnsi="Calibri"/>
      <w:kern w:val="0"/>
      <w:sz w:val="20"/>
      <w:szCs w:val="20"/>
    </w:rPr>
  </w:style>
  <w:style w:type="paragraph" w:customStyle="1" w:styleId="324">
    <w:name w:val="toc 94"/>
    <w:next w:val="1"/>
    <w:qFormat/>
    <w:uiPriority w:val="0"/>
    <w:pPr>
      <w:wordWrap w:val="0"/>
      <w:ind w:left="3400"/>
      <w:jc w:val="both"/>
    </w:pPr>
    <w:rPr>
      <w:rFonts w:ascii="Calibri" w:hAnsi="Calibri" w:eastAsia="宋体" w:cs="Times New Roman"/>
      <w:sz w:val="21"/>
      <w:lang w:val="en-US" w:eastAsia="zh-CN" w:bidi="ar-SA"/>
    </w:rPr>
  </w:style>
  <w:style w:type="paragraph" w:customStyle="1" w:styleId="325">
    <w:name w:val="toc 55"/>
    <w:next w:val="1"/>
    <w:qFormat/>
    <w:uiPriority w:val="0"/>
    <w:pPr>
      <w:wordWrap w:val="0"/>
      <w:ind w:left="1700"/>
      <w:jc w:val="both"/>
    </w:pPr>
    <w:rPr>
      <w:rFonts w:ascii="Calibri" w:hAnsi="Calibri" w:eastAsia="宋体" w:cs="Times New Roman"/>
      <w:sz w:val="21"/>
      <w:lang w:val="en-US" w:eastAsia="zh-CN" w:bidi="ar-SA"/>
    </w:rPr>
  </w:style>
  <w:style w:type="paragraph" w:customStyle="1" w:styleId="326">
    <w:name w:val="toc 812"/>
    <w:next w:val="1"/>
    <w:qFormat/>
    <w:uiPriority w:val="0"/>
    <w:pPr>
      <w:wordWrap w:val="0"/>
      <w:ind w:left="2975"/>
      <w:jc w:val="both"/>
    </w:pPr>
    <w:rPr>
      <w:rFonts w:ascii="Calibri" w:hAnsi="Calibri" w:eastAsia="宋体" w:cs="Times New Roman"/>
      <w:sz w:val="21"/>
      <w:lang w:val="en-US" w:eastAsia="zh-CN" w:bidi="ar-SA"/>
    </w:rPr>
  </w:style>
  <w:style w:type="paragraph" w:customStyle="1" w:styleId="327">
    <w:name w:val="xl75"/>
    <w:basedOn w:val="1"/>
    <w:next w:val="328"/>
    <w:qFormat/>
    <w:uiPriority w:val="0"/>
    <w:pPr>
      <w:widowControl/>
      <w:shd w:val="clear" w:color="000000" w:fill="FFFFFF"/>
      <w:spacing w:before="280" w:after="280"/>
    </w:pPr>
    <w:rPr>
      <w:rFonts w:ascii="宋体" w:hAnsi="Calibri"/>
      <w:kern w:val="0"/>
      <w:sz w:val="20"/>
      <w:szCs w:val="20"/>
    </w:rPr>
  </w:style>
  <w:style w:type="paragraph" w:customStyle="1" w:styleId="328">
    <w:name w:val="toc 914"/>
    <w:next w:val="1"/>
    <w:qFormat/>
    <w:uiPriority w:val="0"/>
    <w:pPr>
      <w:wordWrap w:val="0"/>
      <w:ind w:left="3400"/>
      <w:jc w:val="both"/>
    </w:pPr>
    <w:rPr>
      <w:rFonts w:ascii="Calibri" w:hAnsi="Calibri" w:eastAsia="宋体" w:cs="Times New Roman"/>
      <w:sz w:val="21"/>
      <w:lang w:val="en-US" w:eastAsia="zh-CN" w:bidi="ar-SA"/>
    </w:rPr>
  </w:style>
  <w:style w:type="paragraph" w:customStyle="1" w:styleId="329">
    <w:name w:val="toc 19"/>
    <w:next w:val="1"/>
    <w:qFormat/>
    <w:uiPriority w:val="0"/>
    <w:pPr>
      <w:wordWrap w:val="0"/>
      <w:jc w:val="both"/>
    </w:pPr>
    <w:rPr>
      <w:rFonts w:ascii="Calibri" w:hAnsi="Calibri" w:eastAsia="宋体" w:cs="Times New Roman"/>
      <w:sz w:val="21"/>
      <w:lang w:val="en-US" w:eastAsia="zh-CN" w:bidi="ar-SA"/>
    </w:rPr>
  </w:style>
  <w:style w:type="paragraph" w:customStyle="1" w:styleId="330">
    <w:name w:val="TOC Heading6"/>
    <w:next w:val="1"/>
    <w:qFormat/>
    <w:uiPriority w:val="0"/>
    <w:pPr>
      <w:wordWrap w:val="0"/>
    </w:pPr>
    <w:rPr>
      <w:rFonts w:ascii="Calibri" w:hAnsi="Calibri" w:eastAsia="宋体" w:cs="Times New Roman"/>
      <w:sz w:val="32"/>
      <w:lang w:val="en-US" w:eastAsia="zh-CN" w:bidi="ar-SA"/>
    </w:rPr>
  </w:style>
  <w:style w:type="paragraph" w:customStyle="1" w:styleId="331">
    <w:name w:val="toc 52"/>
    <w:next w:val="1"/>
    <w:qFormat/>
    <w:uiPriority w:val="0"/>
    <w:pPr>
      <w:wordWrap w:val="0"/>
      <w:ind w:left="1700"/>
      <w:jc w:val="both"/>
    </w:pPr>
    <w:rPr>
      <w:rFonts w:ascii="Calibri" w:hAnsi="Calibri" w:eastAsia="宋体" w:cs="Times New Roman"/>
      <w:sz w:val="21"/>
      <w:lang w:val="en-US" w:eastAsia="zh-CN" w:bidi="ar-SA"/>
    </w:rPr>
  </w:style>
  <w:style w:type="paragraph" w:customStyle="1" w:styleId="332">
    <w:name w:val="toc 36"/>
    <w:next w:val="1"/>
    <w:qFormat/>
    <w:uiPriority w:val="0"/>
    <w:pPr>
      <w:wordWrap w:val="0"/>
      <w:ind w:left="850"/>
      <w:jc w:val="both"/>
    </w:pPr>
    <w:rPr>
      <w:rFonts w:ascii="Calibri" w:hAnsi="Calibri" w:eastAsia="宋体" w:cs="Times New Roman"/>
      <w:sz w:val="21"/>
      <w:lang w:val="en-US" w:eastAsia="zh-CN" w:bidi="ar-SA"/>
    </w:rPr>
  </w:style>
  <w:style w:type="paragraph" w:customStyle="1" w:styleId="333">
    <w:name w:val="toc 82"/>
    <w:next w:val="1"/>
    <w:qFormat/>
    <w:uiPriority w:val="0"/>
    <w:pPr>
      <w:wordWrap w:val="0"/>
      <w:ind w:left="2975"/>
      <w:jc w:val="both"/>
    </w:pPr>
    <w:rPr>
      <w:rFonts w:ascii="Calibri" w:hAnsi="Calibri" w:eastAsia="宋体" w:cs="Times New Roman"/>
      <w:sz w:val="21"/>
      <w:lang w:val="en-US" w:eastAsia="zh-CN" w:bidi="ar-SA"/>
    </w:rPr>
  </w:style>
  <w:style w:type="paragraph" w:customStyle="1" w:styleId="334">
    <w:name w:val="xl104"/>
    <w:basedOn w:val="1"/>
    <w:next w:val="335"/>
    <w:qFormat/>
    <w:uiPriority w:val="0"/>
    <w:pPr>
      <w:widowControl/>
      <w:shd w:val="clear" w:color="000000" w:fill="FFFFFF"/>
      <w:spacing w:before="280" w:after="280"/>
      <w:jc w:val="center"/>
    </w:pPr>
    <w:rPr>
      <w:rFonts w:ascii="宋体" w:hAnsi="Calibri"/>
      <w:kern w:val="0"/>
      <w:sz w:val="20"/>
      <w:szCs w:val="20"/>
    </w:rPr>
  </w:style>
  <w:style w:type="paragraph" w:customStyle="1" w:styleId="335">
    <w:name w:val="toc 210"/>
    <w:next w:val="1"/>
    <w:qFormat/>
    <w:uiPriority w:val="0"/>
    <w:pPr>
      <w:wordWrap w:val="0"/>
      <w:ind w:left="425"/>
      <w:jc w:val="both"/>
    </w:pPr>
    <w:rPr>
      <w:rFonts w:ascii="Calibri" w:hAnsi="Calibri" w:eastAsia="宋体" w:cs="Times New Roman"/>
      <w:sz w:val="21"/>
      <w:lang w:val="en-US" w:eastAsia="zh-CN" w:bidi="ar-SA"/>
    </w:rPr>
  </w:style>
  <w:style w:type="paragraph" w:customStyle="1" w:styleId="336">
    <w:name w:val="toc 110"/>
    <w:next w:val="1"/>
    <w:qFormat/>
    <w:uiPriority w:val="0"/>
    <w:pPr>
      <w:wordWrap w:val="0"/>
      <w:jc w:val="both"/>
    </w:pPr>
    <w:rPr>
      <w:rFonts w:ascii="Calibri" w:hAnsi="Calibri" w:eastAsia="宋体" w:cs="Times New Roman"/>
      <w:sz w:val="21"/>
      <w:lang w:val="en-US" w:eastAsia="zh-CN" w:bidi="ar-SA"/>
    </w:rPr>
  </w:style>
  <w:style w:type="paragraph" w:customStyle="1" w:styleId="337">
    <w:name w:val="toc 66"/>
    <w:next w:val="1"/>
    <w:qFormat/>
    <w:uiPriority w:val="0"/>
    <w:pPr>
      <w:wordWrap w:val="0"/>
      <w:ind w:left="2125"/>
      <w:jc w:val="both"/>
    </w:pPr>
    <w:rPr>
      <w:rFonts w:ascii="Calibri" w:hAnsi="Calibri" w:eastAsia="宋体" w:cs="Times New Roman"/>
      <w:sz w:val="21"/>
      <w:lang w:val="en-US" w:eastAsia="zh-CN" w:bidi="ar-SA"/>
    </w:rPr>
  </w:style>
  <w:style w:type="paragraph" w:customStyle="1" w:styleId="338">
    <w:name w:val="toc 31"/>
    <w:next w:val="1"/>
    <w:qFormat/>
    <w:uiPriority w:val="0"/>
    <w:pPr>
      <w:wordWrap w:val="0"/>
      <w:ind w:left="850"/>
      <w:jc w:val="both"/>
    </w:pPr>
    <w:rPr>
      <w:rFonts w:ascii="Calibri" w:hAnsi="Calibri" w:eastAsia="宋体" w:cs="Times New Roman"/>
      <w:sz w:val="21"/>
      <w:lang w:val="en-US" w:eastAsia="zh-CN" w:bidi="ar-SA"/>
    </w:rPr>
  </w:style>
  <w:style w:type="paragraph" w:customStyle="1" w:styleId="339">
    <w:name w:val="toc 93"/>
    <w:next w:val="1"/>
    <w:qFormat/>
    <w:uiPriority w:val="0"/>
    <w:pPr>
      <w:wordWrap w:val="0"/>
      <w:ind w:left="3400"/>
      <w:jc w:val="both"/>
    </w:pPr>
    <w:rPr>
      <w:rFonts w:ascii="Calibri" w:hAnsi="Calibri" w:eastAsia="宋体" w:cs="Times New Roman"/>
      <w:sz w:val="21"/>
      <w:lang w:val="en-US" w:eastAsia="zh-CN" w:bidi="ar-SA"/>
    </w:rPr>
  </w:style>
  <w:style w:type="paragraph" w:customStyle="1" w:styleId="340">
    <w:name w:val="toc 614"/>
    <w:next w:val="1"/>
    <w:qFormat/>
    <w:uiPriority w:val="0"/>
    <w:pPr>
      <w:wordWrap w:val="0"/>
      <w:ind w:left="2125"/>
      <w:jc w:val="both"/>
    </w:pPr>
    <w:rPr>
      <w:rFonts w:ascii="Calibri" w:hAnsi="Calibri" w:eastAsia="宋体" w:cs="Times New Roman"/>
      <w:sz w:val="21"/>
      <w:lang w:val="en-US" w:eastAsia="zh-CN" w:bidi="ar-SA"/>
    </w:rPr>
  </w:style>
  <w:style w:type="paragraph" w:customStyle="1" w:styleId="341">
    <w:name w:val="无间隔1"/>
    <w:next w:val="336"/>
    <w:qFormat/>
    <w:uiPriority w:val="0"/>
    <w:pPr>
      <w:widowControl w:val="0"/>
      <w:jc w:val="both"/>
    </w:pPr>
    <w:rPr>
      <w:rFonts w:ascii="Calibri" w:hAnsi="Calibri" w:eastAsia="宋体" w:cs="Times New Roman"/>
      <w:sz w:val="22"/>
      <w:lang w:val="en-US" w:eastAsia="zh-CN" w:bidi="ar-SA"/>
    </w:rPr>
  </w:style>
  <w:style w:type="paragraph" w:customStyle="1" w:styleId="342">
    <w:name w:val="目录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3">
    <w:name w:val="xl105"/>
    <w:basedOn w:val="1"/>
    <w:next w:val="344"/>
    <w:qFormat/>
    <w:uiPriority w:val="0"/>
    <w:pPr>
      <w:widowControl/>
      <w:shd w:val="clear" w:color="000000" w:fill="FFFFFF"/>
      <w:spacing w:before="280" w:after="280"/>
    </w:pPr>
    <w:rPr>
      <w:rFonts w:ascii="宋体" w:hAnsi="Calibri"/>
      <w:kern w:val="0"/>
      <w:sz w:val="18"/>
      <w:szCs w:val="20"/>
    </w:rPr>
  </w:style>
  <w:style w:type="paragraph" w:customStyle="1" w:styleId="344">
    <w:name w:val="toc 615"/>
    <w:next w:val="1"/>
    <w:qFormat/>
    <w:uiPriority w:val="0"/>
    <w:pPr>
      <w:wordWrap w:val="0"/>
      <w:ind w:left="2125"/>
      <w:jc w:val="both"/>
    </w:pPr>
    <w:rPr>
      <w:rFonts w:ascii="Calibri" w:hAnsi="Calibri" w:eastAsia="宋体" w:cs="Times New Roman"/>
      <w:sz w:val="21"/>
      <w:lang w:val="en-US" w:eastAsia="zh-CN" w:bidi="ar-SA"/>
    </w:rPr>
  </w:style>
  <w:style w:type="paragraph" w:customStyle="1" w:styleId="345">
    <w:name w:val="toc 41"/>
    <w:next w:val="1"/>
    <w:qFormat/>
    <w:uiPriority w:val="0"/>
    <w:pPr>
      <w:wordWrap w:val="0"/>
      <w:ind w:left="1275"/>
      <w:jc w:val="both"/>
    </w:pPr>
    <w:rPr>
      <w:rFonts w:ascii="Calibri" w:hAnsi="Calibri" w:eastAsia="宋体" w:cs="Times New Roman"/>
      <w:sz w:val="21"/>
      <w:lang w:val="en-US" w:eastAsia="zh-CN" w:bidi="ar-SA"/>
    </w:rPr>
  </w:style>
  <w:style w:type="paragraph" w:customStyle="1" w:styleId="346">
    <w:name w:val="toc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47">
    <w:name w:val="xl111"/>
    <w:basedOn w:val="1"/>
    <w:next w:val="348"/>
    <w:qFormat/>
    <w:uiPriority w:val="0"/>
    <w:pPr>
      <w:widowControl/>
      <w:shd w:val="clear" w:color="000000" w:fill="FFFFFF"/>
      <w:spacing w:before="280" w:after="280"/>
      <w:jc w:val="center"/>
    </w:pPr>
    <w:rPr>
      <w:rFonts w:ascii="宋体" w:hAnsi="Calibri"/>
      <w:b/>
      <w:kern w:val="0"/>
      <w:sz w:val="20"/>
      <w:szCs w:val="20"/>
    </w:rPr>
  </w:style>
  <w:style w:type="paragraph" w:customStyle="1" w:styleId="348">
    <w:name w:val="toc 88"/>
    <w:next w:val="1"/>
    <w:qFormat/>
    <w:uiPriority w:val="0"/>
    <w:pPr>
      <w:wordWrap w:val="0"/>
      <w:ind w:left="2975"/>
      <w:jc w:val="both"/>
    </w:pPr>
    <w:rPr>
      <w:rFonts w:ascii="Calibri" w:hAnsi="Calibri" w:eastAsia="宋体" w:cs="Times New Roman"/>
      <w:sz w:val="21"/>
      <w:lang w:val="en-US" w:eastAsia="zh-CN" w:bidi="ar-SA"/>
    </w:rPr>
  </w:style>
  <w:style w:type="paragraph" w:customStyle="1" w:styleId="349">
    <w:name w:val="toc 84"/>
    <w:next w:val="1"/>
    <w:qFormat/>
    <w:uiPriority w:val="0"/>
    <w:pPr>
      <w:wordWrap w:val="0"/>
      <w:ind w:left="2975"/>
      <w:jc w:val="both"/>
    </w:pPr>
    <w:rPr>
      <w:rFonts w:ascii="Calibri" w:hAnsi="Calibri" w:eastAsia="宋体" w:cs="Times New Roman"/>
      <w:sz w:val="21"/>
      <w:lang w:val="en-US" w:eastAsia="zh-CN" w:bidi="ar-SA"/>
    </w:rPr>
  </w:style>
  <w:style w:type="paragraph" w:customStyle="1" w:styleId="350">
    <w:name w:val="p0"/>
    <w:basedOn w:val="1"/>
    <w:next w:val="351"/>
    <w:qFormat/>
    <w:uiPriority w:val="0"/>
    <w:pPr>
      <w:widowControl/>
      <w:spacing w:before="280" w:after="280"/>
    </w:pPr>
    <w:rPr>
      <w:rFonts w:ascii="宋体" w:hAnsi="Calibri"/>
      <w:kern w:val="0"/>
      <w:sz w:val="24"/>
      <w:szCs w:val="20"/>
    </w:rPr>
  </w:style>
  <w:style w:type="paragraph" w:customStyle="1" w:styleId="351">
    <w:name w:val="toc 69"/>
    <w:next w:val="1"/>
    <w:qFormat/>
    <w:uiPriority w:val="0"/>
    <w:pPr>
      <w:wordWrap w:val="0"/>
      <w:ind w:left="2125"/>
      <w:jc w:val="both"/>
    </w:pPr>
    <w:rPr>
      <w:rFonts w:ascii="Calibri" w:hAnsi="Calibri" w:eastAsia="宋体" w:cs="Times New Roman"/>
      <w:sz w:val="21"/>
      <w:lang w:val="en-US" w:eastAsia="zh-CN" w:bidi="ar-SA"/>
    </w:rPr>
  </w:style>
  <w:style w:type="paragraph" w:customStyle="1" w:styleId="352">
    <w:name w:val="列出段落11"/>
    <w:basedOn w:val="1"/>
    <w:next w:val="353"/>
    <w:qFormat/>
    <w:uiPriority w:val="0"/>
    <w:pPr>
      <w:widowControl/>
      <w:spacing w:line="360" w:lineRule="auto"/>
      <w:ind w:firstLine="420"/>
    </w:pPr>
    <w:rPr>
      <w:rFonts w:hAnsi="Calibri" w:eastAsia="微软雅黑"/>
      <w:kern w:val="0"/>
      <w:sz w:val="24"/>
      <w:szCs w:val="20"/>
    </w:rPr>
  </w:style>
  <w:style w:type="paragraph" w:customStyle="1" w:styleId="353">
    <w:name w:val="toc 214"/>
    <w:next w:val="1"/>
    <w:qFormat/>
    <w:uiPriority w:val="0"/>
    <w:pPr>
      <w:wordWrap w:val="0"/>
      <w:ind w:left="425"/>
      <w:jc w:val="both"/>
    </w:pPr>
    <w:rPr>
      <w:rFonts w:ascii="Calibri" w:hAnsi="Calibri" w:eastAsia="宋体" w:cs="Times New Roman"/>
      <w:sz w:val="21"/>
      <w:lang w:val="en-US" w:eastAsia="zh-CN" w:bidi="ar-SA"/>
    </w:rPr>
  </w:style>
  <w:style w:type="paragraph" w:customStyle="1" w:styleId="354">
    <w:name w:val="toc 63"/>
    <w:next w:val="1"/>
    <w:qFormat/>
    <w:uiPriority w:val="0"/>
    <w:pPr>
      <w:wordWrap w:val="0"/>
      <w:ind w:left="2125"/>
      <w:jc w:val="both"/>
    </w:pPr>
    <w:rPr>
      <w:rFonts w:ascii="Calibri" w:hAnsi="Calibri" w:eastAsia="宋体" w:cs="Times New Roman"/>
      <w:sz w:val="21"/>
      <w:lang w:val="en-US" w:eastAsia="zh-CN" w:bidi="ar-SA"/>
    </w:rPr>
  </w:style>
  <w:style w:type="paragraph" w:customStyle="1" w:styleId="355">
    <w:name w:val="xl91"/>
    <w:basedOn w:val="1"/>
    <w:next w:val="252"/>
    <w:qFormat/>
    <w:uiPriority w:val="0"/>
    <w:pPr>
      <w:widowControl/>
      <w:shd w:val="clear" w:color="000000" w:fill="FFFFFF"/>
      <w:spacing w:before="280" w:after="280"/>
    </w:pPr>
    <w:rPr>
      <w:rFonts w:ascii="宋体" w:hAnsi="Calibri"/>
      <w:kern w:val="0"/>
      <w:sz w:val="20"/>
      <w:szCs w:val="20"/>
    </w:rPr>
  </w:style>
  <w:style w:type="paragraph" w:customStyle="1" w:styleId="356">
    <w:name w:val="toc 316"/>
    <w:next w:val="1"/>
    <w:qFormat/>
    <w:uiPriority w:val="0"/>
    <w:pPr>
      <w:wordWrap w:val="0"/>
      <w:ind w:left="850"/>
      <w:jc w:val="both"/>
    </w:pPr>
    <w:rPr>
      <w:rFonts w:ascii="Calibri" w:hAnsi="Calibri" w:eastAsia="宋体" w:cs="Times New Roman"/>
      <w:sz w:val="21"/>
      <w:lang w:val="en-US" w:eastAsia="zh-CN" w:bidi="ar-SA"/>
    </w:rPr>
  </w:style>
  <w:style w:type="paragraph" w:customStyle="1" w:styleId="357">
    <w:name w:val="_Style 1"/>
    <w:basedOn w:val="1"/>
    <w:next w:val="358"/>
    <w:qFormat/>
    <w:uiPriority w:val="0"/>
    <w:pPr>
      <w:ind w:firstLine="420"/>
    </w:pPr>
    <w:rPr>
      <w:rFonts w:hAnsi="Calibri"/>
      <w:kern w:val="0"/>
      <w:szCs w:val="20"/>
    </w:rPr>
  </w:style>
  <w:style w:type="paragraph" w:customStyle="1" w:styleId="358">
    <w:name w:val="TOC Heading13"/>
    <w:next w:val="1"/>
    <w:qFormat/>
    <w:uiPriority w:val="0"/>
    <w:pPr>
      <w:wordWrap w:val="0"/>
    </w:pPr>
    <w:rPr>
      <w:rFonts w:ascii="Calibri" w:hAnsi="Calibri" w:eastAsia="宋体" w:cs="Times New Roman"/>
      <w:sz w:val="32"/>
      <w:lang w:val="en-US" w:eastAsia="zh-CN" w:bidi="ar-SA"/>
    </w:rPr>
  </w:style>
  <w:style w:type="paragraph" w:customStyle="1" w:styleId="359">
    <w:name w:val="toc 116"/>
    <w:next w:val="1"/>
    <w:qFormat/>
    <w:uiPriority w:val="0"/>
    <w:pPr>
      <w:wordWrap w:val="0"/>
      <w:jc w:val="both"/>
    </w:pPr>
    <w:rPr>
      <w:rFonts w:ascii="Calibri" w:hAnsi="Calibri" w:eastAsia="宋体" w:cs="Times New Roman"/>
      <w:sz w:val="21"/>
      <w:lang w:val="en-US" w:eastAsia="zh-CN" w:bidi="ar-SA"/>
    </w:rPr>
  </w:style>
  <w:style w:type="paragraph" w:customStyle="1" w:styleId="360">
    <w:name w:val="toc 72"/>
    <w:next w:val="1"/>
    <w:qFormat/>
    <w:uiPriority w:val="0"/>
    <w:pPr>
      <w:wordWrap w:val="0"/>
      <w:ind w:left="2550"/>
      <w:jc w:val="both"/>
    </w:pPr>
    <w:rPr>
      <w:rFonts w:ascii="Calibri" w:hAnsi="Calibri" w:eastAsia="宋体" w:cs="Times New Roman"/>
      <w:sz w:val="21"/>
      <w:lang w:val="en-US" w:eastAsia="zh-CN" w:bidi="ar-SA"/>
    </w:rPr>
  </w:style>
  <w:style w:type="paragraph" w:customStyle="1" w:styleId="361">
    <w:name w:val="x_msonormal"/>
    <w:basedOn w:val="1"/>
    <w:next w:val="311"/>
    <w:qFormat/>
    <w:uiPriority w:val="0"/>
    <w:pPr>
      <w:widowControl/>
      <w:spacing w:before="280" w:after="280"/>
    </w:pPr>
    <w:rPr>
      <w:rFonts w:ascii="PMingLiU" w:hAnsi="Calibri" w:eastAsia="PMingLiU"/>
      <w:kern w:val="0"/>
      <w:sz w:val="24"/>
      <w:szCs w:val="20"/>
    </w:rPr>
  </w:style>
  <w:style w:type="paragraph" w:customStyle="1" w:styleId="362">
    <w:name w:val="toc 310"/>
    <w:next w:val="1"/>
    <w:qFormat/>
    <w:uiPriority w:val="0"/>
    <w:pPr>
      <w:wordWrap w:val="0"/>
      <w:ind w:left="850"/>
      <w:jc w:val="both"/>
    </w:pPr>
    <w:rPr>
      <w:rFonts w:ascii="Calibri" w:hAnsi="Calibri" w:eastAsia="宋体" w:cs="Times New Roman"/>
      <w:sz w:val="21"/>
      <w:lang w:val="en-US" w:eastAsia="zh-CN" w:bidi="ar-SA"/>
    </w:rPr>
  </w:style>
  <w:style w:type="paragraph" w:customStyle="1" w:styleId="363">
    <w:name w:val="toc 83"/>
    <w:next w:val="1"/>
    <w:qFormat/>
    <w:uiPriority w:val="0"/>
    <w:pPr>
      <w:wordWrap w:val="0"/>
      <w:ind w:left="2975"/>
      <w:jc w:val="both"/>
    </w:pPr>
    <w:rPr>
      <w:rFonts w:ascii="Calibri" w:hAnsi="Calibri" w:eastAsia="宋体" w:cs="Times New Roman"/>
      <w:sz w:val="21"/>
      <w:lang w:val="en-US" w:eastAsia="zh-CN" w:bidi="ar-SA"/>
    </w:rPr>
  </w:style>
  <w:style w:type="paragraph" w:customStyle="1" w:styleId="364">
    <w:name w:val="TOC Heading17"/>
    <w:next w:val="1"/>
    <w:qFormat/>
    <w:uiPriority w:val="0"/>
    <w:pPr>
      <w:wordWrap w:val="0"/>
    </w:pPr>
    <w:rPr>
      <w:rFonts w:ascii="Calibri" w:hAnsi="Calibri" w:eastAsia="宋体" w:cs="Times New Roman"/>
      <w:sz w:val="32"/>
      <w:lang w:val="en-US" w:eastAsia="zh-CN" w:bidi="ar-SA"/>
    </w:rPr>
  </w:style>
  <w:style w:type="paragraph" w:customStyle="1" w:styleId="365">
    <w:name w:val="toc 911"/>
    <w:next w:val="1"/>
    <w:qFormat/>
    <w:uiPriority w:val="0"/>
    <w:pPr>
      <w:wordWrap w:val="0"/>
      <w:ind w:left="3400"/>
      <w:jc w:val="both"/>
    </w:pPr>
    <w:rPr>
      <w:rFonts w:ascii="Calibri" w:hAnsi="Calibri" w:eastAsia="宋体" w:cs="Times New Roman"/>
      <w:sz w:val="21"/>
      <w:lang w:val="en-US" w:eastAsia="zh-CN" w:bidi="ar-SA"/>
    </w:rPr>
  </w:style>
  <w:style w:type="paragraph" w:customStyle="1" w:styleId="366">
    <w:name w:val="toc 811"/>
    <w:next w:val="1"/>
    <w:qFormat/>
    <w:uiPriority w:val="0"/>
    <w:pPr>
      <w:wordWrap w:val="0"/>
      <w:ind w:left="2975"/>
      <w:jc w:val="both"/>
    </w:pPr>
    <w:rPr>
      <w:rFonts w:ascii="Calibri" w:hAnsi="Calibri" w:eastAsia="宋体" w:cs="Times New Roman"/>
      <w:sz w:val="21"/>
      <w:lang w:val="en-US" w:eastAsia="zh-CN" w:bidi="ar-SA"/>
    </w:rPr>
  </w:style>
  <w:style w:type="paragraph" w:customStyle="1" w:styleId="367">
    <w:name w:val="目录 31"/>
    <w:next w:val="1"/>
    <w:qFormat/>
    <w:uiPriority w:val="0"/>
    <w:pPr>
      <w:wordWrap w:val="0"/>
      <w:ind w:left="850"/>
      <w:jc w:val="both"/>
    </w:pPr>
    <w:rPr>
      <w:rFonts w:ascii="Calibri" w:hAnsi="Calibri" w:eastAsia="宋体" w:cs="Times New Roman"/>
      <w:sz w:val="21"/>
      <w:lang w:val="en-US" w:eastAsia="zh-CN" w:bidi="ar-SA"/>
    </w:rPr>
  </w:style>
  <w:style w:type="paragraph" w:customStyle="1" w:styleId="368">
    <w:name w:val="xl118"/>
    <w:basedOn w:val="1"/>
    <w:next w:val="242"/>
    <w:qFormat/>
    <w:uiPriority w:val="0"/>
    <w:pPr>
      <w:widowControl/>
      <w:shd w:val="clear" w:color="000000" w:fill="FFFFFF"/>
      <w:spacing w:before="280" w:after="280"/>
      <w:jc w:val="center"/>
    </w:pPr>
    <w:rPr>
      <w:rFonts w:ascii="宋体" w:hAnsi="Calibri"/>
      <w:b/>
      <w:kern w:val="0"/>
      <w:sz w:val="20"/>
      <w:szCs w:val="20"/>
    </w:rPr>
  </w:style>
  <w:style w:type="paragraph" w:customStyle="1" w:styleId="369">
    <w:name w:val="xl83"/>
    <w:basedOn w:val="1"/>
    <w:next w:val="297"/>
    <w:qFormat/>
    <w:uiPriority w:val="0"/>
    <w:pPr>
      <w:widowControl/>
      <w:shd w:val="clear" w:color="000000" w:fill="FFFFFF"/>
      <w:spacing w:before="280" w:after="280"/>
    </w:pPr>
    <w:rPr>
      <w:rFonts w:ascii="宋体" w:hAnsi="Calibri"/>
      <w:kern w:val="0"/>
      <w:sz w:val="20"/>
      <w:szCs w:val="20"/>
    </w:rPr>
  </w:style>
  <w:style w:type="paragraph" w:customStyle="1" w:styleId="370">
    <w:name w:val="xl103"/>
    <w:basedOn w:val="1"/>
    <w:next w:val="371"/>
    <w:qFormat/>
    <w:uiPriority w:val="0"/>
    <w:pPr>
      <w:widowControl/>
      <w:shd w:val="clear" w:color="000000" w:fill="FFFFFF"/>
      <w:spacing w:before="280" w:after="280"/>
    </w:pPr>
    <w:rPr>
      <w:rFonts w:ascii="宋体" w:hAnsi="Calibri"/>
      <w:kern w:val="0"/>
      <w:sz w:val="20"/>
      <w:szCs w:val="20"/>
    </w:rPr>
  </w:style>
  <w:style w:type="paragraph" w:customStyle="1" w:styleId="371">
    <w:name w:val="toc 111"/>
    <w:next w:val="1"/>
    <w:qFormat/>
    <w:uiPriority w:val="0"/>
    <w:pPr>
      <w:wordWrap w:val="0"/>
      <w:jc w:val="both"/>
    </w:pPr>
    <w:rPr>
      <w:rFonts w:ascii="Calibri" w:hAnsi="Calibri" w:eastAsia="宋体" w:cs="Times New Roman"/>
      <w:sz w:val="21"/>
      <w:lang w:val="en-US" w:eastAsia="zh-CN" w:bidi="ar-SA"/>
    </w:rPr>
  </w:style>
  <w:style w:type="paragraph" w:customStyle="1" w:styleId="372">
    <w:name w:val="xl68"/>
    <w:basedOn w:val="1"/>
    <w:next w:val="373"/>
    <w:qFormat/>
    <w:uiPriority w:val="0"/>
    <w:pPr>
      <w:widowControl/>
      <w:shd w:val="clear" w:color="000000" w:fill="FFFFFF"/>
      <w:spacing w:before="280" w:after="280"/>
    </w:pPr>
    <w:rPr>
      <w:rFonts w:ascii="宋体" w:hAnsi="Calibri"/>
      <w:b/>
      <w:kern w:val="0"/>
      <w:sz w:val="20"/>
      <w:szCs w:val="20"/>
    </w:rPr>
  </w:style>
  <w:style w:type="paragraph" w:customStyle="1" w:styleId="373">
    <w:name w:val="TOC Heading16"/>
    <w:next w:val="1"/>
    <w:qFormat/>
    <w:uiPriority w:val="0"/>
    <w:pPr>
      <w:wordWrap w:val="0"/>
    </w:pPr>
    <w:rPr>
      <w:rFonts w:ascii="Calibri" w:hAnsi="Calibri" w:eastAsia="宋体" w:cs="Times New Roman"/>
      <w:sz w:val="32"/>
      <w:lang w:val="en-US" w:eastAsia="zh-CN" w:bidi="ar-SA"/>
    </w:rPr>
  </w:style>
  <w:style w:type="paragraph" w:customStyle="1" w:styleId="374">
    <w:name w:val="toc 113"/>
    <w:next w:val="1"/>
    <w:qFormat/>
    <w:uiPriority w:val="0"/>
    <w:pPr>
      <w:wordWrap w:val="0"/>
      <w:jc w:val="both"/>
    </w:pPr>
    <w:rPr>
      <w:rFonts w:ascii="Calibri" w:hAnsi="Calibri" w:eastAsia="宋体" w:cs="Times New Roman"/>
      <w:sz w:val="21"/>
      <w:lang w:val="en-US" w:eastAsia="zh-CN" w:bidi="ar-SA"/>
    </w:rPr>
  </w:style>
  <w:style w:type="paragraph" w:customStyle="1" w:styleId="375">
    <w:name w:val="xl94"/>
    <w:basedOn w:val="1"/>
    <w:next w:val="266"/>
    <w:qFormat/>
    <w:uiPriority w:val="0"/>
    <w:pPr>
      <w:widowControl/>
      <w:shd w:val="clear" w:color="000000" w:fill="FFFFFF"/>
      <w:spacing w:before="280" w:after="280"/>
      <w:jc w:val="center"/>
    </w:pPr>
    <w:rPr>
      <w:rFonts w:ascii="宋体" w:hAnsi="Calibri"/>
      <w:kern w:val="0"/>
      <w:sz w:val="20"/>
      <w:szCs w:val="20"/>
    </w:rPr>
  </w:style>
  <w:style w:type="paragraph" w:customStyle="1" w:styleId="376">
    <w:name w:val="toc 53"/>
    <w:next w:val="1"/>
    <w:qFormat/>
    <w:uiPriority w:val="0"/>
    <w:pPr>
      <w:wordWrap w:val="0"/>
      <w:ind w:left="1700"/>
      <w:jc w:val="both"/>
    </w:pPr>
    <w:rPr>
      <w:rFonts w:ascii="Calibri" w:hAnsi="Calibri" w:eastAsia="宋体" w:cs="Times New Roman"/>
      <w:sz w:val="21"/>
      <w:lang w:val="en-US" w:eastAsia="zh-CN" w:bidi="ar-SA"/>
    </w:rPr>
  </w:style>
  <w:style w:type="paragraph" w:customStyle="1" w:styleId="377">
    <w:name w:val="xl92"/>
    <w:basedOn w:val="1"/>
    <w:next w:val="378"/>
    <w:qFormat/>
    <w:uiPriority w:val="0"/>
    <w:pPr>
      <w:widowControl/>
      <w:shd w:val="clear" w:color="000000" w:fill="FFFFFF"/>
      <w:spacing w:before="280" w:after="280"/>
    </w:pPr>
    <w:rPr>
      <w:rFonts w:ascii="宋体" w:hAnsi="Calibri"/>
      <w:kern w:val="0"/>
      <w:sz w:val="20"/>
      <w:szCs w:val="20"/>
    </w:rPr>
  </w:style>
  <w:style w:type="paragraph" w:customStyle="1" w:styleId="378">
    <w:name w:val="toc 913"/>
    <w:next w:val="1"/>
    <w:qFormat/>
    <w:uiPriority w:val="0"/>
    <w:pPr>
      <w:wordWrap w:val="0"/>
      <w:ind w:left="3400"/>
      <w:jc w:val="both"/>
    </w:pPr>
    <w:rPr>
      <w:rFonts w:ascii="Calibri" w:hAnsi="Calibri" w:eastAsia="宋体" w:cs="Times New Roman"/>
      <w:sz w:val="21"/>
      <w:lang w:val="en-US" w:eastAsia="zh-CN" w:bidi="ar-SA"/>
    </w:rPr>
  </w:style>
  <w:style w:type="paragraph" w:customStyle="1" w:styleId="379">
    <w:name w:val="toc 512"/>
    <w:next w:val="1"/>
    <w:qFormat/>
    <w:uiPriority w:val="0"/>
    <w:pPr>
      <w:wordWrap w:val="0"/>
      <w:ind w:left="1700"/>
      <w:jc w:val="both"/>
    </w:pPr>
    <w:rPr>
      <w:rFonts w:ascii="Calibri" w:hAnsi="Calibri" w:eastAsia="宋体" w:cs="Times New Roman"/>
      <w:sz w:val="21"/>
      <w:lang w:val="en-US" w:eastAsia="zh-CN" w:bidi="ar-SA"/>
    </w:rPr>
  </w:style>
  <w:style w:type="paragraph" w:customStyle="1" w:styleId="380">
    <w:name w:val="目录 81"/>
    <w:next w:val="1"/>
    <w:qFormat/>
    <w:uiPriority w:val="0"/>
    <w:pPr>
      <w:wordWrap w:val="0"/>
      <w:ind w:left="2975"/>
      <w:jc w:val="both"/>
    </w:pPr>
    <w:rPr>
      <w:rFonts w:ascii="Calibri" w:hAnsi="Calibri" w:eastAsia="宋体" w:cs="Times New Roman"/>
      <w:sz w:val="21"/>
      <w:lang w:val="en-US" w:eastAsia="zh-CN" w:bidi="ar-SA"/>
    </w:rPr>
  </w:style>
  <w:style w:type="paragraph" w:customStyle="1" w:styleId="381">
    <w:name w:val="正文表标题"/>
    <w:next w:val="1"/>
    <w:qFormat/>
    <w:uiPriority w:val="0"/>
    <w:pPr>
      <w:ind w:left="630"/>
      <w:jc w:val="center"/>
    </w:pPr>
    <w:rPr>
      <w:rFonts w:ascii="黑体" w:hAnsi="Calibri" w:eastAsia="黑体" w:cs="Times New Roman"/>
      <w:sz w:val="21"/>
      <w:lang w:val="en-US" w:eastAsia="zh-CN" w:bidi="ar-SA"/>
    </w:rPr>
  </w:style>
  <w:style w:type="paragraph" w:customStyle="1" w:styleId="382">
    <w:name w:val="toc 28"/>
    <w:next w:val="1"/>
    <w:qFormat/>
    <w:uiPriority w:val="0"/>
    <w:pPr>
      <w:wordWrap w:val="0"/>
      <w:ind w:left="425"/>
      <w:jc w:val="both"/>
    </w:pPr>
    <w:rPr>
      <w:rFonts w:ascii="Calibri" w:hAnsi="Calibri" w:eastAsia="宋体" w:cs="Times New Roman"/>
      <w:sz w:val="21"/>
      <w:lang w:val="en-US" w:eastAsia="zh-CN" w:bidi="ar-SA"/>
    </w:rPr>
  </w:style>
  <w:style w:type="paragraph" w:customStyle="1" w:styleId="383">
    <w:name w:val="toc 79"/>
    <w:next w:val="1"/>
    <w:qFormat/>
    <w:uiPriority w:val="0"/>
    <w:pPr>
      <w:wordWrap w:val="0"/>
      <w:ind w:left="2550"/>
      <w:jc w:val="both"/>
    </w:pPr>
    <w:rPr>
      <w:rFonts w:ascii="Calibri" w:hAnsi="Calibri" w:eastAsia="宋体" w:cs="Times New Roman"/>
      <w:sz w:val="21"/>
      <w:lang w:val="en-US" w:eastAsia="zh-CN" w:bidi="ar-SA"/>
    </w:rPr>
  </w:style>
  <w:style w:type="paragraph" w:customStyle="1" w:styleId="384">
    <w:name w:val="xl110"/>
    <w:basedOn w:val="1"/>
    <w:next w:val="340"/>
    <w:qFormat/>
    <w:uiPriority w:val="0"/>
    <w:pPr>
      <w:widowControl/>
      <w:shd w:val="clear" w:color="000000" w:fill="FFFFFF"/>
      <w:spacing w:before="280" w:after="280"/>
      <w:jc w:val="center"/>
    </w:pPr>
    <w:rPr>
      <w:rFonts w:ascii="宋体" w:hAnsi="Calibri"/>
      <w:kern w:val="0"/>
      <w:sz w:val="20"/>
      <w:szCs w:val="20"/>
    </w:rPr>
  </w:style>
  <w:style w:type="paragraph" w:customStyle="1" w:styleId="385">
    <w:name w:val="toc 511"/>
    <w:next w:val="1"/>
    <w:qFormat/>
    <w:uiPriority w:val="0"/>
    <w:pPr>
      <w:wordWrap w:val="0"/>
      <w:ind w:left="1700"/>
      <w:jc w:val="both"/>
    </w:pPr>
    <w:rPr>
      <w:rFonts w:ascii="Calibri" w:hAnsi="Calibri" w:eastAsia="宋体" w:cs="Times New Roman"/>
      <w:sz w:val="21"/>
      <w:lang w:val="en-US" w:eastAsia="zh-CN" w:bidi="ar-SA"/>
    </w:rPr>
  </w:style>
  <w:style w:type="paragraph" w:customStyle="1" w:styleId="386">
    <w:name w:val="toc 416"/>
    <w:next w:val="1"/>
    <w:qFormat/>
    <w:uiPriority w:val="0"/>
    <w:pPr>
      <w:wordWrap w:val="0"/>
      <w:ind w:left="1275"/>
      <w:jc w:val="both"/>
    </w:pPr>
    <w:rPr>
      <w:rFonts w:ascii="Calibri" w:hAnsi="Calibri" w:eastAsia="宋体" w:cs="Times New Roman"/>
      <w:sz w:val="21"/>
      <w:lang w:val="en-US" w:eastAsia="zh-CN" w:bidi="ar-SA"/>
    </w:rPr>
  </w:style>
  <w:style w:type="paragraph" w:customStyle="1" w:styleId="387">
    <w:name w:val="xl85"/>
    <w:basedOn w:val="1"/>
    <w:next w:val="388"/>
    <w:qFormat/>
    <w:uiPriority w:val="0"/>
    <w:pPr>
      <w:widowControl/>
      <w:shd w:val="clear" w:color="000000" w:fill="FFFFFF"/>
      <w:spacing w:before="280" w:after="280"/>
      <w:jc w:val="center"/>
    </w:pPr>
    <w:rPr>
      <w:rFonts w:ascii="宋体" w:hAnsi="Calibri"/>
      <w:kern w:val="0"/>
      <w:sz w:val="20"/>
      <w:szCs w:val="20"/>
    </w:rPr>
  </w:style>
  <w:style w:type="paragraph" w:customStyle="1" w:styleId="388">
    <w:name w:val="toc 76"/>
    <w:next w:val="1"/>
    <w:qFormat/>
    <w:uiPriority w:val="0"/>
    <w:pPr>
      <w:wordWrap w:val="0"/>
      <w:ind w:left="2550"/>
      <w:jc w:val="both"/>
    </w:pPr>
    <w:rPr>
      <w:rFonts w:ascii="Calibri" w:hAnsi="Calibri" w:eastAsia="宋体" w:cs="Times New Roman"/>
      <w:sz w:val="21"/>
      <w:lang w:val="en-US" w:eastAsia="zh-CN" w:bidi="ar-SA"/>
    </w:rPr>
  </w:style>
  <w:style w:type="paragraph" w:customStyle="1" w:styleId="389">
    <w:name w:val="toc 27"/>
    <w:next w:val="1"/>
    <w:qFormat/>
    <w:uiPriority w:val="0"/>
    <w:pPr>
      <w:wordWrap w:val="0"/>
      <w:ind w:left="425"/>
      <w:jc w:val="both"/>
    </w:pPr>
    <w:rPr>
      <w:rFonts w:ascii="Calibri" w:hAnsi="Calibri" w:eastAsia="宋体" w:cs="Times New Roman"/>
      <w:sz w:val="21"/>
      <w:lang w:val="en-US" w:eastAsia="zh-CN" w:bidi="ar-SA"/>
    </w:rPr>
  </w:style>
  <w:style w:type="paragraph" w:customStyle="1" w:styleId="390">
    <w:name w:val="toc 916"/>
    <w:next w:val="1"/>
    <w:qFormat/>
    <w:uiPriority w:val="0"/>
    <w:pPr>
      <w:wordWrap w:val="0"/>
      <w:ind w:left="3400"/>
      <w:jc w:val="both"/>
    </w:pPr>
    <w:rPr>
      <w:rFonts w:ascii="Calibri" w:hAnsi="Calibri" w:eastAsia="宋体" w:cs="Times New Roman"/>
      <w:sz w:val="21"/>
      <w:lang w:val="en-US" w:eastAsia="zh-CN" w:bidi="ar-SA"/>
    </w:rPr>
  </w:style>
  <w:style w:type="paragraph" w:customStyle="1" w:styleId="391">
    <w:name w:val="toc 77"/>
    <w:next w:val="1"/>
    <w:qFormat/>
    <w:uiPriority w:val="0"/>
    <w:pPr>
      <w:wordWrap w:val="0"/>
      <w:ind w:left="2550"/>
      <w:jc w:val="both"/>
    </w:pPr>
    <w:rPr>
      <w:rFonts w:ascii="Calibri" w:hAnsi="Calibri" w:eastAsia="宋体" w:cs="Times New Roman"/>
      <w:sz w:val="21"/>
      <w:lang w:val="en-US" w:eastAsia="zh-CN" w:bidi="ar-SA"/>
    </w:rPr>
  </w:style>
  <w:style w:type="paragraph" w:customStyle="1" w:styleId="392">
    <w:name w:val="toc 211"/>
    <w:next w:val="1"/>
    <w:qFormat/>
    <w:uiPriority w:val="0"/>
    <w:pPr>
      <w:wordWrap w:val="0"/>
      <w:ind w:left="425"/>
      <w:jc w:val="both"/>
    </w:pPr>
    <w:rPr>
      <w:rFonts w:ascii="Calibri" w:hAnsi="Calibri" w:eastAsia="宋体" w:cs="Times New Roman"/>
      <w:sz w:val="21"/>
      <w:lang w:val="en-US" w:eastAsia="zh-CN" w:bidi="ar-SA"/>
    </w:rPr>
  </w:style>
  <w:style w:type="paragraph" w:customStyle="1" w:styleId="393">
    <w:name w:val="toc 815"/>
    <w:next w:val="1"/>
    <w:qFormat/>
    <w:uiPriority w:val="0"/>
    <w:pPr>
      <w:wordWrap w:val="0"/>
      <w:ind w:left="2975"/>
      <w:jc w:val="both"/>
    </w:pPr>
    <w:rPr>
      <w:rFonts w:ascii="Calibri" w:hAnsi="Calibri" w:eastAsia="宋体" w:cs="Times New Roman"/>
      <w:sz w:val="21"/>
      <w:lang w:val="en-US" w:eastAsia="zh-CN" w:bidi="ar-SA"/>
    </w:rPr>
  </w:style>
  <w:style w:type="paragraph" w:customStyle="1" w:styleId="394">
    <w:name w:val="xl99"/>
    <w:basedOn w:val="1"/>
    <w:next w:val="379"/>
    <w:qFormat/>
    <w:uiPriority w:val="0"/>
    <w:pPr>
      <w:widowControl/>
      <w:shd w:val="clear" w:color="000000" w:fill="FFFFFF"/>
      <w:spacing w:before="280" w:after="280"/>
    </w:pPr>
    <w:rPr>
      <w:rFonts w:ascii="宋体" w:hAnsi="Calibri"/>
      <w:kern w:val="0"/>
      <w:sz w:val="18"/>
      <w:szCs w:val="20"/>
    </w:rPr>
  </w:style>
  <w:style w:type="paragraph" w:customStyle="1" w:styleId="395">
    <w:name w:val="xl97"/>
    <w:basedOn w:val="1"/>
    <w:next w:val="267"/>
    <w:qFormat/>
    <w:uiPriority w:val="0"/>
    <w:pPr>
      <w:widowControl/>
      <w:shd w:val="clear" w:color="000000" w:fill="FFFFFF"/>
      <w:spacing w:before="280" w:after="280"/>
      <w:jc w:val="center"/>
    </w:pPr>
    <w:rPr>
      <w:rFonts w:ascii="宋体" w:hAnsi="Calibri"/>
      <w:kern w:val="0"/>
      <w:sz w:val="20"/>
      <w:szCs w:val="20"/>
    </w:rPr>
  </w:style>
  <w:style w:type="paragraph" w:customStyle="1" w:styleId="396">
    <w:name w:val="toc 612"/>
    <w:next w:val="1"/>
    <w:qFormat/>
    <w:uiPriority w:val="0"/>
    <w:pPr>
      <w:wordWrap w:val="0"/>
      <w:ind w:left="2125"/>
      <w:jc w:val="both"/>
    </w:pPr>
    <w:rPr>
      <w:rFonts w:ascii="Calibri" w:hAnsi="Calibri" w:eastAsia="宋体" w:cs="Times New Roman"/>
      <w:sz w:val="21"/>
      <w:lang w:val="en-US" w:eastAsia="zh-CN" w:bidi="ar-SA"/>
    </w:rPr>
  </w:style>
  <w:style w:type="paragraph" w:customStyle="1" w:styleId="397">
    <w:name w:val="toc 315"/>
    <w:next w:val="1"/>
    <w:qFormat/>
    <w:uiPriority w:val="0"/>
    <w:pPr>
      <w:wordWrap w:val="0"/>
      <w:ind w:left="850"/>
      <w:jc w:val="both"/>
    </w:pPr>
    <w:rPr>
      <w:rFonts w:ascii="Calibri" w:hAnsi="Calibri" w:eastAsia="宋体" w:cs="Times New Roman"/>
      <w:sz w:val="21"/>
      <w:lang w:val="en-US" w:eastAsia="zh-CN" w:bidi="ar-SA"/>
    </w:rPr>
  </w:style>
  <w:style w:type="paragraph" w:customStyle="1" w:styleId="398">
    <w:name w:val="TOC Heading15"/>
    <w:next w:val="1"/>
    <w:qFormat/>
    <w:uiPriority w:val="0"/>
    <w:pPr>
      <w:wordWrap w:val="0"/>
    </w:pPr>
    <w:rPr>
      <w:rFonts w:ascii="Calibri" w:hAnsi="Calibri" w:eastAsia="宋体" w:cs="Times New Roman"/>
      <w:sz w:val="32"/>
      <w:lang w:val="en-US" w:eastAsia="zh-CN" w:bidi="ar-SA"/>
    </w:rPr>
  </w:style>
  <w:style w:type="paragraph" w:customStyle="1" w:styleId="399">
    <w:name w:val="toc 915"/>
    <w:next w:val="1"/>
    <w:qFormat/>
    <w:uiPriority w:val="0"/>
    <w:pPr>
      <w:wordWrap w:val="0"/>
      <w:ind w:left="3400"/>
      <w:jc w:val="both"/>
    </w:pPr>
    <w:rPr>
      <w:rFonts w:ascii="Calibri" w:hAnsi="Calibri" w:eastAsia="宋体" w:cs="Times New Roman"/>
      <w:sz w:val="21"/>
      <w:lang w:val="en-US" w:eastAsia="zh-CN" w:bidi="ar-SA"/>
    </w:rPr>
  </w:style>
  <w:style w:type="paragraph" w:customStyle="1" w:styleId="400">
    <w:name w:val="toc 39"/>
    <w:next w:val="1"/>
    <w:qFormat/>
    <w:uiPriority w:val="0"/>
    <w:pPr>
      <w:wordWrap w:val="0"/>
      <w:ind w:left="850"/>
      <w:jc w:val="both"/>
    </w:pPr>
    <w:rPr>
      <w:rFonts w:ascii="Calibri" w:hAnsi="Calibri" w:eastAsia="宋体" w:cs="Times New Roman"/>
      <w:sz w:val="21"/>
      <w:lang w:val="en-US" w:eastAsia="zh-CN" w:bidi="ar-SA"/>
    </w:rPr>
  </w:style>
  <w:style w:type="paragraph" w:customStyle="1" w:styleId="401">
    <w:name w:val="toc 710"/>
    <w:next w:val="1"/>
    <w:qFormat/>
    <w:uiPriority w:val="0"/>
    <w:pPr>
      <w:wordWrap w:val="0"/>
      <w:ind w:left="2550"/>
      <w:jc w:val="both"/>
    </w:pPr>
    <w:rPr>
      <w:rFonts w:ascii="Calibri" w:hAnsi="Calibri" w:eastAsia="宋体" w:cs="Times New Roman"/>
      <w:sz w:val="21"/>
      <w:lang w:val="en-US" w:eastAsia="zh-CN" w:bidi="ar-SA"/>
    </w:rPr>
  </w:style>
  <w:style w:type="paragraph" w:customStyle="1" w:styleId="402">
    <w:name w:val="toc 12"/>
    <w:next w:val="1"/>
    <w:qFormat/>
    <w:uiPriority w:val="0"/>
    <w:pPr>
      <w:wordWrap w:val="0"/>
      <w:jc w:val="both"/>
    </w:pPr>
    <w:rPr>
      <w:rFonts w:ascii="Calibri" w:hAnsi="Calibri" w:eastAsia="宋体" w:cs="Times New Roman"/>
      <w:sz w:val="21"/>
      <w:lang w:val="en-US" w:eastAsia="zh-CN" w:bidi="ar-SA"/>
    </w:rPr>
  </w:style>
  <w:style w:type="paragraph" w:customStyle="1" w:styleId="403">
    <w:name w:val="xl95"/>
    <w:basedOn w:val="1"/>
    <w:next w:val="404"/>
    <w:qFormat/>
    <w:uiPriority w:val="0"/>
    <w:pPr>
      <w:widowControl/>
      <w:shd w:val="clear" w:color="000000" w:fill="FFFFFF"/>
      <w:spacing w:before="280" w:after="280"/>
    </w:pPr>
    <w:rPr>
      <w:rFonts w:ascii="宋体" w:hAnsi="Calibri"/>
      <w:kern w:val="0"/>
      <w:sz w:val="20"/>
      <w:szCs w:val="20"/>
    </w:rPr>
  </w:style>
  <w:style w:type="paragraph" w:customStyle="1" w:styleId="404">
    <w:name w:val="toc 415"/>
    <w:next w:val="1"/>
    <w:qFormat/>
    <w:uiPriority w:val="0"/>
    <w:pPr>
      <w:wordWrap w:val="0"/>
      <w:ind w:left="1275"/>
      <w:jc w:val="both"/>
    </w:pPr>
    <w:rPr>
      <w:rFonts w:ascii="Calibri" w:hAnsi="Calibri" w:eastAsia="宋体" w:cs="Times New Roman"/>
      <w:sz w:val="21"/>
      <w:lang w:val="en-US" w:eastAsia="zh-CN" w:bidi="ar-SA"/>
    </w:rPr>
  </w:style>
  <w:style w:type="paragraph" w:customStyle="1" w:styleId="405">
    <w:name w:val="toc 29"/>
    <w:next w:val="1"/>
    <w:qFormat/>
    <w:uiPriority w:val="0"/>
    <w:pPr>
      <w:wordWrap w:val="0"/>
      <w:ind w:left="425"/>
      <w:jc w:val="both"/>
    </w:pPr>
    <w:rPr>
      <w:rFonts w:ascii="Calibri" w:hAnsi="Calibri" w:eastAsia="宋体" w:cs="Times New Roman"/>
      <w:sz w:val="21"/>
      <w:lang w:val="en-US" w:eastAsia="zh-CN" w:bidi="ar-SA"/>
    </w:rPr>
  </w:style>
  <w:style w:type="paragraph" w:customStyle="1" w:styleId="406">
    <w:name w:val="xl67"/>
    <w:basedOn w:val="1"/>
    <w:next w:val="407"/>
    <w:qFormat/>
    <w:uiPriority w:val="0"/>
    <w:pPr>
      <w:widowControl/>
      <w:shd w:val="clear" w:color="000000" w:fill="FFFFFF"/>
      <w:spacing w:before="280" w:after="280"/>
      <w:jc w:val="center"/>
    </w:pPr>
    <w:rPr>
      <w:rFonts w:ascii="宋体" w:hAnsi="Calibri"/>
      <w:b/>
      <w:kern w:val="0"/>
      <w:sz w:val="20"/>
      <w:szCs w:val="20"/>
    </w:rPr>
  </w:style>
  <w:style w:type="paragraph" w:customStyle="1" w:styleId="407">
    <w:name w:val="toc 714"/>
    <w:next w:val="1"/>
    <w:qFormat/>
    <w:uiPriority w:val="0"/>
    <w:pPr>
      <w:wordWrap w:val="0"/>
      <w:ind w:left="2550"/>
      <w:jc w:val="both"/>
    </w:pPr>
    <w:rPr>
      <w:rFonts w:ascii="Calibri" w:hAnsi="Calibri" w:eastAsia="宋体" w:cs="Times New Roman"/>
      <w:sz w:val="21"/>
      <w:lang w:val="en-US" w:eastAsia="zh-CN" w:bidi="ar-SA"/>
    </w:rPr>
  </w:style>
  <w:style w:type="paragraph" w:customStyle="1" w:styleId="408">
    <w:name w:val="toc 21"/>
    <w:next w:val="1"/>
    <w:qFormat/>
    <w:uiPriority w:val="0"/>
    <w:pPr>
      <w:wordWrap w:val="0"/>
      <w:ind w:left="425"/>
      <w:jc w:val="both"/>
    </w:pPr>
    <w:rPr>
      <w:rFonts w:ascii="Calibri" w:hAnsi="Calibri" w:eastAsia="宋体" w:cs="Times New Roman"/>
      <w:sz w:val="21"/>
      <w:lang w:val="en-US" w:eastAsia="zh-CN" w:bidi="ar-SA"/>
    </w:rPr>
  </w:style>
  <w:style w:type="paragraph" w:customStyle="1" w:styleId="409">
    <w:name w:val="正文 A"/>
    <w:next w:val="326"/>
    <w:qFormat/>
    <w:uiPriority w:val="0"/>
    <w:rPr>
      <w:rFonts w:ascii="Arial" w:hAnsi="Calibri" w:eastAsia="Arial Unicode MS" w:cs="Times New Roman"/>
      <w:color w:val="000000"/>
      <w:sz w:val="21"/>
      <w:lang w:val="en-US" w:eastAsia="zh-CN" w:bidi="ar-SA"/>
    </w:rPr>
  </w:style>
  <w:style w:type="paragraph" w:customStyle="1" w:styleId="410">
    <w:name w:val="toc 68"/>
    <w:next w:val="1"/>
    <w:qFormat/>
    <w:uiPriority w:val="0"/>
    <w:pPr>
      <w:wordWrap w:val="0"/>
      <w:ind w:left="2125"/>
      <w:jc w:val="both"/>
    </w:pPr>
    <w:rPr>
      <w:rFonts w:ascii="Calibri" w:hAnsi="Calibri" w:eastAsia="宋体" w:cs="Times New Roman"/>
      <w:sz w:val="21"/>
      <w:lang w:val="en-US" w:eastAsia="zh-CN" w:bidi="ar-SA"/>
    </w:rPr>
  </w:style>
  <w:style w:type="paragraph" w:customStyle="1" w:styleId="411">
    <w:name w:val="toc 58"/>
    <w:next w:val="1"/>
    <w:qFormat/>
    <w:uiPriority w:val="0"/>
    <w:pPr>
      <w:wordWrap w:val="0"/>
      <w:ind w:left="1700"/>
      <w:jc w:val="both"/>
    </w:pPr>
    <w:rPr>
      <w:rFonts w:ascii="Calibri" w:hAnsi="Calibri" w:eastAsia="宋体" w:cs="Times New Roman"/>
      <w:sz w:val="21"/>
      <w:lang w:val="en-US" w:eastAsia="zh-CN" w:bidi="ar-SA"/>
    </w:rPr>
  </w:style>
  <w:style w:type="paragraph" w:customStyle="1" w:styleId="412">
    <w:name w:val="xl88"/>
    <w:basedOn w:val="1"/>
    <w:next w:val="398"/>
    <w:qFormat/>
    <w:uiPriority w:val="0"/>
    <w:pPr>
      <w:widowControl/>
      <w:shd w:val="clear" w:color="000000" w:fill="FFFFFF"/>
      <w:spacing w:before="280" w:after="280"/>
      <w:jc w:val="center"/>
    </w:pPr>
    <w:rPr>
      <w:rFonts w:ascii="宋体" w:hAnsi="Calibri"/>
      <w:kern w:val="0"/>
      <w:sz w:val="20"/>
      <w:szCs w:val="20"/>
    </w:rPr>
  </w:style>
  <w:style w:type="paragraph" w:customStyle="1" w:styleId="413">
    <w:name w:val="toc 71"/>
    <w:next w:val="1"/>
    <w:qFormat/>
    <w:uiPriority w:val="0"/>
    <w:pPr>
      <w:wordWrap w:val="0"/>
      <w:ind w:left="2550"/>
      <w:jc w:val="both"/>
    </w:pPr>
    <w:rPr>
      <w:rFonts w:ascii="Calibri" w:hAnsi="Calibri" w:eastAsia="宋体" w:cs="Times New Roman"/>
      <w:sz w:val="21"/>
      <w:lang w:val="en-US" w:eastAsia="zh-CN" w:bidi="ar-SA"/>
    </w:rPr>
  </w:style>
  <w:style w:type="paragraph" w:customStyle="1" w:styleId="414">
    <w:name w:val="xl100"/>
    <w:basedOn w:val="1"/>
    <w:next w:val="415"/>
    <w:qFormat/>
    <w:uiPriority w:val="0"/>
    <w:pPr>
      <w:widowControl/>
      <w:shd w:val="clear" w:color="000000" w:fill="FFFFFF"/>
      <w:spacing w:before="280" w:after="280"/>
    </w:pPr>
    <w:rPr>
      <w:rFonts w:ascii="宋体" w:hAnsi="Calibri"/>
      <w:kern w:val="0"/>
      <w:sz w:val="20"/>
      <w:szCs w:val="20"/>
    </w:rPr>
  </w:style>
  <w:style w:type="paragraph" w:customStyle="1" w:styleId="415">
    <w:name w:val="toc 510"/>
    <w:next w:val="1"/>
    <w:qFormat/>
    <w:uiPriority w:val="0"/>
    <w:pPr>
      <w:wordWrap w:val="0"/>
      <w:ind w:left="1700"/>
      <w:jc w:val="both"/>
    </w:pPr>
    <w:rPr>
      <w:rFonts w:ascii="Calibri" w:hAnsi="Calibri" w:eastAsia="宋体" w:cs="Times New Roman"/>
      <w:sz w:val="21"/>
      <w:lang w:val="en-US" w:eastAsia="zh-CN" w:bidi="ar-SA"/>
    </w:rPr>
  </w:style>
  <w:style w:type="paragraph" w:customStyle="1" w:styleId="416">
    <w:name w:val="toc 314"/>
    <w:next w:val="1"/>
    <w:qFormat/>
    <w:uiPriority w:val="0"/>
    <w:pPr>
      <w:wordWrap w:val="0"/>
      <w:ind w:left="850"/>
      <w:jc w:val="both"/>
    </w:pPr>
    <w:rPr>
      <w:rFonts w:ascii="Calibri" w:hAnsi="Calibri" w:eastAsia="宋体" w:cs="Times New Roman"/>
      <w:sz w:val="21"/>
      <w:lang w:val="en-US" w:eastAsia="zh-CN" w:bidi="ar-SA"/>
    </w:rPr>
  </w:style>
  <w:style w:type="paragraph" w:customStyle="1" w:styleId="417">
    <w:name w:val="xl114"/>
    <w:basedOn w:val="1"/>
    <w:next w:val="269"/>
    <w:qFormat/>
    <w:uiPriority w:val="0"/>
    <w:pPr>
      <w:widowControl/>
      <w:shd w:val="clear" w:color="000000" w:fill="FFFFFF"/>
      <w:spacing w:before="280" w:after="280"/>
      <w:jc w:val="center"/>
    </w:pPr>
    <w:rPr>
      <w:rFonts w:ascii="宋体" w:hAnsi="Calibri"/>
      <w:b/>
      <w:kern w:val="0"/>
      <w:sz w:val="20"/>
      <w:szCs w:val="20"/>
    </w:rPr>
  </w:style>
  <w:style w:type="paragraph" w:customStyle="1" w:styleId="418">
    <w:name w:val="xl107"/>
    <w:basedOn w:val="1"/>
    <w:next w:val="419"/>
    <w:qFormat/>
    <w:uiPriority w:val="0"/>
    <w:pPr>
      <w:widowControl/>
      <w:shd w:val="clear" w:color="000000" w:fill="FFFFFF"/>
      <w:spacing w:before="280" w:after="280"/>
    </w:pPr>
    <w:rPr>
      <w:rFonts w:ascii="宋体" w:hAnsi="Calibri"/>
      <w:kern w:val="0"/>
      <w:sz w:val="20"/>
      <w:szCs w:val="20"/>
    </w:rPr>
  </w:style>
  <w:style w:type="paragraph" w:customStyle="1" w:styleId="419">
    <w:name w:val="toc 610"/>
    <w:next w:val="1"/>
    <w:qFormat/>
    <w:uiPriority w:val="0"/>
    <w:pPr>
      <w:wordWrap w:val="0"/>
      <w:ind w:left="2125"/>
      <w:jc w:val="both"/>
    </w:pPr>
    <w:rPr>
      <w:rFonts w:ascii="Calibri" w:hAnsi="Calibri" w:eastAsia="宋体" w:cs="Times New Roman"/>
      <w:sz w:val="21"/>
      <w:lang w:val="en-US" w:eastAsia="zh-CN" w:bidi="ar-SA"/>
    </w:rPr>
  </w:style>
  <w:style w:type="paragraph" w:customStyle="1" w:styleId="420">
    <w:name w:val="toc 22"/>
    <w:next w:val="1"/>
    <w:qFormat/>
    <w:uiPriority w:val="0"/>
    <w:pPr>
      <w:wordWrap w:val="0"/>
      <w:ind w:left="425"/>
      <w:jc w:val="both"/>
    </w:pPr>
    <w:rPr>
      <w:rFonts w:ascii="Calibri" w:hAnsi="Calibri" w:eastAsia="宋体" w:cs="Times New Roman"/>
      <w:sz w:val="21"/>
      <w:lang w:val="en-US" w:eastAsia="zh-CN" w:bidi="ar-SA"/>
    </w:rPr>
  </w:style>
  <w:style w:type="paragraph" w:customStyle="1" w:styleId="421">
    <w:name w:val="xl90"/>
    <w:basedOn w:val="1"/>
    <w:next w:val="223"/>
    <w:qFormat/>
    <w:uiPriority w:val="0"/>
    <w:pPr>
      <w:widowControl/>
      <w:shd w:val="clear" w:color="000000" w:fill="FFFFFF"/>
      <w:spacing w:before="280" w:after="280"/>
    </w:pPr>
    <w:rPr>
      <w:rFonts w:ascii="宋体" w:hAnsi="Calibri"/>
      <w:kern w:val="0"/>
      <w:sz w:val="18"/>
      <w:szCs w:val="20"/>
    </w:rPr>
  </w:style>
  <w:style w:type="paragraph" w:customStyle="1" w:styleId="422">
    <w:name w:val="toc 616"/>
    <w:next w:val="1"/>
    <w:qFormat/>
    <w:uiPriority w:val="0"/>
    <w:pPr>
      <w:wordWrap w:val="0"/>
      <w:ind w:left="2125"/>
      <w:jc w:val="both"/>
    </w:pPr>
    <w:rPr>
      <w:rFonts w:ascii="Calibri" w:hAnsi="Calibri" w:eastAsia="宋体" w:cs="Times New Roman"/>
      <w:sz w:val="21"/>
      <w:lang w:val="en-US" w:eastAsia="zh-CN" w:bidi="ar-SA"/>
    </w:rPr>
  </w:style>
  <w:style w:type="paragraph" w:customStyle="1" w:styleId="423">
    <w:name w:val="toc 96"/>
    <w:next w:val="1"/>
    <w:qFormat/>
    <w:uiPriority w:val="0"/>
    <w:pPr>
      <w:wordWrap w:val="0"/>
      <w:ind w:left="3400"/>
      <w:jc w:val="both"/>
    </w:pPr>
    <w:rPr>
      <w:rFonts w:ascii="Calibri" w:hAnsi="Calibri" w:eastAsia="宋体" w:cs="Times New Roman"/>
      <w:sz w:val="21"/>
      <w:lang w:val="en-US" w:eastAsia="zh-CN" w:bidi="ar-SA"/>
    </w:rPr>
  </w:style>
  <w:style w:type="paragraph" w:customStyle="1" w:styleId="424">
    <w:name w:val="toc 42"/>
    <w:next w:val="1"/>
    <w:qFormat/>
    <w:uiPriority w:val="0"/>
    <w:pPr>
      <w:wordWrap w:val="0"/>
      <w:ind w:left="1275"/>
      <w:jc w:val="both"/>
    </w:pPr>
    <w:rPr>
      <w:rFonts w:ascii="Calibri" w:hAnsi="Calibri" w:eastAsia="宋体" w:cs="Times New Roman"/>
      <w:sz w:val="21"/>
      <w:lang w:val="en-US" w:eastAsia="zh-CN" w:bidi="ar-SA"/>
    </w:rPr>
  </w:style>
  <w:style w:type="paragraph" w:customStyle="1" w:styleId="425">
    <w:name w:val="xl117"/>
    <w:basedOn w:val="1"/>
    <w:next w:val="322"/>
    <w:qFormat/>
    <w:uiPriority w:val="0"/>
    <w:pPr>
      <w:widowControl/>
      <w:shd w:val="clear" w:color="000000" w:fill="FFFFFF"/>
      <w:spacing w:before="280" w:after="280"/>
      <w:jc w:val="center"/>
    </w:pPr>
    <w:rPr>
      <w:rFonts w:ascii="Arial Narrow" w:hAnsi="Calibri"/>
      <w:kern w:val="0"/>
      <w:sz w:val="24"/>
      <w:szCs w:val="20"/>
    </w:rPr>
  </w:style>
  <w:style w:type="paragraph" w:customStyle="1" w:styleId="426">
    <w:name w:val="p15"/>
    <w:basedOn w:val="1"/>
    <w:next w:val="247"/>
    <w:qFormat/>
    <w:uiPriority w:val="0"/>
    <w:pPr>
      <w:widowControl/>
      <w:ind w:firstLine="420"/>
    </w:pPr>
    <w:rPr>
      <w:rFonts w:hAnsi="Calibri"/>
      <w:kern w:val="0"/>
      <w:szCs w:val="20"/>
    </w:rPr>
  </w:style>
  <w:style w:type="paragraph" w:customStyle="1" w:styleId="427">
    <w:name w:val="xl87"/>
    <w:basedOn w:val="1"/>
    <w:next w:val="428"/>
    <w:qFormat/>
    <w:uiPriority w:val="0"/>
    <w:pPr>
      <w:widowControl/>
      <w:shd w:val="clear" w:color="000000" w:fill="FFFFFF"/>
      <w:spacing w:before="280" w:after="280"/>
    </w:pPr>
    <w:rPr>
      <w:rFonts w:ascii="Arial" w:hAnsi="Calibri"/>
      <w:kern w:val="0"/>
      <w:sz w:val="18"/>
      <w:szCs w:val="20"/>
    </w:rPr>
  </w:style>
  <w:style w:type="paragraph" w:customStyle="1" w:styleId="428">
    <w:name w:val="toc 98"/>
    <w:next w:val="1"/>
    <w:qFormat/>
    <w:uiPriority w:val="0"/>
    <w:pPr>
      <w:wordWrap w:val="0"/>
      <w:ind w:left="3400"/>
      <w:jc w:val="both"/>
    </w:pPr>
    <w:rPr>
      <w:rFonts w:ascii="Calibri" w:hAnsi="Calibri" w:eastAsia="宋体" w:cs="Times New Roman"/>
      <w:sz w:val="21"/>
      <w:lang w:val="en-US" w:eastAsia="zh-CN" w:bidi="ar-SA"/>
    </w:rPr>
  </w:style>
  <w:style w:type="paragraph" w:customStyle="1" w:styleId="429">
    <w:name w:val="列出段落7"/>
    <w:basedOn w:val="1"/>
    <w:next w:val="411"/>
    <w:qFormat/>
    <w:uiPriority w:val="0"/>
    <w:pPr>
      <w:ind w:firstLine="420"/>
    </w:pPr>
    <w:rPr>
      <w:rFonts w:hAnsi="Calibri"/>
      <w:kern w:val="0"/>
      <w:szCs w:val="20"/>
    </w:rPr>
  </w:style>
  <w:style w:type="paragraph" w:customStyle="1" w:styleId="430">
    <w:name w:val="xl78"/>
    <w:basedOn w:val="1"/>
    <w:next w:val="401"/>
    <w:qFormat/>
    <w:uiPriority w:val="0"/>
    <w:pPr>
      <w:widowControl/>
      <w:shd w:val="clear" w:color="000000" w:fill="FFFFFF"/>
      <w:spacing w:before="280" w:after="280"/>
    </w:pPr>
    <w:rPr>
      <w:rFonts w:ascii="宋体" w:hAnsi="Calibri"/>
      <w:b/>
      <w:kern w:val="0"/>
      <w:sz w:val="20"/>
      <w:szCs w:val="20"/>
    </w:rPr>
  </w:style>
  <w:style w:type="paragraph" w:customStyle="1" w:styleId="431">
    <w:name w:val="toc 516"/>
    <w:next w:val="1"/>
    <w:qFormat/>
    <w:uiPriority w:val="0"/>
    <w:pPr>
      <w:wordWrap w:val="0"/>
      <w:ind w:left="1700"/>
      <w:jc w:val="both"/>
    </w:pPr>
    <w:rPr>
      <w:rFonts w:ascii="Calibri" w:hAnsi="Calibri" w:eastAsia="宋体" w:cs="Times New Roman"/>
      <w:sz w:val="21"/>
      <w:lang w:val="en-US" w:eastAsia="zh-CN" w:bidi="ar-SA"/>
    </w:rPr>
  </w:style>
  <w:style w:type="paragraph" w:customStyle="1" w:styleId="432">
    <w:name w:val="xl89"/>
    <w:basedOn w:val="1"/>
    <w:next w:val="366"/>
    <w:qFormat/>
    <w:uiPriority w:val="0"/>
    <w:pPr>
      <w:widowControl/>
      <w:shd w:val="clear" w:color="000000" w:fill="FFFFFF"/>
      <w:spacing w:before="280" w:after="280"/>
    </w:pPr>
    <w:rPr>
      <w:rFonts w:ascii="宋体" w:hAnsi="Calibri"/>
      <w:kern w:val="0"/>
      <w:sz w:val="20"/>
      <w:szCs w:val="20"/>
    </w:rPr>
  </w:style>
  <w:style w:type="paragraph" w:customStyle="1" w:styleId="433">
    <w:name w:val="toc 910"/>
    <w:next w:val="1"/>
    <w:qFormat/>
    <w:uiPriority w:val="0"/>
    <w:pPr>
      <w:wordWrap w:val="0"/>
      <w:ind w:left="3400"/>
      <w:jc w:val="both"/>
    </w:pPr>
    <w:rPr>
      <w:rFonts w:ascii="Calibri" w:hAnsi="Calibri" w:eastAsia="宋体" w:cs="Times New Roman"/>
      <w:sz w:val="21"/>
      <w:lang w:val="en-US" w:eastAsia="zh-CN" w:bidi="ar-SA"/>
    </w:rPr>
  </w:style>
  <w:style w:type="paragraph" w:customStyle="1" w:styleId="434">
    <w:name w:val="toc 34"/>
    <w:next w:val="1"/>
    <w:qFormat/>
    <w:uiPriority w:val="0"/>
    <w:pPr>
      <w:wordWrap w:val="0"/>
      <w:ind w:left="850"/>
      <w:jc w:val="both"/>
    </w:pPr>
    <w:rPr>
      <w:rFonts w:ascii="Calibri" w:hAnsi="Calibri" w:eastAsia="宋体" w:cs="Times New Roman"/>
      <w:sz w:val="21"/>
      <w:lang w:val="en-US" w:eastAsia="zh-CN" w:bidi="ar-SA"/>
    </w:rPr>
  </w:style>
  <w:style w:type="paragraph" w:customStyle="1" w:styleId="435">
    <w:name w:val="toc 816"/>
    <w:next w:val="1"/>
    <w:qFormat/>
    <w:uiPriority w:val="0"/>
    <w:pPr>
      <w:wordWrap w:val="0"/>
      <w:ind w:left="2975"/>
      <w:jc w:val="both"/>
    </w:pPr>
    <w:rPr>
      <w:rFonts w:ascii="Calibri" w:hAnsi="Calibri" w:eastAsia="宋体" w:cs="Times New Roman"/>
      <w:sz w:val="21"/>
      <w:lang w:val="en-US" w:eastAsia="zh-CN" w:bidi="ar-SA"/>
    </w:rPr>
  </w:style>
  <w:style w:type="paragraph" w:customStyle="1" w:styleId="436">
    <w:name w:val="toc 43"/>
    <w:next w:val="1"/>
    <w:qFormat/>
    <w:uiPriority w:val="0"/>
    <w:pPr>
      <w:wordWrap w:val="0"/>
      <w:ind w:left="1275"/>
      <w:jc w:val="both"/>
    </w:pPr>
    <w:rPr>
      <w:rFonts w:ascii="Calibri" w:hAnsi="Calibri" w:eastAsia="宋体" w:cs="Times New Roman"/>
      <w:sz w:val="21"/>
      <w:lang w:val="en-US" w:eastAsia="zh-CN" w:bidi="ar-SA"/>
    </w:rPr>
  </w:style>
  <w:style w:type="paragraph" w:customStyle="1" w:styleId="437">
    <w:name w:val="toc 16"/>
    <w:next w:val="1"/>
    <w:qFormat/>
    <w:uiPriority w:val="0"/>
    <w:pPr>
      <w:wordWrap w:val="0"/>
      <w:jc w:val="both"/>
    </w:pPr>
    <w:rPr>
      <w:rFonts w:ascii="Calibri" w:hAnsi="Calibri" w:eastAsia="宋体" w:cs="Times New Roman"/>
      <w:sz w:val="21"/>
      <w:lang w:val="en-US" w:eastAsia="zh-CN" w:bidi="ar-SA"/>
    </w:rPr>
  </w:style>
  <w:style w:type="paragraph" w:styleId="438">
    <w:name w:val="Quote"/>
    <w:next w:val="1"/>
    <w:link w:val="439"/>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39">
    <w:name w:val="引用 Char"/>
    <w:basedOn w:val="46"/>
    <w:link w:val="438"/>
    <w:qFormat/>
    <w:uiPriority w:val="0"/>
    <w:rPr>
      <w:rFonts w:ascii="Calibri" w:hAnsi="Calibri"/>
      <w:i/>
      <w:sz w:val="21"/>
    </w:rPr>
  </w:style>
  <w:style w:type="paragraph" w:customStyle="1" w:styleId="440">
    <w:name w:val="toc 114"/>
    <w:next w:val="1"/>
    <w:qFormat/>
    <w:uiPriority w:val="0"/>
    <w:pPr>
      <w:wordWrap w:val="0"/>
      <w:jc w:val="both"/>
    </w:pPr>
    <w:rPr>
      <w:rFonts w:ascii="Calibri" w:hAnsi="Calibri" w:eastAsia="宋体" w:cs="Times New Roman"/>
      <w:sz w:val="21"/>
      <w:lang w:val="en-US" w:eastAsia="zh-CN" w:bidi="ar-SA"/>
    </w:rPr>
  </w:style>
  <w:style w:type="paragraph" w:customStyle="1" w:styleId="441">
    <w:name w:val="xl119"/>
    <w:basedOn w:val="1"/>
    <w:next w:val="416"/>
    <w:qFormat/>
    <w:uiPriority w:val="0"/>
    <w:pPr>
      <w:widowControl/>
      <w:shd w:val="clear" w:color="000000" w:fill="FFFFFF"/>
      <w:spacing w:before="280" w:after="280"/>
      <w:jc w:val="center"/>
    </w:pPr>
    <w:rPr>
      <w:rFonts w:ascii="宋体" w:hAnsi="Calibri"/>
      <w:b/>
      <w:kern w:val="0"/>
      <w:sz w:val="20"/>
      <w:szCs w:val="20"/>
    </w:rPr>
  </w:style>
  <w:style w:type="paragraph" w:customStyle="1" w:styleId="442">
    <w:name w:val="toc 37"/>
    <w:next w:val="1"/>
    <w:qFormat/>
    <w:uiPriority w:val="0"/>
    <w:pPr>
      <w:wordWrap w:val="0"/>
      <w:ind w:left="850"/>
      <w:jc w:val="both"/>
    </w:pPr>
    <w:rPr>
      <w:rFonts w:ascii="Calibri" w:hAnsi="Calibri" w:eastAsia="宋体" w:cs="Times New Roman"/>
      <w:sz w:val="21"/>
      <w:lang w:val="en-US" w:eastAsia="zh-CN" w:bidi="ar-SA"/>
    </w:rPr>
  </w:style>
  <w:style w:type="paragraph" w:customStyle="1" w:styleId="443">
    <w:name w:val="xl109"/>
    <w:basedOn w:val="1"/>
    <w:next w:val="389"/>
    <w:qFormat/>
    <w:uiPriority w:val="0"/>
    <w:pPr>
      <w:widowControl/>
      <w:shd w:val="clear" w:color="000000" w:fill="FFFFFF"/>
      <w:spacing w:before="280" w:after="280"/>
    </w:pPr>
    <w:rPr>
      <w:rFonts w:ascii="宋体" w:hAnsi="Calibri"/>
      <w:kern w:val="0"/>
      <w:sz w:val="20"/>
      <w:szCs w:val="20"/>
    </w:rPr>
  </w:style>
  <w:style w:type="paragraph" w:customStyle="1" w:styleId="444">
    <w:name w:val="toc 215"/>
    <w:next w:val="1"/>
    <w:qFormat/>
    <w:uiPriority w:val="0"/>
    <w:pPr>
      <w:wordWrap w:val="0"/>
      <w:ind w:left="425"/>
      <w:jc w:val="both"/>
    </w:pPr>
    <w:rPr>
      <w:rFonts w:ascii="Calibri" w:hAnsi="Calibri" w:eastAsia="宋体" w:cs="Times New Roman"/>
      <w:sz w:val="21"/>
      <w:lang w:val="en-US" w:eastAsia="zh-CN" w:bidi="ar-SA"/>
    </w:rPr>
  </w:style>
  <w:style w:type="paragraph" w:customStyle="1" w:styleId="445">
    <w:name w:val="xl76"/>
    <w:basedOn w:val="1"/>
    <w:next w:val="397"/>
    <w:qFormat/>
    <w:uiPriority w:val="0"/>
    <w:pPr>
      <w:widowControl/>
      <w:shd w:val="clear" w:color="000000" w:fill="FFFFFF"/>
      <w:spacing w:before="280" w:after="280"/>
      <w:jc w:val="center"/>
    </w:pPr>
    <w:rPr>
      <w:rFonts w:ascii="宋体" w:hAnsi="Calibri"/>
      <w:b/>
      <w:kern w:val="0"/>
      <w:sz w:val="20"/>
      <w:szCs w:val="20"/>
    </w:rPr>
  </w:style>
  <w:style w:type="paragraph" w:customStyle="1" w:styleId="446">
    <w:name w:val="toc 92"/>
    <w:next w:val="1"/>
    <w:qFormat/>
    <w:uiPriority w:val="0"/>
    <w:pPr>
      <w:wordWrap w:val="0"/>
      <w:ind w:left="3400"/>
      <w:jc w:val="both"/>
    </w:pPr>
    <w:rPr>
      <w:rFonts w:ascii="Calibri" w:hAnsi="Calibri" w:eastAsia="宋体" w:cs="Times New Roman"/>
      <w:sz w:val="21"/>
      <w:lang w:val="en-US" w:eastAsia="zh-CN" w:bidi="ar-SA"/>
    </w:rPr>
  </w:style>
  <w:style w:type="paragraph" w:customStyle="1" w:styleId="447">
    <w:name w:val="toc 216"/>
    <w:next w:val="1"/>
    <w:qFormat/>
    <w:uiPriority w:val="0"/>
    <w:pPr>
      <w:wordWrap w:val="0"/>
      <w:ind w:left="425"/>
      <w:jc w:val="both"/>
    </w:pPr>
    <w:rPr>
      <w:rFonts w:ascii="Calibri" w:hAnsi="Calibri" w:eastAsia="宋体" w:cs="Times New Roman"/>
      <w:sz w:val="21"/>
      <w:lang w:val="en-US" w:eastAsia="zh-CN" w:bidi="ar-SA"/>
    </w:rPr>
  </w:style>
  <w:style w:type="paragraph" w:customStyle="1" w:styleId="448">
    <w:name w:val="xl70"/>
    <w:basedOn w:val="1"/>
    <w:next w:val="374"/>
    <w:qFormat/>
    <w:uiPriority w:val="0"/>
    <w:pPr>
      <w:widowControl/>
      <w:shd w:val="clear" w:color="000000" w:fill="FFFFFF"/>
      <w:spacing w:before="280" w:after="280"/>
    </w:pPr>
    <w:rPr>
      <w:rFonts w:ascii="宋体" w:hAnsi="Calibri"/>
      <w:kern w:val="0"/>
      <w:sz w:val="20"/>
      <w:szCs w:val="20"/>
    </w:rPr>
  </w:style>
  <w:style w:type="paragraph" w:customStyle="1" w:styleId="449">
    <w:name w:val="toc 33"/>
    <w:next w:val="1"/>
    <w:qFormat/>
    <w:uiPriority w:val="0"/>
    <w:pPr>
      <w:wordWrap w:val="0"/>
      <w:ind w:left="850"/>
      <w:jc w:val="both"/>
    </w:pPr>
    <w:rPr>
      <w:rFonts w:ascii="Calibri" w:hAnsi="Calibri" w:eastAsia="宋体" w:cs="Times New Roman"/>
      <w:sz w:val="21"/>
      <w:lang w:val="en-US" w:eastAsia="zh-CN" w:bidi="ar-SA"/>
    </w:rPr>
  </w:style>
  <w:style w:type="paragraph" w:customStyle="1" w:styleId="450">
    <w:name w:val="toc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51">
    <w:name w:val="xl98"/>
    <w:basedOn w:val="1"/>
    <w:next w:val="392"/>
    <w:qFormat/>
    <w:uiPriority w:val="0"/>
    <w:pPr>
      <w:widowControl/>
      <w:shd w:val="clear" w:color="000000" w:fill="FFFFFF"/>
      <w:spacing w:before="280" w:after="280"/>
      <w:jc w:val="center"/>
    </w:pPr>
    <w:rPr>
      <w:rFonts w:ascii="宋体" w:hAnsi="Calibri"/>
      <w:kern w:val="0"/>
      <w:sz w:val="20"/>
      <w:szCs w:val="20"/>
    </w:rPr>
  </w:style>
  <w:style w:type="paragraph" w:customStyle="1" w:styleId="452">
    <w:name w:val="toc 26"/>
    <w:next w:val="1"/>
    <w:qFormat/>
    <w:uiPriority w:val="0"/>
    <w:pPr>
      <w:wordWrap w:val="0"/>
      <w:ind w:left="425"/>
      <w:jc w:val="both"/>
    </w:pPr>
    <w:rPr>
      <w:rFonts w:ascii="Calibri" w:hAnsi="Calibri" w:eastAsia="宋体" w:cs="Times New Roman"/>
      <w:sz w:val="21"/>
      <w:lang w:val="en-US" w:eastAsia="zh-CN" w:bidi="ar-SA"/>
    </w:rPr>
  </w:style>
  <w:style w:type="paragraph" w:customStyle="1" w:styleId="453">
    <w:name w:val="toc 13"/>
    <w:next w:val="1"/>
    <w:qFormat/>
    <w:uiPriority w:val="0"/>
    <w:pPr>
      <w:wordWrap w:val="0"/>
      <w:jc w:val="both"/>
    </w:pPr>
    <w:rPr>
      <w:rFonts w:ascii="Calibri" w:hAnsi="Calibri" w:eastAsia="宋体" w:cs="Times New Roman"/>
      <w:sz w:val="21"/>
      <w:lang w:val="en-US" w:eastAsia="zh-CN" w:bidi="ar-SA"/>
    </w:rPr>
  </w:style>
  <w:style w:type="paragraph" w:customStyle="1" w:styleId="454">
    <w:name w:val="目录 51"/>
    <w:next w:val="1"/>
    <w:qFormat/>
    <w:uiPriority w:val="0"/>
    <w:pPr>
      <w:wordWrap w:val="0"/>
      <w:ind w:left="1700"/>
      <w:jc w:val="both"/>
    </w:pPr>
    <w:rPr>
      <w:rFonts w:ascii="Calibri" w:hAnsi="Calibri" w:eastAsia="宋体" w:cs="Times New Roman"/>
      <w:sz w:val="21"/>
      <w:lang w:val="en-US" w:eastAsia="zh-CN" w:bidi="ar-SA"/>
    </w:rPr>
  </w:style>
  <w:style w:type="paragraph" w:customStyle="1" w:styleId="455">
    <w:name w:val="xl101"/>
    <w:basedOn w:val="1"/>
    <w:next w:val="423"/>
    <w:qFormat/>
    <w:uiPriority w:val="0"/>
    <w:pPr>
      <w:widowControl/>
      <w:spacing w:before="280" w:after="280"/>
    </w:pPr>
    <w:rPr>
      <w:rFonts w:ascii="宋体" w:hAnsi="Calibri"/>
      <w:kern w:val="0"/>
      <w:sz w:val="20"/>
      <w:szCs w:val="20"/>
    </w:rPr>
  </w:style>
  <w:style w:type="paragraph" w:customStyle="1" w:styleId="456">
    <w:name w:val="toc 75"/>
    <w:next w:val="1"/>
    <w:qFormat/>
    <w:uiPriority w:val="0"/>
    <w:pPr>
      <w:wordWrap w:val="0"/>
      <w:ind w:left="2550"/>
      <w:jc w:val="both"/>
    </w:pPr>
    <w:rPr>
      <w:rFonts w:ascii="Calibri" w:hAnsi="Calibri" w:eastAsia="宋体" w:cs="Times New Roman"/>
      <w:sz w:val="21"/>
      <w:lang w:val="en-US" w:eastAsia="zh-CN" w:bidi="ar-SA"/>
    </w:rPr>
  </w:style>
  <w:style w:type="paragraph" w:customStyle="1" w:styleId="457">
    <w:name w:val="toc 715"/>
    <w:next w:val="1"/>
    <w:qFormat/>
    <w:uiPriority w:val="0"/>
    <w:pPr>
      <w:wordWrap w:val="0"/>
      <w:ind w:left="2550"/>
      <w:jc w:val="both"/>
    </w:pPr>
    <w:rPr>
      <w:rFonts w:ascii="Calibri" w:hAnsi="Calibri" w:eastAsia="宋体" w:cs="Times New Roman"/>
      <w:sz w:val="21"/>
      <w:lang w:val="en-US" w:eastAsia="zh-CN" w:bidi="ar-SA"/>
    </w:rPr>
  </w:style>
  <w:style w:type="paragraph" w:styleId="458">
    <w:name w:val="Intense Quote"/>
    <w:next w:val="1"/>
    <w:link w:val="459"/>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459">
    <w:name w:val="明显引用 Char"/>
    <w:basedOn w:val="46"/>
    <w:link w:val="458"/>
    <w:qFormat/>
    <w:uiPriority w:val="0"/>
    <w:rPr>
      <w:rFonts w:ascii="Calibri" w:hAnsi="Calibri"/>
      <w:i/>
      <w:sz w:val="21"/>
    </w:rPr>
  </w:style>
  <w:style w:type="paragraph" w:customStyle="1" w:styleId="460">
    <w:name w:val="Char Char Char Char Char Char Char"/>
    <w:basedOn w:val="1"/>
    <w:next w:val="444"/>
    <w:qFormat/>
    <w:uiPriority w:val="0"/>
    <w:pPr>
      <w:widowControl/>
      <w:spacing w:after="160" w:line="240" w:lineRule="exact"/>
    </w:pPr>
    <w:rPr>
      <w:rFonts w:hAnsi="Calibri"/>
      <w:kern w:val="0"/>
      <w:szCs w:val="20"/>
    </w:rPr>
  </w:style>
  <w:style w:type="paragraph" w:customStyle="1" w:styleId="461">
    <w:name w:val="toc 23"/>
    <w:next w:val="1"/>
    <w:qFormat/>
    <w:uiPriority w:val="0"/>
    <w:pPr>
      <w:wordWrap w:val="0"/>
      <w:ind w:left="425"/>
      <w:jc w:val="both"/>
    </w:pPr>
    <w:rPr>
      <w:rFonts w:ascii="Calibri" w:hAnsi="Calibri" w:eastAsia="宋体" w:cs="Times New Roman"/>
      <w:sz w:val="21"/>
      <w:lang w:val="en-US" w:eastAsia="zh-CN" w:bidi="ar-SA"/>
    </w:rPr>
  </w:style>
  <w:style w:type="paragraph" w:customStyle="1" w:styleId="462">
    <w:name w:val="目录 61"/>
    <w:next w:val="1"/>
    <w:qFormat/>
    <w:uiPriority w:val="0"/>
    <w:pPr>
      <w:wordWrap w:val="0"/>
      <w:ind w:left="2125"/>
      <w:jc w:val="both"/>
    </w:pPr>
    <w:rPr>
      <w:rFonts w:ascii="Calibri" w:hAnsi="Calibri" w:eastAsia="宋体" w:cs="Times New Roman"/>
      <w:sz w:val="21"/>
      <w:lang w:val="en-US" w:eastAsia="zh-CN" w:bidi="ar-SA"/>
    </w:rPr>
  </w:style>
  <w:style w:type="paragraph" w:customStyle="1" w:styleId="463">
    <w:name w:val="toc 97"/>
    <w:next w:val="1"/>
    <w:qFormat/>
    <w:uiPriority w:val="0"/>
    <w:pPr>
      <w:wordWrap w:val="0"/>
      <w:ind w:left="3400"/>
      <w:jc w:val="both"/>
    </w:pPr>
    <w:rPr>
      <w:rFonts w:ascii="Calibri" w:hAnsi="Calibri" w:eastAsia="宋体" w:cs="Times New Roman"/>
      <w:sz w:val="21"/>
      <w:lang w:val="en-US" w:eastAsia="zh-CN" w:bidi="ar-SA"/>
    </w:rPr>
  </w:style>
  <w:style w:type="paragraph" w:customStyle="1" w:styleId="464">
    <w:name w:val="toc 74"/>
    <w:next w:val="1"/>
    <w:qFormat/>
    <w:uiPriority w:val="0"/>
    <w:pPr>
      <w:wordWrap w:val="0"/>
      <w:ind w:left="2550"/>
      <w:jc w:val="both"/>
    </w:pPr>
    <w:rPr>
      <w:rFonts w:ascii="Calibri" w:hAnsi="Calibri" w:eastAsia="宋体" w:cs="Times New Roman"/>
      <w:sz w:val="21"/>
      <w:lang w:val="en-US" w:eastAsia="zh-CN" w:bidi="ar-SA"/>
    </w:rPr>
  </w:style>
  <w:style w:type="paragraph" w:customStyle="1" w:styleId="465">
    <w:name w:val="xl64"/>
    <w:basedOn w:val="1"/>
    <w:next w:val="440"/>
    <w:qFormat/>
    <w:uiPriority w:val="0"/>
    <w:pPr>
      <w:widowControl/>
      <w:shd w:val="clear" w:color="000000" w:fill="FFFFFF"/>
      <w:spacing w:before="280" w:after="280"/>
    </w:pPr>
    <w:rPr>
      <w:rFonts w:ascii="宋体" w:hAnsi="Calibri"/>
      <w:kern w:val="0"/>
      <w:sz w:val="20"/>
      <w:szCs w:val="20"/>
    </w:rPr>
  </w:style>
  <w:style w:type="paragraph" w:customStyle="1" w:styleId="466">
    <w:name w:val="xl82"/>
    <w:basedOn w:val="1"/>
    <w:next w:val="285"/>
    <w:qFormat/>
    <w:uiPriority w:val="0"/>
    <w:pPr>
      <w:widowControl/>
      <w:shd w:val="clear" w:color="000000" w:fill="FFFFFF"/>
      <w:spacing w:before="280" w:after="280"/>
    </w:pPr>
    <w:rPr>
      <w:rFonts w:ascii="宋体" w:hAnsi="Calibri"/>
      <w:kern w:val="0"/>
      <w:sz w:val="20"/>
      <w:szCs w:val="20"/>
    </w:rPr>
  </w:style>
  <w:style w:type="paragraph" w:customStyle="1" w:styleId="467">
    <w:name w:val="toc 32"/>
    <w:next w:val="1"/>
    <w:qFormat/>
    <w:uiPriority w:val="0"/>
    <w:pPr>
      <w:wordWrap w:val="0"/>
      <w:ind w:left="850"/>
      <w:jc w:val="both"/>
    </w:pPr>
    <w:rPr>
      <w:rFonts w:ascii="Calibri" w:hAnsi="Calibri" w:eastAsia="宋体" w:cs="Times New Roman"/>
      <w:sz w:val="21"/>
      <w:lang w:val="en-US" w:eastAsia="zh-CN" w:bidi="ar-SA"/>
    </w:rPr>
  </w:style>
  <w:style w:type="paragraph" w:customStyle="1" w:styleId="468">
    <w:name w:val="xl77"/>
    <w:basedOn w:val="1"/>
    <w:next w:val="433"/>
    <w:qFormat/>
    <w:uiPriority w:val="0"/>
    <w:pPr>
      <w:widowControl/>
      <w:shd w:val="clear" w:color="000000" w:fill="FFFFFF"/>
      <w:spacing w:before="280" w:after="280"/>
      <w:jc w:val="center"/>
    </w:pPr>
    <w:rPr>
      <w:rFonts w:ascii="宋体" w:hAnsi="Calibri"/>
      <w:kern w:val="0"/>
      <w:sz w:val="20"/>
      <w:szCs w:val="20"/>
    </w:rPr>
  </w:style>
  <w:style w:type="character" w:customStyle="1" w:styleId="469">
    <w:name w:val="正文缩进 Char1"/>
    <w:qFormat/>
    <w:uiPriority w:val="0"/>
    <w:rPr>
      <w:rFonts w:eastAsia="宋体"/>
      <w:kern w:val="2"/>
      <w:sz w:val="21"/>
      <w:lang w:val="en-US" w:eastAsia="zh-CN" w:bidi="ar-SA"/>
    </w:rPr>
  </w:style>
  <w:style w:type="character" w:customStyle="1" w:styleId="470">
    <w:name w:val="fielderror"/>
    <w:basedOn w:val="46"/>
    <w:qFormat/>
    <w:uiPriority w:val="0"/>
    <w:rPr>
      <w:color w:val="800000"/>
    </w:rPr>
  </w:style>
  <w:style w:type="character" w:customStyle="1" w:styleId="471">
    <w:name w:val="hilite6"/>
    <w:basedOn w:val="46"/>
    <w:qFormat/>
    <w:uiPriority w:val="0"/>
    <w:rPr>
      <w:color w:val="000000"/>
    </w:rPr>
  </w:style>
  <w:style w:type="character" w:customStyle="1" w:styleId="472">
    <w:name w:val="active6"/>
    <w:basedOn w:val="46"/>
    <w:qFormat/>
    <w:uiPriority w:val="0"/>
    <w:rPr>
      <w:color w:val="FFFFFF"/>
    </w:rPr>
  </w:style>
  <w:style w:type="character" w:customStyle="1" w:styleId="473">
    <w:name w:val="inline-help"/>
    <w:basedOn w:val="46"/>
    <w:qFormat/>
    <w:uiPriority w:val="0"/>
  </w:style>
  <w:style w:type="character" w:customStyle="1" w:styleId="474">
    <w:name w:val="active"/>
    <w:basedOn w:val="46"/>
    <w:qFormat/>
    <w:uiPriority w:val="0"/>
    <w:rPr>
      <w:color w:val="FFFFFF"/>
    </w:rPr>
  </w:style>
  <w:style w:type="paragraph" w:customStyle="1" w:styleId="47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76">
    <w:name w:val="count"/>
    <w:basedOn w:val="46"/>
    <w:qFormat/>
    <w:uiPriority w:val="0"/>
  </w:style>
  <w:style w:type="table" w:customStyle="1" w:styleId="477">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479">
    <w:name w:val="cf01"/>
    <w:basedOn w:val="46"/>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3BB2-79DC-4C86-9B6F-5A971A7C46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36665</Words>
  <Characters>38650</Characters>
  <Lines>367</Lines>
  <Paragraphs>103</Paragraphs>
  <TotalTime>12</TotalTime>
  <ScaleCrop>false</ScaleCrop>
  <LinksUpToDate>false</LinksUpToDate>
  <CharactersWithSpaces>41629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2023-03-02T08:35:00Z</dcterms:created>
  <dc:creator>thsware</dc:creator>
  <cp:lastModifiedBy>封雨轩</cp:lastModifiedBy>
  <cp:lastPrinted>2021-05-16T11:04:00Z</cp:lastPrinted>
  <dcterms:modified xsi:type="dcterms:W3CDTF">2024-07-23T10:06:53Z</dcterms:modified>
  <dc:title>招  标　文　件</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A4E5F735E5BC401FABD63A0B79266CB7_13</vt:lpwstr>
  </property>
</Properties>
</file>