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SZZXCG-2025-00194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深圳市公安局局本级待确权物业消防评估服务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w:t>
            </w:r>
            <w:r>
              <w:rPr>
                <w:rFonts w:ascii="宋体" w:hAnsi="宋体" w:cs="宋体"/>
                <w:kern w:val="0"/>
                <w:sz w:val="30"/>
                <w:szCs w:val="30"/>
              </w:rPr>
              <w:t>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服务属性：建筑物勘察测量服务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30"/>
                <w:szCs w:val="30"/>
              </w:rPr>
            </w:pPr>
            <w:r>
              <w:rPr>
                <w:rFonts w:hint="eastAsia" w:ascii="宋体" w:hAnsi="宋体" w:cs="宋体"/>
                <w:kern w:val="0"/>
                <w:sz w:val="30"/>
                <w:szCs w:val="30"/>
              </w:rPr>
              <w:t>编号：B060302</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b/>
                <w:bCs/>
                <w:color w:val="FF0000"/>
              </w:rPr>
              <w:t>投标单价不得高于限价；系统开标一览表中填写的投标报价与项目详细报价表中填写的“投标单价”不一致；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ascii="宋体" w:hAnsi="宋体" w:cs="宋体"/>
                <w:b/>
                <w:bCs/>
                <w:szCs w:val="21"/>
              </w:rPr>
            </w:pPr>
            <w:r>
              <w:rPr>
                <w:rFonts w:hint="eastAsia" w:ascii="宋体" w:hAnsi="宋体" w:cs="宋体"/>
                <w:b/>
                <w:bCs/>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rFonts w:ascii="宋体" w:hAnsi="宋体" w:cs="宋体"/>
                <w:sz w:val="21"/>
                <w:szCs w:val="21"/>
              </w:rPr>
            </w:pPr>
            <w:r>
              <w:rPr>
                <w:rFonts w:hint="eastAsia" w:ascii="宋体" w:hAnsi="宋体" w:cs="宋体"/>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7"/>
              <w:ind w:firstLine="420"/>
              <w:rPr>
                <w:rFonts w:ascii="宋体" w:hAnsi="宋体" w:cs="宋体"/>
                <w:sz w:val="21"/>
                <w:szCs w:val="21"/>
              </w:rPr>
            </w:pPr>
            <w:r>
              <w:rPr>
                <w:rFonts w:hint="eastAsia" w:ascii="宋体" w:hAnsi="宋体" w:cs="宋体"/>
                <w:sz w:val="21"/>
                <w:szCs w:val="21"/>
              </w:rPr>
              <w:t>价格分计算方法：</w:t>
            </w:r>
          </w:p>
          <w:p>
            <w:pPr>
              <w:pStyle w:val="37"/>
              <w:spacing w:line="324" w:lineRule="auto"/>
              <w:ind w:left="420"/>
              <w:rPr>
                <w:rFonts w:ascii="宋体" w:hAnsi="宋体" w:cs="宋体"/>
                <w:sz w:val="21"/>
                <w:szCs w:val="21"/>
              </w:rPr>
            </w:pPr>
            <w:r>
              <w:rPr>
                <w:rFonts w:hint="eastAsia" w:ascii="宋体" w:hAnsi="宋体" w:cs="宋体"/>
                <w:sz w:val="21"/>
                <w:szCs w:val="21"/>
              </w:rPr>
              <w:t xml:space="preserve">采用低价优先法计算，即满足采购文件要求且投标价格最低的投标报价为评标基准价，其价格分为满分。其他投标人的价格分统一按照下列公式计算： </w:t>
            </w:r>
            <w:r>
              <w:rPr>
                <w:rFonts w:hint="eastAsia" w:ascii="宋体" w:hAnsi="宋体" w:cs="宋体"/>
                <w:sz w:val="21"/>
                <w:szCs w:val="21"/>
              </w:rPr>
              <w:br w:type="textWrapping"/>
            </w:r>
            <w:r>
              <w:rPr>
                <w:rFonts w:hint="eastAsia" w:ascii="宋体" w:hAnsi="宋体" w:cs="宋体"/>
                <w:sz w:val="21"/>
                <w:szCs w:val="21"/>
              </w:rPr>
              <w:t xml:space="preserve">投标报价得分=(评标基准价／投标报价)×100 </w:t>
            </w:r>
            <w:r>
              <w:rPr>
                <w:rFonts w:hint="eastAsia" w:ascii="宋体" w:hAnsi="宋体" w:cs="宋体"/>
                <w:sz w:val="21"/>
                <w:szCs w:val="21"/>
              </w:rPr>
              <w:br w:type="textWrapping"/>
            </w:r>
            <w:r>
              <w:rPr>
                <w:rFonts w:hint="eastAsia" w:ascii="宋体" w:hAnsi="宋体" w:cs="宋体"/>
                <w:sz w:val="21"/>
                <w:szCs w:val="21"/>
              </w:rPr>
              <w:t xml:space="preserve">评标总得分＝F1×A1＋F2×A2＋……＋Fn×An </w:t>
            </w:r>
            <w:r>
              <w:rPr>
                <w:rFonts w:hint="eastAsia" w:ascii="宋体" w:hAnsi="宋体" w:cs="宋体"/>
                <w:sz w:val="21"/>
                <w:szCs w:val="21"/>
              </w:rPr>
              <w:br w:type="textWrapping"/>
            </w:r>
            <w:r>
              <w:rPr>
                <w:rFonts w:hint="eastAsia" w:ascii="宋体" w:hAnsi="宋体" w:cs="宋体"/>
                <w:sz w:val="21"/>
                <w:szCs w:val="21"/>
              </w:rPr>
              <w:t xml:space="preserve">F1、F2……Fn分别为各项评审因素的得分； </w:t>
            </w:r>
            <w:r>
              <w:rPr>
                <w:rFonts w:hint="eastAsia" w:ascii="宋体" w:hAnsi="宋体" w:cs="宋体"/>
                <w:sz w:val="21"/>
                <w:szCs w:val="21"/>
              </w:rPr>
              <w:br w:type="textWrapping"/>
            </w:r>
            <w:r>
              <w:rPr>
                <w:rFonts w:hint="eastAsia" w:ascii="宋体" w:hAnsi="宋体" w:cs="宋体"/>
                <w:sz w:val="21"/>
                <w:szCs w:val="21"/>
              </w:rPr>
              <w:t xml:space="preserve">A1、A2、……An 分别为各项评审因素所占的权重(A1＋A2＋……＋An＝1)。 </w:t>
            </w:r>
            <w:r>
              <w:rPr>
                <w:rFonts w:hint="eastAsia" w:ascii="宋体" w:hAnsi="宋体" w:cs="宋体"/>
                <w:sz w:val="21"/>
                <w:szCs w:val="21"/>
              </w:rPr>
              <w:br w:type="textWrapping"/>
            </w:r>
            <w:r>
              <w:rPr>
                <w:rFonts w:hint="eastAsia" w:ascii="宋体" w:hAnsi="宋体" w:cs="宋体"/>
                <w:sz w:val="21"/>
                <w:szCs w:val="21"/>
              </w:rPr>
              <w:t>评标过程中，不得去掉报价中的最高报价和最低报价。</w:t>
            </w:r>
          </w:p>
          <w:p>
            <w:pPr>
              <w:pStyle w:val="37"/>
              <w:spacing w:line="324" w:lineRule="auto"/>
              <w:ind w:left="420"/>
              <w:rPr>
                <w:rFonts w:ascii="宋体" w:hAnsi="宋体" w:cs="宋体"/>
                <w:sz w:val="21"/>
                <w:szCs w:val="21"/>
              </w:rPr>
            </w:pPr>
            <w:r>
              <w:rPr>
                <w:rFonts w:hint="eastAsia" w:ascii="宋体" w:hAnsi="宋体" w:cs="宋体"/>
                <w:sz w:val="21"/>
                <w:szCs w:val="21"/>
              </w:rPr>
              <w:t>注：投标人的“</w:t>
            </w:r>
            <w:r>
              <w:rPr>
                <w:rFonts w:hint="eastAsia" w:ascii="宋体" w:hAnsi="宋体" w:cs="宋体"/>
                <w:color w:val="FF0000"/>
                <w:sz w:val="21"/>
                <w:szCs w:val="21"/>
              </w:rPr>
              <w:t>技术响应情况</w:t>
            </w:r>
            <w:r>
              <w:rPr>
                <w:rFonts w:hint="eastAsia" w:ascii="宋体" w:hAnsi="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3544" w:type="dxa"/>
            <w:gridSpan w:val="3"/>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评分项</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1</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价格</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2</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技术部分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6</w:t>
            </w:r>
            <w:r>
              <w:rPr>
                <w:rFonts w:ascii="宋体" w:hAnsi="宋体" w:cs="宋体"/>
                <w:b/>
                <w:bCs/>
                <w:color w:val="0000FF"/>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实施方案</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按照采购文件采购需求内容要求，考察投标文件是否具有完整详细的项目实施方案：</w:t>
            </w:r>
          </w:p>
          <w:p>
            <w:pPr>
              <w:rPr>
                <w:rFonts w:ascii="宋体" w:hAnsi="宋体" w:cs="宋体"/>
                <w:szCs w:val="21"/>
              </w:rPr>
            </w:pPr>
            <w:r>
              <w:rPr>
                <w:rFonts w:hint="eastAsia" w:ascii="宋体" w:hAnsi="宋体" w:cs="宋体"/>
                <w:szCs w:val="21"/>
              </w:rPr>
              <w:t>（1）根据项目的整体需求和实际情况，提供工作计划、人员安排；</w:t>
            </w:r>
          </w:p>
          <w:p>
            <w:pPr>
              <w:widowControl/>
              <w:jc w:val="left"/>
            </w:pPr>
            <w:r>
              <w:rPr>
                <w:rFonts w:hint="eastAsia" w:ascii="宋体" w:hAnsi="宋体" w:cs="宋体"/>
                <w:szCs w:val="21"/>
              </w:rPr>
              <w:t>（2）根据项目的整体需求和实际情况，提供</w:t>
            </w:r>
            <w:r>
              <w:rPr>
                <w:rFonts w:ascii="瀹嬩綋" w:hAnsi="瀹嬩綋" w:eastAsia="瀹嬩綋" w:cs="瀹嬩綋"/>
                <w:color w:val="000000"/>
                <w:kern w:val="0"/>
                <w:szCs w:val="21"/>
                <w:lang w:bidi="ar"/>
              </w:rPr>
              <w:t xml:space="preserve">工 </w:t>
            </w:r>
          </w:p>
          <w:p>
            <w:pPr>
              <w:widowControl/>
              <w:jc w:val="left"/>
              <w:rPr>
                <w:rFonts w:ascii="宋体" w:hAnsi="宋体" w:cs="宋体"/>
                <w:szCs w:val="21"/>
              </w:rPr>
            </w:pPr>
            <w:r>
              <w:rPr>
                <w:rFonts w:ascii="瀹嬩綋" w:hAnsi="瀹嬩綋" w:eastAsia="瀹嬩綋" w:cs="瀹嬩綋"/>
                <w:color w:val="000000"/>
                <w:kern w:val="0"/>
                <w:szCs w:val="21"/>
                <w:lang w:bidi="ar"/>
              </w:rPr>
              <w:t>作措施、工作方法、工作流程</w:t>
            </w:r>
            <w:r>
              <w:rPr>
                <w:rFonts w:hint="eastAsia" w:ascii="宋体" w:hAnsi="宋体" w:cs="宋体"/>
                <w:szCs w:val="21"/>
              </w:rPr>
              <w:t>；</w:t>
            </w:r>
          </w:p>
          <w:p>
            <w:pPr>
              <w:rPr>
                <w:rFonts w:ascii="宋体" w:hAnsi="宋体" w:cs="宋体"/>
                <w:szCs w:val="21"/>
              </w:rPr>
            </w:pPr>
            <w:r>
              <w:rPr>
                <w:rFonts w:hint="eastAsia" w:ascii="宋体" w:hAnsi="宋体" w:cs="宋体"/>
                <w:szCs w:val="21"/>
              </w:rPr>
              <w:t>（3）</w:t>
            </w:r>
            <w:r>
              <w:rPr>
                <w:rFonts w:ascii="宋体" w:hAnsi="宋体" w:cs="宋体"/>
                <w:szCs w:val="21"/>
              </w:rPr>
              <w:t xml:space="preserve">根据项目的整体需求和实际情况，提供管 </w:t>
            </w:r>
          </w:p>
          <w:p>
            <w:pPr>
              <w:rPr>
                <w:rFonts w:ascii="宋体" w:hAnsi="宋体" w:cs="宋体"/>
                <w:szCs w:val="21"/>
              </w:rPr>
            </w:pPr>
            <w:r>
              <w:rPr>
                <w:rFonts w:ascii="宋体" w:hAnsi="宋体" w:cs="宋体"/>
                <w:szCs w:val="21"/>
              </w:rPr>
              <w:t>理和评估方法；</w:t>
            </w:r>
          </w:p>
          <w:p>
            <w:pPr>
              <w:rPr>
                <w:rFonts w:ascii="宋体" w:hAnsi="宋体" w:cs="宋体"/>
                <w:szCs w:val="21"/>
              </w:rPr>
            </w:pPr>
            <w:r>
              <w:rPr>
                <w:rFonts w:hint="eastAsia" w:ascii="宋体" w:hAnsi="宋体" w:cs="宋体"/>
                <w:szCs w:val="21"/>
              </w:rPr>
              <w:t>（二）评分标准</w:t>
            </w:r>
          </w:p>
          <w:p>
            <w:pPr>
              <w:rPr>
                <w:rFonts w:ascii="宋体" w:hAnsi="宋体" w:cs="宋体"/>
                <w:szCs w:val="21"/>
              </w:rPr>
            </w:pPr>
            <w:r>
              <w:rPr>
                <w:rFonts w:hint="eastAsia" w:ascii="宋体" w:hAnsi="宋体" w:cs="宋体"/>
                <w:szCs w:val="21"/>
              </w:rPr>
              <w:t xml:space="preserve">提供以上3点内容得70分，提供以上2点内容得40分，提供以上1点内容得20分，其它情况不得分。 </w:t>
            </w:r>
          </w:p>
          <w:p>
            <w:pPr>
              <w:rPr>
                <w:rFonts w:ascii="宋体" w:hAnsi="宋体" w:cs="宋体"/>
                <w:szCs w:val="21"/>
              </w:rPr>
            </w:pPr>
            <w:r>
              <w:rPr>
                <w:rFonts w:hint="eastAsia" w:ascii="宋体" w:hAnsi="宋体" w:cs="宋体"/>
                <w:szCs w:val="21"/>
              </w:rPr>
              <w:t>在此基础上，专家根据内容的合理性进行评分:</w:t>
            </w:r>
          </w:p>
          <w:p>
            <w:pPr>
              <w:rPr>
                <w:rFonts w:ascii="宋体" w:hAnsi="宋体" w:cs="宋体"/>
                <w:szCs w:val="21"/>
              </w:rPr>
            </w:pPr>
            <w:r>
              <w:rPr>
                <w:rFonts w:hint="eastAsia" w:ascii="宋体" w:hAnsi="宋体" w:cs="宋体"/>
                <w:szCs w:val="21"/>
              </w:rPr>
              <w:t xml:space="preserve">优评分标准: 实施方案 （工作计划、人员安排、工作措施、工作方法、工作流程、管理和评估方法）符合实际、完整、规范、思路清晰，内容合理性强。 </w:t>
            </w:r>
          </w:p>
          <w:p>
            <w:pPr>
              <w:rPr>
                <w:rFonts w:ascii="宋体" w:hAnsi="宋体" w:cs="宋体"/>
                <w:szCs w:val="21"/>
              </w:rPr>
            </w:pPr>
            <w:r>
              <w:rPr>
                <w:rFonts w:hint="eastAsia" w:ascii="宋体" w:hAnsi="宋体" w:cs="宋体"/>
                <w:szCs w:val="21"/>
              </w:rPr>
              <w:t xml:space="preserve">良评分标准: 实施方案 （（工作计划、人员安排、工作措施、工作方法、工作流程、管理和评估方法较符合实际、较完整规范、思路较清晰，内容合理性较强。 </w:t>
            </w:r>
          </w:p>
          <w:p>
            <w:pPr>
              <w:rPr>
                <w:rFonts w:ascii="宋体" w:hAnsi="宋体" w:cs="宋体"/>
                <w:szCs w:val="21"/>
              </w:rPr>
            </w:pPr>
            <w:r>
              <w:rPr>
                <w:rFonts w:hint="eastAsia" w:ascii="宋体" w:hAnsi="宋体" w:cs="宋体"/>
                <w:szCs w:val="21"/>
              </w:rPr>
              <w:t>中评分标准：实施方案 （（工作计划、人员安排、工作措施、工作方法、工作流程、管理和评估方法较普通、完整性、规范性</w:t>
            </w:r>
            <w:r>
              <w:rPr>
                <w:rFonts w:hint="eastAsia" w:ascii="宋体" w:hAnsi="宋体" w:cs="宋体"/>
                <w:color w:val="000000"/>
                <w:szCs w:val="21"/>
              </w:rPr>
              <w:t>一</w:t>
            </w:r>
            <w:r>
              <w:rPr>
                <w:rFonts w:hint="eastAsia" w:ascii="宋体" w:hAnsi="宋体" w:cs="宋体"/>
                <w:szCs w:val="21"/>
              </w:rPr>
              <w:t>般，思路不够清晰，内容合理性</w:t>
            </w:r>
            <w:r>
              <w:rPr>
                <w:rFonts w:hint="eastAsia" w:ascii="宋体" w:hAnsi="宋体" w:cs="宋体"/>
                <w:color w:val="000000"/>
                <w:szCs w:val="21"/>
              </w:rPr>
              <w:t>一</w:t>
            </w:r>
            <w:r>
              <w:rPr>
                <w:rFonts w:hint="eastAsia" w:ascii="宋体" w:hAnsi="宋体" w:cs="宋体"/>
                <w:szCs w:val="21"/>
              </w:rPr>
              <w:t xml:space="preserve">般。 </w:t>
            </w:r>
          </w:p>
          <w:p>
            <w:pPr>
              <w:rPr>
                <w:rFonts w:ascii="宋体" w:hAnsi="宋体" w:cs="宋体"/>
                <w:szCs w:val="21"/>
              </w:rPr>
            </w:pPr>
            <w:r>
              <w:rPr>
                <w:rFonts w:hint="eastAsia" w:ascii="宋体" w:hAnsi="宋体" w:cs="宋体"/>
                <w:szCs w:val="21"/>
              </w:rPr>
              <w:t xml:space="preserve">差评分标准: 实施方案 （工作计划、人员安排、工作措施、工作方法、工作流程、管理和评估方法不完整、不规范，思路不清晰，内容合理性较差或末提供。 </w:t>
            </w:r>
          </w:p>
          <w:p>
            <w:pPr>
              <w:rPr>
                <w:rFonts w:ascii="宋体" w:hAnsi="宋体" w:cs="宋体"/>
                <w:szCs w:val="21"/>
              </w:rPr>
            </w:pPr>
            <w:r>
              <w:rPr>
                <w:rFonts w:hint="eastAsia" w:ascii="宋体" w:hAnsi="宋体" w:cs="宋体"/>
                <w:szCs w:val="21"/>
              </w:rPr>
              <w:t>评价为优得30分；评价为良得20分；评价为中得10分；评价为差不得分。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项目重点难点分析、应对措施及相关的合理化建议</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1.项目的重点难点分析；</w:t>
            </w:r>
          </w:p>
          <w:p>
            <w:pPr>
              <w:rPr>
                <w:rFonts w:ascii="宋体" w:hAnsi="宋体" w:cs="宋体"/>
                <w:szCs w:val="21"/>
              </w:rPr>
            </w:pPr>
            <w:r>
              <w:rPr>
                <w:rFonts w:hint="eastAsia" w:ascii="宋体" w:hAnsi="宋体" w:cs="宋体"/>
                <w:szCs w:val="21"/>
              </w:rPr>
              <w:t>2.项目的应对措施及相关的建议；</w:t>
            </w:r>
          </w:p>
          <w:p>
            <w:pPr>
              <w:rPr>
                <w:rFonts w:ascii="宋体" w:hAnsi="宋体" w:cs="宋体"/>
                <w:szCs w:val="21"/>
              </w:rPr>
            </w:pPr>
            <w:r>
              <w:rPr>
                <w:rFonts w:hint="eastAsia" w:ascii="宋体" w:hAnsi="宋体" w:cs="宋体"/>
                <w:szCs w:val="21"/>
              </w:rPr>
              <w:t>3.项目的突发事件应急预案。</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质量保障措施</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4</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1.质量保障措施及方案；</w:t>
            </w:r>
          </w:p>
          <w:p>
            <w:pPr>
              <w:rPr>
                <w:rFonts w:ascii="宋体" w:hAnsi="宋体" w:cs="宋体"/>
                <w:szCs w:val="21"/>
              </w:rPr>
            </w:pPr>
            <w:r>
              <w:rPr>
                <w:rFonts w:hint="eastAsia" w:ascii="宋体" w:hAnsi="宋体" w:cs="宋体"/>
                <w:szCs w:val="21"/>
              </w:rPr>
              <w:t>2. 完成时间保障措施；</w:t>
            </w:r>
          </w:p>
          <w:p>
            <w:pPr>
              <w:rPr>
                <w:rFonts w:ascii="宋体" w:hAnsi="宋体" w:cs="宋体"/>
                <w:szCs w:val="21"/>
              </w:rPr>
            </w:pPr>
            <w:r>
              <w:rPr>
                <w:rFonts w:hint="eastAsia" w:ascii="宋体" w:hAnsi="宋体" w:cs="宋体"/>
                <w:szCs w:val="21"/>
              </w:rPr>
              <w:t>3.</w:t>
            </w:r>
            <w:r>
              <w:rPr>
                <w:rFonts w:hint="eastAsia" w:ascii="宋体" w:hAnsi="宋体"/>
                <w:szCs w:val="21"/>
              </w:rPr>
              <w:t xml:space="preserve"> 资料归档保障</w:t>
            </w:r>
            <w:r>
              <w:rPr>
                <w:rFonts w:hint="eastAsia" w:ascii="宋体" w:hAnsi="宋体" w:cs="宋体"/>
                <w:szCs w:val="21"/>
              </w:rPr>
              <w:t>。</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4</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拟安排的项目负责人（仅限1</w:t>
            </w:r>
            <w:r>
              <w:rPr>
                <w:rStyle w:val="155"/>
                <w:rFonts w:hint="eastAsia" w:ascii="宋体" w:hAnsi="宋体" w:cs="宋体"/>
                <w:color w:val="000000"/>
                <w:szCs w:val="21"/>
              </w:rPr>
              <w:t>人）情况</w:t>
            </w:r>
          </w:p>
        </w:tc>
        <w:tc>
          <w:tcPr>
            <w:tcW w:w="1134" w:type="dxa"/>
            <w:vAlign w:val="center"/>
          </w:tcPr>
          <w:p>
            <w:pPr>
              <w:jc w:val="center"/>
              <w:textAlignment w:val="top"/>
              <w:rPr>
                <w:rFonts w:ascii="宋体" w:hAnsi="宋体" w:cs="宋体"/>
                <w:szCs w:val="21"/>
                <w:highlight w:val="none"/>
              </w:rPr>
            </w:pPr>
            <w:r>
              <w:rPr>
                <w:rFonts w:hint="eastAsia" w:ascii="宋体" w:hAnsi="宋体" w:cs="宋体"/>
                <w:szCs w:val="21"/>
                <w:highlight w:val="none"/>
              </w:rPr>
              <w:t>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rPr>
                <w:rFonts w:ascii="宋体" w:hAnsi="宋体" w:cs="宋体"/>
                <w:szCs w:val="21"/>
                <w:highlight w:val="none"/>
              </w:rPr>
            </w:pPr>
            <w:r>
              <w:rPr>
                <w:rFonts w:hint="eastAsia" w:ascii="宋体" w:hAnsi="宋体" w:cs="宋体"/>
                <w:szCs w:val="21"/>
                <w:highlight w:val="none"/>
              </w:rPr>
              <w:t>具有</w:t>
            </w:r>
            <w:r>
              <w:rPr>
                <w:rFonts w:hint="eastAsia"/>
                <w:highlight w:val="none"/>
              </w:rPr>
              <w:t>副</w:t>
            </w:r>
            <w:r>
              <w:rPr>
                <w:rFonts w:hint="eastAsia" w:ascii="宋体" w:hAnsi="宋体" w:cs="宋体"/>
                <w:szCs w:val="21"/>
                <w:highlight w:val="none"/>
              </w:rPr>
              <w:t>高级或以上工程师（建筑设计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w:t>
            </w:r>
            <w:r>
              <w:rPr>
                <w:rFonts w:ascii="宋体" w:hAnsi="宋体" w:cs="宋体"/>
                <w:szCs w:val="21"/>
                <w:highlight w:val="none"/>
              </w:rPr>
              <w:t>100</w:t>
            </w:r>
            <w:r>
              <w:rPr>
                <w:rFonts w:hint="eastAsia" w:ascii="宋体" w:hAnsi="宋体" w:cs="宋体"/>
                <w:szCs w:val="21"/>
                <w:highlight w:val="none"/>
              </w:rPr>
              <w:t>分； 具有中级工程师（建筑设计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专业），得50分；本项满分为100分。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5"/>
                <w:rFonts w:hint="default" w:ascii="宋体" w:hAnsi="宋体" w:eastAsia="宋体" w:cs="宋体"/>
                <w:szCs w:val="21"/>
                <w:highlight w:val="none"/>
                <w:lang w:val="en-US" w:eastAsia="zh-CN"/>
              </w:rPr>
            </w:pPr>
            <w:r>
              <w:rPr>
                <w:rFonts w:hint="eastAsia" w:ascii="宋体" w:hAnsi="宋体" w:cs="宋体"/>
                <w:szCs w:val="21"/>
                <w:highlight w:val="none"/>
              </w:rPr>
              <w:t>1、提供职称证书</w:t>
            </w:r>
            <w:r>
              <w:rPr>
                <w:rStyle w:val="155"/>
                <w:rFonts w:hint="eastAsia" w:ascii="宋体" w:hAnsi="宋体" w:cs="宋体"/>
                <w:szCs w:val="21"/>
                <w:highlight w:val="none"/>
              </w:rPr>
              <w:t>（职称证无法证明其专业的还需提供毕业证）</w:t>
            </w:r>
            <w:r>
              <w:rPr>
                <w:rFonts w:hint="eastAsia" w:ascii="宋体" w:hAnsi="宋体" w:cs="宋体"/>
                <w:szCs w:val="21"/>
                <w:highlight w:val="none"/>
              </w:rPr>
              <w:t>扫描件作为得分依据。</w:t>
            </w:r>
            <w:r>
              <w:rPr>
                <w:rStyle w:val="155"/>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rPr>
                <w:highlight w:val="none"/>
              </w:rPr>
            </w:pPr>
            <w:r>
              <w:rPr>
                <w:rFonts w:ascii="宋体" w:hAnsi="宋体" w:cs="宋体"/>
                <w:szCs w:val="21"/>
                <w:highlight w:val="none"/>
              </w:rPr>
              <w:t>2</w:t>
            </w:r>
            <w:r>
              <w:rPr>
                <w:rFonts w:hint="eastAsia" w:ascii="宋体" w:hAnsi="宋体" w:cs="宋体"/>
                <w:szCs w:val="21"/>
                <w:highlight w:val="none"/>
              </w:rPr>
              <w:t>、通过投标人近三个月（含开标当月）的任意一个月社保证明作为本单位员工的证明依据，如供应商成立不足一个月或员工入职不足一个月的，提供情况说明函（格式自拟），无需提供相关人员社保，亦可得分。</w:t>
            </w:r>
          </w:p>
          <w:p>
            <w:pP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拟安排的项目团队主要成员（项目负责人除外）情况</w:t>
            </w:r>
          </w:p>
        </w:tc>
        <w:tc>
          <w:tcPr>
            <w:tcW w:w="1134" w:type="dxa"/>
            <w:vAlign w:val="center"/>
          </w:tcPr>
          <w:p>
            <w:pPr>
              <w:jc w:val="center"/>
              <w:textAlignment w:val="top"/>
              <w:rPr>
                <w:rFonts w:ascii="宋体" w:hAnsi="宋体" w:cs="宋体"/>
                <w:szCs w:val="21"/>
                <w:highlight w:val="none"/>
              </w:rPr>
            </w:pPr>
            <w:r>
              <w:rPr>
                <w:rFonts w:ascii="宋体" w:hAnsi="宋体" w:cs="宋体"/>
                <w:szCs w:val="21"/>
                <w:highlight w:val="none"/>
              </w:rPr>
              <w:t>15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widowControl/>
              <w:jc w:val="left"/>
              <w:textAlignment w:val="top"/>
              <w:rPr>
                <w:rStyle w:val="155"/>
                <w:rFonts w:ascii="宋体" w:hAnsi="宋体" w:cs="宋体"/>
                <w:szCs w:val="21"/>
                <w:highlight w:val="none"/>
              </w:rPr>
            </w:pPr>
            <w:r>
              <w:rPr>
                <w:rFonts w:hint="eastAsia" w:ascii="宋体" w:hAnsi="宋体" w:cs="宋体"/>
                <w:szCs w:val="21"/>
                <w:highlight w:val="none"/>
              </w:rPr>
              <w:t>1、每满足1人具备</w:t>
            </w:r>
            <w:r>
              <w:rPr>
                <w:rStyle w:val="155"/>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Fonts w:hint="eastAsia"/>
                <w:highlight w:val="none"/>
              </w:rPr>
              <w:t>副</w:t>
            </w:r>
            <w:r>
              <w:rPr>
                <w:rStyle w:val="155"/>
                <w:rFonts w:hint="eastAsia" w:ascii="宋体" w:hAnsi="宋体" w:cs="宋体"/>
                <w:szCs w:val="21"/>
                <w:highlight w:val="none"/>
              </w:rPr>
              <w:t>高级</w:t>
            </w:r>
            <w:r>
              <w:rPr>
                <w:rFonts w:hint="eastAsia" w:ascii="宋体" w:hAnsi="宋体" w:cs="宋体"/>
                <w:szCs w:val="21"/>
                <w:highlight w:val="none"/>
              </w:rPr>
              <w:t>或以上</w:t>
            </w:r>
            <w:r>
              <w:rPr>
                <w:rStyle w:val="155"/>
                <w:rFonts w:hint="eastAsia" w:ascii="宋体" w:hAnsi="宋体" w:cs="宋体"/>
                <w:szCs w:val="21"/>
                <w:highlight w:val="none"/>
              </w:rPr>
              <w:t>工程师职称的</w:t>
            </w:r>
            <w:r>
              <w:rPr>
                <w:rFonts w:hint="eastAsia" w:ascii="宋体" w:hAnsi="宋体" w:cs="宋体"/>
                <w:szCs w:val="21"/>
                <w:highlight w:val="none"/>
              </w:rPr>
              <w:t>得20分，每满足1人具备</w:t>
            </w:r>
            <w:r>
              <w:rPr>
                <w:rStyle w:val="155"/>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Style w:val="155"/>
                <w:rFonts w:hint="eastAsia" w:ascii="宋体" w:hAnsi="宋体" w:cs="宋体"/>
                <w:szCs w:val="21"/>
                <w:highlight w:val="none"/>
              </w:rPr>
              <w:t>中级工程师职称的</w:t>
            </w:r>
            <w:r>
              <w:rPr>
                <w:rFonts w:hint="eastAsia" w:ascii="宋体" w:hAnsi="宋体" w:cs="宋体"/>
                <w:szCs w:val="21"/>
                <w:highlight w:val="none"/>
              </w:rPr>
              <w:t>得10分，满分40分；</w:t>
            </w:r>
          </w:p>
          <w:p>
            <w:pPr>
              <w:widowControl/>
              <w:jc w:val="left"/>
              <w:textAlignment w:val="top"/>
              <w:rPr>
                <w:rFonts w:ascii="宋体" w:hAnsi="宋体" w:cs="宋体"/>
                <w:szCs w:val="21"/>
                <w:highlight w:val="none"/>
              </w:rPr>
            </w:pPr>
            <w:r>
              <w:rPr>
                <w:rStyle w:val="155"/>
                <w:rFonts w:hint="eastAsia" w:ascii="宋体" w:hAnsi="宋体" w:cs="宋体"/>
                <w:szCs w:val="21"/>
                <w:highlight w:val="none"/>
              </w:rPr>
              <w:t>2、具备电气或建筑电气类、暖通</w:t>
            </w:r>
            <w:r>
              <w:rPr>
                <w:rFonts w:hint="eastAsia" w:ascii="宋体" w:hAnsi="宋体" w:cs="宋体"/>
                <w:szCs w:val="21"/>
                <w:highlight w:val="none"/>
              </w:rPr>
              <w:t>或供热通风与空调类专业</w:t>
            </w:r>
            <w:r>
              <w:rPr>
                <w:rStyle w:val="155"/>
                <w:rFonts w:hint="eastAsia" w:ascii="宋体" w:hAnsi="宋体" w:cs="宋体"/>
                <w:szCs w:val="21"/>
                <w:highlight w:val="none"/>
              </w:rPr>
              <w:t>、给排水或给水排水设计类专业各1人，</w:t>
            </w:r>
            <w:r>
              <w:rPr>
                <w:rFonts w:hint="eastAsia"/>
                <w:highlight w:val="none"/>
              </w:rPr>
              <w:t>副</w:t>
            </w:r>
            <w:r>
              <w:rPr>
                <w:rStyle w:val="155"/>
                <w:rFonts w:hint="eastAsia" w:ascii="宋体" w:hAnsi="宋体" w:cs="宋体"/>
                <w:szCs w:val="21"/>
                <w:highlight w:val="none"/>
              </w:rPr>
              <w:t>高级</w:t>
            </w:r>
            <w:r>
              <w:rPr>
                <w:rFonts w:hint="eastAsia" w:ascii="宋体" w:hAnsi="宋体" w:cs="宋体"/>
                <w:szCs w:val="21"/>
                <w:highlight w:val="none"/>
              </w:rPr>
              <w:t>或以上</w:t>
            </w:r>
            <w:r>
              <w:rPr>
                <w:rStyle w:val="155"/>
                <w:rFonts w:hint="eastAsia" w:ascii="宋体" w:hAnsi="宋体" w:cs="宋体"/>
                <w:szCs w:val="21"/>
                <w:highlight w:val="none"/>
              </w:rPr>
              <w:t>工程师职称每提供一人得</w:t>
            </w:r>
            <w:r>
              <w:rPr>
                <w:rFonts w:hint="eastAsia" w:ascii="宋体" w:hAnsi="宋体" w:cs="宋体"/>
                <w:szCs w:val="21"/>
                <w:highlight w:val="none"/>
              </w:rPr>
              <w:t xml:space="preserve"> 20</w:t>
            </w:r>
            <w:r>
              <w:rPr>
                <w:rStyle w:val="155"/>
                <w:rFonts w:hint="eastAsia" w:ascii="宋体" w:hAnsi="宋体" w:cs="宋体"/>
                <w:szCs w:val="21"/>
                <w:highlight w:val="none"/>
              </w:rPr>
              <w:t>分，中级工程师职称每提供一人得10分，满分</w:t>
            </w:r>
            <w:r>
              <w:rPr>
                <w:rFonts w:hint="eastAsia" w:ascii="宋体" w:hAnsi="宋体" w:cs="宋体"/>
                <w:szCs w:val="21"/>
                <w:highlight w:val="none"/>
              </w:rPr>
              <w:t xml:space="preserve">60 </w:t>
            </w:r>
            <w:r>
              <w:rPr>
                <w:rStyle w:val="155"/>
                <w:rFonts w:hint="eastAsia" w:ascii="宋体" w:hAnsi="宋体" w:cs="宋体"/>
                <w:szCs w:val="21"/>
                <w:highlight w:val="none"/>
              </w:rPr>
              <w:t>分；</w:t>
            </w:r>
            <w:r>
              <w:rPr>
                <w:rFonts w:hint="eastAsia" w:ascii="宋体" w:hAnsi="宋体" w:cs="宋体"/>
                <w:szCs w:val="21"/>
                <w:highlight w:val="none"/>
              </w:rPr>
              <w:t xml:space="preserve"> </w:t>
            </w:r>
          </w:p>
          <w:p>
            <w:pPr>
              <w:rPr>
                <w:rFonts w:ascii="宋体" w:hAnsi="宋体" w:cs="宋体"/>
                <w:szCs w:val="21"/>
                <w:highlight w:val="none"/>
              </w:rPr>
            </w:pPr>
            <w:r>
              <w:rPr>
                <w:rStyle w:val="155"/>
                <w:rFonts w:hint="eastAsia" w:ascii="宋体" w:hAnsi="宋体" w:cs="宋体"/>
                <w:szCs w:val="21"/>
                <w:highlight w:val="none"/>
              </w:rPr>
              <w:t>本项满分为</w:t>
            </w:r>
            <w:r>
              <w:rPr>
                <w:rFonts w:hint="eastAsia" w:ascii="宋体" w:hAnsi="宋体" w:cs="宋体"/>
                <w:szCs w:val="21"/>
                <w:highlight w:val="none"/>
              </w:rPr>
              <w:t>100</w:t>
            </w:r>
            <w:r>
              <w:rPr>
                <w:rStyle w:val="155"/>
                <w:rFonts w:hint="eastAsia" w:ascii="宋体" w:hAnsi="宋体" w:cs="宋体"/>
                <w:szCs w:val="21"/>
                <w:highlight w:val="none"/>
              </w:rPr>
              <w:t>分，同一人员</w:t>
            </w:r>
            <w:r>
              <w:rPr>
                <w:rFonts w:hint="eastAsia"/>
                <w:highlight w:val="none"/>
              </w:rPr>
              <w:t>同时具有两项或以上证书的</w:t>
            </w:r>
            <w:r>
              <w:rPr>
                <w:rStyle w:val="155"/>
                <w:rFonts w:hint="eastAsia" w:ascii="宋体" w:hAnsi="宋体" w:cs="宋体"/>
                <w:szCs w:val="21"/>
                <w:highlight w:val="none"/>
              </w:rPr>
              <w:t>不可重复得分。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5"/>
                <w:rFonts w:hint="default" w:ascii="宋体" w:hAnsi="宋体" w:eastAsia="宋体" w:cs="宋体"/>
                <w:szCs w:val="21"/>
                <w:highlight w:val="none"/>
                <w:lang w:val="en-US" w:eastAsia="zh-CN"/>
              </w:rPr>
            </w:pPr>
            <w:r>
              <w:rPr>
                <w:rStyle w:val="155"/>
                <w:rFonts w:hint="eastAsia" w:ascii="宋体" w:hAnsi="宋体" w:cs="宋体"/>
                <w:szCs w:val="21"/>
                <w:highlight w:val="none"/>
              </w:rPr>
              <w:t>1、要求提供职称证（职称证无法证明其专业的还需提供毕业证）</w:t>
            </w:r>
            <w:r>
              <w:rPr>
                <w:rFonts w:hint="eastAsia" w:ascii="宋体" w:hAnsi="宋体" w:cs="宋体"/>
                <w:szCs w:val="21"/>
                <w:highlight w:val="none"/>
              </w:rPr>
              <w:t>证书</w:t>
            </w:r>
            <w:r>
              <w:rPr>
                <w:rStyle w:val="155"/>
                <w:rFonts w:hint="eastAsia" w:ascii="宋体" w:hAnsi="宋体" w:cs="宋体"/>
                <w:szCs w:val="21"/>
                <w:highlight w:val="none"/>
              </w:rPr>
              <w:t>扫描件。</w:t>
            </w:r>
            <w:r>
              <w:rPr>
                <w:rStyle w:val="155"/>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textAlignment w:val="top"/>
              <w:rPr>
                <w:rFonts w:ascii="宋体" w:hAnsi="宋体" w:cs="宋体"/>
                <w:szCs w:val="21"/>
                <w:highlight w:val="none"/>
              </w:rPr>
            </w:pPr>
            <w:r>
              <w:rPr>
                <w:rStyle w:val="155"/>
                <w:rFonts w:hint="eastAsia" w:ascii="宋体" w:hAnsi="宋体" w:cs="宋体"/>
                <w:szCs w:val="21"/>
                <w:highlight w:val="none"/>
              </w:rPr>
              <w:t>2、</w:t>
            </w:r>
            <w:r>
              <w:rPr>
                <w:rFonts w:hint="eastAsia" w:ascii="宋体" w:hAnsi="宋体" w:cs="宋体"/>
                <w:szCs w:val="21"/>
                <w:highlight w:val="none"/>
              </w:rPr>
              <w:t>通过投标人缴纳的近三个月（含开标当月）的任意一个月社保证明作为本单位员工的证明依据，如供应商成立不足一个月或员工入职不足一个月的，提供情况说明函（格式自拟），无需提供相关人员社保，亦可得分。</w:t>
            </w:r>
          </w:p>
          <w:p>
            <w:pPr>
              <w:widowControl/>
              <w:jc w:val="left"/>
              <w:textAlignment w:val="top"/>
              <w:rPr>
                <w:rFonts w:ascii="宋体" w:hAnsi="宋体" w:cs="宋体"/>
                <w:szCs w:val="21"/>
                <w:highlight w:val="none"/>
              </w:rPr>
            </w:pPr>
            <w:r>
              <w:rPr>
                <w:rFonts w:hint="eastAsia" w:ascii="宋体" w:hAnsi="宋体" w:cs="宋体"/>
                <w:szCs w:val="21"/>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3</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综合实力部分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2</w:t>
            </w:r>
            <w:r>
              <w:rPr>
                <w:rFonts w:ascii="宋体" w:hAnsi="宋体" w:cs="宋体"/>
                <w:b/>
                <w:bCs/>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投标人通过相关认证情况</w:t>
            </w:r>
          </w:p>
        </w:tc>
        <w:tc>
          <w:tcPr>
            <w:tcW w:w="1134" w:type="dxa"/>
            <w:vAlign w:val="center"/>
          </w:tcPr>
          <w:p>
            <w:pPr>
              <w:jc w:val="center"/>
              <w:textAlignment w:val="top"/>
              <w:rPr>
                <w:rFonts w:ascii="宋体" w:hAnsi="宋体" w:cs="宋体"/>
                <w:szCs w:val="21"/>
              </w:rPr>
            </w:pPr>
            <w:r>
              <w:rPr>
                <w:rFonts w:hint="eastAsia" w:ascii="宋体" w:hAnsi="宋体" w:cs="宋体"/>
                <w:szCs w:val="21"/>
              </w:rPr>
              <w:t>6</w:t>
            </w:r>
          </w:p>
        </w:tc>
        <w:tc>
          <w:tcPr>
            <w:tcW w:w="4824" w:type="dxa"/>
            <w:vAlign w:val="center"/>
          </w:tcPr>
          <w:p>
            <w:pPr>
              <w:rPr>
                <w:rFonts w:ascii="宋体" w:hAnsi="宋体" w:cs="宋体"/>
                <w:szCs w:val="21"/>
              </w:rPr>
            </w:pPr>
            <w:r>
              <w:rPr>
                <w:rFonts w:hint="eastAsia" w:ascii="宋体" w:hAnsi="宋体" w:cs="宋体"/>
                <w:szCs w:val="21"/>
              </w:rPr>
              <w:t>（一）评分内容：</w:t>
            </w:r>
          </w:p>
          <w:p>
            <w:pPr>
              <w:widowControl/>
              <w:jc w:val="left"/>
              <w:textAlignment w:val="top"/>
              <w:rPr>
                <w:rFonts w:ascii="宋体" w:hAnsi="宋体" w:cs="宋体"/>
                <w:szCs w:val="21"/>
              </w:rPr>
            </w:pPr>
            <w:r>
              <w:rPr>
                <w:rFonts w:hint="eastAsia" w:ascii="宋体" w:hAnsi="宋体" w:cs="宋体"/>
                <w:szCs w:val="21"/>
              </w:rPr>
              <w:t>1、具有质量管理体系认证；</w:t>
            </w:r>
          </w:p>
          <w:p>
            <w:pPr>
              <w:widowControl/>
              <w:jc w:val="left"/>
              <w:textAlignment w:val="top"/>
              <w:rPr>
                <w:rFonts w:ascii="宋体" w:hAnsi="宋体" w:cs="宋体"/>
                <w:szCs w:val="21"/>
              </w:rPr>
            </w:pPr>
            <w:r>
              <w:rPr>
                <w:rFonts w:hint="eastAsia" w:ascii="宋体" w:hAnsi="宋体" w:cs="宋体"/>
                <w:szCs w:val="21"/>
              </w:rPr>
              <w:t>2、具有环境管理体系认证；</w:t>
            </w:r>
          </w:p>
          <w:p>
            <w:pPr>
              <w:widowControl/>
              <w:jc w:val="left"/>
              <w:textAlignment w:val="top"/>
              <w:rPr>
                <w:rFonts w:ascii="宋体" w:hAnsi="宋体" w:cs="宋体"/>
                <w:szCs w:val="21"/>
              </w:rPr>
            </w:pPr>
            <w:r>
              <w:rPr>
                <w:rFonts w:hint="eastAsia" w:ascii="宋体" w:hAnsi="宋体" w:cs="宋体"/>
                <w:szCs w:val="21"/>
              </w:rPr>
              <w:t>3、具有职业健康安全管理体系。</w:t>
            </w:r>
          </w:p>
          <w:p>
            <w:pPr>
              <w:widowControl/>
              <w:jc w:val="left"/>
              <w:textAlignment w:val="top"/>
            </w:pPr>
            <w:r>
              <w:rPr>
                <w:rFonts w:hint="eastAsia" w:ascii="宋体" w:hAnsi="宋体" w:cs="宋体"/>
                <w:szCs w:val="21"/>
              </w:rPr>
              <w:t>每提供一项认证证书得35分，本项最高得100分。</w:t>
            </w:r>
          </w:p>
          <w:p>
            <w:pPr>
              <w:wordWrap w:val="0"/>
              <w:rPr>
                <w:rFonts w:ascii="宋体" w:hAnsi="宋体" w:cs="宋体"/>
                <w:szCs w:val="21"/>
              </w:rPr>
            </w:pPr>
            <w:r>
              <w:rPr>
                <w:rFonts w:hint="eastAsia" w:ascii="宋体" w:hAnsi="宋体" w:cs="宋体"/>
                <w:szCs w:val="21"/>
              </w:rPr>
              <w:t>（二）评分依据</w:t>
            </w:r>
          </w:p>
          <w:p>
            <w:pPr>
              <w:widowControl/>
              <w:wordWrap w:val="0"/>
              <w:jc w:val="left"/>
              <w:textAlignment w:val="top"/>
              <w:rPr>
                <w:rFonts w:ascii="宋体" w:hAnsi="宋体" w:cs="宋体"/>
                <w:szCs w:val="21"/>
              </w:rPr>
            </w:pPr>
            <w:r>
              <w:rPr>
                <w:rFonts w:hint="eastAsia" w:ascii="宋体" w:hAnsi="宋体" w:cs="宋体"/>
                <w:szCs w:val="21"/>
              </w:rPr>
              <w:t xml:space="preserve"> 要求提供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同类项目业绩情况</w:t>
            </w:r>
          </w:p>
        </w:tc>
        <w:tc>
          <w:tcPr>
            <w:tcW w:w="1134" w:type="dxa"/>
            <w:vAlign w:val="center"/>
          </w:tcPr>
          <w:p>
            <w:pPr>
              <w:jc w:val="center"/>
              <w:textAlignment w:val="top"/>
              <w:rPr>
                <w:rFonts w:ascii="宋体" w:hAnsi="宋体" w:cs="宋体"/>
                <w:szCs w:val="21"/>
              </w:rPr>
            </w:pPr>
            <w:r>
              <w:rPr>
                <w:rFonts w:hint="eastAsia" w:ascii="宋体" w:hAnsi="宋体" w:cs="宋体"/>
                <w:szCs w:val="21"/>
              </w:rPr>
              <w:t>1</w:t>
            </w:r>
            <w:r>
              <w:rPr>
                <w:rFonts w:ascii="宋体" w:hAnsi="宋体" w:cs="宋体"/>
                <w:szCs w:val="21"/>
              </w:rPr>
              <w:t>0</w:t>
            </w:r>
          </w:p>
        </w:tc>
        <w:tc>
          <w:tcPr>
            <w:tcW w:w="4824" w:type="dxa"/>
            <w:vAlign w:val="center"/>
          </w:tcPr>
          <w:p>
            <w:pPr>
              <w:rPr>
                <w:rFonts w:ascii="宋体" w:hAnsi="宋体" w:cs="宋体"/>
                <w:szCs w:val="21"/>
              </w:rPr>
            </w:pPr>
            <w:r>
              <w:rPr>
                <w:rFonts w:hint="eastAsia" w:ascii="宋体" w:hAnsi="宋体" w:cs="宋体"/>
                <w:szCs w:val="21"/>
              </w:rPr>
              <w:t>（一）评分内容：</w:t>
            </w:r>
          </w:p>
          <w:p>
            <w:pPr>
              <w:wordWrap w:val="0"/>
              <w:rPr>
                <w:rFonts w:ascii="宋体" w:hAnsi="宋体" w:cs="宋体"/>
                <w:szCs w:val="21"/>
              </w:rPr>
            </w:pPr>
            <w:r>
              <w:rPr>
                <w:rFonts w:hint="eastAsia" w:ascii="宋体" w:hAnsi="宋体" w:cs="宋体"/>
                <w:szCs w:val="21"/>
              </w:rPr>
              <w:t>考察投标人自2021年3月1日至本项目投标截止日，以合同签订时间为准）内承担同类项目业绩情况（同类项目指消防设施检测类或消防安全评估</w:t>
            </w:r>
            <w:r>
              <w:rPr>
                <w:rStyle w:val="155"/>
                <w:rFonts w:hint="eastAsia" w:ascii="宋体" w:hAnsi="宋体" w:cs="宋体"/>
                <w:szCs w:val="21"/>
              </w:rPr>
              <w:t>类服务，文字描述不必完全一致，能够涵盖对应内容即可）：</w:t>
            </w:r>
            <w:r>
              <w:rPr>
                <w:rFonts w:hint="eastAsia" w:ascii="宋体" w:hAnsi="宋体" w:cs="宋体"/>
                <w:szCs w:val="21"/>
              </w:rPr>
              <w:br w:type="textWrapping"/>
            </w:r>
            <w:r>
              <w:rPr>
                <w:rFonts w:hint="eastAsia" w:ascii="宋体" w:hAnsi="宋体" w:cs="宋体"/>
                <w:szCs w:val="21"/>
              </w:rPr>
              <w:t>具有政府主管部门或事业单位采购的同类项目业绩，每提供1个得</w:t>
            </w:r>
            <w:r>
              <w:rPr>
                <w:rFonts w:ascii="宋体" w:hAnsi="宋体" w:cs="宋体"/>
                <w:szCs w:val="21"/>
              </w:rPr>
              <w:t>35</w:t>
            </w:r>
            <w:r>
              <w:rPr>
                <w:rFonts w:hint="eastAsia" w:ascii="宋体" w:hAnsi="宋体" w:cs="宋体"/>
                <w:szCs w:val="21"/>
              </w:rPr>
              <w:t>分；满分100分。</w:t>
            </w:r>
            <w:r>
              <w:rPr>
                <w:rFonts w:hint="eastAsia" w:ascii="宋体" w:hAnsi="宋体" w:cs="宋体"/>
                <w:szCs w:val="21"/>
              </w:rPr>
              <w:br w:type="textWrapping"/>
            </w:r>
            <w:r>
              <w:rPr>
                <w:rFonts w:hint="eastAsia" w:ascii="宋体" w:hAnsi="宋体" w:cs="宋体"/>
                <w:szCs w:val="21"/>
              </w:rPr>
              <w:t>（二）评分依据：</w:t>
            </w:r>
          </w:p>
          <w:p>
            <w:pPr>
              <w:spacing w:after="160" w:line="240" w:lineRule="exact"/>
              <w:jc w:val="left"/>
              <w:rPr>
                <w:rFonts w:ascii="宋体" w:hAnsi="宋体"/>
                <w:szCs w:val="21"/>
              </w:rPr>
            </w:pPr>
            <w:r>
              <w:rPr>
                <w:rFonts w:hint="eastAsia" w:ascii="宋体" w:hAnsi="宋体"/>
                <w:szCs w:val="21"/>
              </w:rPr>
              <w:t>1.要求同时提供合同关键信息（包含但不限于合同服务内容页、服务时间页、双方盖章页等）扫描件作为评审依据。</w:t>
            </w:r>
          </w:p>
          <w:p>
            <w:pPr>
              <w:textAlignment w:val="top"/>
              <w:rPr>
                <w:rFonts w:ascii="宋体" w:hAnsi="宋体" w:cs="宋体"/>
                <w:szCs w:val="21"/>
              </w:rPr>
            </w:pPr>
            <w:r>
              <w:rPr>
                <w:rFonts w:hint="eastAsia" w:ascii="宋体" w:hAnsi="宋体"/>
                <w:szCs w:val="21"/>
              </w:rPr>
              <w:t>2.以上资料均要求提供扫描件。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服务网点</w:t>
            </w:r>
          </w:p>
        </w:tc>
        <w:tc>
          <w:tcPr>
            <w:tcW w:w="1134" w:type="dxa"/>
            <w:vAlign w:val="center"/>
          </w:tcPr>
          <w:p>
            <w:pPr>
              <w:jc w:val="center"/>
              <w:textAlignment w:val="top"/>
              <w:rPr>
                <w:rFonts w:ascii="宋体" w:hAnsi="宋体" w:cs="宋体"/>
                <w:szCs w:val="21"/>
              </w:rPr>
            </w:pPr>
            <w:r>
              <w:rPr>
                <w:rFonts w:hint="eastAsia" w:ascii="宋体" w:hAnsi="宋体" w:cs="宋体"/>
                <w:szCs w:val="21"/>
              </w:rPr>
              <w:t>5</w:t>
            </w:r>
          </w:p>
        </w:tc>
        <w:tc>
          <w:tcPr>
            <w:tcW w:w="4824" w:type="dxa"/>
            <w:vAlign w:val="center"/>
          </w:tcPr>
          <w:p>
            <w:pPr>
              <w:rPr>
                <w:rFonts w:ascii="宋体" w:hAnsi="宋体" w:cs="宋体"/>
                <w:szCs w:val="21"/>
              </w:rPr>
            </w:pPr>
            <w:r>
              <w:rPr>
                <w:rFonts w:hint="eastAsia" w:ascii="宋体" w:hAnsi="宋体" w:cs="宋体"/>
                <w:szCs w:val="21"/>
              </w:rPr>
              <w:t>（一）评分内容：</w:t>
            </w:r>
          </w:p>
          <w:p>
            <w:pPr>
              <w:spacing w:after="160" w:line="240" w:lineRule="exact"/>
              <w:jc w:val="left"/>
              <w:rPr>
                <w:szCs w:val="21"/>
              </w:rPr>
            </w:pPr>
            <w:r>
              <w:rPr>
                <w:rFonts w:hint="eastAsia"/>
                <w:szCs w:val="21"/>
              </w:rPr>
              <w:t>供应商承诺中标后提供本地经营（服务）网点的，得100分。</w:t>
            </w:r>
          </w:p>
          <w:p>
            <w:pPr>
              <w:spacing w:after="160" w:line="240" w:lineRule="exact"/>
              <w:jc w:val="left"/>
              <w:rPr>
                <w:szCs w:val="21"/>
              </w:rPr>
            </w:pPr>
            <w:r>
              <w:rPr>
                <w:rFonts w:hint="eastAsia"/>
                <w:szCs w:val="21"/>
              </w:rPr>
              <w:t>（二）评分依据:</w:t>
            </w:r>
          </w:p>
          <w:p>
            <w:pPr>
              <w:pStyle w:val="18"/>
            </w:pPr>
            <w:r>
              <w:rPr>
                <w:rFonts w:hint="eastAsia" w:ascii="Times New Roman"/>
                <w:kern w:val="2"/>
                <w:sz w:val="21"/>
                <w:szCs w:val="21"/>
              </w:rPr>
              <w:t>要求提供承诺函（格式详见采购文件投标文件正文（信息公开部分）-服务网点-承诺函）作为得分依据，未按采购文件要求提供承诺函的不得分。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Cs w:val="21"/>
              </w:rPr>
            </w:pPr>
            <w:r>
              <w:rPr>
                <w:rFonts w:hint="eastAsia" w:ascii="宋体" w:hAnsi="宋体" w:cs="宋体"/>
                <w:b/>
                <w:bCs/>
                <w:color w:val="0000FF"/>
                <w:szCs w:val="21"/>
              </w:rPr>
              <w:t>4</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诚信情况</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wordWrap w:val="0"/>
              <w:jc w:val="center"/>
              <w:rPr>
                <w:rFonts w:ascii="宋体" w:hAnsi="宋体" w:cs="宋体"/>
                <w:szCs w:val="21"/>
              </w:rPr>
            </w:pPr>
            <w:r>
              <w:rPr>
                <w:rFonts w:hint="eastAsia" w:ascii="宋体" w:hAnsi="宋体" w:cs="宋体"/>
                <w:szCs w:val="21"/>
              </w:rPr>
              <w:t>诚信情况</w:t>
            </w:r>
          </w:p>
        </w:tc>
        <w:tc>
          <w:tcPr>
            <w:tcW w:w="1134" w:type="dxa"/>
            <w:vAlign w:val="center"/>
          </w:tcPr>
          <w:p>
            <w:pPr>
              <w:wordWrap w:val="0"/>
              <w:jc w:val="center"/>
              <w:rPr>
                <w:rFonts w:ascii="宋体" w:hAnsi="宋体" w:cs="宋体"/>
                <w:szCs w:val="21"/>
              </w:rPr>
            </w:pPr>
            <w:r>
              <w:rPr>
                <w:rFonts w:hint="eastAsia" w:ascii="宋体" w:hAnsi="宋体" w:cs="宋体"/>
                <w:szCs w:val="21"/>
              </w:rPr>
              <w:t>5</w:t>
            </w:r>
          </w:p>
        </w:tc>
        <w:tc>
          <w:tcPr>
            <w:tcW w:w="4824" w:type="dxa"/>
          </w:tcPr>
          <w:p>
            <w:pPr>
              <w:jc w:val="left"/>
              <w:rPr>
                <w:rFonts w:ascii="宋体" w:hAnsi="宋体" w:cs="宋体"/>
                <w:szCs w:val="21"/>
              </w:rPr>
            </w:pPr>
            <w:r>
              <w:rPr>
                <w:rFonts w:hint="eastAsia" w:ascii="宋体" w:hAnsi="宋体" w:cs="宋体"/>
                <w:szCs w:val="21"/>
              </w:rPr>
              <w:t>（一）评分内容：</w:t>
            </w:r>
          </w:p>
          <w:p>
            <w:pPr>
              <w:jc w:val="left"/>
              <w:rPr>
                <w:rFonts w:ascii="宋体" w:hAnsi="宋体" w:cs="宋体"/>
                <w:szCs w:val="21"/>
              </w:rPr>
            </w:pPr>
            <w:r>
              <w:rPr>
                <w:rFonts w:hint="eastAsia" w:ascii="宋体" w:hAnsi="宋体" w:cs="宋体"/>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ascii="宋体" w:hAnsi="宋体"/>
          <w:color w:val="FF0000"/>
          <w:sz w:val="20"/>
          <w:szCs w:val="20"/>
        </w:rPr>
      </w:pPr>
      <w:r>
        <w:rPr>
          <w:rFonts w:hint="eastAsia" w:ascii="宋体" w:hAnsi="宋体"/>
          <w:color w:val="FF0000"/>
          <w:sz w:val="20"/>
          <w:szCs w:val="20"/>
        </w:rPr>
        <w:t>本项目设计供应商：无</w:t>
      </w:r>
    </w:p>
    <w:p>
      <w:pPr>
        <w:ind w:firstLine="400" w:firstLineChars="200"/>
        <w:rPr>
          <w:rFonts w:ascii="宋体" w:hAnsi="宋体"/>
          <w:color w:val="FF0000"/>
          <w:sz w:val="20"/>
          <w:szCs w:val="20"/>
        </w:rPr>
      </w:pPr>
      <w:r>
        <w:rPr>
          <w:rFonts w:hint="eastAsia" w:ascii="宋体" w:hAnsi="宋体"/>
          <w:color w:val="FF0000"/>
          <w:sz w:val="20"/>
          <w:szCs w:val="20"/>
        </w:rPr>
        <w:t>本项目造价咨询供应商：无</w:t>
      </w:r>
    </w:p>
    <w:p>
      <w:pPr>
        <w:ind w:firstLine="400" w:firstLineChars="200"/>
        <w:rPr>
          <w:rFonts w:ascii="宋体" w:hAnsi="宋体"/>
          <w:color w:val="FF0000"/>
          <w:sz w:val="20"/>
          <w:szCs w:val="20"/>
        </w:rPr>
      </w:pPr>
      <w:r>
        <w:rPr>
          <w:rFonts w:hint="eastAsia" w:ascii="宋体" w:hAnsi="宋体"/>
          <w:color w:val="FF0000"/>
          <w:sz w:val="20"/>
          <w:szCs w:val="20"/>
        </w:rPr>
        <w:t>本项目监理供应商：无</w:t>
      </w:r>
    </w:p>
    <w:p>
      <w:pPr>
        <w:ind w:firstLine="400" w:firstLineChars="200"/>
      </w:pPr>
      <w:r>
        <w:rPr>
          <w:rFonts w:hint="eastAsia" w:ascii="宋体" w:hAnsi="宋体"/>
          <w:color w:val="FF0000"/>
          <w:sz w:val="20"/>
          <w:szCs w:val="20"/>
        </w:rPr>
        <w:t>本项目检测供应商：无</w:t>
      </w:r>
    </w:p>
    <w:bookmarkEnd w:id="1"/>
    <w:p>
      <w:pPr>
        <w:widowControl/>
        <w:jc w:val="left"/>
        <w:rPr>
          <w:rFonts w:ascii="宋体" w:hAnsi="宋体" w:eastAsia="黑体"/>
          <w:b/>
          <w:bCs/>
          <w:kern w:val="44"/>
          <w:sz w:val="28"/>
          <w:szCs w:val="44"/>
        </w:rPr>
      </w:pPr>
      <w:r>
        <w:br w:type="page"/>
      </w:r>
    </w:p>
    <w:p>
      <w:pPr>
        <w:pStyle w:val="4"/>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spacing w:before="0" w:after="0" w:line="240" w:lineRule="auto"/>
        <w:rPr>
          <w:sz w:val="24"/>
        </w:rPr>
      </w:pPr>
      <w:r>
        <w:br w:type="page"/>
      </w:r>
      <w:bookmarkStart w:id="3" w:name="bt投标函"/>
      <w:bookmarkEnd w:id="3"/>
      <w:bookmarkStart w:id="4" w:name="bt投标人情况介绍"/>
      <w:bookmarkEnd w:id="4"/>
      <w:bookmarkStart w:id="5" w:name="bt其他资料由投标人自定"/>
      <w:bookmarkEnd w:id="5"/>
      <w:bookmarkStart w:id="6" w:name="bt合同条款及格式"/>
      <w:bookmarkEnd w:id="6"/>
      <w:bookmarkStart w:id="7" w:name="bt本工程承诺书"/>
      <w:bookmarkEnd w:id="7"/>
      <w:bookmarkStart w:id="8" w:name="合同格式"/>
      <w:bookmarkEnd w:id="8"/>
      <w:bookmarkStart w:id="9" w:name="bt其他资料2"/>
      <w:bookmarkEnd w:id="9"/>
      <w:bookmarkStart w:id="10" w:name="bt投标人须知"/>
      <w:bookmarkEnd w:id="10"/>
      <w:bookmarkStart w:id="11" w:name="bt技术标投标文件格式"/>
      <w:bookmarkEnd w:id="11"/>
      <w:bookmarkStart w:id="12" w:name="bt合同条款"/>
      <w:bookmarkEnd w:id="12"/>
      <w:bookmarkStart w:id="13" w:name="bt投标报价汇总表"/>
      <w:bookmarkEnd w:id="13"/>
      <w:bookmarkStart w:id="14" w:name="bt开标一览表"/>
      <w:bookmarkEnd w:id="14"/>
      <w:bookmarkStart w:id="15" w:name="bt合同格式"/>
      <w:bookmarkEnd w:id="15"/>
      <w:bookmarkStart w:id="16" w:name="bt投标文件签署授权委托书"/>
      <w:bookmarkEnd w:id="16"/>
      <w:bookmarkStart w:id="17" w:name="bt项目管理班子配备情况"/>
      <w:bookmarkEnd w:id="17"/>
      <w:bookmarkStart w:id="18" w:name="bt商务标投标文件格式"/>
      <w:bookmarkEnd w:id="18"/>
      <w:bookmarkStart w:id="19" w:name="bt说明"/>
      <w:bookmarkEnd w:id="19"/>
      <w:r>
        <w:rPr>
          <w:rFonts w:hint="eastAsia"/>
        </w:rPr>
        <w:t>第一册专用条款</w:t>
      </w:r>
    </w:p>
    <w:p>
      <w:pPr>
        <w:pStyle w:val="7"/>
        <w:spacing w:before="0" w:after="0"/>
        <w:rPr>
          <w:sz w:val="28"/>
          <w:szCs w:val="28"/>
        </w:rPr>
      </w:pPr>
      <w:r>
        <w:rPr>
          <w:rFonts w:hint="eastAsia"/>
          <w:sz w:val="28"/>
          <w:szCs w:val="28"/>
        </w:rPr>
        <w:t>第一章  采购公告</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420" w:firstLineChars="200"/>
        <w:rPr>
          <w:rFonts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56" w:beforeLines="50" w:after="156" w:afterLines="50"/>
        <w:rPr>
          <w:sz w:val="28"/>
          <w:szCs w:val="28"/>
        </w:rPr>
      </w:pPr>
      <w:bookmarkStart w:id="21" w:name="_Toc60560625"/>
      <w:bookmarkStart w:id="22" w:name="_Toc73517639"/>
      <w:bookmarkStart w:id="23" w:name="_Toc73521635"/>
      <w:bookmarkStart w:id="24" w:name="_Toc73521547"/>
      <w:bookmarkStart w:id="25" w:name="_Toc100052364"/>
      <w:bookmarkStart w:id="26" w:name="_Toc73518117"/>
      <w:bookmarkStart w:id="27" w:name="_Toc60631620"/>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56" w:beforeLines="50" w:after="156"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15"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1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15" w:type="dxa"/>
          </w:tcPr>
          <w:p>
            <w:pPr>
              <w:jc w:val="center"/>
            </w:pPr>
            <w:r>
              <w:rPr>
                <w:rFonts w:hint="eastAsia"/>
              </w:rPr>
              <w:t>1</w:t>
            </w:r>
          </w:p>
        </w:tc>
      </w:tr>
    </w:tbl>
    <w:p>
      <w:pPr>
        <w:ind w:firstLine="422" w:firstLineChars="200"/>
        <w:rPr>
          <w:rFonts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szCs w:val="21"/>
          <w:u w:val="single"/>
        </w:rPr>
        <w:t>其他未列明行业</w:t>
      </w:r>
      <w:r>
        <w:rPr>
          <w:rFonts w:hint="eastAsia"/>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rPr>
          <w:sz w:val="32"/>
          <w:szCs w:val="40"/>
        </w:rPr>
      </w:pPr>
    </w:p>
    <w:p>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2"/>
      </w:pPr>
      <w:r>
        <w:rPr>
          <w:rFonts w:hint="eastAsia"/>
        </w:rPr>
        <w:br w:type="page"/>
      </w:r>
    </w:p>
    <w:p>
      <w:pPr>
        <w:pStyle w:val="7"/>
        <w:rPr>
          <w:sz w:val="28"/>
          <w:szCs w:val="28"/>
        </w:rPr>
      </w:pPr>
      <w:bookmarkStart w:id="34" w:name="_Toc128884461"/>
      <w:r>
        <w:rPr>
          <w:rFonts w:hint="eastAsia"/>
          <w:sz w:val="28"/>
          <w:szCs w:val="28"/>
        </w:rPr>
        <w:t>第三章 用户需求书</w:t>
      </w:r>
    </w:p>
    <w:p>
      <w:pPr>
        <w:pStyle w:val="7"/>
        <w:spacing w:before="156" w:beforeLines="50" w:after="156" w:afterLines="50"/>
        <w:rPr>
          <w:szCs w:val="24"/>
        </w:rPr>
      </w:pPr>
      <w:r>
        <w:rPr>
          <w:rFonts w:hint="eastAsia"/>
          <w:szCs w:val="24"/>
        </w:rPr>
        <w:t>一、项目基本信息</w:t>
      </w:r>
    </w:p>
    <w:tbl>
      <w:tblPr>
        <w:tblStyle w:val="42"/>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07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6" w:type="dxa"/>
            <w:vAlign w:val="center"/>
          </w:tcPr>
          <w:p>
            <w:pPr>
              <w:jc w:val="center"/>
              <w:rPr>
                <w:bCs/>
                <w:szCs w:val="21"/>
              </w:rPr>
            </w:pPr>
            <w:r>
              <w:rPr>
                <w:rFonts w:hint="eastAsia"/>
                <w:bCs/>
                <w:szCs w:val="21"/>
              </w:rPr>
              <w:t>序号</w:t>
            </w:r>
          </w:p>
        </w:tc>
        <w:tc>
          <w:tcPr>
            <w:tcW w:w="6072" w:type="dxa"/>
            <w:vAlign w:val="center"/>
          </w:tcPr>
          <w:p>
            <w:pPr>
              <w:jc w:val="center"/>
              <w:rPr>
                <w:bCs/>
                <w:szCs w:val="21"/>
              </w:rPr>
            </w:pPr>
            <w:r>
              <w:rPr>
                <w:rFonts w:hint="eastAsia"/>
                <w:bCs/>
                <w:szCs w:val="21"/>
              </w:rPr>
              <w:t>采购项目名称</w:t>
            </w:r>
          </w:p>
        </w:tc>
        <w:tc>
          <w:tcPr>
            <w:tcW w:w="1857"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6" w:type="dxa"/>
            <w:vAlign w:val="center"/>
          </w:tcPr>
          <w:p>
            <w:pPr>
              <w:jc w:val="center"/>
              <w:rPr>
                <w:bCs/>
                <w:color w:val="FF0000"/>
                <w:szCs w:val="21"/>
              </w:rPr>
            </w:pPr>
            <w:r>
              <w:rPr>
                <w:rFonts w:hint="eastAsia"/>
                <w:bCs/>
                <w:color w:val="FF0000"/>
                <w:szCs w:val="21"/>
              </w:rPr>
              <w:t>1</w:t>
            </w:r>
          </w:p>
        </w:tc>
        <w:tc>
          <w:tcPr>
            <w:tcW w:w="6072" w:type="dxa"/>
            <w:vAlign w:val="center"/>
          </w:tcPr>
          <w:p>
            <w:pPr>
              <w:jc w:val="center"/>
              <w:rPr>
                <w:b/>
                <w:bCs/>
                <w:color w:val="FF0000"/>
                <w:szCs w:val="21"/>
              </w:rPr>
            </w:pPr>
            <w:r>
              <w:rPr>
                <w:rFonts w:hint="eastAsia"/>
                <w:b/>
                <w:bCs/>
                <w:color w:val="FF0000"/>
                <w:szCs w:val="21"/>
              </w:rPr>
              <w:t>深圳市公安局局本级待确权物业消防评估服务</w:t>
            </w:r>
          </w:p>
        </w:tc>
        <w:tc>
          <w:tcPr>
            <w:tcW w:w="1857" w:type="dxa"/>
            <w:vAlign w:val="center"/>
          </w:tcPr>
          <w:p>
            <w:pPr>
              <w:jc w:val="center"/>
              <w:rPr>
                <w:bCs/>
                <w:color w:val="FF0000"/>
                <w:szCs w:val="21"/>
              </w:rPr>
            </w:pPr>
            <w:r>
              <w:rPr>
                <w:rFonts w:hint="eastAsia"/>
                <w:bCs/>
                <w:color w:val="FF0000"/>
                <w:szCs w:val="21"/>
              </w:rPr>
              <w:t>270000.00</w:t>
            </w:r>
          </w:p>
        </w:tc>
      </w:tr>
    </w:tbl>
    <w:p>
      <w:pPr>
        <w:pStyle w:val="7"/>
        <w:spacing w:before="156" w:beforeLines="50" w:after="156" w:afterLines="50"/>
        <w:rPr>
          <w:szCs w:val="24"/>
        </w:rPr>
      </w:pPr>
      <w:r>
        <w:rPr>
          <w:rFonts w:hint="eastAsia"/>
          <w:szCs w:val="24"/>
        </w:rPr>
        <w:t>二、项目概况</w:t>
      </w:r>
    </w:p>
    <w:p>
      <w:pPr>
        <w:ind w:firstLine="480" w:firstLineChars="200"/>
        <w:rPr>
          <w:sz w:val="24"/>
        </w:rPr>
      </w:pPr>
      <w:r>
        <w:rPr>
          <w:rFonts w:hint="eastAsia"/>
          <w:sz w:val="24"/>
        </w:rPr>
        <w:t>2023年中共中央、国务院印发《质量强国建设纲要》提出以推动高质量发展为主题，以提高供给质量为主攻方向，以改革创新为根本动力，开展质量管理数字化赋能行动，推动质量策划、质量控制、质量保证、质量改进等全流程信息化、网络化、智能化转型。</w:t>
      </w:r>
    </w:p>
    <w:p>
      <w:pPr>
        <w:ind w:firstLine="480" w:firstLineChars="200"/>
        <w:rPr>
          <w:sz w:val="24"/>
        </w:rPr>
      </w:pPr>
      <w:r>
        <w:rPr>
          <w:rFonts w:hint="eastAsia"/>
          <w:sz w:val="24"/>
        </w:rPr>
        <w:t>2023年中共中央、国务院印发了《数字中国建设整体布局规划》强化数字化能力建设，促进信息系统网络互联互通、数据按需共享、业务高效协同。</w:t>
      </w:r>
    </w:p>
    <w:p>
      <w:pPr>
        <w:ind w:firstLine="480" w:firstLineChars="200"/>
        <w:rPr>
          <w:sz w:val="24"/>
        </w:rPr>
      </w:pPr>
      <w:r>
        <w:rPr>
          <w:rFonts w:hint="eastAsia"/>
          <w:sz w:val="24"/>
        </w:rPr>
        <w:t>消防安全工作是安全工作的重中之重，专业性很强，一旦发生火灾其危害将十分严重，所产生的政治影响和社会效果不可估量。</w:t>
      </w:r>
    </w:p>
    <w:p>
      <w:pPr>
        <w:rPr>
          <w:rFonts w:ascii="宋体" w:hAnsi="宋体"/>
          <w:b/>
          <w:color w:val="FF0000"/>
          <w:szCs w:val="21"/>
        </w:rPr>
      </w:pPr>
    </w:p>
    <w:p>
      <w:pPr>
        <w:pStyle w:val="7"/>
        <w:spacing w:before="156" w:beforeLines="50" w:after="156" w:afterLines="50"/>
        <w:rPr>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
                <w:bCs/>
                <w:color w:val="FF0000"/>
                <w:szCs w:val="21"/>
              </w:rPr>
              <w:t>深圳市公安局局本级待确权物业消防评估服务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7"/>
        <w:spacing w:before="156" w:beforeLines="50" w:after="156"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951" w:type="dxa"/>
          </w:tcPr>
          <w:p>
            <w:pP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（四）人员要求</w:t>
            </w:r>
          </w:p>
          <w:p>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2"/>
      </w:pPr>
    </w:p>
    <w:p>
      <w:pPr>
        <w:pStyle w:val="7"/>
        <w:spacing w:before="156" w:beforeLines="50" w:after="156" w:afterLines="50"/>
        <w:rPr>
          <w:szCs w:val="24"/>
        </w:rPr>
      </w:pPr>
      <w:r>
        <w:rPr>
          <w:rFonts w:hint="eastAsia"/>
          <w:szCs w:val="24"/>
        </w:rPr>
        <w:t>五、技术要求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（一）项目情况：</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本项目暂定面积为：67309.87平米，约41栋建筑，分别分布在罗湖区、盐田区、福田区、南山区、龙岗区、宝安区、龙华区等。</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（二）评估内容及技术要求（包含但不限于）： </w:t>
      </w:r>
    </w:p>
    <w:p>
      <w:pPr>
        <w:ind w:firstLine="420" w:firstLineChars="200"/>
        <w:rPr>
          <w:rFonts w:cs="仿宋_GB2312" w:asciiTheme="minorEastAsia" w:hAnsiTheme="minorEastAsia" w:eastAsiaTheme="minorEastAsia"/>
          <w:szCs w:val="21"/>
        </w:rPr>
      </w:pPr>
      <w:r>
        <w:rPr>
          <w:rFonts w:hint="eastAsia"/>
        </w:rPr>
        <w:t>1.</w:t>
      </w:r>
      <w:r>
        <w:rPr>
          <w:rFonts w:hint="eastAsia" w:cs="仿宋_GB2312" w:asciiTheme="minorEastAsia" w:hAnsiTheme="minorEastAsia" w:eastAsiaTheme="minorEastAsia"/>
          <w:szCs w:val="21"/>
        </w:rPr>
        <w:t>建筑防火</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1.1耐火等级和总平面布局</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1.2防火分区</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1.3平面布置</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1.4安全疏散和避难</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1.5电气</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1.6灭火救援</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1.7通风和空气调节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2、消防设施及器材</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2.1消防给水及消火栓系统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2.2自动灭火系统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2.3火灾自动报警系统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2.4防排烟系统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2.5疏散指示标志及应急照明</w:t>
      </w:r>
    </w:p>
    <w:p>
      <w:pPr>
        <w:pStyle w:val="3"/>
      </w:pPr>
    </w:p>
    <w:p>
      <w:pPr>
        <w:rPr>
          <w:b/>
          <w:sz w:val="24"/>
        </w:rPr>
      </w:pPr>
    </w:p>
    <w:p>
      <w:pPr>
        <w:pStyle w:val="7"/>
        <w:spacing w:before="156" w:beforeLines="50" w:after="156" w:afterLines="50"/>
        <w:rPr>
          <w:szCs w:val="24"/>
        </w:rPr>
      </w:pPr>
      <w:r>
        <w:rPr>
          <w:rFonts w:hint="eastAsia"/>
          <w:szCs w:val="24"/>
        </w:rPr>
        <w:t>六、商务要求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（一）付款方式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合同款项分二期支付，首期于签订合同后采购人先支付给中标人预付款50%；第二期中标人出具评估检测报告后，采购人支付给中标人剩余费用。</w:t>
      </w:r>
    </w:p>
    <w:p>
      <w:pPr>
        <w:pStyle w:val="2"/>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以上为预计付款方式，合同订立时，采购人可根据实际情况最终确定支付方式，并在合同中予以明确。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（二）服务时间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（1）本项目服务期限为2个月。</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（2）因中标方原因，采购单位单方面终止合同的或中标方未书面提交续订合同请求的，有权单方面重新公开招标新的服务商。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（三）工期要求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合同签订后，原则上5个工作日内乙方展开相关工作；具体项目时间根据项目需求具体约定。</w:t>
      </w:r>
    </w:p>
    <w:p>
      <w:pPr>
        <w:ind w:firstLine="422" w:firstLineChars="200"/>
        <w:rPr>
          <w:rFonts w:asciiTheme="minorEastAsia" w:hAnsiTheme="minorEastAsia" w:eastAsiaTheme="minorEastAsia"/>
          <w:b/>
          <w:bCs/>
          <w:color w:val="FF0000"/>
          <w:szCs w:val="21"/>
        </w:rPr>
      </w:pPr>
      <w:r>
        <w:rPr>
          <w:rFonts w:hint="eastAsia"/>
          <w:b/>
          <w:bCs/>
          <w:color w:val="FF0000"/>
        </w:rPr>
        <w:t>★</w:t>
      </w:r>
      <w:r>
        <w:rPr>
          <w:rFonts w:hint="eastAsia" w:asciiTheme="minorEastAsia" w:hAnsiTheme="minorEastAsia" w:eastAsiaTheme="minorEastAsia"/>
          <w:b/>
          <w:bCs/>
          <w:color w:val="FF0000"/>
          <w:szCs w:val="21"/>
        </w:rPr>
        <w:t>（四）人员要求</w:t>
      </w:r>
    </w:p>
    <w:p>
      <w:pPr>
        <w:ind w:firstLine="422" w:firstLineChars="200"/>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（五）投标报价</w:t>
      </w:r>
    </w:p>
    <w:p>
      <w:pPr>
        <w:ind w:firstLine="420" w:firstLineChars="200"/>
        <w:rPr>
          <w:bCs/>
          <w:szCs w:val="21"/>
        </w:rPr>
      </w:pPr>
      <w:r>
        <w:rPr>
          <w:rFonts w:hint="eastAsia" w:asciiTheme="minorEastAsia" w:hAnsiTheme="minorEastAsia" w:eastAsiaTheme="minorEastAsia"/>
          <w:szCs w:val="21"/>
        </w:rPr>
        <w:t>★1.本项目服务费</w:t>
      </w:r>
      <w:r>
        <w:rPr>
          <w:rFonts w:asciiTheme="minorEastAsia" w:hAnsiTheme="minorEastAsia" w:eastAsiaTheme="minorEastAsia"/>
          <w:szCs w:val="21"/>
        </w:rPr>
        <w:t>中标后结算按照中标单价乘以项目实际</w:t>
      </w:r>
      <w:r>
        <w:rPr>
          <w:rFonts w:hint="eastAsia" w:asciiTheme="minorEastAsia" w:hAnsiTheme="minorEastAsia" w:eastAsiaTheme="minorEastAsia"/>
          <w:szCs w:val="21"/>
        </w:rPr>
        <w:t>评估</w:t>
      </w:r>
      <w:r>
        <w:rPr>
          <w:rFonts w:asciiTheme="minorEastAsia" w:hAnsiTheme="minorEastAsia" w:eastAsiaTheme="minorEastAsia"/>
          <w:szCs w:val="21"/>
        </w:rPr>
        <w:t>面积进行结算</w:t>
      </w:r>
      <w:r>
        <w:rPr>
          <w:rFonts w:hint="eastAsia" w:asciiTheme="minorEastAsia" w:hAnsiTheme="minorEastAsia" w:eastAsiaTheme="minorEastAsia"/>
          <w:szCs w:val="21"/>
        </w:rPr>
        <w:t>，</w:t>
      </w:r>
      <w:r>
        <w:rPr>
          <w:rFonts w:hint="eastAsia"/>
        </w:rPr>
        <w:t>本项最高支付上限为</w:t>
      </w:r>
      <w:r>
        <w:rPr>
          <w:rFonts w:hint="eastAsia"/>
          <w:bCs/>
          <w:szCs w:val="21"/>
        </w:rPr>
        <w:t>270000.00元,单价限价为4.00元/平方米。投标人就本项目情况报出每平方米单价即可，超出单价限价的作投标无效处理。单价最多保留两位小数，如报价为3.50元/平方米、3.80元/平方米等。</w:t>
      </w:r>
    </w:p>
    <w:p>
      <w:pPr>
        <w:ind w:firstLine="420" w:firstLineChars="200"/>
        <w:rPr>
          <w:rFonts w:asciiTheme="minorEastAsia" w:hAnsiTheme="minorEastAsia" w:eastAsiaTheme="minorEastAsia"/>
          <w:szCs w:val="21"/>
        </w:rPr>
      </w:pPr>
      <w:r>
        <w:rPr>
          <w:rFonts w:hint="eastAsia"/>
          <w:bCs/>
          <w:szCs w:val="21"/>
        </w:rPr>
        <w:t>本项报价</w:t>
      </w:r>
      <w:r>
        <w:rPr>
          <w:rFonts w:hint="eastAsia" w:asciiTheme="minorEastAsia" w:hAnsiTheme="minorEastAsia" w:eastAsiaTheme="minorEastAsia"/>
          <w:szCs w:val="21"/>
        </w:rPr>
        <w:t>应包括服务成本、法定税费和企业的利润。由企业根据招标文件所提供的资料自行测算投标报价；一经中标，投标报价总价作为中标单位与采购单位签定的合同金额，合同期限内不做调整。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2.投标人应根据本企业的成本自行决定报价，但不得以低于其企业成本的报价投标。</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3.投标人的投标报价不得超过财政预算限额。</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4.投标人的投标报价，应是本项目招标范围和招标文件及合同条款上所列的各项内容中所述的全部，不得以任何理由予以重复，并以投标人在中提出的综合单价或总价为依据。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除非政府集中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6.投标人应先到项目地点踏勘以充分了解项目的位置、情况、道路及任何其它足以影响投标报价的情况，任何因忽视或误解项目情况而导致的索赔或服务期限延长申请将不获批准。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（七）验收标准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依据国家、地方标准，出具相关报告。</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1.采购人未按合同规定的期限向中标人支付货款的，每逾期1天采购人向中标人偿付欠款总额的【1】‰滞纳金，但累计滞纳金总额不超过欠款总额的【10】%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人逾期交付货物的，每逾期1天，中标人向采购人偿付逾期交货部分货款总额的【1】‰的滞纳金。如中标人逾期交货达天，采购人有权解除合同，履约保证金不予退回，同时中标人应向采购人支付合同总价【5】％的违约金。</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3。中标人未履行合同的其他义务或违反其在投标文件中的相关承诺的，应按合同总价款的【5】%向采购人承担违约责任。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4。中标人在承担上述一项或多项违约责任后，仍应继续履行合同规定的义务（采购人解除合同的除外）。采购人未能及时追究中标人的任何一项违约责任并不表明采购人放弃追究中标人该项或其他违约责任。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（九）争议解决</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本协议执行中如发生纠纷，双方协商无法达成一致时，可向采购人所在地有管辖权的人民法院起诉。</w:t>
      </w:r>
    </w:p>
    <w:p>
      <w:pPr>
        <w:ind w:firstLine="482" w:firstLineChars="200"/>
        <w:rPr>
          <w:rFonts w:ascii="宋体" w:hAnsi="宋体"/>
          <w:b/>
          <w:bCs/>
          <w:kern w:val="0"/>
          <w:sz w:val="24"/>
        </w:rPr>
      </w:pPr>
    </w:p>
    <w:p>
      <w:pPr>
        <w:pStyle w:val="7"/>
        <w:spacing w:before="156" w:beforeLines="50" w:after="156" w:afterLines="50"/>
        <w:rPr>
          <w:szCs w:val="24"/>
        </w:rPr>
      </w:pPr>
      <w:r>
        <w:rPr>
          <w:rFonts w:hint="eastAsia"/>
          <w:szCs w:val="24"/>
        </w:rPr>
        <w:t>七、其他重要条款</w:t>
      </w:r>
    </w:p>
    <w:p>
      <w:pPr>
        <w:ind w:firstLine="420" w:firstLineChars="200"/>
        <w:rPr>
          <w:bCs/>
          <w:szCs w:val="21"/>
        </w:rPr>
      </w:pPr>
      <w:bookmarkStart w:id="36"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9"/>
        <w:spacing w:before="78" w:beforeLines="25" w:after="78"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7"/>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（10）质量保障措施（格式自定）</w:t>
      </w:r>
    </w:p>
    <w:p>
      <w:pPr>
        <w:ind w:firstLine="420" w:firstLineChars="200"/>
        <w:rPr>
          <w:szCs w:val="21"/>
        </w:rPr>
      </w:pPr>
      <w:r>
        <w:rPr>
          <w:rFonts w:hint="eastAsia"/>
          <w:szCs w:val="21"/>
        </w:rPr>
        <w:t>（11）拟安排的项目负责人（仅限1人）情况（格式自定）</w:t>
      </w:r>
    </w:p>
    <w:p>
      <w:pPr>
        <w:ind w:firstLine="420" w:firstLineChars="200"/>
        <w:rPr>
          <w:szCs w:val="21"/>
        </w:rPr>
      </w:pPr>
      <w:r>
        <w:rPr>
          <w:rFonts w:hint="eastAsia"/>
          <w:szCs w:val="21"/>
        </w:rPr>
        <w:t>（12）拟安排的项目团队主要成员（项目负责人除外）情况（格式自定）</w:t>
      </w:r>
    </w:p>
    <w:p>
      <w:pPr>
        <w:ind w:firstLine="420" w:firstLineChars="200"/>
        <w:rPr>
          <w:szCs w:val="21"/>
        </w:rPr>
      </w:pPr>
      <w:r>
        <w:rPr>
          <w:rFonts w:hint="eastAsia"/>
          <w:szCs w:val="21"/>
        </w:rPr>
        <w:t>（1</w:t>
      </w:r>
      <w:r>
        <w:rPr>
          <w:rFonts w:hint="eastAsia"/>
          <w:szCs w:val="21"/>
          <w:lang w:val="en-US" w:eastAsia="zh-CN"/>
        </w:rPr>
        <w:t>3</w:t>
      </w:r>
      <w:r>
        <w:rPr>
          <w:rFonts w:hint="eastAsia"/>
          <w:szCs w:val="21"/>
        </w:rPr>
        <w:t>）投标人通过相关认证情况（格式自定）</w:t>
      </w:r>
    </w:p>
    <w:p>
      <w:pPr>
        <w:ind w:firstLine="420" w:firstLineChars="200"/>
        <w:rPr>
          <w:szCs w:val="21"/>
        </w:rPr>
      </w:pPr>
      <w:r>
        <w:rPr>
          <w:rFonts w:hint="eastAsia"/>
          <w:szCs w:val="21"/>
        </w:rPr>
        <w:t>（1</w:t>
      </w:r>
      <w:r>
        <w:rPr>
          <w:rFonts w:hint="eastAsia"/>
          <w:szCs w:val="21"/>
          <w:lang w:val="en-US" w:eastAsia="zh-CN"/>
        </w:rPr>
        <w:t>4</w:t>
      </w:r>
      <w:r>
        <w:rPr>
          <w:rFonts w:hint="eastAsia"/>
          <w:szCs w:val="21"/>
        </w:rPr>
        <w:t>）同类项目业绩情况（格式自定）</w:t>
      </w:r>
    </w:p>
    <w:p>
      <w:pPr>
        <w:ind w:firstLine="420" w:firstLineChars="200"/>
        <w:rPr>
          <w:szCs w:val="21"/>
        </w:rPr>
      </w:pPr>
      <w:r>
        <w:rPr>
          <w:rFonts w:hint="eastAsia"/>
          <w:szCs w:val="21"/>
        </w:rPr>
        <w:t>（1</w:t>
      </w:r>
      <w:r>
        <w:rPr>
          <w:rFonts w:hint="eastAsia"/>
          <w:szCs w:val="21"/>
          <w:lang w:val="en-US" w:eastAsia="zh-CN"/>
        </w:rPr>
        <w:t>5</w:t>
      </w:r>
      <w:r>
        <w:rPr>
          <w:rFonts w:hint="eastAsia"/>
          <w:szCs w:val="21"/>
        </w:rPr>
        <w:t>）服务网点</w:t>
      </w:r>
    </w:p>
    <w:p>
      <w:pPr>
        <w:ind w:firstLine="420" w:firstLineChars="200"/>
        <w:rPr>
          <w:szCs w:val="21"/>
        </w:rPr>
      </w:pPr>
      <w:r>
        <w:rPr>
          <w:rFonts w:hint="eastAsia"/>
          <w:szCs w:val="21"/>
        </w:rPr>
        <w:t>（1</w:t>
      </w:r>
      <w:r>
        <w:rPr>
          <w:rFonts w:hint="eastAsia"/>
          <w:szCs w:val="21"/>
          <w:lang w:val="en-US" w:eastAsia="zh-CN"/>
        </w:rPr>
        <w:t>6</w:t>
      </w:r>
      <w:r>
        <w:rPr>
          <w:rFonts w:hint="eastAsia"/>
          <w:szCs w:val="21"/>
        </w:rPr>
        <w:t>）投标人认为需要加以说明的其他内容（格式自定）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0" w:name="_Hlk72263588"/>
      <w:r>
        <w:rPr>
          <w:rFonts w:hint="eastAsia"/>
          <w:szCs w:val="21"/>
        </w:rPr>
        <w:t>愿意按照采购文件要求承包上述项目并修补其任何缺陷。</w:t>
      </w:r>
      <w:bookmarkEnd w:id="40"/>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5"/>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78" w:beforeLines="25" w:after="78" w:afterLines="25"/>
        <w:ind w:firstLine="5460" w:firstLineChars="2600"/>
        <w:rPr>
          <w:rFonts w:ascii="宋体" w:hAnsi="宋体"/>
          <w:szCs w:val="21"/>
        </w:rPr>
      </w:pPr>
      <w:r>
        <w:rPr>
          <w:rFonts w:hint="eastAsia" w:ascii="宋体" w:hAnsi="宋体"/>
          <w:szCs w:val="21"/>
        </w:rPr>
        <w:t xml:space="preserve">                                    </w:t>
      </w:r>
    </w:p>
    <w:p>
      <w:pPr>
        <w:spacing w:before="78" w:beforeLines="25" w:after="78"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djustRightInd w:val="0"/>
        <w:spacing w:line="360" w:lineRule="auto"/>
        <w:jc w:val="center"/>
        <w:rPr>
          <w:rFonts w:ascii="宋体" w:hAnsi="宋体" w:cs="宋体"/>
          <w:b/>
          <w:bCs/>
          <w:szCs w:val="21"/>
        </w:rPr>
      </w:pPr>
      <w:r>
        <w:rPr>
          <w:rFonts w:hint="eastAsia" w:ascii="宋体" w:hAnsi="宋体" w:cs="宋体"/>
          <w:b/>
          <w:bCs/>
          <w:szCs w:val="21"/>
        </w:rPr>
        <w:t>1.《供应商基本情况表》</w:t>
      </w:r>
    </w:p>
    <w:p>
      <w:pPr>
        <w:adjustRightInd w:val="0"/>
        <w:snapToGrid w:val="0"/>
        <w:spacing w:line="360" w:lineRule="auto"/>
        <w:jc w:val="left"/>
        <w:rPr>
          <w:rFonts w:ascii="宋体" w:hAnsi="宋体" w:cs="宋体"/>
          <w:szCs w:val="21"/>
        </w:rPr>
      </w:pPr>
      <w:r>
        <w:rPr>
          <w:rFonts w:hint="eastAsia" w:ascii="宋体" w:hAnsi="宋体" w:cs="宋体"/>
          <w:szCs w:val="21"/>
        </w:rPr>
        <w:t>填表单位</w:t>
      </w:r>
      <w:bookmarkStart w:id="43"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3"/>
      <w:r>
        <w:rPr>
          <w:rFonts w:hint="eastAsia" w:ascii="宋体" w:hAnsi="宋体" w:cs="宋体"/>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83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81"/>
        <w:gridCol w:w="938"/>
        <w:gridCol w:w="880"/>
        <w:gridCol w:w="573"/>
        <w:gridCol w:w="1389"/>
        <w:gridCol w:w="1358"/>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3"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pPr>
              <w:adjustRightInd w:val="0"/>
              <w:snapToGrid w:val="0"/>
              <w:jc w:val="center"/>
              <w:rPr>
                <w:rFonts w:ascii="宋体" w:hAnsi="宋体" w:cs="宋体"/>
                <w:spacing w:val="-3"/>
                <w:szCs w:val="21"/>
              </w:rPr>
            </w:pPr>
            <w:r>
              <w:rPr>
                <w:rFonts w:hint="eastAsia" w:ascii="宋体" w:hAnsi="宋体" w:cs="宋体"/>
                <w:b/>
                <w:bCs/>
                <w:color w:val="FF0000"/>
                <w:spacing w:val="-4"/>
                <w:szCs w:val="21"/>
                <w:lang w:eastAsia="en-US"/>
              </w:rPr>
              <w:t>（必填项）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3"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投标（响应）供应商</w:t>
            </w:r>
          </w:p>
          <w:p>
            <w:pPr>
              <w:adjustRightInd w:val="0"/>
              <w:snapToGrid w:val="0"/>
              <w:jc w:val="center"/>
              <w:rPr>
                <w:rFonts w:ascii="宋体" w:hAnsi="宋体" w:cs="宋体"/>
                <w:spacing w:val="-5"/>
                <w:szCs w:val="21"/>
              </w:rPr>
            </w:pPr>
            <w:r>
              <w:rPr>
                <w:rFonts w:hint="eastAsia" w:ascii="宋体" w:hAnsi="宋体" w:cs="宋体"/>
                <w:b/>
                <w:bCs/>
                <w:color w:val="FF0000"/>
                <w:spacing w:val="-4"/>
                <w:szCs w:val="21"/>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spacing w:val="-3"/>
                <w:szCs w:val="21"/>
              </w:rPr>
            </w:pPr>
            <w:r>
              <w:rPr>
                <w:rFonts w:hint="eastAsia" w:ascii="宋体" w:hAnsi="宋体" w:cs="宋体"/>
                <w:b/>
                <w:bCs/>
                <w:color w:val="FF0000"/>
                <w:spacing w:val="-4"/>
                <w:szCs w:val="21"/>
              </w:rPr>
              <w:t>供应商统一社会信用代码（必填项）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145"/>
              <w:rPr>
                <w:rFonts w:ascii="宋体" w:hAnsi="宋体" w:cs="宋体"/>
                <w:spacing w:val="-5"/>
                <w:szCs w:val="21"/>
              </w:rPr>
            </w:pPr>
            <w:r>
              <w:rPr>
                <w:rFonts w:hint="eastAsia" w:ascii="宋体" w:hAnsi="宋体" w:cs="宋体"/>
                <w:spacing w:val="-5"/>
                <w:szCs w:val="21"/>
              </w:rPr>
              <w:t>序号</w:t>
            </w:r>
          </w:p>
        </w:tc>
        <w:tc>
          <w:tcPr>
            <w:tcW w:w="2119" w:type="dxa"/>
            <w:gridSpan w:val="2"/>
            <w:vAlign w:val="center"/>
          </w:tcPr>
          <w:p>
            <w:pPr>
              <w:adjustRightInd w:val="0"/>
              <w:snapToGrid w:val="0"/>
              <w:ind w:left="916"/>
              <w:rPr>
                <w:rFonts w:ascii="宋体" w:hAnsi="宋体" w:cs="宋体"/>
                <w:spacing w:val="-6"/>
                <w:szCs w:val="21"/>
              </w:rPr>
            </w:pPr>
            <w:r>
              <w:rPr>
                <w:rFonts w:hint="eastAsia" w:ascii="宋体" w:hAnsi="宋体" w:cs="宋体"/>
                <w:spacing w:val="-6"/>
                <w:szCs w:val="21"/>
              </w:rPr>
              <w:t>职务</w:t>
            </w:r>
          </w:p>
        </w:tc>
        <w:tc>
          <w:tcPr>
            <w:tcW w:w="880" w:type="dxa"/>
            <w:vAlign w:val="center"/>
          </w:tcPr>
          <w:p>
            <w:pPr>
              <w:adjustRightInd w:val="0"/>
              <w:snapToGrid w:val="0"/>
              <w:ind w:left="245"/>
              <w:rPr>
                <w:rFonts w:ascii="宋体" w:hAnsi="宋体" w:cs="宋体"/>
                <w:spacing w:val="-4"/>
                <w:szCs w:val="21"/>
              </w:rPr>
            </w:pPr>
            <w:r>
              <w:rPr>
                <w:rFonts w:hint="eastAsia" w:ascii="宋体" w:hAnsi="宋体" w:cs="宋体"/>
                <w:spacing w:val="-4"/>
                <w:szCs w:val="21"/>
              </w:rPr>
              <w:t>姓名</w:t>
            </w:r>
          </w:p>
        </w:tc>
        <w:tc>
          <w:tcPr>
            <w:tcW w:w="1962" w:type="dxa"/>
            <w:gridSpan w:val="2"/>
            <w:vAlign w:val="center"/>
          </w:tcPr>
          <w:p>
            <w:pPr>
              <w:adjustRightInd w:val="0"/>
              <w:snapToGrid w:val="0"/>
              <w:ind w:left="410"/>
              <w:rPr>
                <w:rFonts w:ascii="宋体" w:hAnsi="宋体" w:cs="宋体"/>
                <w:spacing w:val="-3"/>
                <w:szCs w:val="21"/>
              </w:rPr>
            </w:pPr>
            <w:r>
              <w:rPr>
                <w:rFonts w:hint="eastAsia" w:ascii="宋体" w:hAnsi="宋体" w:cs="宋体"/>
                <w:spacing w:val="-3"/>
                <w:szCs w:val="21"/>
              </w:rPr>
              <w:t>身份证号码</w:t>
            </w:r>
          </w:p>
        </w:tc>
        <w:tc>
          <w:tcPr>
            <w:tcW w:w="1358" w:type="dxa"/>
            <w:vAlign w:val="center"/>
          </w:tcPr>
          <w:p>
            <w:pPr>
              <w:adjustRightInd w:val="0"/>
              <w:snapToGrid w:val="0"/>
              <w:ind w:left="288" w:right="266" w:firstLine="5"/>
              <w:rPr>
                <w:rFonts w:ascii="宋体" w:hAnsi="宋体" w:cs="宋体"/>
                <w:spacing w:val="-7"/>
                <w:szCs w:val="21"/>
              </w:rPr>
            </w:pPr>
            <w:r>
              <w:rPr>
                <w:rFonts w:hint="eastAsia" w:ascii="宋体" w:hAnsi="宋体" w:cs="宋体"/>
                <w:spacing w:val="-7"/>
                <w:szCs w:val="21"/>
              </w:rPr>
              <w:t>劳动合同关系单位</w:t>
            </w:r>
          </w:p>
        </w:tc>
        <w:tc>
          <w:tcPr>
            <w:tcW w:w="1348" w:type="dxa"/>
            <w:vAlign w:val="center"/>
          </w:tcPr>
          <w:p>
            <w:pPr>
              <w:adjustRightInd w:val="0"/>
              <w:snapToGrid w:val="0"/>
              <w:ind w:left="271" w:right="262" w:firstLine="8"/>
              <w:rPr>
                <w:rFonts w:ascii="宋体" w:hAnsi="宋体" w:cs="宋体"/>
                <w:spacing w:val="-5"/>
                <w:szCs w:val="21"/>
              </w:rPr>
            </w:pPr>
            <w:r>
              <w:rPr>
                <w:rFonts w:hint="eastAsia" w:ascii="宋体" w:hAnsi="宋体" w:cs="宋体"/>
                <w:spacing w:val="-7"/>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3</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项目负责人（如本项目未安排，可不填写）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14"/>
              <w:rPr>
                <w:rFonts w:ascii="宋体" w:hAnsi="宋体" w:cs="宋体"/>
                <w:szCs w:val="21"/>
                <w:lang w:eastAsia="en-US"/>
              </w:rPr>
            </w:pPr>
            <w:r>
              <w:rPr>
                <w:rFonts w:hint="eastAsia" w:ascii="宋体" w:hAnsi="宋体" w:cs="宋体"/>
                <w:szCs w:val="21"/>
                <w:lang w:eastAsia="en-US"/>
              </w:rPr>
              <w:t>4</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主要技术人员（如本项目未安排，可不填写）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5"/>
              <w:rPr>
                <w:rFonts w:ascii="宋体" w:hAnsi="宋体" w:cs="宋体"/>
                <w:szCs w:val="21"/>
                <w:lang w:eastAsia="en-US"/>
              </w:rPr>
            </w:pPr>
            <w:r>
              <w:rPr>
                <w:rFonts w:hint="eastAsia" w:ascii="宋体" w:hAnsi="宋体" w:cs="宋体"/>
                <w:szCs w:val="21"/>
                <w:lang w:eastAsia="en-US"/>
              </w:rPr>
              <w:t>5</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b/>
                <w:bCs/>
                <w:color w:val="FF0000"/>
                <w:spacing w:val="-4"/>
                <w:szCs w:val="21"/>
              </w:rPr>
              <w:t>投标文件编制人员（必填项）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120"/>
              <w:rPr>
                <w:rFonts w:ascii="宋体" w:hAnsi="宋体" w:cs="宋体"/>
                <w:b/>
                <w:bCs/>
                <w:spacing w:val="-1"/>
                <w:szCs w:val="21"/>
              </w:rPr>
            </w:pPr>
            <w:r>
              <w:rPr>
                <w:rFonts w:hint="eastAsia" w:ascii="宋体" w:hAnsi="宋体" w:cs="宋体"/>
                <w:b/>
                <w:bCs/>
                <w:spacing w:val="-1"/>
                <w:szCs w:val="21"/>
              </w:rPr>
              <w:t>说明：</w:t>
            </w:r>
          </w:p>
          <w:p>
            <w:pPr>
              <w:adjustRightInd w:val="0"/>
              <w:snapToGrid w:val="0"/>
              <w:ind w:left="120"/>
              <w:rPr>
                <w:rFonts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pPr>
              <w:adjustRightInd w:val="0"/>
              <w:snapToGrid w:val="0"/>
              <w:ind w:left="120"/>
              <w:rPr>
                <w:rFonts w:ascii="宋体" w:hAnsi="宋体" w:cs="宋体"/>
                <w:szCs w:val="21"/>
              </w:rPr>
            </w:pPr>
            <w:r>
              <w:rPr>
                <w:rFonts w:hint="eastAsia" w:ascii="宋体" w:hAnsi="宋体" w:cs="宋体"/>
                <w:b/>
                <w:bCs/>
                <w:spacing w:val="-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145"/>
              <w:rPr>
                <w:rFonts w:ascii="宋体" w:hAnsi="宋体" w:cs="宋体"/>
                <w:szCs w:val="21"/>
                <w:lang w:eastAsia="en-US"/>
              </w:rPr>
            </w:pPr>
            <w:r>
              <w:rPr>
                <w:rFonts w:hint="eastAsia" w:ascii="宋体" w:hAnsi="宋体" w:cs="宋体"/>
                <w:spacing w:val="-5"/>
                <w:szCs w:val="21"/>
                <w:lang w:eastAsia="en-US"/>
              </w:rPr>
              <w:t>序号</w:t>
            </w:r>
          </w:p>
        </w:tc>
        <w:tc>
          <w:tcPr>
            <w:tcW w:w="2119" w:type="dxa"/>
            <w:gridSpan w:val="2"/>
            <w:vAlign w:val="center"/>
          </w:tcPr>
          <w:p>
            <w:pPr>
              <w:adjustRightInd w:val="0"/>
              <w:snapToGrid w:val="0"/>
              <w:ind w:left="436"/>
              <w:rPr>
                <w:rFonts w:ascii="宋体" w:hAnsi="宋体" w:cs="宋体"/>
                <w:szCs w:val="21"/>
                <w:lang w:eastAsia="en-US"/>
              </w:rPr>
            </w:pPr>
            <w:r>
              <w:rPr>
                <w:rFonts w:hint="eastAsia" w:ascii="宋体" w:hAnsi="宋体" w:cs="宋体"/>
                <w:spacing w:val="-3"/>
                <w:szCs w:val="21"/>
                <w:lang w:eastAsia="en-US"/>
              </w:rPr>
              <w:t>关联关系类型</w:t>
            </w:r>
          </w:p>
        </w:tc>
        <w:tc>
          <w:tcPr>
            <w:tcW w:w="1453" w:type="dxa"/>
            <w:gridSpan w:val="2"/>
            <w:vAlign w:val="center"/>
          </w:tcPr>
          <w:p>
            <w:pPr>
              <w:adjustRightInd w:val="0"/>
              <w:snapToGrid w:val="0"/>
              <w:ind w:left="166"/>
              <w:rPr>
                <w:rFonts w:ascii="宋体" w:hAnsi="宋体" w:cs="宋体"/>
                <w:szCs w:val="21"/>
                <w:lang w:eastAsia="en-US"/>
              </w:rPr>
            </w:pPr>
            <w:r>
              <w:rPr>
                <w:rFonts w:hint="eastAsia" w:ascii="宋体" w:hAnsi="宋体" w:cs="宋体"/>
                <w:spacing w:val="-3"/>
                <w:szCs w:val="21"/>
                <w:lang w:eastAsia="en-US"/>
              </w:rPr>
              <w:t>关联主体名称</w:t>
            </w:r>
          </w:p>
        </w:tc>
        <w:tc>
          <w:tcPr>
            <w:tcW w:w="4095" w:type="dxa"/>
            <w:gridSpan w:val="3"/>
            <w:vAlign w:val="center"/>
          </w:tcPr>
          <w:p>
            <w:pPr>
              <w:adjustRightInd w:val="0"/>
              <w:snapToGrid w:val="0"/>
              <w:ind w:left="1862"/>
              <w:rPr>
                <w:rFonts w:ascii="宋体" w:hAnsi="宋体" w:cs="宋体"/>
                <w:szCs w:val="21"/>
                <w:lang w:eastAsia="en-US"/>
              </w:rPr>
            </w:pPr>
            <w:r>
              <w:rPr>
                <w:rFonts w:hint="eastAsia" w:ascii="宋体" w:hAnsi="宋体" w:cs="宋体"/>
                <w:spacing w:val="-4"/>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rPr>
                <w:rFonts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5"/>
                <w:szCs w:val="21"/>
              </w:rPr>
              <w:t>管理关系（如无，可不填写）</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ind w:right="24"/>
              <w:rPr>
                <w:rFonts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49" w:type="dxa"/>
            <w:gridSpan w:val="8"/>
            <w:vAlign w:val="center"/>
          </w:tcPr>
          <w:p>
            <w:pPr>
              <w:ind w:left="120"/>
              <w:rPr>
                <w:rFonts w:ascii="宋体" w:hAnsi="宋体" w:cs="宋体"/>
                <w:szCs w:val="21"/>
              </w:rPr>
            </w:pPr>
            <w:r>
              <w:rPr>
                <w:rFonts w:hint="eastAsia" w:ascii="宋体" w:hAnsi="宋体" w:cs="宋体"/>
                <w:b/>
                <w:bCs/>
                <w:spacing w:val="-1"/>
                <w:szCs w:val="21"/>
              </w:rPr>
              <w:t>说明：同一关联关系类型有多个主体的，应分行填写。</w:t>
            </w:r>
          </w:p>
        </w:tc>
      </w:tr>
    </w:tbl>
    <w:p>
      <w:pPr>
        <w:rPr>
          <w:rFonts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pPr>
        <w:spacing w:line="560" w:lineRule="exact"/>
        <w:jc w:val="center"/>
        <w:rPr>
          <w:rFonts w:ascii="宋体" w:hAnsi="宋体" w:cs="宋体"/>
          <w:b/>
          <w:bCs/>
          <w:szCs w:val="21"/>
        </w:rPr>
      </w:pPr>
      <w:r>
        <w:rPr>
          <w:rFonts w:hint="eastAsia" w:ascii="宋体" w:hAnsi="宋体" w:cs="宋体"/>
          <w:b/>
          <w:bCs/>
          <w:szCs w:val="21"/>
        </w:rPr>
        <w:t>2. 社保缴纳证明材料</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2.2投标授权代表人开标前近一个月的社保缴纳证明：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2.5投标文件编制人员开标前近一个月的社保缴纳证明：</w:t>
      </w:r>
    </w:p>
    <w:p>
      <w:pPr>
        <w:spacing w:line="560" w:lineRule="exact"/>
        <w:ind w:firstLine="408" w:firstLineChars="200"/>
        <w:rPr>
          <w:rFonts w:ascii="宋体" w:hAnsi="宋体" w:cs="宋体"/>
          <w:spacing w:val="-3"/>
          <w:szCs w:val="21"/>
        </w:rPr>
      </w:pPr>
      <w:r>
        <w:rPr>
          <w:rFonts w:hint="eastAsia" w:ascii="宋体" w:hAnsi="宋体" w:cs="宋体"/>
          <w:spacing w:val="-3"/>
          <w:szCs w:val="21"/>
        </w:rPr>
        <w:t>注：</w:t>
      </w:r>
    </w:p>
    <w:p>
      <w:pPr>
        <w:spacing w:line="560" w:lineRule="exact"/>
        <w:ind w:firstLine="408" w:firstLineChars="200"/>
        <w:rPr>
          <w:rFonts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pPr>
        <w:spacing w:line="560" w:lineRule="exact"/>
        <w:ind w:firstLine="408" w:firstLineChars="200"/>
        <w:rPr>
          <w:rFonts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pPr>
        <w:spacing w:line="560" w:lineRule="exact"/>
        <w:ind w:firstLine="408" w:firstLineChars="200"/>
        <w:rPr>
          <w:rFonts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pPr>
        <w:widowControl/>
        <w:spacing w:line="560" w:lineRule="exact"/>
        <w:ind w:firstLine="408" w:firstLineChars="200"/>
        <w:jc w:val="left"/>
        <w:rPr>
          <w:rFonts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3.1股权或管理关系证明截图</w:t>
      </w:r>
    </w:p>
    <w:p>
      <w:pPr>
        <w:adjustRightInd w:val="0"/>
        <w:snapToGrid w:val="0"/>
        <w:spacing w:after="160" w:line="560" w:lineRule="exact"/>
        <w:ind w:firstLine="408" w:firstLineChars="200"/>
        <w:rPr>
          <w:rFonts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3.2承诺函</w:t>
      </w:r>
    </w:p>
    <w:p>
      <w:pPr>
        <w:adjustRightInd w:val="0"/>
        <w:snapToGrid w:val="0"/>
        <w:spacing w:after="160" w:line="560" w:lineRule="exact"/>
        <w:jc w:val="left"/>
        <w:rPr>
          <w:rFonts w:ascii="宋体" w:hAnsi="宋体" w:cs="宋体"/>
          <w:spacing w:val="-3"/>
          <w:szCs w:val="21"/>
        </w:rPr>
      </w:pPr>
      <w:r>
        <w:rPr>
          <w:rFonts w:hint="eastAsia" w:ascii="宋体" w:hAnsi="宋体" w:cs="宋体"/>
          <w:spacing w:val="-3"/>
          <w:szCs w:val="21"/>
        </w:rPr>
        <w:t>致：采购人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我公司承诺所填的股权关系情况真实、准确、完整。</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特此承诺！</w:t>
      </w:r>
    </w:p>
    <w:p>
      <w:pPr>
        <w:adjustRightInd w:val="0"/>
        <w:snapToGrid w:val="0"/>
        <w:spacing w:after="160" w:line="560" w:lineRule="exact"/>
        <w:jc w:val="left"/>
        <w:rPr>
          <w:rFonts w:ascii="宋体" w:hAnsi="宋体" w:cs="宋体"/>
          <w:spacing w:val="-3"/>
          <w:szCs w:val="21"/>
        </w:rPr>
      </w:pPr>
    </w:p>
    <w:p>
      <w:pPr>
        <w:adjustRightInd w:val="0"/>
        <w:snapToGrid w:val="0"/>
        <w:spacing w:after="160" w:line="560" w:lineRule="exact"/>
        <w:jc w:val="center"/>
        <w:rPr>
          <w:rFonts w:ascii="宋体" w:hAnsi="宋体" w:cs="宋体"/>
          <w:spacing w:val="-3"/>
          <w:szCs w:val="21"/>
        </w:rPr>
      </w:pPr>
      <w:r>
        <w:rPr>
          <w:rFonts w:hint="eastAsia" w:ascii="宋体" w:hAnsi="宋体" w:cs="宋体"/>
          <w:spacing w:val="-3"/>
          <w:szCs w:val="21"/>
        </w:rPr>
        <w:t xml:space="preserve">                                                供应商名称： </w:t>
      </w:r>
    </w:p>
    <w:p>
      <w:pPr>
        <w:adjustRightInd w:val="0"/>
        <w:snapToGrid w:val="0"/>
        <w:spacing w:after="160" w:line="560" w:lineRule="exact"/>
        <w:jc w:val="right"/>
      </w:pPr>
      <w:r>
        <w:rPr>
          <w:rFonts w:hint="eastAsia" w:ascii="宋体" w:hAnsi="宋体" w:cs="宋体"/>
          <w:spacing w:val="-3"/>
          <w:szCs w:val="21"/>
        </w:rPr>
        <w:t>日  期：       年    月   日</w:t>
      </w:r>
    </w:p>
    <w:p>
      <w:pPr>
        <w:pStyle w:val="5"/>
        <w:jc w:val="center"/>
        <w:rPr>
          <w:rFonts w:ascii="黑体" w:eastAsia="黑体"/>
          <w:b w:val="0"/>
          <w:sz w:val="24"/>
          <w:szCs w:val="24"/>
        </w:rPr>
      </w:pPr>
      <w:r>
        <w:rPr>
          <w:rFonts w:hint="eastAsia" w:ascii="黑体" w:eastAsia="黑体"/>
          <w:b w:val="0"/>
          <w:sz w:val="24"/>
          <w:szCs w:val="24"/>
        </w:rPr>
        <w:t>四、项目详细报价</w:t>
      </w:r>
    </w:p>
    <w:p>
      <w:pPr>
        <w:pStyle w:val="3"/>
        <w:jc w:val="center"/>
      </w:pPr>
      <w:r>
        <w:rPr>
          <w:rFonts w:hint="eastAsia"/>
          <w:b/>
          <w:bCs/>
        </w:rPr>
        <w:t>（一）</w:t>
      </w:r>
      <w:r>
        <w:rPr>
          <w:rFonts w:hint="eastAsia"/>
          <w:b/>
        </w:rPr>
        <w:t>分项报价表</w:t>
      </w:r>
    </w:p>
    <w:tbl>
      <w:tblPr>
        <w:tblStyle w:val="42"/>
        <w:tblW w:w="79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投标单价</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pPr>
            <w:r>
              <w:rPr>
                <w:rFonts w:hint="eastAsia" w:ascii="宋体" w:hAnsi="宋体"/>
                <w:snapToGrid w:val="0"/>
                <w:kern w:val="0"/>
                <w:sz w:val="24"/>
                <w:szCs w:val="21"/>
                <w:u w:val="single"/>
              </w:rPr>
              <w:t xml:space="preserve">        </w:t>
            </w:r>
            <w:r>
              <w:rPr>
                <w:rFonts w:hint="eastAsia" w:ascii="宋体" w:hAnsi="宋体"/>
                <w:snapToGrid w:val="0"/>
                <w:kern w:val="0"/>
                <w:sz w:val="24"/>
                <w:szCs w:val="21"/>
              </w:rPr>
              <w:t>元/平方米</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widowControl/>
        <w:snapToGrid w:val="0"/>
        <w:ind w:firstLine="422" w:firstLineChars="200"/>
        <w:jc w:val="left"/>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bCs/>
          <w:color w:val="0000FF"/>
          <w:szCs w:val="21"/>
        </w:rPr>
        <w:t>1.</w:t>
      </w:r>
      <w:r>
        <w:rPr>
          <w:rFonts w:hint="eastAsia" w:ascii="宋体" w:hAnsi="宋体"/>
          <w:color w:val="0000FF"/>
          <w:kern w:val="0"/>
          <w:szCs w:val="21"/>
        </w:rPr>
        <w:t>投标人的投标报价不得超过单价限价，单价限价为4.00元/平方米，超出单价限价的作投标无效处理。</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2.以上单价最多保留两位小数，例如报价为3.50元/平方米、3.80元/平方米等。</w:t>
      </w:r>
    </w:p>
    <w:p>
      <w:pPr>
        <w:widowControl/>
        <w:snapToGrid w:val="0"/>
        <w:ind w:firstLine="420" w:firstLineChars="200"/>
        <w:jc w:val="left"/>
      </w:pPr>
      <w:r>
        <w:rPr>
          <w:rFonts w:hint="eastAsia"/>
        </w:rPr>
        <w:t>3.投标人在系统投标报价环节需与本项报价保持一致，如不一致的作投标无效处理。</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5"/>
        <w:jc w:val="center"/>
        <w:rPr>
          <w:rFonts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ind w:firstLine="480" w:firstLineChars="200"/>
        <w:rPr>
          <w:sz w:val="24"/>
        </w:rPr>
      </w:pPr>
    </w:p>
    <w:p>
      <w:pPr>
        <w:rPr>
          <w:b/>
          <w:bCs/>
          <w:sz w:val="24"/>
        </w:rPr>
      </w:pPr>
    </w:p>
    <w:p>
      <w:pPr>
        <w:pStyle w:val="5"/>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5"/>
        <w:jc w:val="center"/>
        <w:rPr>
          <w:rFonts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ascii="黑体" w:eastAsia="黑体"/>
          <w:b w:val="0"/>
          <w:kern w:val="0"/>
          <w:sz w:val="24"/>
          <w:szCs w:val="24"/>
        </w:rPr>
      </w:pPr>
      <w:r>
        <w:rPr>
          <w:rFonts w:hint="eastAsia" w:ascii="黑体" w:eastAsia="黑体"/>
          <w:b w:val="0"/>
          <w:kern w:val="0"/>
          <w:sz w:val="24"/>
          <w:szCs w:val="24"/>
        </w:rPr>
        <w:t>八、实施方案</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sz w:val="24"/>
        </w:rPr>
      </w:pPr>
      <w:r>
        <w:rPr>
          <w:rFonts w:hint="eastAsia" w:ascii="黑体" w:eastAsia="黑体"/>
          <w:b w:val="0"/>
          <w:kern w:val="0"/>
          <w:sz w:val="24"/>
          <w:szCs w:val="24"/>
        </w:rPr>
        <w:t>十、质量保障措施（格式自定）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十一、拟安排的项目负责人（仅限1人）情况（格式自定）</w:t>
      </w:r>
    </w:p>
    <w:p>
      <w:pPr>
        <w:pStyle w:val="9"/>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十二、拟安排的项目团队主要成员（项目负责人除外）情况（格式自定）</w:t>
      </w:r>
    </w:p>
    <w:p>
      <w:pPr>
        <w:pStyle w:val="9"/>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78" w:beforeLines="25" w:after="78" w:afterLines="25"/>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三</w:t>
      </w:r>
      <w:r>
        <w:rPr>
          <w:rFonts w:hint="eastAsia" w:ascii="黑体" w:eastAsia="黑体"/>
          <w:b w:val="0"/>
          <w:kern w:val="0"/>
          <w:sz w:val="24"/>
          <w:szCs w:val="24"/>
        </w:rPr>
        <w:t>、投标人通过相关认证情况</w:t>
      </w:r>
    </w:p>
    <w:p>
      <w:pPr>
        <w:pStyle w:val="5"/>
        <w:jc w:val="center"/>
        <w:rPr>
          <w:rFonts w:ascii="黑体" w:eastAsia="黑体"/>
          <w:b w:val="0"/>
          <w:kern w:val="0"/>
          <w:sz w:val="24"/>
          <w:szCs w:val="24"/>
        </w:rPr>
      </w:pPr>
      <w:r>
        <w:rPr>
          <w:rFonts w:hint="eastAsia" w:ascii="黑体" w:eastAsia="黑体"/>
          <w:b w:val="0"/>
          <w:kern w:val="0"/>
          <w:sz w:val="24"/>
          <w:szCs w:val="24"/>
        </w:rPr>
        <w:t>（格式自定）</w:t>
      </w:r>
    </w:p>
    <w:p>
      <w:pPr>
        <w:pStyle w:val="9"/>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9"/>
        <w:spacing w:before="78" w:beforeLines="25" w:after="78" w:afterLines="25"/>
        <w:ind w:firstLine="0"/>
        <w:rPr>
          <w:rFonts w:asciiTheme="minorEastAsia" w:hAnsiTheme="minorEastAsia" w:eastAsiaTheme="minorEastAsia" w:cstheme="minorEastAsia"/>
          <w:sz w:val="24"/>
        </w:rPr>
      </w:pPr>
    </w:p>
    <w:p>
      <w:pPr>
        <w:pStyle w:val="5"/>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四</w:t>
      </w:r>
      <w:r>
        <w:rPr>
          <w:rFonts w:hint="eastAsia" w:ascii="黑体" w:eastAsia="黑体"/>
          <w:b w:val="0"/>
          <w:kern w:val="0"/>
          <w:sz w:val="24"/>
          <w:szCs w:val="24"/>
        </w:rPr>
        <w:t>、同类项目业绩情况（格式自定）</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2"/>
      </w:pPr>
    </w:p>
    <w:p>
      <w:pPr>
        <w:pStyle w:val="5"/>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五</w:t>
      </w:r>
      <w:r>
        <w:rPr>
          <w:rFonts w:hint="eastAsia" w:ascii="黑体" w:eastAsia="黑体"/>
          <w:b w:val="0"/>
          <w:kern w:val="0"/>
          <w:sz w:val="24"/>
          <w:szCs w:val="24"/>
        </w:rPr>
        <w:t>、服务网点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（特别提示：投标人须按本采购文件评标信息中这一评审因素要求，提供证明资料）</w:t>
      </w:r>
    </w:p>
    <w:p>
      <w:pPr>
        <w:pStyle w:val="2"/>
      </w:pPr>
    </w:p>
    <w:p>
      <w:pPr>
        <w:pStyle w:val="5"/>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六</w:t>
      </w:r>
      <w:bookmarkStart w:id="105" w:name="_GoBack"/>
      <w:bookmarkEnd w:id="105"/>
      <w:r>
        <w:rPr>
          <w:rFonts w:hint="eastAsia" w:ascii="黑体" w:eastAsia="黑体"/>
          <w:b w:val="0"/>
          <w:kern w:val="0"/>
          <w:sz w:val="24"/>
          <w:szCs w:val="24"/>
        </w:rPr>
        <w:t>、投标人认为需要加以说明的其他内容（格式自定）</w:t>
      </w:r>
    </w:p>
    <w:p>
      <w:pPr>
        <w:pStyle w:val="2"/>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
      </w:pPr>
    </w:p>
    <w:p>
      <w:pPr>
        <w:widowControl/>
        <w:jc w:val="left"/>
        <w:rPr>
          <w:rFonts w:ascii="宋体" w:hAnsi="宋体"/>
          <w:b/>
          <w:bCs/>
          <w:kern w:val="0"/>
          <w:sz w:val="24"/>
          <w:szCs w:val="20"/>
        </w:rPr>
      </w:pPr>
      <w:r>
        <w:br w:type="page"/>
      </w:r>
    </w:p>
    <w:p>
      <w:pPr>
        <w:pStyle w:val="7"/>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r>
        <w:rPr>
          <w:rFonts w:hint="eastAsia"/>
          <w:b/>
          <w:sz w:val="52"/>
          <w:szCs w:val="52"/>
        </w:rPr>
        <w:t>消防安全评估合同</w:t>
      </w:r>
    </w:p>
    <w:p>
      <w:pPr>
        <w:spacing w:line="360" w:lineRule="auto"/>
        <w:rPr>
          <w:sz w:val="32"/>
          <w:szCs w:val="32"/>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ind w:firstLine="181" w:firstLineChars="50"/>
        <w:rPr>
          <w:b/>
          <w:bCs/>
          <w:sz w:val="36"/>
        </w:rPr>
      </w:pPr>
      <w:r>
        <w:rPr>
          <w:b/>
          <w:bCs/>
          <w:sz w:val="36"/>
        </w:rPr>
        <w:t>工程名称：</w:t>
      </w:r>
      <w:r>
        <w:rPr>
          <w:rFonts w:hint="eastAsia"/>
          <w:b/>
          <w:bCs/>
          <w:sz w:val="36"/>
        </w:rPr>
        <w:t>X</w:t>
      </w:r>
      <w:r>
        <w:rPr>
          <w:b/>
          <w:bCs/>
          <w:sz w:val="36"/>
        </w:rPr>
        <w:t>XXX</w:t>
      </w:r>
      <w:r>
        <w:rPr>
          <w:rFonts w:hint="eastAsia"/>
          <w:b/>
          <w:bCs/>
          <w:sz w:val="36"/>
        </w:rPr>
        <w:t>消防安全评估</w:t>
      </w:r>
    </w:p>
    <w:p>
      <w:pPr>
        <w:pStyle w:val="37"/>
        <w:spacing w:line="360" w:lineRule="auto"/>
        <w:ind w:firstLine="181" w:firstLineChars="50"/>
        <w:rPr>
          <w:b/>
          <w:bCs/>
          <w:sz w:val="36"/>
        </w:rPr>
      </w:pPr>
      <w:r>
        <w:rPr>
          <w:rFonts w:hint="eastAsia"/>
          <w:b/>
          <w:bCs/>
          <w:sz w:val="36"/>
        </w:rPr>
        <w:t>委托单位</w:t>
      </w:r>
      <w:r>
        <w:rPr>
          <w:b/>
          <w:bCs/>
          <w:sz w:val="36"/>
        </w:rPr>
        <w:t xml:space="preserve">： </w:t>
      </w:r>
    </w:p>
    <w:p>
      <w:pPr>
        <w:pStyle w:val="37"/>
        <w:spacing w:line="360" w:lineRule="auto"/>
        <w:ind w:firstLine="181" w:firstLineChars="50"/>
        <w:rPr>
          <w:b/>
          <w:bCs/>
          <w:sz w:val="36"/>
        </w:rPr>
      </w:pPr>
      <w:r>
        <w:rPr>
          <w:rFonts w:hint="eastAsia"/>
          <w:b/>
          <w:bCs/>
          <w:sz w:val="36"/>
        </w:rPr>
        <w:t>评估单位</w:t>
      </w:r>
      <w:r>
        <w:rPr>
          <w:b/>
          <w:bCs/>
          <w:sz w:val="36"/>
        </w:rPr>
        <w:t>：</w:t>
      </w:r>
    </w:p>
    <w:p>
      <w:pPr>
        <w:pStyle w:val="37"/>
        <w:spacing w:line="360" w:lineRule="auto"/>
        <w:ind w:firstLine="181" w:firstLineChars="50"/>
        <w:rPr>
          <w:b/>
          <w:bCs/>
          <w:sz w:val="36"/>
        </w:rPr>
      </w:pPr>
      <w:r>
        <w:rPr>
          <w:rFonts w:hint="eastAsia"/>
          <w:b/>
          <w:bCs/>
          <w:sz w:val="36"/>
        </w:rPr>
        <w:t>合同编号：                 （由乙方编写）</w:t>
      </w:r>
    </w:p>
    <w:p>
      <w:pPr>
        <w:pStyle w:val="37"/>
        <w:spacing w:line="360" w:lineRule="auto"/>
        <w:ind w:firstLine="181" w:firstLineChars="50"/>
        <w:rPr>
          <w:b/>
          <w:bCs/>
          <w:sz w:val="36"/>
        </w:rPr>
        <w:sectPr>
          <w:footerReference r:id="rId3" w:type="default"/>
          <w:pgSz w:w="11906" w:h="16838"/>
          <w:pgMar w:top="1440" w:right="1800" w:bottom="1440" w:left="1800" w:header="851" w:footer="992" w:gutter="0"/>
          <w:cols w:space="720" w:num="1"/>
          <w:docGrid w:type="lines" w:linePitch="312" w:charSpace="0"/>
        </w:sectPr>
      </w:pPr>
      <w:r>
        <w:rPr>
          <w:b/>
          <w:bCs/>
          <w:sz w:val="36"/>
        </w:rPr>
        <w:t>签订日期：</w:t>
      </w:r>
      <w:r>
        <w:rPr>
          <w:rFonts w:hint="eastAsia"/>
          <w:b/>
          <w:bCs/>
          <w:sz w:val="36"/>
        </w:rPr>
        <w:t xml:space="preserve">   </w:t>
      </w:r>
      <w:r>
        <w:rPr>
          <w:b/>
          <w:bCs/>
          <w:sz w:val="36"/>
        </w:rPr>
        <w:t>年</w:t>
      </w:r>
      <w:r>
        <w:rPr>
          <w:rFonts w:hint="eastAsia"/>
          <w:b/>
          <w:bCs/>
          <w:sz w:val="36"/>
        </w:rPr>
        <w:t xml:space="preserve">   月   日</w:t>
      </w:r>
    </w:p>
    <w:p>
      <w:pPr>
        <w:adjustRightInd w:val="0"/>
        <w:snapToGrid w:val="0"/>
        <w:spacing w:after="120" w:afterLines="50" w:line="360" w:lineRule="auto"/>
        <w:jc w:val="left"/>
        <w:rPr>
          <w:rFonts w:ascii="宋体" w:hAnsi="宋体"/>
          <w:b/>
          <w:sz w:val="24"/>
        </w:rPr>
      </w:pPr>
      <w:r>
        <w:rPr>
          <w:rFonts w:hint="eastAsia" w:ascii="宋体" w:hAnsi="宋体"/>
          <w:b/>
          <w:sz w:val="24"/>
        </w:rPr>
        <w:t>委托单位：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（以下简称甲方）</w:t>
      </w:r>
    </w:p>
    <w:p>
      <w:pPr>
        <w:adjustRightInd w:val="0"/>
        <w:snapToGrid w:val="0"/>
        <w:spacing w:after="120" w:afterLines="50" w:line="360" w:lineRule="auto"/>
        <w:jc w:val="left"/>
        <w:rPr>
          <w:rFonts w:ascii="宋体" w:hAnsi="宋体"/>
          <w:b/>
          <w:sz w:val="24"/>
        </w:rPr>
      </w:pPr>
      <w:r>
        <w:rPr>
          <w:rFonts w:hint="eastAsia" w:ascii="宋体" w:hAnsi="宋体"/>
          <w:b/>
          <w:sz w:val="24"/>
        </w:rPr>
        <w:t>评估单位：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（以下简称乙方）</w:t>
      </w:r>
    </w:p>
    <w:p>
      <w:pPr>
        <w:adjustRightInd w:val="0"/>
        <w:snapToGrid w:val="0"/>
        <w:spacing w:after="120" w:afterLines="50" w:line="360" w:lineRule="auto"/>
        <w:jc w:val="left"/>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合同依据下列文件签订：</w:t>
      </w:r>
    </w:p>
    <w:p>
      <w:pPr>
        <w:spacing w:line="360" w:lineRule="auto"/>
        <w:ind w:firstLine="480" w:firstLineChars="200"/>
        <w:rPr>
          <w:sz w:val="32"/>
          <w:szCs w:val="32"/>
        </w:rPr>
      </w:pPr>
      <w:r>
        <w:rPr>
          <w:rFonts w:ascii="宋体" w:hAnsi="宋体"/>
          <w:sz w:val="24"/>
        </w:rPr>
        <w:t>甲乙双方根据《中华人民共和国</w:t>
      </w:r>
      <w:r>
        <w:rPr>
          <w:rFonts w:hint="eastAsia" w:ascii="宋体" w:hAnsi="宋体"/>
          <w:sz w:val="24"/>
        </w:rPr>
        <w:t>民法典</w:t>
      </w:r>
      <w:r>
        <w:rPr>
          <w:rFonts w:ascii="宋体" w:hAnsi="宋体"/>
          <w:sz w:val="24"/>
        </w:rPr>
        <w:t>》、《中华人民共和国消防法》</w:t>
      </w:r>
      <w:r>
        <w:rPr>
          <w:rFonts w:hint="eastAsia" w:ascii="宋体" w:hAnsi="宋体"/>
          <w:sz w:val="24"/>
        </w:rPr>
        <w:t>及</w:t>
      </w:r>
      <w:r>
        <w:rPr>
          <w:rFonts w:ascii="宋体" w:hAnsi="宋体"/>
          <w:sz w:val="24"/>
        </w:rPr>
        <w:t>国家有关法律法规，结合具体情况，经协商达成如下协议，共同遵守本合同。</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项目的内容：</w:t>
      </w:r>
      <w:r>
        <w:rPr>
          <w:rFonts w:ascii="宋体" w:hAnsi="宋体" w:cs="宋体"/>
          <w:b/>
          <w:kern w:val="0"/>
          <w:sz w:val="24"/>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项目名称</w:t>
      </w:r>
      <w:r>
        <w:rPr>
          <w:rFonts w:ascii="宋体" w:hAnsi="宋体" w:cs="宋体"/>
          <w:b/>
          <w:kern w:val="0"/>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工程</w:t>
      </w:r>
      <w:r>
        <w:rPr>
          <w:rFonts w:ascii="宋体" w:hAnsi="宋体" w:cs="宋体"/>
          <w:b/>
          <w:kern w:val="0"/>
          <w:sz w:val="24"/>
        </w:rPr>
        <w:t>地点：</w:t>
      </w:r>
      <w:r>
        <w:rPr>
          <w:rFonts w:hint="eastAsia" w:ascii="宋体" w:hAnsi="宋体"/>
          <w:b/>
          <w:sz w:val="24"/>
          <w:u w:val="single"/>
        </w:rPr>
        <w:t xml:space="preserve"> </w:t>
      </w:r>
      <w:r>
        <w:rPr>
          <w:rFonts w:ascii="宋体" w:hAnsi="宋体"/>
          <w:b/>
          <w:sz w:val="24"/>
          <w:u w:val="single"/>
        </w:rPr>
        <w:t xml:space="preserve">                          </w:t>
      </w:r>
    </w:p>
    <w:p>
      <w:r>
        <w:rPr>
          <w:rFonts w:hint="eastAsia" w:ascii="宋体" w:hAnsi="宋体" w:cs="宋体"/>
          <w:b/>
          <w:kern w:val="0"/>
          <w:sz w:val="24"/>
        </w:rPr>
        <w:t>项目</w:t>
      </w:r>
      <w:r>
        <w:rPr>
          <w:rFonts w:ascii="宋体" w:hAnsi="宋体" w:cs="宋体"/>
          <w:b/>
          <w:kern w:val="0"/>
          <w:sz w:val="24"/>
        </w:rPr>
        <w:t>概况：</w:t>
      </w:r>
      <w:r>
        <w:rPr>
          <w:rFonts w:ascii="宋体" w:hAnsi="宋体" w:cs="宋体"/>
          <w:b/>
          <w:kern w:val="0"/>
          <w:sz w:val="24"/>
          <w:u w:val="single"/>
        </w:rPr>
        <w:t xml:space="preserve">                           </w:t>
      </w: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评估的类别</w:t>
      </w:r>
      <w:r>
        <w:rPr>
          <w:rFonts w:hint="eastAsia" w:ascii="宋体" w:hAnsi="宋体" w:cs="宋体"/>
          <w:b/>
          <w:kern w:val="0"/>
          <w:sz w:val="24"/>
        </w:rPr>
        <w:t>：</w:t>
      </w:r>
    </w:p>
    <w:p>
      <w:pPr>
        <w:spacing w:line="360" w:lineRule="auto"/>
        <w:ind w:firstLine="240" w:firstLineChars="100"/>
        <w:rPr>
          <w:rFonts w:ascii="宋体" w:hAnsi="宋体"/>
          <w:sz w:val="24"/>
        </w:rPr>
      </w:pPr>
      <w:r>
        <w:rPr>
          <w:rFonts w:hint="eastAsia" w:ascii="宋体" w:hAnsi="宋体"/>
          <w:sz w:val="24"/>
        </w:rPr>
        <w:sym w:font="Webdings" w:char="F03C"/>
      </w:r>
      <w:r>
        <w:rPr>
          <w:rFonts w:ascii="宋体" w:hAnsi="宋体"/>
          <w:sz w:val="24"/>
        </w:rPr>
        <w:t>火灾高危单位消防安全评估；</w:t>
      </w:r>
    </w:p>
    <w:p>
      <w:pPr>
        <w:numPr>
          <w:ilvl w:val="0"/>
          <w:numId w:val="10"/>
        </w:numPr>
        <w:spacing w:line="360" w:lineRule="auto"/>
        <w:rPr>
          <w:rFonts w:ascii="宋体" w:hAnsi="宋体"/>
          <w:sz w:val="24"/>
        </w:rPr>
      </w:pPr>
      <w:r>
        <w:rPr>
          <w:rFonts w:ascii="宋体" w:hAnsi="宋体"/>
          <w:sz w:val="24"/>
        </w:rPr>
        <w:t>区域消防安全评估；</w:t>
      </w:r>
    </w:p>
    <w:p>
      <w:pPr>
        <w:numPr>
          <w:ilvl w:val="0"/>
          <w:numId w:val="10"/>
        </w:numPr>
        <w:spacing w:line="360" w:lineRule="auto"/>
        <w:rPr>
          <w:rFonts w:ascii="宋体" w:hAnsi="宋体"/>
          <w:sz w:val="24"/>
        </w:rPr>
      </w:pPr>
      <w:r>
        <w:rPr>
          <w:rFonts w:ascii="宋体" w:hAnsi="宋体"/>
          <w:sz w:val="24"/>
        </w:rPr>
        <w:t>大型活动消防安全评估；</w:t>
      </w:r>
    </w:p>
    <w:p>
      <w:pPr>
        <w:numPr>
          <w:ilvl w:val="0"/>
          <w:numId w:val="10"/>
        </w:numPr>
        <w:spacing w:line="360" w:lineRule="auto"/>
        <w:rPr>
          <w:rFonts w:ascii="宋体" w:hAnsi="宋体"/>
          <w:sz w:val="24"/>
        </w:rPr>
      </w:pPr>
      <w:r>
        <w:rPr>
          <w:rFonts w:ascii="宋体" w:hAnsi="宋体"/>
          <w:sz w:val="24"/>
        </w:rPr>
        <w:t>特殊消防设计方案安全评估；</w:t>
      </w:r>
    </w:p>
    <w:p>
      <w:pPr>
        <w:numPr>
          <w:ilvl w:val="0"/>
          <w:numId w:val="10"/>
        </w:numPr>
        <w:spacing w:line="360" w:lineRule="auto"/>
        <w:rPr>
          <w:rFonts w:ascii="宋体" w:hAnsi="宋体"/>
          <w:sz w:val="24"/>
        </w:rPr>
      </w:pPr>
      <w:r>
        <w:rPr>
          <w:rFonts w:eastAsia="仿宋_GB2312"/>
          <w:color w:val="000000"/>
          <w:sz w:val="32"/>
          <w:szCs w:val="32"/>
          <w:u w:val="single"/>
        </w:rPr>
        <w:t xml:space="preserve">                              </w:t>
      </w:r>
    </w:p>
    <w:p>
      <w:pPr>
        <w:spacing w:line="360" w:lineRule="auto"/>
        <w:ind w:left="180"/>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评估标准和依据</w:t>
      </w:r>
      <w:r>
        <w:rPr>
          <w:rFonts w:hint="eastAsia" w:ascii="宋体" w:hAnsi="宋体" w:cs="宋体"/>
          <w:b/>
          <w:kern w:val="0"/>
          <w:sz w:val="24"/>
        </w:rPr>
        <w:t>：</w:t>
      </w:r>
    </w:p>
    <w:p>
      <w:pPr>
        <w:widowControl/>
        <w:spacing w:line="360" w:lineRule="auto"/>
        <w:ind w:firstLine="120" w:firstLineChars="50"/>
        <w:jc w:val="left"/>
        <w:rPr>
          <w:rFonts w:ascii="宋体" w:hAnsi="宋体"/>
          <w:sz w:val="24"/>
        </w:rPr>
      </w:pPr>
      <w:r>
        <w:rPr>
          <w:rFonts w:hint="eastAsia" w:ascii="宋体" w:hAnsi="宋体"/>
          <w:sz w:val="24"/>
        </w:rPr>
        <w:t>广东省标准《建筑消防安全评估标准》</w:t>
      </w:r>
      <w:r>
        <w:rPr>
          <w:rFonts w:ascii="宋体" w:hAnsi="宋体"/>
          <w:sz w:val="24"/>
        </w:rPr>
        <w:t>（DBJ/T 15-144-2018）</w:t>
      </w:r>
    </w:p>
    <w:p>
      <w:pPr>
        <w:widowControl/>
        <w:spacing w:line="360" w:lineRule="auto"/>
        <w:jc w:val="left"/>
        <w:rPr>
          <w:rFonts w:ascii="宋体" w:hAnsi="宋体"/>
          <w:sz w:val="24"/>
        </w:rPr>
      </w:pPr>
      <w:r>
        <w:rPr>
          <w:rFonts w:hint="eastAsia" w:ascii="宋体" w:hAnsi="宋体"/>
          <w:sz w:val="24"/>
        </w:rPr>
        <w:t>《中华人民共和国消防法》</w:t>
      </w:r>
    </w:p>
    <w:p>
      <w:pPr>
        <w:widowControl/>
        <w:spacing w:line="360" w:lineRule="auto"/>
        <w:jc w:val="left"/>
        <w:rPr>
          <w:rFonts w:ascii="宋体" w:hAnsi="宋体"/>
          <w:sz w:val="24"/>
        </w:rPr>
      </w:pPr>
      <w:r>
        <w:rPr>
          <w:rFonts w:hint="eastAsia" w:ascii="宋体" w:hAnsi="宋体"/>
          <w:sz w:val="24"/>
        </w:rPr>
        <w:t>《机关、团体、企业、事业单位消防安全管理规定》（公安部令第61号）</w:t>
      </w:r>
    </w:p>
    <w:p>
      <w:r>
        <w:rPr>
          <w:rFonts w:hint="eastAsia" w:ascii="宋体" w:hAnsi="宋体"/>
          <w:sz w:val="24"/>
        </w:rPr>
        <w:t>《重大火灾隐患判定方法》</w:t>
      </w:r>
    </w:p>
    <w:p>
      <w:pPr>
        <w:widowControl/>
        <w:spacing w:line="360" w:lineRule="auto"/>
        <w:jc w:val="left"/>
        <w:rPr>
          <w:rFonts w:ascii="宋体" w:hAnsi="宋体"/>
          <w:sz w:val="24"/>
        </w:rPr>
      </w:pPr>
    </w:p>
    <w:p>
      <w:pPr>
        <w:pStyle w:val="2"/>
      </w:pPr>
      <w:r>
        <w:rPr>
          <w:rFonts w:hint="eastAsia"/>
        </w:rPr>
        <w:t>广东省实施《中华人民共和国消防法》办法</w:t>
      </w:r>
    </w:p>
    <w:p>
      <w:pPr>
        <w:widowControl/>
        <w:spacing w:line="360" w:lineRule="auto"/>
        <w:jc w:val="left"/>
        <w:rPr>
          <w:sz w:val="24"/>
        </w:rPr>
      </w:pPr>
      <w:r>
        <w:rPr>
          <w:rFonts w:hint="eastAsia" w:ascii="宋体" w:hAnsi="宋体" w:cs="宋体"/>
          <w:color w:val="000000"/>
          <w:kern w:val="0"/>
          <w:sz w:val="24"/>
          <w:lang w:bidi="ar"/>
        </w:rPr>
        <w:t>《广东省火灾高危单位消防安全管理规定 》</w:t>
      </w:r>
    </w:p>
    <w:p>
      <w:pPr>
        <w:widowControl/>
        <w:spacing w:line="360" w:lineRule="auto"/>
        <w:jc w:val="left"/>
        <w:rPr>
          <w:sz w:val="24"/>
        </w:rPr>
      </w:pPr>
      <w:r>
        <w:rPr>
          <w:rFonts w:hint="eastAsia" w:ascii="宋体" w:hAnsi="宋体" w:cs="宋体"/>
          <w:color w:val="000000"/>
          <w:kern w:val="0"/>
          <w:sz w:val="24"/>
          <w:lang w:bidi="ar"/>
        </w:rPr>
        <w:t>《广东省消防安全重点单位管理规定》</w:t>
      </w:r>
    </w:p>
    <w:p>
      <w:pPr>
        <w:widowControl/>
        <w:spacing w:line="360" w:lineRule="auto"/>
        <w:jc w:val="left"/>
        <w:rPr>
          <w:rFonts w:eastAsia="仿宋_GB2312"/>
          <w:color w:val="00000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评估内容：</w:t>
      </w:r>
      <w:r>
        <w:rPr>
          <w:rFonts w:ascii="宋体" w:hAnsi="宋体" w:cs="宋体"/>
          <w:b/>
          <w:kern w:val="0"/>
          <w:sz w:val="24"/>
        </w:rPr>
        <w:t xml:space="preserve"> </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建筑防火</w:t>
      </w:r>
    </w:p>
    <w:p>
      <w:pPr>
        <w:numPr>
          <w:ilvl w:val="1"/>
          <w:numId w:val="12"/>
        </w:numPr>
        <w:spacing w:line="360" w:lineRule="auto"/>
        <w:ind w:left="0" w:firstLine="0"/>
        <w:rPr>
          <w:rFonts w:ascii="宋体" w:hAnsi="宋体"/>
          <w:sz w:val="24"/>
        </w:rPr>
      </w:pPr>
      <w:r>
        <w:rPr>
          <w:rFonts w:ascii="宋体" w:hAnsi="宋体"/>
          <w:sz w:val="24"/>
        </w:rPr>
        <w:t>耐火等级和总平面布局</w:t>
      </w:r>
    </w:p>
    <w:p>
      <w:pPr>
        <w:numPr>
          <w:ilvl w:val="1"/>
          <w:numId w:val="12"/>
        </w:numPr>
        <w:spacing w:line="360" w:lineRule="auto"/>
        <w:ind w:left="0" w:firstLine="0"/>
        <w:rPr>
          <w:rFonts w:ascii="宋体" w:hAnsi="宋体"/>
          <w:sz w:val="24"/>
        </w:rPr>
      </w:pPr>
      <w:r>
        <w:rPr>
          <w:rFonts w:hint="eastAsia" w:ascii="宋体" w:hAnsi="宋体"/>
          <w:sz w:val="24"/>
        </w:rPr>
        <w:t>防火分区</w:t>
      </w:r>
    </w:p>
    <w:p>
      <w:pPr>
        <w:numPr>
          <w:ilvl w:val="1"/>
          <w:numId w:val="12"/>
        </w:numPr>
        <w:spacing w:line="360" w:lineRule="auto"/>
        <w:ind w:left="0" w:firstLine="0"/>
        <w:rPr>
          <w:rFonts w:ascii="宋体" w:hAnsi="宋体"/>
          <w:sz w:val="24"/>
        </w:rPr>
      </w:pPr>
      <w:r>
        <w:rPr>
          <w:rFonts w:hint="eastAsia" w:ascii="宋体" w:hAnsi="宋体"/>
          <w:sz w:val="24"/>
        </w:rPr>
        <w:t>平面布置</w:t>
      </w:r>
    </w:p>
    <w:p>
      <w:pPr>
        <w:numPr>
          <w:ilvl w:val="1"/>
          <w:numId w:val="12"/>
        </w:numPr>
        <w:spacing w:line="360" w:lineRule="auto"/>
        <w:ind w:left="0" w:firstLine="0"/>
        <w:rPr>
          <w:rFonts w:ascii="宋体" w:hAnsi="宋体"/>
          <w:sz w:val="24"/>
        </w:rPr>
      </w:pPr>
      <w:r>
        <w:rPr>
          <w:rFonts w:hint="eastAsia" w:ascii="宋体" w:hAnsi="宋体"/>
          <w:sz w:val="24"/>
        </w:rPr>
        <w:t>安全疏散和</w:t>
      </w:r>
      <w:r>
        <w:rPr>
          <w:rFonts w:ascii="宋体" w:hAnsi="宋体"/>
          <w:sz w:val="24"/>
        </w:rPr>
        <w:t>避难</w:t>
      </w:r>
    </w:p>
    <w:p>
      <w:pPr>
        <w:numPr>
          <w:ilvl w:val="1"/>
          <w:numId w:val="12"/>
        </w:numPr>
        <w:spacing w:line="360" w:lineRule="auto"/>
        <w:ind w:left="0" w:firstLine="0"/>
        <w:rPr>
          <w:rFonts w:ascii="宋体" w:hAnsi="宋体"/>
          <w:sz w:val="24"/>
        </w:rPr>
      </w:pPr>
      <w:r>
        <w:rPr>
          <w:rFonts w:hint="eastAsia" w:ascii="宋体" w:hAnsi="宋体"/>
          <w:sz w:val="24"/>
        </w:rPr>
        <w:t>电气</w:t>
      </w:r>
    </w:p>
    <w:p>
      <w:pPr>
        <w:numPr>
          <w:ilvl w:val="1"/>
          <w:numId w:val="12"/>
        </w:numPr>
        <w:spacing w:line="360" w:lineRule="auto"/>
        <w:ind w:left="0" w:firstLine="0"/>
        <w:rPr>
          <w:rFonts w:ascii="宋体" w:hAnsi="宋体"/>
          <w:sz w:val="24"/>
        </w:rPr>
      </w:pPr>
      <w:r>
        <w:rPr>
          <w:rFonts w:hint="eastAsia" w:ascii="宋体" w:hAnsi="宋体"/>
          <w:sz w:val="24"/>
        </w:rPr>
        <w:t>灭火救援</w:t>
      </w:r>
    </w:p>
    <w:p>
      <w:pPr>
        <w:numPr>
          <w:ilvl w:val="1"/>
          <w:numId w:val="12"/>
        </w:numPr>
        <w:spacing w:line="360" w:lineRule="auto"/>
        <w:ind w:left="0" w:firstLine="0"/>
        <w:rPr>
          <w:rFonts w:ascii="宋体" w:hAnsi="宋体"/>
          <w:sz w:val="24"/>
        </w:rPr>
      </w:pPr>
      <w:r>
        <w:rPr>
          <w:rFonts w:hint="eastAsia" w:ascii="宋体" w:hAnsi="宋体"/>
          <w:sz w:val="24"/>
        </w:rPr>
        <w:t>室内外装修</w:t>
      </w:r>
      <w:r>
        <w:rPr>
          <w:rFonts w:ascii="宋体" w:hAnsi="宋体"/>
          <w:sz w:val="24"/>
        </w:rPr>
        <w:t>和</w:t>
      </w:r>
      <w:r>
        <w:rPr>
          <w:rFonts w:hint="eastAsia" w:ascii="宋体" w:hAnsi="宋体"/>
          <w:sz w:val="24"/>
        </w:rPr>
        <w:t>保温隔热系统</w:t>
      </w:r>
    </w:p>
    <w:p>
      <w:pPr>
        <w:numPr>
          <w:ilvl w:val="1"/>
          <w:numId w:val="12"/>
        </w:numPr>
        <w:spacing w:line="360" w:lineRule="auto"/>
        <w:ind w:left="0" w:firstLine="0"/>
        <w:rPr>
          <w:rFonts w:ascii="宋体" w:hAnsi="宋体"/>
          <w:sz w:val="24"/>
        </w:rPr>
      </w:pPr>
      <w:r>
        <w:rPr>
          <w:rFonts w:hint="eastAsia" w:ascii="宋体" w:hAnsi="宋体"/>
          <w:sz w:val="24"/>
        </w:rPr>
        <w:t>通风</w:t>
      </w:r>
      <w:r>
        <w:rPr>
          <w:rFonts w:ascii="宋体" w:hAnsi="宋体"/>
          <w:sz w:val="24"/>
        </w:rPr>
        <w:t>和空气调节</w:t>
      </w:r>
    </w:p>
    <w:p>
      <w:pPr>
        <w:numPr>
          <w:ilvl w:val="1"/>
          <w:numId w:val="12"/>
        </w:numPr>
        <w:spacing w:line="360" w:lineRule="auto"/>
        <w:ind w:left="0" w:firstLine="0"/>
        <w:rPr>
          <w:rFonts w:ascii="宋体" w:hAnsi="宋体"/>
          <w:sz w:val="24"/>
        </w:rPr>
      </w:pPr>
      <w:r>
        <w:rPr>
          <w:rFonts w:hint="eastAsia" w:ascii="宋体" w:hAnsi="宋体"/>
          <w:sz w:val="24"/>
        </w:rPr>
        <w:t>防爆措施</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消防设施</w:t>
      </w:r>
      <w:r>
        <w:rPr>
          <w:rFonts w:ascii="宋体" w:hAnsi="宋体"/>
          <w:b/>
          <w:sz w:val="24"/>
        </w:rPr>
        <w:t>及器材</w:t>
      </w:r>
    </w:p>
    <w:p>
      <w:pPr>
        <w:numPr>
          <w:ilvl w:val="1"/>
          <w:numId w:val="13"/>
        </w:numPr>
        <w:spacing w:line="360" w:lineRule="auto"/>
        <w:ind w:left="0" w:firstLine="0"/>
        <w:rPr>
          <w:rFonts w:ascii="宋体" w:hAnsi="宋体"/>
          <w:sz w:val="24"/>
        </w:rPr>
      </w:pPr>
      <w:r>
        <w:rPr>
          <w:rFonts w:ascii="宋体" w:hAnsi="宋体"/>
          <w:sz w:val="24"/>
        </w:rPr>
        <w:t>消防给水及消火栓系统</w:t>
      </w:r>
    </w:p>
    <w:p>
      <w:pPr>
        <w:numPr>
          <w:ilvl w:val="1"/>
          <w:numId w:val="13"/>
        </w:numPr>
        <w:spacing w:line="360" w:lineRule="auto"/>
        <w:ind w:left="0" w:firstLine="0"/>
        <w:rPr>
          <w:rFonts w:ascii="宋体" w:hAnsi="宋体"/>
          <w:sz w:val="24"/>
        </w:rPr>
      </w:pPr>
      <w:r>
        <w:rPr>
          <w:rFonts w:ascii="宋体" w:hAnsi="宋体"/>
          <w:sz w:val="24"/>
        </w:rPr>
        <w:t>自动灭火系统</w:t>
      </w:r>
    </w:p>
    <w:p>
      <w:pPr>
        <w:numPr>
          <w:ilvl w:val="1"/>
          <w:numId w:val="13"/>
        </w:numPr>
        <w:spacing w:line="360" w:lineRule="auto"/>
        <w:ind w:left="0" w:firstLine="0"/>
        <w:rPr>
          <w:rFonts w:ascii="宋体" w:hAnsi="宋体"/>
          <w:sz w:val="24"/>
        </w:rPr>
      </w:pPr>
      <w:r>
        <w:rPr>
          <w:rFonts w:ascii="宋体" w:hAnsi="宋体"/>
          <w:sz w:val="24"/>
        </w:rPr>
        <w:t>火灾自动</w:t>
      </w:r>
      <w:r>
        <w:rPr>
          <w:rFonts w:hint="eastAsia" w:ascii="宋体" w:hAnsi="宋体"/>
          <w:sz w:val="24"/>
        </w:rPr>
        <w:t>报警</w:t>
      </w:r>
      <w:r>
        <w:rPr>
          <w:rFonts w:ascii="宋体" w:hAnsi="宋体"/>
          <w:sz w:val="24"/>
        </w:rPr>
        <w:t>系统</w:t>
      </w:r>
    </w:p>
    <w:p>
      <w:pPr>
        <w:numPr>
          <w:ilvl w:val="1"/>
          <w:numId w:val="13"/>
        </w:numPr>
        <w:spacing w:line="360" w:lineRule="auto"/>
        <w:ind w:left="0" w:firstLine="0"/>
        <w:rPr>
          <w:rFonts w:ascii="宋体" w:hAnsi="宋体"/>
          <w:sz w:val="24"/>
        </w:rPr>
      </w:pPr>
      <w:r>
        <w:rPr>
          <w:rFonts w:ascii="宋体" w:hAnsi="宋体"/>
          <w:sz w:val="24"/>
        </w:rPr>
        <w:t>防排烟系统</w:t>
      </w:r>
    </w:p>
    <w:p>
      <w:pPr>
        <w:numPr>
          <w:ilvl w:val="1"/>
          <w:numId w:val="13"/>
        </w:numPr>
        <w:spacing w:line="360" w:lineRule="auto"/>
        <w:ind w:left="0" w:firstLine="0"/>
        <w:rPr>
          <w:rFonts w:ascii="宋体" w:hAnsi="宋体"/>
          <w:sz w:val="24"/>
        </w:rPr>
      </w:pPr>
      <w:r>
        <w:rPr>
          <w:rFonts w:ascii="宋体" w:hAnsi="宋体"/>
          <w:sz w:val="24"/>
        </w:rPr>
        <w:t>消防电源</w:t>
      </w:r>
    </w:p>
    <w:p>
      <w:pPr>
        <w:numPr>
          <w:ilvl w:val="1"/>
          <w:numId w:val="13"/>
        </w:numPr>
        <w:spacing w:line="360" w:lineRule="auto"/>
        <w:ind w:left="0" w:firstLine="0"/>
        <w:rPr>
          <w:rFonts w:ascii="宋体" w:hAnsi="宋体"/>
          <w:sz w:val="24"/>
        </w:rPr>
      </w:pPr>
      <w:r>
        <w:rPr>
          <w:rFonts w:ascii="宋体" w:hAnsi="宋体"/>
          <w:sz w:val="24"/>
        </w:rPr>
        <w:t>疏散指示标志及应急照明</w:t>
      </w:r>
    </w:p>
    <w:p>
      <w:pPr>
        <w:numPr>
          <w:ilvl w:val="1"/>
          <w:numId w:val="13"/>
        </w:numPr>
        <w:spacing w:line="360" w:lineRule="auto"/>
        <w:ind w:left="0" w:firstLine="0"/>
        <w:rPr>
          <w:rFonts w:ascii="宋体" w:hAnsi="宋体"/>
          <w:sz w:val="24"/>
        </w:rPr>
      </w:pPr>
      <w:r>
        <w:rPr>
          <w:rFonts w:ascii="宋体" w:hAnsi="宋体"/>
          <w:sz w:val="24"/>
        </w:rPr>
        <w:t>灭火器及其他消防器材</w:t>
      </w:r>
    </w:p>
    <w:p>
      <w:pPr>
        <w:pStyle w:val="2"/>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甲方提供的资料</w:t>
      </w:r>
    </w:p>
    <w:p>
      <w:pPr>
        <w:numPr>
          <w:ilvl w:val="0"/>
          <w:numId w:val="14"/>
        </w:numPr>
        <w:spacing w:before="100" w:beforeAutospacing="1" w:line="360" w:lineRule="auto"/>
        <w:ind w:left="0" w:firstLine="0"/>
        <w:rPr>
          <w:rFonts w:ascii="宋体" w:hAnsi="宋体"/>
          <w:b/>
          <w:sz w:val="24"/>
        </w:rPr>
      </w:pPr>
      <w:r>
        <w:rPr>
          <w:rFonts w:hint="eastAsia" w:ascii="宋体" w:hAnsi="宋体"/>
          <w:b/>
          <w:sz w:val="24"/>
        </w:rPr>
        <w:t>营业执照、组织机构代码及税务登记证；</w:t>
      </w:r>
    </w:p>
    <w:p>
      <w:pPr>
        <w:numPr>
          <w:ilvl w:val="0"/>
          <w:numId w:val="14"/>
        </w:numPr>
        <w:spacing w:before="120" w:beforeLines="50" w:line="360" w:lineRule="auto"/>
        <w:ind w:left="0" w:firstLine="0"/>
        <w:rPr>
          <w:rFonts w:ascii="宋体" w:hAnsi="宋体"/>
          <w:b/>
          <w:sz w:val="24"/>
        </w:rPr>
      </w:pPr>
      <w:r>
        <w:rPr>
          <w:rFonts w:hint="eastAsia" w:ascii="宋体" w:hAnsi="宋体"/>
          <w:b/>
          <w:sz w:val="24"/>
        </w:rPr>
        <w:t>消防行政许可文书，具体包括以下资料:</w:t>
      </w:r>
    </w:p>
    <w:p>
      <w:pPr>
        <w:numPr>
          <w:ilvl w:val="1"/>
          <w:numId w:val="15"/>
        </w:numPr>
        <w:spacing w:line="360" w:lineRule="auto"/>
        <w:ind w:left="0" w:firstLine="0"/>
        <w:rPr>
          <w:rFonts w:ascii="宋体" w:hAnsi="宋体"/>
          <w:sz w:val="24"/>
        </w:rPr>
      </w:pPr>
      <w:r>
        <w:rPr>
          <w:rFonts w:hint="eastAsia" w:ascii="宋体" w:hAnsi="宋体"/>
          <w:sz w:val="24"/>
        </w:rPr>
        <w:t>建设工程消防设计审核意见书或备案证明</w:t>
      </w:r>
    </w:p>
    <w:p>
      <w:pPr>
        <w:numPr>
          <w:ilvl w:val="1"/>
          <w:numId w:val="15"/>
        </w:numPr>
        <w:spacing w:line="360" w:lineRule="auto"/>
        <w:ind w:left="0" w:firstLine="0"/>
        <w:rPr>
          <w:rFonts w:ascii="宋体" w:hAnsi="宋体"/>
          <w:sz w:val="24"/>
        </w:rPr>
      </w:pPr>
      <w:r>
        <w:rPr>
          <w:rFonts w:hint="eastAsia" w:ascii="宋体" w:hAnsi="宋体"/>
          <w:sz w:val="24"/>
        </w:rPr>
        <w:t>建设工程消防验收意见书；</w:t>
      </w:r>
    </w:p>
    <w:p>
      <w:pPr>
        <w:numPr>
          <w:ilvl w:val="1"/>
          <w:numId w:val="15"/>
        </w:numPr>
        <w:spacing w:line="360" w:lineRule="auto"/>
        <w:ind w:left="0" w:firstLine="0"/>
        <w:rPr>
          <w:rFonts w:ascii="宋体" w:hAnsi="宋体"/>
          <w:sz w:val="24"/>
        </w:rPr>
      </w:pPr>
      <w:r>
        <w:rPr>
          <w:rFonts w:hint="eastAsia" w:ascii="宋体" w:hAnsi="宋体"/>
          <w:sz w:val="24"/>
        </w:rPr>
        <w:t>消防竣工图纸。</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乙方提供的成果文件</w:t>
      </w:r>
    </w:p>
    <w:p>
      <w:r>
        <w:rPr>
          <w:rFonts w:hint="eastAsia" w:ascii="宋体" w:hAnsi="宋体"/>
          <w:sz w:val="24"/>
        </w:rPr>
        <w:t>7</w:t>
      </w:r>
      <w:r>
        <w:rPr>
          <w:rFonts w:ascii="宋体" w:hAnsi="宋体"/>
          <w:sz w:val="24"/>
        </w:rPr>
        <w:t>.1以书面形式提供</w:t>
      </w:r>
      <w:r>
        <w:rPr>
          <w:rFonts w:hint="eastAsia" w:ascii="宋体" w:hAnsi="宋体"/>
          <w:sz w:val="24"/>
        </w:rPr>
        <w:t>准确</w:t>
      </w:r>
      <w:r>
        <w:rPr>
          <w:rFonts w:ascii="宋体" w:hAnsi="宋体"/>
          <w:sz w:val="24"/>
        </w:rPr>
        <w:t>反映建筑物消防状况的</w:t>
      </w:r>
      <w:r>
        <w:rPr>
          <w:rFonts w:hint="eastAsia" w:ascii="宋体" w:hAnsi="宋体"/>
          <w:sz w:val="24"/>
        </w:rPr>
        <w:t>建筑消防安全评估</w:t>
      </w:r>
      <w:r>
        <w:rPr>
          <w:rFonts w:ascii="宋体" w:hAnsi="宋体"/>
          <w:sz w:val="24"/>
        </w:rPr>
        <w:t>报告以及问题整改建议。</w:t>
      </w:r>
    </w:p>
    <w:p>
      <w:pPr>
        <w:spacing w:line="360" w:lineRule="auto"/>
        <w:rPr>
          <w:rFonts w:ascii="宋体" w:hAnsi="宋体"/>
          <w:sz w:val="24"/>
        </w:rPr>
      </w:pP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消防安全评估约定时间：</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日至</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w:t>
      </w:r>
    </w:p>
    <w:p>
      <w:pPr>
        <w:widowControl/>
        <w:shd w:val="clear" w:color="auto" w:fill="FFFFFF"/>
        <w:adjustRightInd w:val="0"/>
        <w:spacing w:before="100" w:after="100" w:line="360" w:lineRule="auto"/>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评估费及支付进度</w:t>
      </w:r>
    </w:p>
    <w:p>
      <w:pPr>
        <w:spacing w:after="120" w:afterLines="50" w:line="360" w:lineRule="auto"/>
        <w:jc w:val="left"/>
        <w:rPr>
          <w:rFonts w:ascii="宋体" w:hAnsi="宋体"/>
          <w:sz w:val="24"/>
        </w:rPr>
      </w:pPr>
      <w:r>
        <w:rPr>
          <w:rFonts w:hint="eastAsia" w:ascii="宋体" w:hAnsi="宋体"/>
          <w:sz w:val="24"/>
        </w:rPr>
        <w:t>9.1消防安全评估费用为包干</w:t>
      </w:r>
      <w:r>
        <w:rPr>
          <w:rFonts w:ascii="宋体" w:hAnsi="宋体"/>
          <w:sz w:val="24"/>
        </w:rPr>
        <w:t>总价</w:t>
      </w:r>
      <w:r>
        <w:rPr>
          <w:rFonts w:hint="eastAsia" w:ascii="宋体" w:hAnsi="宋体"/>
          <w:sz w:val="24"/>
        </w:rPr>
        <w:t>（含税）人民币</w:t>
      </w:r>
      <w:r>
        <w:rPr>
          <w:rFonts w:ascii="宋体" w:hAnsi="宋体"/>
          <w:sz w:val="24"/>
        </w:rPr>
        <w:t xml:space="preserve">    .00</w:t>
      </w:r>
      <w:r>
        <w:rPr>
          <w:rFonts w:hint="eastAsia" w:ascii="宋体" w:hAnsi="宋体"/>
          <w:sz w:val="24"/>
        </w:rPr>
        <w:t xml:space="preserve">元（大写： </w:t>
      </w:r>
      <w:r>
        <w:rPr>
          <w:rFonts w:ascii="宋体" w:hAnsi="宋体"/>
          <w:sz w:val="24"/>
        </w:rPr>
        <w:t xml:space="preserve">   </w:t>
      </w:r>
      <w:r>
        <w:rPr>
          <w:rFonts w:hint="eastAsia" w:ascii="宋体" w:hAnsi="宋体"/>
          <w:sz w:val="24"/>
        </w:rPr>
        <w:t>元整）。</w:t>
      </w:r>
    </w:p>
    <w:p>
      <w:pPr>
        <w:spacing w:after="120" w:afterLines="50" w:line="360" w:lineRule="auto"/>
        <w:jc w:val="left"/>
        <w:rPr>
          <w:rFonts w:ascii="宋体" w:hAnsi="宋体"/>
          <w:sz w:val="24"/>
        </w:rPr>
      </w:pPr>
      <w:r>
        <w:rPr>
          <w:rFonts w:hint="eastAsia" w:ascii="宋体" w:hAnsi="宋体"/>
          <w:sz w:val="24"/>
        </w:rPr>
        <w:t>9.1.1预付款：合同签订并收到乙方发票后10个工作日内，甲方支付50%费用即</w:t>
      </w:r>
      <w:r>
        <w:rPr>
          <w:rFonts w:ascii="宋体" w:hAnsi="宋体"/>
          <w:sz w:val="24"/>
          <w:u w:val="single"/>
        </w:rPr>
        <w:t xml:space="preserve">  .00</w:t>
      </w:r>
      <w:r>
        <w:rPr>
          <w:rFonts w:hint="eastAsia" w:ascii="宋体" w:hAnsi="宋体"/>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w:t>
      </w:r>
    </w:p>
    <w:p>
      <w:r>
        <w:rPr>
          <w:rFonts w:hint="eastAsia" w:ascii="宋体" w:hAnsi="宋体"/>
          <w:sz w:val="24"/>
        </w:rPr>
        <w:t>9.1.2</w:t>
      </w:r>
    </w:p>
    <w:p>
      <w:pPr>
        <w:spacing w:after="120" w:afterLines="50" w:line="360" w:lineRule="auto"/>
        <w:jc w:val="left"/>
        <w:rPr>
          <w:rFonts w:ascii="宋体" w:hAnsi="宋体"/>
          <w:sz w:val="24"/>
        </w:rPr>
      </w:pPr>
      <w:r>
        <w:rPr>
          <w:rFonts w:hint="eastAsia" w:ascii="宋体" w:hAnsi="宋体"/>
          <w:sz w:val="24"/>
        </w:rPr>
        <w:t>第二次付款：乙方提交电子版消防</w:t>
      </w:r>
      <w:r>
        <w:rPr>
          <w:rFonts w:ascii="宋体" w:hAnsi="宋体"/>
          <w:sz w:val="24"/>
        </w:rPr>
        <w:t>评估报告</w:t>
      </w:r>
      <w:r>
        <w:rPr>
          <w:rFonts w:hint="eastAsia" w:ascii="宋体" w:hAnsi="宋体"/>
          <w:sz w:val="24"/>
        </w:rPr>
        <w:t>并跟甲方沟通调整后，甲方支付剩余的50%费用即</w:t>
      </w:r>
      <w:r>
        <w:rPr>
          <w:rFonts w:ascii="宋体" w:hAnsi="宋体"/>
          <w:sz w:val="24"/>
          <w:u w:val="single"/>
        </w:rPr>
        <w:t xml:space="preserve">     .00</w:t>
      </w:r>
      <w:r>
        <w:rPr>
          <w:rFonts w:hint="eastAsia" w:ascii="宋体" w:hAnsi="宋体"/>
          <w:b/>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元整），乙方在收到此阶段款项5日内提交给甲方正式版的纸质评估报告。</w:t>
      </w:r>
    </w:p>
    <w:p>
      <w:pPr>
        <w:spacing w:line="360" w:lineRule="auto"/>
        <w:rPr>
          <w:rFonts w:ascii="宋体" w:hAnsi="宋体" w:cs="宋体"/>
          <w:b/>
          <w:sz w:val="24"/>
        </w:rPr>
      </w:pPr>
      <w:r>
        <w:rPr>
          <w:rFonts w:hint="eastAsia" w:ascii="宋体" w:hAnsi="宋体"/>
          <w:b/>
          <w:sz w:val="24"/>
        </w:rPr>
        <w:t>注：1、乙方</w:t>
      </w:r>
      <w:r>
        <w:rPr>
          <w:rFonts w:hint="eastAsia" w:ascii="宋体" w:hAnsi="宋体" w:cs="宋体"/>
          <w:b/>
          <w:sz w:val="24"/>
        </w:rPr>
        <w:t>提供增值税专用发票，税率</w:t>
      </w:r>
      <w:r>
        <w:rPr>
          <w:rFonts w:ascii="宋体" w:hAnsi="宋体" w:cs="宋体"/>
          <w:b/>
          <w:sz w:val="24"/>
        </w:rPr>
        <w:t>6</w:t>
      </w:r>
      <w:r>
        <w:rPr>
          <w:rFonts w:hint="eastAsia" w:ascii="宋体" w:hAnsi="宋体" w:cs="宋体"/>
          <w:b/>
          <w:sz w:val="24"/>
        </w:rPr>
        <w:t>%。</w:t>
      </w:r>
    </w:p>
    <w:p>
      <w:pPr>
        <w:spacing w:after="120" w:afterLines="50" w:line="360" w:lineRule="auto"/>
        <w:jc w:val="left"/>
      </w:pPr>
      <w:r>
        <w:rPr>
          <w:rFonts w:ascii="宋体" w:hAnsi="宋体" w:cs="宋体"/>
          <w:b/>
          <w:sz w:val="24"/>
        </w:rPr>
        <w:t>9.2</w:t>
      </w:r>
      <w:r>
        <w:rPr>
          <w:rFonts w:hint="eastAsia" w:ascii="宋体" w:hAnsi="宋体"/>
          <w:sz w:val="24"/>
          <w:szCs w:val="21"/>
        </w:rPr>
        <w:t>每次付款前，乙方应开具符合国家规定的当次支付金额的全额发票给甲方，否则甲方有权拒绝付款。甲方按照相关程序提交财政支付申办手续即视为已履行支付义务，如因政府有关部门超期审批等原因造成甲方付款迟延的，不视为甲方违约。</w:t>
      </w:r>
    </w:p>
    <w:p>
      <w:pPr>
        <w:spacing w:line="360" w:lineRule="auto"/>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双方权利及义务</w:t>
      </w:r>
    </w:p>
    <w:p>
      <w:pPr>
        <w:adjustRightInd w:val="0"/>
        <w:snapToGrid w:val="0"/>
        <w:spacing w:before="240" w:beforeLines="100" w:line="360" w:lineRule="auto"/>
        <w:jc w:val="left"/>
        <w:rPr>
          <w:rFonts w:ascii="宋体" w:hAnsi="宋体"/>
          <w:b/>
          <w:sz w:val="24"/>
        </w:rPr>
      </w:pPr>
      <w:r>
        <w:rPr>
          <w:rFonts w:hint="eastAsia" w:ascii="宋体" w:hAnsi="宋体"/>
          <w:b/>
          <w:sz w:val="24"/>
        </w:rPr>
        <w:t>10.1甲方权利、义务：</w:t>
      </w:r>
    </w:p>
    <w:p>
      <w:pPr>
        <w:numPr>
          <w:ilvl w:val="0"/>
          <w:numId w:val="16"/>
        </w:numPr>
        <w:spacing w:line="360" w:lineRule="auto"/>
        <w:ind w:left="0" w:firstLine="0"/>
        <w:rPr>
          <w:rFonts w:ascii="宋体" w:hAnsi="宋体"/>
          <w:sz w:val="24"/>
        </w:rPr>
      </w:pPr>
      <w:r>
        <w:rPr>
          <w:rFonts w:hint="eastAsia" w:ascii="宋体" w:hAnsi="宋体"/>
          <w:sz w:val="24"/>
        </w:rPr>
        <w:t>评估时，需填报建筑消防设施统计表，提供被检工程各消防系统竣工图纸、竣工资料、建筑工程消防设计审核意见书和电气系统图、运行的有关数据及调试记录，并保证所提供的资料和数据是真实的。</w:t>
      </w:r>
    </w:p>
    <w:p>
      <w:pPr>
        <w:numPr>
          <w:ilvl w:val="0"/>
          <w:numId w:val="16"/>
        </w:numPr>
        <w:spacing w:line="360" w:lineRule="auto"/>
        <w:ind w:left="0" w:firstLine="0"/>
        <w:rPr>
          <w:rFonts w:ascii="宋体" w:hAnsi="宋体"/>
          <w:sz w:val="24"/>
        </w:rPr>
      </w:pPr>
      <w:r>
        <w:rPr>
          <w:rFonts w:hint="eastAsia" w:ascii="宋体" w:hAnsi="宋体"/>
          <w:sz w:val="24"/>
        </w:rPr>
        <w:t>提供适合评估用场地、电源及一些必须的工具，清理现场使其具备评估条件。</w:t>
      </w:r>
    </w:p>
    <w:p>
      <w:pPr>
        <w:numPr>
          <w:ilvl w:val="0"/>
          <w:numId w:val="16"/>
        </w:numPr>
        <w:adjustRightInd w:val="0"/>
        <w:snapToGrid w:val="0"/>
        <w:spacing w:line="360" w:lineRule="auto"/>
        <w:ind w:left="0" w:firstLine="0"/>
        <w:jc w:val="left"/>
        <w:rPr>
          <w:rFonts w:ascii="宋体" w:hAnsi="宋体"/>
          <w:sz w:val="24"/>
        </w:rPr>
      </w:pPr>
      <w:r>
        <w:rPr>
          <w:rFonts w:hint="eastAsia" w:ascii="宋体" w:hAnsi="宋体"/>
          <w:sz w:val="24"/>
        </w:rPr>
        <w:t>甲方负责事前通知有关单位和人员，并派专人负责，请相关专业人员全部到场配合乙方评估工作，为评估工作提供便利。</w:t>
      </w:r>
    </w:p>
    <w:p>
      <w:pPr>
        <w:numPr>
          <w:ilvl w:val="0"/>
          <w:numId w:val="16"/>
        </w:numPr>
        <w:spacing w:line="360" w:lineRule="auto"/>
        <w:ind w:left="0" w:firstLine="0"/>
        <w:rPr>
          <w:rFonts w:ascii="宋体" w:hAnsi="宋体"/>
          <w:sz w:val="24"/>
        </w:rPr>
      </w:pPr>
      <w:r>
        <w:rPr>
          <w:rFonts w:hint="eastAsia" w:ascii="宋体" w:hAnsi="宋体"/>
          <w:sz w:val="24"/>
        </w:rPr>
        <w:t>应为评估人员指派若干名熟悉系统设备的专职技术人员，于评估时全程协助乙方做好配合工作。若不能提供图纸，应由专职技术人员现场指认评估线路走向及设备位置，并做好必要的设备操作工作等。</w:t>
      </w:r>
    </w:p>
    <w:p>
      <w:pPr>
        <w:numPr>
          <w:ilvl w:val="0"/>
          <w:numId w:val="16"/>
        </w:numPr>
        <w:spacing w:line="360" w:lineRule="auto"/>
        <w:ind w:left="0" w:firstLine="0"/>
        <w:rPr>
          <w:rFonts w:ascii="宋体" w:hAnsi="宋体"/>
          <w:sz w:val="24"/>
        </w:rPr>
      </w:pPr>
      <w:r>
        <w:rPr>
          <w:rFonts w:hint="eastAsia" w:ascii="宋体" w:hAnsi="宋体"/>
          <w:sz w:val="24"/>
        </w:rPr>
        <w:t>协助乙方办理进出展区方面的手续（如出入证等）。</w:t>
      </w:r>
    </w:p>
    <w:p>
      <w:pPr>
        <w:adjustRightInd w:val="0"/>
        <w:snapToGrid w:val="0"/>
        <w:spacing w:before="240" w:beforeLines="100" w:line="360" w:lineRule="auto"/>
        <w:jc w:val="left"/>
        <w:rPr>
          <w:rFonts w:ascii="宋体" w:hAnsi="宋体"/>
          <w:b/>
          <w:sz w:val="24"/>
        </w:rPr>
      </w:pPr>
      <w:r>
        <w:rPr>
          <w:rFonts w:ascii="宋体" w:hAnsi="宋体"/>
          <w:b/>
          <w:sz w:val="24"/>
        </w:rPr>
        <w:t>10</w:t>
      </w:r>
      <w:r>
        <w:rPr>
          <w:rFonts w:hint="eastAsia" w:ascii="宋体" w:hAnsi="宋体"/>
          <w:b/>
          <w:sz w:val="24"/>
        </w:rPr>
        <w:t>.2乙方的权利、义务：</w:t>
      </w:r>
    </w:p>
    <w:p>
      <w:pPr>
        <w:numPr>
          <w:ilvl w:val="0"/>
          <w:numId w:val="17"/>
        </w:numPr>
        <w:spacing w:line="360" w:lineRule="auto"/>
        <w:ind w:left="0" w:firstLine="0"/>
        <w:rPr>
          <w:rFonts w:ascii="宋体" w:hAnsi="宋体"/>
          <w:sz w:val="24"/>
        </w:rPr>
      </w:pPr>
      <w:r>
        <w:rPr>
          <w:rFonts w:hint="eastAsia" w:ascii="宋体" w:hAnsi="宋体"/>
          <w:sz w:val="24"/>
        </w:rPr>
        <w:t>根据甲方提供的图纸资料和现场情况制定评估方案，安排评估。</w:t>
      </w:r>
    </w:p>
    <w:p>
      <w:pPr>
        <w:numPr>
          <w:ilvl w:val="0"/>
          <w:numId w:val="17"/>
        </w:numPr>
        <w:spacing w:line="360" w:lineRule="auto"/>
        <w:ind w:left="0" w:firstLine="0"/>
        <w:rPr>
          <w:rFonts w:ascii="宋体" w:hAnsi="宋体"/>
          <w:sz w:val="24"/>
        </w:rPr>
      </w:pPr>
      <w:r>
        <w:rPr>
          <w:rFonts w:hint="eastAsia" w:ascii="宋体" w:hAnsi="宋体"/>
          <w:sz w:val="24"/>
        </w:rPr>
        <w:t>遵守安全操作规程的规定，遵守甲方有关安全要求。</w:t>
      </w:r>
    </w:p>
    <w:p>
      <w:pPr>
        <w:numPr>
          <w:ilvl w:val="0"/>
          <w:numId w:val="17"/>
        </w:numPr>
        <w:spacing w:line="360" w:lineRule="auto"/>
        <w:ind w:left="0" w:firstLine="0"/>
        <w:rPr>
          <w:rFonts w:ascii="宋体" w:hAnsi="宋体"/>
          <w:sz w:val="24"/>
        </w:rPr>
      </w:pPr>
      <w:r>
        <w:rPr>
          <w:rFonts w:hint="eastAsia" w:ascii="宋体" w:hAnsi="宋体"/>
          <w:sz w:val="24"/>
        </w:rPr>
        <w:t>应本着科学、公正、真实的精神，做好评估工作，并保证其评估结论真实、可靠、有效，具有法律效力。</w:t>
      </w:r>
    </w:p>
    <w:p>
      <w:pPr>
        <w:numPr>
          <w:ilvl w:val="0"/>
          <w:numId w:val="17"/>
        </w:numPr>
        <w:spacing w:line="360" w:lineRule="auto"/>
        <w:ind w:left="0" w:firstLine="0"/>
        <w:rPr>
          <w:rFonts w:ascii="宋体" w:hAnsi="宋体"/>
          <w:sz w:val="24"/>
        </w:rPr>
      </w:pPr>
      <w:r>
        <w:rPr>
          <w:rFonts w:hint="eastAsia" w:ascii="宋体" w:hAnsi="宋体"/>
          <w:sz w:val="24"/>
        </w:rPr>
        <w:t>具备消防设施评估的相应资格，依照法律法规、技术标准和执业准则，开展建筑消防设施评估技术服务活动，对评估质量负责。 </w:t>
      </w:r>
    </w:p>
    <w:p>
      <w:pPr>
        <w:numPr>
          <w:ilvl w:val="0"/>
          <w:numId w:val="17"/>
        </w:numPr>
        <w:spacing w:line="360" w:lineRule="auto"/>
        <w:ind w:left="0" w:firstLine="0"/>
        <w:rPr>
          <w:rFonts w:ascii="宋体" w:hAnsi="宋体"/>
          <w:sz w:val="24"/>
        </w:rPr>
      </w:pPr>
      <w:r>
        <w:rPr>
          <w:rFonts w:hint="eastAsia" w:ascii="宋体" w:hAnsi="宋体"/>
          <w:sz w:val="24"/>
        </w:rPr>
        <w:t>通过建筑消防设施评估信息管理系统出具真实、规范的评估报告，由经办人、项目负责人和技术负责人签名，并加盖评估机构印章。</w:t>
      </w:r>
    </w:p>
    <w:p>
      <w:pPr>
        <w:numPr>
          <w:ilvl w:val="0"/>
          <w:numId w:val="17"/>
        </w:numPr>
        <w:spacing w:line="360" w:lineRule="auto"/>
        <w:ind w:left="0" w:firstLine="0"/>
        <w:rPr>
          <w:rFonts w:ascii="宋体" w:hAnsi="宋体"/>
          <w:sz w:val="24"/>
        </w:rPr>
      </w:pPr>
      <w:r>
        <w:rPr>
          <w:rFonts w:hint="eastAsia" w:ascii="宋体" w:hAnsi="宋体"/>
          <w:sz w:val="24"/>
        </w:rPr>
        <w:t>按照合同约定及时向甲方出具评估报告或问题反馈意见书。</w:t>
      </w:r>
    </w:p>
    <w:p>
      <w:pPr>
        <w:numPr>
          <w:ilvl w:val="0"/>
          <w:numId w:val="17"/>
        </w:numPr>
        <w:spacing w:line="360" w:lineRule="auto"/>
        <w:ind w:left="0" w:firstLine="0"/>
        <w:rPr>
          <w:rFonts w:ascii="宋体" w:hAnsi="宋体"/>
          <w:sz w:val="24"/>
        </w:rPr>
      </w:pPr>
      <w:r>
        <w:rPr>
          <w:rFonts w:hint="eastAsia" w:ascii="宋体" w:hAnsi="宋体"/>
          <w:sz w:val="24"/>
        </w:rPr>
        <w:t>评估质量符合国家有关消防规范和消防设施技术评估的检验规程；并保证评估通过后系统的运行满足消防主管部门对系统年审的要求。</w:t>
      </w:r>
    </w:p>
    <w:p>
      <w:pPr>
        <w:numPr>
          <w:ilvl w:val="0"/>
          <w:numId w:val="17"/>
        </w:numPr>
        <w:spacing w:line="360" w:lineRule="auto"/>
        <w:ind w:left="0" w:firstLine="0"/>
        <w:rPr>
          <w:rFonts w:ascii="宋体" w:hAnsi="宋体"/>
          <w:sz w:val="24"/>
        </w:rPr>
      </w:pPr>
      <w:r>
        <w:rPr>
          <w:rFonts w:hint="eastAsia" w:ascii="宋体" w:hAnsi="宋体"/>
          <w:sz w:val="24"/>
        </w:rPr>
        <w:t xml:space="preserve"> 保密义务</w:t>
      </w:r>
    </w:p>
    <w:p>
      <w:pPr>
        <w:numPr>
          <w:ilvl w:val="255"/>
          <w:numId w:val="0"/>
        </w:numPr>
        <w:spacing w:line="360" w:lineRule="auto"/>
        <w:rPr>
          <w:rFonts w:ascii="宋体" w:hAnsi="宋体"/>
          <w:sz w:val="24"/>
        </w:rPr>
      </w:pPr>
      <w:r>
        <w:rPr>
          <w:rFonts w:hint="eastAsia" w:ascii="宋体" w:hAnsi="宋体"/>
          <w:sz w:val="24"/>
        </w:rPr>
        <w:t>10.2.8.1乙方对在本合同履行中获取或者知悉甲方提供的资料、信息负有保密义务。</w:t>
      </w:r>
    </w:p>
    <w:p>
      <w:pPr>
        <w:numPr>
          <w:ilvl w:val="255"/>
          <w:numId w:val="0"/>
        </w:numPr>
        <w:spacing w:line="360" w:lineRule="auto"/>
        <w:rPr>
          <w:rFonts w:ascii="宋体" w:hAnsi="宋体"/>
          <w:sz w:val="24"/>
        </w:rPr>
      </w:pPr>
      <w:r>
        <w:rPr>
          <w:rFonts w:hint="eastAsia" w:ascii="宋体" w:hAnsi="宋体"/>
          <w:sz w:val="24"/>
        </w:rPr>
        <w:t>10.2.8.2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numPr>
          <w:ilvl w:val="255"/>
          <w:numId w:val="0"/>
        </w:numPr>
        <w:spacing w:line="360" w:lineRule="auto"/>
        <w:rPr>
          <w:rFonts w:ascii="宋体" w:hAnsi="宋体"/>
          <w:sz w:val="24"/>
        </w:rPr>
      </w:pPr>
      <w:r>
        <w:rPr>
          <w:rFonts w:hint="eastAsia" w:ascii="宋体" w:hAnsi="宋体"/>
          <w:sz w:val="24"/>
        </w:rPr>
        <w:t>10.2.8.3乙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w:t>
      </w:r>
    </w:p>
    <w:p>
      <w:pPr>
        <w:numPr>
          <w:ilvl w:val="255"/>
          <w:numId w:val="0"/>
        </w:numPr>
        <w:spacing w:line="360" w:lineRule="auto"/>
        <w:rPr>
          <w:rFonts w:ascii="宋体" w:hAnsi="宋体"/>
          <w:sz w:val="24"/>
        </w:rPr>
      </w:pPr>
      <w:r>
        <w:rPr>
          <w:rFonts w:hint="eastAsia" w:ascii="宋体" w:hAnsi="宋体"/>
          <w:sz w:val="24"/>
        </w:rPr>
        <w:t>10.2.8.4保密期限自本协议签订生效之日起至保密信息被依法公开披露或成为公开信息之日止。合同变更、中止、终止或者解除不视为免除保密义务，乙方仍应当承担保密义务。</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甲方指定专人为现场配合人员。评估工作中涉及相关消防设施的操作由甲方人员进行。</w:t>
      </w:r>
    </w:p>
    <w:p>
      <w:pPr>
        <w:widowControl/>
        <w:shd w:val="clear" w:color="auto" w:fill="FFFFFF"/>
        <w:adjustRightInd w:val="0"/>
        <w:spacing w:before="100" w:after="100" w:line="360" w:lineRule="auto"/>
        <w:ind w:left="1185"/>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违约责任</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.1甲方违约</w:t>
      </w:r>
    </w:p>
    <w:p>
      <w:pPr>
        <w:numPr>
          <w:ilvl w:val="1"/>
          <w:numId w:val="18"/>
        </w:numPr>
        <w:spacing w:line="360" w:lineRule="auto"/>
        <w:ind w:left="0" w:firstLine="0"/>
        <w:rPr>
          <w:rFonts w:ascii="宋体" w:hAnsi="宋体"/>
          <w:sz w:val="24"/>
        </w:rPr>
      </w:pPr>
      <w:r>
        <w:rPr>
          <w:rFonts w:hint="eastAsia" w:ascii="宋体" w:hAnsi="宋体"/>
          <w:sz w:val="24"/>
        </w:rPr>
        <w:t>在合同履行期间，甲方要求终止或解除合同，甲方应根据乙方已进行的实际工作量进行结算。</w:t>
      </w:r>
    </w:p>
    <w:p>
      <w:pPr>
        <w:numPr>
          <w:ilvl w:val="1"/>
          <w:numId w:val="18"/>
        </w:numPr>
        <w:spacing w:line="360" w:lineRule="auto"/>
        <w:ind w:left="0" w:firstLine="0"/>
        <w:rPr>
          <w:rFonts w:ascii="宋体" w:hAnsi="宋体"/>
          <w:sz w:val="24"/>
        </w:rPr>
      </w:pPr>
      <w:r>
        <w:rPr>
          <w:rFonts w:hint="eastAsia" w:ascii="宋体" w:hAnsi="宋体"/>
          <w:sz w:val="24"/>
        </w:rPr>
        <w:t>合同签订且收到甲方通知后，乙方工作</w:t>
      </w:r>
      <w:r>
        <w:rPr>
          <w:rFonts w:ascii="宋体" w:hAnsi="宋体"/>
          <w:sz w:val="24"/>
        </w:rPr>
        <w:t>正式开始，如甲方通知延后，</w:t>
      </w:r>
      <w:r>
        <w:rPr>
          <w:rFonts w:hint="eastAsia" w:ascii="宋体" w:hAnsi="宋体"/>
          <w:sz w:val="24"/>
        </w:rPr>
        <w:t>乙方有权推迟工作的开工时间，且交付文件的时间顺延。</w:t>
      </w:r>
    </w:p>
    <w:p>
      <w:pPr>
        <w:numPr>
          <w:ilvl w:val="1"/>
          <w:numId w:val="18"/>
        </w:numPr>
        <w:spacing w:line="360" w:lineRule="auto"/>
        <w:ind w:left="0" w:firstLine="0"/>
        <w:rPr>
          <w:rFonts w:ascii="宋体" w:hAnsi="宋体"/>
          <w:sz w:val="24"/>
        </w:rPr>
      </w:pPr>
      <w:r>
        <w:rPr>
          <w:rFonts w:hint="eastAsia" w:ascii="宋体" w:hAnsi="宋体"/>
          <w:sz w:val="24"/>
        </w:rPr>
        <w:t>甲方应按本合同规定的金额和日期向乙方支付评估费，每逾期支付一天，应承担项目评估费的千分之二的逾期违约金，但违约金金额不高于评估费总额。</w:t>
      </w:r>
    </w:p>
    <w:p>
      <w:pPr>
        <w:numPr>
          <w:ilvl w:val="1"/>
          <w:numId w:val="18"/>
        </w:numPr>
        <w:spacing w:line="360" w:lineRule="auto"/>
        <w:ind w:left="0" w:firstLine="0"/>
        <w:rPr>
          <w:rFonts w:ascii="宋体" w:hAnsi="宋体"/>
          <w:sz w:val="24"/>
        </w:rPr>
      </w:pPr>
      <w:r>
        <w:rPr>
          <w:rFonts w:hint="eastAsia" w:ascii="宋体" w:hAnsi="宋体"/>
          <w:sz w:val="24"/>
        </w:rPr>
        <w:t>如因甲方配合不及时导致评估时间拖延及评估质量问题，造成的损失由甲方承担，并甲方不能因此拖欠乙方评估费用。</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.2乙方违约</w:t>
      </w:r>
    </w:p>
    <w:p>
      <w:pPr>
        <w:numPr>
          <w:ilvl w:val="1"/>
          <w:numId w:val="19"/>
        </w:numPr>
        <w:spacing w:line="360" w:lineRule="auto"/>
        <w:ind w:left="0" w:firstLine="0"/>
        <w:rPr>
          <w:rFonts w:ascii="宋体" w:hAnsi="宋体"/>
          <w:sz w:val="24"/>
        </w:rPr>
      </w:pPr>
      <w:r>
        <w:rPr>
          <w:rFonts w:hint="eastAsia" w:ascii="宋体" w:hAnsi="宋体"/>
          <w:sz w:val="24"/>
        </w:rPr>
        <w:t>对乙方不按规定履行义务，在评估中弄虚作假的，甲方有权单方解除合同并要求乙方承担评估费总额20%的违约金。</w:t>
      </w:r>
    </w:p>
    <w:p>
      <w:pPr>
        <w:numPr>
          <w:ilvl w:val="1"/>
          <w:numId w:val="19"/>
        </w:numPr>
        <w:spacing w:line="360" w:lineRule="auto"/>
        <w:ind w:left="0" w:firstLine="0"/>
        <w:rPr>
          <w:rFonts w:ascii="宋体" w:hAnsi="宋体"/>
          <w:sz w:val="24"/>
        </w:rPr>
      </w:pPr>
      <w:r>
        <w:rPr>
          <w:rFonts w:hint="eastAsia" w:ascii="宋体" w:hAnsi="宋体"/>
          <w:sz w:val="24"/>
        </w:rPr>
        <w:t>乙方未能依照技术标准和执业准则，导致评估质量问题的，造成的甲方损失，乙方予以赔偿。</w:t>
      </w:r>
    </w:p>
    <w:p>
      <w:pPr>
        <w:numPr>
          <w:ilvl w:val="1"/>
          <w:numId w:val="19"/>
        </w:numPr>
        <w:spacing w:line="360" w:lineRule="auto"/>
        <w:ind w:left="0" w:firstLine="0"/>
        <w:rPr>
          <w:rFonts w:ascii="宋体" w:hAnsi="宋体"/>
          <w:sz w:val="24"/>
        </w:rPr>
      </w:pPr>
      <w:r>
        <w:rPr>
          <w:rFonts w:hint="eastAsia" w:ascii="宋体" w:hAnsi="宋体"/>
          <w:sz w:val="24"/>
        </w:rPr>
        <w:t>乙方</w:t>
      </w:r>
      <w:r>
        <w:rPr>
          <w:rFonts w:ascii="宋体" w:hAnsi="宋体"/>
          <w:sz w:val="24"/>
        </w:rPr>
        <w:t>按照合同约定时间向甲方提交</w:t>
      </w:r>
      <w:r>
        <w:rPr>
          <w:rFonts w:hint="eastAsia" w:ascii="宋体" w:hAnsi="宋体"/>
          <w:sz w:val="24"/>
        </w:rPr>
        <w:t>评估</w:t>
      </w:r>
      <w:r>
        <w:rPr>
          <w:rFonts w:ascii="宋体" w:hAnsi="宋体"/>
          <w:sz w:val="24"/>
        </w:rPr>
        <w:t>报告，每</w:t>
      </w:r>
      <w:r>
        <w:rPr>
          <w:rFonts w:hint="eastAsia" w:ascii="宋体" w:hAnsi="宋体"/>
          <w:sz w:val="24"/>
        </w:rPr>
        <w:t>逾期支付一天，应承担项目费用的千分之二的逾期违约金，逾期超过</w:t>
      </w:r>
      <w:r>
        <w:rPr>
          <w:rFonts w:ascii="宋体" w:hAnsi="宋体"/>
          <w:sz w:val="24"/>
        </w:rPr>
        <w:t>1</w:t>
      </w:r>
      <w:r>
        <w:rPr>
          <w:rFonts w:hint="eastAsia" w:ascii="宋体" w:hAnsi="宋体"/>
          <w:sz w:val="24"/>
        </w:rPr>
        <w:t>0天以上时，甲方有权解除合同，且有权不予向乙方支付任何费用。</w:t>
      </w:r>
    </w:p>
    <w:p>
      <w:pPr>
        <w:numPr>
          <w:ilvl w:val="1"/>
          <w:numId w:val="19"/>
        </w:numPr>
        <w:spacing w:line="360" w:lineRule="auto"/>
        <w:ind w:left="0" w:firstLine="0"/>
        <w:rPr>
          <w:rFonts w:ascii="宋体" w:hAnsi="宋体"/>
          <w:sz w:val="24"/>
        </w:rPr>
      </w:pPr>
      <w:r>
        <w:rPr>
          <w:rFonts w:hint="eastAsia" w:ascii="宋体" w:hAnsi="宋体"/>
          <w:sz w:val="24"/>
        </w:rPr>
        <w:t>乙方应对所出具报告的真实性、合法性及评估结论负责，对乙方不按规定履行义务，在评估中弄虚作假或严重不负责任的，甲方有权解除合同，并要求乙方赔偿甲方由此遭受的损失（包括但不限于赔偿金、诉讼费、保全费、律师费等所有费用）。</w:t>
      </w:r>
    </w:p>
    <w:p>
      <w:pPr>
        <w:numPr>
          <w:ilvl w:val="1"/>
          <w:numId w:val="19"/>
        </w:numPr>
        <w:spacing w:line="360" w:lineRule="auto"/>
        <w:ind w:left="0" w:firstLine="0"/>
        <w:rPr>
          <w:rFonts w:ascii="宋体" w:hAnsi="宋体"/>
          <w:sz w:val="24"/>
        </w:rPr>
      </w:pPr>
      <w:bookmarkStart w:id="48" w:name="_Hlk75014743"/>
      <w:r>
        <w:rPr>
          <w:rFonts w:hint="eastAsia" w:ascii="宋体" w:hAnsi="宋体"/>
          <w:sz w:val="24"/>
        </w:rPr>
        <w:t>乙方违反本合同约定的保密义务，甲方有权要求乙方按合同总价20%支付违约金；造成不良影响或对甲方造成损失的，甲方有权要求乙方消除影响，承担赔偿责任，并有权解除合同。</w:t>
      </w:r>
      <w:bookmarkEnd w:id="48"/>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其他：</w:t>
      </w:r>
    </w:p>
    <w:p>
      <w:pPr>
        <w:numPr>
          <w:ilvl w:val="0"/>
          <w:numId w:val="20"/>
        </w:numPr>
        <w:spacing w:line="360" w:lineRule="auto"/>
        <w:ind w:left="0" w:firstLine="0"/>
        <w:rPr>
          <w:rFonts w:ascii="宋体" w:hAnsi="宋体"/>
          <w:sz w:val="24"/>
        </w:rPr>
      </w:pPr>
      <w:r>
        <w:rPr>
          <w:rFonts w:hint="eastAsia" w:ascii="宋体" w:hAnsi="宋体"/>
          <w:sz w:val="24"/>
        </w:rPr>
        <w:t>本合同未尽事宜，经双方共同协商一致后，可签订补充条款，补充条款与本合同具有同等法律效力。</w:t>
      </w:r>
    </w:p>
    <w:p>
      <w:pPr>
        <w:numPr>
          <w:ilvl w:val="0"/>
          <w:numId w:val="20"/>
        </w:numPr>
        <w:spacing w:line="360" w:lineRule="auto"/>
        <w:ind w:left="0" w:firstLine="0"/>
        <w:rPr>
          <w:rFonts w:ascii="宋体" w:hAnsi="宋体"/>
          <w:sz w:val="24"/>
        </w:rPr>
      </w:pPr>
      <w:r>
        <w:rPr>
          <w:rFonts w:hint="eastAsia" w:ascii="宋体" w:hAnsi="宋体"/>
          <w:sz w:val="24"/>
        </w:rPr>
        <w:t>本合同执行中如发生纠纷，双方协商无法达成一致时，可向甲方所在地有管辖权的人民法院起诉。</w:t>
      </w:r>
    </w:p>
    <w:p>
      <w:pPr>
        <w:numPr>
          <w:ilvl w:val="0"/>
          <w:numId w:val="20"/>
        </w:numPr>
        <w:spacing w:line="360" w:lineRule="auto"/>
        <w:ind w:left="0" w:firstLine="0"/>
        <w:rPr>
          <w:rFonts w:ascii="宋体" w:hAnsi="宋体"/>
          <w:sz w:val="24"/>
        </w:rPr>
      </w:pPr>
      <w:r>
        <w:rPr>
          <w:rFonts w:hint="eastAsia" w:ascii="宋体" w:hAnsi="宋体"/>
          <w:sz w:val="24"/>
        </w:rPr>
        <w:t>本合同双方法定代表人或委托代理人签字，单位盖章后即生效。本合同一式肆份，各执贰份，具有同等法律效力。</w:t>
      </w:r>
    </w:p>
    <w:p>
      <w:pPr>
        <w:numPr>
          <w:ilvl w:val="0"/>
          <w:numId w:val="20"/>
        </w:numPr>
        <w:spacing w:line="360" w:lineRule="auto"/>
        <w:ind w:left="0" w:firstLine="0"/>
        <w:rPr>
          <w:rFonts w:ascii="宋体" w:hAnsi="宋体"/>
          <w:sz w:val="24"/>
        </w:rPr>
      </w:pPr>
      <w:r>
        <w:rPr>
          <w:rFonts w:hint="eastAsia" w:ascii="宋体" w:hAnsi="宋体"/>
          <w:sz w:val="24"/>
        </w:rPr>
        <w:t>双方确认位于</w:t>
      </w:r>
      <w:r>
        <w:rPr>
          <w:rFonts w:hint="eastAsia" w:ascii="宋体" w:hAnsi="宋体"/>
          <w:sz w:val="24"/>
          <w:lang w:eastAsia="zh-Hans"/>
        </w:rPr>
        <w:t>合同</w:t>
      </w:r>
      <w:r>
        <w:rPr>
          <w:rFonts w:hint="eastAsia" w:ascii="宋体" w:hAnsi="宋体"/>
          <w:sz w:val="24"/>
        </w:rPr>
        <w:t>尾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pPr>
        <w:numPr>
          <w:ilvl w:val="0"/>
          <w:numId w:val="20"/>
        </w:numPr>
        <w:spacing w:line="360" w:lineRule="auto"/>
        <w:ind w:left="0" w:firstLine="0"/>
        <w:rPr>
          <w:rFonts w:ascii="宋体" w:hAnsi="宋体"/>
          <w:sz w:val="24"/>
        </w:rPr>
      </w:pPr>
      <w:r>
        <w:rPr>
          <w:rFonts w:hint="eastAsia" w:ascii="宋体" w:hAnsi="宋体"/>
          <w:sz w:val="24"/>
        </w:rPr>
        <w:t>以下为合同签署页，无正文。</w:t>
      </w:r>
    </w:p>
    <w:p>
      <w:pPr>
        <w:adjustRightInd w:val="0"/>
        <w:snapToGrid w:val="0"/>
        <w:spacing w:after="120" w:afterLines="50" w:line="360" w:lineRule="auto"/>
        <w:ind w:firstLine="480" w:firstLineChars="200"/>
        <w:jc w:val="left"/>
        <w:rPr>
          <w:rFonts w:ascii="宋体" w:hAnsi="宋体"/>
          <w:sz w:val="24"/>
        </w:rPr>
      </w:pPr>
      <w:r>
        <w:rPr>
          <w:rFonts w:ascii="宋体" w:hAnsi="宋体"/>
          <w:sz w:val="24"/>
        </w:rPr>
        <w:br w:type="page"/>
      </w:r>
    </w:p>
    <w:tbl>
      <w:tblPr>
        <w:tblStyle w:val="42"/>
        <w:tblW w:w="9675" w:type="dxa"/>
        <w:jc w:val="center"/>
        <w:tblLayout w:type="fixed"/>
        <w:tblCellMar>
          <w:top w:w="0" w:type="dxa"/>
          <w:left w:w="108" w:type="dxa"/>
          <w:bottom w:w="0" w:type="dxa"/>
          <w:right w:w="108" w:type="dxa"/>
        </w:tblCellMar>
      </w:tblPr>
      <w:tblGrid>
        <w:gridCol w:w="1589"/>
        <w:gridCol w:w="3319"/>
        <w:gridCol w:w="1620"/>
        <w:gridCol w:w="3147"/>
      </w:tblGrid>
      <w:tr>
        <w:tblPrEx>
          <w:tblCellMar>
            <w:top w:w="0" w:type="dxa"/>
            <w:left w:w="108" w:type="dxa"/>
            <w:bottom w:w="0" w:type="dxa"/>
            <w:right w:w="108" w:type="dxa"/>
          </w:tblCellMar>
        </w:tblPrEx>
        <w:trPr>
          <w:trHeight w:val="45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rPr>
              <w:t>甲方名称：</w:t>
            </w:r>
          </w:p>
        </w:tc>
        <w:tc>
          <w:tcPr>
            <w:tcW w:w="3319" w:type="dxa"/>
            <w:vAlign w:val="center"/>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乙方名称：</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59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p>
        </w:tc>
        <w:tc>
          <w:tcPr>
            <w:tcW w:w="3319"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right"/>
              <w:rPr>
                <w:rFonts w:ascii="宋体" w:hAnsi="宋体" w:cs="宋体"/>
                <w:kern w:val="0"/>
                <w:sz w:val="24"/>
              </w:rPr>
            </w:pPr>
          </w:p>
        </w:tc>
        <w:tc>
          <w:tcPr>
            <w:tcW w:w="3147"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43"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3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589"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2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87"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1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76"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4908" w:type="dxa"/>
            <w:gridSpan w:val="2"/>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建设行政主管部门备案：</w:t>
            </w: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鉴证意见：</w:t>
            </w:r>
          </w:p>
        </w:tc>
        <w:tc>
          <w:tcPr>
            <w:tcW w:w="3147" w:type="dxa"/>
            <w:vAlign w:val="bottom"/>
          </w:tcPr>
          <w:p>
            <w:pPr>
              <w:widowControl/>
              <w:adjustRightInd w:val="0"/>
              <w:spacing w:before="100" w:after="100" w:line="360" w:lineRule="auto"/>
              <w:jc w:val="left"/>
              <w:rPr>
                <w:rFonts w:ascii="宋体" w:hAnsi="宋体" w:cs="宋体"/>
                <w:kern w:val="0"/>
                <w:sz w:val="24"/>
              </w:rPr>
            </w:pPr>
          </w:p>
        </w:tc>
      </w:tr>
    </w:tbl>
    <w:p/>
    <w:p/>
    <w:p/>
    <w:p/>
    <w:p/>
    <w:p/>
    <w:p>
      <w:pPr>
        <w:rPr>
          <w:sz w:val="28"/>
          <w:szCs w:val="28"/>
        </w:rPr>
      </w:pPr>
      <w:r>
        <w:rPr>
          <w:rFonts w:hint="eastAsia"/>
          <w:sz w:val="28"/>
          <w:szCs w:val="28"/>
        </w:rPr>
        <w:br w:type="page"/>
      </w:r>
    </w:p>
    <w:p>
      <w:pPr>
        <w:pStyle w:val="7"/>
        <w:spacing w:before="120" w:beforeLines="50" w:after="120" w:afterLines="50"/>
        <w:rPr>
          <w:sz w:val="28"/>
          <w:szCs w:val="28"/>
        </w:rPr>
      </w:pPr>
      <w:r>
        <w:rPr>
          <w:rFonts w:hint="eastAsia"/>
          <w:sz w:val="28"/>
          <w:szCs w:val="28"/>
        </w:rPr>
        <w:t>第二册  通用条款（公开征集）</w:t>
      </w: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ind w:firstLine="420" w:firstLineChars="200"/>
        <w:rPr>
          <w:rFonts w:ascii="宋体" w:hAnsi="宋体"/>
          <w:szCs w:val="21"/>
        </w:rPr>
      </w:pPr>
      <w:r>
        <w:rPr>
          <w:rFonts w:hint="eastAsia" w:ascii="宋体" w:hAnsi="宋体"/>
          <w:szCs w:val="21"/>
        </w:rPr>
        <w:t>1.2采购文件分为第一册“专用条款”和第二册“通用条款”。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3.6“合同”指由本次采购所产生的合同或合约文件；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ind w:firstLine="411" w:firstLineChars="196"/>
        <w:rPr>
          <w:rFonts w:ascii="宋体" w:hAnsi="宋体"/>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rPr>
        <w:t>采购文件的编制与组成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ind w:firstLine="420" w:firstLineChars="200"/>
        <w:rPr>
          <w:rFonts w:ascii="宋体" w:hAnsi="宋体"/>
          <w:szCs w:val="21"/>
        </w:rPr>
      </w:pPr>
      <w:r>
        <w:rPr>
          <w:rFonts w:hint="eastAsia" w:ascii="宋体" w:hAnsi="宋体"/>
          <w:szCs w:val="21"/>
        </w:rPr>
        <w:t>采购文件包括下列内容：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采购公告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采购文件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公开征集失败的后续处理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4"/>
    </w:p>
    <w:p>
      <w:pPr>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pPr>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具体内容在采购文件专用条款中进行规定。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56"/>
    <w:p>
      <w:pPr>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证明投标文件投标技术方案的合格性和符合采购文件规定的文件要求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58"/>
    <w:p>
      <w:pPr>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60"/>
    <w:p>
      <w:pPr>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ind w:firstLine="420" w:firstLineChars="200"/>
        <w:rPr>
          <w:rFonts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ind w:firstLine="420" w:firstLineChars="200"/>
        <w:rPr>
          <w:rFonts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64"/>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wordWrap w:val="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30.1公开发布的采购文件，包括图纸、服务清单、答疑文件等；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30.3评审委员会应当认真研究采购文件，至少应了解熟悉以下内容：</w:t>
      </w:r>
    </w:p>
    <w:p>
      <w:pPr>
        <w:ind w:firstLine="420" w:firstLineChars="200"/>
        <w:rPr>
          <w:rFonts w:ascii="宋体" w:hAnsi="宋体"/>
          <w:szCs w:val="21"/>
        </w:rPr>
      </w:pPr>
      <w:r>
        <w:rPr>
          <w:rFonts w:hint="eastAsia" w:ascii="宋体" w:hAnsi="宋体"/>
          <w:szCs w:val="21"/>
        </w:rPr>
        <w:t>（1）采购的目的；</w:t>
      </w:r>
    </w:p>
    <w:p>
      <w:pPr>
        <w:ind w:firstLine="420" w:firstLineChars="200"/>
        <w:rPr>
          <w:rFonts w:ascii="宋体" w:hAnsi="宋体"/>
          <w:szCs w:val="21"/>
        </w:rPr>
      </w:pPr>
      <w:r>
        <w:rPr>
          <w:rFonts w:hint="eastAsia" w:ascii="宋体" w:hAnsi="宋体"/>
          <w:szCs w:val="21"/>
        </w:rPr>
        <w:t>（2）采购项目需求的范围和性质；</w:t>
      </w:r>
    </w:p>
    <w:p>
      <w:pPr>
        <w:ind w:firstLine="420" w:firstLineChars="200"/>
        <w:rPr>
          <w:rFonts w:ascii="宋体" w:hAnsi="宋体"/>
          <w:szCs w:val="21"/>
        </w:rPr>
      </w:pPr>
      <w:r>
        <w:rPr>
          <w:rFonts w:hint="eastAsia" w:ascii="宋体" w:hAnsi="宋体"/>
          <w:szCs w:val="21"/>
        </w:rPr>
        <w:t>（3）采购文件规定的投标人的资格、财政预算限额、商务条款；</w:t>
      </w:r>
    </w:p>
    <w:p>
      <w:pPr>
        <w:ind w:firstLine="420" w:firstLineChars="200"/>
        <w:rPr>
          <w:rFonts w:ascii="宋体" w:hAnsi="宋体"/>
          <w:szCs w:val="21"/>
        </w:rPr>
      </w:pPr>
      <w:r>
        <w:rPr>
          <w:rFonts w:hint="eastAsia" w:ascii="宋体" w:hAnsi="宋体"/>
          <w:szCs w:val="21"/>
        </w:rPr>
        <w:t>（4）采购文件规定的评标程序、评标方法和评标因素；</w:t>
      </w:r>
    </w:p>
    <w:p>
      <w:pPr>
        <w:ind w:firstLine="420" w:firstLineChars="200"/>
        <w:rPr>
          <w:rFonts w:ascii="宋体" w:hAnsi="宋体"/>
          <w:szCs w:val="21"/>
        </w:rPr>
      </w:pPr>
      <w:r>
        <w:rPr>
          <w:rFonts w:hint="eastAsia" w:ascii="宋体" w:hAnsi="宋体"/>
          <w:szCs w:val="21"/>
        </w:rPr>
        <w:t>（5）采购文件所列示的资格性审查表及符合性审查表。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67" w:name="_Toc73521581"/>
      <w:bookmarkStart w:id="68" w:name="_Toc73518151"/>
      <w:bookmarkStart w:id="69" w:name="_Toc100052400"/>
      <w:bookmarkStart w:id="70" w:name="_Toc73521669"/>
      <w:bookmarkStart w:id="71" w:name="_Toc73517673"/>
      <w:r>
        <w:rPr>
          <w:rFonts w:hint="eastAsia" w:ascii="黑体" w:hAnsi="宋体" w:eastAsia="黑体"/>
          <w:szCs w:val="21"/>
        </w:rPr>
        <w:t>34．错误的修正</w:t>
      </w:r>
      <w:bookmarkEnd w:id="67"/>
      <w:bookmarkEnd w:id="68"/>
      <w:bookmarkEnd w:id="69"/>
      <w:bookmarkEnd w:id="70"/>
      <w:bookmarkEnd w:id="71"/>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72"/>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73"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73"/>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40．中标（成交）公告</w:t>
      </w:r>
    </w:p>
    <w:p>
      <w:pPr>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ind w:firstLine="411" w:firstLineChars="196"/>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ascii="黑体" w:hAnsi="宋体" w:eastAsia="黑体"/>
          <w:szCs w:val="21"/>
        </w:rPr>
      </w:pPr>
      <w:r>
        <w:rPr>
          <w:rFonts w:hint="eastAsia" w:ascii="黑体" w:hAnsi="宋体" w:eastAsia="黑体"/>
          <w:szCs w:val="21"/>
        </w:rPr>
        <w:t>42．公开征集失败的处理</w:t>
      </w:r>
    </w:p>
    <w:p>
      <w:pPr>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ind w:firstLine="420" w:firstLineChars="200"/>
        <w:rPr>
          <w:rFonts w:ascii="宋体" w:hAnsi="宋体"/>
          <w:szCs w:val="21"/>
        </w:rPr>
      </w:pPr>
      <w:r>
        <w:rPr>
          <w:rFonts w:hint="eastAsia" w:ascii="宋体" w:hAnsi="宋体"/>
          <w:szCs w:val="21"/>
        </w:rPr>
        <w:t>42.1.3无有效供应商的，项目公开征集失败，重新组织公开征集。</w:t>
      </w:r>
    </w:p>
    <w:p>
      <w:pPr>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ind w:firstLine="420" w:firstLineChars="200"/>
        <w:rPr>
          <w:rFonts w:ascii="宋体" w:hAnsi="宋体"/>
          <w:szCs w:val="21"/>
        </w:rPr>
      </w:pPr>
      <w:r>
        <w:rPr>
          <w:rFonts w:hint="eastAsia" w:ascii="宋体" w:hAnsi="宋体"/>
          <w:szCs w:val="21"/>
        </w:rPr>
        <w:t>43.1谈判小组</w:t>
      </w:r>
    </w:p>
    <w:p>
      <w:pPr>
        <w:ind w:firstLine="420" w:firstLineChars="200"/>
        <w:rPr>
          <w:rFonts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pPr>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ind w:firstLine="420" w:firstLineChars="200"/>
        <w:rPr>
          <w:rFonts w:ascii="宋体" w:hAnsi="宋体"/>
          <w:szCs w:val="21"/>
        </w:rPr>
      </w:pPr>
      <w:r>
        <w:rPr>
          <w:rFonts w:hint="eastAsia" w:ascii="宋体" w:hAnsi="宋体"/>
          <w:szCs w:val="21"/>
        </w:rPr>
        <w:t>43.2谈判程序</w:t>
      </w:r>
    </w:p>
    <w:p>
      <w:pPr>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ind w:firstLine="420" w:firstLineChars="200"/>
        <w:rPr>
          <w:rFonts w:ascii="宋体" w:hAnsi="宋体"/>
          <w:szCs w:val="21"/>
        </w:rPr>
      </w:pPr>
      <w:r>
        <w:rPr>
          <w:rFonts w:hint="eastAsia" w:ascii="宋体" w:hAnsi="宋体"/>
          <w:szCs w:val="21"/>
        </w:rPr>
        <w:t>43.2.2谈判小组主持人宣布谈判规则和谈判纪律。</w:t>
      </w:r>
    </w:p>
    <w:p>
      <w:pPr>
        <w:ind w:firstLine="420" w:firstLineChars="200"/>
        <w:rPr>
          <w:rFonts w:ascii="宋体" w:hAnsi="宋体"/>
          <w:szCs w:val="21"/>
        </w:rPr>
      </w:pPr>
      <w:r>
        <w:rPr>
          <w:rFonts w:hint="eastAsia" w:ascii="宋体" w:hAnsi="宋体"/>
          <w:szCs w:val="21"/>
        </w:rPr>
        <w:t>43.2.3在谈判中，谈判小组将就以下谈判内容跟供应商进行谈判：</w:t>
      </w:r>
    </w:p>
    <w:p>
      <w:pPr>
        <w:ind w:firstLine="420" w:firstLineChars="200"/>
        <w:rPr>
          <w:rFonts w:ascii="宋体" w:hAnsi="宋体"/>
          <w:szCs w:val="21"/>
        </w:rPr>
      </w:pPr>
      <w:r>
        <w:rPr>
          <w:rFonts w:hint="eastAsia" w:ascii="宋体" w:hAnsi="宋体"/>
          <w:szCs w:val="21"/>
        </w:rPr>
        <w:t>（1）项目方案；</w:t>
      </w:r>
    </w:p>
    <w:p>
      <w:pPr>
        <w:ind w:firstLine="420" w:firstLineChars="200"/>
        <w:rPr>
          <w:rFonts w:ascii="宋体" w:hAnsi="宋体"/>
          <w:szCs w:val="21"/>
        </w:rPr>
      </w:pPr>
      <w:r>
        <w:rPr>
          <w:rFonts w:hint="eastAsia" w:ascii="宋体" w:hAnsi="宋体"/>
          <w:szCs w:val="21"/>
        </w:rPr>
        <w:t>（2）报价；</w:t>
      </w:r>
    </w:p>
    <w:p>
      <w:pPr>
        <w:ind w:firstLine="420" w:firstLineChars="200"/>
        <w:rPr>
          <w:rFonts w:ascii="宋体" w:hAnsi="宋体"/>
          <w:szCs w:val="21"/>
        </w:rPr>
      </w:pPr>
      <w:r>
        <w:rPr>
          <w:rFonts w:hint="eastAsia" w:ascii="宋体" w:hAnsi="宋体"/>
          <w:szCs w:val="21"/>
        </w:rPr>
        <w:t>（3）其它相关事项。</w:t>
      </w:r>
    </w:p>
    <w:p>
      <w:pPr>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ind w:firstLine="420" w:firstLineChars="200"/>
        <w:rPr>
          <w:rFonts w:ascii="宋体" w:hAnsi="宋体"/>
          <w:szCs w:val="21"/>
        </w:rPr>
      </w:pPr>
      <w:r>
        <w:rPr>
          <w:rFonts w:hint="eastAsia" w:ascii="宋体" w:hAnsi="宋体"/>
          <w:szCs w:val="21"/>
        </w:rPr>
        <w:t>43.2.10谈判小组将对谈判过程进行记录，以存档备查。</w:t>
      </w:r>
    </w:p>
    <w:p>
      <w:pPr>
        <w:ind w:firstLine="420" w:firstLineChars="200"/>
        <w:rPr>
          <w:rFonts w:ascii="黑体" w:hAnsi="宋体" w:eastAsia="黑体"/>
          <w:szCs w:val="21"/>
        </w:rPr>
      </w:pPr>
      <w:r>
        <w:rPr>
          <w:rFonts w:hint="eastAsia" w:ascii="黑体" w:hAnsi="宋体" w:eastAsia="黑体"/>
          <w:szCs w:val="21"/>
        </w:rPr>
        <w:t>43.3评标方法和定标原则</w:t>
      </w:r>
    </w:p>
    <w:p>
      <w:pPr>
        <w:ind w:firstLine="420" w:firstLineChars="200"/>
        <w:rPr>
          <w:rFonts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pPr>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ind w:firstLine="420" w:firstLineChars="200"/>
        <w:rPr>
          <w:rFonts w:ascii="宋体" w:hAnsi="宋体"/>
          <w:szCs w:val="21"/>
        </w:rPr>
      </w:pPr>
    </w:p>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ind w:firstLine="420" w:firstLineChars="200"/>
        <w:rPr>
          <w:rFonts w:ascii="黑体" w:hAnsi="宋体" w:eastAsia="黑体"/>
          <w:szCs w:val="21"/>
        </w:rPr>
      </w:pPr>
      <w:bookmarkStart w:id="82" w:name="_Toc73521674"/>
      <w:bookmarkStart w:id="83" w:name="_Toc73521586"/>
      <w:bookmarkStart w:id="84" w:name="_Toc100052408"/>
      <w:bookmarkStart w:id="85" w:name="_Toc73518157"/>
      <w:bookmarkStart w:id="86" w:name="_Toc73517679"/>
      <w:bookmarkStart w:id="87" w:name="_Hlk72439088"/>
      <w:r>
        <w:rPr>
          <w:rFonts w:hint="eastAsia" w:ascii="黑体" w:hAnsi="宋体" w:eastAsia="黑体"/>
          <w:szCs w:val="21"/>
        </w:rPr>
        <w:t>43．合同授予标准</w:t>
      </w:r>
      <w:bookmarkEnd w:id="82"/>
      <w:bookmarkEnd w:id="83"/>
      <w:bookmarkEnd w:id="84"/>
      <w:bookmarkEnd w:id="85"/>
      <w:bookmarkEnd w:id="86"/>
    </w:p>
    <w:p>
      <w:pPr>
        <w:ind w:firstLine="420" w:firstLineChars="200"/>
        <w:rPr>
          <w:rFonts w:ascii="宋体" w:hAnsi="宋体"/>
          <w:szCs w:val="21"/>
        </w:rPr>
      </w:pPr>
      <w:r>
        <w:rPr>
          <w:rFonts w:hint="eastAsia" w:ascii="宋体" w:hAnsi="宋体"/>
          <w:szCs w:val="21"/>
        </w:rPr>
        <w:t>本项目的合同将授予经本采购文件规定评审确定的中标供应商。</w:t>
      </w:r>
    </w:p>
    <w:p>
      <w:pPr>
        <w:ind w:firstLine="420" w:firstLineChars="200"/>
        <w:rPr>
          <w:rFonts w:ascii="黑体" w:hAnsi="宋体" w:eastAsia="黑体"/>
          <w:szCs w:val="21"/>
        </w:rPr>
      </w:pPr>
      <w:bookmarkStart w:id="88" w:name="_Toc73521587"/>
      <w:bookmarkStart w:id="89" w:name="_Toc73517680"/>
      <w:bookmarkStart w:id="90" w:name="_Toc73518158"/>
      <w:bookmarkStart w:id="91" w:name="_Toc73521675"/>
      <w:bookmarkStart w:id="92" w:name="_Toc100052409"/>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93" w:name="_Toc73521589"/>
      <w:bookmarkStart w:id="94" w:name="_Toc100052410"/>
      <w:bookmarkStart w:id="95" w:name="_Toc73518160"/>
      <w:bookmarkStart w:id="96" w:name="_Toc73521677"/>
      <w:bookmarkStart w:id="97" w:name="_Toc73517682"/>
      <w:r>
        <w:rPr>
          <w:rFonts w:hint="eastAsia" w:ascii="黑体" w:hAnsi="宋体" w:eastAsia="黑体"/>
          <w:szCs w:val="21"/>
        </w:rPr>
        <w:t>45．合同的签订</w:t>
      </w:r>
      <w:bookmarkEnd w:id="93"/>
      <w:bookmarkEnd w:id="94"/>
      <w:bookmarkEnd w:id="95"/>
      <w:bookmarkEnd w:id="96"/>
      <w:bookmarkEnd w:id="97"/>
    </w:p>
    <w:p>
      <w:pPr>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ascii="黑体" w:hAnsi="宋体" w:eastAsia="黑体"/>
          <w:szCs w:val="21"/>
        </w:rPr>
      </w:pPr>
      <w:bookmarkStart w:id="98" w:name="_Toc100052411"/>
      <w:bookmarkStart w:id="99" w:name="_Toc73518161"/>
      <w:bookmarkStart w:id="100" w:name="_Toc73521590"/>
      <w:bookmarkStart w:id="101" w:name="_Toc73521678"/>
      <w:bookmarkStart w:id="102" w:name="_Toc73517683"/>
      <w:r>
        <w:rPr>
          <w:rFonts w:hint="eastAsia" w:ascii="黑体" w:hAnsi="宋体" w:eastAsia="黑体"/>
          <w:szCs w:val="21"/>
        </w:rPr>
        <w:t>46．履约担保</w:t>
      </w:r>
      <w:bookmarkEnd w:id="98"/>
      <w:bookmarkEnd w:id="99"/>
      <w:bookmarkEnd w:id="100"/>
      <w:bookmarkEnd w:id="101"/>
      <w:bookmarkEnd w:id="102"/>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7"/>
    <w:p>
      <w:pPr>
        <w:pStyle w:val="78"/>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52.8争议（投诉）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ascii="宋体" w:hAnsi="宋体"/>
          <w:szCs w:val="21"/>
        </w:rPr>
      </w:pPr>
    </w:p>
    <w:sectPr>
      <w:headerReference r:id="rId5" w:type="first"/>
      <w:headerReference r:id="rId4" w:type="defaul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moder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长城仿宋">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roma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00D06C01"/>
    <w:multiLevelType w:val="multilevel"/>
    <w:tmpl w:val="00D06C01"/>
    <w:lvl w:ilvl="0" w:tentative="0">
      <w:start w:val="1"/>
      <w:numFmt w:val="japaneseCounting"/>
      <w:lvlText w:val="第%1条"/>
      <w:lvlJc w:val="left"/>
      <w:pPr>
        <w:ind w:left="1185" w:hanging="945"/>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E5995"/>
    <w:multiLevelType w:val="multilevel"/>
    <w:tmpl w:val="3D7E5995"/>
    <w:lvl w:ilvl="0" w:tentative="0">
      <w:start w:val="1"/>
      <w:numFmt w:val="decimal"/>
      <w:lvlText w:val="%1."/>
      <w:lvlJc w:val="left"/>
      <w:pPr>
        <w:ind w:left="600" w:hanging="600"/>
      </w:pPr>
      <w:rPr>
        <w:rFonts w:hint="default"/>
      </w:rPr>
    </w:lvl>
    <w:lvl w:ilvl="1" w:tentative="0">
      <w:start w:val="1"/>
      <w:numFmt w:val="decimal"/>
      <w:lvlText w:val="12.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0">
    <w:nsid w:val="478B6BCA"/>
    <w:multiLevelType w:val="multilevel"/>
    <w:tmpl w:val="478B6BCA"/>
    <w:lvl w:ilvl="0" w:tentative="0">
      <w:start w:val="1"/>
      <w:numFmt w:val="bullet"/>
      <w:lvlText w:val="□"/>
      <w:lvlJc w:val="left"/>
      <w:pPr>
        <w:tabs>
          <w:tab w:val="left" w:pos="540"/>
        </w:tabs>
        <w:ind w:left="540" w:hanging="360"/>
      </w:pPr>
      <w:rPr>
        <w:rFonts w:hint="eastAsia" w:ascii="宋体" w:hAnsi="宋体" w:eastAsia="宋体" w:cs="宋体"/>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1">
    <w:nsid w:val="4B182E8C"/>
    <w:multiLevelType w:val="multilevel"/>
    <w:tmpl w:val="4B182E8C"/>
    <w:lvl w:ilvl="0" w:tentative="0">
      <w:start w:val="1"/>
      <w:numFmt w:val="decimal"/>
      <w:lvlText w:val="6.%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2">
    <w:nsid w:val="4E6D7FFE"/>
    <w:multiLevelType w:val="multilevel"/>
    <w:tmpl w:val="4E6D7FFE"/>
    <w:lvl w:ilvl="0" w:tentative="0">
      <w:start w:val="1"/>
      <w:numFmt w:val="decimal"/>
      <w:lvlText w:val="13.%1."/>
      <w:lvlJc w:val="left"/>
      <w:pPr>
        <w:ind w:left="980" w:hanging="420"/>
      </w:pPr>
      <w:rPr>
        <w:rFonts w:hint="eastAsia"/>
        <w:b w:val="0"/>
        <w:sz w:val="24"/>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D74F0E"/>
    <w:multiLevelType w:val="multilevel"/>
    <w:tmpl w:val="4ED74F0E"/>
    <w:lvl w:ilvl="0" w:tentative="0">
      <w:start w:val="1"/>
      <w:numFmt w:val="decimal"/>
      <w:lvlText w:val="5.%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4">
    <w:nsid w:val="589F1A7B"/>
    <w:multiLevelType w:val="multilevel"/>
    <w:tmpl w:val="589F1A7B"/>
    <w:lvl w:ilvl="0" w:tentative="0">
      <w:start w:val="1"/>
      <w:numFmt w:val="decimal"/>
      <w:lvlText w:val="%1."/>
      <w:lvlJc w:val="left"/>
      <w:pPr>
        <w:ind w:left="600" w:hanging="600"/>
      </w:pPr>
      <w:rPr>
        <w:rFonts w:hint="default"/>
      </w:rPr>
    </w:lvl>
    <w:lvl w:ilvl="1" w:tentative="0">
      <w:start w:val="1"/>
      <w:numFmt w:val="decimal"/>
      <w:lvlText w:val="5.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5">
    <w:nsid w:val="5C0D2242"/>
    <w:multiLevelType w:val="multilevel"/>
    <w:tmpl w:val="5C0D2242"/>
    <w:lvl w:ilvl="0" w:tentative="0">
      <w:start w:val="1"/>
      <w:numFmt w:val="decimal"/>
      <w:lvlText w:val="%1."/>
      <w:lvlJc w:val="left"/>
      <w:pPr>
        <w:ind w:left="600" w:hanging="600"/>
      </w:pPr>
      <w:rPr>
        <w:rFonts w:hint="default"/>
      </w:rPr>
    </w:lvl>
    <w:lvl w:ilvl="1" w:tentative="0">
      <w:start w:val="1"/>
      <w:numFmt w:val="decimal"/>
      <w:lvlText w:val="12.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6">
    <w:nsid w:val="630A3ED7"/>
    <w:multiLevelType w:val="multilevel"/>
    <w:tmpl w:val="630A3ED7"/>
    <w:lvl w:ilvl="0" w:tentative="0">
      <w:start w:val="1"/>
      <w:numFmt w:val="decimal"/>
      <w:lvlText w:val="%1."/>
      <w:lvlJc w:val="left"/>
      <w:pPr>
        <w:ind w:left="600" w:hanging="600"/>
      </w:pPr>
      <w:rPr>
        <w:rFonts w:hint="default"/>
      </w:rPr>
    </w:lvl>
    <w:lvl w:ilvl="1" w:tentative="0">
      <w:start w:val="1"/>
      <w:numFmt w:val="decimal"/>
      <w:lvlText w:val="5.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7">
    <w:nsid w:val="670F0216"/>
    <w:multiLevelType w:val="multilevel"/>
    <w:tmpl w:val="670F0216"/>
    <w:lvl w:ilvl="0" w:tentative="0">
      <w:start w:val="1"/>
      <w:numFmt w:val="decimal"/>
      <w:lvlText w:val="10.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2F4239"/>
    <w:multiLevelType w:val="multilevel"/>
    <w:tmpl w:val="6B2F4239"/>
    <w:lvl w:ilvl="0" w:tentative="0">
      <w:start w:val="1"/>
      <w:numFmt w:val="decimal"/>
      <w:lvlText w:val="%1."/>
      <w:lvlJc w:val="left"/>
      <w:pPr>
        <w:ind w:left="600" w:hanging="600"/>
      </w:pPr>
      <w:rPr>
        <w:rFonts w:hint="default"/>
      </w:rPr>
    </w:lvl>
    <w:lvl w:ilvl="1" w:tentative="0">
      <w:start w:val="1"/>
      <w:numFmt w:val="decimal"/>
      <w:lvlText w:val="6.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9">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DFD1D6F"/>
    <w:multiLevelType w:val="multilevel"/>
    <w:tmpl w:val="7DFD1D6F"/>
    <w:lvl w:ilvl="0" w:tentative="0">
      <w:start w:val="1"/>
      <w:numFmt w:val="decimal"/>
      <w:lvlText w:val="10.2.%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6"/>
  </w:num>
  <w:num w:numId="4">
    <w:abstractNumId w:val="5"/>
  </w:num>
  <w:num w:numId="5">
    <w:abstractNumId w:val="19"/>
  </w:num>
  <w:num w:numId="6">
    <w:abstractNumId w:val="7"/>
  </w:num>
  <w:num w:numId="7">
    <w:abstractNumId w:val="0"/>
  </w:num>
  <w:num w:numId="8">
    <w:abstractNumId w:val="1"/>
  </w:num>
  <w:num w:numId="9">
    <w:abstractNumId w:val="4"/>
  </w:num>
  <w:num w:numId="10">
    <w:abstractNumId w:val="10"/>
  </w:num>
  <w:num w:numId="11">
    <w:abstractNumId w:val="13"/>
  </w:num>
  <w:num w:numId="12">
    <w:abstractNumId w:val="16"/>
  </w:num>
  <w:num w:numId="13">
    <w:abstractNumId w:val="14"/>
  </w:num>
  <w:num w:numId="14">
    <w:abstractNumId w:val="11"/>
  </w:num>
  <w:num w:numId="15">
    <w:abstractNumId w:val="18"/>
  </w:num>
  <w:num w:numId="16">
    <w:abstractNumId w:val="17"/>
  </w:num>
  <w:num w:numId="17">
    <w:abstractNumId w:val="20"/>
  </w:num>
  <w:num w:numId="18">
    <w:abstractNumId w:val="9"/>
  </w:num>
  <w:num w:numId="19">
    <w:abstractNumId w:val="15"/>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08F"/>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6F35"/>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91F"/>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469"/>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D33"/>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2F08"/>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AA7"/>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1C65"/>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7A5"/>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B5A"/>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35EC"/>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022"/>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1956"/>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4B0E"/>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550"/>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0BC7"/>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3CA1"/>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17969"/>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055"/>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2E1"/>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5DE7"/>
    <w:rsid w:val="00946136"/>
    <w:rsid w:val="00946CD9"/>
    <w:rsid w:val="00947046"/>
    <w:rsid w:val="00947A00"/>
    <w:rsid w:val="009505F4"/>
    <w:rsid w:val="0095085D"/>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58B8"/>
    <w:rsid w:val="00996326"/>
    <w:rsid w:val="00996B7D"/>
    <w:rsid w:val="00996F95"/>
    <w:rsid w:val="009976A3"/>
    <w:rsid w:val="00997745"/>
    <w:rsid w:val="00997EA5"/>
    <w:rsid w:val="009A021C"/>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180"/>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532"/>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2A8D"/>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7AE"/>
    <w:rsid w:val="00AA5EB3"/>
    <w:rsid w:val="00AA6916"/>
    <w:rsid w:val="00AB022F"/>
    <w:rsid w:val="00AB110E"/>
    <w:rsid w:val="00AB11CF"/>
    <w:rsid w:val="00AB1287"/>
    <w:rsid w:val="00AB1CE8"/>
    <w:rsid w:val="00AB2075"/>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5B53"/>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B48"/>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577"/>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1BAA"/>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55F"/>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6A87"/>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0BD"/>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802"/>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64B7"/>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103"/>
    <w:rsid w:val="00F2299F"/>
    <w:rsid w:val="00F231F0"/>
    <w:rsid w:val="00F24787"/>
    <w:rsid w:val="00F24D39"/>
    <w:rsid w:val="00F251E2"/>
    <w:rsid w:val="00F2586D"/>
    <w:rsid w:val="00F259A5"/>
    <w:rsid w:val="00F25EF1"/>
    <w:rsid w:val="00F263E5"/>
    <w:rsid w:val="00F301E0"/>
    <w:rsid w:val="00F303E8"/>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DE2"/>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7B7AFA"/>
    <w:rsid w:val="030D7E3E"/>
    <w:rsid w:val="0334205E"/>
    <w:rsid w:val="034856A5"/>
    <w:rsid w:val="03D07714"/>
    <w:rsid w:val="03F3534A"/>
    <w:rsid w:val="0407189D"/>
    <w:rsid w:val="045B6255"/>
    <w:rsid w:val="05D11D1B"/>
    <w:rsid w:val="05FA7789"/>
    <w:rsid w:val="062556EC"/>
    <w:rsid w:val="067D4F9E"/>
    <w:rsid w:val="07AF301F"/>
    <w:rsid w:val="08204893"/>
    <w:rsid w:val="08505170"/>
    <w:rsid w:val="086F7E62"/>
    <w:rsid w:val="08E27D9B"/>
    <w:rsid w:val="093A1D5C"/>
    <w:rsid w:val="096A3017"/>
    <w:rsid w:val="099512B1"/>
    <w:rsid w:val="09F07824"/>
    <w:rsid w:val="0A40746F"/>
    <w:rsid w:val="0AA40F50"/>
    <w:rsid w:val="0B0104DC"/>
    <w:rsid w:val="0B5C3E34"/>
    <w:rsid w:val="0B60651B"/>
    <w:rsid w:val="0B9340C0"/>
    <w:rsid w:val="0BB26C18"/>
    <w:rsid w:val="0BDF6813"/>
    <w:rsid w:val="0CBA3508"/>
    <w:rsid w:val="0D1077DD"/>
    <w:rsid w:val="0D32334D"/>
    <w:rsid w:val="0D646E2A"/>
    <w:rsid w:val="0ECD6BB9"/>
    <w:rsid w:val="0F5170F1"/>
    <w:rsid w:val="0F6E1082"/>
    <w:rsid w:val="102A1CBB"/>
    <w:rsid w:val="107C061C"/>
    <w:rsid w:val="109C2F25"/>
    <w:rsid w:val="10AF5CC3"/>
    <w:rsid w:val="111451B1"/>
    <w:rsid w:val="11205904"/>
    <w:rsid w:val="114A387E"/>
    <w:rsid w:val="11543BAC"/>
    <w:rsid w:val="11A5684D"/>
    <w:rsid w:val="12042B30"/>
    <w:rsid w:val="120E7E09"/>
    <w:rsid w:val="123D4E07"/>
    <w:rsid w:val="13F74556"/>
    <w:rsid w:val="14054F66"/>
    <w:rsid w:val="14B85A81"/>
    <w:rsid w:val="14F90946"/>
    <w:rsid w:val="151469B7"/>
    <w:rsid w:val="152850C5"/>
    <w:rsid w:val="15956C4F"/>
    <w:rsid w:val="159F2DAC"/>
    <w:rsid w:val="16B94475"/>
    <w:rsid w:val="175E1D65"/>
    <w:rsid w:val="17853B61"/>
    <w:rsid w:val="17BE3B06"/>
    <w:rsid w:val="17E70F2A"/>
    <w:rsid w:val="18657E73"/>
    <w:rsid w:val="19006747"/>
    <w:rsid w:val="19C9757D"/>
    <w:rsid w:val="19EA6260"/>
    <w:rsid w:val="1A4474E8"/>
    <w:rsid w:val="1AFB05F2"/>
    <w:rsid w:val="1BCE272A"/>
    <w:rsid w:val="1CE719C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663191B"/>
    <w:rsid w:val="275E672C"/>
    <w:rsid w:val="27B52D4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123144"/>
    <w:rsid w:val="2FCA01E7"/>
    <w:rsid w:val="30006A18"/>
    <w:rsid w:val="30045057"/>
    <w:rsid w:val="30667B76"/>
    <w:rsid w:val="307410C2"/>
    <w:rsid w:val="313C5E2A"/>
    <w:rsid w:val="33052E4F"/>
    <w:rsid w:val="33A16D02"/>
    <w:rsid w:val="34CC52D7"/>
    <w:rsid w:val="34FF745B"/>
    <w:rsid w:val="3569702C"/>
    <w:rsid w:val="35AF558A"/>
    <w:rsid w:val="364A5420"/>
    <w:rsid w:val="365F7D6B"/>
    <w:rsid w:val="37FA3B07"/>
    <w:rsid w:val="38125841"/>
    <w:rsid w:val="38BA5C68"/>
    <w:rsid w:val="393435C0"/>
    <w:rsid w:val="3A660185"/>
    <w:rsid w:val="3AFE0C57"/>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1D3A1B"/>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892710"/>
    <w:rsid w:val="5ED8763C"/>
    <w:rsid w:val="5F0E70B0"/>
    <w:rsid w:val="5F6D308F"/>
    <w:rsid w:val="5FFC7D0A"/>
    <w:rsid w:val="60515EE8"/>
    <w:rsid w:val="60D73CC0"/>
    <w:rsid w:val="61250170"/>
    <w:rsid w:val="61603C1A"/>
    <w:rsid w:val="61910E2C"/>
    <w:rsid w:val="619E0949"/>
    <w:rsid w:val="62324D67"/>
    <w:rsid w:val="62854069"/>
    <w:rsid w:val="62A241F2"/>
    <w:rsid w:val="63293E11"/>
    <w:rsid w:val="63331D15"/>
    <w:rsid w:val="63A27E10"/>
    <w:rsid w:val="64220BB4"/>
    <w:rsid w:val="64F40429"/>
    <w:rsid w:val="651E6376"/>
    <w:rsid w:val="660D7080"/>
    <w:rsid w:val="66472C76"/>
    <w:rsid w:val="6658788B"/>
    <w:rsid w:val="6699015D"/>
    <w:rsid w:val="67297071"/>
    <w:rsid w:val="679822B5"/>
    <w:rsid w:val="67E1648C"/>
    <w:rsid w:val="69A9410F"/>
    <w:rsid w:val="6A217DF6"/>
    <w:rsid w:val="6A371DEF"/>
    <w:rsid w:val="6B100175"/>
    <w:rsid w:val="6B122952"/>
    <w:rsid w:val="6B37721A"/>
    <w:rsid w:val="6B6C3978"/>
    <w:rsid w:val="6BEB3CFE"/>
    <w:rsid w:val="6C662F7C"/>
    <w:rsid w:val="6C804AB4"/>
    <w:rsid w:val="6D904C50"/>
    <w:rsid w:val="6DE55656"/>
    <w:rsid w:val="6DFD472A"/>
    <w:rsid w:val="6E261BA7"/>
    <w:rsid w:val="6FF90541"/>
    <w:rsid w:val="728338B1"/>
    <w:rsid w:val="732E2E41"/>
    <w:rsid w:val="73762E92"/>
    <w:rsid w:val="74B75416"/>
    <w:rsid w:val="751050E8"/>
    <w:rsid w:val="76414A7E"/>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5C44DF"/>
    <w:rsid w:val="7E816BC7"/>
    <w:rsid w:val="7ECA59B1"/>
    <w:rsid w:val="7F6C2EA6"/>
    <w:rsid w:val="7FAC630C"/>
    <w:rsid w:val="7FD45025"/>
    <w:rsid w:val="7FD558D4"/>
    <w:rsid w:val="7FFB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unhideWhenUsed/>
    <w:qFormat/>
    <w:uiPriority w:val="0"/>
  </w:style>
  <w:style w:type="character" w:styleId="49">
    <w:name w:val="HTML Typewriter"/>
    <w:basedOn w:val="44"/>
    <w:unhideWhenUsed/>
    <w:qFormat/>
    <w:uiPriority w:val="0"/>
    <w:rPr>
      <w:rFonts w:hint="default" w:ascii="monospace" w:hAnsi="monospace" w:eastAsia="monospace" w:cs="monospace"/>
      <w:sz w:val="20"/>
    </w:rPr>
  </w:style>
  <w:style w:type="character" w:styleId="50">
    <w:name w:val="HTML Acronym"/>
    <w:basedOn w:val="44"/>
    <w:unhideWhenUsed/>
    <w:qFormat/>
    <w:uiPriority w:val="0"/>
  </w:style>
  <w:style w:type="character" w:styleId="51">
    <w:name w:val="HTML Variable"/>
    <w:basedOn w:val="44"/>
    <w:unhideWhenUsed/>
    <w:qFormat/>
    <w:uiPriority w:val="0"/>
  </w:style>
  <w:style w:type="character" w:styleId="52">
    <w:name w:val="Hyperlink"/>
    <w:qFormat/>
    <w:uiPriority w:val="0"/>
    <w:rPr>
      <w:color w:val="0000FF"/>
      <w:u w:val="single"/>
    </w:rPr>
  </w:style>
  <w:style w:type="character" w:styleId="53">
    <w:name w:val="HTML Code"/>
    <w:basedOn w:val="44"/>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unhideWhenUsed/>
    <w:qFormat/>
    <w:uiPriority w:val="0"/>
  </w:style>
  <w:style w:type="character" w:styleId="56">
    <w:name w:val="HTML Keyboard"/>
    <w:basedOn w:val="44"/>
    <w:unhideWhenUsed/>
    <w:qFormat/>
    <w:uiPriority w:val="0"/>
    <w:rPr>
      <w:rFonts w:hint="default" w:ascii="monospace" w:hAnsi="monospace" w:eastAsia="monospace" w:cs="monospace"/>
      <w:sz w:val="20"/>
    </w:rPr>
  </w:style>
  <w:style w:type="character" w:styleId="57">
    <w:name w:val="HTML Sample"/>
    <w:basedOn w:val="44"/>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8">
    <w:name w:val="列表段落1"/>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unhideWhenUsed/>
    <w:qFormat/>
    <w:uiPriority w:val="0"/>
    <w:tblPr>
      <w:tblCellMar>
        <w:top w:w="0" w:type="dxa"/>
        <w:left w:w="0" w:type="dxa"/>
        <w:bottom w:w="0" w:type="dxa"/>
        <w:right w:w="0" w:type="dxa"/>
      </w:tblCellMar>
    </w:tblPr>
  </w:style>
  <w:style w:type="paragraph" w:customStyle="1" w:styleId="205">
    <w:name w:val="Table Paragraph"/>
    <w:basedOn w:val="1"/>
    <w:qFormat/>
    <w:uiPriority w:val="1"/>
    <w:pPr>
      <w:widowControl/>
      <w:autoSpaceDE w:val="0"/>
      <w:autoSpaceDN w:val="0"/>
      <w:adjustRightInd w:val="0"/>
      <w:jc w:val="left"/>
    </w:pPr>
    <w:rPr>
      <w:rFonts w:eastAsia="等线"/>
      <w:kern w:val="0"/>
      <w:sz w:val="24"/>
    </w:rPr>
  </w:style>
  <w:style w:type="paragraph" w:customStyle="1" w:styleId="20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7">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7664</Words>
  <Characters>43688</Characters>
  <Lines>364</Lines>
  <Paragraphs>102</Paragraphs>
  <TotalTime>4</TotalTime>
  <ScaleCrop>false</ScaleCrop>
  <LinksUpToDate>false</LinksUpToDate>
  <CharactersWithSpaces>51250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2025-04-30T06:52:00Z</dcterms:created>
  <dc:creator>thsware</dc:creator>
  <cp:lastModifiedBy>政府采购业务部</cp:lastModifiedBy>
  <cp:lastPrinted>2021-05-09T08:02:00Z</cp:lastPrinted>
  <dcterms:modified xsi:type="dcterms:W3CDTF">2025-05-30T05:11:42Z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35F6395B09974CDF93F1A42DF5C76E94_13</vt:lpwstr>
  </property>
  <property fmtid="{D5CDD505-2E9C-101B-9397-08002B2CF9AE}" pid="4" name="KSOTemplateDocerSaveRecord">
    <vt:lpwstr>eyJoZGlkIjoiMTkwY2I3ZDZlZWEzMmQ5ZjFhOGExOTU0NWEzZmIyNWEiLCJ1c2VySWQiOiI0MzM5NjUxMjAifQ==</vt:lpwstr>
  </property>
</Properties>
</file>