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before="100" w:beforeAutospacing="1" w:after="100" w:afterAutospacing="1"/>
        <w:jc w:val="center"/>
        <w:outlineLvl w:val="1"/>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采购文件信息</w:t>
      </w:r>
    </w:p>
    <w:tbl>
      <w:tblPr>
        <w:tblStyle w:val="42"/>
        <w:tblW w:w="7943" w:type="dxa"/>
        <w:jc w:val="center"/>
        <w:tblCellSpacing w:w="0" w:type="dxa"/>
        <w:tblLayout w:type="fixed"/>
        <w:tblCellMar>
          <w:top w:w="45" w:type="dxa"/>
          <w:left w:w="45" w:type="dxa"/>
          <w:bottom w:w="45" w:type="dxa"/>
          <w:right w:w="45" w:type="dxa"/>
        </w:tblCellMar>
      </w:tblPr>
      <w:tblGrid>
        <w:gridCol w:w="2723"/>
        <w:gridCol w:w="5220"/>
      </w:tblGrid>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项目编号：</w:t>
            </w:r>
          </w:p>
        </w:tc>
        <w:tc>
          <w:tcPr>
            <w:tcW w:w="5220" w:type="dxa"/>
            <w:shd w:val="clear" w:color="auto" w:fill="auto"/>
            <w:vAlign w:val="center"/>
          </w:tcPr>
          <w:p>
            <w:pPr>
              <w:widowControl/>
              <w:jc w:val="left"/>
              <w:rPr>
                <w:sz w:val="30"/>
                <w:szCs w:val="30"/>
              </w:rPr>
            </w:pPr>
            <w:r>
              <w:rPr>
                <w:rFonts w:hint="eastAsia"/>
                <w:sz w:val="30"/>
                <w:szCs w:val="30"/>
              </w:rPr>
              <w:t>SZZXCG-2025-00194</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项目名称：</w:t>
            </w:r>
          </w:p>
        </w:tc>
        <w:tc>
          <w:tcPr>
            <w:tcW w:w="5220" w:type="dxa"/>
            <w:shd w:val="clear" w:color="auto" w:fill="auto"/>
            <w:vAlign w:val="center"/>
          </w:tcPr>
          <w:p>
            <w:pPr>
              <w:widowControl/>
              <w:jc w:val="left"/>
              <w:rPr>
                <w:sz w:val="30"/>
                <w:szCs w:val="30"/>
              </w:rPr>
            </w:pPr>
            <w:r>
              <w:rPr>
                <w:rFonts w:hint="eastAsia"/>
                <w:sz w:val="30"/>
                <w:szCs w:val="30"/>
              </w:rPr>
              <w:t>深圳市公安局局本级待确权物业消防评估服务</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包 号：</w:t>
            </w:r>
          </w:p>
        </w:tc>
        <w:tc>
          <w:tcPr>
            <w:tcW w:w="5220" w:type="dxa"/>
            <w:shd w:val="clear" w:color="auto" w:fill="auto"/>
            <w:vAlign w:val="center"/>
          </w:tcPr>
          <w:p>
            <w:pPr>
              <w:widowControl/>
              <w:jc w:val="left"/>
              <w:rPr>
                <w:sz w:val="30"/>
                <w:szCs w:val="30"/>
              </w:rPr>
            </w:pPr>
            <w:r>
              <w:rPr>
                <w:rFonts w:ascii="宋体" w:hAnsi="宋体" w:cs="宋体"/>
                <w:kern w:val="0"/>
                <w:sz w:val="30"/>
                <w:szCs w:val="30"/>
              </w:rPr>
              <w:t>A</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项目类型：</w:t>
            </w:r>
          </w:p>
        </w:tc>
        <w:tc>
          <w:tcPr>
            <w:tcW w:w="5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30"/>
                <w:szCs w:val="30"/>
              </w:rPr>
            </w:pPr>
            <w:r>
              <w:rPr>
                <w:rFonts w:hint="eastAsia" w:ascii="宋体" w:hAnsi="宋体" w:cs="宋体"/>
                <w:kern w:val="0"/>
                <w:sz w:val="30"/>
                <w:szCs w:val="30"/>
              </w:rPr>
              <w:t>服务</w:t>
            </w:r>
            <w:r>
              <w:rPr>
                <w:rFonts w:ascii="宋体" w:hAnsi="宋体" w:cs="宋体"/>
                <w:kern w:val="0"/>
                <w:sz w:val="30"/>
                <w:szCs w:val="30"/>
              </w:rPr>
              <w:t>类</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30"/>
                <w:szCs w:val="30"/>
              </w:rPr>
            </w:pPr>
            <w:r>
              <w:rPr>
                <w:rFonts w:hint="eastAsia" w:ascii="宋体" w:hAnsi="宋体" w:cs="宋体"/>
                <w:kern w:val="0"/>
                <w:sz w:val="30"/>
                <w:szCs w:val="30"/>
              </w:rPr>
              <w:t>服务属性：建筑物勘察测量服务</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sz w:val="30"/>
                <w:szCs w:val="30"/>
              </w:rPr>
            </w:pPr>
            <w:r>
              <w:rPr>
                <w:rFonts w:hint="eastAsia" w:ascii="宋体" w:hAnsi="宋体" w:cs="宋体"/>
                <w:kern w:val="0"/>
                <w:sz w:val="30"/>
                <w:szCs w:val="30"/>
              </w:rPr>
              <w:t>编号：B060302</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采购方式：</w:t>
            </w:r>
          </w:p>
        </w:tc>
        <w:tc>
          <w:tcPr>
            <w:tcW w:w="5220" w:type="dxa"/>
            <w:shd w:val="clear" w:color="auto" w:fill="auto"/>
            <w:vAlign w:val="center"/>
          </w:tcPr>
          <w:p>
            <w:pPr>
              <w:widowControl/>
              <w:jc w:val="left"/>
              <w:rPr>
                <w:sz w:val="30"/>
                <w:szCs w:val="30"/>
              </w:rPr>
            </w:pPr>
            <w:r>
              <w:rPr>
                <w:rFonts w:hint="eastAsia" w:ascii="宋体" w:hAnsi="宋体" w:cs="宋体"/>
                <w:kern w:val="0"/>
                <w:sz w:val="30"/>
                <w:szCs w:val="30"/>
              </w:rPr>
              <w:t>公开征集</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货币类型：</w:t>
            </w:r>
          </w:p>
        </w:tc>
        <w:tc>
          <w:tcPr>
            <w:tcW w:w="5220" w:type="dxa"/>
            <w:shd w:val="clear" w:color="auto" w:fill="auto"/>
            <w:vAlign w:val="center"/>
          </w:tcPr>
          <w:p>
            <w:pPr>
              <w:widowControl/>
              <w:jc w:val="left"/>
              <w:rPr>
                <w:sz w:val="30"/>
                <w:szCs w:val="30"/>
              </w:rPr>
            </w:pPr>
            <w:r>
              <w:rPr>
                <w:rFonts w:ascii="宋体" w:hAnsi="宋体" w:cs="宋体"/>
                <w:kern w:val="0"/>
                <w:sz w:val="30"/>
                <w:szCs w:val="30"/>
              </w:rPr>
              <w:t>人民币</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评标方法：</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综合评分法</w:t>
            </w:r>
          </w:p>
        </w:tc>
      </w:tr>
    </w:tbl>
    <w:p>
      <w:pPr>
        <w:pStyle w:val="37"/>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ascii="宋体" w:hAnsi="宋体" w:cs="宋体"/>
                <w:kern w:val="0"/>
                <w:szCs w:val="21"/>
              </w:rPr>
              <w:t>投标人不</w:t>
            </w:r>
            <w:r>
              <w:rPr>
                <w:rFonts w:hint="eastAsia" w:ascii="宋体" w:hAnsi="宋体" w:cs="宋体"/>
                <w:kern w:val="0"/>
                <w:szCs w:val="21"/>
              </w:rPr>
              <w:t>符合</w:t>
            </w:r>
            <w:r>
              <w:rPr>
                <w:rFonts w:ascii="宋体" w:hAnsi="宋体" w:cs="宋体"/>
                <w:kern w:val="0"/>
                <w:szCs w:val="21"/>
              </w:rPr>
              <w:t>资格要求，或未提交相应的资格证明资料（详见</w:t>
            </w:r>
            <w:r>
              <w:rPr>
                <w:rFonts w:hint="eastAsia" w:ascii="宋体" w:hAnsi="宋体" w:cs="宋体"/>
                <w:kern w:val="0"/>
                <w:szCs w:val="21"/>
              </w:rPr>
              <w:t>采购</w:t>
            </w:r>
            <w:r>
              <w:rPr>
                <w:rFonts w:ascii="宋体" w:hAnsi="宋体" w:cs="宋体"/>
                <w:kern w:val="0"/>
                <w:szCs w:val="21"/>
              </w:rPr>
              <w:t>公告</w:t>
            </w:r>
            <w:r>
              <w:rPr>
                <w:rFonts w:hint="eastAsia" w:ascii="宋体" w:hAnsi="宋体"/>
                <w:szCs w:val="21"/>
              </w:rPr>
              <w:t>投标人资格要求</w:t>
            </w:r>
            <w:r>
              <w:rPr>
                <w:rFonts w:ascii="宋体" w:hAnsi="宋体" w:cs="宋体"/>
                <w:kern w:val="0"/>
                <w:szCs w:val="21"/>
              </w:rPr>
              <w:t>）</w:t>
            </w:r>
          </w:p>
        </w:tc>
      </w:tr>
    </w:tbl>
    <w:p>
      <w:pPr>
        <w:pStyle w:val="37"/>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2"/>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不得将一个包内容拆开投标；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对同一项目投标时，不得提供两套以上的投标方案（采购文件另有规定的除外）；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b/>
                <w:bCs/>
                <w:color w:val="FF0000"/>
              </w:rPr>
              <w:t>投标单价不得高于限价；系统开标一览表中填写的投标报价与项目详细报价表中填写的“投标单价”不一致；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投标人响应的内容在技术、商务等方面没有实质性满足（</w:t>
            </w:r>
            <w:r>
              <w:rPr>
                <w:rFonts w:hint="eastAsia" w:ascii="Calibri" w:hAnsi="Calibri"/>
              </w:rPr>
              <w:t>或未响应采购文件中带★号条款或响应有负偏离）</w:t>
            </w:r>
            <w:r>
              <w:rPr>
                <w:rFonts w:hint="eastAsia"/>
              </w:rPr>
              <w:t>采购文件要求的（是否实质性满足采购文件要求，由评审委员会根据实质性条款响应情况作出评判，若采购文件未设置实质性条款，不得据此做投标无效处理）；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未按采购文件所提供的样式填写《投标函》；未按采购文件所提供的《采购投标及履约承诺函》进行承诺或不符合承诺的；未按采购文件对投标文件组成的要求提供投标文件；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7</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采购标的/所投产品/货物清单有缺漏项或响应不全或报价有缺漏或者对采购文件规定的项目需求内容或者需求数量进行修改，评审委员会判定投标响应不满足采购需求；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hint="eastAsia" w:ascii="宋体" w:hAnsi="宋体" w:cs="宋体"/>
                <w:kern w:val="0"/>
                <w:szCs w:val="21"/>
              </w:rPr>
              <w:t>8</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投标文件电子文档不得带病毒；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hint="eastAsia" w:ascii="宋体" w:hAnsi="宋体" w:cs="宋体"/>
                <w:kern w:val="0"/>
                <w:szCs w:val="21"/>
              </w:rPr>
              <w:t>9</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投标文件用不属于本公司的电子密钥进行加密或投标文件未按时解密的；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1</w:t>
            </w:r>
            <w:r>
              <w:rPr>
                <w:rFonts w:hint="eastAsia" w:ascii="宋体" w:hAnsi="宋体" w:cs="宋体"/>
                <w:kern w:val="0"/>
                <w:szCs w:val="21"/>
              </w:rPr>
              <w:t>0</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法律、法规、规章、规范性文件规定的其他情形。</w:t>
            </w:r>
          </w:p>
        </w:tc>
      </w:tr>
    </w:tbl>
    <w:p>
      <w:pPr>
        <w:pStyle w:val="37"/>
        <w:jc w:val="center"/>
        <w:outlineLvl w:val="1"/>
        <w:rPr>
          <w:rFonts w:ascii="黑体" w:hAnsi="黑体" w:eastAsia="黑体"/>
          <w:sz w:val="40"/>
          <w:szCs w:val="40"/>
        </w:rPr>
      </w:pPr>
      <w:r>
        <w:rPr>
          <w:rFonts w:hint="eastAsia" w:ascii="黑体" w:hAnsi="黑体" w:eastAsia="黑体"/>
          <w:sz w:val="40"/>
          <w:szCs w:val="40"/>
        </w:rPr>
        <w:t>评标信息</w:t>
      </w:r>
    </w:p>
    <w:tbl>
      <w:tblPr>
        <w:tblStyle w:val="42"/>
        <w:tblW w:w="907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704"/>
        <w:gridCol w:w="709"/>
        <w:gridCol w:w="1701"/>
        <w:gridCol w:w="1134"/>
        <w:gridCol w:w="4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jc w:val="center"/>
        </w:trPr>
        <w:tc>
          <w:tcPr>
            <w:tcW w:w="9072" w:type="dxa"/>
            <w:gridSpan w:val="5"/>
            <w:vAlign w:val="center"/>
          </w:tcPr>
          <w:p>
            <w:pPr>
              <w:jc w:val="left"/>
              <w:rPr>
                <w:rFonts w:ascii="宋体" w:hAnsi="宋体" w:cs="宋体"/>
                <w:b/>
                <w:bCs/>
                <w:szCs w:val="21"/>
              </w:rPr>
            </w:pPr>
            <w:r>
              <w:rPr>
                <w:rFonts w:hint="eastAsia" w:ascii="宋体" w:hAnsi="宋体" w:cs="宋体"/>
                <w:b/>
                <w:bCs/>
                <w:szCs w:val="21"/>
              </w:rPr>
              <w:t>评标方法：综合评分法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gridSpan w:val="5"/>
            <w:vAlign w:val="center"/>
          </w:tcPr>
          <w:p>
            <w:pPr>
              <w:pStyle w:val="37"/>
              <w:spacing w:line="324" w:lineRule="auto"/>
              <w:ind w:firstLine="420"/>
              <w:rPr>
                <w:rFonts w:ascii="宋体" w:hAnsi="宋体" w:cs="宋体"/>
                <w:sz w:val="21"/>
                <w:szCs w:val="21"/>
              </w:rPr>
            </w:pPr>
            <w:r>
              <w:rPr>
                <w:rFonts w:hint="eastAsia" w:ascii="宋体" w:hAnsi="宋体" w:cs="宋体"/>
                <w:sz w:val="21"/>
                <w:szCs w:val="21"/>
              </w:rPr>
              <w:t>综合评分法。在最大限度地满足采购文件实质性要求的前提下，按照采购文件中规定的各项因素进行综合评审，评标总得分排名前列的投标人，作为推荐的候选中标供应商。（适用于中标候选人为多家的情形）</w:t>
            </w:r>
          </w:p>
          <w:p>
            <w:pPr>
              <w:pStyle w:val="37"/>
              <w:ind w:firstLine="420"/>
              <w:rPr>
                <w:rFonts w:ascii="宋体" w:hAnsi="宋体" w:cs="宋体"/>
                <w:sz w:val="21"/>
                <w:szCs w:val="21"/>
              </w:rPr>
            </w:pPr>
            <w:r>
              <w:rPr>
                <w:rFonts w:hint="eastAsia" w:ascii="宋体" w:hAnsi="宋体" w:cs="宋体"/>
                <w:sz w:val="21"/>
                <w:szCs w:val="21"/>
              </w:rPr>
              <w:t>价格分计算方法：</w:t>
            </w:r>
          </w:p>
          <w:p>
            <w:pPr>
              <w:pStyle w:val="37"/>
              <w:spacing w:line="324" w:lineRule="auto"/>
              <w:ind w:left="420"/>
              <w:rPr>
                <w:rFonts w:ascii="宋体" w:hAnsi="宋体" w:cs="宋体"/>
                <w:sz w:val="21"/>
                <w:szCs w:val="21"/>
              </w:rPr>
            </w:pPr>
            <w:r>
              <w:rPr>
                <w:rFonts w:hint="eastAsia" w:ascii="宋体" w:hAnsi="宋体" w:cs="宋体"/>
                <w:sz w:val="21"/>
                <w:szCs w:val="21"/>
              </w:rPr>
              <w:t xml:space="preserve">采用低价优先法计算，即满足采购文件要求且投标价格最低的投标报价为评标基准价，其价格分为满分。其他投标人的价格分统一按照下列公式计算： </w:t>
            </w:r>
            <w:r>
              <w:rPr>
                <w:rFonts w:hint="eastAsia" w:ascii="宋体" w:hAnsi="宋体" w:cs="宋体"/>
                <w:sz w:val="21"/>
                <w:szCs w:val="21"/>
              </w:rPr>
              <w:br w:type="textWrapping"/>
            </w:r>
            <w:r>
              <w:rPr>
                <w:rFonts w:hint="eastAsia" w:ascii="宋体" w:hAnsi="宋体" w:cs="宋体"/>
                <w:sz w:val="21"/>
                <w:szCs w:val="21"/>
              </w:rPr>
              <w:t xml:space="preserve">投标报价得分=(评标基准价／投标报价)×100 </w:t>
            </w:r>
            <w:r>
              <w:rPr>
                <w:rFonts w:hint="eastAsia" w:ascii="宋体" w:hAnsi="宋体" w:cs="宋体"/>
                <w:sz w:val="21"/>
                <w:szCs w:val="21"/>
              </w:rPr>
              <w:br w:type="textWrapping"/>
            </w:r>
            <w:r>
              <w:rPr>
                <w:rFonts w:hint="eastAsia" w:ascii="宋体" w:hAnsi="宋体" w:cs="宋体"/>
                <w:sz w:val="21"/>
                <w:szCs w:val="21"/>
              </w:rPr>
              <w:t xml:space="preserve">评标总得分＝F1×A1＋F2×A2＋……＋Fn×An </w:t>
            </w:r>
            <w:r>
              <w:rPr>
                <w:rFonts w:hint="eastAsia" w:ascii="宋体" w:hAnsi="宋体" w:cs="宋体"/>
                <w:sz w:val="21"/>
                <w:szCs w:val="21"/>
              </w:rPr>
              <w:br w:type="textWrapping"/>
            </w:r>
            <w:r>
              <w:rPr>
                <w:rFonts w:hint="eastAsia" w:ascii="宋体" w:hAnsi="宋体" w:cs="宋体"/>
                <w:sz w:val="21"/>
                <w:szCs w:val="21"/>
              </w:rPr>
              <w:t xml:space="preserve">F1、F2……Fn分别为各项评审因素的得分； </w:t>
            </w:r>
            <w:r>
              <w:rPr>
                <w:rFonts w:hint="eastAsia" w:ascii="宋体" w:hAnsi="宋体" w:cs="宋体"/>
                <w:sz w:val="21"/>
                <w:szCs w:val="21"/>
              </w:rPr>
              <w:br w:type="textWrapping"/>
            </w:r>
            <w:r>
              <w:rPr>
                <w:rFonts w:hint="eastAsia" w:ascii="宋体" w:hAnsi="宋体" w:cs="宋体"/>
                <w:sz w:val="21"/>
                <w:szCs w:val="21"/>
              </w:rPr>
              <w:t xml:space="preserve">A1、A2、……An 分别为各项评审因素所占的权重(A1＋A2＋……＋An＝1)。 </w:t>
            </w:r>
            <w:r>
              <w:rPr>
                <w:rFonts w:hint="eastAsia" w:ascii="宋体" w:hAnsi="宋体" w:cs="宋体"/>
                <w:sz w:val="21"/>
                <w:szCs w:val="21"/>
              </w:rPr>
              <w:br w:type="textWrapping"/>
            </w:r>
            <w:r>
              <w:rPr>
                <w:rFonts w:hint="eastAsia" w:ascii="宋体" w:hAnsi="宋体" w:cs="宋体"/>
                <w:sz w:val="21"/>
                <w:szCs w:val="21"/>
              </w:rPr>
              <w:t>评标过程中，不得去掉报价中的最高报价和最低报价。</w:t>
            </w:r>
          </w:p>
          <w:p>
            <w:pPr>
              <w:pStyle w:val="37"/>
              <w:spacing w:line="324" w:lineRule="auto"/>
              <w:ind w:left="420"/>
              <w:rPr>
                <w:rFonts w:ascii="宋体" w:hAnsi="宋体" w:cs="宋体"/>
                <w:sz w:val="21"/>
                <w:szCs w:val="21"/>
              </w:rPr>
            </w:pPr>
            <w:r>
              <w:rPr>
                <w:rFonts w:hint="eastAsia" w:ascii="宋体" w:hAnsi="宋体" w:cs="宋体"/>
                <w:sz w:val="21"/>
                <w:szCs w:val="21"/>
              </w:rPr>
              <w:t>注：投标人的“</w:t>
            </w:r>
            <w:r>
              <w:rPr>
                <w:rFonts w:hint="eastAsia" w:ascii="宋体" w:hAnsi="宋体" w:cs="宋体"/>
                <w:color w:val="FF0000"/>
                <w:sz w:val="21"/>
                <w:szCs w:val="21"/>
              </w:rPr>
              <w:t>技术响应情况</w:t>
            </w:r>
            <w:r>
              <w:rPr>
                <w:rFonts w:hint="eastAsia" w:ascii="宋体" w:hAnsi="宋体" w:cs="宋体"/>
                <w:sz w:val="21"/>
                <w:szCs w:val="21"/>
              </w:rPr>
              <w:t>”“技术偏离情况”等必须与客观实际保持一致，响应不实且情节严重的，经查实，将依法记入供应商诚信档案或受到行政处罚。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shd w:val="clear" w:color="auto" w:fill="E6EFFA"/>
            <w:vAlign w:val="center"/>
          </w:tcPr>
          <w:p>
            <w:pPr>
              <w:wordWrap w:val="0"/>
              <w:jc w:val="center"/>
              <w:rPr>
                <w:rFonts w:ascii="宋体" w:hAnsi="宋体" w:cs="宋体"/>
                <w:b/>
                <w:bCs/>
                <w:szCs w:val="21"/>
              </w:rPr>
            </w:pPr>
            <w:r>
              <w:rPr>
                <w:rFonts w:hint="eastAsia" w:ascii="宋体" w:hAnsi="宋体" w:cs="宋体"/>
                <w:b/>
                <w:bCs/>
                <w:szCs w:val="21"/>
              </w:rPr>
              <w:t>序号</w:t>
            </w:r>
          </w:p>
        </w:tc>
        <w:tc>
          <w:tcPr>
            <w:tcW w:w="3544" w:type="dxa"/>
            <w:gridSpan w:val="3"/>
            <w:shd w:val="clear" w:color="auto" w:fill="E6EFFA"/>
            <w:vAlign w:val="center"/>
          </w:tcPr>
          <w:p>
            <w:pPr>
              <w:wordWrap w:val="0"/>
              <w:jc w:val="center"/>
              <w:rPr>
                <w:rFonts w:ascii="宋体" w:hAnsi="宋体" w:cs="宋体"/>
                <w:b/>
                <w:bCs/>
                <w:szCs w:val="21"/>
              </w:rPr>
            </w:pPr>
            <w:r>
              <w:rPr>
                <w:rFonts w:hint="eastAsia" w:ascii="宋体" w:hAnsi="宋体" w:cs="宋体"/>
                <w:b/>
                <w:bCs/>
                <w:szCs w:val="21"/>
              </w:rPr>
              <w:t>评分项</w:t>
            </w:r>
          </w:p>
        </w:tc>
        <w:tc>
          <w:tcPr>
            <w:tcW w:w="4824" w:type="dxa"/>
            <w:shd w:val="clear" w:color="auto" w:fill="E6EFFA"/>
            <w:vAlign w:val="center"/>
          </w:tcPr>
          <w:p>
            <w:pPr>
              <w:wordWrap w:val="0"/>
              <w:jc w:val="center"/>
              <w:rPr>
                <w:rFonts w:ascii="宋体" w:hAnsi="宋体" w:cs="宋体"/>
                <w:b/>
                <w:bCs/>
                <w:szCs w:val="21"/>
              </w:rPr>
            </w:pPr>
            <w:r>
              <w:rPr>
                <w:rFonts w:hint="eastAsia" w:ascii="宋体" w:hAnsi="宋体" w:cs="宋体"/>
                <w:b/>
                <w:bCs/>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pPr>
              <w:wordWrap w:val="0"/>
              <w:jc w:val="center"/>
              <w:rPr>
                <w:rFonts w:ascii="宋体" w:hAnsi="宋体" w:cs="宋体"/>
                <w:b/>
                <w:bCs/>
                <w:color w:val="0000FF"/>
                <w:szCs w:val="21"/>
              </w:rPr>
            </w:pPr>
            <w:r>
              <w:rPr>
                <w:rFonts w:hint="eastAsia" w:ascii="宋体" w:hAnsi="宋体" w:cs="宋体"/>
                <w:b/>
                <w:bCs/>
                <w:color w:val="0000FF"/>
                <w:szCs w:val="21"/>
              </w:rPr>
              <w:t>1</w:t>
            </w:r>
          </w:p>
        </w:tc>
        <w:tc>
          <w:tcPr>
            <w:tcW w:w="3544" w:type="dxa"/>
            <w:gridSpan w:val="3"/>
          </w:tcPr>
          <w:p>
            <w:pPr>
              <w:wordWrap w:val="0"/>
              <w:jc w:val="center"/>
              <w:rPr>
                <w:rFonts w:ascii="宋体" w:hAnsi="宋体" w:cs="宋体"/>
                <w:b/>
                <w:bCs/>
                <w:color w:val="0000FF"/>
                <w:szCs w:val="21"/>
              </w:rPr>
            </w:pPr>
            <w:r>
              <w:rPr>
                <w:rFonts w:hint="eastAsia" w:ascii="宋体" w:hAnsi="宋体" w:cs="宋体"/>
                <w:b/>
                <w:bCs/>
                <w:color w:val="0000FF"/>
                <w:szCs w:val="21"/>
              </w:rPr>
              <w:t>价格</w:t>
            </w:r>
          </w:p>
        </w:tc>
        <w:tc>
          <w:tcPr>
            <w:tcW w:w="4824" w:type="dxa"/>
          </w:tcPr>
          <w:p>
            <w:pPr>
              <w:wordWrap w:val="0"/>
              <w:jc w:val="center"/>
              <w:rPr>
                <w:rFonts w:ascii="宋体" w:hAnsi="宋体" w:cs="宋体"/>
                <w:b/>
                <w:bCs/>
                <w:color w:val="0000FF"/>
                <w:szCs w:val="21"/>
              </w:rPr>
            </w:pPr>
            <w:r>
              <w:rPr>
                <w:rFonts w:hint="eastAsia" w:ascii="宋体" w:hAnsi="宋体" w:cs="宋体"/>
                <w:b/>
                <w:bCs/>
                <w:color w:val="0000FF"/>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Cs w:val="21"/>
              </w:rPr>
            </w:pPr>
          </w:p>
        </w:tc>
        <w:tc>
          <w:tcPr>
            <w:tcW w:w="8368" w:type="dxa"/>
            <w:gridSpan w:val="4"/>
          </w:tcPr>
          <w:p>
            <w:pPr>
              <w:wordWrap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pPr>
              <w:wordWrap w:val="0"/>
              <w:jc w:val="center"/>
              <w:rPr>
                <w:rFonts w:ascii="宋体" w:hAnsi="宋体" w:cs="宋体"/>
                <w:b/>
                <w:bCs/>
                <w:color w:val="0000FF"/>
                <w:szCs w:val="21"/>
              </w:rPr>
            </w:pPr>
            <w:r>
              <w:rPr>
                <w:rFonts w:hint="eastAsia" w:ascii="宋体" w:hAnsi="宋体" w:cs="宋体"/>
                <w:b/>
                <w:bCs/>
                <w:color w:val="0000FF"/>
                <w:szCs w:val="21"/>
              </w:rPr>
              <w:t>2</w:t>
            </w:r>
          </w:p>
        </w:tc>
        <w:tc>
          <w:tcPr>
            <w:tcW w:w="3544" w:type="dxa"/>
            <w:gridSpan w:val="3"/>
          </w:tcPr>
          <w:p>
            <w:pPr>
              <w:wordWrap w:val="0"/>
              <w:jc w:val="center"/>
              <w:rPr>
                <w:rFonts w:ascii="宋体" w:hAnsi="宋体" w:cs="宋体"/>
                <w:b/>
                <w:bCs/>
                <w:color w:val="0000FF"/>
                <w:szCs w:val="21"/>
              </w:rPr>
            </w:pPr>
            <w:r>
              <w:rPr>
                <w:rFonts w:hint="eastAsia" w:ascii="宋体" w:hAnsi="宋体" w:cs="宋体"/>
                <w:b/>
                <w:bCs/>
                <w:color w:val="0000FF"/>
                <w:szCs w:val="21"/>
              </w:rPr>
              <w:t>技术部分</w:t>
            </w:r>
          </w:p>
        </w:tc>
        <w:tc>
          <w:tcPr>
            <w:tcW w:w="4824" w:type="dxa"/>
          </w:tcPr>
          <w:p>
            <w:pPr>
              <w:wordWrap w:val="0"/>
              <w:jc w:val="center"/>
              <w:rPr>
                <w:rFonts w:ascii="宋体" w:hAnsi="宋体" w:cs="宋体"/>
                <w:b/>
                <w:bCs/>
                <w:color w:val="0000FF"/>
                <w:szCs w:val="21"/>
              </w:rPr>
            </w:pPr>
            <w:r>
              <w:rPr>
                <w:rFonts w:hint="eastAsia" w:ascii="宋体" w:hAnsi="宋体" w:cs="宋体"/>
                <w:b/>
                <w:bCs/>
                <w:color w:val="0000FF"/>
                <w:szCs w:val="21"/>
              </w:rPr>
              <w:t>6</w:t>
            </w:r>
            <w:r>
              <w:rPr>
                <w:rFonts w:ascii="宋体" w:hAnsi="宋体" w:cs="宋体"/>
                <w:b/>
                <w:bCs/>
                <w:color w:val="0000FF"/>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Cs w:val="21"/>
              </w:rPr>
            </w:pPr>
          </w:p>
        </w:tc>
        <w:tc>
          <w:tcPr>
            <w:tcW w:w="8368" w:type="dxa"/>
            <w:gridSpan w:val="4"/>
          </w:tcPr>
          <w:p>
            <w:pPr>
              <w:wordWrap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E6EFFA"/>
            <w:vAlign w:val="center"/>
          </w:tcPr>
          <w:p>
            <w:pPr>
              <w:rPr>
                <w:rFonts w:ascii="宋体" w:hAnsi="宋体" w:cs="宋体"/>
                <w:b/>
                <w:bCs/>
                <w:color w:val="0000FF"/>
                <w:szCs w:val="21"/>
              </w:rPr>
            </w:pPr>
          </w:p>
        </w:tc>
        <w:tc>
          <w:tcPr>
            <w:tcW w:w="709" w:type="dxa"/>
            <w:shd w:val="clear" w:color="auto" w:fill="E6EFFA"/>
            <w:vAlign w:val="center"/>
          </w:tcPr>
          <w:p>
            <w:pPr>
              <w:wordWrap w:val="0"/>
              <w:jc w:val="center"/>
              <w:rPr>
                <w:rFonts w:ascii="宋体" w:hAnsi="宋体" w:cs="宋体"/>
                <w:b/>
                <w:bCs/>
                <w:szCs w:val="21"/>
              </w:rPr>
            </w:pPr>
            <w:r>
              <w:rPr>
                <w:rFonts w:hint="eastAsia" w:ascii="宋体" w:hAnsi="宋体" w:cs="宋体"/>
                <w:b/>
                <w:bCs/>
                <w:szCs w:val="21"/>
              </w:rPr>
              <w:t>序号</w:t>
            </w:r>
          </w:p>
        </w:tc>
        <w:tc>
          <w:tcPr>
            <w:tcW w:w="1701" w:type="dxa"/>
            <w:shd w:val="clear" w:color="auto" w:fill="E6EFFA"/>
            <w:vAlign w:val="center"/>
          </w:tcPr>
          <w:p>
            <w:pPr>
              <w:wordWrap w:val="0"/>
              <w:jc w:val="center"/>
              <w:rPr>
                <w:rFonts w:ascii="宋体" w:hAnsi="宋体" w:cs="宋体"/>
                <w:b/>
                <w:bCs/>
                <w:szCs w:val="21"/>
              </w:rPr>
            </w:pPr>
            <w:r>
              <w:rPr>
                <w:rFonts w:hint="eastAsia" w:ascii="宋体" w:hAnsi="宋体" w:cs="宋体"/>
                <w:b/>
                <w:bCs/>
                <w:szCs w:val="21"/>
              </w:rPr>
              <w:t>评审因素</w:t>
            </w:r>
          </w:p>
        </w:tc>
        <w:tc>
          <w:tcPr>
            <w:tcW w:w="1134" w:type="dxa"/>
            <w:shd w:val="clear" w:color="auto" w:fill="E6EFFA"/>
            <w:vAlign w:val="center"/>
          </w:tcPr>
          <w:p>
            <w:pPr>
              <w:wordWrap w:val="0"/>
              <w:jc w:val="center"/>
              <w:rPr>
                <w:rFonts w:ascii="宋体" w:hAnsi="宋体" w:cs="宋体"/>
                <w:b/>
                <w:bCs/>
                <w:szCs w:val="21"/>
              </w:rPr>
            </w:pPr>
            <w:r>
              <w:rPr>
                <w:rFonts w:hint="eastAsia" w:ascii="宋体" w:hAnsi="宋体" w:cs="宋体"/>
                <w:b/>
                <w:bCs/>
                <w:szCs w:val="21"/>
              </w:rPr>
              <w:t>权重(%)</w:t>
            </w:r>
          </w:p>
        </w:tc>
        <w:tc>
          <w:tcPr>
            <w:tcW w:w="4824" w:type="dxa"/>
            <w:shd w:val="clear" w:color="auto" w:fill="E6EFFA"/>
            <w:vAlign w:val="center"/>
          </w:tcPr>
          <w:p>
            <w:pPr>
              <w:wordWrap w:val="0"/>
              <w:jc w:val="center"/>
              <w:rPr>
                <w:rFonts w:ascii="宋体" w:hAnsi="宋体" w:cs="宋体"/>
                <w:b/>
                <w:bCs/>
                <w:szCs w:val="21"/>
              </w:rPr>
            </w:pPr>
            <w:r>
              <w:rPr>
                <w:rFonts w:hint="eastAsia" w:ascii="宋体" w:hAnsi="宋体" w:cs="宋体"/>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Cs w:val="21"/>
              </w:rPr>
            </w:pPr>
          </w:p>
        </w:tc>
        <w:tc>
          <w:tcPr>
            <w:tcW w:w="709" w:type="dxa"/>
            <w:vAlign w:val="center"/>
          </w:tcPr>
          <w:p>
            <w:pPr>
              <w:jc w:val="center"/>
              <w:textAlignment w:val="top"/>
              <w:rPr>
                <w:rFonts w:ascii="宋体" w:hAnsi="宋体" w:cs="宋体"/>
                <w:szCs w:val="21"/>
              </w:rPr>
            </w:pPr>
            <w:r>
              <w:rPr>
                <w:rFonts w:hint="eastAsia" w:ascii="宋体" w:hAnsi="宋体" w:cs="宋体"/>
                <w:color w:val="000000"/>
                <w:szCs w:val="21"/>
              </w:rPr>
              <w:t>1</w:t>
            </w:r>
          </w:p>
        </w:tc>
        <w:tc>
          <w:tcPr>
            <w:tcW w:w="1701" w:type="dxa"/>
            <w:vAlign w:val="center"/>
          </w:tcPr>
          <w:p>
            <w:pPr>
              <w:textAlignment w:val="top"/>
              <w:rPr>
                <w:rFonts w:ascii="宋体" w:hAnsi="宋体" w:cs="宋体"/>
                <w:szCs w:val="21"/>
              </w:rPr>
            </w:pPr>
            <w:r>
              <w:rPr>
                <w:rFonts w:hint="eastAsia" w:ascii="宋体" w:hAnsi="宋体" w:cs="宋体"/>
                <w:color w:val="000000"/>
                <w:szCs w:val="21"/>
              </w:rPr>
              <w:t>实施方案</w:t>
            </w:r>
          </w:p>
        </w:tc>
        <w:tc>
          <w:tcPr>
            <w:tcW w:w="1134" w:type="dxa"/>
            <w:vAlign w:val="center"/>
          </w:tcPr>
          <w:p>
            <w:pPr>
              <w:jc w:val="center"/>
              <w:textAlignment w:val="top"/>
              <w:rPr>
                <w:rFonts w:hint="eastAsia" w:ascii="宋体" w:hAnsi="宋体" w:eastAsia="宋体" w:cs="宋体"/>
                <w:szCs w:val="21"/>
                <w:lang w:eastAsia="zh-CN"/>
              </w:rPr>
            </w:pPr>
            <w:r>
              <w:rPr>
                <w:rFonts w:ascii="宋体" w:hAnsi="宋体" w:cs="宋体"/>
                <w:color w:val="000000"/>
                <w:szCs w:val="21"/>
              </w:rPr>
              <w:t>1</w:t>
            </w:r>
            <w:r>
              <w:rPr>
                <w:rFonts w:hint="eastAsia" w:ascii="宋体" w:hAnsi="宋体" w:cs="宋体"/>
                <w:color w:val="000000"/>
                <w:szCs w:val="21"/>
                <w:lang w:val="en-US" w:eastAsia="zh-CN"/>
              </w:rPr>
              <w:t>5</w:t>
            </w:r>
          </w:p>
        </w:tc>
        <w:tc>
          <w:tcPr>
            <w:tcW w:w="4824" w:type="dxa"/>
            <w:vAlign w:val="center"/>
          </w:tcPr>
          <w:p>
            <w:pPr>
              <w:rPr>
                <w:rFonts w:ascii="宋体" w:hAnsi="宋体" w:cs="宋体"/>
                <w:szCs w:val="21"/>
              </w:rPr>
            </w:pPr>
            <w:r>
              <w:rPr>
                <w:rFonts w:hint="eastAsia" w:ascii="宋体" w:hAnsi="宋体" w:cs="宋体"/>
                <w:szCs w:val="21"/>
              </w:rPr>
              <w:t>（一）评分内容：</w:t>
            </w:r>
          </w:p>
          <w:p>
            <w:pPr>
              <w:rPr>
                <w:rFonts w:ascii="宋体" w:hAnsi="宋体" w:cs="宋体"/>
                <w:szCs w:val="21"/>
              </w:rPr>
            </w:pPr>
            <w:r>
              <w:rPr>
                <w:rFonts w:hint="eastAsia" w:ascii="宋体" w:hAnsi="宋体" w:cs="宋体"/>
                <w:szCs w:val="21"/>
              </w:rPr>
              <w:t>按照采购文件采购需求内容要求，考察投标文件是否具有完整详细的项目实施方案：</w:t>
            </w:r>
          </w:p>
          <w:p>
            <w:pPr>
              <w:rPr>
                <w:rFonts w:ascii="宋体" w:hAnsi="宋体" w:cs="宋体"/>
                <w:szCs w:val="21"/>
              </w:rPr>
            </w:pPr>
            <w:r>
              <w:rPr>
                <w:rFonts w:hint="eastAsia" w:ascii="宋体" w:hAnsi="宋体" w:cs="宋体"/>
                <w:szCs w:val="21"/>
              </w:rPr>
              <w:t>（1）根据项目的整体需求和实际情况，提供工作计划、人员安排；</w:t>
            </w:r>
          </w:p>
          <w:p>
            <w:pPr>
              <w:widowControl/>
              <w:jc w:val="left"/>
            </w:pPr>
            <w:r>
              <w:rPr>
                <w:rFonts w:hint="eastAsia" w:ascii="宋体" w:hAnsi="宋体" w:cs="宋体"/>
                <w:szCs w:val="21"/>
              </w:rPr>
              <w:t>（2）根据项目的整体需求和实际情况，提供</w:t>
            </w:r>
            <w:r>
              <w:rPr>
                <w:rFonts w:ascii="瀹嬩綋" w:hAnsi="瀹嬩綋" w:eastAsia="瀹嬩綋" w:cs="瀹嬩綋"/>
                <w:color w:val="000000"/>
                <w:kern w:val="0"/>
                <w:szCs w:val="21"/>
                <w:lang w:bidi="ar"/>
              </w:rPr>
              <w:t xml:space="preserve">工 </w:t>
            </w:r>
          </w:p>
          <w:p>
            <w:pPr>
              <w:widowControl/>
              <w:jc w:val="left"/>
              <w:rPr>
                <w:rFonts w:ascii="宋体" w:hAnsi="宋体" w:cs="宋体"/>
                <w:szCs w:val="21"/>
              </w:rPr>
            </w:pPr>
            <w:r>
              <w:rPr>
                <w:rFonts w:ascii="瀹嬩綋" w:hAnsi="瀹嬩綋" w:eastAsia="瀹嬩綋" w:cs="瀹嬩綋"/>
                <w:color w:val="000000"/>
                <w:kern w:val="0"/>
                <w:szCs w:val="21"/>
                <w:lang w:bidi="ar"/>
              </w:rPr>
              <w:t>作措施、工作方法、工作流程</w:t>
            </w:r>
            <w:r>
              <w:rPr>
                <w:rFonts w:hint="eastAsia" w:ascii="宋体" w:hAnsi="宋体" w:cs="宋体"/>
                <w:szCs w:val="21"/>
              </w:rPr>
              <w:t>；</w:t>
            </w:r>
          </w:p>
          <w:p>
            <w:pPr>
              <w:rPr>
                <w:rFonts w:ascii="宋体" w:hAnsi="宋体" w:cs="宋体"/>
                <w:szCs w:val="21"/>
              </w:rPr>
            </w:pPr>
            <w:r>
              <w:rPr>
                <w:rFonts w:hint="eastAsia" w:ascii="宋体" w:hAnsi="宋体" w:cs="宋体"/>
                <w:szCs w:val="21"/>
              </w:rPr>
              <w:t>（3）</w:t>
            </w:r>
            <w:r>
              <w:rPr>
                <w:rFonts w:ascii="宋体" w:hAnsi="宋体" w:cs="宋体"/>
                <w:szCs w:val="21"/>
              </w:rPr>
              <w:t xml:space="preserve">根据项目的整体需求和实际情况，提供管 </w:t>
            </w:r>
          </w:p>
          <w:p>
            <w:pPr>
              <w:rPr>
                <w:rFonts w:ascii="宋体" w:hAnsi="宋体" w:cs="宋体"/>
                <w:szCs w:val="21"/>
              </w:rPr>
            </w:pPr>
            <w:r>
              <w:rPr>
                <w:rFonts w:ascii="宋体" w:hAnsi="宋体" w:cs="宋体"/>
                <w:szCs w:val="21"/>
              </w:rPr>
              <w:t>理和评估方法；</w:t>
            </w:r>
          </w:p>
          <w:p>
            <w:pPr>
              <w:rPr>
                <w:rFonts w:ascii="宋体" w:hAnsi="宋体" w:cs="宋体"/>
                <w:szCs w:val="21"/>
              </w:rPr>
            </w:pPr>
            <w:r>
              <w:rPr>
                <w:rFonts w:hint="eastAsia" w:ascii="宋体" w:hAnsi="宋体" w:cs="宋体"/>
                <w:szCs w:val="21"/>
              </w:rPr>
              <w:t>（二）评分标准</w:t>
            </w:r>
          </w:p>
          <w:p>
            <w:pPr>
              <w:rPr>
                <w:rFonts w:ascii="宋体" w:hAnsi="宋体" w:cs="宋体"/>
                <w:szCs w:val="21"/>
              </w:rPr>
            </w:pPr>
            <w:r>
              <w:rPr>
                <w:rFonts w:hint="eastAsia" w:ascii="宋体" w:hAnsi="宋体" w:cs="宋体"/>
                <w:szCs w:val="21"/>
              </w:rPr>
              <w:t xml:space="preserve">提供以上3点内容得70分，提供以上2点内容得40分，提供以上1点内容得20分，其它情况不得分。 </w:t>
            </w:r>
          </w:p>
          <w:p>
            <w:pPr>
              <w:rPr>
                <w:rFonts w:ascii="宋体" w:hAnsi="宋体" w:cs="宋体"/>
                <w:szCs w:val="21"/>
              </w:rPr>
            </w:pPr>
            <w:r>
              <w:rPr>
                <w:rFonts w:hint="eastAsia" w:ascii="宋体" w:hAnsi="宋体" w:cs="宋体"/>
                <w:szCs w:val="21"/>
              </w:rPr>
              <w:t>在此基础上，专家根据内容的合理性进行评分:</w:t>
            </w:r>
          </w:p>
          <w:p>
            <w:pPr>
              <w:rPr>
                <w:rFonts w:ascii="宋体" w:hAnsi="宋体" w:cs="宋体"/>
                <w:szCs w:val="21"/>
              </w:rPr>
            </w:pPr>
            <w:r>
              <w:rPr>
                <w:rFonts w:hint="eastAsia" w:ascii="宋体" w:hAnsi="宋体" w:cs="宋体"/>
                <w:szCs w:val="21"/>
              </w:rPr>
              <w:t xml:space="preserve">优评分标准: 实施方案 （工作计划、人员安排、工作措施、工作方法、工作流程、管理和评估方法）符合实际、完整、规范、思路清晰，内容合理性强。 </w:t>
            </w:r>
          </w:p>
          <w:p>
            <w:pPr>
              <w:rPr>
                <w:rFonts w:ascii="宋体" w:hAnsi="宋体" w:cs="宋体"/>
                <w:szCs w:val="21"/>
              </w:rPr>
            </w:pPr>
            <w:r>
              <w:rPr>
                <w:rFonts w:hint="eastAsia" w:ascii="宋体" w:hAnsi="宋体" w:cs="宋体"/>
                <w:szCs w:val="21"/>
              </w:rPr>
              <w:t xml:space="preserve">良评分标准: 实施方案 （（工作计划、人员安排、工作措施、工作方法、工作流程、管理和评估方法较符合实际、较完整规范、思路较清晰，内容合理性较强。 </w:t>
            </w:r>
          </w:p>
          <w:p>
            <w:pPr>
              <w:rPr>
                <w:rFonts w:ascii="宋体" w:hAnsi="宋体" w:cs="宋体"/>
                <w:szCs w:val="21"/>
              </w:rPr>
            </w:pPr>
            <w:r>
              <w:rPr>
                <w:rFonts w:hint="eastAsia" w:ascii="宋体" w:hAnsi="宋体" w:cs="宋体"/>
                <w:szCs w:val="21"/>
              </w:rPr>
              <w:t>中评分标准：实施方案 （（工作计划、人员安排、工作措施、工作方法、工作流程、管理和评估方法较普通、完整性、规范性</w:t>
            </w:r>
            <w:r>
              <w:rPr>
                <w:rFonts w:hint="eastAsia" w:ascii="宋体" w:hAnsi="宋体" w:cs="宋体"/>
                <w:color w:val="000000"/>
                <w:szCs w:val="21"/>
              </w:rPr>
              <w:t>一</w:t>
            </w:r>
            <w:r>
              <w:rPr>
                <w:rFonts w:hint="eastAsia" w:ascii="宋体" w:hAnsi="宋体" w:cs="宋体"/>
                <w:szCs w:val="21"/>
              </w:rPr>
              <w:t>般，思路不够清晰，内容合理性</w:t>
            </w:r>
            <w:r>
              <w:rPr>
                <w:rFonts w:hint="eastAsia" w:ascii="宋体" w:hAnsi="宋体" w:cs="宋体"/>
                <w:color w:val="000000"/>
                <w:szCs w:val="21"/>
              </w:rPr>
              <w:t>一</w:t>
            </w:r>
            <w:r>
              <w:rPr>
                <w:rFonts w:hint="eastAsia" w:ascii="宋体" w:hAnsi="宋体" w:cs="宋体"/>
                <w:szCs w:val="21"/>
              </w:rPr>
              <w:t xml:space="preserve">般。 </w:t>
            </w:r>
          </w:p>
          <w:p>
            <w:pPr>
              <w:rPr>
                <w:rFonts w:ascii="宋体" w:hAnsi="宋体" w:cs="宋体"/>
                <w:szCs w:val="21"/>
              </w:rPr>
            </w:pPr>
            <w:r>
              <w:rPr>
                <w:rFonts w:hint="eastAsia" w:ascii="宋体" w:hAnsi="宋体" w:cs="宋体"/>
                <w:szCs w:val="21"/>
              </w:rPr>
              <w:t xml:space="preserve">差评分标准: 实施方案 （工作计划、人员安排、工作措施、工作方法、工作流程、管理和评估方法不完整、不规范，思路不清晰，内容合理性较差或末提供。 </w:t>
            </w:r>
          </w:p>
          <w:p>
            <w:pPr>
              <w:rPr>
                <w:rFonts w:ascii="宋体" w:hAnsi="宋体" w:cs="宋体"/>
                <w:szCs w:val="21"/>
              </w:rPr>
            </w:pPr>
            <w:r>
              <w:rPr>
                <w:rFonts w:hint="eastAsia" w:ascii="宋体" w:hAnsi="宋体" w:cs="宋体"/>
                <w:szCs w:val="21"/>
              </w:rPr>
              <w:t>评价为优得30分；评价为良得20分；评价为中得10分；评价为差不得分。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Cs w:val="21"/>
              </w:rPr>
            </w:pPr>
          </w:p>
        </w:tc>
        <w:tc>
          <w:tcPr>
            <w:tcW w:w="709" w:type="dxa"/>
            <w:vAlign w:val="center"/>
          </w:tcPr>
          <w:p>
            <w:pPr>
              <w:jc w:val="center"/>
              <w:textAlignment w:val="top"/>
              <w:rPr>
                <w:rFonts w:ascii="宋体" w:hAnsi="宋体" w:cs="宋体"/>
                <w:szCs w:val="21"/>
              </w:rPr>
            </w:pPr>
            <w:r>
              <w:rPr>
                <w:rFonts w:hint="eastAsia" w:ascii="宋体" w:hAnsi="宋体" w:cs="宋体"/>
                <w:color w:val="000000"/>
                <w:szCs w:val="21"/>
              </w:rPr>
              <w:t>2</w:t>
            </w:r>
          </w:p>
        </w:tc>
        <w:tc>
          <w:tcPr>
            <w:tcW w:w="1701" w:type="dxa"/>
            <w:vAlign w:val="center"/>
          </w:tcPr>
          <w:p>
            <w:pPr>
              <w:textAlignment w:val="top"/>
              <w:rPr>
                <w:rFonts w:ascii="宋体" w:hAnsi="宋体" w:cs="宋体"/>
                <w:szCs w:val="21"/>
              </w:rPr>
            </w:pPr>
            <w:r>
              <w:rPr>
                <w:rFonts w:hint="eastAsia" w:ascii="宋体" w:hAnsi="宋体" w:cs="宋体"/>
                <w:color w:val="000000"/>
                <w:szCs w:val="21"/>
              </w:rPr>
              <w:t>项目重点难点分析、应对措施及相关的合理化建议</w:t>
            </w:r>
          </w:p>
        </w:tc>
        <w:tc>
          <w:tcPr>
            <w:tcW w:w="1134" w:type="dxa"/>
            <w:vAlign w:val="center"/>
          </w:tcPr>
          <w:p>
            <w:pPr>
              <w:jc w:val="center"/>
              <w:textAlignment w:val="top"/>
              <w:rPr>
                <w:rFonts w:hint="eastAsia" w:ascii="宋体" w:hAnsi="宋体" w:eastAsia="宋体" w:cs="宋体"/>
                <w:szCs w:val="21"/>
                <w:lang w:eastAsia="zh-CN"/>
              </w:rPr>
            </w:pPr>
            <w:r>
              <w:rPr>
                <w:rFonts w:ascii="宋体" w:hAnsi="宋体" w:cs="宋体"/>
                <w:color w:val="000000"/>
                <w:szCs w:val="21"/>
              </w:rPr>
              <w:t>1</w:t>
            </w:r>
            <w:r>
              <w:rPr>
                <w:rFonts w:hint="eastAsia" w:ascii="宋体" w:hAnsi="宋体" w:cs="宋体"/>
                <w:color w:val="000000"/>
                <w:szCs w:val="21"/>
                <w:lang w:val="en-US" w:eastAsia="zh-CN"/>
              </w:rPr>
              <w:t>5</w:t>
            </w:r>
          </w:p>
        </w:tc>
        <w:tc>
          <w:tcPr>
            <w:tcW w:w="4824" w:type="dxa"/>
            <w:vAlign w:val="center"/>
          </w:tcPr>
          <w:p>
            <w:pPr>
              <w:rPr>
                <w:rFonts w:ascii="宋体" w:hAnsi="宋体" w:cs="宋体"/>
                <w:szCs w:val="21"/>
              </w:rPr>
            </w:pPr>
            <w:r>
              <w:rPr>
                <w:rFonts w:hint="eastAsia" w:ascii="宋体" w:hAnsi="宋体" w:cs="宋体"/>
                <w:szCs w:val="21"/>
              </w:rPr>
              <w:t>（一）评分内容：</w:t>
            </w:r>
          </w:p>
          <w:p>
            <w:pPr>
              <w:rPr>
                <w:rFonts w:ascii="宋体" w:hAnsi="宋体" w:cs="宋体"/>
                <w:szCs w:val="21"/>
              </w:rPr>
            </w:pPr>
            <w:r>
              <w:rPr>
                <w:rFonts w:hint="eastAsia" w:ascii="宋体" w:hAnsi="宋体" w:cs="宋体"/>
                <w:szCs w:val="21"/>
              </w:rPr>
              <w:t>根据投标人提供的方案进行评审，包括但不限于以下内容:</w:t>
            </w:r>
          </w:p>
          <w:p>
            <w:pPr>
              <w:rPr>
                <w:rFonts w:ascii="宋体" w:hAnsi="宋体" w:cs="宋体"/>
                <w:szCs w:val="21"/>
              </w:rPr>
            </w:pPr>
            <w:r>
              <w:rPr>
                <w:rFonts w:hint="eastAsia" w:ascii="宋体" w:hAnsi="宋体" w:cs="宋体"/>
                <w:szCs w:val="21"/>
              </w:rPr>
              <w:t>1.项目的重点难点分析；</w:t>
            </w:r>
          </w:p>
          <w:p>
            <w:pPr>
              <w:rPr>
                <w:rFonts w:ascii="宋体" w:hAnsi="宋体" w:cs="宋体"/>
                <w:szCs w:val="21"/>
              </w:rPr>
            </w:pPr>
            <w:r>
              <w:rPr>
                <w:rFonts w:hint="eastAsia" w:ascii="宋体" w:hAnsi="宋体" w:cs="宋体"/>
                <w:szCs w:val="21"/>
              </w:rPr>
              <w:t>2.项目的应对措施及相关的建议；</w:t>
            </w:r>
          </w:p>
          <w:p>
            <w:pPr>
              <w:rPr>
                <w:rFonts w:ascii="宋体" w:hAnsi="宋体" w:cs="宋体"/>
                <w:szCs w:val="21"/>
              </w:rPr>
            </w:pPr>
            <w:r>
              <w:rPr>
                <w:rFonts w:hint="eastAsia" w:ascii="宋体" w:hAnsi="宋体" w:cs="宋体"/>
                <w:szCs w:val="21"/>
              </w:rPr>
              <w:t>3.项目的突发事件应急预案。</w:t>
            </w:r>
          </w:p>
          <w:p>
            <w:pPr>
              <w:rPr>
                <w:rFonts w:ascii="宋体" w:hAnsi="宋体" w:cs="宋体"/>
                <w:szCs w:val="21"/>
              </w:rPr>
            </w:pPr>
            <w:r>
              <w:rPr>
                <w:rFonts w:hint="eastAsia" w:ascii="宋体" w:hAnsi="宋体" w:cs="宋体"/>
                <w:szCs w:val="21"/>
              </w:rPr>
              <w:t>（二）评审标准：</w:t>
            </w:r>
          </w:p>
          <w:p>
            <w:pPr>
              <w:rPr>
                <w:rFonts w:ascii="宋体" w:hAnsi="宋体" w:cs="宋体"/>
                <w:szCs w:val="21"/>
              </w:rPr>
            </w:pPr>
            <w:r>
              <w:rPr>
                <w:rFonts w:hint="eastAsia" w:ascii="宋体" w:hAnsi="宋体" w:cs="宋体"/>
                <w:szCs w:val="21"/>
              </w:rPr>
              <w:t>提供的方案满足以上三点的得60分，满足任意二点的得40分，满足任意一点的得20分，不提供的不得分。</w:t>
            </w:r>
          </w:p>
          <w:p>
            <w:pPr>
              <w:rPr>
                <w:rFonts w:ascii="宋体" w:hAnsi="宋体" w:cs="宋体"/>
                <w:szCs w:val="21"/>
              </w:rPr>
            </w:pPr>
            <w:r>
              <w:rPr>
                <w:rFonts w:hint="eastAsia" w:ascii="宋体" w:hAnsi="宋体" w:cs="宋体"/>
                <w:szCs w:val="21"/>
              </w:rPr>
              <w:t>在此基础上，根据各供应商的具体响应内容按照量化的评审因素指标进一步评审：</w:t>
            </w:r>
          </w:p>
          <w:p>
            <w:pPr>
              <w:rPr>
                <w:rFonts w:ascii="宋体" w:hAnsi="宋体" w:cs="宋体"/>
                <w:szCs w:val="21"/>
              </w:rPr>
            </w:pPr>
            <w:r>
              <w:rPr>
                <w:rFonts w:hint="eastAsia" w:ascii="宋体" w:hAnsi="宋体" w:cs="宋体"/>
                <w:szCs w:val="21"/>
              </w:rPr>
              <w:t>内容科学性、合理性、可操作性强的评价为优得40分；</w:t>
            </w:r>
          </w:p>
          <w:p>
            <w:pPr>
              <w:rPr>
                <w:rFonts w:ascii="宋体" w:hAnsi="宋体" w:cs="宋体"/>
                <w:szCs w:val="21"/>
              </w:rPr>
            </w:pPr>
            <w:r>
              <w:rPr>
                <w:rFonts w:hint="eastAsia" w:ascii="宋体" w:hAnsi="宋体" w:cs="宋体"/>
                <w:szCs w:val="21"/>
              </w:rPr>
              <w:t>内容科学性、合理性、可操作性比较强的评价为良得30分；</w:t>
            </w:r>
          </w:p>
          <w:p>
            <w:pPr>
              <w:rPr>
                <w:rFonts w:ascii="宋体" w:hAnsi="宋体" w:cs="宋体"/>
                <w:szCs w:val="21"/>
              </w:rPr>
            </w:pPr>
            <w:r>
              <w:rPr>
                <w:rFonts w:hint="eastAsia" w:ascii="宋体" w:hAnsi="宋体" w:cs="宋体"/>
                <w:szCs w:val="21"/>
              </w:rPr>
              <w:t>内容科学性、合理性、可操作性一般的评价为中得20分；</w:t>
            </w:r>
          </w:p>
          <w:p>
            <w:pPr>
              <w:rPr>
                <w:rFonts w:ascii="宋体" w:hAnsi="宋体" w:cs="宋体"/>
                <w:szCs w:val="21"/>
              </w:rPr>
            </w:pPr>
            <w:r>
              <w:rPr>
                <w:rFonts w:hint="eastAsia" w:ascii="宋体" w:hAnsi="宋体" w:cs="宋体"/>
                <w:szCs w:val="21"/>
              </w:rPr>
              <w:t>内容科学性、合理性、可操作性差或未提供的评价为差不得分。如评审为差，评审专家须书面说明理由，并记录在档。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Cs w:val="21"/>
              </w:rPr>
            </w:pPr>
          </w:p>
        </w:tc>
        <w:tc>
          <w:tcPr>
            <w:tcW w:w="709" w:type="dxa"/>
            <w:vAlign w:val="center"/>
          </w:tcPr>
          <w:p>
            <w:pPr>
              <w:jc w:val="center"/>
              <w:textAlignment w:val="top"/>
              <w:rPr>
                <w:rFonts w:ascii="宋体" w:hAnsi="宋体" w:cs="宋体"/>
                <w:szCs w:val="21"/>
              </w:rPr>
            </w:pPr>
            <w:r>
              <w:rPr>
                <w:rFonts w:hint="eastAsia" w:ascii="宋体" w:hAnsi="宋体" w:cs="宋体"/>
                <w:color w:val="000000"/>
                <w:szCs w:val="21"/>
              </w:rPr>
              <w:t>3</w:t>
            </w:r>
          </w:p>
        </w:tc>
        <w:tc>
          <w:tcPr>
            <w:tcW w:w="1701" w:type="dxa"/>
            <w:vAlign w:val="center"/>
          </w:tcPr>
          <w:p>
            <w:pPr>
              <w:textAlignment w:val="top"/>
              <w:rPr>
                <w:rFonts w:ascii="宋体" w:hAnsi="宋体" w:cs="宋体"/>
                <w:szCs w:val="21"/>
              </w:rPr>
            </w:pPr>
            <w:r>
              <w:rPr>
                <w:rFonts w:hint="eastAsia" w:ascii="宋体" w:hAnsi="宋体" w:cs="宋体"/>
                <w:color w:val="000000"/>
                <w:szCs w:val="21"/>
              </w:rPr>
              <w:t>质量保障措施</w:t>
            </w:r>
          </w:p>
        </w:tc>
        <w:tc>
          <w:tcPr>
            <w:tcW w:w="1134" w:type="dxa"/>
            <w:vAlign w:val="center"/>
          </w:tcPr>
          <w:p>
            <w:pPr>
              <w:jc w:val="center"/>
              <w:textAlignment w:val="top"/>
              <w:rPr>
                <w:rFonts w:hint="eastAsia" w:ascii="宋体" w:hAnsi="宋体" w:eastAsia="宋体" w:cs="宋体"/>
                <w:szCs w:val="21"/>
                <w:lang w:eastAsia="zh-CN"/>
              </w:rPr>
            </w:pPr>
            <w:r>
              <w:rPr>
                <w:rFonts w:ascii="宋体" w:hAnsi="宋体" w:cs="宋体"/>
                <w:color w:val="000000"/>
                <w:szCs w:val="21"/>
              </w:rPr>
              <w:t>1</w:t>
            </w:r>
            <w:r>
              <w:rPr>
                <w:rFonts w:hint="eastAsia" w:ascii="宋体" w:hAnsi="宋体" w:cs="宋体"/>
                <w:color w:val="000000"/>
                <w:szCs w:val="21"/>
                <w:lang w:val="en-US" w:eastAsia="zh-CN"/>
              </w:rPr>
              <w:t>4</w:t>
            </w:r>
          </w:p>
        </w:tc>
        <w:tc>
          <w:tcPr>
            <w:tcW w:w="4824" w:type="dxa"/>
            <w:vAlign w:val="center"/>
          </w:tcPr>
          <w:p>
            <w:pPr>
              <w:rPr>
                <w:rFonts w:ascii="宋体" w:hAnsi="宋体" w:cs="宋体"/>
                <w:szCs w:val="21"/>
              </w:rPr>
            </w:pPr>
            <w:r>
              <w:rPr>
                <w:rFonts w:hint="eastAsia" w:ascii="宋体" w:hAnsi="宋体" w:cs="宋体"/>
                <w:szCs w:val="21"/>
              </w:rPr>
              <w:t>（一）评分内容：</w:t>
            </w:r>
          </w:p>
          <w:p>
            <w:pPr>
              <w:rPr>
                <w:rFonts w:ascii="宋体" w:hAnsi="宋体" w:cs="宋体"/>
                <w:szCs w:val="21"/>
              </w:rPr>
            </w:pPr>
            <w:r>
              <w:rPr>
                <w:rFonts w:hint="eastAsia" w:ascii="宋体" w:hAnsi="宋体" w:cs="宋体"/>
                <w:szCs w:val="21"/>
              </w:rPr>
              <w:t>根据投标人提供的方案进行评审，包括但不限于以下内容:</w:t>
            </w:r>
          </w:p>
          <w:p>
            <w:pPr>
              <w:rPr>
                <w:rFonts w:ascii="宋体" w:hAnsi="宋体" w:cs="宋体"/>
                <w:szCs w:val="21"/>
              </w:rPr>
            </w:pPr>
            <w:r>
              <w:rPr>
                <w:rFonts w:hint="eastAsia" w:ascii="宋体" w:hAnsi="宋体" w:cs="宋体"/>
                <w:szCs w:val="21"/>
              </w:rPr>
              <w:t>1.质量保障措施及方案；</w:t>
            </w:r>
          </w:p>
          <w:p>
            <w:pPr>
              <w:rPr>
                <w:rFonts w:ascii="宋体" w:hAnsi="宋体" w:cs="宋体"/>
                <w:szCs w:val="21"/>
              </w:rPr>
            </w:pPr>
            <w:r>
              <w:rPr>
                <w:rFonts w:hint="eastAsia" w:ascii="宋体" w:hAnsi="宋体" w:cs="宋体"/>
                <w:szCs w:val="21"/>
              </w:rPr>
              <w:t>2. 完成时间保障措施；</w:t>
            </w:r>
          </w:p>
          <w:p>
            <w:pPr>
              <w:rPr>
                <w:rFonts w:ascii="宋体" w:hAnsi="宋体" w:cs="宋体"/>
                <w:szCs w:val="21"/>
              </w:rPr>
            </w:pPr>
            <w:r>
              <w:rPr>
                <w:rFonts w:hint="eastAsia" w:ascii="宋体" w:hAnsi="宋体" w:cs="宋体"/>
                <w:szCs w:val="21"/>
              </w:rPr>
              <w:t>3.</w:t>
            </w:r>
            <w:r>
              <w:rPr>
                <w:rFonts w:hint="eastAsia" w:ascii="宋体" w:hAnsi="宋体"/>
                <w:szCs w:val="21"/>
              </w:rPr>
              <w:t xml:space="preserve"> 资料归档保障</w:t>
            </w:r>
            <w:r>
              <w:rPr>
                <w:rFonts w:hint="eastAsia" w:ascii="宋体" w:hAnsi="宋体" w:cs="宋体"/>
                <w:szCs w:val="21"/>
              </w:rPr>
              <w:t>。</w:t>
            </w:r>
          </w:p>
          <w:p>
            <w:pPr>
              <w:rPr>
                <w:rFonts w:ascii="宋体" w:hAnsi="宋体" w:cs="宋体"/>
                <w:szCs w:val="21"/>
              </w:rPr>
            </w:pPr>
            <w:r>
              <w:rPr>
                <w:rFonts w:hint="eastAsia" w:ascii="宋体" w:hAnsi="宋体" w:cs="宋体"/>
                <w:szCs w:val="21"/>
              </w:rPr>
              <w:t>（二）评审标准：</w:t>
            </w:r>
          </w:p>
          <w:p>
            <w:pPr>
              <w:rPr>
                <w:rFonts w:ascii="宋体" w:hAnsi="宋体" w:cs="宋体"/>
                <w:szCs w:val="21"/>
              </w:rPr>
            </w:pPr>
            <w:r>
              <w:rPr>
                <w:rFonts w:hint="eastAsia" w:ascii="宋体" w:hAnsi="宋体" w:cs="宋体"/>
                <w:szCs w:val="21"/>
              </w:rPr>
              <w:t>提供的方案满足以上三点的得60分，满足任意二点的得40分，满足任意一点的得20分，不提供的不得分。</w:t>
            </w:r>
          </w:p>
          <w:p>
            <w:pPr>
              <w:rPr>
                <w:rFonts w:ascii="宋体" w:hAnsi="宋体" w:cs="宋体"/>
                <w:szCs w:val="21"/>
              </w:rPr>
            </w:pPr>
            <w:r>
              <w:rPr>
                <w:rFonts w:hint="eastAsia" w:ascii="宋体" w:hAnsi="宋体" w:cs="宋体"/>
                <w:szCs w:val="21"/>
              </w:rPr>
              <w:t>在此基础上，根据各供应商的具体响应内容按照量化的评审因素指标进一步评审:</w:t>
            </w:r>
          </w:p>
          <w:p>
            <w:pPr>
              <w:rPr>
                <w:rFonts w:ascii="宋体" w:hAnsi="宋体" w:cs="宋体"/>
                <w:szCs w:val="21"/>
              </w:rPr>
            </w:pPr>
            <w:r>
              <w:rPr>
                <w:rFonts w:hint="eastAsia" w:ascii="宋体" w:hAnsi="宋体" w:cs="宋体"/>
                <w:szCs w:val="21"/>
              </w:rPr>
              <w:t>内容科学性、合理性、可操作性强的评价为优得40分；</w:t>
            </w:r>
          </w:p>
          <w:p>
            <w:pPr>
              <w:rPr>
                <w:rFonts w:ascii="宋体" w:hAnsi="宋体" w:cs="宋体"/>
                <w:szCs w:val="21"/>
              </w:rPr>
            </w:pPr>
            <w:r>
              <w:rPr>
                <w:rFonts w:hint="eastAsia" w:ascii="宋体" w:hAnsi="宋体" w:cs="宋体"/>
                <w:szCs w:val="21"/>
              </w:rPr>
              <w:t>内容科学性、合理性、可操作性比较强的评价为良得30分；</w:t>
            </w:r>
          </w:p>
          <w:p>
            <w:pPr>
              <w:rPr>
                <w:rFonts w:ascii="宋体" w:hAnsi="宋体" w:cs="宋体"/>
                <w:szCs w:val="21"/>
              </w:rPr>
            </w:pPr>
            <w:r>
              <w:rPr>
                <w:rFonts w:hint="eastAsia" w:ascii="宋体" w:hAnsi="宋体" w:cs="宋体"/>
                <w:szCs w:val="21"/>
              </w:rPr>
              <w:t>内容科学性、合理性、可操作性一般的评价为中得20分；</w:t>
            </w:r>
          </w:p>
          <w:p>
            <w:pPr>
              <w:rPr>
                <w:rFonts w:ascii="宋体" w:hAnsi="宋体" w:cs="宋体"/>
                <w:szCs w:val="21"/>
              </w:rPr>
            </w:pPr>
            <w:r>
              <w:rPr>
                <w:rFonts w:hint="eastAsia" w:ascii="宋体" w:hAnsi="宋体" w:cs="宋体"/>
                <w:szCs w:val="21"/>
              </w:rPr>
              <w:t>内容科学性、合理性、可操作性差或未提供的评价为差不得分。如评审为差，评审专家须书面说明理由，并记录在档。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Cs w:val="21"/>
              </w:rPr>
            </w:pPr>
          </w:p>
        </w:tc>
        <w:tc>
          <w:tcPr>
            <w:tcW w:w="709" w:type="dxa"/>
            <w:vAlign w:val="center"/>
          </w:tcPr>
          <w:p>
            <w:pPr>
              <w:wordWrap w:val="0"/>
              <w:jc w:val="center"/>
              <w:rPr>
                <w:rFonts w:ascii="宋体" w:hAnsi="宋体" w:cs="宋体"/>
                <w:szCs w:val="21"/>
              </w:rPr>
            </w:pPr>
            <w:r>
              <w:rPr>
                <w:rFonts w:hint="eastAsia" w:ascii="宋体" w:hAnsi="宋体" w:cs="宋体"/>
                <w:szCs w:val="21"/>
              </w:rPr>
              <w:t>4</w:t>
            </w:r>
          </w:p>
        </w:tc>
        <w:tc>
          <w:tcPr>
            <w:tcW w:w="1701" w:type="dxa"/>
            <w:vAlign w:val="center"/>
          </w:tcPr>
          <w:p>
            <w:pPr>
              <w:textAlignment w:val="top"/>
              <w:rPr>
                <w:rFonts w:ascii="宋体" w:hAnsi="宋体" w:cs="宋体"/>
                <w:szCs w:val="21"/>
              </w:rPr>
            </w:pPr>
            <w:r>
              <w:rPr>
                <w:rFonts w:hint="eastAsia" w:ascii="宋体" w:hAnsi="宋体" w:cs="宋体"/>
                <w:color w:val="000000"/>
                <w:szCs w:val="21"/>
              </w:rPr>
              <w:t>拟安排的项目负责人（仅限1</w:t>
            </w:r>
            <w:r>
              <w:rPr>
                <w:rStyle w:val="155"/>
                <w:rFonts w:hint="eastAsia" w:ascii="宋体" w:hAnsi="宋体" w:cs="宋体"/>
                <w:color w:val="000000"/>
                <w:szCs w:val="21"/>
              </w:rPr>
              <w:t>人）情况</w:t>
            </w:r>
          </w:p>
        </w:tc>
        <w:tc>
          <w:tcPr>
            <w:tcW w:w="1134" w:type="dxa"/>
            <w:vAlign w:val="center"/>
          </w:tcPr>
          <w:p>
            <w:pPr>
              <w:jc w:val="center"/>
              <w:textAlignment w:val="top"/>
              <w:rPr>
                <w:rFonts w:ascii="宋体" w:hAnsi="宋体" w:cs="宋体"/>
                <w:szCs w:val="21"/>
                <w:highlight w:val="none"/>
              </w:rPr>
            </w:pPr>
            <w:r>
              <w:rPr>
                <w:rFonts w:hint="eastAsia" w:ascii="宋体" w:hAnsi="宋体" w:cs="宋体"/>
                <w:szCs w:val="21"/>
                <w:highlight w:val="none"/>
              </w:rPr>
              <w:t>5</w:t>
            </w:r>
          </w:p>
        </w:tc>
        <w:tc>
          <w:tcPr>
            <w:tcW w:w="4824" w:type="dxa"/>
            <w:vAlign w:val="center"/>
          </w:tcPr>
          <w:p>
            <w:pPr>
              <w:rPr>
                <w:rFonts w:ascii="宋体" w:hAnsi="宋体" w:cs="宋体"/>
                <w:szCs w:val="21"/>
                <w:highlight w:val="none"/>
              </w:rPr>
            </w:pPr>
            <w:r>
              <w:rPr>
                <w:rFonts w:hint="eastAsia" w:ascii="宋体" w:hAnsi="宋体" w:cs="宋体"/>
                <w:szCs w:val="21"/>
                <w:highlight w:val="none"/>
              </w:rPr>
              <w:t>（一）评分内容：</w:t>
            </w:r>
          </w:p>
          <w:p>
            <w:pPr>
              <w:rPr>
                <w:rFonts w:ascii="宋体" w:hAnsi="宋体" w:cs="宋体"/>
                <w:szCs w:val="21"/>
                <w:highlight w:val="none"/>
              </w:rPr>
            </w:pPr>
            <w:r>
              <w:rPr>
                <w:rFonts w:hint="eastAsia" w:ascii="宋体" w:hAnsi="宋体" w:cs="宋体"/>
                <w:szCs w:val="21"/>
                <w:highlight w:val="none"/>
              </w:rPr>
              <w:t>具有</w:t>
            </w:r>
            <w:r>
              <w:rPr>
                <w:rFonts w:hint="eastAsia"/>
                <w:highlight w:val="none"/>
              </w:rPr>
              <w:t>副</w:t>
            </w:r>
            <w:r>
              <w:rPr>
                <w:rFonts w:hint="eastAsia" w:ascii="宋体" w:hAnsi="宋体" w:cs="宋体"/>
                <w:szCs w:val="21"/>
                <w:highlight w:val="none"/>
              </w:rPr>
              <w:t>高级或以上工程师（建筑设计</w:t>
            </w:r>
            <w:r>
              <w:rPr>
                <w:rFonts w:hint="eastAsia" w:ascii="宋体" w:hAnsi="宋体" w:cs="宋体"/>
                <w:szCs w:val="21"/>
                <w:highlight w:val="none"/>
                <w:lang w:val="en-US" w:eastAsia="zh-CN"/>
              </w:rPr>
              <w:t>类</w:t>
            </w:r>
            <w:r>
              <w:rPr>
                <w:rFonts w:hint="eastAsia" w:ascii="宋体" w:hAnsi="宋体" w:cs="宋体"/>
                <w:szCs w:val="21"/>
                <w:highlight w:val="none"/>
              </w:rPr>
              <w:t>或建筑学</w:t>
            </w:r>
            <w:r>
              <w:rPr>
                <w:rFonts w:hint="eastAsia" w:ascii="宋体" w:hAnsi="宋体" w:cs="宋体"/>
                <w:szCs w:val="21"/>
                <w:highlight w:val="none"/>
                <w:lang w:val="en-US" w:eastAsia="zh-CN"/>
              </w:rPr>
              <w:t>类</w:t>
            </w:r>
            <w:r>
              <w:rPr>
                <w:rFonts w:hint="eastAsia" w:ascii="宋体" w:hAnsi="宋体" w:cs="宋体"/>
                <w:szCs w:val="21"/>
                <w:highlight w:val="none"/>
              </w:rPr>
              <w:t>专业），得</w:t>
            </w:r>
            <w:r>
              <w:rPr>
                <w:rFonts w:ascii="宋体" w:hAnsi="宋体" w:cs="宋体"/>
                <w:szCs w:val="21"/>
                <w:highlight w:val="none"/>
              </w:rPr>
              <w:t>100</w:t>
            </w:r>
            <w:r>
              <w:rPr>
                <w:rFonts w:hint="eastAsia" w:ascii="宋体" w:hAnsi="宋体" w:cs="宋体"/>
                <w:szCs w:val="21"/>
                <w:highlight w:val="none"/>
              </w:rPr>
              <w:t>分； 具有中级工程师（建筑设计</w:t>
            </w:r>
            <w:r>
              <w:rPr>
                <w:rFonts w:hint="eastAsia" w:ascii="宋体" w:hAnsi="宋体" w:cs="宋体"/>
                <w:szCs w:val="21"/>
                <w:highlight w:val="none"/>
                <w:lang w:val="en-US" w:eastAsia="zh-CN"/>
              </w:rPr>
              <w:t>类</w:t>
            </w:r>
            <w:r>
              <w:rPr>
                <w:rFonts w:hint="eastAsia" w:ascii="宋体" w:hAnsi="宋体" w:cs="宋体"/>
                <w:szCs w:val="21"/>
                <w:highlight w:val="none"/>
              </w:rPr>
              <w:t>或建筑学</w:t>
            </w:r>
            <w:r>
              <w:rPr>
                <w:rFonts w:hint="eastAsia" w:ascii="宋体" w:hAnsi="宋体" w:cs="宋体"/>
                <w:szCs w:val="21"/>
                <w:highlight w:val="none"/>
                <w:lang w:val="en-US" w:eastAsia="zh-CN"/>
              </w:rPr>
              <w:t>类</w:t>
            </w:r>
            <w:r>
              <w:rPr>
                <w:rFonts w:hint="eastAsia" w:ascii="宋体" w:hAnsi="宋体" w:cs="宋体"/>
                <w:szCs w:val="21"/>
                <w:highlight w:val="none"/>
              </w:rPr>
              <w:t>专业），得50分；本项满分为100分。</w:t>
            </w:r>
            <w:r>
              <w:rPr>
                <w:rFonts w:hint="eastAsia" w:ascii="宋体" w:hAnsi="宋体" w:cs="宋体"/>
                <w:szCs w:val="21"/>
                <w:highlight w:val="none"/>
              </w:rPr>
              <w:br w:type="textWrapping"/>
            </w:r>
            <w:r>
              <w:rPr>
                <w:rFonts w:hint="eastAsia" w:ascii="宋体" w:hAnsi="宋体" w:cs="宋体"/>
                <w:szCs w:val="21"/>
                <w:highlight w:val="none"/>
              </w:rPr>
              <w:t>（二）评分依据</w:t>
            </w:r>
          </w:p>
          <w:p>
            <w:pPr>
              <w:widowControl/>
              <w:jc w:val="left"/>
              <w:textAlignment w:val="top"/>
              <w:rPr>
                <w:rStyle w:val="155"/>
                <w:rFonts w:hint="default" w:ascii="宋体" w:hAnsi="宋体" w:eastAsia="宋体" w:cs="宋体"/>
                <w:szCs w:val="21"/>
                <w:highlight w:val="none"/>
                <w:lang w:val="en-US" w:eastAsia="zh-CN"/>
              </w:rPr>
            </w:pPr>
            <w:r>
              <w:rPr>
                <w:rFonts w:hint="eastAsia" w:ascii="宋体" w:hAnsi="宋体" w:cs="宋体"/>
                <w:szCs w:val="21"/>
                <w:highlight w:val="none"/>
              </w:rPr>
              <w:t>1、提供职称证书</w:t>
            </w:r>
            <w:r>
              <w:rPr>
                <w:rStyle w:val="155"/>
                <w:rFonts w:hint="eastAsia" w:ascii="宋体" w:hAnsi="宋体" w:cs="宋体"/>
                <w:szCs w:val="21"/>
                <w:highlight w:val="none"/>
              </w:rPr>
              <w:t>（职称证无法证明其专业的还需提供毕业证）</w:t>
            </w:r>
            <w:r>
              <w:rPr>
                <w:rFonts w:hint="eastAsia" w:ascii="宋体" w:hAnsi="宋体" w:cs="宋体"/>
                <w:szCs w:val="21"/>
                <w:highlight w:val="none"/>
              </w:rPr>
              <w:t>扫描件作为得分依据。</w:t>
            </w:r>
            <w:r>
              <w:rPr>
                <w:rStyle w:val="155"/>
                <w:rFonts w:hint="eastAsia" w:ascii="宋体" w:hAnsi="宋体" w:cs="宋体"/>
                <w:szCs w:val="21"/>
                <w:highlight w:val="none"/>
                <w:lang w:val="en-US" w:eastAsia="zh-CN"/>
              </w:rPr>
              <w:t>提供毕业证书作为证明材料的，需同时提供</w:t>
            </w:r>
            <w:r>
              <w:rPr>
                <w:rFonts w:hint="eastAsia" w:ascii="宋体" w:hAnsi="宋体"/>
                <w:color w:val="000000"/>
                <w:szCs w:val="21"/>
                <w:highlight w:val="none"/>
              </w:rPr>
              <w:t>学信网查询记录，对于较早颁发的学历证书，学信网无法查询的，除要求提供证书扫描件，要求提供其他佐证材料（如毕业院校、人社部门等颁发机构或监管机构等单位出具的证明），在海外留学并取得学历的，学信网无法查询的，可提供教育部留学服务中心出具的国外学历认证证书扫描件以及教育部留学服务中心官网查询截图。</w:t>
            </w:r>
          </w:p>
          <w:p>
            <w:pPr>
              <w:rPr>
                <w:highlight w:val="none"/>
              </w:rPr>
            </w:pPr>
            <w:r>
              <w:rPr>
                <w:rFonts w:ascii="宋体" w:hAnsi="宋体" w:cs="宋体"/>
                <w:szCs w:val="21"/>
                <w:highlight w:val="none"/>
              </w:rPr>
              <w:t>2</w:t>
            </w:r>
            <w:r>
              <w:rPr>
                <w:rFonts w:hint="eastAsia" w:ascii="宋体" w:hAnsi="宋体" w:cs="宋体"/>
                <w:szCs w:val="21"/>
                <w:highlight w:val="none"/>
              </w:rPr>
              <w:t>、通过投标人近三个月（含开标当月）的任意一个月社保证明作为本单位员工的证明依据，如供应商成立不足一个月或员工入职不足一个月的，提供情况说明函（格式自拟），无需提供相关人员社保，亦可得分。</w:t>
            </w:r>
          </w:p>
          <w:p>
            <w:pPr>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、以上资料均要求提供扫描件。评分中出现无证明资料或专家无法凭所提供资料判断是否得分的情况，一律作不得分处理。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Cs w:val="21"/>
              </w:rPr>
            </w:pPr>
          </w:p>
        </w:tc>
        <w:tc>
          <w:tcPr>
            <w:tcW w:w="709" w:type="dxa"/>
            <w:vAlign w:val="center"/>
          </w:tcPr>
          <w:p>
            <w:pPr>
              <w:wordWrap w:val="0"/>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1701" w:type="dxa"/>
            <w:vAlign w:val="center"/>
          </w:tcPr>
          <w:p>
            <w:pPr>
              <w:textAlignment w:val="top"/>
              <w:rPr>
                <w:rFonts w:ascii="宋体" w:hAnsi="宋体" w:cs="宋体"/>
                <w:szCs w:val="21"/>
              </w:rPr>
            </w:pPr>
            <w:r>
              <w:rPr>
                <w:rFonts w:hint="eastAsia" w:ascii="宋体" w:hAnsi="宋体" w:cs="宋体"/>
                <w:color w:val="000000"/>
                <w:szCs w:val="21"/>
              </w:rPr>
              <w:t>拟安排的项目团队主要成员（项目负责人除外）情况</w:t>
            </w:r>
          </w:p>
        </w:tc>
        <w:tc>
          <w:tcPr>
            <w:tcW w:w="1134" w:type="dxa"/>
            <w:vAlign w:val="center"/>
          </w:tcPr>
          <w:p>
            <w:pPr>
              <w:jc w:val="center"/>
              <w:textAlignment w:val="top"/>
              <w:rPr>
                <w:rFonts w:ascii="宋体" w:hAnsi="宋体" w:cs="宋体"/>
                <w:szCs w:val="21"/>
                <w:highlight w:val="none"/>
              </w:rPr>
            </w:pPr>
            <w:r>
              <w:rPr>
                <w:rFonts w:ascii="宋体" w:hAnsi="宋体" w:cs="宋体"/>
                <w:szCs w:val="21"/>
                <w:highlight w:val="none"/>
              </w:rPr>
              <w:t>15</w:t>
            </w:r>
          </w:p>
        </w:tc>
        <w:tc>
          <w:tcPr>
            <w:tcW w:w="4824" w:type="dxa"/>
            <w:vAlign w:val="center"/>
          </w:tcPr>
          <w:p>
            <w:pPr>
              <w:rPr>
                <w:rFonts w:ascii="宋体" w:hAnsi="宋体" w:cs="宋体"/>
                <w:szCs w:val="21"/>
                <w:highlight w:val="none"/>
              </w:rPr>
            </w:pPr>
            <w:r>
              <w:rPr>
                <w:rFonts w:hint="eastAsia" w:ascii="宋体" w:hAnsi="宋体" w:cs="宋体"/>
                <w:szCs w:val="21"/>
                <w:highlight w:val="none"/>
              </w:rPr>
              <w:t>（一）评分内容：</w:t>
            </w:r>
          </w:p>
          <w:p>
            <w:pPr>
              <w:widowControl/>
              <w:jc w:val="left"/>
              <w:textAlignment w:val="top"/>
              <w:rPr>
                <w:rStyle w:val="155"/>
                <w:rFonts w:ascii="宋体" w:hAnsi="宋体" w:cs="宋体"/>
                <w:szCs w:val="21"/>
                <w:highlight w:val="none"/>
              </w:rPr>
            </w:pPr>
            <w:r>
              <w:rPr>
                <w:rFonts w:hint="eastAsia" w:ascii="宋体" w:hAnsi="宋体" w:cs="宋体"/>
                <w:szCs w:val="21"/>
                <w:highlight w:val="none"/>
              </w:rPr>
              <w:t>1、每满足1人具备</w:t>
            </w:r>
            <w:r>
              <w:rPr>
                <w:rStyle w:val="155"/>
                <w:rFonts w:hint="eastAsia" w:ascii="宋体" w:hAnsi="宋体" w:cs="宋体"/>
                <w:szCs w:val="21"/>
                <w:highlight w:val="none"/>
              </w:rPr>
              <w:t>建筑类</w:t>
            </w:r>
            <w:r>
              <w:rPr>
                <w:rFonts w:hint="eastAsia" w:ascii="宋体" w:hAnsi="宋体" w:cs="宋体"/>
                <w:szCs w:val="21"/>
                <w:highlight w:val="none"/>
              </w:rPr>
              <w:t>（建筑学</w:t>
            </w:r>
            <w:r>
              <w:rPr>
                <w:rFonts w:hint="eastAsia" w:ascii="宋体" w:hAnsi="宋体" w:cs="宋体"/>
                <w:szCs w:val="21"/>
                <w:highlight w:val="none"/>
                <w:lang w:val="en-US" w:eastAsia="zh-CN"/>
              </w:rPr>
              <w:t>类</w:t>
            </w:r>
            <w:r>
              <w:rPr>
                <w:rFonts w:hint="eastAsia" w:ascii="宋体" w:hAnsi="宋体" w:cs="宋体"/>
                <w:szCs w:val="21"/>
                <w:highlight w:val="none"/>
              </w:rPr>
              <w:t>或建筑设计</w:t>
            </w:r>
            <w:r>
              <w:rPr>
                <w:rFonts w:hint="eastAsia" w:ascii="宋体" w:hAnsi="宋体" w:cs="宋体"/>
                <w:szCs w:val="21"/>
                <w:highlight w:val="none"/>
                <w:lang w:val="en-US" w:eastAsia="zh-CN"/>
              </w:rPr>
              <w:t>类</w:t>
            </w:r>
            <w:r>
              <w:rPr>
                <w:rFonts w:hint="eastAsia" w:ascii="宋体" w:hAnsi="宋体" w:cs="宋体"/>
                <w:szCs w:val="21"/>
                <w:highlight w:val="none"/>
              </w:rPr>
              <w:t>专业）</w:t>
            </w:r>
            <w:r>
              <w:rPr>
                <w:rFonts w:hint="eastAsia"/>
                <w:highlight w:val="none"/>
              </w:rPr>
              <w:t>副</w:t>
            </w:r>
            <w:r>
              <w:rPr>
                <w:rStyle w:val="155"/>
                <w:rFonts w:hint="eastAsia" w:ascii="宋体" w:hAnsi="宋体" w:cs="宋体"/>
                <w:szCs w:val="21"/>
                <w:highlight w:val="none"/>
              </w:rPr>
              <w:t>高级</w:t>
            </w:r>
            <w:r>
              <w:rPr>
                <w:rFonts w:hint="eastAsia" w:ascii="宋体" w:hAnsi="宋体" w:cs="宋体"/>
                <w:szCs w:val="21"/>
                <w:highlight w:val="none"/>
              </w:rPr>
              <w:t>或以上</w:t>
            </w:r>
            <w:r>
              <w:rPr>
                <w:rStyle w:val="155"/>
                <w:rFonts w:hint="eastAsia" w:ascii="宋体" w:hAnsi="宋体" w:cs="宋体"/>
                <w:szCs w:val="21"/>
                <w:highlight w:val="none"/>
              </w:rPr>
              <w:t>工程师职称的</w:t>
            </w:r>
            <w:r>
              <w:rPr>
                <w:rFonts w:hint="eastAsia" w:ascii="宋体" w:hAnsi="宋体" w:cs="宋体"/>
                <w:szCs w:val="21"/>
                <w:highlight w:val="none"/>
              </w:rPr>
              <w:t>得20分，每满足1人具备</w:t>
            </w:r>
            <w:r>
              <w:rPr>
                <w:rStyle w:val="155"/>
                <w:rFonts w:hint="eastAsia" w:ascii="宋体" w:hAnsi="宋体" w:cs="宋体"/>
                <w:szCs w:val="21"/>
                <w:highlight w:val="none"/>
              </w:rPr>
              <w:t>建筑类</w:t>
            </w:r>
            <w:r>
              <w:rPr>
                <w:rFonts w:hint="eastAsia" w:ascii="宋体" w:hAnsi="宋体" w:cs="宋体"/>
                <w:szCs w:val="21"/>
                <w:highlight w:val="none"/>
              </w:rPr>
              <w:t>（建筑学</w:t>
            </w:r>
            <w:r>
              <w:rPr>
                <w:rFonts w:hint="eastAsia" w:ascii="宋体" w:hAnsi="宋体" w:cs="宋体"/>
                <w:szCs w:val="21"/>
                <w:highlight w:val="none"/>
                <w:lang w:val="en-US" w:eastAsia="zh-CN"/>
              </w:rPr>
              <w:t>类</w:t>
            </w:r>
            <w:r>
              <w:rPr>
                <w:rFonts w:hint="eastAsia" w:ascii="宋体" w:hAnsi="宋体" w:cs="宋体"/>
                <w:szCs w:val="21"/>
                <w:highlight w:val="none"/>
              </w:rPr>
              <w:t>或建筑设计</w:t>
            </w:r>
            <w:r>
              <w:rPr>
                <w:rFonts w:hint="eastAsia" w:ascii="宋体" w:hAnsi="宋体" w:cs="宋体"/>
                <w:szCs w:val="21"/>
                <w:highlight w:val="none"/>
                <w:lang w:val="en-US" w:eastAsia="zh-CN"/>
              </w:rPr>
              <w:t>类</w:t>
            </w:r>
            <w:r>
              <w:rPr>
                <w:rFonts w:hint="eastAsia" w:ascii="宋体" w:hAnsi="宋体" w:cs="宋体"/>
                <w:szCs w:val="21"/>
                <w:highlight w:val="none"/>
              </w:rPr>
              <w:t>专业）</w:t>
            </w:r>
            <w:r>
              <w:rPr>
                <w:rStyle w:val="155"/>
                <w:rFonts w:hint="eastAsia" w:ascii="宋体" w:hAnsi="宋体" w:cs="宋体"/>
                <w:szCs w:val="21"/>
                <w:highlight w:val="none"/>
              </w:rPr>
              <w:t>中级工程师职称的</w:t>
            </w:r>
            <w:r>
              <w:rPr>
                <w:rFonts w:hint="eastAsia" w:ascii="宋体" w:hAnsi="宋体" w:cs="宋体"/>
                <w:szCs w:val="21"/>
                <w:highlight w:val="none"/>
              </w:rPr>
              <w:t>得10分，满分40分；</w:t>
            </w:r>
          </w:p>
          <w:p>
            <w:pPr>
              <w:widowControl/>
              <w:jc w:val="left"/>
              <w:textAlignment w:val="top"/>
              <w:rPr>
                <w:rFonts w:ascii="宋体" w:hAnsi="宋体" w:cs="宋体"/>
                <w:szCs w:val="21"/>
                <w:highlight w:val="none"/>
              </w:rPr>
            </w:pPr>
            <w:r>
              <w:rPr>
                <w:rStyle w:val="155"/>
                <w:rFonts w:hint="eastAsia" w:ascii="宋体" w:hAnsi="宋体" w:cs="宋体"/>
                <w:szCs w:val="21"/>
                <w:highlight w:val="none"/>
              </w:rPr>
              <w:t>2、具备电气或建筑电气类、暖通</w:t>
            </w:r>
            <w:r>
              <w:rPr>
                <w:rFonts w:hint="eastAsia" w:ascii="宋体" w:hAnsi="宋体" w:cs="宋体"/>
                <w:szCs w:val="21"/>
                <w:highlight w:val="none"/>
              </w:rPr>
              <w:t>或供热通风与空调类专业</w:t>
            </w:r>
            <w:r>
              <w:rPr>
                <w:rStyle w:val="155"/>
                <w:rFonts w:hint="eastAsia" w:ascii="宋体" w:hAnsi="宋体" w:cs="宋体"/>
                <w:szCs w:val="21"/>
                <w:highlight w:val="none"/>
              </w:rPr>
              <w:t>、给排水或给水排水设计类专业各1人，</w:t>
            </w:r>
            <w:r>
              <w:rPr>
                <w:rFonts w:hint="eastAsia"/>
                <w:highlight w:val="none"/>
              </w:rPr>
              <w:t>副</w:t>
            </w:r>
            <w:r>
              <w:rPr>
                <w:rStyle w:val="155"/>
                <w:rFonts w:hint="eastAsia" w:ascii="宋体" w:hAnsi="宋体" w:cs="宋体"/>
                <w:szCs w:val="21"/>
                <w:highlight w:val="none"/>
              </w:rPr>
              <w:t>高级</w:t>
            </w:r>
            <w:r>
              <w:rPr>
                <w:rFonts w:hint="eastAsia" w:ascii="宋体" w:hAnsi="宋体" w:cs="宋体"/>
                <w:szCs w:val="21"/>
                <w:highlight w:val="none"/>
              </w:rPr>
              <w:t>或以上</w:t>
            </w:r>
            <w:r>
              <w:rPr>
                <w:rStyle w:val="155"/>
                <w:rFonts w:hint="eastAsia" w:ascii="宋体" w:hAnsi="宋体" w:cs="宋体"/>
                <w:szCs w:val="21"/>
                <w:highlight w:val="none"/>
              </w:rPr>
              <w:t>工程师职称每提供一人得</w:t>
            </w:r>
            <w:r>
              <w:rPr>
                <w:rFonts w:hint="eastAsia" w:ascii="宋体" w:hAnsi="宋体" w:cs="宋体"/>
                <w:szCs w:val="21"/>
                <w:highlight w:val="none"/>
              </w:rPr>
              <w:t xml:space="preserve"> 20</w:t>
            </w:r>
            <w:r>
              <w:rPr>
                <w:rStyle w:val="155"/>
                <w:rFonts w:hint="eastAsia" w:ascii="宋体" w:hAnsi="宋体" w:cs="宋体"/>
                <w:szCs w:val="21"/>
                <w:highlight w:val="none"/>
              </w:rPr>
              <w:t>分，中级工程师职称每提供一人得10分，满分</w:t>
            </w:r>
            <w:r>
              <w:rPr>
                <w:rFonts w:hint="eastAsia" w:ascii="宋体" w:hAnsi="宋体" w:cs="宋体"/>
                <w:szCs w:val="21"/>
                <w:highlight w:val="none"/>
              </w:rPr>
              <w:t xml:space="preserve">60 </w:t>
            </w:r>
            <w:r>
              <w:rPr>
                <w:rStyle w:val="155"/>
                <w:rFonts w:hint="eastAsia" w:ascii="宋体" w:hAnsi="宋体" w:cs="宋体"/>
                <w:szCs w:val="21"/>
                <w:highlight w:val="none"/>
              </w:rPr>
              <w:t>分；</w:t>
            </w:r>
            <w:r>
              <w:rPr>
                <w:rFonts w:hint="eastAsia" w:ascii="宋体" w:hAnsi="宋体" w:cs="宋体"/>
                <w:szCs w:val="21"/>
                <w:highlight w:val="none"/>
              </w:rPr>
              <w:t xml:space="preserve"> </w:t>
            </w:r>
          </w:p>
          <w:p>
            <w:pPr>
              <w:rPr>
                <w:rFonts w:ascii="宋体" w:hAnsi="宋体" w:cs="宋体"/>
                <w:szCs w:val="21"/>
                <w:highlight w:val="none"/>
              </w:rPr>
            </w:pPr>
            <w:r>
              <w:rPr>
                <w:rStyle w:val="155"/>
                <w:rFonts w:hint="eastAsia" w:ascii="宋体" w:hAnsi="宋体" w:cs="宋体"/>
                <w:szCs w:val="21"/>
                <w:highlight w:val="none"/>
              </w:rPr>
              <w:t>本项满分为</w:t>
            </w:r>
            <w:r>
              <w:rPr>
                <w:rFonts w:hint="eastAsia" w:ascii="宋体" w:hAnsi="宋体" w:cs="宋体"/>
                <w:szCs w:val="21"/>
                <w:highlight w:val="none"/>
              </w:rPr>
              <w:t>100</w:t>
            </w:r>
            <w:r>
              <w:rPr>
                <w:rStyle w:val="155"/>
                <w:rFonts w:hint="eastAsia" w:ascii="宋体" w:hAnsi="宋体" w:cs="宋体"/>
                <w:szCs w:val="21"/>
                <w:highlight w:val="none"/>
              </w:rPr>
              <w:t>分，同一人员</w:t>
            </w:r>
            <w:r>
              <w:rPr>
                <w:rFonts w:hint="eastAsia"/>
                <w:highlight w:val="none"/>
              </w:rPr>
              <w:t>同时具有两项或以上证书的</w:t>
            </w:r>
            <w:r>
              <w:rPr>
                <w:rStyle w:val="155"/>
                <w:rFonts w:hint="eastAsia" w:ascii="宋体" w:hAnsi="宋体" w:cs="宋体"/>
                <w:szCs w:val="21"/>
                <w:highlight w:val="none"/>
              </w:rPr>
              <w:t>不可重复得分。</w:t>
            </w:r>
            <w:r>
              <w:rPr>
                <w:rFonts w:hint="eastAsia" w:ascii="宋体" w:hAnsi="宋体" w:cs="宋体"/>
                <w:szCs w:val="21"/>
                <w:highlight w:val="none"/>
              </w:rPr>
              <w:br w:type="textWrapping"/>
            </w:r>
            <w:r>
              <w:rPr>
                <w:rFonts w:hint="eastAsia" w:ascii="宋体" w:hAnsi="宋体" w:cs="宋体"/>
                <w:szCs w:val="21"/>
                <w:highlight w:val="none"/>
              </w:rPr>
              <w:t>（二）评分依据</w:t>
            </w:r>
          </w:p>
          <w:p>
            <w:pPr>
              <w:widowControl/>
              <w:jc w:val="left"/>
              <w:textAlignment w:val="top"/>
              <w:rPr>
                <w:rStyle w:val="155"/>
                <w:rFonts w:hint="default" w:ascii="宋体" w:hAnsi="宋体" w:eastAsia="宋体" w:cs="宋体"/>
                <w:szCs w:val="21"/>
                <w:highlight w:val="none"/>
                <w:lang w:val="en-US" w:eastAsia="zh-CN"/>
              </w:rPr>
            </w:pPr>
            <w:r>
              <w:rPr>
                <w:rStyle w:val="155"/>
                <w:rFonts w:hint="eastAsia" w:ascii="宋体" w:hAnsi="宋体" w:cs="宋体"/>
                <w:szCs w:val="21"/>
                <w:highlight w:val="none"/>
              </w:rPr>
              <w:t>1、要求提供职称证（职称证无法证明其专业的还需提供毕业证）</w:t>
            </w:r>
            <w:r>
              <w:rPr>
                <w:rFonts w:hint="eastAsia" w:ascii="宋体" w:hAnsi="宋体" w:cs="宋体"/>
                <w:szCs w:val="21"/>
                <w:highlight w:val="none"/>
              </w:rPr>
              <w:t>证书</w:t>
            </w:r>
            <w:r>
              <w:rPr>
                <w:rStyle w:val="155"/>
                <w:rFonts w:hint="eastAsia" w:ascii="宋体" w:hAnsi="宋体" w:cs="宋体"/>
                <w:szCs w:val="21"/>
                <w:highlight w:val="none"/>
              </w:rPr>
              <w:t>扫描件。</w:t>
            </w:r>
            <w:r>
              <w:rPr>
                <w:rStyle w:val="155"/>
                <w:rFonts w:hint="eastAsia" w:ascii="宋体" w:hAnsi="宋体" w:cs="宋体"/>
                <w:szCs w:val="21"/>
                <w:highlight w:val="none"/>
                <w:lang w:val="en-US" w:eastAsia="zh-CN"/>
              </w:rPr>
              <w:t>提供毕业证书作为证明材料的，需同时提供</w:t>
            </w:r>
            <w:r>
              <w:rPr>
                <w:rFonts w:hint="eastAsia" w:ascii="宋体" w:hAnsi="宋体"/>
                <w:color w:val="000000"/>
                <w:szCs w:val="21"/>
                <w:highlight w:val="none"/>
              </w:rPr>
              <w:t>学信网查询记录，对于较早颁发的学历证书，学信网无法查询的，除要求提供证书扫描件，要求提供其他佐证材料（如毕业院校、人社部门等颁发机构或监管机构等单位出具的证明），在海外留学并取得学历的，学信网无法查询的，可提供教育部留学服务中心出具的国外学历认证证书扫描件以及教育部留学服务中心官网查询截图。</w:t>
            </w:r>
          </w:p>
          <w:p>
            <w:pPr>
              <w:textAlignment w:val="top"/>
              <w:rPr>
                <w:rFonts w:ascii="宋体" w:hAnsi="宋体" w:cs="宋体"/>
                <w:szCs w:val="21"/>
                <w:highlight w:val="none"/>
              </w:rPr>
            </w:pPr>
            <w:r>
              <w:rPr>
                <w:rStyle w:val="155"/>
                <w:rFonts w:hint="eastAsia" w:ascii="宋体" w:hAnsi="宋体" w:cs="宋体"/>
                <w:szCs w:val="21"/>
                <w:highlight w:val="none"/>
              </w:rPr>
              <w:t>2、</w:t>
            </w:r>
            <w:r>
              <w:rPr>
                <w:rFonts w:hint="eastAsia" w:ascii="宋体" w:hAnsi="宋体" w:cs="宋体"/>
                <w:szCs w:val="21"/>
                <w:highlight w:val="none"/>
              </w:rPr>
              <w:t>通过投标人缴纳的近三个月（含开标当月）的任意一个月社保证明作为本单位员工的证明依据，如供应商成立不足一个月或员工入职不足一个月的，提供情况说明函（格式自拟），无需提供相关人员社保，亦可得分。</w:t>
            </w:r>
          </w:p>
          <w:p>
            <w:pPr>
              <w:widowControl/>
              <w:jc w:val="left"/>
              <w:textAlignment w:val="top"/>
              <w:rPr>
                <w:rFonts w:ascii="宋体" w:hAnsi="宋体" w:cs="宋体"/>
                <w:szCs w:val="21"/>
                <w:highlight w:val="none"/>
              </w:rPr>
            </w:pPr>
            <w:r>
              <w:rPr>
                <w:rFonts w:hint="eastAsia" w:ascii="宋体" w:hAnsi="宋体" w:cs="宋体"/>
                <w:szCs w:val="21"/>
                <w:highlight w:val="none"/>
              </w:rPr>
              <w:t>3、以上资料均要求提供扫描件。评分中出现无证明资料或专家无法凭所提供资料判断是否得分的情况，一律作不得分处理。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pPr>
              <w:wordWrap w:val="0"/>
              <w:jc w:val="center"/>
              <w:rPr>
                <w:rFonts w:ascii="宋体" w:hAnsi="宋体" w:cs="宋体"/>
                <w:b/>
                <w:bCs/>
                <w:color w:val="0000FF"/>
                <w:szCs w:val="21"/>
              </w:rPr>
            </w:pPr>
            <w:r>
              <w:rPr>
                <w:rFonts w:hint="eastAsia" w:ascii="宋体" w:hAnsi="宋体" w:cs="宋体"/>
                <w:b/>
                <w:bCs/>
                <w:color w:val="0000FF"/>
                <w:szCs w:val="21"/>
              </w:rPr>
              <w:t>3</w:t>
            </w:r>
          </w:p>
        </w:tc>
        <w:tc>
          <w:tcPr>
            <w:tcW w:w="3544" w:type="dxa"/>
            <w:gridSpan w:val="3"/>
          </w:tcPr>
          <w:p>
            <w:pPr>
              <w:wordWrap w:val="0"/>
              <w:jc w:val="center"/>
              <w:rPr>
                <w:rFonts w:ascii="宋体" w:hAnsi="宋体" w:cs="宋体"/>
                <w:b/>
                <w:bCs/>
                <w:color w:val="0000FF"/>
                <w:szCs w:val="21"/>
              </w:rPr>
            </w:pPr>
            <w:r>
              <w:rPr>
                <w:rFonts w:hint="eastAsia" w:ascii="宋体" w:hAnsi="宋体" w:cs="宋体"/>
                <w:b/>
                <w:bCs/>
                <w:color w:val="0000FF"/>
                <w:szCs w:val="21"/>
              </w:rPr>
              <w:t>综合实力部分</w:t>
            </w:r>
          </w:p>
        </w:tc>
        <w:tc>
          <w:tcPr>
            <w:tcW w:w="4824" w:type="dxa"/>
          </w:tcPr>
          <w:p>
            <w:pPr>
              <w:wordWrap w:val="0"/>
              <w:jc w:val="center"/>
              <w:rPr>
                <w:rFonts w:ascii="宋体" w:hAnsi="宋体" w:cs="宋体"/>
                <w:b/>
                <w:bCs/>
                <w:color w:val="0000FF"/>
                <w:szCs w:val="21"/>
              </w:rPr>
            </w:pPr>
            <w:r>
              <w:rPr>
                <w:rFonts w:hint="eastAsia" w:ascii="宋体" w:hAnsi="宋体" w:cs="宋体"/>
                <w:b/>
                <w:bCs/>
                <w:color w:val="0000FF"/>
                <w:szCs w:val="21"/>
              </w:rPr>
              <w:t>2</w:t>
            </w:r>
            <w:r>
              <w:rPr>
                <w:rFonts w:ascii="宋体" w:hAnsi="宋体" w:cs="宋体"/>
                <w:b/>
                <w:bCs/>
                <w:color w:val="0000FF"/>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Cs w:val="21"/>
              </w:rPr>
            </w:pPr>
          </w:p>
        </w:tc>
        <w:tc>
          <w:tcPr>
            <w:tcW w:w="8368" w:type="dxa"/>
            <w:gridSpan w:val="4"/>
          </w:tcPr>
          <w:p>
            <w:pPr>
              <w:wordWrap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E6EFFA"/>
            <w:vAlign w:val="center"/>
          </w:tcPr>
          <w:p>
            <w:pPr>
              <w:rPr>
                <w:rFonts w:ascii="宋体" w:hAnsi="宋体" w:cs="宋体"/>
                <w:b/>
                <w:bCs/>
                <w:color w:val="0000FF"/>
                <w:szCs w:val="21"/>
              </w:rPr>
            </w:pPr>
          </w:p>
        </w:tc>
        <w:tc>
          <w:tcPr>
            <w:tcW w:w="709" w:type="dxa"/>
            <w:shd w:val="clear" w:color="auto" w:fill="E6EFFA"/>
            <w:vAlign w:val="center"/>
          </w:tcPr>
          <w:p>
            <w:pPr>
              <w:wordWrap w:val="0"/>
              <w:jc w:val="center"/>
              <w:rPr>
                <w:rFonts w:ascii="宋体" w:hAnsi="宋体" w:cs="宋体"/>
                <w:b/>
                <w:bCs/>
                <w:szCs w:val="21"/>
              </w:rPr>
            </w:pPr>
            <w:r>
              <w:rPr>
                <w:rFonts w:hint="eastAsia" w:ascii="宋体" w:hAnsi="宋体" w:cs="宋体"/>
                <w:b/>
                <w:bCs/>
                <w:szCs w:val="21"/>
              </w:rPr>
              <w:t>序号</w:t>
            </w:r>
          </w:p>
        </w:tc>
        <w:tc>
          <w:tcPr>
            <w:tcW w:w="1701" w:type="dxa"/>
            <w:shd w:val="clear" w:color="auto" w:fill="E6EFFA"/>
            <w:vAlign w:val="center"/>
          </w:tcPr>
          <w:p>
            <w:pPr>
              <w:wordWrap w:val="0"/>
              <w:jc w:val="center"/>
              <w:rPr>
                <w:rFonts w:ascii="宋体" w:hAnsi="宋体" w:cs="宋体"/>
                <w:b/>
                <w:bCs/>
                <w:szCs w:val="21"/>
              </w:rPr>
            </w:pPr>
            <w:r>
              <w:rPr>
                <w:rFonts w:hint="eastAsia" w:ascii="宋体" w:hAnsi="宋体" w:cs="宋体"/>
                <w:b/>
                <w:bCs/>
                <w:szCs w:val="21"/>
              </w:rPr>
              <w:t>评审因素</w:t>
            </w:r>
          </w:p>
        </w:tc>
        <w:tc>
          <w:tcPr>
            <w:tcW w:w="1134" w:type="dxa"/>
            <w:shd w:val="clear" w:color="auto" w:fill="E6EFFA"/>
            <w:vAlign w:val="center"/>
          </w:tcPr>
          <w:p>
            <w:pPr>
              <w:wordWrap w:val="0"/>
              <w:jc w:val="center"/>
              <w:rPr>
                <w:rFonts w:ascii="宋体" w:hAnsi="宋体" w:cs="宋体"/>
                <w:b/>
                <w:bCs/>
                <w:szCs w:val="21"/>
              </w:rPr>
            </w:pPr>
            <w:r>
              <w:rPr>
                <w:rFonts w:hint="eastAsia" w:ascii="宋体" w:hAnsi="宋体" w:cs="宋体"/>
                <w:b/>
                <w:bCs/>
                <w:szCs w:val="21"/>
              </w:rPr>
              <w:t>权重(%)</w:t>
            </w:r>
          </w:p>
        </w:tc>
        <w:tc>
          <w:tcPr>
            <w:tcW w:w="4824" w:type="dxa"/>
            <w:shd w:val="clear" w:color="auto" w:fill="E6EFFA"/>
            <w:vAlign w:val="center"/>
          </w:tcPr>
          <w:p>
            <w:pPr>
              <w:wordWrap w:val="0"/>
              <w:jc w:val="center"/>
              <w:rPr>
                <w:rFonts w:ascii="宋体" w:hAnsi="宋体" w:cs="宋体"/>
                <w:b/>
                <w:bCs/>
                <w:szCs w:val="21"/>
              </w:rPr>
            </w:pPr>
            <w:r>
              <w:rPr>
                <w:rFonts w:hint="eastAsia" w:ascii="宋体" w:hAnsi="宋体" w:cs="宋体"/>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Cs w:val="21"/>
              </w:rPr>
            </w:pPr>
          </w:p>
        </w:tc>
        <w:tc>
          <w:tcPr>
            <w:tcW w:w="709" w:type="dxa"/>
            <w:vAlign w:val="center"/>
          </w:tcPr>
          <w:p>
            <w:pPr>
              <w:wordWrap w:val="0"/>
              <w:jc w:val="center"/>
              <w:rPr>
                <w:rFonts w:ascii="宋体" w:hAnsi="宋体" w:cs="宋体"/>
                <w:szCs w:val="21"/>
              </w:rPr>
            </w:pPr>
            <w:r>
              <w:rPr>
                <w:rFonts w:hint="eastAsia" w:ascii="宋体" w:hAnsi="宋体" w:cs="宋体"/>
                <w:szCs w:val="21"/>
              </w:rPr>
              <w:t>1</w:t>
            </w:r>
          </w:p>
        </w:tc>
        <w:tc>
          <w:tcPr>
            <w:tcW w:w="1701" w:type="dxa"/>
            <w:vAlign w:val="center"/>
          </w:tcPr>
          <w:p>
            <w:pPr>
              <w:textAlignment w:val="top"/>
              <w:rPr>
                <w:rFonts w:ascii="宋体" w:hAnsi="宋体" w:cs="宋体"/>
                <w:szCs w:val="21"/>
              </w:rPr>
            </w:pPr>
            <w:r>
              <w:rPr>
                <w:rFonts w:hint="eastAsia" w:ascii="宋体" w:hAnsi="宋体" w:cs="宋体"/>
                <w:color w:val="000000"/>
                <w:szCs w:val="21"/>
              </w:rPr>
              <w:t>投标人通过相关认证情况</w:t>
            </w:r>
          </w:p>
        </w:tc>
        <w:tc>
          <w:tcPr>
            <w:tcW w:w="1134" w:type="dxa"/>
            <w:vAlign w:val="center"/>
          </w:tcPr>
          <w:p>
            <w:pPr>
              <w:jc w:val="center"/>
              <w:textAlignment w:val="top"/>
              <w:rPr>
                <w:rFonts w:ascii="宋体" w:hAnsi="宋体" w:cs="宋体"/>
                <w:szCs w:val="21"/>
              </w:rPr>
            </w:pPr>
            <w:r>
              <w:rPr>
                <w:rFonts w:hint="eastAsia" w:ascii="宋体" w:hAnsi="宋体" w:cs="宋体"/>
                <w:szCs w:val="21"/>
              </w:rPr>
              <w:t>6</w:t>
            </w:r>
          </w:p>
        </w:tc>
        <w:tc>
          <w:tcPr>
            <w:tcW w:w="4824" w:type="dxa"/>
            <w:vAlign w:val="center"/>
          </w:tcPr>
          <w:p>
            <w:pPr>
              <w:rPr>
                <w:rFonts w:ascii="宋体" w:hAnsi="宋体" w:cs="宋体"/>
                <w:szCs w:val="21"/>
              </w:rPr>
            </w:pPr>
            <w:r>
              <w:rPr>
                <w:rFonts w:hint="eastAsia" w:ascii="宋体" w:hAnsi="宋体" w:cs="宋体"/>
                <w:szCs w:val="21"/>
              </w:rPr>
              <w:t>（一）评分内容：</w:t>
            </w:r>
          </w:p>
          <w:p>
            <w:pPr>
              <w:widowControl/>
              <w:jc w:val="left"/>
              <w:textAlignment w:val="top"/>
              <w:rPr>
                <w:rFonts w:ascii="宋体" w:hAnsi="宋体" w:cs="宋体"/>
                <w:szCs w:val="21"/>
              </w:rPr>
            </w:pPr>
            <w:r>
              <w:rPr>
                <w:rFonts w:hint="eastAsia" w:ascii="宋体" w:hAnsi="宋体" w:cs="宋体"/>
                <w:szCs w:val="21"/>
              </w:rPr>
              <w:t>1、具有质量管理体系认证；</w:t>
            </w:r>
          </w:p>
          <w:p>
            <w:pPr>
              <w:widowControl/>
              <w:jc w:val="left"/>
              <w:textAlignment w:val="top"/>
              <w:rPr>
                <w:rFonts w:ascii="宋体" w:hAnsi="宋体" w:cs="宋体"/>
                <w:szCs w:val="21"/>
              </w:rPr>
            </w:pPr>
            <w:r>
              <w:rPr>
                <w:rFonts w:hint="eastAsia" w:ascii="宋体" w:hAnsi="宋体" w:cs="宋体"/>
                <w:szCs w:val="21"/>
              </w:rPr>
              <w:t>2、具有环境管理体系认证；</w:t>
            </w:r>
          </w:p>
          <w:p>
            <w:pPr>
              <w:widowControl/>
              <w:jc w:val="left"/>
              <w:textAlignment w:val="top"/>
              <w:rPr>
                <w:rFonts w:ascii="宋体" w:hAnsi="宋体" w:cs="宋体"/>
                <w:szCs w:val="21"/>
              </w:rPr>
            </w:pPr>
            <w:r>
              <w:rPr>
                <w:rFonts w:hint="eastAsia" w:ascii="宋体" w:hAnsi="宋体" w:cs="宋体"/>
                <w:szCs w:val="21"/>
              </w:rPr>
              <w:t>3、具有职业健康安全管理体系。</w:t>
            </w:r>
          </w:p>
          <w:p>
            <w:pPr>
              <w:widowControl/>
              <w:jc w:val="left"/>
              <w:textAlignment w:val="top"/>
            </w:pPr>
            <w:r>
              <w:rPr>
                <w:rFonts w:hint="eastAsia" w:ascii="宋体" w:hAnsi="宋体" w:cs="宋体"/>
                <w:szCs w:val="21"/>
              </w:rPr>
              <w:t>每提供一项认证证书得35分，本项最高得100分。</w:t>
            </w:r>
          </w:p>
          <w:p>
            <w:pPr>
              <w:wordWrap w:val="0"/>
              <w:rPr>
                <w:rFonts w:ascii="宋体" w:hAnsi="宋体" w:cs="宋体"/>
                <w:szCs w:val="21"/>
              </w:rPr>
            </w:pPr>
            <w:r>
              <w:rPr>
                <w:rFonts w:hint="eastAsia" w:ascii="宋体" w:hAnsi="宋体" w:cs="宋体"/>
                <w:szCs w:val="21"/>
              </w:rPr>
              <w:t>（二）评分依据</w:t>
            </w:r>
          </w:p>
          <w:p>
            <w:pPr>
              <w:widowControl/>
              <w:wordWrap w:val="0"/>
              <w:jc w:val="left"/>
              <w:textAlignment w:val="top"/>
              <w:rPr>
                <w:rFonts w:ascii="宋体" w:hAnsi="宋体" w:cs="宋体"/>
                <w:szCs w:val="21"/>
              </w:rPr>
            </w:pPr>
            <w:r>
              <w:rPr>
                <w:rFonts w:hint="eastAsia" w:ascii="宋体" w:hAnsi="宋体" w:cs="宋体"/>
                <w:szCs w:val="21"/>
              </w:rPr>
              <w:t xml:space="preserve"> 要求提供有效的认证证书扫描件，及出具证书官网或全国认证认可信息公共服务平台（http://cx.cnca.cn/）的证书查询记录。认证证书在公开渠道无法查询的，需提供颁发机构的证明材料，证明证书真实有效。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Cs w:val="21"/>
              </w:rPr>
            </w:pPr>
          </w:p>
        </w:tc>
        <w:tc>
          <w:tcPr>
            <w:tcW w:w="709" w:type="dxa"/>
            <w:vAlign w:val="center"/>
          </w:tcPr>
          <w:p>
            <w:pPr>
              <w:wordWrap w:val="0"/>
              <w:jc w:val="center"/>
              <w:rPr>
                <w:rFonts w:ascii="宋体" w:hAnsi="宋体" w:cs="宋体"/>
                <w:szCs w:val="21"/>
              </w:rPr>
            </w:pPr>
            <w:r>
              <w:rPr>
                <w:rFonts w:hint="eastAsia" w:ascii="宋体" w:hAnsi="宋体" w:cs="宋体"/>
                <w:szCs w:val="21"/>
              </w:rPr>
              <w:t>2</w:t>
            </w:r>
          </w:p>
        </w:tc>
        <w:tc>
          <w:tcPr>
            <w:tcW w:w="1701" w:type="dxa"/>
            <w:vAlign w:val="center"/>
          </w:tcPr>
          <w:p>
            <w:pPr>
              <w:textAlignment w:val="top"/>
              <w:rPr>
                <w:rFonts w:ascii="宋体" w:hAnsi="宋体" w:cs="宋体"/>
                <w:szCs w:val="21"/>
              </w:rPr>
            </w:pPr>
            <w:r>
              <w:rPr>
                <w:rFonts w:hint="eastAsia" w:ascii="宋体" w:hAnsi="宋体" w:cs="宋体"/>
                <w:color w:val="000000"/>
                <w:szCs w:val="21"/>
              </w:rPr>
              <w:t>同类项目业绩情况</w:t>
            </w:r>
          </w:p>
        </w:tc>
        <w:tc>
          <w:tcPr>
            <w:tcW w:w="1134" w:type="dxa"/>
            <w:vAlign w:val="center"/>
          </w:tcPr>
          <w:p>
            <w:pPr>
              <w:jc w:val="center"/>
              <w:textAlignment w:val="top"/>
              <w:rPr>
                <w:rFonts w:ascii="宋体" w:hAnsi="宋体" w:cs="宋体"/>
                <w:szCs w:val="21"/>
              </w:rPr>
            </w:pPr>
            <w:r>
              <w:rPr>
                <w:rFonts w:hint="eastAsia" w:ascii="宋体" w:hAnsi="宋体" w:cs="宋体"/>
                <w:szCs w:val="21"/>
              </w:rPr>
              <w:t>1</w:t>
            </w:r>
            <w:r>
              <w:rPr>
                <w:rFonts w:ascii="宋体" w:hAnsi="宋体" w:cs="宋体"/>
                <w:szCs w:val="21"/>
              </w:rPr>
              <w:t>0</w:t>
            </w:r>
          </w:p>
        </w:tc>
        <w:tc>
          <w:tcPr>
            <w:tcW w:w="4824" w:type="dxa"/>
            <w:vAlign w:val="center"/>
          </w:tcPr>
          <w:p>
            <w:pPr>
              <w:rPr>
                <w:rFonts w:ascii="宋体" w:hAnsi="宋体" w:cs="宋体"/>
                <w:szCs w:val="21"/>
              </w:rPr>
            </w:pPr>
            <w:r>
              <w:rPr>
                <w:rFonts w:hint="eastAsia" w:ascii="宋体" w:hAnsi="宋体" w:cs="宋体"/>
                <w:szCs w:val="21"/>
              </w:rPr>
              <w:t>（一）评分内容：</w:t>
            </w:r>
          </w:p>
          <w:p>
            <w:pPr>
              <w:wordWrap w:val="0"/>
              <w:rPr>
                <w:rFonts w:ascii="宋体" w:hAnsi="宋体" w:cs="宋体"/>
                <w:szCs w:val="21"/>
              </w:rPr>
            </w:pPr>
            <w:r>
              <w:rPr>
                <w:rFonts w:hint="eastAsia" w:ascii="宋体" w:hAnsi="宋体" w:cs="宋体"/>
                <w:szCs w:val="21"/>
              </w:rPr>
              <w:t>考察投标人自2021年3月1日至本项目投标截止日，以合同签订时间为准）内承担同类项目业绩情况（同类项目指消防设施检测类或消防安全评估</w:t>
            </w:r>
            <w:r>
              <w:rPr>
                <w:rStyle w:val="155"/>
                <w:rFonts w:hint="eastAsia" w:ascii="宋体" w:hAnsi="宋体" w:cs="宋体"/>
                <w:szCs w:val="21"/>
              </w:rPr>
              <w:t>类服务，文字描述不必完全一致，能够涵盖对应内容即可）：</w:t>
            </w:r>
            <w:r>
              <w:rPr>
                <w:rFonts w:hint="eastAsia" w:ascii="宋体" w:hAnsi="宋体" w:cs="宋体"/>
                <w:szCs w:val="21"/>
              </w:rPr>
              <w:br w:type="textWrapping"/>
            </w:r>
            <w:r>
              <w:rPr>
                <w:rFonts w:hint="eastAsia" w:ascii="宋体" w:hAnsi="宋体" w:cs="宋体"/>
                <w:szCs w:val="21"/>
              </w:rPr>
              <w:t>具有政府主管部门或事业单位采购的同类项目业绩，每提供1个得</w:t>
            </w:r>
            <w:r>
              <w:rPr>
                <w:rFonts w:ascii="宋体" w:hAnsi="宋体" w:cs="宋体"/>
                <w:szCs w:val="21"/>
              </w:rPr>
              <w:t>35</w:t>
            </w:r>
            <w:r>
              <w:rPr>
                <w:rFonts w:hint="eastAsia" w:ascii="宋体" w:hAnsi="宋体" w:cs="宋体"/>
                <w:szCs w:val="21"/>
              </w:rPr>
              <w:t>分；满分100分。</w:t>
            </w:r>
            <w:r>
              <w:rPr>
                <w:rFonts w:hint="eastAsia" w:ascii="宋体" w:hAnsi="宋体" w:cs="宋体"/>
                <w:szCs w:val="21"/>
              </w:rPr>
              <w:br w:type="textWrapping"/>
            </w:r>
            <w:r>
              <w:rPr>
                <w:rFonts w:hint="eastAsia" w:ascii="宋体" w:hAnsi="宋体" w:cs="宋体"/>
                <w:szCs w:val="21"/>
              </w:rPr>
              <w:t>（二）评分依据：</w:t>
            </w:r>
          </w:p>
          <w:p>
            <w:pPr>
              <w:spacing w:after="160" w:line="240" w:lineRule="exact"/>
              <w:jc w:val="left"/>
              <w:rPr>
                <w:rFonts w:ascii="宋体" w:hAnsi="宋体"/>
                <w:szCs w:val="21"/>
              </w:rPr>
            </w:pPr>
            <w:r>
              <w:rPr>
                <w:rFonts w:hint="eastAsia" w:ascii="宋体" w:hAnsi="宋体"/>
                <w:szCs w:val="21"/>
              </w:rPr>
              <w:t>1.要求同时提供合同关键信息（包含但不限于合同服务内容页、服务时间页、双方盖章页等）扫描件作为评审依据。</w:t>
            </w:r>
          </w:p>
          <w:p>
            <w:pPr>
              <w:textAlignment w:val="top"/>
              <w:rPr>
                <w:rFonts w:ascii="宋体" w:hAnsi="宋体" w:cs="宋体"/>
                <w:szCs w:val="21"/>
              </w:rPr>
            </w:pPr>
            <w:r>
              <w:rPr>
                <w:rFonts w:hint="eastAsia" w:ascii="宋体" w:hAnsi="宋体"/>
                <w:szCs w:val="21"/>
              </w:rPr>
              <w:t>2.以上资料均要求提供扫描件。</w:t>
            </w:r>
            <w:r>
              <w:rPr>
                <w:szCs w:val="21"/>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Cs w:val="21"/>
              </w:rPr>
            </w:pPr>
          </w:p>
        </w:tc>
        <w:tc>
          <w:tcPr>
            <w:tcW w:w="709" w:type="dxa"/>
            <w:vAlign w:val="center"/>
          </w:tcPr>
          <w:p>
            <w:pPr>
              <w:wordWrap w:val="0"/>
              <w:jc w:val="center"/>
              <w:rPr>
                <w:rFonts w:ascii="宋体" w:hAnsi="宋体" w:cs="宋体"/>
                <w:szCs w:val="21"/>
              </w:rPr>
            </w:pPr>
            <w:r>
              <w:rPr>
                <w:rFonts w:hint="eastAsia" w:ascii="宋体" w:hAnsi="宋体" w:cs="宋体"/>
                <w:szCs w:val="21"/>
              </w:rPr>
              <w:t>3</w:t>
            </w:r>
          </w:p>
        </w:tc>
        <w:tc>
          <w:tcPr>
            <w:tcW w:w="1701" w:type="dxa"/>
            <w:vAlign w:val="center"/>
          </w:tcPr>
          <w:p>
            <w:pPr>
              <w:textAlignment w:val="top"/>
              <w:rPr>
                <w:rFonts w:ascii="宋体" w:hAnsi="宋体" w:cs="宋体"/>
                <w:szCs w:val="21"/>
              </w:rPr>
            </w:pPr>
            <w:r>
              <w:rPr>
                <w:rFonts w:hint="eastAsia" w:ascii="宋体" w:hAnsi="宋体" w:cs="宋体"/>
                <w:color w:val="000000"/>
                <w:szCs w:val="21"/>
              </w:rPr>
              <w:t>服务网点</w:t>
            </w:r>
          </w:p>
        </w:tc>
        <w:tc>
          <w:tcPr>
            <w:tcW w:w="1134" w:type="dxa"/>
            <w:vAlign w:val="center"/>
          </w:tcPr>
          <w:p>
            <w:pPr>
              <w:jc w:val="center"/>
              <w:textAlignment w:val="top"/>
              <w:rPr>
                <w:rFonts w:ascii="宋体" w:hAnsi="宋体" w:cs="宋体"/>
                <w:szCs w:val="21"/>
              </w:rPr>
            </w:pPr>
            <w:r>
              <w:rPr>
                <w:rFonts w:hint="eastAsia" w:ascii="宋体" w:hAnsi="宋体" w:cs="宋体"/>
                <w:szCs w:val="21"/>
              </w:rPr>
              <w:t>5</w:t>
            </w:r>
          </w:p>
        </w:tc>
        <w:tc>
          <w:tcPr>
            <w:tcW w:w="4824" w:type="dxa"/>
            <w:vAlign w:val="center"/>
          </w:tcPr>
          <w:p>
            <w:pPr>
              <w:rPr>
                <w:rFonts w:ascii="宋体" w:hAnsi="宋体" w:cs="宋体"/>
                <w:szCs w:val="21"/>
              </w:rPr>
            </w:pPr>
            <w:r>
              <w:rPr>
                <w:rFonts w:hint="eastAsia" w:ascii="宋体" w:hAnsi="宋体" w:cs="宋体"/>
                <w:szCs w:val="21"/>
              </w:rPr>
              <w:t>（一）评分内容：</w:t>
            </w:r>
          </w:p>
          <w:p>
            <w:pPr>
              <w:spacing w:after="160" w:line="240" w:lineRule="exact"/>
              <w:jc w:val="left"/>
              <w:rPr>
                <w:szCs w:val="21"/>
              </w:rPr>
            </w:pPr>
            <w:r>
              <w:rPr>
                <w:rFonts w:hint="eastAsia"/>
                <w:szCs w:val="21"/>
              </w:rPr>
              <w:t>供应商承诺中标后提供本地经营（服务）网点的，得100分。</w:t>
            </w:r>
          </w:p>
          <w:p>
            <w:pPr>
              <w:spacing w:after="160" w:line="240" w:lineRule="exact"/>
              <w:jc w:val="left"/>
              <w:rPr>
                <w:szCs w:val="21"/>
              </w:rPr>
            </w:pPr>
            <w:r>
              <w:rPr>
                <w:rFonts w:hint="eastAsia"/>
                <w:szCs w:val="21"/>
              </w:rPr>
              <w:t>（二）评分依据:</w:t>
            </w:r>
          </w:p>
          <w:p>
            <w:pPr>
              <w:pStyle w:val="18"/>
            </w:pPr>
            <w:r>
              <w:rPr>
                <w:rFonts w:hint="eastAsia" w:ascii="Times New Roman"/>
                <w:kern w:val="2"/>
                <w:sz w:val="21"/>
                <w:szCs w:val="21"/>
              </w:rPr>
              <w:t>要求提供承诺函（格式详见采购文件投标文件正文（信息公开部分）-服务网点-承诺函）作为得分依据，未按采购文件要求提供承诺函的不得分。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tcPr>
          <w:p>
            <w:pPr>
              <w:wordWrap w:val="0"/>
              <w:jc w:val="center"/>
              <w:rPr>
                <w:rFonts w:ascii="宋体" w:hAnsi="宋体" w:cs="宋体"/>
                <w:b/>
                <w:bCs/>
                <w:color w:val="0000FF"/>
                <w:szCs w:val="21"/>
              </w:rPr>
            </w:pPr>
            <w:r>
              <w:rPr>
                <w:rFonts w:hint="eastAsia" w:ascii="宋体" w:hAnsi="宋体" w:cs="宋体"/>
                <w:b/>
                <w:bCs/>
                <w:color w:val="0000FF"/>
                <w:szCs w:val="21"/>
              </w:rPr>
              <w:t>4</w:t>
            </w:r>
          </w:p>
        </w:tc>
        <w:tc>
          <w:tcPr>
            <w:tcW w:w="3544" w:type="dxa"/>
            <w:gridSpan w:val="3"/>
          </w:tcPr>
          <w:p>
            <w:pPr>
              <w:wordWrap w:val="0"/>
              <w:jc w:val="center"/>
              <w:rPr>
                <w:rFonts w:ascii="宋体" w:hAnsi="宋体" w:cs="宋体"/>
                <w:b/>
                <w:bCs/>
                <w:color w:val="0000FF"/>
                <w:szCs w:val="21"/>
              </w:rPr>
            </w:pPr>
            <w:r>
              <w:rPr>
                <w:rFonts w:hint="eastAsia" w:ascii="宋体" w:hAnsi="宋体" w:cs="宋体"/>
                <w:b/>
                <w:bCs/>
                <w:color w:val="0000FF"/>
                <w:szCs w:val="21"/>
              </w:rPr>
              <w:t>诚信情况</w:t>
            </w:r>
          </w:p>
        </w:tc>
        <w:tc>
          <w:tcPr>
            <w:tcW w:w="4824" w:type="dxa"/>
          </w:tcPr>
          <w:p>
            <w:pPr>
              <w:wordWrap w:val="0"/>
              <w:jc w:val="center"/>
              <w:rPr>
                <w:rFonts w:ascii="宋体" w:hAnsi="宋体" w:cs="宋体"/>
                <w:b/>
                <w:bCs/>
                <w:color w:val="0000FF"/>
                <w:szCs w:val="21"/>
              </w:rPr>
            </w:pPr>
            <w:r>
              <w:rPr>
                <w:rFonts w:hint="eastAsia" w:ascii="宋体" w:hAnsi="宋体" w:cs="宋体"/>
                <w:b/>
                <w:bCs/>
                <w:color w:val="0000FF"/>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shd w:val="clear" w:color="auto" w:fill="auto"/>
            <w:vAlign w:val="center"/>
          </w:tcPr>
          <w:p>
            <w:pPr>
              <w:rPr>
                <w:rFonts w:ascii="宋体" w:hAnsi="宋体" w:cs="宋体"/>
                <w:b/>
                <w:bCs/>
                <w:color w:val="0000FF"/>
                <w:szCs w:val="21"/>
              </w:rPr>
            </w:pPr>
          </w:p>
        </w:tc>
        <w:tc>
          <w:tcPr>
            <w:tcW w:w="709" w:type="dxa"/>
            <w:shd w:val="clear" w:color="auto" w:fill="E6EFFA"/>
            <w:vAlign w:val="center"/>
          </w:tcPr>
          <w:p>
            <w:pPr>
              <w:wordWrap w:val="0"/>
              <w:jc w:val="center"/>
              <w:rPr>
                <w:rFonts w:ascii="宋体" w:hAnsi="宋体" w:cs="宋体"/>
                <w:b/>
                <w:bCs/>
                <w:szCs w:val="21"/>
              </w:rPr>
            </w:pPr>
            <w:r>
              <w:rPr>
                <w:rFonts w:hint="eastAsia" w:ascii="宋体" w:hAnsi="宋体" w:cs="宋体"/>
                <w:b/>
                <w:bCs/>
                <w:szCs w:val="21"/>
              </w:rPr>
              <w:t>序号</w:t>
            </w:r>
          </w:p>
        </w:tc>
        <w:tc>
          <w:tcPr>
            <w:tcW w:w="1701" w:type="dxa"/>
            <w:shd w:val="clear" w:color="auto" w:fill="E6EFFA"/>
            <w:vAlign w:val="center"/>
          </w:tcPr>
          <w:p>
            <w:pPr>
              <w:wordWrap w:val="0"/>
              <w:jc w:val="center"/>
              <w:rPr>
                <w:rFonts w:ascii="宋体" w:hAnsi="宋体" w:cs="宋体"/>
                <w:b/>
                <w:bCs/>
                <w:szCs w:val="21"/>
              </w:rPr>
            </w:pPr>
            <w:r>
              <w:rPr>
                <w:rFonts w:hint="eastAsia" w:ascii="宋体" w:hAnsi="宋体" w:cs="宋体"/>
                <w:b/>
                <w:bCs/>
                <w:szCs w:val="21"/>
              </w:rPr>
              <w:t>评审因素</w:t>
            </w:r>
          </w:p>
        </w:tc>
        <w:tc>
          <w:tcPr>
            <w:tcW w:w="1134" w:type="dxa"/>
            <w:shd w:val="clear" w:color="auto" w:fill="E6EFFA"/>
            <w:vAlign w:val="center"/>
          </w:tcPr>
          <w:p>
            <w:pPr>
              <w:wordWrap w:val="0"/>
              <w:jc w:val="center"/>
              <w:rPr>
                <w:rFonts w:ascii="宋体" w:hAnsi="宋体" w:cs="宋体"/>
                <w:b/>
                <w:bCs/>
                <w:szCs w:val="21"/>
              </w:rPr>
            </w:pPr>
            <w:r>
              <w:rPr>
                <w:rFonts w:hint="eastAsia" w:ascii="宋体" w:hAnsi="宋体" w:cs="宋体"/>
                <w:b/>
                <w:bCs/>
                <w:szCs w:val="21"/>
              </w:rPr>
              <w:t>权重(%)</w:t>
            </w:r>
          </w:p>
        </w:tc>
        <w:tc>
          <w:tcPr>
            <w:tcW w:w="4824" w:type="dxa"/>
            <w:shd w:val="clear" w:color="auto" w:fill="E6EFFA"/>
            <w:vAlign w:val="center"/>
          </w:tcPr>
          <w:p>
            <w:pPr>
              <w:wordWrap w:val="0"/>
              <w:jc w:val="center"/>
              <w:rPr>
                <w:rFonts w:ascii="宋体" w:hAnsi="宋体" w:cs="宋体"/>
                <w:b/>
                <w:bCs/>
                <w:szCs w:val="21"/>
              </w:rPr>
            </w:pPr>
            <w:r>
              <w:rPr>
                <w:rFonts w:hint="eastAsia" w:ascii="宋体" w:hAnsi="宋体" w:cs="宋体"/>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auto"/>
            <w:vAlign w:val="center"/>
          </w:tcPr>
          <w:p>
            <w:pPr>
              <w:rPr>
                <w:rFonts w:ascii="宋体" w:hAnsi="宋体" w:cs="宋体"/>
                <w:b/>
                <w:bCs/>
                <w:color w:val="0000FF"/>
                <w:szCs w:val="21"/>
              </w:rPr>
            </w:pPr>
          </w:p>
        </w:tc>
        <w:tc>
          <w:tcPr>
            <w:tcW w:w="709" w:type="dxa"/>
            <w:vAlign w:val="center"/>
          </w:tcPr>
          <w:p>
            <w:pPr>
              <w:wordWrap w:val="0"/>
              <w:jc w:val="center"/>
              <w:rPr>
                <w:rFonts w:ascii="宋体" w:hAnsi="宋体" w:cs="宋体"/>
                <w:szCs w:val="21"/>
              </w:rPr>
            </w:pPr>
            <w:r>
              <w:rPr>
                <w:rFonts w:hint="eastAsia" w:ascii="宋体" w:hAnsi="宋体" w:cs="宋体"/>
                <w:szCs w:val="21"/>
              </w:rPr>
              <w:t>1</w:t>
            </w:r>
          </w:p>
        </w:tc>
        <w:tc>
          <w:tcPr>
            <w:tcW w:w="1701" w:type="dxa"/>
            <w:vAlign w:val="center"/>
          </w:tcPr>
          <w:p>
            <w:pPr>
              <w:wordWrap w:val="0"/>
              <w:jc w:val="center"/>
              <w:rPr>
                <w:rFonts w:ascii="宋体" w:hAnsi="宋体" w:cs="宋体"/>
                <w:szCs w:val="21"/>
              </w:rPr>
            </w:pPr>
            <w:r>
              <w:rPr>
                <w:rFonts w:hint="eastAsia" w:ascii="宋体" w:hAnsi="宋体" w:cs="宋体"/>
                <w:szCs w:val="21"/>
              </w:rPr>
              <w:t>诚信情况</w:t>
            </w:r>
          </w:p>
        </w:tc>
        <w:tc>
          <w:tcPr>
            <w:tcW w:w="1134" w:type="dxa"/>
            <w:vAlign w:val="center"/>
          </w:tcPr>
          <w:p>
            <w:pPr>
              <w:wordWrap w:val="0"/>
              <w:jc w:val="center"/>
              <w:rPr>
                <w:rFonts w:ascii="宋体" w:hAnsi="宋体" w:cs="宋体"/>
                <w:szCs w:val="21"/>
              </w:rPr>
            </w:pPr>
            <w:r>
              <w:rPr>
                <w:rFonts w:hint="eastAsia" w:ascii="宋体" w:hAnsi="宋体" w:cs="宋体"/>
                <w:szCs w:val="21"/>
              </w:rPr>
              <w:t>5</w:t>
            </w:r>
          </w:p>
        </w:tc>
        <w:tc>
          <w:tcPr>
            <w:tcW w:w="4824" w:type="dxa"/>
          </w:tcPr>
          <w:p>
            <w:pPr>
              <w:jc w:val="left"/>
              <w:rPr>
                <w:rFonts w:ascii="宋体" w:hAnsi="宋体" w:cs="宋体"/>
                <w:szCs w:val="21"/>
              </w:rPr>
            </w:pPr>
            <w:r>
              <w:rPr>
                <w:rFonts w:hint="eastAsia" w:ascii="宋体" w:hAnsi="宋体" w:cs="宋体"/>
                <w:szCs w:val="21"/>
              </w:rPr>
              <w:t>（一）评分内容：</w:t>
            </w:r>
          </w:p>
          <w:p>
            <w:pPr>
              <w:jc w:val="left"/>
              <w:rPr>
                <w:rFonts w:ascii="宋体" w:hAnsi="宋体" w:cs="宋体"/>
                <w:szCs w:val="21"/>
              </w:rPr>
            </w:pPr>
            <w:r>
              <w:rPr>
                <w:rFonts w:hint="eastAsia" w:ascii="宋体" w:hAnsi="宋体" w:cs="宋体"/>
                <w:szCs w:val="21"/>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pPr>
              <w:jc w:val="left"/>
              <w:rPr>
                <w:rFonts w:ascii="宋体" w:hAnsi="宋体" w:cs="宋体"/>
                <w:szCs w:val="21"/>
              </w:rPr>
            </w:pPr>
            <w:r>
              <w:rPr>
                <w:rFonts w:hint="eastAsia" w:ascii="宋体" w:hAnsi="宋体" w:cs="宋体"/>
                <w:szCs w:val="21"/>
              </w:rPr>
              <w:t>（二）评分依据：</w:t>
            </w:r>
          </w:p>
          <w:p>
            <w:pPr>
              <w:jc w:val="left"/>
              <w:rPr>
                <w:rFonts w:ascii="宋体" w:hAnsi="宋体" w:cs="宋体"/>
                <w:szCs w:val="21"/>
              </w:rPr>
            </w:pPr>
            <w:r>
              <w:rPr>
                <w:rFonts w:hint="eastAsia" w:ascii="宋体" w:hAnsi="宋体" w:cs="宋体"/>
                <w:szCs w:val="21"/>
              </w:rPr>
              <w:t>查询渠道：通过“信用中国”（www.creditchina.gov.cn，下载信用信息报告）、“中国政府采购网”（www.ccgp.gov.cn）以及“深圳市政府采购监管网”（http://zfcg.sz.gov.cn）查询供应商信用信息，信用信息以开标当日的查询结果为准。</w:t>
            </w:r>
          </w:p>
        </w:tc>
      </w:tr>
    </w:tbl>
    <w:p>
      <w:r>
        <w:rPr>
          <w:rFonts w:hint="eastAsia"/>
        </w:rPr>
        <w:br w:type="page"/>
      </w:r>
    </w:p>
    <w:p>
      <w:pPr>
        <w:jc w:val="center"/>
        <w:rPr>
          <w:b/>
          <w:sz w:val="120"/>
          <w:szCs w:val="120"/>
        </w:rPr>
      </w:pPr>
    </w:p>
    <w:p>
      <w:pPr>
        <w:jc w:val="center"/>
        <w:rPr>
          <w:b/>
          <w:sz w:val="120"/>
          <w:szCs w:val="120"/>
        </w:rPr>
      </w:pPr>
      <w:r>
        <w:rPr>
          <w:rFonts w:hint="eastAsia"/>
          <w:b/>
          <w:sz w:val="120"/>
          <w:szCs w:val="120"/>
        </w:rPr>
        <w:t>自行采购</w:t>
      </w:r>
    </w:p>
    <w:p>
      <w:pPr>
        <w:jc w:val="center"/>
        <w:rPr>
          <w:b/>
          <w:sz w:val="120"/>
          <w:szCs w:val="120"/>
        </w:rPr>
      </w:pPr>
      <w:r>
        <w:rPr>
          <w:rFonts w:hint="eastAsia"/>
          <w:b/>
          <w:sz w:val="120"/>
          <w:szCs w:val="120"/>
        </w:rPr>
        <w:t>采购文件</w:t>
      </w:r>
    </w:p>
    <w:p>
      <w:pPr>
        <w:jc w:val="center"/>
        <w:rPr>
          <w:b/>
          <w:sz w:val="52"/>
          <w:szCs w:val="52"/>
        </w:rPr>
      </w:pPr>
      <w:r>
        <w:rPr>
          <w:rFonts w:hint="eastAsia"/>
          <w:b/>
          <w:sz w:val="52"/>
          <w:szCs w:val="52"/>
        </w:rPr>
        <w:t>（服务类）</w:t>
      </w:r>
    </w:p>
    <w:p>
      <w:pPr>
        <w:jc w:val="center"/>
      </w:pPr>
    </w:p>
    <w:p>
      <w:pPr>
        <w:jc w:val="center"/>
      </w:pPr>
    </w:p>
    <w:p>
      <w:pPr>
        <w:jc w:val="center"/>
      </w:pPr>
    </w:p>
    <w:p>
      <w:pPr>
        <w:jc w:val="center"/>
      </w:pPr>
    </w:p>
    <w:p>
      <w:pPr>
        <w:jc w:val="cente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bookmarkStart w:id="0" w:name="_Hlk71465316"/>
      <w:r>
        <w:rPr>
          <w:rFonts w:hint="eastAsia"/>
          <w:b/>
          <w:sz w:val="44"/>
          <w:szCs w:val="44"/>
        </w:rPr>
        <w:t>深圳公共资源交易中心</w:t>
      </w:r>
    </w:p>
    <w:p>
      <w:pPr>
        <w:jc w:val="center"/>
        <w:rPr>
          <w:sz w:val="28"/>
          <w:szCs w:val="28"/>
        </w:rPr>
      </w:pPr>
      <w:r>
        <w:rPr>
          <w:rFonts w:hint="eastAsia"/>
          <w:b/>
          <w:sz w:val="28"/>
          <w:szCs w:val="28"/>
        </w:rPr>
        <w:t>（</w:t>
      </w:r>
      <w:r>
        <w:rPr>
          <w:b/>
          <w:sz w:val="28"/>
          <w:szCs w:val="28"/>
        </w:rPr>
        <w:t>20</w:t>
      </w:r>
      <w:r>
        <w:rPr>
          <w:rFonts w:hint="eastAsia"/>
          <w:b/>
          <w:sz w:val="28"/>
          <w:szCs w:val="28"/>
        </w:rPr>
        <w:t>25年）</w:t>
      </w:r>
      <w:bookmarkEnd w:id="0"/>
    </w:p>
    <w:p>
      <w:pPr>
        <w:jc w:val="center"/>
        <w:rPr>
          <w:rFonts w:ascii="宋体" w:hAnsi="宋体"/>
          <w:color w:val="FF0000"/>
          <w:szCs w:val="21"/>
        </w:rPr>
      </w:pPr>
      <w:r>
        <w:rPr>
          <w:rFonts w:hint="eastAsia"/>
        </w:rPr>
        <w:br w:type="page"/>
      </w:r>
      <w:bookmarkStart w:id="1" w:name="_Hlk137453387"/>
      <w:r>
        <w:rPr>
          <w:rFonts w:hint="eastAsia" w:ascii="宋体" w:hAnsi="宋体" w:eastAsia="黑体"/>
          <w:b/>
          <w:bCs/>
          <w:color w:val="FF0000"/>
          <w:kern w:val="44"/>
          <w:sz w:val="28"/>
          <w:szCs w:val="44"/>
        </w:rPr>
        <w:t>警示条款</w:t>
      </w:r>
    </w:p>
    <w:p>
      <w:pPr>
        <w:ind w:firstLine="400" w:firstLineChars="200"/>
        <w:rPr>
          <w:rFonts w:ascii="宋体" w:hAnsi="宋体"/>
          <w:color w:val="FF0000"/>
          <w:sz w:val="20"/>
          <w:szCs w:val="20"/>
        </w:rPr>
      </w:pPr>
    </w:p>
    <w:p>
      <w:pPr>
        <w:ind w:firstLine="400" w:firstLineChars="200"/>
        <w:rPr>
          <w:rFonts w:ascii="宋体" w:hAnsi="宋体"/>
          <w:color w:val="FF0000"/>
          <w:sz w:val="20"/>
          <w:szCs w:val="20"/>
        </w:rPr>
      </w:pPr>
      <w:r>
        <w:rPr>
          <w:rFonts w:hint="eastAsia" w:ascii="宋体" w:hAnsi="宋体"/>
          <w:color w:val="FF0000"/>
          <w:sz w:val="20"/>
          <w:szCs w:val="20"/>
        </w:rPr>
        <w:t>本项目为自行采购项目，参照《深圳经济特区政府采购条例》、《深圳经济特区政府采购条例实施细则》及政府采购其他法律法规，按照采购人内控制度，通过公开征集方式确定中标供应商。</w:t>
      </w:r>
    </w:p>
    <w:p>
      <w:pP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pP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pP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pP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pP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pPr>
        <w:ind w:firstLine="400" w:firstLineChars="200"/>
        <w:rPr>
          <w:rFonts w:ascii="宋体" w:hAnsi="宋体"/>
          <w:color w:val="FF0000"/>
          <w:sz w:val="20"/>
          <w:szCs w:val="20"/>
        </w:rPr>
      </w:pPr>
      <w:r>
        <w:rPr>
          <w:rFonts w:hint="eastAsia" w:ascii="宋体" w:hAnsi="宋体"/>
          <w:color w:val="FF0000"/>
          <w:sz w:val="20"/>
          <w:szCs w:val="20"/>
        </w:rPr>
        <w:t>（六）恶意投诉的；</w:t>
      </w:r>
    </w:p>
    <w:p>
      <w:pP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pP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pP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pPr>
        <w:ind w:firstLine="402" w:firstLineChars="200"/>
        <w:rPr>
          <w:rFonts w:ascii="宋体" w:hAnsi="宋体"/>
          <w:color w:val="FF0000"/>
          <w:sz w:val="20"/>
          <w:szCs w:val="20"/>
        </w:rPr>
      </w:pPr>
      <w:r>
        <w:rPr>
          <w:rFonts w:hint="eastAsia" w:ascii="宋体" w:hAnsi="宋体"/>
          <w:b/>
          <w:bCs/>
          <w:color w:val="FF0000"/>
          <w:sz w:val="20"/>
          <w:szCs w:val="20"/>
        </w:rPr>
        <w:t>二、《深圳经济特区政府采购条例实施细则》第七十五条 </w:t>
      </w:r>
      <w:r>
        <w:rPr>
          <w:rFonts w:hint="eastAsia" w:ascii="宋体" w:hAnsi="宋体"/>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ind w:firstLine="402" w:firstLineChars="200"/>
        <w:rPr>
          <w:rFonts w:ascii="宋体" w:hAnsi="宋体"/>
          <w:color w:val="FF0000"/>
          <w:sz w:val="20"/>
          <w:szCs w:val="20"/>
        </w:rPr>
      </w:pPr>
      <w:r>
        <w:rPr>
          <w:rFonts w:hint="eastAsia" w:ascii="宋体" w:hAnsi="宋体"/>
          <w:b/>
          <w:bCs/>
          <w:color w:val="FF0000"/>
          <w:sz w:val="20"/>
          <w:szCs w:val="20"/>
        </w:rPr>
        <w:t>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pPr>
        <w:ind w:firstLine="422" w:firstLineChars="200"/>
        <w:rPr>
          <w:b/>
          <w:color w:val="FF0000"/>
        </w:rPr>
      </w:pPr>
      <w:r>
        <w:rPr>
          <w:rFonts w:hint="eastAsia"/>
          <w:b/>
          <w:color w:val="FF0000"/>
        </w:rPr>
        <w:t>四、请投标供应商阅读《自行采购违法行为风险知悉确认书》（内容详见“第四章 投标文件组成要求及格式”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ind w:firstLine="400" w:firstLineChars="200"/>
        <w:rPr>
          <w:rFonts w:ascii="宋体" w:hAnsi="宋体"/>
          <w:color w:val="FF0000"/>
          <w:sz w:val="20"/>
          <w:szCs w:val="20"/>
        </w:rPr>
      </w:pPr>
      <w:r>
        <w:rPr>
          <w:rFonts w:hint="eastAsia" w:ascii="宋体" w:hAnsi="宋体"/>
          <w:color w:val="FF0000"/>
          <w:sz w:val="20"/>
          <w:szCs w:val="20"/>
        </w:rPr>
        <w:t>五、</w:t>
      </w:r>
      <w:r>
        <w:rPr>
          <w:rFonts w:ascii="宋体" w:hAnsi="宋体"/>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r>
        <w:br w:type="textWrapping"/>
      </w:r>
      <w:r>
        <w:rPr>
          <w:rFonts w:hint="eastAsia"/>
        </w:rPr>
        <w:t xml:space="preserve">   </w:t>
      </w:r>
      <w:r>
        <w:rPr>
          <w:rFonts w:hint="eastAsia" w:ascii="宋体" w:hAnsi="宋体"/>
          <w:color w:val="FF0000"/>
          <w:sz w:val="20"/>
          <w:szCs w:val="20"/>
        </w:rPr>
        <w:t>六、根据《中华人民共和国政府采购法实施条例》第十八条规定，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ind w:firstLine="400" w:firstLineChars="200"/>
        <w:rPr>
          <w:rFonts w:ascii="宋体" w:hAnsi="宋体"/>
          <w:color w:val="FF0000"/>
          <w:sz w:val="20"/>
          <w:szCs w:val="20"/>
        </w:rPr>
      </w:pPr>
      <w:r>
        <w:rPr>
          <w:rFonts w:hint="eastAsia" w:ascii="宋体" w:hAnsi="宋体"/>
          <w:color w:val="FF0000"/>
          <w:sz w:val="20"/>
          <w:szCs w:val="20"/>
        </w:rPr>
        <w:t>本项目设计供应商：无</w:t>
      </w:r>
    </w:p>
    <w:p>
      <w:pPr>
        <w:ind w:firstLine="400" w:firstLineChars="200"/>
        <w:rPr>
          <w:rFonts w:ascii="宋体" w:hAnsi="宋体"/>
          <w:color w:val="FF0000"/>
          <w:sz w:val="20"/>
          <w:szCs w:val="20"/>
        </w:rPr>
      </w:pPr>
      <w:r>
        <w:rPr>
          <w:rFonts w:hint="eastAsia" w:ascii="宋体" w:hAnsi="宋体"/>
          <w:color w:val="FF0000"/>
          <w:sz w:val="20"/>
          <w:szCs w:val="20"/>
        </w:rPr>
        <w:t>本项目造价咨询供应商：无</w:t>
      </w:r>
    </w:p>
    <w:p>
      <w:pPr>
        <w:ind w:firstLine="400" w:firstLineChars="200"/>
        <w:rPr>
          <w:rFonts w:ascii="宋体" w:hAnsi="宋体"/>
          <w:color w:val="FF0000"/>
          <w:sz w:val="20"/>
          <w:szCs w:val="20"/>
        </w:rPr>
      </w:pPr>
      <w:r>
        <w:rPr>
          <w:rFonts w:hint="eastAsia" w:ascii="宋体" w:hAnsi="宋体"/>
          <w:color w:val="FF0000"/>
          <w:sz w:val="20"/>
          <w:szCs w:val="20"/>
        </w:rPr>
        <w:t>本项目监理供应商：无</w:t>
      </w:r>
    </w:p>
    <w:p>
      <w:pPr>
        <w:ind w:firstLine="400" w:firstLineChars="200"/>
      </w:pPr>
      <w:r>
        <w:rPr>
          <w:rFonts w:hint="eastAsia" w:ascii="宋体" w:hAnsi="宋体"/>
          <w:color w:val="FF0000"/>
          <w:sz w:val="20"/>
          <w:szCs w:val="20"/>
        </w:rPr>
        <w:t>本项目检测供应商：无</w:t>
      </w:r>
    </w:p>
    <w:bookmarkEnd w:id="1"/>
    <w:p>
      <w:pPr>
        <w:widowControl/>
        <w:jc w:val="left"/>
        <w:rPr>
          <w:rFonts w:ascii="宋体" w:hAnsi="宋体" w:eastAsia="黑体"/>
          <w:b/>
          <w:bCs/>
          <w:kern w:val="44"/>
          <w:sz w:val="28"/>
          <w:szCs w:val="44"/>
        </w:rPr>
      </w:pPr>
      <w:r>
        <w:br w:type="page"/>
      </w:r>
    </w:p>
    <w:p>
      <w:pPr>
        <w:pStyle w:val="4"/>
      </w:pPr>
      <w:r>
        <w:rPr>
          <w:rFonts w:hint="eastAsia"/>
        </w:rPr>
        <w:t>目   录</w:t>
      </w:r>
    </w:p>
    <w:p>
      <w:pPr>
        <w:outlineLvl w:val="0"/>
        <w:rPr>
          <w:b/>
          <w:sz w:val="24"/>
        </w:rPr>
      </w:pPr>
      <w:r>
        <w:rPr>
          <w:rFonts w:hint="eastAsia"/>
          <w:b/>
          <w:sz w:val="24"/>
        </w:rPr>
        <w:t>第一册  专用条款</w:t>
      </w:r>
    </w:p>
    <w:p>
      <w:pPr>
        <w:rPr>
          <w:sz w:val="24"/>
        </w:rPr>
      </w:pPr>
      <w:r>
        <w:rPr>
          <w:rFonts w:hint="eastAsia"/>
          <w:sz w:val="24"/>
        </w:rPr>
        <w:t xml:space="preserve">          关键信息</w:t>
      </w:r>
    </w:p>
    <w:p>
      <w:pPr>
        <w:ind w:left="630" w:leftChars="300" w:firstLine="630" w:firstLineChars="300"/>
        <w:rPr>
          <w:rFonts w:ascii="宋体" w:hAnsi="宋体"/>
          <w:szCs w:val="21"/>
        </w:rPr>
      </w:pPr>
      <w:r>
        <w:rPr>
          <w:rFonts w:hint="eastAsia" w:ascii="宋体" w:hAnsi="宋体"/>
          <w:szCs w:val="21"/>
        </w:rPr>
        <w:t>第一章  采购公告</w:t>
      </w:r>
    </w:p>
    <w:p>
      <w:pPr>
        <w:ind w:left="630" w:leftChars="300" w:firstLine="630" w:firstLineChars="300"/>
        <w:rPr>
          <w:rFonts w:ascii="宋体" w:hAnsi="宋体"/>
          <w:szCs w:val="21"/>
        </w:rPr>
      </w:pPr>
      <w:r>
        <w:rPr>
          <w:rFonts w:hint="eastAsia" w:ascii="宋体" w:hAnsi="宋体"/>
          <w:szCs w:val="21"/>
        </w:rPr>
        <w:t xml:space="preserve">第二章  </w:t>
      </w:r>
      <w:bookmarkStart w:id="2" w:name="_Hlk71994379"/>
      <w:r>
        <w:rPr>
          <w:rFonts w:hint="eastAsia" w:ascii="宋体" w:hAnsi="宋体"/>
          <w:szCs w:val="21"/>
        </w:rPr>
        <w:t>对通用条款的补充内容及其他关键信息</w:t>
      </w:r>
      <w:bookmarkEnd w:id="2"/>
    </w:p>
    <w:p>
      <w:pPr>
        <w:ind w:left="630" w:leftChars="300" w:firstLine="630" w:firstLineChars="30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pPr>
        <w:ind w:left="630" w:leftChars="300" w:firstLine="630" w:firstLineChars="30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pPr>
        <w:ind w:left="630" w:leftChars="300" w:firstLine="630" w:firstLineChars="300"/>
        <w:rPr>
          <w:rFonts w:ascii="宋体" w:hAnsi="宋体"/>
          <w:szCs w:val="21"/>
        </w:rPr>
      </w:pPr>
      <w:r>
        <w:rPr>
          <w:rFonts w:hint="eastAsia" w:ascii="宋体" w:hAnsi="宋体"/>
          <w:szCs w:val="21"/>
        </w:rPr>
        <w:t>第五章  合同条款及格式</w:t>
      </w:r>
    </w:p>
    <w:p>
      <w:pPr>
        <w:rPr>
          <w:b/>
          <w:sz w:val="24"/>
        </w:rPr>
      </w:pPr>
    </w:p>
    <w:p>
      <w:pPr>
        <w:outlineLvl w:val="0"/>
        <w:rPr>
          <w:b/>
          <w:sz w:val="24"/>
        </w:rPr>
      </w:pPr>
      <w:r>
        <w:rPr>
          <w:rFonts w:hint="eastAsia"/>
          <w:b/>
          <w:sz w:val="24"/>
        </w:rPr>
        <w:t>第二册  通用条款</w:t>
      </w:r>
    </w:p>
    <w:p>
      <w:pPr>
        <w:ind w:left="630" w:leftChars="300" w:firstLine="630" w:firstLineChars="300"/>
        <w:rPr>
          <w:rFonts w:ascii="宋体" w:hAnsi="宋体"/>
          <w:szCs w:val="21"/>
        </w:rPr>
      </w:pPr>
      <w:r>
        <w:rPr>
          <w:rFonts w:hint="eastAsia" w:ascii="宋体" w:hAnsi="宋体"/>
          <w:szCs w:val="21"/>
        </w:rPr>
        <w:t>第一章  总则</w:t>
      </w:r>
    </w:p>
    <w:p>
      <w:pPr>
        <w:ind w:left="630" w:leftChars="300" w:firstLine="630" w:firstLineChars="300"/>
        <w:rPr>
          <w:rFonts w:ascii="宋体" w:hAnsi="宋体"/>
          <w:szCs w:val="21"/>
        </w:rPr>
      </w:pPr>
      <w:r>
        <w:rPr>
          <w:rFonts w:hint="eastAsia" w:ascii="宋体" w:hAnsi="宋体"/>
          <w:szCs w:val="21"/>
        </w:rPr>
        <w:t>第二章  采购文件</w:t>
      </w:r>
    </w:p>
    <w:p>
      <w:pPr>
        <w:ind w:left="630" w:leftChars="300" w:firstLine="630" w:firstLineChars="300"/>
        <w:rPr>
          <w:rFonts w:ascii="宋体" w:hAnsi="宋体"/>
          <w:szCs w:val="21"/>
        </w:rPr>
      </w:pPr>
      <w:r>
        <w:rPr>
          <w:rFonts w:hint="eastAsia" w:ascii="宋体" w:hAnsi="宋体"/>
          <w:szCs w:val="21"/>
        </w:rPr>
        <w:t>第三章  投标文件的编制</w:t>
      </w:r>
    </w:p>
    <w:p>
      <w:pPr>
        <w:ind w:left="630" w:leftChars="300" w:firstLine="630" w:firstLineChars="300"/>
        <w:rPr>
          <w:rFonts w:ascii="宋体" w:hAnsi="宋体"/>
          <w:szCs w:val="21"/>
        </w:rPr>
      </w:pPr>
      <w:r>
        <w:rPr>
          <w:rFonts w:hint="eastAsia" w:ascii="宋体" w:hAnsi="宋体"/>
          <w:szCs w:val="21"/>
        </w:rPr>
        <w:t>第四章  投标文件的递交</w:t>
      </w:r>
    </w:p>
    <w:p>
      <w:pPr>
        <w:ind w:left="630" w:leftChars="300" w:firstLine="630" w:firstLineChars="300"/>
        <w:rPr>
          <w:rFonts w:ascii="宋体" w:hAnsi="宋体"/>
          <w:szCs w:val="21"/>
        </w:rPr>
      </w:pPr>
      <w:r>
        <w:rPr>
          <w:rFonts w:hint="eastAsia" w:ascii="宋体" w:hAnsi="宋体"/>
          <w:szCs w:val="21"/>
        </w:rPr>
        <w:t>第五章  开标</w:t>
      </w:r>
    </w:p>
    <w:p>
      <w:pPr>
        <w:ind w:left="630" w:leftChars="300" w:firstLine="630" w:firstLineChars="300"/>
        <w:rPr>
          <w:rFonts w:ascii="宋体" w:hAnsi="宋体"/>
          <w:szCs w:val="21"/>
        </w:rPr>
      </w:pPr>
      <w:r>
        <w:rPr>
          <w:rFonts w:hint="eastAsia" w:ascii="宋体" w:hAnsi="宋体"/>
          <w:szCs w:val="21"/>
        </w:rPr>
        <w:t>第六章  评审要求</w:t>
      </w:r>
    </w:p>
    <w:p>
      <w:pPr>
        <w:ind w:left="630" w:leftChars="300" w:firstLine="630" w:firstLineChars="300"/>
        <w:rPr>
          <w:rFonts w:ascii="宋体" w:hAnsi="宋体"/>
          <w:szCs w:val="21"/>
        </w:rPr>
      </w:pPr>
      <w:r>
        <w:rPr>
          <w:rFonts w:hint="eastAsia" w:ascii="宋体" w:hAnsi="宋体"/>
          <w:szCs w:val="21"/>
        </w:rPr>
        <w:t>第七章  评审程序及评审方法</w:t>
      </w:r>
    </w:p>
    <w:p>
      <w:pPr>
        <w:ind w:left="630" w:leftChars="300" w:firstLine="630" w:firstLineChars="300"/>
        <w:rPr>
          <w:rFonts w:ascii="宋体" w:hAnsi="宋体"/>
          <w:szCs w:val="21"/>
        </w:rPr>
      </w:pPr>
      <w:r>
        <w:rPr>
          <w:rFonts w:hint="eastAsia" w:ascii="宋体" w:hAnsi="宋体"/>
          <w:szCs w:val="21"/>
        </w:rPr>
        <w:t>第八章  定标及公示</w:t>
      </w:r>
    </w:p>
    <w:p>
      <w:pPr>
        <w:ind w:left="630" w:leftChars="300" w:firstLine="630" w:firstLineChars="300"/>
        <w:rPr>
          <w:rFonts w:ascii="宋体" w:hAnsi="宋体"/>
          <w:szCs w:val="21"/>
        </w:rPr>
      </w:pPr>
      <w:r>
        <w:rPr>
          <w:rFonts w:hint="eastAsia" w:ascii="宋体" w:hAnsi="宋体"/>
          <w:szCs w:val="21"/>
        </w:rPr>
        <w:t>第九章  公开征集失败的后续处理</w:t>
      </w:r>
    </w:p>
    <w:p>
      <w:pPr>
        <w:ind w:left="630" w:leftChars="300" w:firstLine="630" w:firstLineChars="300"/>
        <w:rPr>
          <w:rFonts w:ascii="宋体" w:hAnsi="宋体"/>
          <w:szCs w:val="21"/>
        </w:rPr>
      </w:pPr>
      <w:r>
        <w:rPr>
          <w:rFonts w:hint="eastAsia" w:ascii="宋体" w:hAnsi="宋体"/>
          <w:szCs w:val="21"/>
        </w:rPr>
        <w:t>第十章  合同的授予与备案</w:t>
      </w:r>
    </w:p>
    <w:p>
      <w:pPr>
        <w:ind w:left="630" w:leftChars="300" w:firstLine="630" w:firstLineChars="300"/>
        <w:rPr>
          <w:rFonts w:ascii="宋体" w:hAnsi="宋体"/>
          <w:szCs w:val="21"/>
        </w:rPr>
      </w:pPr>
      <w:r>
        <w:rPr>
          <w:rFonts w:hint="eastAsia" w:ascii="宋体" w:hAnsi="宋体"/>
          <w:szCs w:val="21"/>
        </w:rPr>
        <w:t>第十一章  质疑处理</w:t>
      </w:r>
    </w:p>
    <w:p>
      <w:pPr>
        <w:spacing w:line="360" w:lineRule="auto"/>
        <w:ind w:firstLine="420" w:firstLineChars="200"/>
        <w:jc w:val="left"/>
        <w:rPr>
          <w:rFonts w:ascii="宋体" w:hAnsi="宋体"/>
          <w:szCs w:val="21"/>
        </w:rPr>
      </w:pPr>
    </w:p>
    <w:p>
      <w:pPr>
        <w:pStyle w:val="4"/>
        <w:spacing w:before="0" w:after="0" w:line="240" w:lineRule="auto"/>
        <w:rPr>
          <w:sz w:val="24"/>
        </w:rPr>
      </w:pPr>
      <w:r>
        <w:br w:type="page"/>
      </w:r>
      <w:bookmarkStart w:id="3" w:name="bt其他资料由投标人自定"/>
      <w:bookmarkEnd w:id="3"/>
      <w:bookmarkStart w:id="4" w:name="bt投标报价汇总表"/>
      <w:bookmarkEnd w:id="4"/>
      <w:bookmarkStart w:id="5" w:name="bt投标人情况介绍"/>
      <w:bookmarkEnd w:id="5"/>
      <w:bookmarkStart w:id="6" w:name="bt说明"/>
      <w:bookmarkEnd w:id="6"/>
      <w:bookmarkStart w:id="7" w:name="bt合同条款及格式"/>
      <w:bookmarkEnd w:id="7"/>
      <w:bookmarkStart w:id="8" w:name="bt本工程承诺书"/>
      <w:bookmarkEnd w:id="8"/>
      <w:bookmarkStart w:id="9" w:name="bt项目管理班子配备情况"/>
      <w:bookmarkEnd w:id="9"/>
      <w:bookmarkStart w:id="10" w:name="合同格式"/>
      <w:bookmarkEnd w:id="10"/>
      <w:bookmarkStart w:id="11" w:name="bt开标一览表"/>
      <w:bookmarkEnd w:id="11"/>
      <w:bookmarkStart w:id="12" w:name="bt合同条款"/>
      <w:bookmarkEnd w:id="12"/>
      <w:bookmarkStart w:id="13" w:name="bt技术标投标文件格式"/>
      <w:bookmarkEnd w:id="13"/>
      <w:bookmarkStart w:id="14" w:name="bt其他资料2"/>
      <w:bookmarkEnd w:id="14"/>
      <w:bookmarkStart w:id="15" w:name="bt商务标投标文件格式"/>
      <w:bookmarkEnd w:id="15"/>
      <w:bookmarkStart w:id="16" w:name="bt合同格式"/>
      <w:bookmarkEnd w:id="16"/>
      <w:bookmarkStart w:id="17" w:name="bt投标文件签署授权委托书"/>
      <w:bookmarkEnd w:id="17"/>
      <w:bookmarkStart w:id="18" w:name="bt投标函"/>
      <w:bookmarkEnd w:id="18"/>
      <w:bookmarkStart w:id="19" w:name="bt投标人须知"/>
      <w:bookmarkEnd w:id="19"/>
      <w:r>
        <w:rPr>
          <w:rFonts w:hint="eastAsia"/>
        </w:rPr>
        <w:t>第一册专用条款</w:t>
      </w:r>
    </w:p>
    <w:p>
      <w:pPr>
        <w:pStyle w:val="7"/>
        <w:spacing w:before="0" w:after="0"/>
        <w:rPr>
          <w:sz w:val="28"/>
          <w:szCs w:val="28"/>
        </w:rPr>
      </w:pPr>
      <w:r>
        <w:rPr>
          <w:rFonts w:hint="eastAsia"/>
          <w:sz w:val="28"/>
          <w:szCs w:val="28"/>
        </w:rPr>
        <w:t>第一章  采购公告</w:t>
      </w:r>
    </w:p>
    <w:p>
      <w:pPr>
        <w:spacing w:line="360" w:lineRule="auto"/>
        <w:rPr>
          <w:rFonts w:ascii="宋体" w:hAnsi="宋体" w:cs="宋体"/>
          <w:b/>
          <w:bCs/>
          <w:kern w:val="0"/>
          <w:szCs w:val="21"/>
        </w:rPr>
      </w:pPr>
      <w:r>
        <w:rPr>
          <w:rFonts w:hint="eastAsia" w:ascii="宋体" w:hAnsi="宋体" w:cs="宋体"/>
          <w:b/>
          <w:bCs/>
          <w:kern w:val="0"/>
          <w:szCs w:val="21"/>
        </w:rPr>
        <w:t>投标人的资格要求：</w:t>
      </w:r>
    </w:p>
    <w:p>
      <w:pPr>
        <w:ind w:firstLine="420" w:firstLineChars="200"/>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bookmarkStart w:id="20" w:name="_Hlk72162904"/>
      <w:r>
        <w:rPr>
          <w:rFonts w:hint="eastAsia" w:ascii="宋体" w:hAnsi="宋体" w:cs="宋体"/>
          <w:kern w:val="0"/>
          <w:szCs w:val="21"/>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20"/>
    </w:p>
    <w:p>
      <w:pPr>
        <w:ind w:firstLine="420" w:firstLineChars="200"/>
        <w:rPr>
          <w:rFonts w:ascii="宋体" w:hAnsi="宋体" w:cs="宋体"/>
          <w:kern w:val="0"/>
          <w:szCs w:val="21"/>
        </w:rPr>
      </w:pPr>
      <w:r>
        <w:rPr>
          <w:rFonts w:hint="eastAsia" w:ascii="宋体" w:hAnsi="宋体" w:cs="宋体"/>
          <w:color w:val="FF0000"/>
          <w:kern w:val="0"/>
          <w:szCs w:val="21"/>
        </w:rPr>
        <w:t>2.本项目不接受联合体投标，不接受投标人选用进口产品参与投标（由供应商在《采购投标及履约承诺函》中作出声明）；</w:t>
      </w:r>
    </w:p>
    <w:p>
      <w:pPr>
        <w:ind w:firstLine="420" w:firstLineChars="2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参与本项目采购活动时不存在被有关部门禁止参与政府采购活动且在有效期内的情况（由供应商在《采购投标及履约承诺函》中作出声明）；</w:t>
      </w:r>
    </w:p>
    <w:p>
      <w:pPr>
        <w:ind w:firstLine="420" w:firstLineChars="200"/>
        <w:rPr>
          <w:rFonts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具备《中华人民共和国政府采购法》第二十二条第一款的条件（由供应商在《采购投标及履约承诺函》中作出声明）；</w:t>
      </w:r>
    </w:p>
    <w:p>
      <w:pPr>
        <w:ind w:firstLine="420" w:firstLineChars="200"/>
        <w:rPr>
          <w:rFonts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未被列入失信被执行人、重大税收违法案件当事人名单、政府采购严重违法失信行为记录名单（由供应商在《采购投标及履约承诺函》中作出声明）；</w:t>
      </w:r>
    </w:p>
    <w:p>
      <w:pPr>
        <w:ind w:firstLine="420" w:firstLineChars="200"/>
        <w:rPr>
          <w:rFonts w:ascii="宋体" w:hAnsi="宋体" w:cs="宋体"/>
          <w:color w:val="FF0000"/>
          <w:kern w:val="0"/>
          <w:szCs w:val="21"/>
        </w:rPr>
      </w:pPr>
      <w:r>
        <w:rPr>
          <w:rFonts w:hint="eastAsia" w:ascii="宋体" w:hAnsi="宋体" w:cs="宋体"/>
          <w:color w:val="FF0000"/>
          <w:kern w:val="0"/>
          <w:szCs w:val="21"/>
        </w:rPr>
        <w:t>6.不存在《深圳市财政局政府采购供应商信用信息管理办法》（深财规〔2023〕3号）列明的严重违法失信行为（由供应商在《采购投标及履约承诺函》中作出声明）；</w:t>
      </w:r>
    </w:p>
    <w:p>
      <w:pPr>
        <w:ind w:firstLine="420" w:firstLineChars="200"/>
        <w:rPr>
          <w:rFonts w:ascii="宋体" w:hAnsi="宋体" w:cs="宋体"/>
          <w:kern w:val="0"/>
          <w:szCs w:val="21"/>
        </w:rPr>
      </w:pPr>
      <w:r>
        <w:rPr>
          <w:rFonts w:hint="eastAsia" w:ascii="宋体" w:hAnsi="宋体" w:cs="宋体"/>
          <w:kern w:val="0"/>
          <w:szCs w:val="21"/>
        </w:rPr>
        <w:t>7.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w:t>
      </w:r>
    </w:p>
    <w:p>
      <w:pPr>
        <w:ind w:firstLine="420" w:firstLineChars="200"/>
        <w:rPr>
          <w:rFonts w:ascii="宋体" w:hAnsi="宋体" w:cs="宋体"/>
          <w:kern w:val="0"/>
          <w:szCs w:val="21"/>
        </w:rPr>
      </w:pPr>
      <w:r>
        <w:rPr>
          <w:rFonts w:hint="eastAsia" w:ascii="宋体" w:hAnsi="宋体" w:cs="宋体"/>
          <w:kern w:val="0"/>
          <w:szCs w:val="21"/>
        </w:rPr>
        <w:t>8.本项目是（否）专门面向中小企业采购：</w:t>
      </w:r>
      <w:r>
        <w:rPr>
          <w:rFonts w:hint="eastAsia" w:ascii="宋体" w:hAnsi="宋体" w:cs="宋体"/>
          <w:kern w:val="0"/>
          <w:szCs w:val="21"/>
        </w:rPr>
        <w:sym w:font="Wingdings" w:char="00FE"/>
      </w:r>
      <w:r>
        <w:rPr>
          <w:rFonts w:hint="eastAsia" w:ascii="宋体" w:hAnsi="宋体" w:cs="宋体"/>
          <w:kern w:val="0"/>
          <w:szCs w:val="21"/>
        </w:rPr>
        <w:t>否；</w:t>
      </w:r>
    </w:p>
    <w:p>
      <w:pPr>
        <w:ind w:firstLine="420" w:firstLineChars="200"/>
        <w:rPr>
          <w:rFonts w:ascii="宋体" w:hAnsi="宋体" w:cs="宋体"/>
          <w:color w:val="FF0000"/>
          <w:kern w:val="0"/>
          <w:szCs w:val="21"/>
        </w:rPr>
      </w:pPr>
      <w:r>
        <w:rPr>
          <w:rFonts w:hint="eastAsia" w:ascii="宋体" w:hAnsi="宋体" w:cs="宋体"/>
          <w:color w:val="FF0000"/>
          <w:kern w:val="0"/>
          <w:szCs w:val="21"/>
        </w:rPr>
        <w:t>9.不存在不同投标供应商法定代表人、投标授权代表人、项目负责人（如有）、主要技术人员（如有）、投标文件编制人员为同一人、属同一单位或者在同一单位缴纳社会保险的情形；不同投标供应商不存在直接控股、管理关系的情形（由供应商提供《供应商基本情况表》，同时提供供应商社保缴纳证明材料及股权（或管理）关系证明材料（格式详见第四章投标文件组成要求及格式/三、投标人情况及资格证明文件/（三）供应商基本情况）。如供应商存在未提供《供应商基本情况表》、社保缴纳证明材料及股权（或管理）关系证明材料或所提供证明材料不符合采购文件要求的情形，按资格审查不通过处理）。</w:t>
      </w:r>
    </w:p>
    <w:p>
      <w:pPr>
        <w:wordWrap w:val="0"/>
        <w:ind w:firstLine="420" w:firstLineChars="200"/>
        <w:rPr>
          <w:rFonts w:ascii="宋体" w:hAnsi="宋体" w:cs="宋体"/>
          <w:kern w:val="0"/>
          <w:szCs w:val="21"/>
        </w:rPr>
      </w:pPr>
      <w:r>
        <w:rPr>
          <w:rFonts w:hint="eastAsia" w:ascii="宋体" w:hAnsi="宋体" w:cs="宋体"/>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pPr>
        <w:ind w:firstLine="420" w:firstLineChars="200"/>
        <w:rPr>
          <w:rFonts w:ascii="宋体" w:hAnsi="宋体" w:cs="宋体"/>
          <w:kern w:val="0"/>
          <w:szCs w:val="21"/>
        </w:rPr>
      </w:pPr>
      <w:r>
        <w:rPr>
          <w:rFonts w:hint="eastAsia" w:ascii="宋体" w:hAnsi="宋体"/>
        </w:rPr>
        <w:t>（2）供应商投标（上传投标文件）必须先行办理注册手续，具体操作指引请按照深圳公共资源交易网/交易服务指南/资料下载/深圳政府采购自行采购系统用户操作指引（供应商）相关内容指引办理。</w:t>
      </w:r>
    </w:p>
    <w:p>
      <w:pPr>
        <w:wordWrap w:val="0"/>
        <w:jc w:val="left"/>
        <w:rPr>
          <w:sz w:val="22"/>
          <w:szCs w:val="18"/>
        </w:rPr>
      </w:pPr>
      <w:r>
        <w:rPr>
          <w:rFonts w:hint="eastAsia"/>
          <w:sz w:val="22"/>
          <w:szCs w:val="18"/>
        </w:rPr>
        <w:t>完整公告内容详见：深圳交易集团（深圳公共资源交易中心）官网https://www.szexgrp.com/jyfw/zfcg-view.html?id=zfcg</w:t>
      </w:r>
    </w:p>
    <w:p>
      <w:r>
        <w:rPr>
          <w:rFonts w:hint="eastAsia"/>
        </w:rPr>
        <w:br w:type="page"/>
      </w:r>
    </w:p>
    <w:p>
      <w:pPr>
        <w:pStyle w:val="7"/>
        <w:rPr>
          <w:sz w:val="28"/>
          <w:szCs w:val="28"/>
        </w:rPr>
      </w:pPr>
      <w:r>
        <w:rPr>
          <w:rFonts w:hint="eastAsia"/>
          <w:sz w:val="28"/>
          <w:szCs w:val="28"/>
        </w:rPr>
        <w:t>第二章 对通用条款的补充内容及其他关键信息</w:t>
      </w:r>
    </w:p>
    <w:p>
      <w:pPr>
        <w:pStyle w:val="7"/>
        <w:spacing w:before="156" w:beforeLines="50" w:after="156" w:afterLines="50"/>
        <w:rPr>
          <w:sz w:val="28"/>
          <w:szCs w:val="28"/>
        </w:rPr>
      </w:pPr>
      <w:bookmarkStart w:id="21" w:name="_Toc73521635"/>
      <w:bookmarkStart w:id="22" w:name="_Toc60631620"/>
      <w:bookmarkStart w:id="23" w:name="_Toc101074876"/>
      <w:bookmarkStart w:id="24" w:name="_Toc73521547"/>
      <w:bookmarkStart w:id="25" w:name="_Toc100052364"/>
      <w:bookmarkStart w:id="26" w:name="_Toc60560625"/>
      <w:bookmarkStart w:id="27" w:name="_Toc73518117"/>
      <w:bookmarkStart w:id="28" w:name="_Toc73517639"/>
      <w:r>
        <w:rPr>
          <w:rFonts w:hint="eastAsia"/>
          <w:szCs w:val="24"/>
        </w:rPr>
        <w:t>一、对通用条款的补充内容</w:t>
      </w:r>
    </w:p>
    <w:bookmarkEnd w:id="21"/>
    <w:bookmarkEnd w:id="22"/>
    <w:bookmarkEnd w:id="23"/>
    <w:bookmarkEnd w:id="24"/>
    <w:bookmarkEnd w:id="25"/>
    <w:bookmarkEnd w:id="26"/>
    <w:bookmarkEnd w:id="27"/>
    <w:bookmarkEnd w:id="28"/>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0"/>
        <w:gridCol w:w="2526"/>
        <w:gridCol w:w="487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b/>
                <w:bCs/>
              </w:rPr>
            </w:pPr>
            <w:r>
              <w:rPr>
                <w:rFonts w:hint="eastAsia" w:ascii="宋体" w:hAnsi="宋体"/>
                <w:b/>
                <w:bCs/>
              </w:rPr>
              <w:t>通用条款序号</w:t>
            </w:r>
          </w:p>
        </w:tc>
        <w:tc>
          <w:tcPr>
            <w:tcW w:w="2526" w:type="dxa"/>
            <w:vAlign w:val="center"/>
          </w:tcPr>
          <w:p>
            <w:pPr>
              <w:jc w:val="center"/>
              <w:rPr>
                <w:rFonts w:ascii="宋体" w:hAnsi="宋体"/>
                <w:b/>
                <w:bCs/>
              </w:rPr>
            </w:pPr>
            <w:r>
              <w:rPr>
                <w:rFonts w:hint="eastAsia" w:ascii="宋体" w:hAnsi="宋体"/>
                <w:b/>
                <w:bCs/>
              </w:rPr>
              <w:t>涉及事项</w:t>
            </w:r>
          </w:p>
        </w:tc>
        <w:tc>
          <w:tcPr>
            <w:tcW w:w="4871" w:type="dxa"/>
            <w:vAlign w:val="center"/>
          </w:tcPr>
          <w:p>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367" w:type="dxa"/>
            <w:gridSpan w:val="3"/>
            <w:vAlign w:val="center"/>
          </w:tcPr>
          <w:p>
            <w:pPr>
              <w:jc w:val="center"/>
              <w:rPr>
                <w:rFonts w:ascii="宋体" w:hAnsi="宋体"/>
                <w:b/>
                <w:bCs/>
              </w:rPr>
            </w:pPr>
            <w:r>
              <w:rPr>
                <w:rFonts w:hint="eastAsia"/>
              </w:rPr>
              <w:t>本项目为自行采购项目，相关事宜按照采购文件要求及采购单位内控制度执行。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3</w:t>
            </w:r>
            <w:r>
              <w:rPr>
                <w:rFonts w:ascii="宋体" w:hAnsi="宋体"/>
              </w:rPr>
              <w:t>.1</w:t>
            </w:r>
          </w:p>
        </w:tc>
        <w:tc>
          <w:tcPr>
            <w:tcW w:w="2526" w:type="dxa"/>
            <w:vAlign w:val="center"/>
          </w:tcPr>
          <w:p>
            <w:pPr>
              <w:jc w:val="center"/>
            </w:pPr>
            <w:r>
              <w:rPr>
                <w:rFonts w:hint="eastAsia"/>
              </w:rPr>
              <w:t>采购人</w:t>
            </w:r>
          </w:p>
        </w:tc>
        <w:tc>
          <w:tcPr>
            <w:tcW w:w="4871" w:type="dxa"/>
            <w:vAlign w:val="center"/>
          </w:tcPr>
          <w:p>
            <w:pPr>
              <w:jc w:val="center"/>
              <w:rPr>
                <w:rFonts w:ascii="宋体" w:hAnsi="宋体"/>
              </w:rPr>
            </w:pPr>
            <w:r>
              <w:rPr>
                <w:rFonts w:hint="eastAsia" w:ascii="宋体" w:hAnsi="宋体"/>
              </w:rPr>
              <w:t>深圳市公安局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3</w:t>
            </w:r>
            <w:r>
              <w:rPr>
                <w:rFonts w:ascii="宋体" w:hAnsi="宋体"/>
              </w:rPr>
              <w:t>.2</w:t>
            </w:r>
          </w:p>
        </w:tc>
        <w:tc>
          <w:tcPr>
            <w:tcW w:w="2526" w:type="dxa"/>
            <w:vAlign w:val="center"/>
          </w:tcPr>
          <w:p>
            <w:pPr>
              <w:jc w:val="center"/>
              <w:rPr>
                <w:rFonts w:ascii="宋体" w:hAnsi="宋体"/>
              </w:rPr>
            </w:pPr>
            <w:r>
              <w:rPr>
                <w:rFonts w:hint="eastAsia" w:ascii="宋体" w:hAnsi="宋体"/>
              </w:rPr>
              <w:t>政府集中采购机构</w:t>
            </w:r>
          </w:p>
        </w:tc>
        <w:tc>
          <w:tcPr>
            <w:tcW w:w="4871" w:type="dxa"/>
            <w:vAlign w:val="center"/>
          </w:tcPr>
          <w:p>
            <w:pPr>
              <w:jc w:val="center"/>
              <w:rPr>
                <w:rFonts w:ascii="宋体" w:hAnsi="宋体"/>
              </w:rPr>
            </w:pPr>
            <w:r>
              <w:rPr>
                <w:rFonts w:hint="eastAsia" w:ascii="宋体" w:hAnsi="宋体"/>
              </w:rPr>
              <w:t>深圳公共资源交易中心</w:t>
            </w:r>
          </w:p>
          <w:p>
            <w:pPr>
              <w:jc w:val="center"/>
              <w:rPr>
                <w:rFonts w:ascii="宋体" w:hAnsi="宋体"/>
              </w:rPr>
            </w:pPr>
            <w:r>
              <w:rPr>
                <w:rFonts w:hint="eastAsia" w:ascii="宋体" w:hAnsi="宋体"/>
              </w:rPr>
              <w:t>（深圳交易集团有限公司政府采购业务分公司）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9</w:t>
            </w:r>
          </w:p>
        </w:tc>
        <w:tc>
          <w:tcPr>
            <w:tcW w:w="2526" w:type="dxa"/>
            <w:vAlign w:val="center"/>
          </w:tcPr>
          <w:p>
            <w:pPr>
              <w:jc w:val="center"/>
              <w:rPr>
                <w:rFonts w:ascii="宋体" w:hAnsi="宋体"/>
              </w:rPr>
            </w:pPr>
            <w:r>
              <w:rPr>
                <w:rFonts w:hint="eastAsia" w:ascii="宋体" w:hAnsi="宋体"/>
              </w:rPr>
              <w:t>踏勘现场</w:t>
            </w:r>
          </w:p>
        </w:tc>
        <w:tc>
          <w:tcPr>
            <w:tcW w:w="4871" w:type="dxa"/>
            <w:vAlign w:val="center"/>
          </w:tcPr>
          <w:p>
            <w:pPr>
              <w:jc w:val="center"/>
              <w:rPr>
                <w:rFonts w:ascii="宋体" w:hAnsi="宋体"/>
              </w:rPr>
            </w:pPr>
            <w:r>
              <w:rPr>
                <w:rFonts w:hint="eastAsia" w:ascii="宋体" w:hAnsi="宋体"/>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1</w:t>
            </w:r>
            <w:r>
              <w:rPr>
                <w:rFonts w:ascii="宋体" w:hAnsi="宋体"/>
              </w:rPr>
              <w:t>0</w:t>
            </w:r>
          </w:p>
        </w:tc>
        <w:tc>
          <w:tcPr>
            <w:tcW w:w="2526" w:type="dxa"/>
            <w:vAlign w:val="center"/>
          </w:tcPr>
          <w:p>
            <w:pPr>
              <w:jc w:val="center"/>
              <w:rPr>
                <w:rFonts w:ascii="宋体" w:hAnsi="宋体"/>
              </w:rPr>
            </w:pPr>
            <w:r>
              <w:rPr>
                <w:rFonts w:hint="eastAsia" w:ascii="宋体" w:hAnsi="宋体"/>
              </w:rPr>
              <w:t>标前会议</w:t>
            </w:r>
          </w:p>
        </w:tc>
        <w:tc>
          <w:tcPr>
            <w:tcW w:w="4871" w:type="dxa"/>
            <w:vAlign w:val="center"/>
          </w:tcPr>
          <w:p>
            <w:pPr>
              <w:jc w:val="center"/>
              <w:rPr>
                <w:rFonts w:ascii="宋体" w:hAnsi="宋体"/>
              </w:rPr>
            </w:pPr>
            <w:r>
              <w:rPr>
                <w:rFonts w:hint="eastAsia" w:ascii="宋体" w:hAnsi="宋体"/>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526" w:type="dxa"/>
            <w:vAlign w:val="center"/>
          </w:tcPr>
          <w:p>
            <w:pPr>
              <w:jc w:val="center"/>
              <w:rPr>
                <w:rFonts w:ascii="宋体" w:hAnsi="宋体"/>
              </w:rPr>
            </w:pPr>
            <w:r>
              <w:rPr>
                <w:rFonts w:hint="eastAsia" w:ascii="宋体" w:hAnsi="宋体"/>
              </w:rPr>
              <w:t>采购文件的澄清和修改</w:t>
            </w:r>
          </w:p>
        </w:tc>
        <w:tc>
          <w:tcPr>
            <w:tcW w:w="4871" w:type="dxa"/>
            <w:vAlign w:val="center"/>
          </w:tcPr>
          <w:p>
            <w:pPr>
              <w:jc w:val="left"/>
              <w:rPr>
                <w:rFonts w:ascii="宋体" w:hAnsi="宋体"/>
              </w:rPr>
            </w:pPr>
            <w:r>
              <w:rPr>
                <w:rFonts w:hint="eastAsia" w:ascii="宋体" w:hAnsi="宋体"/>
              </w:rPr>
              <w:t>投标截止日三日前，投标人有义务在采购期间在政府集中采购机构网站浏览与本项目有关的澄清和修改信息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2</w:t>
            </w:r>
            <w:r>
              <w:rPr>
                <w:rFonts w:ascii="宋体" w:hAnsi="宋体"/>
              </w:rPr>
              <w:t>0</w:t>
            </w:r>
          </w:p>
        </w:tc>
        <w:tc>
          <w:tcPr>
            <w:tcW w:w="2526" w:type="dxa"/>
            <w:vAlign w:val="center"/>
          </w:tcPr>
          <w:p>
            <w:pPr>
              <w:jc w:val="center"/>
              <w:rPr>
                <w:rFonts w:ascii="宋体" w:hAnsi="宋体"/>
              </w:rPr>
            </w:pPr>
            <w:r>
              <w:rPr>
                <w:rFonts w:hint="eastAsia" w:ascii="宋体" w:hAnsi="宋体"/>
              </w:rPr>
              <w:t>投标有效期</w:t>
            </w:r>
          </w:p>
        </w:tc>
        <w:tc>
          <w:tcPr>
            <w:tcW w:w="4871" w:type="dxa"/>
            <w:vAlign w:val="center"/>
          </w:tcPr>
          <w:p>
            <w:pPr>
              <w:jc w:val="center"/>
              <w:rPr>
                <w:rFonts w:ascii="宋体" w:hAnsi="宋体"/>
              </w:rPr>
            </w:pPr>
            <w:r>
              <w:rPr>
                <w:rFonts w:hint="eastAsia" w:ascii="宋体" w:hAnsi="宋体"/>
              </w:rPr>
              <w:t>120个日历日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2</w:t>
            </w:r>
            <w:r>
              <w:rPr>
                <w:rFonts w:ascii="宋体" w:hAnsi="宋体"/>
              </w:rPr>
              <w:t>2</w:t>
            </w:r>
          </w:p>
        </w:tc>
        <w:tc>
          <w:tcPr>
            <w:tcW w:w="2526" w:type="dxa"/>
            <w:vAlign w:val="center"/>
          </w:tcPr>
          <w:p>
            <w:pPr>
              <w:jc w:val="center"/>
              <w:rPr>
                <w:rFonts w:ascii="宋体" w:hAnsi="宋体"/>
              </w:rPr>
            </w:pPr>
            <w:r>
              <w:rPr>
                <w:rFonts w:hint="eastAsia" w:ascii="宋体" w:hAnsi="宋体"/>
              </w:rPr>
              <w:t>投标人的替代方案</w:t>
            </w:r>
          </w:p>
        </w:tc>
        <w:tc>
          <w:tcPr>
            <w:tcW w:w="4871" w:type="dxa"/>
            <w:vAlign w:val="center"/>
          </w:tcPr>
          <w:p>
            <w:pPr>
              <w:jc w:val="center"/>
              <w:rPr>
                <w:rFonts w:ascii="宋体" w:hAnsi="宋体"/>
              </w:rPr>
            </w:pPr>
            <w:r>
              <w:rPr>
                <w:rFonts w:hint="eastAsia" w:ascii="宋体" w:hAnsi="宋体"/>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2</w:t>
            </w:r>
            <w:r>
              <w:rPr>
                <w:rFonts w:ascii="宋体" w:hAnsi="宋体"/>
              </w:rPr>
              <w:t>5</w:t>
            </w:r>
          </w:p>
        </w:tc>
        <w:tc>
          <w:tcPr>
            <w:tcW w:w="2526" w:type="dxa"/>
            <w:vAlign w:val="center"/>
          </w:tcPr>
          <w:p>
            <w:pPr>
              <w:jc w:val="center"/>
              <w:rPr>
                <w:rFonts w:ascii="宋体" w:hAnsi="宋体"/>
              </w:rPr>
            </w:pPr>
            <w:r>
              <w:rPr>
                <w:rFonts w:hint="eastAsia" w:ascii="宋体" w:hAnsi="宋体"/>
              </w:rPr>
              <w:t>投标文件的大小</w:t>
            </w:r>
          </w:p>
        </w:tc>
        <w:tc>
          <w:tcPr>
            <w:tcW w:w="4871" w:type="dxa"/>
            <w:vAlign w:val="center"/>
          </w:tcPr>
          <w:p>
            <w:pPr>
              <w:jc w:val="center"/>
              <w:rPr>
                <w:rFonts w:ascii="宋体" w:hAnsi="宋体"/>
              </w:rPr>
            </w:pPr>
            <w:r>
              <w:rPr>
                <w:rFonts w:hint="eastAsia" w:ascii="宋体" w:hAnsi="宋体"/>
              </w:rPr>
              <w:t>投标文件大小不得超过</w:t>
            </w:r>
            <w:r>
              <w:rPr>
                <w:rFonts w:ascii="宋体" w:hAnsi="宋体"/>
              </w:rPr>
              <w:t>1</w:t>
            </w:r>
            <w:r>
              <w:rPr>
                <w:rFonts w:hint="eastAsia" w:ascii="宋体" w:hAnsi="宋体"/>
              </w:rPr>
              <w:t>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2</w:t>
            </w:r>
            <w:r>
              <w:rPr>
                <w:rFonts w:ascii="宋体" w:hAnsi="宋体"/>
              </w:rPr>
              <w:t>6</w:t>
            </w:r>
          </w:p>
        </w:tc>
        <w:tc>
          <w:tcPr>
            <w:tcW w:w="2526" w:type="dxa"/>
            <w:vAlign w:val="center"/>
          </w:tcPr>
          <w:p>
            <w:pPr>
              <w:jc w:val="center"/>
              <w:rPr>
                <w:rFonts w:ascii="宋体" w:hAnsi="宋体"/>
              </w:rPr>
            </w:pPr>
            <w:bookmarkStart w:id="29" w:name="_Hlk71664860"/>
            <w:r>
              <w:rPr>
                <w:rFonts w:hint="eastAsia" w:ascii="宋体" w:hAnsi="宋体"/>
              </w:rPr>
              <w:t>样品、演示、方案讲解</w:t>
            </w:r>
            <w:bookmarkEnd w:id="29"/>
          </w:p>
        </w:tc>
        <w:tc>
          <w:tcPr>
            <w:tcW w:w="4871" w:type="dxa"/>
            <w:vAlign w:val="center"/>
          </w:tcPr>
          <w:p>
            <w:pPr>
              <w:rPr>
                <w:rFonts w:ascii="宋体" w:hAnsi="宋体"/>
              </w:rPr>
            </w:pPr>
            <w:r>
              <w:rPr>
                <w:rFonts w:hint="eastAsia" w:ascii="宋体" w:hAnsi="宋体"/>
              </w:rPr>
              <w:t>如有样品、演示、方案讲解，具体安排见第三章 用户需求书相关要求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3</w:t>
            </w:r>
            <w:r>
              <w:rPr>
                <w:rFonts w:ascii="宋体" w:hAnsi="宋体"/>
              </w:rPr>
              <w:t>7</w:t>
            </w:r>
          </w:p>
        </w:tc>
        <w:tc>
          <w:tcPr>
            <w:tcW w:w="2526" w:type="dxa"/>
            <w:vAlign w:val="center"/>
          </w:tcPr>
          <w:p>
            <w:pPr>
              <w:jc w:val="center"/>
              <w:rPr>
                <w:rFonts w:ascii="宋体" w:hAnsi="宋体"/>
              </w:rPr>
            </w:pPr>
            <w:r>
              <w:rPr>
                <w:rFonts w:hint="eastAsia" w:ascii="宋体" w:hAnsi="宋体"/>
              </w:rPr>
              <w:t>评审方法</w:t>
            </w:r>
          </w:p>
        </w:tc>
        <w:tc>
          <w:tcPr>
            <w:tcW w:w="4871" w:type="dxa"/>
            <w:vAlign w:val="center"/>
          </w:tcPr>
          <w:p>
            <w:pPr>
              <w:jc w:val="left"/>
              <w:rPr>
                <w:rFonts w:ascii="宋体" w:hAnsi="宋体"/>
              </w:rPr>
            </w:pPr>
            <w:r>
              <w:rPr>
                <w:rFonts w:hint="eastAsia" w:ascii="宋体" w:hAnsi="宋体"/>
                <w:b/>
              </w:rPr>
              <w:t xml:space="preserve">☑ </w:t>
            </w:r>
            <w:r>
              <w:rPr>
                <w:rFonts w:hint="eastAsia" w:ascii="宋体" w:hAnsi="宋体"/>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 w:hRule="atLeast"/>
          <w:jc w:val="center"/>
        </w:trPr>
        <w:tc>
          <w:tcPr>
            <w:tcW w:w="970" w:type="dxa"/>
            <w:vAlign w:val="center"/>
          </w:tcPr>
          <w:p>
            <w:pPr>
              <w:jc w:val="center"/>
              <w:rPr>
                <w:rFonts w:ascii="宋体" w:hAnsi="宋体"/>
              </w:rPr>
            </w:pPr>
            <w:r>
              <w:rPr>
                <w:rFonts w:hint="eastAsia" w:ascii="宋体" w:hAnsi="宋体"/>
              </w:rPr>
              <w:t>3</w:t>
            </w:r>
            <w:r>
              <w:rPr>
                <w:rFonts w:ascii="宋体" w:hAnsi="宋体"/>
              </w:rPr>
              <w:t>8</w:t>
            </w:r>
          </w:p>
        </w:tc>
        <w:tc>
          <w:tcPr>
            <w:tcW w:w="2526" w:type="dxa"/>
            <w:vAlign w:val="center"/>
          </w:tcPr>
          <w:p>
            <w:pPr>
              <w:jc w:val="center"/>
              <w:rPr>
                <w:rFonts w:ascii="宋体" w:hAnsi="宋体"/>
              </w:rPr>
            </w:pPr>
            <w:r>
              <w:rPr>
                <w:rFonts w:hint="eastAsia" w:ascii="宋体" w:hAnsi="宋体"/>
              </w:rPr>
              <w:t>定标方法</w:t>
            </w:r>
          </w:p>
        </w:tc>
        <w:tc>
          <w:tcPr>
            <w:tcW w:w="4871" w:type="dxa"/>
            <w:vAlign w:val="center"/>
          </w:tcPr>
          <w:p>
            <w:pPr>
              <w:jc w:val="left"/>
              <w:rPr>
                <w:rFonts w:ascii="宋体" w:hAnsi="宋体"/>
              </w:rPr>
            </w:pPr>
            <w:r>
              <w:rPr>
                <w:rFonts w:hint="eastAsia" w:ascii="宋体" w:hAnsi="宋体"/>
                <w:b/>
              </w:rPr>
              <w:t xml:space="preserve">☑ </w:t>
            </w:r>
            <w:r>
              <w:rPr>
                <w:rFonts w:hint="eastAsia" w:ascii="宋体" w:hAnsi="宋体"/>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4</w:t>
            </w:r>
            <w:r>
              <w:rPr>
                <w:rFonts w:ascii="宋体" w:hAnsi="宋体"/>
              </w:rPr>
              <w:t>6</w:t>
            </w:r>
          </w:p>
        </w:tc>
        <w:tc>
          <w:tcPr>
            <w:tcW w:w="2526" w:type="dxa"/>
            <w:vAlign w:val="center"/>
          </w:tcPr>
          <w:p>
            <w:pPr>
              <w:jc w:val="center"/>
              <w:rPr>
                <w:rFonts w:ascii="宋体" w:hAnsi="宋体"/>
              </w:rPr>
            </w:pPr>
            <w:r>
              <w:rPr>
                <w:rFonts w:hint="eastAsia" w:ascii="宋体" w:hAnsi="宋体"/>
              </w:rPr>
              <w:t>履约担保</w:t>
            </w:r>
          </w:p>
        </w:tc>
        <w:tc>
          <w:tcPr>
            <w:tcW w:w="4871" w:type="dxa"/>
            <w:vAlign w:val="center"/>
          </w:tcPr>
          <w:p>
            <w:pPr>
              <w:jc w:val="left"/>
              <w:rPr>
                <w:rFonts w:ascii="宋体" w:hAnsi="宋体"/>
              </w:rPr>
            </w:pPr>
            <w:r>
              <w:rPr>
                <w:rFonts w:hint="eastAsia" w:ascii="宋体" w:hAnsi="宋体"/>
                <w:b/>
              </w:rPr>
              <w:t xml:space="preserve">☑ </w:t>
            </w:r>
            <w:r>
              <w:rPr>
                <w:rFonts w:hint="eastAsia" w:ascii="宋体" w:hAnsi="宋体"/>
              </w:rPr>
              <w:t>不需要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52.8</w:t>
            </w:r>
          </w:p>
        </w:tc>
        <w:tc>
          <w:tcPr>
            <w:tcW w:w="2526" w:type="dxa"/>
            <w:vAlign w:val="center"/>
          </w:tcPr>
          <w:p>
            <w:pPr>
              <w:jc w:val="center"/>
              <w:rPr>
                <w:rFonts w:ascii="宋体" w:hAnsi="宋体"/>
              </w:rPr>
            </w:pPr>
            <w:r>
              <w:rPr>
                <w:rFonts w:hint="eastAsia" w:ascii="宋体" w:hAnsi="宋体"/>
              </w:rPr>
              <w:t>争议（投诉）</w:t>
            </w:r>
          </w:p>
        </w:tc>
        <w:tc>
          <w:tcPr>
            <w:tcW w:w="4871" w:type="dxa"/>
            <w:vAlign w:val="center"/>
          </w:tcPr>
          <w:p>
            <w:pPr>
              <w:jc w:val="left"/>
              <w:rPr>
                <w:rFonts w:ascii="宋体" w:hAnsi="宋体"/>
                <w:b/>
              </w:rPr>
            </w:pPr>
            <w:r>
              <w:rPr>
                <w:rFonts w:hint="eastAsia" w:ascii="宋体" w:hAnsi="宋体"/>
              </w:rPr>
              <w:t>对被质疑人的答复不满意或者被质疑人未在规定时间内答复的，提出质疑的供应商可以在答复期满后十五个工作日内向本项目预算主管单位投诉。供应商投诉的事项应当是经过质疑的事项。</w:t>
            </w:r>
          </w:p>
        </w:tc>
      </w:tr>
    </w:tbl>
    <w:p>
      <w:pPr>
        <w:rPr>
          <w:b/>
        </w:rPr>
      </w:pPr>
      <w:r>
        <w:rPr>
          <w:rFonts w:hint="eastAsia"/>
          <w:szCs w:val="21"/>
        </w:rPr>
        <w:t>备注：本表是通用条款相关条款的补充和明确，如与通用条款内容相冲突的，以本表为准。</w:t>
      </w:r>
    </w:p>
    <w:p>
      <w:pPr>
        <w:rPr>
          <w:b/>
        </w:rPr>
      </w:pPr>
    </w:p>
    <w:p>
      <w:pPr>
        <w:pStyle w:val="7"/>
        <w:spacing w:before="156" w:beforeLines="50" w:after="156" w:afterLines="50"/>
        <w:rPr>
          <w:szCs w:val="24"/>
        </w:rPr>
      </w:pPr>
      <w:r>
        <w:rPr>
          <w:rFonts w:hint="eastAsia"/>
          <w:szCs w:val="24"/>
        </w:rPr>
        <w:t>二、其他关键信息</w:t>
      </w:r>
    </w:p>
    <w:p>
      <w:pPr>
        <w:ind w:firstLine="422" w:firstLineChars="200"/>
        <w:rPr>
          <w:b/>
          <w:bCs/>
        </w:rPr>
      </w:pPr>
      <w:r>
        <w:rPr>
          <w:rFonts w:hint="eastAsia"/>
          <w:b/>
          <w:bCs/>
        </w:rPr>
        <w:t>（一）与“对通用条款的补充内容”章节相关的事项</w:t>
      </w:r>
    </w:p>
    <w:p>
      <w:pPr>
        <w:spacing w:line="276" w:lineRule="auto"/>
        <w:ind w:firstLine="422" w:firstLineChars="200"/>
        <w:jc w:val="left"/>
        <w:rPr>
          <w:rFonts w:asciiTheme="minorEastAsia" w:hAnsiTheme="minorEastAsia" w:eastAsiaTheme="minorEastAsia"/>
          <w:b/>
          <w:kern w:val="0"/>
          <w:szCs w:val="20"/>
        </w:rPr>
      </w:pPr>
      <w:bookmarkStart w:id="30" w:name="_Hlk72579465"/>
      <w:r>
        <w:rPr>
          <w:rFonts w:hint="eastAsia" w:asciiTheme="minorEastAsia" w:hAnsiTheme="minorEastAsia" w:eastAsiaTheme="minorEastAsia"/>
          <w:b/>
          <w:kern w:val="0"/>
          <w:szCs w:val="20"/>
        </w:rPr>
        <w:t>1、评标定标信息</w:t>
      </w:r>
    </w:p>
    <w:p>
      <w:pPr>
        <w:jc w:val="center"/>
      </w:pPr>
      <w:r>
        <w:rPr>
          <w:rFonts w:hint="eastAsia"/>
          <w:b/>
        </w:rPr>
        <w:t>非评定分离项目</w:t>
      </w:r>
    </w:p>
    <w:tbl>
      <w:tblPr>
        <w:tblStyle w:val="43"/>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5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评标方法</w:t>
            </w:r>
          </w:p>
        </w:tc>
        <w:tc>
          <w:tcPr>
            <w:tcW w:w="5615" w:type="dxa"/>
          </w:tcPr>
          <w:p>
            <w:pPr>
              <w:jc w:val="center"/>
            </w:pPr>
            <w:r>
              <w:rPr>
                <w:rFonts w:hint="eastAsia"/>
              </w:rPr>
              <w:sym w:font="Wingdings" w:char="00FE"/>
            </w:r>
            <w:r>
              <w:rPr>
                <w:rFonts w:hint="eastAsia"/>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候选中标供应商家数</w:t>
            </w:r>
          </w:p>
        </w:tc>
        <w:tc>
          <w:tcPr>
            <w:tcW w:w="5615" w:type="dxa"/>
          </w:tcPr>
          <w:p>
            <w:pPr>
              <w:jc w:val="cente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中标供应商家数</w:t>
            </w:r>
          </w:p>
        </w:tc>
        <w:tc>
          <w:tcPr>
            <w:tcW w:w="5615" w:type="dxa"/>
          </w:tcPr>
          <w:p>
            <w:pPr>
              <w:jc w:val="center"/>
            </w:pPr>
            <w:r>
              <w:rPr>
                <w:rFonts w:hint="eastAsia"/>
              </w:rPr>
              <w:t>1</w:t>
            </w:r>
          </w:p>
        </w:tc>
      </w:tr>
    </w:tbl>
    <w:p>
      <w:pPr>
        <w:ind w:firstLine="422" w:firstLineChars="200"/>
        <w:rPr>
          <w:rFonts w:ascii="宋体" w:hAnsi="宋体"/>
          <w:b/>
        </w:rPr>
      </w:pPr>
    </w:p>
    <w:bookmarkEnd w:id="30"/>
    <w:p>
      <w:pPr>
        <w:ind w:firstLine="422" w:firstLineChars="200"/>
        <w:rPr>
          <w:b/>
        </w:rPr>
      </w:pPr>
      <w:r>
        <w:rPr>
          <w:rFonts w:hint="eastAsia"/>
          <w:b/>
        </w:rPr>
        <w:t>（二）其他事项</w:t>
      </w:r>
    </w:p>
    <w:p>
      <w:pPr>
        <w:ind w:firstLine="420" w:firstLineChars="200"/>
      </w:pPr>
      <w:r>
        <w:t>1</w:t>
      </w:r>
      <w:r>
        <w:rPr>
          <w:rFonts w:hint="eastAsia"/>
        </w:rPr>
        <w:t>、关于享受优惠政策的主体及价格扣除比例</w:t>
      </w:r>
    </w:p>
    <w:p>
      <w:pPr>
        <w:ind w:firstLine="420" w:firstLineChars="200"/>
      </w:pPr>
      <w:r>
        <w:rPr>
          <w:rFonts w:hint="eastAsia"/>
        </w:rPr>
        <w:t>（1）专门面向中小企业采购的项目，不再执行价格扣除比例。</w:t>
      </w:r>
    </w:p>
    <w:p>
      <w:pPr>
        <w:ind w:firstLine="420" w:firstLineChars="200"/>
      </w:pPr>
      <w:r>
        <w:rPr>
          <w:rFonts w:hint="eastAsia"/>
        </w:rPr>
        <w:t>（2）非专门面向中小企业采购的项目，应执行价格扣除比例：供应商提供的服务全部由优惠主体承接，则对其投标总价给予</w:t>
      </w:r>
      <w:r>
        <w:rPr>
          <w:color w:val="FF0000"/>
          <w:u w:val="single"/>
        </w:rPr>
        <w:t xml:space="preserve"> </w:t>
      </w:r>
      <w:r>
        <w:rPr>
          <w:rFonts w:hint="eastAsia"/>
          <w:color w:val="FF0000"/>
          <w:u w:val="single"/>
        </w:rPr>
        <w:t>10</w:t>
      </w:r>
      <w:r>
        <w:rPr>
          <w:color w:val="FF0000"/>
          <w:u w:val="single"/>
        </w:rPr>
        <w:t>%</w:t>
      </w:r>
      <w:r>
        <w:rPr>
          <w:rFonts w:hint="eastAsia"/>
          <w:color w:val="000000" w:themeColor="text1"/>
          <w14:textFill>
            <w14:solidFill>
              <w14:schemeClr w14:val="tx1"/>
            </w14:solidFill>
          </w14:textFill>
        </w:rPr>
        <w:t>（10%~20%）</w:t>
      </w:r>
      <w:r>
        <w:rPr>
          <w:rFonts w:hint="eastAsia"/>
        </w:rPr>
        <w:t>的扣除，用扣除后的价格参与评审。满足多项优惠政策的企业，不重复享受多项价格扣除政策。</w:t>
      </w:r>
    </w:p>
    <w:p>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w:t>
      </w:r>
      <w:r>
        <w:t>b)</w:t>
      </w:r>
      <w:r>
        <w:rPr>
          <w:rFonts w:hint="eastAsia"/>
        </w:rPr>
        <w:t>优惠主体承接是指提供服务的人员为中小企业依照《中华人民共和国劳动合同法》订立劳动合同的从业人员。</w:t>
      </w:r>
    </w:p>
    <w:p>
      <w:pPr>
        <w:numPr>
          <w:ilvl w:val="0"/>
          <w:numId w:val="7"/>
        </w:numPr>
        <w:ind w:firstLine="420" w:firstLineChars="200"/>
        <w:rPr>
          <w:szCs w:val="21"/>
        </w:rPr>
      </w:pPr>
      <w:r>
        <w:rPr>
          <w:rFonts w:ascii="宋体" w:hAnsi="宋体" w:cs="宋体"/>
          <w:szCs w:val="21"/>
        </w:rPr>
        <w:t>中小企业参加</w:t>
      </w:r>
      <w:r>
        <w:rPr>
          <w:rFonts w:hint="eastAsia" w:ascii="宋体" w:hAnsi="宋体" w:cs="宋体"/>
          <w:szCs w:val="21"/>
        </w:rPr>
        <w:t>政府采购、自行采购</w:t>
      </w:r>
      <w:r>
        <w:rPr>
          <w:rFonts w:ascii="宋体" w:hAnsi="宋体" w:cs="宋体"/>
          <w:szCs w:val="21"/>
        </w:rPr>
        <w:t>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FF0000"/>
          <w:szCs w:val="21"/>
        </w:rPr>
        <w:t>《中小企业声明函》中相关企业所属行业应当与采购标的所属行业相一致。</w:t>
      </w:r>
      <w:r>
        <w:rPr>
          <w:rFonts w:hint="eastAsia"/>
          <w:szCs w:val="21"/>
        </w:rPr>
        <w:t>本项目采购标的（服务需求）对应的中小企业划分标准所属行业为</w:t>
      </w:r>
      <w:r>
        <w:rPr>
          <w:color w:val="FF0000"/>
          <w:szCs w:val="21"/>
          <w:u w:val="single"/>
        </w:rPr>
        <w:t xml:space="preserve">   </w:t>
      </w:r>
      <w:r>
        <w:rPr>
          <w:rFonts w:hint="eastAsia"/>
          <w:color w:val="FF0000"/>
          <w:szCs w:val="21"/>
          <w:u w:val="single"/>
        </w:rPr>
        <w:t>其他未列明行业</w:t>
      </w:r>
      <w:r>
        <w:rPr>
          <w:rFonts w:hint="eastAsia"/>
          <w:szCs w:val="21"/>
        </w:rPr>
        <w:t>。</w:t>
      </w:r>
    </w:p>
    <w:p>
      <w:pPr>
        <w:numPr>
          <w:ilvl w:val="0"/>
          <w:numId w:val="7"/>
        </w:numPr>
        <w:ind w:firstLine="420" w:firstLineChars="200"/>
      </w:pP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采购文件第一册专用条款第四章“投标文件组成要求及格式”中“三、投标人情况介绍及资格证明文件”章节提供的格式）。</w:t>
      </w:r>
    </w:p>
    <w:p>
      <w:pPr>
        <w:ind w:firstLine="420" w:firstLineChars="200"/>
      </w:pPr>
      <w:r>
        <w:rPr>
          <w:rFonts w:hint="eastAsia"/>
        </w:rPr>
        <w:t>（5）享受价格扣除获得采购合同的，小微企业不得将合同分包给大中型企业。</w:t>
      </w:r>
    </w:p>
    <w:p>
      <w:pPr>
        <w:spacing w:line="360" w:lineRule="auto"/>
        <w:ind w:firstLine="422" w:firstLineChars="200"/>
        <w:rPr>
          <w:rFonts w:ascii="宋体" w:hAnsi="宋体" w:cs="宋体"/>
          <w:b/>
          <w:bCs/>
        </w:rPr>
      </w:pPr>
    </w:p>
    <w:p>
      <w:pPr>
        <w:ind w:firstLine="422" w:firstLineChars="200"/>
        <w:rPr>
          <w:rFonts w:ascii="宋体" w:hAnsi="宋体" w:cs="宋体"/>
          <w:b/>
          <w:bCs/>
        </w:rPr>
      </w:pPr>
      <w:r>
        <w:rPr>
          <w:rFonts w:hint="eastAsia" w:ascii="宋体" w:hAnsi="宋体" w:cs="宋体"/>
          <w:b/>
          <w:bCs/>
        </w:rPr>
        <w:t>2、关于采购订单融资政策</w:t>
      </w:r>
    </w:p>
    <w:p>
      <w:pPr>
        <w:wordWrap w:val="0"/>
        <w:ind w:firstLine="420" w:firstLineChars="200"/>
        <w:rPr>
          <w:rFonts w:ascii="宋体" w:hAnsi="宋体"/>
          <w:b/>
        </w:rPr>
      </w:pPr>
      <w:r>
        <w:rPr>
          <w:rFonts w:hint="eastAsia"/>
          <w:color w:val="FF0000"/>
        </w:rPr>
        <w:t>为深入贯彻落实国家深化政府采购制度改革精神，充分发挥政府采购扶持中小企业发展的政策功能，缓解中小微企业融资难、融资贵的问题，根据《深圳市财政局关于加大力度运用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rPr>
          <w:sz w:val="32"/>
          <w:szCs w:val="40"/>
        </w:rPr>
      </w:pPr>
    </w:p>
    <w:p>
      <w:pPr>
        <w:ind w:firstLine="422" w:firstLineChars="200"/>
        <w:rPr>
          <w:b/>
        </w:rPr>
      </w:pPr>
      <w:r>
        <w:rPr>
          <w:rFonts w:hint="eastAsia"/>
          <w:b/>
        </w:rPr>
        <w:t>3、</w:t>
      </w:r>
      <w:bookmarkStart w:id="31" w:name="_Hlk76855768"/>
      <w:bookmarkStart w:id="32" w:name="_Hlk72594729"/>
      <w:r>
        <w:rPr>
          <w:rFonts w:hint="eastAsia"/>
          <w:b/>
        </w:rPr>
        <w:t>本项目为代理服务项目，将向中标（成交）供应商收取代理服务费。</w:t>
      </w:r>
    </w:p>
    <w:bookmarkEnd w:id="31"/>
    <w:bookmarkEnd w:id="32"/>
    <w:p>
      <w:pPr>
        <w:ind w:firstLine="420" w:firstLineChars="200"/>
      </w:pPr>
      <w:r>
        <w:rPr>
          <w:rFonts w:hint="eastAsia"/>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pPr>
        <w:ind w:firstLine="420" w:firstLineChars="200"/>
      </w:pPr>
      <w:r>
        <w:rPr>
          <w:rFonts w:hint="eastAsia"/>
        </w:rPr>
        <w:t>（1）代理服务费以《中标（成交）通知书》确定的中标（成交）金额作为计算基数，按差额定率累进法计算。</w:t>
      </w:r>
    </w:p>
    <w:p>
      <w:pPr>
        <w:ind w:firstLine="420" w:firstLineChars="200"/>
      </w:pPr>
      <w:r>
        <w:rPr>
          <w:rFonts w:hint="eastAsia"/>
        </w:rPr>
        <w:t>（2）中标（成交）金额的各部分费率如下表：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spacing w:line="360" w:lineRule="auto"/>
              <w:jc w:val="center"/>
            </w:pPr>
            <w:r>
              <w:rPr>
                <w:rFonts w:hint="eastAsia"/>
              </w:rPr>
              <w:t>中标（成交）金额</w:t>
            </w:r>
          </w:p>
        </w:tc>
        <w:tc>
          <w:tcPr>
            <w:tcW w:w="1799" w:type="dxa"/>
            <w:vAlign w:val="center"/>
          </w:tcPr>
          <w:p>
            <w:pPr>
              <w:widowControl/>
              <w:spacing w:line="360" w:lineRule="auto"/>
              <w:jc w:val="center"/>
            </w:pPr>
            <w:r>
              <w:rPr>
                <w:rFonts w:hint="eastAsia"/>
              </w:rPr>
              <w:t>货物采购</w:t>
            </w:r>
          </w:p>
        </w:tc>
        <w:tc>
          <w:tcPr>
            <w:tcW w:w="1799" w:type="dxa"/>
            <w:vAlign w:val="center"/>
          </w:tcPr>
          <w:p>
            <w:pPr>
              <w:widowControl/>
              <w:spacing w:line="360" w:lineRule="auto"/>
              <w:jc w:val="center"/>
            </w:pPr>
            <w:r>
              <w:rPr>
                <w:rFonts w:hint="eastAsia"/>
              </w:rPr>
              <w:t>服务采购</w:t>
            </w:r>
          </w:p>
        </w:tc>
        <w:tc>
          <w:tcPr>
            <w:tcW w:w="1799" w:type="dxa"/>
            <w:vAlign w:val="center"/>
          </w:tcPr>
          <w:p>
            <w:pPr>
              <w:widowControl/>
              <w:spacing w:line="360" w:lineRule="auto"/>
              <w:jc w:val="center"/>
            </w:pPr>
            <w:r>
              <w:rPr>
                <w:rFonts w:hint="eastAsia"/>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100万元以下</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100万元（含）-500万元</w:t>
            </w:r>
          </w:p>
        </w:tc>
        <w:tc>
          <w:tcPr>
            <w:tcW w:w="1799" w:type="dxa"/>
            <w:vAlign w:val="center"/>
          </w:tcPr>
          <w:p>
            <w:pPr>
              <w:widowControl/>
              <w:spacing w:line="360" w:lineRule="auto"/>
              <w:jc w:val="center"/>
            </w:pPr>
            <w:r>
              <w:rPr>
                <w:rFonts w:hint="eastAsia"/>
              </w:rPr>
              <w:t>1.1%</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500万元（含）-1000万元</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0.45%</w:t>
            </w:r>
          </w:p>
        </w:tc>
        <w:tc>
          <w:tcPr>
            <w:tcW w:w="1799" w:type="dxa"/>
            <w:vAlign w:val="center"/>
          </w:tcPr>
          <w:p>
            <w:pPr>
              <w:widowControl/>
              <w:spacing w:line="360" w:lineRule="auto"/>
              <w:jc w:val="center"/>
            </w:pPr>
            <w:r>
              <w:rPr>
                <w:rFonts w:hint="eastAsia"/>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1000万元（含）-5000万元</w:t>
            </w:r>
          </w:p>
        </w:tc>
        <w:tc>
          <w:tcPr>
            <w:tcW w:w="1799" w:type="dxa"/>
            <w:vAlign w:val="center"/>
          </w:tcPr>
          <w:p>
            <w:pPr>
              <w:widowControl/>
              <w:spacing w:line="360" w:lineRule="auto"/>
              <w:jc w:val="center"/>
            </w:pPr>
            <w:r>
              <w:rPr>
                <w:rFonts w:hint="eastAsia"/>
              </w:rPr>
              <w:t>0.5%</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5000万元（含）-1亿元</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0.1%</w:t>
            </w:r>
          </w:p>
        </w:tc>
        <w:tc>
          <w:tcPr>
            <w:tcW w:w="1799" w:type="dxa"/>
            <w:vAlign w:val="center"/>
          </w:tcPr>
          <w:p>
            <w:pPr>
              <w:widowControl/>
              <w:spacing w:line="360" w:lineRule="auto"/>
              <w:jc w:val="center"/>
            </w:pPr>
            <w:r>
              <w:rPr>
                <w:rFonts w:hint="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1亿元（含）-5亿元</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5亿元（含）-10亿元</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pPr>
              <w:widowControl/>
              <w:spacing w:line="360" w:lineRule="auto"/>
              <w:jc w:val="center"/>
            </w:pPr>
            <w:r>
              <w:rPr>
                <w:rFonts w:hint="eastAsia"/>
              </w:rPr>
              <w:t>10亿元（含）-50亿元</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50亿元（含）-100亿元</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100亿元（含）以上</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r>
    </w:tbl>
    <w:p>
      <w:pPr>
        <w:ind w:firstLine="420" w:firstLineChars="200"/>
      </w:pPr>
      <w:r>
        <w:rPr>
          <w:rFonts w:hint="eastAsia"/>
        </w:rPr>
        <w:t>备注：1.每宗交易代理服务费不低于 5000 元；</w:t>
      </w:r>
    </w:p>
    <w:p>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pPr>
        <w:ind w:firstLine="420" w:firstLineChars="200"/>
      </w:pPr>
      <w:r>
        <w:rPr>
          <w:rFonts w:hint="eastAsia"/>
        </w:rPr>
        <w:t>如某货物采购项目，中标（成交）金额为600万元，总共交纳的代理服务费的具体计算过程如下：</w:t>
      </w:r>
    </w:p>
    <w:p>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pPr>
        <w:ind w:firstLine="420" w:firstLineChars="200"/>
        <w:rPr>
          <w:rFonts w:ascii="宋体" w:hAnsi="宋体" w:cs="宋体"/>
          <w:bCs/>
          <w:color w:val="FF0000"/>
          <w:szCs w:val="21"/>
        </w:rPr>
      </w:pPr>
      <w:r>
        <w:rPr>
          <w:rFonts w:hint="eastAsia"/>
        </w:rPr>
        <w:t>（3）中标（成交）供应商中标（成交）后，必须按规定采用银行对公转账方式向深圳交易集团有限公司直接交纳代理服务费，具体交纳信息以</w:t>
      </w:r>
      <w:bookmarkStart w:id="33" w:name="OLE_LINK1"/>
      <w:r>
        <w:rPr>
          <w:rFonts w:hint="eastAsia"/>
        </w:rPr>
        <w:t>《付款（缴款）通知书》</w:t>
      </w:r>
      <w:bookmarkEnd w:id="33"/>
      <w:r>
        <w:rPr>
          <w:rFonts w:hint="eastAsia"/>
        </w:rPr>
        <w:t>内容为准。</w:t>
      </w:r>
    </w:p>
    <w:p>
      <w:pPr>
        <w:pStyle w:val="2"/>
      </w:pPr>
      <w:r>
        <w:rPr>
          <w:rFonts w:hint="eastAsia"/>
        </w:rPr>
        <w:br w:type="page"/>
      </w:r>
    </w:p>
    <w:p>
      <w:pPr>
        <w:pStyle w:val="7"/>
        <w:rPr>
          <w:sz w:val="28"/>
          <w:szCs w:val="28"/>
        </w:rPr>
      </w:pPr>
      <w:bookmarkStart w:id="34" w:name="_Toc128884461"/>
      <w:r>
        <w:rPr>
          <w:rFonts w:hint="eastAsia"/>
          <w:sz w:val="28"/>
          <w:szCs w:val="28"/>
        </w:rPr>
        <w:t>第三章 用户需求书</w:t>
      </w:r>
    </w:p>
    <w:p>
      <w:pPr>
        <w:pStyle w:val="7"/>
        <w:spacing w:before="156" w:beforeLines="50" w:after="156" w:afterLines="50"/>
        <w:rPr>
          <w:szCs w:val="24"/>
        </w:rPr>
      </w:pPr>
      <w:r>
        <w:rPr>
          <w:rFonts w:hint="eastAsia"/>
          <w:szCs w:val="24"/>
        </w:rPr>
        <w:t>一、项目基本信息</w:t>
      </w:r>
    </w:p>
    <w:tbl>
      <w:tblPr>
        <w:tblStyle w:val="42"/>
        <w:tblW w:w="8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072"/>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16" w:type="dxa"/>
            <w:vAlign w:val="center"/>
          </w:tcPr>
          <w:p>
            <w:pPr>
              <w:jc w:val="center"/>
              <w:rPr>
                <w:bCs/>
                <w:szCs w:val="21"/>
              </w:rPr>
            </w:pPr>
            <w:r>
              <w:rPr>
                <w:rFonts w:hint="eastAsia"/>
                <w:bCs/>
                <w:szCs w:val="21"/>
              </w:rPr>
              <w:t>序号</w:t>
            </w:r>
          </w:p>
        </w:tc>
        <w:tc>
          <w:tcPr>
            <w:tcW w:w="6072" w:type="dxa"/>
            <w:vAlign w:val="center"/>
          </w:tcPr>
          <w:p>
            <w:pPr>
              <w:jc w:val="center"/>
              <w:rPr>
                <w:bCs/>
                <w:szCs w:val="21"/>
              </w:rPr>
            </w:pPr>
            <w:r>
              <w:rPr>
                <w:rFonts w:hint="eastAsia"/>
                <w:bCs/>
                <w:szCs w:val="21"/>
              </w:rPr>
              <w:t>采购项目名称</w:t>
            </w:r>
          </w:p>
        </w:tc>
        <w:tc>
          <w:tcPr>
            <w:tcW w:w="1857" w:type="dxa"/>
            <w:vAlign w:val="center"/>
          </w:tcPr>
          <w:p>
            <w:pPr>
              <w:jc w:val="center"/>
              <w:rPr>
                <w:b/>
                <w:bCs/>
                <w:color w:val="FF0000"/>
                <w:szCs w:val="21"/>
              </w:rPr>
            </w:pPr>
            <w:r>
              <w:rPr>
                <w:rFonts w:hint="eastAsia"/>
                <w:b/>
                <w:bCs/>
                <w:color w:val="FF0000"/>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16" w:type="dxa"/>
            <w:vAlign w:val="center"/>
          </w:tcPr>
          <w:p>
            <w:pPr>
              <w:jc w:val="center"/>
              <w:rPr>
                <w:bCs/>
                <w:color w:val="FF0000"/>
                <w:szCs w:val="21"/>
              </w:rPr>
            </w:pPr>
            <w:r>
              <w:rPr>
                <w:rFonts w:hint="eastAsia"/>
                <w:bCs/>
                <w:color w:val="FF0000"/>
                <w:szCs w:val="21"/>
              </w:rPr>
              <w:t>1</w:t>
            </w:r>
          </w:p>
        </w:tc>
        <w:tc>
          <w:tcPr>
            <w:tcW w:w="6072" w:type="dxa"/>
            <w:vAlign w:val="center"/>
          </w:tcPr>
          <w:p>
            <w:pPr>
              <w:jc w:val="center"/>
              <w:rPr>
                <w:b/>
                <w:bCs/>
                <w:color w:val="FF0000"/>
                <w:szCs w:val="21"/>
              </w:rPr>
            </w:pPr>
            <w:r>
              <w:rPr>
                <w:rFonts w:hint="eastAsia"/>
                <w:b/>
                <w:bCs/>
                <w:color w:val="FF0000"/>
                <w:szCs w:val="21"/>
              </w:rPr>
              <w:t>深圳市公安局局本级待确权物业消防评估服务</w:t>
            </w:r>
          </w:p>
        </w:tc>
        <w:tc>
          <w:tcPr>
            <w:tcW w:w="1857" w:type="dxa"/>
            <w:vAlign w:val="center"/>
          </w:tcPr>
          <w:p>
            <w:pPr>
              <w:jc w:val="center"/>
              <w:rPr>
                <w:bCs/>
                <w:color w:val="FF0000"/>
                <w:szCs w:val="21"/>
              </w:rPr>
            </w:pPr>
            <w:r>
              <w:rPr>
                <w:rFonts w:hint="eastAsia"/>
                <w:bCs/>
                <w:color w:val="FF0000"/>
                <w:szCs w:val="21"/>
              </w:rPr>
              <w:t>270000.00</w:t>
            </w:r>
          </w:p>
        </w:tc>
      </w:tr>
    </w:tbl>
    <w:p>
      <w:pPr>
        <w:pStyle w:val="7"/>
        <w:spacing w:before="156" w:beforeLines="50" w:after="156" w:afterLines="50"/>
        <w:rPr>
          <w:szCs w:val="24"/>
        </w:rPr>
      </w:pPr>
      <w:r>
        <w:rPr>
          <w:rFonts w:hint="eastAsia"/>
          <w:szCs w:val="24"/>
        </w:rPr>
        <w:t>二、项目概况</w:t>
      </w:r>
    </w:p>
    <w:p>
      <w:pPr>
        <w:ind w:firstLine="480" w:firstLineChars="200"/>
        <w:rPr>
          <w:sz w:val="24"/>
        </w:rPr>
      </w:pPr>
      <w:r>
        <w:rPr>
          <w:rFonts w:hint="eastAsia"/>
          <w:sz w:val="24"/>
        </w:rPr>
        <w:t>2023年中共中央、国务院印发《质量强国建设纲要》提出以推动高质量发展为主题，以提高供给质量为主攻方向，以改革创新为根本动力，开展质量管理数字化赋能行动，推动质量策划、质量控制、质量保证、质量改进等全流程信息化、网络化、智能化转型。</w:t>
      </w:r>
    </w:p>
    <w:p>
      <w:pPr>
        <w:ind w:firstLine="480" w:firstLineChars="200"/>
        <w:rPr>
          <w:sz w:val="24"/>
        </w:rPr>
      </w:pPr>
      <w:r>
        <w:rPr>
          <w:rFonts w:hint="eastAsia"/>
          <w:sz w:val="24"/>
        </w:rPr>
        <w:t>2023年中共中央、国务院印发了《数字中国建设整体布局规划》强化数字化能力建设，促进信息系统网络互联互通、数据按需共享、业务高效协同。</w:t>
      </w:r>
    </w:p>
    <w:p>
      <w:pPr>
        <w:ind w:firstLine="480" w:firstLineChars="200"/>
        <w:rPr>
          <w:sz w:val="24"/>
        </w:rPr>
      </w:pPr>
      <w:r>
        <w:rPr>
          <w:rFonts w:hint="eastAsia"/>
          <w:sz w:val="24"/>
        </w:rPr>
        <w:t>消防安全工作是安全工作的重中之重，专业性很强，一旦发生火灾其危害将十分严重，所产生的政治影响和社会效果不可估量。</w:t>
      </w:r>
    </w:p>
    <w:p>
      <w:pPr>
        <w:rPr>
          <w:rFonts w:ascii="宋体" w:hAnsi="宋体"/>
          <w:b/>
          <w:color w:val="FF0000"/>
          <w:szCs w:val="21"/>
        </w:rPr>
      </w:pPr>
    </w:p>
    <w:p>
      <w:pPr>
        <w:pStyle w:val="7"/>
        <w:spacing w:before="156" w:beforeLines="50" w:after="156" w:afterLines="50"/>
        <w:rPr>
          <w:szCs w:val="24"/>
        </w:rPr>
      </w:pPr>
      <w:r>
        <w:rPr>
          <w:rFonts w:hint="eastAsia"/>
          <w:szCs w:val="24"/>
        </w:rPr>
        <w:t>三、</w:t>
      </w:r>
      <w:bookmarkStart w:id="35" w:name="_Hlk72073432"/>
      <w:r>
        <w:rPr>
          <w:rFonts w:hint="eastAsia"/>
          <w:szCs w:val="24"/>
        </w:rPr>
        <w:t>服务需求明细</w:t>
      </w:r>
      <w:bookmarkEnd w:id="35"/>
    </w:p>
    <w:tbl>
      <w:tblPr>
        <w:tblStyle w:val="42"/>
        <w:tblpPr w:leftFromText="180" w:rightFromText="180" w:vertAnchor="text" w:horzAnchor="margin" w:tblpY="17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617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71" w:type="dxa"/>
            <w:vAlign w:val="center"/>
          </w:tcPr>
          <w:p>
            <w:pPr>
              <w:jc w:val="center"/>
              <w:rPr>
                <w:bCs/>
                <w:szCs w:val="21"/>
              </w:rPr>
            </w:pPr>
            <w:r>
              <w:rPr>
                <w:rFonts w:hint="eastAsia"/>
                <w:bCs/>
                <w:szCs w:val="21"/>
              </w:rPr>
              <w:t>序号</w:t>
            </w:r>
          </w:p>
        </w:tc>
        <w:tc>
          <w:tcPr>
            <w:tcW w:w="6170" w:type="dxa"/>
            <w:vAlign w:val="center"/>
          </w:tcPr>
          <w:p>
            <w:pPr>
              <w:jc w:val="center"/>
              <w:rPr>
                <w:bCs/>
                <w:szCs w:val="21"/>
              </w:rPr>
            </w:pPr>
            <w:r>
              <w:rPr>
                <w:rFonts w:hint="eastAsia"/>
                <w:bCs/>
                <w:szCs w:val="21"/>
              </w:rPr>
              <w:t>服务需求名称（标的名称）</w:t>
            </w:r>
          </w:p>
        </w:tc>
        <w:tc>
          <w:tcPr>
            <w:tcW w:w="851" w:type="dxa"/>
            <w:vAlign w:val="center"/>
          </w:tcPr>
          <w:p>
            <w:pPr>
              <w:jc w:val="center"/>
              <w:rPr>
                <w:bCs/>
                <w:szCs w:val="21"/>
              </w:rPr>
            </w:pPr>
            <w:r>
              <w:rPr>
                <w:rFonts w:hint="eastAsia"/>
                <w:bCs/>
                <w:szCs w:val="21"/>
              </w:rPr>
              <w:t>数量</w:t>
            </w:r>
          </w:p>
        </w:tc>
        <w:tc>
          <w:tcPr>
            <w:tcW w:w="850" w:type="dxa"/>
            <w:vAlign w:val="center"/>
          </w:tcPr>
          <w:p>
            <w:pPr>
              <w:jc w:val="center"/>
              <w:rPr>
                <w:bCs/>
                <w:szCs w:val="21"/>
              </w:rPr>
            </w:pPr>
            <w:r>
              <w:rPr>
                <w:rFonts w:hint="eastAsia"/>
                <w:bCs/>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vAlign w:val="center"/>
          </w:tcPr>
          <w:p>
            <w:pPr>
              <w:jc w:val="center"/>
              <w:rPr>
                <w:bCs/>
                <w:szCs w:val="21"/>
              </w:rPr>
            </w:pPr>
            <w:r>
              <w:rPr>
                <w:rFonts w:hint="eastAsia"/>
                <w:bCs/>
                <w:szCs w:val="21"/>
              </w:rPr>
              <w:t>1</w:t>
            </w:r>
          </w:p>
        </w:tc>
        <w:tc>
          <w:tcPr>
            <w:tcW w:w="6170" w:type="dxa"/>
            <w:vAlign w:val="center"/>
          </w:tcPr>
          <w:p>
            <w:pPr>
              <w:jc w:val="center"/>
              <w:rPr>
                <w:bCs/>
                <w:szCs w:val="21"/>
              </w:rPr>
            </w:pPr>
            <w:r>
              <w:rPr>
                <w:rFonts w:hint="eastAsia"/>
                <w:b/>
                <w:bCs/>
                <w:color w:val="FF0000"/>
                <w:szCs w:val="21"/>
              </w:rPr>
              <w:t>深圳市公安局局本级待确权物业消防评估服务</w:t>
            </w:r>
          </w:p>
        </w:tc>
        <w:tc>
          <w:tcPr>
            <w:tcW w:w="851" w:type="dxa"/>
            <w:vAlign w:val="center"/>
          </w:tcPr>
          <w:p>
            <w:pPr>
              <w:jc w:val="center"/>
              <w:rPr>
                <w:bCs/>
                <w:szCs w:val="21"/>
              </w:rPr>
            </w:pPr>
            <w:r>
              <w:rPr>
                <w:rFonts w:hint="eastAsia"/>
                <w:bCs/>
                <w:szCs w:val="21"/>
              </w:rPr>
              <w:t>1</w:t>
            </w:r>
          </w:p>
        </w:tc>
        <w:tc>
          <w:tcPr>
            <w:tcW w:w="850" w:type="dxa"/>
            <w:vAlign w:val="center"/>
          </w:tcPr>
          <w:p>
            <w:pPr>
              <w:jc w:val="center"/>
              <w:rPr>
                <w:bCs/>
                <w:szCs w:val="21"/>
              </w:rPr>
            </w:pPr>
            <w:r>
              <w:rPr>
                <w:rFonts w:hint="eastAsia"/>
                <w:bCs/>
                <w:szCs w:val="21"/>
              </w:rPr>
              <w:t>项</w:t>
            </w:r>
          </w:p>
        </w:tc>
      </w:tr>
    </w:tbl>
    <w:p>
      <w:pPr>
        <w:rPr>
          <w:rFonts w:ascii="宋体" w:hAnsi="宋体"/>
          <w:b/>
          <w:color w:val="FF0000"/>
          <w:szCs w:val="21"/>
        </w:rPr>
      </w:pPr>
    </w:p>
    <w:p>
      <w:pPr>
        <w:pStyle w:val="7"/>
        <w:spacing w:before="156" w:beforeLines="50" w:after="156" w:afterLines="50"/>
        <w:rPr>
          <w:szCs w:val="24"/>
        </w:rPr>
      </w:pPr>
      <w:r>
        <w:rPr>
          <w:rFonts w:hint="eastAsia"/>
          <w:szCs w:val="24"/>
        </w:rPr>
        <w:t>四、实质性条款</w:t>
      </w:r>
    </w:p>
    <w:tbl>
      <w:tblPr>
        <w:tblStyle w:val="42"/>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7951" w:type="dxa"/>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7951" w:type="dxa"/>
          </w:tcPr>
          <w:p>
            <w:pPr>
              <w:rPr>
                <w:rFonts w:hAnsi="宋体" w:eastAsiaTheme="minorEastAsia"/>
                <w:kern w:val="0"/>
                <w:szCs w:val="21"/>
              </w:rPr>
            </w:pPr>
            <w:r>
              <w:rPr>
                <w:rFonts w:hint="eastAsia"/>
              </w:rPr>
              <w:t>满足本项目标★的条款要求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ascii="宋体" w:hAnsi="宋体"/>
                <w:kern w:val="0"/>
                <w:szCs w:val="21"/>
              </w:rPr>
            </w:pPr>
            <w:r>
              <w:rPr>
                <w:rFonts w:hint="eastAsia" w:ascii="宋体" w:hAnsi="宋体"/>
                <w:kern w:val="0"/>
                <w:szCs w:val="21"/>
              </w:rPr>
              <w:t>2</w:t>
            </w:r>
          </w:p>
        </w:tc>
        <w:tc>
          <w:tcPr>
            <w:tcW w:w="7951" w:type="dxa"/>
          </w:tcPr>
          <w:p>
            <w:pPr>
              <w:rPr>
                <w:rFonts w:asciiTheme="minorEastAsia" w:hAnsiTheme="minorEastAsia" w:eastAsiaTheme="minorEastAsia"/>
                <w:b/>
                <w:bCs/>
                <w:color w:val="FF0000"/>
                <w:szCs w:val="21"/>
              </w:rPr>
            </w:pPr>
            <w:r>
              <w:rPr>
                <w:rFonts w:hint="eastAsia" w:asciiTheme="minorEastAsia" w:hAnsiTheme="minorEastAsia" w:eastAsiaTheme="minorEastAsia"/>
                <w:b/>
                <w:bCs/>
                <w:color w:val="FF0000"/>
                <w:szCs w:val="21"/>
              </w:rPr>
              <w:t>（四）人员要求</w:t>
            </w:r>
          </w:p>
          <w:p>
            <w:r>
              <w:rPr>
                <w:rFonts w:hint="eastAsia" w:asciiTheme="minorEastAsia" w:hAnsiTheme="minorEastAsia" w:eastAsiaTheme="minorEastAsia"/>
                <w:b/>
                <w:bCs/>
                <w:color w:val="FF0000"/>
                <w:szCs w:val="21"/>
              </w:rPr>
              <w:t>中标服务商须在深圳配备检测工作组。检测工作组至少10人（其中，具备一级注册消防工程师不少于</w:t>
            </w:r>
            <w:r>
              <w:rPr>
                <w:rFonts w:asciiTheme="minorEastAsia" w:hAnsiTheme="minorEastAsia" w:eastAsiaTheme="minorEastAsia"/>
                <w:b/>
                <w:bCs/>
                <w:color w:val="FF0000"/>
                <w:szCs w:val="21"/>
              </w:rPr>
              <w:t>3</w:t>
            </w:r>
            <w:r>
              <w:rPr>
                <w:rFonts w:hint="eastAsia" w:asciiTheme="minorEastAsia" w:hAnsiTheme="minorEastAsia" w:eastAsiaTheme="minorEastAsia"/>
                <w:b/>
                <w:bCs/>
                <w:color w:val="FF0000"/>
                <w:szCs w:val="21"/>
              </w:rPr>
              <w:t>人），具体人数根据项目实际需要调整。需提供人员证书扫描件及近三个月任意一个月社保，</w:t>
            </w:r>
            <w:r>
              <w:rPr>
                <w:rFonts w:hint="eastAsia" w:ascii="宋体" w:hAnsi="宋体" w:cs="宋体"/>
                <w:b/>
                <w:bCs/>
                <w:color w:val="FF0000"/>
                <w:szCs w:val="21"/>
              </w:rPr>
              <w:t>如供应商成立不足一个月或员工入职不足一个月的，提供情况说明函（格式自拟），无需提供相关人员社保，亦可得分</w:t>
            </w:r>
            <w:r>
              <w:rPr>
                <w:rFonts w:hint="eastAsia" w:asciiTheme="minorEastAsia" w:hAnsiTheme="minorEastAsia" w:eastAsiaTheme="minorEastAsia"/>
                <w:b/>
                <w:bCs/>
                <w:color w:val="FF0000"/>
                <w:szCs w:val="21"/>
              </w:rPr>
              <w:t>。</w:t>
            </w:r>
          </w:p>
        </w:tc>
      </w:tr>
      <w:bookmarkEnd w:id="34"/>
    </w:tbl>
    <w:p>
      <w:pPr>
        <w:rPr>
          <w:rFonts w:ascii="宋体"/>
          <w:b/>
          <w:kern w:val="0"/>
          <w:sz w:val="24"/>
          <w:szCs w:val="20"/>
        </w:rPr>
      </w:pPr>
      <w:r>
        <w:rPr>
          <w:rFonts w:ascii="宋体"/>
          <w:b/>
          <w:kern w:val="0"/>
          <w:sz w:val="24"/>
          <w:szCs w:val="20"/>
        </w:rPr>
        <w:t>注：上表所列内容为不可负偏离条款，负偏离将视为未实质性满足</w:t>
      </w:r>
      <w:r>
        <w:rPr>
          <w:rFonts w:hint="eastAsia" w:ascii="宋体"/>
          <w:b/>
          <w:kern w:val="0"/>
          <w:sz w:val="24"/>
          <w:szCs w:val="20"/>
        </w:rPr>
        <w:t>采购</w:t>
      </w:r>
      <w:r>
        <w:rPr>
          <w:rFonts w:ascii="宋体"/>
          <w:b/>
          <w:kern w:val="0"/>
          <w:sz w:val="24"/>
          <w:szCs w:val="20"/>
        </w:rPr>
        <w:t>文件要求和条件作投标无效处理。</w:t>
      </w:r>
    </w:p>
    <w:p>
      <w:pPr>
        <w:pStyle w:val="2"/>
      </w:pPr>
    </w:p>
    <w:p>
      <w:pPr>
        <w:pStyle w:val="7"/>
        <w:spacing w:before="156" w:beforeLines="50" w:after="156" w:afterLines="50"/>
        <w:rPr>
          <w:szCs w:val="24"/>
        </w:rPr>
      </w:pPr>
      <w:r>
        <w:rPr>
          <w:rFonts w:hint="eastAsia"/>
          <w:szCs w:val="24"/>
        </w:rPr>
        <w:t>五、技术要求</w:t>
      </w:r>
    </w:p>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（一）项目情况：</w:t>
      </w:r>
    </w:p>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本项目暂定面积为：67309.87平米，约41栋建筑，分别分布在罗湖区、盐田区、福田区、南山区、龙岗区、宝安区、龙华区等。</w:t>
      </w:r>
    </w:p>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 xml:space="preserve">（二）评估内容及技术要求（包含但不限于）： </w:t>
      </w:r>
    </w:p>
    <w:p>
      <w:pPr>
        <w:ind w:firstLine="420" w:firstLineChars="200"/>
        <w:rPr>
          <w:rFonts w:cs="仿宋_GB2312" w:asciiTheme="minorEastAsia" w:hAnsiTheme="minorEastAsia" w:eastAsiaTheme="minorEastAsia"/>
          <w:szCs w:val="21"/>
        </w:rPr>
      </w:pPr>
      <w:r>
        <w:rPr>
          <w:rFonts w:hint="eastAsia"/>
        </w:rPr>
        <w:t>1.</w:t>
      </w:r>
      <w:r>
        <w:rPr>
          <w:rFonts w:hint="eastAsia" w:cs="仿宋_GB2312" w:asciiTheme="minorEastAsia" w:hAnsiTheme="minorEastAsia" w:eastAsiaTheme="minorEastAsia"/>
          <w:szCs w:val="21"/>
        </w:rPr>
        <w:t>建筑防火</w:t>
      </w:r>
    </w:p>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1.1耐火等级和总平面布局</w:t>
      </w:r>
    </w:p>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1.2防火分区</w:t>
      </w:r>
    </w:p>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1.3平面布置</w:t>
      </w:r>
    </w:p>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1.4安全疏散和避难</w:t>
      </w:r>
    </w:p>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1.5电气</w:t>
      </w:r>
    </w:p>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1.6灭火救援</w:t>
      </w:r>
    </w:p>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1.7通风和空气调节</w:t>
      </w:r>
    </w:p>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2、消防设施及器材</w:t>
      </w:r>
    </w:p>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2.1消防给水及消火栓系统</w:t>
      </w:r>
    </w:p>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2.2自动灭火系统</w:t>
      </w:r>
    </w:p>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2.3火灾自动报警系统</w:t>
      </w:r>
    </w:p>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2.4防排烟系统</w:t>
      </w:r>
    </w:p>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2.5疏散指示标志及应急照明</w:t>
      </w:r>
    </w:p>
    <w:p>
      <w:pPr>
        <w:pStyle w:val="3"/>
      </w:pPr>
    </w:p>
    <w:p>
      <w:pPr>
        <w:rPr>
          <w:b/>
          <w:sz w:val="24"/>
        </w:rPr>
      </w:pPr>
    </w:p>
    <w:p>
      <w:pPr>
        <w:pStyle w:val="7"/>
        <w:spacing w:before="156" w:beforeLines="50" w:after="156" w:afterLines="50"/>
        <w:rPr>
          <w:szCs w:val="24"/>
        </w:rPr>
      </w:pPr>
      <w:r>
        <w:rPr>
          <w:rFonts w:hint="eastAsia"/>
          <w:szCs w:val="24"/>
        </w:rPr>
        <w:t>六、商务要求</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（一）付款方式</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合同款项分二期支付，首期于签订合同后采购人先支付给中标人预付款50%；第二期中标人出具评估检测报告后，采购人支付给中标人剩余费用。</w:t>
      </w:r>
    </w:p>
    <w:p>
      <w:pPr>
        <w:pStyle w:val="2"/>
        <w:ind w:firstLine="420" w:firstLineChars="200"/>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以上为预计付款方式，合同订立时，采购人可根据实际情况最终确定支付方式，并在合同中予以明确。</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（二）服务时间</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（1）本项目服务期限为2个月。</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（2）因中标方原因，采购单位单方面终止合同的或中标方未书面提交续订合同请求的，有权单方面重新公开招标新的服务商。</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（三）工期要求</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合同签订后，原则上5个工作日内乙方展开相关工作；具体项目时间根据项目需求具体约定。</w:t>
      </w:r>
    </w:p>
    <w:p>
      <w:pPr>
        <w:ind w:firstLine="422" w:firstLineChars="200"/>
        <w:rPr>
          <w:rFonts w:asciiTheme="minorEastAsia" w:hAnsiTheme="minorEastAsia" w:eastAsiaTheme="minorEastAsia"/>
          <w:b/>
          <w:bCs/>
          <w:color w:val="FF0000"/>
          <w:szCs w:val="21"/>
        </w:rPr>
      </w:pPr>
      <w:r>
        <w:rPr>
          <w:rFonts w:hint="eastAsia"/>
          <w:b/>
          <w:bCs/>
          <w:color w:val="FF0000"/>
        </w:rPr>
        <w:t>★</w:t>
      </w:r>
      <w:r>
        <w:rPr>
          <w:rFonts w:hint="eastAsia" w:asciiTheme="minorEastAsia" w:hAnsiTheme="minorEastAsia" w:eastAsiaTheme="minorEastAsia"/>
          <w:b/>
          <w:bCs/>
          <w:color w:val="FF0000"/>
          <w:szCs w:val="21"/>
        </w:rPr>
        <w:t>（四）人员要求</w:t>
      </w:r>
    </w:p>
    <w:p>
      <w:pPr>
        <w:ind w:firstLine="422" w:firstLineChars="200"/>
        <w:rPr>
          <w:rFonts w:asciiTheme="minorEastAsia" w:hAnsiTheme="minorEastAsia" w:eastAsiaTheme="minorEastAsia"/>
          <w:b/>
          <w:bCs/>
          <w:color w:val="FF0000"/>
          <w:szCs w:val="21"/>
        </w:rPr>
      </w:pPr>
      <w:r>
        <w:rPr>
          <w:rFonts w:hint="eastAsia" w:asciiTheme="minorEastAsia" w:hAnsiTheme="minorEastAsia" w:eastAsiaTheme="minorEastAsia"/>
          <w:b/>
          <w:bCs/>
          <w:color w:val="FF0000"/>
          <w:szCs w:val="21"/>
        </w:rPr>
        <w:t>中标服务商须在深圳配备检测工作组。检测工作组至少10人（其中，具备一级注册消防工程师不少于</w:t>
      </w:r>
      <w:r>
        <w:rPr>
          <w:rFonts w:asciiTheme="minorEastAsia" w:hAnsiTheme="minorEastAsia" w:eastAsiaTheme="minorEastAsia"/>
          <w:b/>
          <w:bCs/>
          <w:color w:val="FF0000"/>
          <w:szCs w:val="21"/>
        </w:rPr>
        <w:t>3</w:t>
      </w:r>
      <w:r>
        <w:rPr>
          <w:rFonts w:hint="eastAsia" w:asciiTheme="minorEastAsia" w:hAnsiTheme="minorEastAsia" w:eastAsiaTheme="minorEastAsia"/>
          <w:b/>
          <w:bCs/>
          <w:color w:val="FF0000"/>
          <w:szCs w:val="21"/>
        </w:rPr>
        <w:t>人），具体人数根据项目实际需要调整。需提供人员证书扫描件及近三个月任意一个月社保，</w:t>
      </w:r>
      <w:r>
        <w:rPr>
          <w:rFonts w:hint="eastAsia" w:ascii="宋体" w:hAnsi="宋体" w:cs="宋体"/>
          <w:b/>
          <w:bCs/>
          <w:color w:val="FF0000"/>
          <w:szCs w:val="21"/>
        </w:rPr>
        <w:t>如供应商成立不足一个月或员工入职不足一个月的，提供情况说明函（格式自拟），无需提供相关人员社保，亦可得分</w:t>
      </w:r>
      <w:r>
        <w:rPr>
          <w:rFonts w:hint="eastAsia" w:asciiTheme="minorEastAsia" w:hAnsiTheme="minorEastAsia" w:eastAsiaTheme="minorEastAsia"/>
          <w:b/>
          <w:bCs/>
          <w:color w:val="FF0000"/>
          <w:szCs w:val="21"/>
        </w:rPr>
        <w:t>。</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（五）投标报价</w:t>
      </w:r>
    </w:p>
    <w:p>
      <w:pPr>
        <w:ind w:firstLine="420" w:firstLineChars="200"/>
        <w:rPr>
          <w:bCs/>
          <w:szCs w:val="21"/>
        </w:rPr>
      </w:pPr>
      <w:r>
        <w:rPr>
          <w:rFonts w:hint="eastAsia" w:asciiTheme="minorEastAsia" w:hAnsiTheme="minorEastAsia" w:eastAsiaTheme="minorEastAsia"/>
          <w:szCs w:val="21"/>
        </w:rPr>
        <w:t>★1.本项目服务费</w:t>
      </w:r>
      <w:r>
        <w:rPr>
          <w:rFonts w:asciiTheme="minorEastAsia" w:hAnsiTheme="minorEastAsia" w:eastAsiaTheme="minorEastAsia"/>
          <w:szCs w:val="21"/>
        </w:rPr>
        <w:t>中标后结算按照中标单价乘以项目实际</w:t>
      </w:r>
      <w:r>
        <w:rPr>
          <w:rFonts w:hint="eastAsia" w:asciiTheme="minorEastAsia" w:hAnsiTheme="minorEastAsia" w:eastAsiaTheme="minorEastAsia"/>
          <w:szCs w:val="21"/>
        </w:rPr>
        <w:t>评估</w:t>
      </w:r>
      <w:r>
        <w:rPr>
          <w:rFonts w:asciiTheme="minorEastAsia" w:hAnsiTheme="minorEastAsia" w:eastAsiaTheme="minorEastAsia"/>
          <w:szCs w:val="21"/>
        </w:rPr>
        <w:t>面积进行结算</w:t>
      </w:r>
      <w:r>
        <w:rPr>
          <w:rFonts w:hint="eastAsia" w:asciiTheme="minorEastAsia" w:hAnsiTheme="minorEastAsia" w:eastAsiaTheme="minorEastAsia"/>
          <w:szCs w:val="21"/>
        </w:rPr>
        <w:t>，</w:t>
      </w:r>
      <w:r>
        <w:rPr>
          <w:rFonts w:hint="eastAsia"/>
        </w:rPr>
        <w:t>本项最高支付上限为</w:t>
      </w:r>
      <w:r>
        <w:rPr>
          <w:rFonts w:hint="eastAsia"/>
          <w:bCs/>
          <w:szCs w:val="21"/>
        </w:rPr>
        <w:t>270000.00元,单价限价为4.00元/平方米。投标人就本项目情况报出每平方米单价即可，超出单价限价的作投标无效处理。单价最多保留两位小数，如报价为3.50</w:t>
      </w:r>
      <w:bookmarkStart w:id="105" w:name="_GoBack"/>
      <w:bookmarkEnd w:id="105"/>
      <w:r>
        <w:rPr>
          <w:rFonts w:hint="eastAsia"/>
          <w:bCs/>
          <w:szCs w:val="21"/>
        </w:rPr>
        <w:t>元/平方米、3.80元/平方米等。</w:t>
      </w:r>
    </w:p>
    <w:p>
      <w:pPr>
        <w:ind w:firstLine="420" w:firstLineChars="200"/>
        <w:rPr>
          <w:rFonts w:asciiTheme="minorEastAsia" w:hAnsiTheme="minorEastAsia" w:eastAsiaTheme="minorEastAsia"/>
          <w:szCs w:val="21"/>
        </w:rPr>
      </w:pPr>
      <w:r>
        <w:rPr>
          <w:rFonts w:hint="eastAsia"/>
          <w:bCs/>
          <w:szCs w:val="21"/>
        </w:rPr>
        <w:t>本项报价</w:t>
      </w:r>
      <w:r>
        <w:rPr>
          <w:rFonts w:hint="eastAsia" w:asciiTheme="minorEastAsia" w:hAnsiTheme="minorEastAsia" w:eastAsiaTheme="minorEastAsia"/>
          <w:szCs w:val="21"/>
        </w:rPr>
        <w:t>应包括服务成本、法定税费和企业的利润。由企业根据招标文件所提供的资料自行测算投标报价；一经中标，投标报价总价作为中标单位与采购单位签定的合同金额，合同期限内不做调整。</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2.投标人应根据本企业的成本自行决定报价，但不得以低于其企业成本的报价投标。</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3.投标人的投标报价不得超过财政预算限额。</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4.投标人的投标报价，应是本项目招标范围和招标文件及合同条款上所列的各项内容中所述的全部，不得以任何理由予以重复，并以投标人在中提出的综合单价或总价为依据。</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除非政府集中采购机构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6.投标人应先到项目地点踏勘以充分了解项目的位置、情况、道路及任何其它足以影响投标报价的情况，任何因忽视或误解项目情况而导致的索赔或服务期限延长申请将不获批准。</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（七）验收标准</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依据国家、地方标准，出具相关报告。</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（八）违约责任</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1.采购人未按合同规定的期限向中标人支付货款的，每逾期1天采购人向中标人偿付欠款总额的【1】‰滞纳金，但累计滞纳金总额不超过欠款总额的【10】% 。</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中标人逾期交付货物的，每逾期1天，中标人向采购人偿付逾期交货部分货款总额的【1】‰的滞纳金。如中标人逾期交货达天，采购人有权解除合同，履约保证金不予退回，同时中标人应向采购人支付合同总价【5】％的违约金。</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3。中标人未履行合同的其他义务或违反其在投标文件中的相关承诺的，应按合同总价款的【5】%向采购人承担违约责任。</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4。中标人在承担上述一项或多项违约责任后，仍应继续履行合同规定的义务（采购人解除合同的除外）。采购人未能及时追究中标人的任何一项违约责任并不表明采购人放弃追究中标人该项或其他违约责任。</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（九）争议解决</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本协议执行中如发生纠纷，双方协商无法达成一致时，可向采购人所在地有管辖权的人民法院起诉。</w:t>
      </w:r>
    </w:p>
    <w:p>
      <w:pPr>
        <w:ind w:firstLine="482" w:firstLineChars="200"/>
        <w:rPr>
          <w:rFonts w:ascii="宋体" w:hAnsi="宋体"/>
          <w:b/>
          <w:bCs/>
          <w:kern w:val="0"/>
          <w:sz w:val="24"/>
        </w:rPr>
      </w:pPr>
    </w:p>
    <w:p>
      <w:pPr>
        <w:pStyle w:val="7"/>
        <w:spacing w:before="156" w:beforeLines="50" w:after="156" w:afterLines="50"/>
        <w:rPr>
          <w:szCs w:val="24"/>
        </w:rPr>
      </w:pPr>
      <w:r>
        <w:rPr>
          <w:rFonts w:hint="eastAsia"/>
          <w:szCs w:val="24"/>
        </w:rPr>
        <w:t>七、其他重要条款</w:t>
      </w:r>
    </w:p>
    <w:p>
      <w:pPr>
        <w:ind w:firstLine="420" w:firstLineChars="200"/>
        <w:rPr>
          <w:bCs/>
          <w:szCs w:val="21"/>
        </w:rPr>
      </w:pPr>
      <w:bookmarkStart w:id="36" w:name="_Hlk72257111"/>
      <w:r>
        <w:rPr>
          <w:rFonts w:hint="eastAsia"/>
          <w:bCs/>
          <w:szCs w:val="21"/>
        </w:rPr>
        <w:t>1、本项目投标报价采用包干制，应包括成本、法定税费和相应的利润，应涵盖本项目采购范围和采购文件所列的各项内容中所述的全部。由投标人根据采购需求自行测算投标报价；一经中标，投标报价即作为中标单位与采购人签订的合同金额。</w:t>
      </w:r>
    </w:p>
    <w:p>
      <w:pPr>
        <w:pStyle w:val="9"/>
        <w:spacing w:before="78" w:beforeLines="25" w:after="78" w:afterLines="25"/>
        <w:ind w:firstLine="392" w:firstLineChars="187"/>
        <w:rPr>
          <w:rFonts w:ascii="宋体" w:hAnsi="宋体"/>
          <w:szCs w:val="21"/>
        </w:rPr>
      </w:pPr>
      <w:r>
        <w:rPr>
          <w:bCs/>
          <w:szCs w:val="21"/>
        </w:rPr>
        <w:t>2</w:t>
      </w:r>
      <w:r>
        <w:rPr>
          <w:rFonts w:hint="eastAsia"/>
          <w:bCs/>
          <w:szCs w:val="21"/>
        </w:rPr>
        <w:t>、投标人应充分了解项目的位置、情况、道路及任何其他足以影响投标报价的情况，任何因忽视或误解项目情况而导致的索赔或服务期限延长申请将不获批准。</w:t>
      </w:r>
    </w:p>
    <w:p>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bCs/>
          <w:szCs w:val="21"/>
        </w:rPr>
      </w:pPr>
      <w:r>
        <w:rPr>
          <w:bCs/>
          <w:szCs w:val="21"/>
        </w:rPr>
        <w:t>4</w:t>
      </w:r>
      <w:r>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pPr>
        <w:widowControl/>
        <w:ind w:firstLine="420" w:firstLineChars="200"/>
        <w:jc w:val="left"/>
        <w:rPr>
          <w:rFonts w:ascii="宋体" w:hAnsi="宋体"/>
          <w:b/>
          <w:bCs/>
          <w:sz w:val="24"/>
          <w:szCs w:val="20"/>
        </w:rPr>
      </w:pPr>
      <w:r>
        <w:rPr>
          <w:bCs/>
          <w:szCs w:val="21"/>
        </w:rPr>
        <w:t>5</w:t>
      </w:r>
      <w:r>
        <w:rPr>
          <w:rFonts w:hint="eastAsia"/>
          <w:bCs/>
          <w:szCs w:val="21"/>
        </w:rPr>
        <w:t>、除采购合同继续履行将损害国家利益和社会公共利益外，双方当事人不得擅自变更、中止或者终止合同。</w:t>
      </w:r>
      <w:bookmarkEnd w:id="36"/>
      <w:r>
        <w:br w:type="page"/>
      </w:r>
    </w:p>
    <w:p>
      <w:pPr>
        <w:pStyle w:val="7"/>
        <w:rPr>
          <w:sz w:val="28"/>
          <w:szCs w:val="28"/>
        </w:rPr>
      </w:pPr>
      <w:r>
        <w:rPr>
          <w:rFonts w:hint="eastAsia"/>
          <w:sz w:val="28"/>
          <w:szCs w:val="28"/>
        </w:rPr>
        <w:t>第四章 投标文件组成要求及格式</w:t>
      </w:r>
    </w:p>
    <w:p>
      <w:pPr>
        <w:widowControl/>
        <w:jc w:val="left"/>
        <w:rPr>
          <w:rFonts w:ascii="宋体" w:hAnsi="宋体"/>
          <w:sz w:val="24"/>
        </w:rPr>
      </w:pPr>
    </w:p>
    <w:p>
      <w:pPr>
        <w:rPr>
          <w:rFonts w:ascii="宋体" w:hAnsi="宋体"/>
          <w:b/>
          <w:bCs/>
          <w:sz w:val="24"/>
        </w:rPr>
      </w:pPr>
      <w:r>
        <w:rPr>
          <w:rFonts w:hint="eastAsia" w:ascii="宋体" w:hAnsi="宋体"/>
          <w:b/>
          <w:bCs/>
          <w:sz w:val="24"/>
        </w:rPr>
        <w:t>投标文件组成主要包括以下内容：</w:t>
      </w:r>
    </w:p>
    <w:p>
      <w:pPr>
        <w:ind w:firstLine="420" w:firstLineChars="200"/>
        <w:rPr>
          <w:szCs w:val="21"/>
        </w:rPr>
      </w:pPr>
    </w:p>
    <w:p>
      <w:pPr>
        <w:ind w:firstLine="420" w:firstLineChars="200"/>
        <w:rPr>
          <w:szCs w:val="21"/>
        </w:rPr>
      </w:pPr>
      <w:r>
        <w:rPr>
          <w:rFonts w:hint="eastAsia"/>
          <w:szCs w:val="21"/>
        </w:rPr>
        <w:t>（1）</w:t>
      </w:r>
      <w:bookmarkStart w:id="37" w:name="_Hlk72070784"/>
      <w:r>
        <w:rPr>
          <w:rFonts w:hint="eastAsia"/>
          <w:szCs w:val="21"/>
        </w:rPr>
        <w:t>投标函</w:t>
      </w:r>
      <w:bookmarkEnd w:id="37"/>
    </w:p>
    <w:p>
      <w:pPr>
        <w:ind w:firstLine="420" w:firstLineChars="200"/>
        <w:rPr>
          <w:szCs w:val="21"/>
        </w:rPr>
      </w:pPr>
      <w:r>
        <w:rPr>
          <w:rFonts w:hint="eastAsia"/>
          <w:szCs w:val="21"/>
        </w:rPr>
        <w:t>（2）采购投标及履约承诺函</w:t>
      </w:r>
    </w:p>
    <w:p>
      <w:pPr>
        <w:ind w:firstLine="420" w:firstLineChars="200"/>
        <w:rPr>
          <w:szCs w:val="21"/>
        </w:rPr>
      </w:pPr>
      <w:r>
        <w:rPr>
          <w:rFonts w:hint="eastAsia"/>
          <w:szCs w:val="21"/>
        </w:rPr>
        <w:t>（</w:t>
      </w:r>
      <w:r>
        <w:rPr>
          <w:szCs w:val="21"/>
        </w:rPr>
        <w:t>3</w:t>
      </w:r>
      <w:r>
        <w:rPr>
          <w:rFonts w:hint="eastAsia"/>
          <w:szCs w:val="21"/>
        </w:rPr>
        <w:t>）投标人情况及资格证明文件</w:t>
      </w:r>
    </w:p>
    <w:p>
      <w:pPr>
        <w:ind w:firstLine="420" w:firstLineChars="200"/>
        <w:rPr>
          <w:szCs w:val="21"/>
        </w:rPr>
      </w:pPr>
      <w:bookmarkStart w:id="38" w:name="_Hlk72257201"/>
      <w:r>
        <w:rPr>
          <w:rFonts w:hint="eastAsia"/>
          <w:szCs w:val="21"/>
        </w:rPr>
        <w:t>（</w:t>
      </w:r>
      <w:r>
        <w:rPr>
          <w:szCs w:val="21"/>
        </w:rPr>
        <w:t>4</w:t>
      </w:r>
      <w:r>
        <w:rPr>
          <w:rFonts w:hint="eastAsia"/>
          <w:szCs w:val="21"/>
        </w:rPr>
        <w:t>）项目详细报价</w:t>
      </w:r>
      <w:bookmarkEnd w:id="38"/>
    </w:p>
    <w:p>
      <w:pPr>
        <w:ind w:firstLine="420" w:firstLineChars="200"/>
        <w:rPr>
          <w:szCs w:val="21"/>
        </w:rPr>
      </w:pPr>
      <w:r>
        <w:rPr>
          <w:rFonts w:hint="eastAsia"/>
          <w:szCs w:val="21"/>
        </w:rPr>
        <w:t>（5）法定代表人（负责人）证明书</w:t>
      </w:r>
    </w:p>
    <w:p>
      <w:pPr>
        <w:ind w:firstLine="420" w:firstLineChars="200"/>
        <w:rPr>
          <w:szCs w:val="21"/>
        </w:rPr>
      </w:pPr>
      <w:r>
        <w:rPr>
          <w:rFonts w:hint="eastAsia"/>
          <w:szCs w:val="21"/>
        </w:rPr>
        <w:t>（6）投标文件签署授权委托书</w:t>
      </w:r>
    </w:p>
    <w:p>
      <w:pPr>
        <w:ind w:firstLine="420" w:firstLineChars="200"/>
        <w:rPr>
          <w:szCs w:val="21"/>
        </w:rPr>
      </w:pPr>
      <w:r>
        <w:rPr>
          <w:rFonts w:hint="eastAsia"/>
          <w:szCs w:val="21"/>
        </w:rPr>
        <w:t>（7）实质性条款响应情况表</w:t>
      </w:r>
    </w:p>
    <w:p>
      <w:pPr>
        <w:ind w:firstLine="420" w:firstLineChars="200"/>
        <w:rPr>
          <w:szCs w:val="21"/>
        </w:rPr>
      </w:pPr>
      <w:r>
        <w:rPr>
          <w:rFonts w:hint="eastAsia"/>
          <w:szCs w:val="21"/>
        </w:rPr>
        <w:t>（8）实施方案（格式自定）</w:t>
      </w:r>
    </w:p>
    <w:p>
      <w:pPr>
        <w:ind w:firstLine="420" w:firstLineChars="200"/>
        <w:rPr>
          <w:szCs w:val="21"/>
        </w:rPr>
      </w:pPr>
      <w:r>
        <w:rPr>
          <w:rFonts w:hint="eastAsia"/>
          <w:szCs w:val="21"/>
        </w:rPr>
        <w:t>（9）项目重点难点分析、应对措施及相关的合理化建议（格式自定）</w:t>
      </w:r>
    </w:p>
    <w:p>
      <w:pPr>
        <w:ind w:firstLine="420" w:firstLineChars="200"/>
        <w:rPr>
          <w:szCs w:val="21"/>
        </w:rPr>
      </w:pPr>
      <w:r>
        <w:rPr>
          <w:rFonts w:hint="eastAsia"/>
          <w:szCs w:val="21"/>
        </w:rPr>
        <w:t>（10）质量保障措施（格式自定）</w:t>
      </w:r>
    </w:p>
    <w:p>
      <w:pPr>
        <w:ind w:firstLine="420" w:firstLineChars="200"/>
        <w:rPr>
          <w:szCs w:val="21"/>
        </w:rPr>
      </w:pPr>
      <w:r>
        <w:rPr>
          <w:rFonts w:hint="eastAsia"/>
          <w:szCs w:val="21"/>
        </w:rPr>
        <w:t>（11）拟安排的项目负责人（仅限1人）情况（格式自定）</w:t>
      </w:r>
    </w:p>
    <w:p>
      <w:pPr>
        <w:ind w:firstLine="420" w:firstLineChars="200"/>
        <w:rPr>
          <w:szCs w:val="21"/>
        </w:rPr>
      </w:pPr>
      <w:r>
        <w:rPr>
          <w:rFonts w:hint="eastAsia"/>
          <w:szCs w:val="21"/>
        </w:rPr>
        <w:t>（12）拟安排的技术负责人（格式自定）</w:t>
      </w:r>
    </w:p>
    <w:p>
      <w:pPr>
        <w:ind w:firstLine="420" w:firstLineChars="200"/>
        <w:rPr>
          <w:szCs w:val="21"/>
        </w:rPr>
      </w:pPr>
      <w:r>
        <w:rPr>
          <w:rFonts w:hint="eastAsia"/>
          <w:szCs w:val="21"/>
        </w:rPr>
        <w:t>（13）拟安排的项目团队主要成员（项目负责人除外）情况（格式自定）</w:t>
      </w:r>
    </w:p>
    <w:p>
      <w:pPr>
        <w:ind w:firstLine="420" w:firstLineChars="200"/>
        <w:rPr>
          <w:szCs w:val="21"/>
        </w:rPr>
      </w:pPr>
      <w:r>
        <w:rPr>
          <w:rFonts w:hint="eastAsia"/>
          <w:szCs w:val="21"/>
        </w:rPr>
        <w:t>（14）投标人通过相关认证情况（格式自定）</w:t>
      </w:r>
    </w:p>
    <w:p>
      <w:pPr>
        <w:ind w:firstLine="420" w:firstLineChars="200"/>
        <w:rPr>
          <w:szCs w:val="21"/>
        </w:rPr>
      </w:pPr>
      <w:r>
        <w:rPr>
          <w:rFonts w:hint="eastAsia"/>
          <w:szCs w:val="21"/>
        </w:rPr>
        <w:t>（15）同类项目业绩情况（格式自定）</w:t>
      </w:r>
    </w:p>
    <w:p>
      <w:pPr>
        <w:ind w:firstLine="420" w:firstLineChars="200"/>
        <w:rPr>
          <w:szCs w:val="21"/>
        </w:rPr>
      </w:pPr>
      <w:r>
        <w:rPr>
          <w:rFonts w:hint="eastAsia"/>
          <w:szCs w:val="21"/>
        </w:rPr>
        <w:t>（16）自主创新能力（格式自定）</w:t>
      </w:r>
    </w:p>
    <w:p>
      <w:pPr>
        <w:ind w:firstLine="420" w:firstLineChars="200"/>
        <w:rPr>
          <w:szCs w:val="21"/>
        </w:rPr>
      </w:pPr>
      <w:r>
        <w:rPr>
          <w:rFonts w:hint="eastAsia"/>
          <w:szCs w:val="21"/>
        </w:rPr>
        <w:t>（17）服务网点</w:t>
      </w:r>
    </w:p>
    <w:p>
      <w:pPr>
        <w:ind w:firstLine="420" w:firstLineChars="200"/>
        <w:rPr>
          <w:szCs w:val="21"/>
        </w:rPr>
      </w:pPr>
      <w:r>
        <w:rPr>
          <w:rFonts w:hint="eastAsia"/>
          <w:szCs w:val="21"/>
        </w:rPr>
        <w:t>（18）投标人认为需要加以说明的其他内容（格式自定）</w:t>
      </w:r>
    </w:p>
    <w:p>
      <w:pPr>
        <w:rPr>
          <w:rFonts w:ascii="仿宋_GB2312" w:eastAsia="仿宋_GB2312"/>
          <w:sz w:val="24"/>
        </w:rPr>
      </w:pPr>
    </w:p>
    <w:p>
      <w:pPr>
        <w:ind w:firstLine="426" w:firstLineChars="202"/>
        <w:rPr>
          <w:rFonts w:ascii="宋体" w:hAnsi="宋体"/>
          <w:b/>
          <w:szCs w:val="21"/>
        </w:rPr>
      </w:pPr>
      <w:r>
        <w:rPr>
          <w:rFonts w:hint="eastAsia" w:ascii="宋体" w:hAnsi="宋体"/>
          <w:b/>
          <w:szCs w:val="21"/>
        </w:rPr>
        <w:t>备注：</w:t>
      </w:r>
    </w:p>
    <w:p>
      <w:pPr>
        <w:ind w:firstLine="426" w:firstLineChars="202"/>
        <w:rPr>
          <w:rFonts w:ascii="宋体" w:hAnsi="宋体"/>
          <w:b/>
          <w:szCs w:val="21"/>
        </w:rPr>
      </w:pPr>
      <w:r>
        <w:rPr>
          <w:rFonts w:hint="eastAsia" w:ascii="宋体" w:hAnsi="宋体"/>
          <w:b/>
          <w:szCs w:val="21"/>
        </w:rPr>
        <w:t>1.本项目为网上电子投标项目，投标文件不需法人或授权委托人另行签字，无需加盖单位公章，采购文件专用条款另有规定的除外。</w:t>
      </w:r>
    </w:p>
    <w:p>
      <w:pPr>
        <w:ind w:firstLine="426" w:firstLineChars="202"/>
        <w:rPr>
          <w:rFonts w:ascii="宋体" w:hAnsi="宋体"/>
          <w:b/>
          <w:szCs w:val="21"/>
        </w:rPr>
      </w:pPr>
      <w:r>
        <w:rPr>
          <w:rFonts w:hint="eastAsia" w:ascii="宋体" w:hAnsi="宋体"/>
          <w:b/>
          <w:szCs w:val="21"/>
        </w:rPr>
        <w:t>2.关于填写“开标一览表”的说明：“开标一览表”中除“投标报价”外，其他信息不作评审依据。</w:t>
      </w:r>
    </w:p>
    <w:p>
      <w:pPr>
        <w:pStyle w:val="2"/>
      </w:pPr>
      <w:r>
        <w:rPr>
          <w:rFonts w:hint="eastAsia"/>
        </w:rPr>
        <w:br w:type="page"/>
      </w:r>
    </w:p>
    <w:p>
      <w:pPr>
        <w:pStyle w:val="5"/>
        <w:jc w:val="center"/>
        <w:rPr>
          <w:rFonts w:ascii="黑体" w:eastAsia="黑体"/>
          <w:b w:val="0"/>
          <w:kern w:val="0"/>
          <w:sz w:val="24"/>
        </w:rPr>
      </w:pPr>
      <w:r>
        <w:rPr>
          <w:rFonts w:hint="eastAsia" w:ascii="黑体" w:eastAsia="黑体"/>
          <w:b w:val="0"/>
          <w:kern w:val="0"/>
          <w:sz w:val="24"/>
        </w:rPr>
        <w:t>一、投标函</w:t>
      </w:r>
    </w:p>
    <w:p>
      <w:pPr>
        <w:spacing w:line="360" w:lineRule="auto"/>
        <w:rPr>
          <w:rFonts w:ascii="宋体" w:hAnsi="宋体"/>
          <w:color w:val="000000" w:themeColor="text1"/>
          <w:szCs w:val="21"/>
          <w14:textFill>
            <w14:solidFill>
              <w14:schemeClr w14:val="tx1"/>
            </w14:solidFill>
          </w14:textFill>
        </w:rPr>
      </w:pPr>
      <w:r>
        <w:rPr>
          <w:rFonts w:hint="eastAsia" w:ascii="宋体" w:hAnsi="宋体"/>
          <w:szCs w:val="21"/>
        </w:rPr>
        <w:t>致：</w:t>
      </w:r>
      <w:r>
        <w:rPr>
          <w:rFonts w:hint="eastAsia" w:ascii="宋体" w:hAnsi="宋体"/>
          <w:szCs w:val="21"/>
          <w:u w:val="single"/>
        </w:rPr>
        <w:t xml:space="preserve"> </w:t>
      </w:r>
      <w:r>
        <w:rPr>
          <w:rFonts w:hint="eastAsia" w:ascii="宋体" w:hAnsi="宋体"/>
          <w:color w:val="000000" w:themeColor="text1"/>
          <w:szCs w:val="21"/>
          <w:u w:val="single"/>
          <w14:textFill>
            <w14:solidFill>
              <w14:schemeClr w14:val="tx1"/>
            </w14:solidFill>
          </w14:textFill>
        </w:rPr>
        <w:t xml:space="preserve"> 深圳公共资源交易中心  </w:t>
      </w:r>
    </w:p>
    <w:p>
      <w:pPr>
        <w:ind w:firstLine="420" w:firstLineChars="200"/>
        <w:rPr>
          <w:rFonts w:ascii="宋体" w:hAnsi="宋体"/>
          <w:szCs w:val="21"/>
        </w:rPr>
      </w:pPr>
      <w:bookmarkStart w:id="39" w:name="_Hlk73818812"/>
      <w:r>
        <w:rPr>
          <w:rFonts w:hint="eastAsia"/>
          <w:szCs w:val="21"/>
        </w:rPr>
        <w:t>1、根据已收到贵单位的项目编号为</w:t>
      </w:r>
      <w:r>
        <w:rPr>
          <w:szCs w:val="21"/>
          <w:u w:val="single"/>
        </w:rPr>
        <w:t xml:space="preserve">   </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项目的采购文件，遵照《深圳经济特区政府采购条例》和《深圳网上政府采购管理暂行办法》等有关规定，我单位经研究上述采购文件的专用条款及通用条款后，</w:t>
      </w:r>
      <w:bookmarkStart w:id="40" w:name="_Hlk72263588"/>
      <w:r>
        <w:rPr>
          <w:rFonts w:hint="eastAsia"/>
          <w:szCs w:val="21"/>
        </w:rPr>
        <w:t>愿意按照采购文件要求承包上述项目并修补其任何缺陷。</w:t>
      </w:r>
      <w:bookmarkEnd w:id="40"/>
    </w:p>
    <w:p>
      <w:pPr>
        <w:ind w:firstLine="420" w:firstLineChars="200"/>
        <w:rPr>
          <w:rFonts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投标书编制软件中《开标一览表》中填写的投标报价。</w:t>
      </w:r>
    </w:p>
    <w:p>
      <w:pPr>
        <w:ind w:firstLine="420" w:firstLineChars="200"/>
        <w:rPr>
          <w:rFonts w:ascii="宋体" w:hAnsi="宋体"/>
          <w:szCs w:val="21"/>
        </w:rPr>
      </w:pPr>
      <w:r>
        <w:rPr>
          <w:rFonts w:hint="eastAsia" w:ascii="宋体" w:hAnsi="宋体"/>
          <w:szCs w:val="21"/>
        </w:rPr>
        <w:t>3、如果我单位中标，我单位将按照采购文件的要求提交履约担保。</w:t>
      </w:r>
    </w:p>
    <w:p>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pPr>
        <w:ind w:left="525" w:leftChars="200" w:hanging="105" w:hangingChars="50"/>
        <w:rPr>
          <w:rFonts w:ascii="宋体" w:hAnsi="宋体"/>
          <w:szCs w:val="21"/>
        </w:rPr>
      </w:pPr>
      <w:r>
        <w:rPr>
          <w:rFonts w:hint="eastAsia" w:ascii="宋体" w:hAnsi="宋体"/>
          <w:szCs w:val="21"/>
        </w:rPr>
        <w:t>6、我单位理解贵单位将不受必须接受所收到的最低报价或其他任何投标文件的约束。</w:t>
      </w:r>
      <w:bookmarkEnd w:id="39"/>
    </w:p>
    <w:p>
      <w:pPr>
        <w:ind w:firstLine="420" w:firstLineChars="200"/>
        <w:rPr>
          <w:rFonts w:ascii="宋体" w:hAnsi="宋体"/>
          <w:szCs w:val="21"/>
        </w:rPr>
      </w:pPr>
      <w:r>
        <w:rPr>
          <w:rFonts w:hint="eastAsia" w:ascii="宋体" w:hAnsi="宋体"/>
          <w:szCs w:val="21"/>
        </w:rPr>
        <w:t>7、如我单位按项目要求提供样品，且未在规定时间内取回样品的，视同放弃取回，同意深圳公共资源交易中心对样品进行清理。</w:t>
      </w:r>
    </w:p>
    <w:p>
      <w:pPr>
        <w:ind w:left="540" w:leftChars="257"/>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pPr>
        <w:ind w:left="540" w:leftChars="257"/>
        <w:rPr>
          <w:szCs w:val="21"/>
          <w:u w:val="single"/>
        </w:rPr>
      </w:pPr>
      <w:r>
        <w:rPr>
          <w:rFonts w:hint="eastAsia"/>
          <w:szCs w:val="21"/>
        </w:rPr>
        <w:t>法定代表人（负责人）或其委托代理人：</w:t>
      </w:r>
      <w:r>
        <w:rPr>
          <w:rFonts w:hint="eastAsia"/>
          <w:szCs w:val="21"/>
          <w:u w:val="single"/>
        </w:rPr>
        <w:t xml:space="preserve">                   </w:t>
      </w:r>
    </w:p>
    <w:p>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邮箱：</w:t>
      </w:r>
      <w:r>
        <w:rPr>
          <w:rFonts w:hint="eastAsia"/>
          <w:szCs w:val="21"/>
          <w:u w:val="single"/>
        </w:rPr>
        <w:t xml:space="preserve">            </w:t>
      </w:r>
    </w:p>
    <w:p>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firstLine="539" w:firstLineChars="257"/>
        <w:rPr>
          <w:sz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sz w:val="24"/>
        </w:rPr>
        <w:t xml:space="preserve">                                </w:t>
      </w:r>
    </w:p>
    <w:p>
      <w:pPr>
        <w:rPr>
          <w:rFonts w:ascii="黑体" w:hAnsi="宋体" w:eastAsia="黑体"/>
        </w:rPr>
      </w:pPr>
    </w:p>
    <w:p>
      <w:pPr>
        <w:rPr>
          <w:rFonts w:ascii="黑体" w:hAnsi="宋体" w:eastAsia="黑体"/>
        </w:rPr>
      </w:pPr>
    </w:p>
    <w:p>
      <w:pPr>
        <w:pStyle w:val="5"/>
        <w:jc w:val="center"/>
        <w:rPr>
          <w:rFonts w:ascii="黑体" w:eastAsia="黑体"/>
          <w:b w:val="0"/>
          <w:kern w:val="0"/>
          <w:sz w:val="24"/>
        </w:rPr>
      </w:pPr>
      <w:r>
        <w:rPr>
          <w:rFonts w:hint="eastAsia" w:ascii="黑体" w:eastAsia="黑体"/>
          <w:b w:val="0"/>
          <w:kern w:val="0"/>
          <w:sz w:val="24"/>
        </w:rPr>
        <w:t>二、采购投标及履约承诺函</w:t>
      </w:r>
    </w:p>
    <w:p>
      <w:pPr>
        <w:rPr>
          <w:rFonts w:ascii="宋体" w:hAnsi="宋体"/>
          <w:sz w:val="24"/>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color w:val="000000" w:themeColor="text1"/>
          <w:szCs w:val="21"/>
          <w:u w:val="single"/>
          <w14:textFill>
            <w14:solidFill>
              <w14:schemeClr w14:val="tx1"/>
            </w14:solidFill>
          </w14:textFill>
        </w:rPr>
        <w:t>深圳公共资源交易中心</w:t>
      </w:r>
    </w:p>
    <w:p>
      <w:pPr>
        <w:ind w:right="-815" w:firstLine="420" w:firstLineChars="200"/>
        <w:rPr>
          <w:rFonts w:ascii="宋体" w:hAnsi="宋体"/>
          <w:szCs w:val="21"/>
        </w:rPr>
      </w:pPr>
      <w:r>
        <w:rPr>
          <w:rFonts w:hint="eastAsia" w:ascii="宋体" w:hAnsi="宋体"/>
          <w:szCs w:val="21"/>
        </w:rPr>
        <w:t>我单位承诺：</w:t>
      </w:r>
    </w:p>
    <w:p>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pPr>
        <w:ind w:firstLine="420" w:firstLineChars="200"/>
        <w:rPr>
          <w:rFonts w:ascii="宋体" w:hAnsi="宋体"/>
          <w:szCs w:val="21"/>
        </w:rPr>
      </w:pPr>
      <w:r>
        <w:rPr>
          <w:rFonts w:hint="eastAsia" w:ascii="宋体" w:hAnsi="宋体"/>
          <w:szCs w:val="21"/>
        </w:rPr>
        <w:t>2.我单位参与本项目</w:t>
      </w:r>
      <w:r>
        <w:rPr>
          <w:rFonts w:hint="eastAsia"/>
        </w:rPr>
        <w:t>采购活动时不存在被有关部门禁止参与政府采购活动且在有效期内的情况。符合采购文件关于联合体及进口产品的相关资格要求。</w:t>
      </w:r>
    </w:p>
    <w:p>
      <w:pPr>
        <w:ind w:firstLine="420" w:firstLineChars="200"/>
        <w:rPr>
          <w:rFonts w:ascii="宋体" w:hAnsi="宋体"/>
          <w:szCs w:val="21"/>
        </w:rPr>
      </w:pPr>
      <w:r>
        <w:rPr>
          <w:rFonts w:hint="eastAsia" w:ascii="宋体" w:hAnsi="宋体"/>
          <w:szCs w:val="21"/>
        </w:rPr>
        <w:t>3.我单位具备《中华人民共和国政府采购法》第二十二条第一款的条件。</w:t>
      </w:r>
    </w:p>
    <w:p>
      <w:pPr>
        <w:ind w:firstLine="420" w:firstLineChars="200"/>
      </w:pPr>
      <w:r>
        <w:rPr>
          <w:rFonts w:hint="eastAsia" w:ascii="宋体" w:hAnsi="宋体"/>
          <w:szCs w:val="21"/>
        </w:rPr>
        <w:t>4.我单位</w:t>
      </w:r>
      <w:r>
        <w:rPr>
          <w:rFonts w:hint="eastAsia"/>
        </w:rPr>
        <w:t>未被列入失信被执行人、重大税收违法案件当事人名单、政府采购严重违法失信行为记录名单。</w:t>
      </w:r>
    </w:p>
    <w:p>
      <w:pPr>
        <w:ind w:firstLine="420" w:firstLineChars="200"/>
      </w:pPr>
      <w:r>
        <w:rPr>
          <w:rFonts w:hint="eastAsia"/>
          <w:color w:val="FF0000"/>
        </w:rPr>
        <w:t>5.我单位不存在《深圳市财政局政府采购供应商信用信息管理办法》（深财规〔2023〕3号）列明的严重违法失信行为。</w:t>
      </w:r>
    </w:p>
    <w:p>
      <w:pPr>
        <w:ind w:firstLine="420" w:firstLineChars="200"/>
        <w:rPr>
          <w:rFonts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0" w:firstLineChars="200"/>
        <w:rPr>
          <w:rFonts w:ascii="宋体" w:hAnsi="宋体"/>
          <w:szCs w:val="21"/>
        </w:rPr>
      </w:pPr>
      <w:r>
        <w:rPr>
          <w:rFonts w:hint="eastAsia" w:ascii="宋体" w:hAnsi="宋体"/>
          <w:szCs w:val="21"/>
        </w:rPr>
        <w:t>7.我单位如果中标，做到守信，不偷工减料，依照本项目采购文件需求内容、签署的采购合同及本单位在投标中所作的一切承诺履约。我单位对本项目的报价负责，中标后将严格按照本项目采购文件需求、签署的采购合同及我单位在投标中所作的全部承诺履行。</w:t>
      </w:r>
    </w:p>
    <w:p>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szCs w:val="21"/>
        </w:rPr>
      </w:pPr>
      <w:r>
        <w:rPr>
          <w:rFonts w:hint="eastAsia" w:ascii="宋体" w:hAnsi="宋体"/>
          <w:szCs w:val="21"/>
        </w:rPr>
        <w:t>9.我单位承诺中标后项目不转包，未经采购人同意不进行分包。</w:t>
      </w:r>
    </w:p>
    <w:p>
      <w:pPr>
        <w:ind w:firstLine="420" w:firstLineChars="200"/>
        <w:rPr>
          <w:rFonts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ascii="宋体" w:hAnsi="宋体" w:cs="宋体"/>
          <w:b/>
          <w:kern w:val="0"/>
          <w:szCs w:val="21"/>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工业和信息化部关于印发&lt;绿色数据中心政府采购需求标准（试行）&gt;的通知》（财库〔2023〕7号）要求。若所投产品涉及国家强制性标准的，所投产品应符合国家强制性标准相关要求。</w:t>
      </w:r>
    </w:p>
    <w:p>
      <w:pPr>
        <w:ind w:firstLine="420" w:firstLineChars="200"/>
        <w:rPr>
          <w:rFonts w:ascii="宋体" w:hAnsi="宋体"/>
          <w:bCs/>
        </w:rPr>
      </w:pPr>
      <w:r>
        <w:rPr>
          <w:rFonts w:hint="eastAsia" w:ascii="宋体" w:hAnsi="宋体" w:cs="宋体"/>
          <w:bCs/>
          <w:kern w:val="0"/>
          <w:szCs w:val="21"/>
        </w:rPr>
        <w:t>12.</w:t>
      </w:r>
      <w:r>
        <w:rPr>
          <w:rFonts w:hint="eastAsia" w:ascii="宋体" w:hAnsi="宋体"/>
          <w:bCs/>
        </w:rPr>
        <w:t>我单位已知悉并同意中标（成交）结果信息公示的内容。</w:t>
      </w:r>
    </w:p>
    <w:p>
      <w:pPr>
        <w:ind w:firstLine="420" w:firstLineChars="200"/>
        <w:rPr>
          <w:rFonts w:ascii="宋体" w:hAnsi="宋体"/>
          <w:bCs/>
        </w:rPr>
      </w:pPr>
      <w:r>
        <w:rPr>
          <w:rFonts w:hint="eastAsia" w:ascii="宋体" w:hAnsi="宋体"/>
          <w:bCs/>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宋体" w:hAnsi="宋体"/>
          <w:bCs/>
          <w:color w:val="FF0000"/>
        </w:rPr>
        <w:t>若存在“不同供应商的董事、股东或其他高级管理人员为同一人的”情形的，我单位保证不存在串通投标、恶意串通或者视为串通投标的情形。</w:t>
      </w:r>
    </w:p>
    <w:p>
      <w:pPr>
        <w:ind w:firstLine="422" w:firstLineChars="200"/>
        <w:rPr>
          <w:rFonts w:ascii="宋体" w:hAnsi="宋体"/>
          <w:b/>
        </w:rPr>
      </w:pPr>
      <w:r>
        <w:rPr>
          <w:rFonts w:hint="eastAsia" w:ascii="宋体" w:hAnsi="宋体"/>
          <w:b/>
        </w:rPr>
        <w:t>14.我单位清楚，如存在违反投标承诺行为情节严重的，将根据《深圳市财政局关于印发&lt;深圳市财政局政府采购供应商信用信息管理办法&gt;的通知》，依法被列入失信信息。</w:t>
      </w:r>
    </w:p>
    <w:p>
      <w:pPr>
        <w:ind w:firstLine="420" w:firstLineChars="200"/>
        <w:rPr>
          <w:rFonts w:ascii="宋体" w:hAnsi="宋体"/>
          <w:bCs/>
        </w:rPr>
      </w:pPr>
      <w:r>
        <w:rPr>
          <w:rFonts w:hint="eastAsia" w:ascii="宋体" w:hAnsi="宋体"/>
          <w:bCs/>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pPr>
        <w:ind w:firstLine="420" w:firstLineChars="200"/>
        <w:rPr>
          <w:rFonts w:ascii="宋体" w:hAnsi="宋体"/>
          <w:szCs w:val="21"/>
        </w:rPr>
      </w:pPr>
    </w:p>
    <w:p>
      <w:pPr>
        <w:spacing w:before="78" w:beforeLines="25" w:after="78" w:afterLines="25"/>
        <w:ind w:firstLine="5460" w:firstLineChars="2600"/>
        <w:rPr>
          <w:rFonts w:ascii="宋体" w:hAnsi="宋体"/>
          <w:szCs w:val="21"/>
        </w:rPr>
      </w:pPr>
      <w:r>
        <w:rPr>
          <w:rFonts w:hint="eastAsia" w:ascii="宋体" w:hAnsi="宋体"/>
          <w:szCs w:val="21"/>
        </w:rPr>
        <w:t xml:space="preserve">                                    </w:t>
      </w:r>
    </w:p>
    <w:p>
      <w:pPr>
        <w:spacing w:before="78" w:beforeLines="25" w:after="78" w:afterLines="25"/>
        <w:ind w:firstLine="5460" w:firstLineChars="26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投标人：</w:t>
      </w:r>
      <w:r>
        <w:rPr>
          <w:rFonts w:hint="eastAsia"/>
          <w:color w:val="000000" w:themeColor="text1"/>
          <w:szCs w:val="21"/>
          <w:u w:val="single"/>
          <w14:textFill>
            <w14:solidFill>
              <w14:schemeClr w14:val="tx1"/>
            </w14:solidFill>
          </w14:textFill>
        </w:rPr>
        <w:t xml:space="preserve">              </w:t>
      </w:r>
    </w:p>
    <w:p>
      <w:pPr>
        <w:ind w:firstLine="64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日期：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p/>
    <w:p>
      <w:pPr>
        <w:pStyle w:val="5"/>
        <w:spacing w:before="120" w:after="120"/>
        <w:jc w:val="center"/>
        <w:rPr>
          <w:rFonts w:ascii="黑体" w:eastAsia="黑体"/>
          <w:b w:val="0"/>
          <w:kern w:val="0"/>
          <w:sz w:val="24"/>
        </w:rPr>
      </w:pPr>
      <w:r>
        <w:rPr>
          <w:rFonts w:hint="eastAsia" w:ascii="黑体" w:eastAsia="黑体"/>
          <w:b w:val="0"/>
          <w:kern w:val="0"/>
          <w:sz w:val="24"/>
        </w:rPr>
        <w:t>三、投标人情况及资格证明文件</w:t>
      </w:r>
    </w:p>
    <w:p>
      <w:pPr>
        <w:outlineLvl w:val="3"/>
        <w:rPr>
          <w:rFonts w:ascii="黑体" w:hAnsi="宋体" w:eastAsia="黑体"/>
          <w:bCs/>
          <w:kern w:val="0"/>
          <w:sz w:val="24"/>
          <w:szCs w:val="32"/>
        </w:rPr>
      </w:pPr>
      <w:r>
        <w:rPr>
          <w:rFonts w:hint="eastAsia" w:ascii="黑体" w:hAnsi="宋体" w:eastAsia="黑体"/>
          <w:bCs/>
          <w:kern w:val="0"/>
          <w:sz w:val="24"/>
          <w:szCs w:val="32"/>
        </w:rPr>
        <w:t>（一）投标人资格证明文件</w:t>
      </w:r>
    </w:p>
    <w:p>
      <w:pPr>
        <w:spacing w:before="156" w:beforeLines="50"/>
        <w:ind w:firstLine="422" w:firstLineChars="200"/>
        <w:rPr>
          <w:b/>
          <w:bCs/>
          <w:color w:val="FF0000"/>
        </w:rPr>
      </w:pPr>
      <w:r>
        <w:rPr>
          <w:rFonts w:hint="eastAsia"/>
          <w:b/>
          <w:bCs/>
          <w:color w:val="FF0000"/>
        </w:rPr>
        <w:t>（特别提示：投标人须按本采购文件第一册第一章采购公告 “投标人的资格要求”（即投标人资格要求）提供相关的资格证明资料，未提供或提供不完整、不符合要求的，将作投标无效处理，其中要求提供《采购投标及履约承诺函》且已在“二、采购投标及履约承诺函”章节中提供了，此处可不重复提供。）</w:t>
      </w:r>
    </w:p>
    <w:p/>
    <w:p>
      <w:pPr>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pPr>
        <w:ind w:firstLine="420" w:firstLineChars="200"/>
        <w:rPr>
          <w:rFonts w:ascii="黑体" w:hAnsi="黑体" w:eastAsia="黑体" w:cs="黑体"/>
          <w:color w:val="FF0000"/>
        </w:rPr>
      </w:pPr>
      <w:r>
        <w:rPr>
          <w:rFonts w:hint="eastAsia" w:ascii="黑体" w:hAnsi="黑体" w:eastAsia="黑体" w:cs="黑体"/>
          <w:color w:val="FF0000"/>
        </w:rPr>
        <w:t>填写指引：</w:t>
      </w:r>
    </w:p>
    <w:p>
      <w:pPr>
        <w:ind w:firstLine="420" w:firstLineChars="200"/>
        <w:outlineLvl w:val="3"/>
        <w:rPr>
          <w:rFonts w:ascii="黑体" w:hAnsi="黑体" w:eastAsia="黑体"/>
          <w:color w:val="FF0000"/>
          <w:szCs w:val="21"/>
        </w:rPr>
      </w:pPr>
      <w:r>
        <w:rPr>
          <w:rFonts w:hint="eastAsia" w:ascii="黑体" w:hAnsi="宋体" w:eastAsia="黑体"/>
          <w:bCs/>
          <w:color w:val="FF0000"/>
          <w:kern w:val="0"/>
          <w:szCs w:val="21"/>
        </w:rPr>
        <w:t>1、该部分内容由供应商根据自身实际情况填写，</w:t>
      </w:r>
      <w:r>
        <w:rPr>
          <w:rFonts w:hint="eastAsia" w:ascii="黑体" w:hAnsi="黑体" w:eastAsia="黑体"/>
          <w:color w:val="FF0000"/>
          <w:szCs w:val="21"/>
        </w:rPr>
        <w:t>投标（响应）供应商对《中小企业声明函》的真实性负责。投标（响应）供应商应当核实投标（响应）的服务承接商的相关信息，如对相关信息了解不充分，或者不能确定相关信息真实、准确的，不建议出具《中小企业声明函》；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20" w:firstLineChars="200"/>
        <w:outlineLvl w:val="3"/>
        <w:rPr>
          <w:rFonts w:ascii="黑体" w:hAnsi="黑体" w:eastAsia="黑体"/>
          <w:color w:val="FF0000"/>
          <w:szCs w:val="21"/>
        </w:rPr>
      </w:pPr>
      <w:r>
        <w:rPr>
          <w:rFonts w:hint="eastAsia" w:ascii="黑体" w:hAnsi="黑体" w:eastAsia="黑体"/>
          <w:color w:val="FF0000"/>
          <w:szCs w:val="21"/>
        </w:rPr>
        <w:t>2、该部分内容填写需要参考的相关文件：</w:t>
      </w:r>
    </w:p>
    <w:p>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41"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 号</w:t>
      </w:r>
      <w:bookmarkEnd w:id="41"/>
      <w:r>
        <w:rPr>
          <w:rFonts w:hint="eastAsia" w:ascii="黑体" w:hAnsi="黑体" w:eastAsia="黑体"/>
          <w:color w:val="FF0000"/>
          <w:szCs w:val="21"/>
        </w:rPr>
        <w:t>，以下简称3</w:t>
      </w:r>
      <w:r>
        <w:rPr>
          <w:rFonts w:ascii="黑体" w:hAnsi="黑体" w:eastAsia="黑体"/>
          <w:color w:val="FF0000"/>
          <w:szCs w:val="21"/>
        </w:rPr>
        <w:t>00</w:t>
      </w:r>
      <w:r>
        <w:rPr>
          <w:rFonts w:hint="eastAsia" w:ascii="黑体" w:hAnsi="黑体" w:eastAsia="黑体"/>
          <w:color w:val="FF0000"/>
          <w:szCs w:val="21"/>
        </w:rPr>
        <w:t>号文）</w:t>
      </w:r>
    </w:p>
    <w:p>
      <w:pPr>
        <w:ind w:firstLine="420" w:firstLineChars="200"/>
        <w:outlineLvl w:val="3"/>
        <w:rPr>
          <w:rFonts w:ascii="黑体" w:hAnsi="黑体" w:eastAsia="黑体"/>
          <w:color w:val="FF0000"/>
          <w:szCs w:val="21"/>
        </w:rPr>
      </w:pPr>
      <w:r>
        <w:rPr>
          <w:rFonts w:hint="eastAsia" w:ascii="黑体" w:hAnsi="黑体" w:eastAsia="黑体"/>
          <w:color w:val="FF0000"/>
          <w:szCs w:val="21"/>
        </w:rPr>
        <w:t>(3)《统计上大中小微型企业划分办法(2017)》（国统字〔2017〕213 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(4)《关于促进残疾人就业政府采购政策的通知》（财库〔2017〕141号）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4、声明函具体填写要求：</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第一处，在“单位名称”下划线处应填写采购人名称（深圳公共资源交易中心不是本项目的采购人，而是组织实施机构）；</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二处，在“项目名称”下划线处应按照采购文件中确定的项目名称填写。对于分包方式面向中小企业采购的项目，应标明中小企业的具体分包内容；对于以联合体方式面向中小企业采购的项目，应标明联合体中中小企业所承担的具体内容；</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三处，在“标的名称”下划线处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四处，在“采购文件中明确的所属行业”下划线处应填写采购文件中明确的采购标的所属行业，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承担部分采购标的涉及的服务承接商本身的所属行业保持一致；</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五处，在“企业名称”下划线处应填写投标（响应）的服务承接商。对于分包方式面向中小企业采购的项目，“企业名称”应填写分包部分采购标的对应的服务承接商。对于以联合体方式面向中小企业采购的项目，“企业名称”应填写联合体中中小企业承担采购标的对应的服务承接商。</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 xml:space="preserve">（2）从业人员、资产总额指标以上年度末数据为依据，营业收入指标以上年度累计数据为依据。无上年度数据的新成立企业可不填报。 </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（3）“中型企业/小型企业/微型企业”部分，供应商应依据企业上年度从业人员、营业收入、资产总额等指标，按照《中小企业划型标准规定》（工信部联企业〔2011〕300 号）、《金融业企业划型标准规定》（银发〔2015〕309 号），判断《中小企业声明函》载明的服务承接商是否属于采购文件所属行业的中型企业/小型企业/微型企业。</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（5）声明是残疾人福利性单位须填写《残疾人福利性单位声明函》的相关内容，具体参照以上《中小企业声明函》填写要求执行。</w:t>
      </w:r>
    </w:p>
    <w:p>
      <w:pPr>
        <w:ind w:firstLine="420" w:firstLineChars="200"/>
        <w:rPr>
          <w:rFonts w:ascii="黑体" w:hAnsi="宋体" w:eastAsia="黑体"/>
          <w:bCs/>
          <w:color w:val="FF0000"/>
          <w:kern w:val="0"/>
          <w:szCs w:val="21"/>
        </w:rPr>
      </w:pPr>
      <w:r>
        <w:rPr>
          <w:rFonts w:hint="eastAsia" w:ascii="黑体" w:hAnsi="宋体" w:eastAsia="黑体"/>
          <w:bCs/>
          <w:color w:val="FF0000"/>
          <w:kern w:val="0"/>
          <w:szCs w:val="21"/>
        </w:rPr>
        <w:t>（6）声明是监狱企业须填写《监狱企业声明函》的三项内容（填写位置的字体已加粗），具体参照以上《中小企业声明函》填写要求执行。</w:t>
      </w:r>
    </w:p>
    <w:p>
      <w:pPr>
        <w:ind w:firstLine="420" w:firstLineChars="200"/>
      </w:pPr>
      <w:r>
        <w:rPr>
          <w:rFonts w:hint="eastAsia" w:ascii="黑体" w:hAnsi="宋体" w:eastAsia="黑体"/>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ind w:firstLine="420" w:firstLineChars="200"/>
        <w:rPr>
          <w:rFonts w:ascii="黑体" w:hAnsi="黑体" w:eastAsia="黑体" w:cs="黑体"/>
          <w:color w:val="FF0000"/>
        </w:rPr>
      </w:pPr>
    </w:p>
    <w:p>
      <w:pPr>
        <w:ind w:firstLine="420" w:firstLineChars="200"/>
        <w:rPr>
          <w:rFonts w:ascii="黑体" w:hAnsi="黑体" w:eastAsia="黑体" w:cs="黑体"/>
          <w:color w:val="FF0000"/>
        </w:rPr>
      </w:pPr>
    </w:p>
    <w:p>
      <w:pPr>
        <w:ind w:firstLine="420" w:firstLineChars="200"/>
      </w:pPr>
    </w:p>
    <w:p>
      <w:pPr>
        <w:jc w:val="center"/>
        <w:outlineLvl w:val="3"/>
        <w:rPr>
          <w:b/>
          <w:sz w:val="24"/>
        </w:rPr>
      </w:pPr>
      <w:r>
        <w:rPr>
          <w:rFonts w:hint="eastAsia"/>
          <w:b/>
          <w:sz w:val="24"/>
        </w:rPr>
        <w:t>1、</w:t>
      </w:r>
      <w:r>
        <w:rPr>
          <w:b/>
          <w:sz w:val="24"/>
        </w:rPr>
        <w:t>中小企业声明函（</w:t>
      </w:r>
      <w:r>
        <w:rPr>
          <w:rFonts w:hint="eastAsia"/>
          <w:b/>
          <w:sz w:val="24"/>
        </w:rPr>
        <w:t>服务</w:t>
      </w:r>
      <w:r>
        <w:rPr>
          <w:b/>
          <w:sz w:val="24"/>
        </w:rPr>
        <w: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szCs w:val="21"/>
          <w:u w:val="single"/>
        </w:rPr>
        <w:t xml:space="preserve">    （单位名称）    </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b/>
          <w:bCs/>
          <w:i/>
          <w:iCs/>
          <w:szCs w:val="21"/>
          <w:u w:val="single"/>
        </w:rPr>
        <w:t xml:space="preserve">    （项目名称）    </w:t>
      </w:r>
      <w:r>
        <w:rPr>
          <w:rFonts w:hint="eastAsia" w:asciiTheme="minorEastAsia" w:hAnsiTheme="minorEastAsia" w:eastAsiaTheme="minorEastAsia" w:cstheme="minorEastAsia"/>
          <w:szCs w:val="21"/>
        </w:rPr>
        <w:t>采购活动，服务全部由符合政策要求的中小企业承接。相关企业（含联合体中的中小企业、签订分包意向协议的中小企业）的具体情况如下：</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b/>
          <w:bCs/>
          <w:i/>
          <w:i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i/>
          <w:iCs/>
          <w:szCs w:val="21"/>
          <w:u w:val="single"/>
        </w:rPr>
        <w:t xml:space="preserve">    （采购文件中明确的所属行业）    </w:t>
      </w:r>
      <w:r>
        <w:rPr>
          <w:rFonts w:hint="eastAsia" w:asciiTheme="minorEastAsia" w:hAnsiTheme="minorEastAsia" w:eastAsiaTheme="minorEastAsia" w:cstheme="minorEastAsia"/>
          <w:szCs w:val="21"/>
        </w:rPr>
        <w:t>行业；承接企业为</w:t>
      </w:r>
      <w:r>
        <w:rPr>
          <w:rFonts w:hint="eastAsia" w:asciiTheme="minorEastAsia" w:hAnsiTheme="minorEastAsia" w:eastAsiaTheme="minorEastAsia" w:cstheme="minorEastAsia"/>
          <w:b/>
          <w:bCs/>
          <w:i/>
          <w:iCs/>
          <w:szCs w:val="21"/>
          <w:u w:val="single"/>
        </w:rPr>
        <w:t xml:space="preserve">    （企业名称，要求承接企业本身所属行业应当与采购文件要求的行业相一致）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i/>
          <w:iCs/>
          <w:szCs w:val="21"/>
          <w:u w:val="single"/>
        </w:rPr>
        <w:t xml:space="preserve">    （中型企业、小型企业、微型企业）    </w:t>
      </w:r>
      <w:r>
        <w:rPr>
          <w:rFonts w:hint="eastAsia" w:asciiTheme="minorEastAsia" w:hAnsiTheme="minorEastAsia" w:eastAsiaTheme="minorEastAsia" w:cstheme="minorEastAsia"/>
          <w:szCs w:val="21"/>
        </w:rPr>
        <w: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b/>
          <w:bCs/>
          <w:i/>
          <w:i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i/>
          <w:iCs/>
          <w:szCs w:val="21"/>
          <w:u w:val="single"/>
        </w:rPr>
        <w:t xml:space="preserve">    （采购文件中明确的所属行业）    </w:t>
      </w:r>
      <w:r>
        <w:rPr>
          <w:rFonts w:hint="eastAsia" w:asciiTheme="minorEastAsia" w:hAnsiTheme="minorEastAsia" w:eastAsiaTheme="minorEastAsia" w:cstheme="minorEastAsia"/>
          <w:szCs w:val="21"/>
        </w:rPr>
        <w:t>行业；承接企业为</w:t>
      </w:r>
      <w:r>
        <w:rPr>
          <w:rFonts w:hint="eastAsia" w:asciiTheme="minorEastAsia" w:hAnsiTheme="minorEastAsia" w:eastAsiaTheme="minorEastAsia" w:cstheme="minorEastAsia"/>
          <w:b/>
          <w:bCs/>
          <w:i/>
          <w:iCs/>
          <w:szCs w:val="21"/>
          <w:u w:val="single"/>
        </w:rPr>
        <w:t xml:space="preserve">    （企业名称，要求承接企业本身所属行业应当与采购文件要求的行业相一致）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i/>
          <w:iCs/>
          <w:szCs w:val="21"/>
          <w:u w:val="single"/>
        </w:rPr>
        <w:t xml:space="preserve">    （中型企业、小型企业、微型企业）    </w:t>
      </w:r>
      <w:r>
        <w:rPr>
          <w:rFonts w:hint="eastAsia" w:asciiTheme="minorEastAsia" w:hAnsiTheme="minorEastAsia" w:eastAsiaTheme="minorEastAsia" w:cstheme="minorEastAsia"/>
          <w:szCs w:val="21"/>
        </w:rPr>
        <w: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以上企业，不属于大企业的分支机构，不存在控股股东为大企业的情形，也不存在与大企业的负责人为同一人的情形。</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本企业对上述声明内容的真实性负责。如有虚假，将依法承担相应责任。</w:t>
      </w:r>
    </w:p>
    <w:p>
      <w:pPr>
        <w:ind w:firstLine="420" w:firstLineChars="200"/>
        <w:rPr>
          <w:rFonts w:asciiTheme="minorEastAsia" w:hAnsiTheme="minorEastAsia" w:eastAsiaTheme="minorEastAsia" w:cstheme="minorEastAsia"/>
          <w:szCs w:val="21"/>
        </w:rPr>
      </w:pPr>
      <w:bookmarkStart w:id="42" w:name="_Hlk73562275"/>
      <w:r>
        <w:rPr>
          <w:rFonts w:hint="eastAsia" w:asciiTheme="minorEastAsia" w:hAnsiTheme="minorEastAsia" w:eastAsiaTheme="minorEastAsia" w:cstheme="minorEastAsia"/>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2"/>
    </w:p>
    <w:p>
      <w:pPr>
        <w:ind w:firstLine="420" w:firstLineChars="200"/>
      </w:pPr>
    </w:p>
    <w:p>
      <w:pPr>
        <w:jc w:val="center"/>
        <w:outlineLvl w:val="3"/>
        <w:rPr>
          <w:b/>
          <w:sz w:val="24"/>
        </w:rPr>
      </w:pPr>
      <w:r>
        <w:rPr>
          <w:rFonts w:hint="eastAsia"/>
          <w:b/>
          <w:sz w:val="24"/>
        </w:rPr>
        <w:t>2、残疾人福利性单位声明函（服务类）</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Cs w:val="21"/>
          <w:u w:val="single"/>
        </w:rPr>
        <w:t xml:space="preserve">    （单位名称）    </w:t>
      </w:r>
      <w:r>
        <w:rPr>
          <w:rFonts w:hint="eastAsia" w:asciiTheme="minorEastAsia" w:hAnsiTheme="minorEastAsia" w:eastAsiaTheme="minorEastAsia" w:cstheme="minorEastAsia"/>
          <w:szCs w:val="21"/>
        </w:rPr>
        <w:t>单位的</w:t>
      </w:r>
      <w:r>
        <w:rPr>
          <w:rFonts w:hint="eastAsia" w:asciiTheme="minorEastAsia" w:hAnsiTheme="minorEastAsia" w:eastAsiaTheme="minorEastAsia" w:cstheme="minorEastAsia"/>
          <w:b/>
          <w:bCs/>
          <w:i/>
          <w:iCs/>
          <w:szCs w:val="21"/>
          <w:u w:val="single"/>
        </w:rPr>
        <w:t xml:space="preserve">    （项目名称）    </w:t>
      </w:r>
      <w:r>
        <w:rPr>
          <w:rFonts w:hint="eastAsia" w:asciiTheme="minorEastAsia" w:hAnsiTheme="minorEastAsia" w:eastAsiaTheme="minorEastAsia" w:cstheme="minorEastAsia"/>
          <w:szCs w:val="21"/>
        </w:rPr>
        <w:t>项目采购活动由本单位提供服务。</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本单位对上述声明的真实性负责。如有虚假，将依法承担相应责任。</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本投标人已知悉《财政部民政部中国残疾人联合会关于促进残疾人就业政府采购政策的通知》（财库〔2017〕141号）的规定，承诺提供的声明函内容是真实的，如提供声明函内容不实，则依法追究相关法律责任。</w:t>
      </w: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pPr>
        <w:ind w:firstLine="420" w:firstLineChars="200"/>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pPr>
        <w:ind w:firstLine="420" w:firstLineChars="200"/>
        <w:rPr>
          <w:rFonts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ascii="宋体" w:hAnsi="宋体"/>
          <w:szCs w:val="21"/>
        </w:rPr>
        <w:t>；</w:t>
      </w:r>
    </w:p>
    <w:p>
      <w:pPr>
        <w:ind w:firstLine="420" w:firstLineChars="200"/>
        <w:rPr>
          <w:rFonts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hint="eastAsia" w:ascii="宋体" w:hAnsi="宋体"/>
          <w:szCs w:val="21"/>
        </w:rPr>
        <w:t>。</w:t>
      </w:r>
    </w:p>
    <w:p>
      <w:pPr>
        <w:ind w:firstLine="420" w:firstLineChars="200"/>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pPr>
        <w:ind w:firstLine="420" w:firstLineChars="200"/>
        <w:rPr>
          <w:rFonts w:ascii="宋体" w:hAnsi="宋体"/>
          <w:szCs w:val="21"/>
        </w:rPr>
      </w:pPr>
      <w:r>
        <w:rPr>
          <w:rFonts w:hint="eastAsia" w:ascii="宋体" w:hAnsi="宋体"/>
          <w:szCs w:val="21"/>
        </w:rPr>
        <w:t>附：省级以上监狱管理局、戒毒管理局（含新疆生产建设兵团）出具的监狱企业证明文件。</w:t>
      </w:r>
    </w:p>
    <w:p>
      <w:pPr>
        <w:outlineLvl w:val="3"/>
        <w:rPr>
          <w:rFonts w:ascii="黑体" w:hAnsi="宋体" w:eastAsia="黑体"/>
          <w:bCs/>
          <w:kern w:val="0"/>
          <w:sz w:val="24"/>
          <w:szCs w:val="32"/>
        </w:rPr>
      </w:pPr>
      <w:r>
        <w:rPr>
          <w:rFonts w:hint="eastAsia" w:ascii="黑体" w:hAnsi="宋体" w:eastAsia="黑体"/>
          <w:bCs/>
          <w:kern w:val="0"/>
          <w:sz w:val="24"/>
          <w:szCs w:val="32"/>
        </w:rPr>
        <w:t>（三）供应商基本情况表</w:t>
      </w:r>
    </w:p>
    <w:p>
      <w:pPr>
        <w:jc w:val="left"/>
        <w:rPr>
          <w:szCs w:val="21"/>
        </w:rPr>
      </w:pPr>
    </w:p>
    <w:p>
      <w:pPr>
        <w:adjustRightInd w:val="0"/>
        <w:spacing w:line="360" w:lineRule="auto"/>
        <w:jc w:val="center"/>
        <w:rPr>
          <w:rFonts w:ascii="宋体" w:hAnsi="宋体" w:cs="宋体"/>
          <w:b/>
          <w:bCs/>
          <w:szCs w:val="21"/>
        </w:rPr>
      </w:pPr>
      <w:r>
        <w:rPr>
          <w:rFonts w:hint="eastAsia" w:ascii="宋体" w:hAnsi="宋体" w:cs="宋体"/>
          <w:b/>
          <w:bCs/>
          <w:szCs w:val="21"/>
        </w:rPr>
        <w:t>1.《供应商基本情况表》</w:t>
      </w:r>
    </w:p>
    <w:p>
      <w:pPr>
        <w:adjustRightInd w:val="0"/>
        <w:snapToGrid w:val="0"/>
        <w:spacing w:line="360" w:lineRule="auto"/>
        <w:jc w:val="left"/>
        <w:rPr>
          <w:rFonts w:ascii="宋体" w:hAnsi="宋体" w:cs="宋体"/>
          <w:szCs w:val="21"/>
        </w:rPr>
      </w:pPr>
      <w:r>
        <w:rPr>
          <w:rFonts w:hint="eastAsia" w:ascii="宋体" w:hAnsi="宋体" w:cs="宋体"/>
          <w:szCs w:val="21"/>
        </w:rPr>
        <w:t>填表单位</w:t>
      </w:r>
      <w:bookmarkStart w:id="43" w:name="_Hlk189743140"/>
      <w:r>
        <w:rPr>
          <w:rFonts w:hint="eastAsia" w:ascii="宋体" w:hAnsi="宋体" w:cs="宋体"/>
          <w:szCs w:val="21"/>
        </w:rPr>
        <w:t>（</w:t>
      </w:r>
      <w:r>
        <w:rPr>
          <w:rFonts w:hint="eastAsia" w:ascii="宋体" w:hAnsi="宋体" w:cs="宋体"/>
          <w:b/>
          <w:bCs/>
          <w:color w:val="FF0000"/>
          <w:szCs w:val="21"/>
        </w:rPr>
        <w:t>加盖单位公章，必填项</w:t>
      </w:r>
      <w:r>
        <w:rPr>
          <w:rFonts w:hint="eastAsia" w:ascii="宋体" w:hAnsi="宋体" w:cs="宋体"/>
          <w:szCs w:val="21"/>
        </w:rPr>
        <w:t>）</w:t>
      </w:r>
      <w:bookmarkEnd w:id="43"/>
      <w:r>
        <w:rPr>
          <w:rFonts w:hint="eastAsia" w:ascii="宋体" w:hAnsi="宋体" w:cs="宋体"/>
          <w:szCs w:val="21"/>
        </w:rPr>
        <w:t>：</w:t>
      </w:r>
    </w:p>
    <w:p>
      <w:pPr>
        <w:adjustRightInd w:val="0"/>
        <w:snapToGrid w:val="0"/>
        <w:spacing w:line="360" w:lineRule="auto"/>
        <w:jc w:val="left"/>
        <w:rPr>
          <w:rFonts w:ascii="宋体" w:hAnsi="宋体" w:cs="宋体"/>
          <w:szCs w:val="21"/>
        </w:rPr>
      </w:pPr>
      <w:r>
        <w:rPr>
          <w:rFonts w:hint="eastAsia" w:ascii="宋体" w:hAnsi="宋体" w:cs="宋体"/>
          <w:szCs w:val="21"/>
        </w:rPr>
        <w:t>填表日期（</w:t>
      </w:r>
      <w:r>
        <w:rPr>
          <w:rFonts w:hint="eastAsia" w:ascii="宋体" w:hAnsi="宋体" w:cs="宋体"/>
          <w:b/>
          <w:bCs/>
          <w:color w:val="FF0000"/>
          <w:szCs w:val="21"/>
        </w:rPr>
        <w:t>必填项</w:t>
      </w:r>
      <w:r>
        <w:rPr>
          <w:rFonts w:hint="eastAsia" w:ascii="宋体" w:hAnsi="宋体" w:cs="宋体"/>
          <w:szCs w:val="21"/>
        </w:rPr>
        <w:t>）：        年     月      日</w:t>
      </w:r>
    </w:p>
    <w:tbl>
      <w:tblPr>
        <w:tblStyle w:val="42"/>
        <w:tblW w:w="834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1181"/>
        <w:gridCol w:w="938"/>
        <w:gridCol w:w="880"/>
        <w:gridCol w:w="573"/>
        <w:gridCol w:w="1389"/>
        <w:gridCol w:w="1358"/>
        <w:gridCol w:w="13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863" w:type="dxa"/>
            <w:gridSpan w:val="2"/>
            <w:vAlign w:val="center"/>
          </w:tcPr>
          <w:p>
            <w:pPr>
              <w:adjustRightInd w:val="0"/>
              <w:snapToGrid w:val="0"/>
              <w:jc w:val="center"/>
              <w:rPr>
                <w:rFonts w:ascii="宋体" w:hAnsi="宋体" w:cs="宋体"/>
                <w:b/>
                <w:bCs/>
                <w:color w:val="FF0000"/>
                <w:spacing w:val="-4"/>
                <w:szCs w:val="21"/>
                <w:lang w:eastAsia="en-US"/>
              </w:rPr>
            </w:pPr>
            <w:r>
              <w:rPr>
                <w:rFonts w:hint="eastAsia" w:ascii="宋体" w:hAnsi="宋体" w:cs="宋体"/>
                <w:b/>
                <w:bCs/>
                <w:color w:val="FF0000"/>
                <w:spacing w:val="-4"/>
                <w:szCs w:val="21"/>
                <w:lang w:eastAsia="en-US"/>
              </w:rPr>
              <w:t>采购人</w:t>
            </w:r>
          </w:p>
          <w:p>
            <w:pPr>
              <w:adjustRightInd w:val="0"/>
              <w:snapToGrid w:val="0"/>
              <w:jc w:val="center"/>
              <w:rPr>
                <w:rFonts w:ascii="宋体" w:hAnsi="宋体" w:cs="宋体"/>
                <w:szCs w:val="21"/>
                <w:lang w:eastAsia="en-US"/>
              </w:rPr>
            </w:pPr>
            <w:r>
              <w:rPr>
                <w:rFonts w:hint="eastAsia" w:ascii="宋体" w:hAnsi="宋体" w:cs="宋体"/>
                <w:b/>
                <w:bCs/>
                <w:color w:val="FF0000"/>
                <w:spacing w:val="-4"/>
                <w:szCs w:val="21"/>
                <w:lang w:eastAsia="en-US"/>
              </w:rPr>
              <w:t>（必填项）</w:t>
            </w:r>
          </w:p>
        </w:tc>
        <w:tc>
          <w:tcPr>
            <w:tcW w:w="1818" w:type="dxa"/>
            <w:gridSpan w:val="2"/>
            <w:vAlign w:val="center"/>
          </w:tcPr>
          <w:p>
            <w:pPr>
              <w:adjustRightInd w:val="0"/>
              <w:snapToGrid w:val="0"/>
              <w:rPr>
                <w:rFonts w:ascii="宋体" w:hAnsi="宋体" w:cs="宋体"/>
                <w:szCs w:val="21"/>
              </w:rPr>
            </w:pPr>
          </w:p>
        </w:tc>
        <w:tc>
          <w:tcPr>
            <w:tcW w:w="1962" w:type="dxa"/>
            <w:gridSpan w:val="2"/>
            <w:vAlign w:val="center"/>
          </w:tcPr>
          <w:p>
            <w:pPr>
              <w:adjustRightInd w:val="0"/>
              <w:snapToGrid w:val="0"/>
              <w:jc w:val="center"/>
              <w:rPr>
                <w:rFonts w:ascii="宋体" w:hAnsi="宋体" w:cs="宋体"/>
                <w:b/>
                <w:bCs/>
                <w:color w:val="FF0000"/>
                <w:spacing w:val="-4"/>
                <w:szCs w:val="21"/>
                <w:lang w:eastAsia="en-US"/>
              </w:rPr>
            </w:pPr>
            <w:r>
              <w:rPr>
                <w:rFonts w:hint="eastAsia" w:ascii="宋体" w:hAnsi="宋体" w:cs="宋体"/>
                <w:b/>
                <w:bCs/>
                <w:color w:val="FF0000"/>
                <w:spacing w:val="-4"/>
                <w:szCs w:val="21"/>
                <w:lang w:eastAsia="en-US"/>
              </w:rPr>
              <w:t>项目名称</w:t>
            </w:r>
          </w:p>
          <w:p>
            <w:pPr>
              <w:adjustRightInd w:val="0"/>
              <w:snapToGrid w:val="0"/>
              <w:jc w:val="center"/>
              <w:rPr>
                <w:rFonts w:ascii="宋体" w:hAnsi="宋体" w:cs="宋体"/>
                <w:spacing w:val="-3"/>
                <w:szCs w:val="21"/>
              </w:rPr>
            </w:pPr>
            <w:r>
              <w:rPr>
                <w:rFonts w:hint="eastAsia" w:ascii="宋体" w:hAnsi="宋体" w:cs="宋体"/>
                <w:b/>
                <w:bCs/>
                <w:color w:val="FF0000"/>
                <w:spacing w:val="-4"/>
                <w:szCs w:val="21"/>
                <w:lang w:eastAsia="en-US"/>
              </w:rPr>
              <w:t>（必填项）</w:t>
            </w:r>
          </w:p>
        </w:tc>
        <w:tc>
          <w:tcPr>
            <w:tcW w:w="2706" w:type="dxa"/>
            <w:gridSpan w:val="2"/>
            <w:vAlign w:val="center"/>
          </w:tcPr>
          <w:p>
            <w:pPr>
              <w:adjustRightInd w:val="0"/>
              <w:snapToGrid w:val="0"/>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1863" w:type="dxa"/>
            <w:gridSpan w:val="2"/>
            <w:vAlign w:val="center"/>
          </w:tcPr>
          <w:p>
            <w:pPr>
              <w:adjustRightInd w:val="0"/>
              <w:snapToGrid w:val="0"/>
              <w:jc w:val="center"/>
              <w:rPr>
                <w:rFonts w:ascii="宋体" w:hAnsi="宋体" w:cs="宋体"/>
                <w:b/>
                <w:bCs/>
                <w:color w:val="FF0000"/>
                <w:spacing w:val="-4"/>
                <w:szCs w:val="21"/>
              </w:rPr>
            </w:pPr>
            <w:r>
              <w:rPr>
                <w:rFonts w:hint="eastAsia" w:ascii="宋体" w:hAnsi="宋体" w:cs="宋体"/>
                <w:b/>
                <w:bCs/>
                <w:color w:val="FF0000"/>
                <w:spacing w:val="-4"/>
                <w:szCs w:val="21"/>
              </w:rPr>
              <w:t>投标（响应）供应商</w:t>
            </w:r>
          </w:p>
          <w:p>
            <w:pPr>
              <w:adjustRightInd w:val="0"/>
              <w:snapToGrid w:val="0"/>
              <w:jc w:val="center"/>
              <w:rPr>
                <w:rFonts w:ascii="宋体" w:hAnsi="宋体" w:cs="宋体"/>
                <w:spacing w:val="-5"/>
                <w:szCs w:val="21"/>
              </w:rPr>
            </w:pPr>
            <w:r>
              <w:rPr>
                <w:rFonts w:hint="eastAsia" w:ascii="宋体" w:hAnsi="宋体" w:cs="宋体"/>
                <w:b/>
                <w:bCs/>
                <w:color w:val="FF0000"/>
                <w:spacing w:val="-4"/>
                <w:szCs w:val="21"/>
              </w:rPr>
              <w:t>（必填项）</w:t>
            </w:r>
          </w:p>
        </w:tc>
        <w:tc>
          <w:tcPr>
            <w:tcW w:w="1818" w:type="dxa"/>
            <w:gridSpan w:val="2"/>
            <w:vAlign w:val="center"/>
          </w:tcPr>
          <w:p>
            <w:pPr>
              <w:adjustRightInd w:val="0"/>
              <w:snapToGrid w:val="0"/>
              <w:rPr>
                <w:rFonts w:ascii="宋体" w:hAnsi="宋体" w:cs="宋体"/>
                <w:szCs w:val="21"/>
              </w:rPr>
            </w:pPr>
          </w:p>
        </w:tc>
        <w:tc>
          <w:tcPr>
            <w:tcW w:w="1962" w:type="dxa"/>
            <w:gridSpan w:val="2"/>
            <w:vAlign w:val="center"/>
          </w:tcPr>
          <w:p>
            <w:pPr>
              <w:adjustRightInd w:val="0"/>
              <w:snapToGrid w:val="0"/>
              <w:jc w:val="center"/>
              <w:rPr>
                <w:rFonts w:ascii="宋体" w:hAnsi="宋体" w:cs="宋体"/>
                <w:spacing w:val="-3"/>
                <w:szCs w:val="21"/>
              </w:rPr>
            </w:pPr>
            <w:r>
              <w:rPr>
                <w:rFonts w:hint="eastAsia" w:ascii="宋体" w:hAnsi="宋体" w:cs="宋体"/>
                <w:b/>
                <w:bCs/>
                <w:color w:val="FF0000"/>
                <w:spacing w:val="-4"/>
                <w:szCs w:val="21"/>
              </w:rPr>
              <w:t>供应商统一社会信用代码（必填项）</w:t>
            </w:r>
          </w:p>
        </w:tc>
        <w:tc>
          <w:tcPr>
            <w:tcW w:w="2706" w:type="dxa"/>
            <w:gridSpan w:val="2"/>
            <w:vAlign w:val="center"/>
          </w:tcPr>
          <w:p>
            <w:pPr>
              <w:adjustRightInd w:val="0"/>
              <w:snapToGrid w:val="0"/>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49" w:type="dxa"/>
            <w:gridSpan w:val="8"/>
            <w:vAlign w:val="center"/>
          </w:tcPr>
          <w:p>
            <w:pPr>
              <w:adjustRightInd w:val="0"/>
              <w:snapToGrid w:val="0"/>
              <w:ind w:left="2683"/>
              <w:rPr>
                <w:rFonts w:ascii="宋体" w:hAnsi="宋体" w:cs="宋体"/>
                <w:szCs w:val="21"/>
              </w:rPr>
            </w:pPr>
            <w:r>
              <w:rPr>
                <w:rFonts w:hint="eastAsia" w:ascii="宋体" w:hAnsi="宋体" w:cs="宋体"/>
                <w:b/>
                <w:bCs/>
                <w:szCs w:val="21"/>
              </w:rPr>
              <w:t>投标（响应）供应商相关人员情况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682" w:type="dxa"/>
            <w:vAlign w:val="center"/>
          </w:tcPr>
          <w:p>
            <w:pPr>
              <w:adjustRightInd w:val="0"/>
              <w:snapToGrid w:val="0"/>
              <w:ind w:left="145"/>
              <w:rPr>
                <w:rFonts w:ascii="宋体" w:hAnsi="宋体" w:cs="宋体"/>
                <w:spacing w:val="-5"/>
                <w:szCs w:val="21"/>
              </w:rPr>
            </w:pPr>
            <w:r>
              <w:rPr>
                <w:rFonts w:hint="eastAsia" w:ascii="宋体" w:hAnsi="宋体" w:cs="宋体"/>
                <w:spacing w:val="-5"/>
                <w:szCs w:val="21"/>
              </w:rPr>
              <w:t>序号</w:t>
            </w:r>
          </w:p>
        </w:tc>
        <w:tc>
          <w:tcPr>
            <w:tcW w:w="2119" w:type="dxa"/>
            <w:gridSpan w:val="2"/>
            <w:vAlign w:val="center"/>
          </w:tcPr>
          <w:p>
            <w:pPr>
              <w:adjustRightInd w:val="0"/>
              <w:snapToGrid w:val="0"/>
              <w:ind w:left="916"/>
              <w:rPr>
                <w:rFonts w:ascii="宋体" w:hAnsi="宋体" w:cs="宋体"/>
                <w:spacing w:val="-6"/>
                <w:szCs w:val="21"/>
              </w:rPr>
            </w:pPr>
            <w:r>
              <w:rPr>
                <w:rFonts w:hint="eastAsia" w:ascii="宋体" w:hAnsi="宋体" w:cs="宋体"/>
                <w:spacing w:val="-6"/>
                <w:szCs w:val="21"/>
              </w:rPr>
              <w:t>职务</w:t>
            </w:r>
          </w:p>
        </w:tc>
        <w:tc>
          <w:tcPr>
            <w:tcW w:w="880" w:type="dxa"/>
            <w:vAlign w:val="center"/>
          </w:tcPr>
          <w:p>
            <w:pPr>
              <w:adjustRightInd w:val="0"/>
              <w:snapToGrid w:val="0"/>
              <w:ind w:left="245"/>
              <w:rPr>
                <w:rFonts w:ascii="宋体" w:hAnsi="宋体" w:cs="宋体"/>
                <w:spacing w:val="-4"/>
                <w:szCs w:val="21"/>
              </w:rPr>
            </w:pPr>
            <w:r>
              <w:rPr>
                <w:rFonts w:hint="eastAsia" w:ascii="宋体" w:hAnsi="宋体" w:cs="宋体"/>
                <w:spacing w:val="-4"/>
                <w:szCs w:val="21"/>
              </w:rPr>
              <w:t>姓名</w:t>
            </w:r>
          </w:p>
        </w:tc>
        <w:tc>
          <w:tcPr>
            <w:tcW w:w="1962" w:type="dxa"/>
            <w:gridSpan w:val="2"/>
            <w:vAlign w:val="center"/>
          </w:tcPr>
          <w:p>
            <w:pPr>
              <w:adjustRightInd w:val="0"/>
              <w:snapToGrid w:val="0"/>
              <w:ind w:left="410"/>
              <w:rPr>
                <w:rFonts w:ascii="宋体" w:hAnsi="宋体" w:cs="宋体"/>
                <w:spacing w:val="-3"/>
                <w:szCs w:val="21"/>
              </w:rPr>
            </w:pPr>
            <w:r>
              <w:rPr>
                <w:rFonts w:hint="eastAsia" w:ascii="宋体" w:hAnsi="宋体" w:cs="宋体"/>
                <w:spacing w:val="-3"/>
                <w:szCs w:val="21"/>
              </w:rPr>
              <w:t>身份证号码</w:t>
            </w:r>
          </w:p>
        </w:tc>
        <w:tc>
          <w:tcPr>
            <w:tcW w:w="1358" w:type="dxa"/>
            <w:vAlign w:val="center"/>
          </w:tcPr>
          <w:p>
            <w:pPr>
              <w:adjustRightInd w:val="0"/>
              <w:snapToGrid w:val="0"/>
              <w:ind w:left="288" w:right="266" w:firstLine="5"/>
              <w:rPr>
                <w:rFonts w:ascii="宋体" w:hAnsi="宋体" w:cs="宋体"/>
                <w:spacing w:val="-7"/>
                <w:szCs w:val="21"/>
              </w:rPr>
            </w:pPr>
            <w:r>
              <w:rPr>
                <w:rFonts w:hint="eastAsia" w:ascii="宋体" w:hAnsi="宋体" w:cs="宋体"/>
                <w:spacing w:val="-7"/>
                <w:szCs w:val="21"/>
              </w:rPr>
              <w:t>劳动合同关系单位</w:t>
            </w:r>
          </w:p>
        </w:tc>
        <w:tc>
          <w:tcPr>
            <w:tcW w:w="1348" w:type="dxa"/>
            <w:vAlign w:val="center"/>
          </w:tcPr>
          <w:p>
            <w:pPr>
              <w:adjustRightInd w:val="0"/>
              <w:snapToGrid w:val="0"/>
              <w:ind w:left="271" w:right="262" w:firstLine="8"/>
              <w:rPr>
                <w:rFonts w:ascii="宋体" w:hAnsi="宋体" w:cs="宋体"/>
                <w:spacing w:val="-5"/>
                <w:szCs w:val="21"/>
              </w:rPr>
            </w:pPr>
            <w:r>
              <w:rPr>
                <w:rFonts w:hint="eastAsia" w:ascii="宋体" w:hAnsi="宋体" w:cs="宋体"/>
                <w:spacing w:val="-7"/>
                <w:szCs w:val="21"/>
              </w:rPr>
              <w:t>缴纳社会保险单位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682" w:type="dxa"/>
            <w:vAlign w:val="center"/>
          </w:tcPr>
          <w:p>
            <w:pPr>
              <w:adjustRightInd w:val="0"/>
              <w:snapToGrid w:val="0"/>
              <w:ind w:left="321"/>
              <w:rPr>
                <w:rFonts w:ascii="宋体" w:hAnsi="宋体" w:cs="宋体"/>
                <w:szCs w:val="21"/>
                <w:lang w:eastAsia="en-US"/>
              </w:rPr>
            </w:pPr>
            <w:r>
              <w:rPr>
                <w:rFonts w:hint="eastAsia" w:ascii="宋体" w:hAnsi="宋体" w:cs="宋体"/>
                <w:szCs w:val="21"/>
                <w:lang w:eastAsia="en-US"/>
              </w:rPr>
              <w:t>1</w:t>
            </w:r>
          </w:p>
        </w:tc>
        <w:tc>
          <w:tcPr>
            <w:tcW w:w="2119" w:type="dxa"/>
            <w:gridSpan w:val="2"/>
            <w:vAlign w:val="center"/>
          </w:tcPr>
          <w:p>
            <w:pPr>
              <w:adjustRightInd w:val="0"/>
              <w:snapToGrid w:val="0"/>
              <w:jc w:val="center"/>
              <w:rPr>
                <w:rFonts w:ascii="宋体" w:hAnsi="宋体" w:cs="宋体"/>
                <w:b/>
                <w:bCs/>
                <w:color w:val="FF0000"/>
                <w:spacing w:val="-4"/>
                <w:szCs w:val="21"/>
              </w:rPr>
            </w:pPr>
            <w:r>
              <w:rPr>
                <w:rFonts w:hint="eastAsia" w:ascii="宋体" w:hAnsi="宋体" w:cs="宋体"/>
                <w:b/>
                <w:bCs/>
                <w:color w:val="FF0000"/>
                <w:spacing w:val="-4"/>
                <w:szCs w:val="21"/>
              </w:rPr>
              <w:t>法定代表人/单位负责人/主要经营负责人（必填项）</w:t>
            </w:r>
          </w:p>
        </w:tc>
        <w:tc>
          <w:tcPr>
            <w:tcW w:w="880" w:type="dxa"/>
            <w:vAlign w:val="center"/>
          </w:tcPr>
          <w:p>
            <w:pPr>
              <w:adjustRightInd w:val="0"/>
              <w:snapToGrid w:val="0"/>
              <w:rPr>
                <w:rFonts w:ascii="宋体" w:hAnsi="宋体" w:cs="宋体"/>
                <w:szCs w:val="21"/>
              </w:rPr>
            </w:pPr>
          </w:p>
        </w:tc>
        <w:tc>
          <w:tcPr>
            <w:tcW w:w="1962" w:type="dxa"/>
            <w:gridSpan w:val="2"/>
            <w:vAlign w:val="center"/>
          </w:tcPr>
          <w:p>
            <w:pPr>
              <w:adjustRightInd w:val="0"/>
              <w:snapToGrid w:val="0"/>
              <w:rPr>
                <w:rFonts w:ascii="宋体" w:hAnsi="宋体" w:cs="宋体"/>
                <w:szCs w:val="21"/>
              </w:rPr>
            </w:pPr>
          </w:p>
        </w:tc>
        <w:tc>
          <w:tcPr>
            <w:tcW w:w="1358" w:type="dxa"/>
            <w:vAlign w:val="center"/>
          </w:tcPr>
          <w:p>
            <w:pPr>
              <w:adjustRightInd w:val="0"/>
              <w:snapToGrid w:val="0"/>
              <w:rPr>
                <w:rFonts w:ascii="宋体" w:hAnsi="宋体" w:cs="宋体"/>
                <w:szCs w:val="21"/>
              </w:rPr>
            </w:pPr>
          </w:p>
        </w:tc>
        <w:tc>
          <w:tcPr>
            <w:tcW w:w="1348" w:type="dxa"/>
            <w:vAlign w:val="center"/>
          </w:tcPr>
          <w:p>
            <w:pPr>
              <w:adjustRightInd w:val="0"/>
              <w:snapToGrid w:val="0"/>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82" w:type="dxa"/>
            <w:vAlign w:val="center"/>
          </w:tcPr>
          <w:p>
            <w:pPr>
              <w:adjustRightInd w:val="0"/>
              <w:snapToGrid w:val="0"/>
              <w:ind w:left="322"/>
              <w:rPr>
                <w:rFonts w:ascii="宋体" w:hAnsi="宋体" w:cs="宋体"/>
                <w:szCs w:val="21"/>
                <w:lang w:eastAsia="en-US"/>
              </w:rPr>
            </w:pPr>
            <w:r>
              <w:rPr>
                <w:rFonts w:hint="eastAsia" w:ascii="宋体" w:hAnsi="宋体" w:cs="宋体"/>
                <w:szCs w:val="21"/>
                <w:lang w:eastAsia="en-US"/>
              </w:rPr>
              <w:t>2</w:t>
            </w:r>
          </w:p>
        </w:tc>
        <w:tc>
          <w:tcPr>
            <w:tcW w:w="2119" w:type="dxa"/>
            <w:gridSpan w:val="2"/>
            <w:vAlign w:val="center"/>
          </w:tcPr>
          <w:p>
            <w:pPr>
              <w:adjustRightInd w:val="0"/>
              <w:snapToGrid w:val="0"/>
              <w:jc w:val="center"/>
              <w:rPr>
                <w:rFonts w:ascii="宋体" w:hAnsi="宋体" w:cs="宋体"/>
                <w:b/>
                <w:bCs/>
                <w:color w:val="FF0000"/>
                <w:spacing w:val="-4"/>
                <w:szCs w:val="21"/>
              </w:rPr>
            </w:pPr>
            <w:r>
              <w:rPr>
                <w:rFonts w:hint="eastAsia" w:ascii="宋体" w:hAnsi="宋体" w:cs="宋体"/>
                <w:b/>
                <w:bCs/>
                <w:color w:val="FF0000"/>
                <w:spacing w:val="-4"/>
                <w:szCs w:val="21"/>
              </w:rPr>
              <w:t>项目投标授权代表人（必填项）</w:t>
            </w:r>
          </w:p>
        </w:tc>
        <w:tc>
          <w:tcPr>
            <w:tcW w:w="880" w:type="dxa"/>
            <w:vAlign w:val="center"/>
          </w:tcPr>
          <w:p>
            <w:pPr>
              <w:adjustRightInd w:val="0"/>
              <w:snapToGrid w:val="0"/>
              <w:rPr>
                <w:rFonts w:ascii="宋体" w:hAnsi="宋体" w:cs="宋体"/>
                <w:szCs w:val="21"/>
              </w:rPr>
            </w:pPr>
          </w:p>
        </w:tc>
        <w:tc>
          <w:tcPr>
            <w:tcW w:w="1962" w:type="dxa"/>
            <w:gridSpan w:val="2"/>
            <w:vAlign w:val="center"/>
          </w:tcPr>
          <w:p>
            <w:pPr>
              <w:adjustRightInd w:val="0"/>
              <w:snapToGrid w:val="0"/>
              <w:rPr>
                <w:rFonts w:ascii="宋体" w:hAnsi="宋体" w:cs="宋体"/>
                <w:szCs w:val="21"/>
              </w:rPr>
            </w:pPr>
          </w:p>
        </w:tc>
        <w:tc>
          <w:tcPr>
            <w:tcW w:w="1358" w:type="dxa"/>
            <w:vAlign w:val="center"/>
          </w:tcPr>
          <w:p>
            <w:pPr>
              <w:adjustRightInd w:val="0"/>
              <w:snapToGrid w:val="0"/>
              <w:rPr>
                <w:rFonts w:ascii="宋体" w:hAnsi="宋体" w:cs="宋体"/>
                <w:szCs w:val="21"/>
              </w:rPr>
            </w:pPr>
          </w:p>
        </w:tc>
        <w:tc>
          <w:tcPr>
            <w:tcW w:w="1348" w:type="dxa"/>
            <w:vAlign w:val="center"/>
          </w:tcPr>
          <w:p>
            <w:pPr>
              <w:adjustRightInd w:val="0"/>
              <w:snapToGrid w:val="0"/>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82" w:type="dxa"/>
            <w:vAlign w:val="center"/>
          </w:tcPr>
          <w:p>
            <w:pPr>
              <w:adjustRightInd w:val="0"/>
              <w:snapToGrid w:val="0"/>
              <w:ind w:left="321"/>
              <w:rPr>
                <w:rFonts w:ascii="宋体" w:hAnsi="宋体" w:cs="宋体"/>
                <w:szCs w:val="21"/>
                <w:lang w:eastAsia="en-US"/>
              </w:rPr>
            </w:pPr>
            <w:r>
              <w:rPr>
                <w:rFonts w:hint="eastAsia" w:ascii="宋体" w:hAnsi="宋体" w:cs="宋体"/>
                <w:szCs w:val="21"/>
                <w:lang w:eastAsia="en-US"/>
              </w:rPr>
              <w:t>3</w:t>
            </w:r>
          </w:p>
        </w:tc>
        <w:tc>
          <w:tcPr>
            <w:tcW w:w="2119" w:type="dxa"/>
            <w:gridSpan w:val="2"/>
            <w:vAlign w:val="center"/>
          </w:tcPr>
          <w:p>
            <w:pPr>
              <w:adjustRightInd w:val="0"/>
              <w:snapToGrid w:val="0"/>
              <w:jc w:val="center"/>
              <w:rPr>
                <w:rFonts w:ascii="宋体" w:hAnsi="宋体" w:cs="宋体"/>
                <w:szCs w:val="21"/>
              </w:rPr>
            </w:pPr>
            <w:r>
              <w:rPr>
                <w:rFonts w:hint="eastAsia" w:ascii="宋体" w:hAnsi="宋体" w:cs="宋体"/>
                <w:spacing w:val="-3"/>
                <w:szCs w:val="21"/>
              </w:rPr>
              <w:t>项目负责人（如本项目未安排，可不填写）</w:t>
            </w:r>
          </w:p>
        </w:tc>
        <w:tc>
          <w:tcPr>
            <w:tcW w:w="880" w:type="dxa"/>
            <w:vAlign w:val="center"/>
          </w:tcPr>
          <w:p>
            <w:pPr>
              <w:adjustRightInd w:val="0"/>
              <w:snapToGrid w:val="0"/>
              <w:rPr>
                <w:rFonts w:ascii="宋体" w:hAnsi="宋体" w:cs="宋体"/>
                <w:szCs w:val="21"/>
              </w:rPr>
            </w:pPr>
          </w:p>
        </w:tc>
        <w:tc>
          <w:tcPr>
            <w:tcW w:w="1962" w:type="dxa"/>
            <w:gridSpan w:val="2"/>
            <w:vAlign w:val="center"/>
          </w:tcPr>
          <w:p>
            <w:pPr>
              <w:adjustRightInd w:val="0"/>
              <w:snapToGrid w:val="0"/>
              <w:rPr>
                <w:rFonts w:ascii="宋体" w:hAnsi="宋体" w:cs="宋体"/>
                <w:szCs w:val="21"/>
              </w:rPr>
            </w:pPr>
          </w:p>
        </w:tc>
        <w:tc>
          <w:tcPr>
            <w:tcW w:w="1358" w:type="dxa"/>
            <w:vAlign w:val="center"/>
          </w:tcPr>
          <w:p>
            <w:pPr>
              <w:adjustRightInd w:val="0"/>
              <w:snapToGrid w:val="0"/>
              <w:rPr>
                <w:rFonts w:ascii="宋体" w:hAnsi="宋体" w:cs="宋体"/>
                <w:szCs w:val="21"/>
              </w:rPr>
            </w:pPr>
          </w:p>
        </w:tc>
        <w:tc>
          <w:tcPr>
            <w:tcW w:w="1348" w:type="dxa"/>
            <w:vAlign w:val="center"/>
          </w:tcPr>
          <w:p>
            <w:pPr>
              <w:adjustRightInd w:val="0"/>
              <w:snapToGrid w:val="0"/>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82" w:type="dxa"/>
            <w:vAlign w:val="center"/>
          </w:tcPr>
          <w:p>
            <w:pPr>
              <w:adjustRightInd w:val="0"/>
              <w:snapToGrid w:val="0"/>
              <w:ind w:left="314"/>
              <w:rPr>
                <w:rFonts w:ascii="宋体" w:hAnsi="宋体" w:cs="宋体"/>
                <w:szCs w:val="21"/>
                <w:lang w:eastAsia="en-US"/>
              </w:rPr>
            </w:pPr>
            <w:r>
              <w:rPr>
                <w:rFonts w:hint="eastAsia" w:ascii="宋体" w:hAnsi="宋体" w:cs="宋体"/>
                <w:szCs w:val="21"/>
                <w:lang w:eastAsia="en-US"/>
              </w:rPr>
              <w:t>4</w:t>
            </w:r>
          </w:p>
        </w:tc>
        <w:tc>
          <w:tcPr>
            <w:tcW w:w="2119" w:type="dxa"/>
            <w:gridSpan w:val="2"/>
            <w:vAlign w:val="center"/>
          </w:tcPr>
          <w:p>
            <w:pPr>
              <w:adjustRightInd w:val="0"/>
              <w:snapToGrid w:val="0"/>
              <w:jc w:val="center"/>
              <w:rPr>
                <w:rFonts w:ascii="宋体" w:hAnsi="宋体" w:cs="宋体"/>
                <w:szCs w:val="21"/>
              </w:rPr>
            </w:pPr>
            <w:r>
              <w:rPr>
                <w:rFonts w:hint="eastAsia" w:ascii="宋体" w:hAnsi="宋体" w:cs="宋体"/>
                <w:spacing w:val="-3"/>
                <w:szCs w:val="21"/>
              </w:rPr>
              <w:t>主要技术人员（如本项目未安排，可不填写）</w:t>
            </w:r>
          </w:p>
        </w:tc>
        <w:tc>
          <w:tcPr>
            <w:tcW w:w="880" w:type="dxa"/>
            <w:vAlign w:val="center"/>
          </w:tcPr>
          <w:p>
            <w:pPr>
              <w:adjustRightInd w:val="0"/>
              <w:snapToGrid w:val="0"/>
              <w:rPr>
                <w:rFonts w:ascii="宋体" w:hAnsi="宋体" w:cs="宋体"/>
                <w:szCs w:val="21"/>
              </w:rPr>
            </w:pPr>
          </w:p>
        </w:tc>
        <w:tc>
          <w:tcPr>
            <w:tcW w:w="1962" w:type="dxa"/>
            <w:gridSpan w:val="2"/>
            <w:vAlign w:val="center"/>
          </w:tcPr>
          <w:p>
            <w:pPr>
              <w:adjustRightInd w:val="0"/>
              <w:snapToGrid w:val="0"/>
              <w:rPr>
                <w:rFonts w:ascii="宋体" w:hAnsi="宋体" w:cs="宋体"/>
                <w:szCs w:val="21"/>
              </w:rPr>
            </w:pPr>
          </w:p>
        </w:tc>
        <w:tc>
          <w:tcPr>
            <w:tcW w:w="1358" w:type="dxa"/>
            <w:vAlign w:val="center"/>
          </w:tcPr>
          <w:p>
            <w:pPr>
              <w:adjustRightInd w:val="0"/>
              <w:snapToGrid w:val="0"/>
              <w:rPr>
                <w:rFonts w:ascii="宋体" w:hAnsi="宋体" w:cs="宋体"/>
                <w:szCs w:val="21"/>
              </w:rPr>
            </w:pPr>
          </w:p>
        </w:tc>
        <w:tc>
          <w:tcPr>
            <w:tcW w:w="1348" w:type="dxa"/>
            <w:vAlign w:val="center"/>
          </w:tcPr>
          <w:p>
            <w:pPr>
              <w:adjustRightInd w:val="0"/>
              <w:snapToGrid w:val="0"/>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82" w:type="dxa"/>
            <w:vAlign w:val="center"/>
          </w:tcPr>
          <w:p>
            <w:pPr>
              <w:adjustRightInd w:val="0"/>
              <w:snapToGrid w:val="0"/>
              <w:ind w:left="325"/>
              <w:rPr>
                <w:rFonts w:ascii="宋体" w:hAnsi="宋体" w:cs="宋体"/>
                <w:szCs w:val="21"/>
                <w:lang w:eastAsia="en-US"/>
              </w:rPr>
            </w:pPr>
            <w:r>
              <w:rPr>
                <w:rFonts w:hint="eastAsia" w:ascii="宋体" w:hAnsi="宋体" w:cs="宋体"/>
                <w:szCs w:val="21"/>
                <w:lang w:eastAsia="en-US"/>
              </w:rPr>
              <w:t>5</w:t>
            </w:r>
          </w:p>
        </w:tc>
        <w:tc>
          <w:tcPr>
            <w:tcW w:w="2119" w:type="dxa"/>
            <w:gridSpan w:val="2"/>
            <w:vAlign w:val="center"/>
          </w:tcPr>
          <w:p>
            <w:pPr>
              <w:adjustRightInd w:val="0"/>
              <w:snapToGrid w:val="0"/>
              <w:jc w:val="center"/>
              <w:rPr>
                <w:rFonts w:ascii="宋体" w:hAnsi="宋体" w:cs="宋体"/>
                <w:szCs w:val="21"/>
              </w:rPr>
            </w:pPr>
            <w:r>
              <w:rPr>
                <w:rFonts w:hint="eastAsia" w:ascii="宋体" w:hAnsi="宋体" w:cs="宋体"/>
                <w:b/>
                <w:bCs/>
                <w:color w:val="FF0000"/>
                <w:spacing w:val="-4"/>
                <w:szCs w:val="21"/>
              </w:rPr>
              <w:t>投标文件编制人员（必填项）</w:t>
            </w:r>
          </w:p>
        </w:tc>
        <w:tc>
          <w:tcPr>
            <w:tcW w:w="880" w:type="dxa"/>
            <w:vAlign w:val="center"/>
          </w:tcPr>
          <w:p>
            <w:pPr>
              <w:adjustRightInd w:val="0"/>
              <w:snapToGrid w:val="0"/>
              <w:rPr>
                <w:rFonts w:ascii="宋体" w:hAnsi="宋体" w:cs="宋体"/>
                <w:szCs w:val="21"/>
              </w:rPr>
            </w:pPr>
          </w:p>
        </w:tc>
        <w:tc>
          <w:tcPr>
            <w:tcW w:w="1962" w:type="dxa"/>
            <w:gridSpan w:val="2"/>
            <w:vAlign w:val="center"/>
          </w:tcPr>
          <w:p>
            <w:pPr>
              <w:adjustRightInd w:val="0"/>
              <w:snapToGrid w:val="0"/>
              <w:rPr>
                <w:rFonts w:ascii="宋体" w:hAnsi="宋体" w:cs="宋体"/>
                <w:szCs w:val="21"/>
              </w:rPr>
            </w:pPr>
          </w:p>
        </w:tc>
        <w:tc>
          <w:tcPr>
            <w:tcW w:w="1358" w:type="dxa"/>
            <w:vAlign w:val="center"/>
          </w:tcPr>
          <w:p>
            <w:pPr>
              <w:adjustRightInd w:val="0"/>
              <w:snapToGrid w:val="0"/>
              <w:rPr>
                <w:rFonts w:ascii="宋体" w:hAnsi="宋体" w:cs="宋体"/>
                <w:szCs w:val="21"/>
              </w:rPr>
            </w:pPr>
          </w:p>
        </w:tc>
        <w:tc>
          <w:tcPr>
            <w:tcW w:w="1348" w:type="dxa"/>
            <w:vAlign w:val="center"/>
          </w:tcPr>
          <w:p>
            <w:pPr>
              <w:adjustRightInd w:val="0"/>
              <w:snapToGrid w:val="0"/>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49" w:type="dxa"/>
            <w:gridSpan w:val="8"/>
            <w:vAlign w:val="center"/>
          </w:tcPr>
          <w:p>
            <w:pPr>
              <w:adjustRightInd w:val="0"/>
              <w:snapToGrid w:val="0"/>
              <w:ind w:left="120"/>
              <w:rPr>
                <w:rFonts w:ascii="宋体" w:hAnsi="宋体" w:cs="宋体"/>
                <w:b/>
                <w:bCs/>
                <w:spacing w:val="-1"/>
                <w:szCs w:val="21"/>
              </w:rPr>
            </w:pPr>
            <w:r>
              <w:rPr>
                <w:rFonts w:hint="eastAsia" w:ascii="宋体" w:hAnsi="宋体" w:cs="宋体"/>
                <w:b/>
                <w:bCs/>
                <w:spacing w:val="-1"/>
                <w:szCs w:val="21"/>
              </w:rPr>
              <w:t>说明：</w:t>
            </w:r>
          </w:p>
          <w:p>
            <w:pPr>
              <w:adjustRightInd w:val="0"/>
              <w:snapToGrid w:val="0"/>
              <w:ind w:left="120"/>
              <w:rPr>
                <w:rFonts w:ascii="宋体" w:hAnsi="宋体" w:cs="宋体"/>
                <w:b/>
                <w:bCs/>
                <w:spacing w:val="-1"/>
                <w:szCs w:val="21"/>
              </w:rPr>
            </w:pPr>
            <w:r>
              <w:rPr>
                <w:rFonts w:hint="eastAsia" w:ascii="宋体" w:hAnsi="宋体" w:cs="宋体"/>
                <w:b/>
                <w:bCs/>
                <w:spacing w:val="-1"/>
                <w:szCs w:val="21"/>
              </w:rPr>
              <w:t>1.同一职务有多人担任（如主要技术人员</w:t>
            </w:r>
            <w:r>
              <w:rPr>
                <w:rFonts w:hint="eastAsia" w:ascii="宋体" w:hAnsi="宋体" w:cs="宋体"/>
                <w:b/>
                <w:bCs/>
                <w:spacing w:val="-42"/>
                <w:w w:val="95"/>
                <w:szCs w:val="21"/>
              </w:rPr>
              <w:t>），</w:t>
            </w:r>
            <w:r>
              <w:rPr>
                <w:rFonts w:hint="eastAsia" w:ascii="宋体" w:hAnsi="宋体" w:cs="宋体"/>
                <w:b/>
                <w:bCs/>
                <w:spacing w:val="-1"/>
                <w:szCs w:val="21"/>
              </w:rPr>
              <w:t>应分行填写。</w:t>
            </w:r>
          </w:p>
          <w:p>
            <w:pPr>
              <w:adjustRightInd w:val="0"/>
              <w:snapToGrid w:val="0"/>
              <w:ind w:left="120"/>
              <w:rPr>
                <w:rFonts w:ascii="宋体" w:hAnsi="宋体" w:cs="宋体"/>
                <w:szCs w:val="21"/>
              </w:rPr>
            </w:pPr>
            <w:r>
              <w:rPr>
                <w:rFonts w:hint="eastAsia" w:ascii="宋体" w:hAnsi="宋体" w:cs="宋体"/>
                <w:b/>
                <w:bCs/>
                <w:spacing w:val="-1"/>
                <w:szCs w:val="21"/>
              </w:rPr>
              <w:t>2.上述项目负责人、主要技术人员必须为供应商本单位人员。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49" w:type="dxa"/>
            <w:gridSpan w:val="8"/>
            <w:vAlign w:val="center"/>
          </w:tcPr>
          <w:p>
            <w:pPr>
              <w:adjustRightInd w:val="0"/>
              <w:snapToGrid w:val="0"/>
              <w:ind w:left="2683"/>
              <w:rPr>
                <w:rFonts w:ascii="宋体" w:hAnsi="宋体" w:cs="宋体"/>
                <w:szCs w:val="21"/>
              </w:rPr>
            </w:pPr>
            <w:r>
              <w:rPr>
                <w:rFonts w:hint="eastAsia" w:ascii="宋体" w:hAnsi="宋体" w:cs="宋体"/>
                <w:b/>
                <w:bCs/>
                <w:szCs w:val="21"/>
              </w:rPr>
              <w:t>投标（响应）供应商关联关系情况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82" w:type="dxa"/>
            <w:vAlign w:val="center"/>
          </w:tcPr>
          <w:p>
            <w:pPr>
              <w:adjustRightInd w:val="0"/>
              <w:snapToGrid w:val="0"/>
              <w:ind w:left="145"/>
              <w:rPr>
                <w:rFonts w:ascii="宋体" w:hAnsi="宋体" w:cs="宋体"/>
                <w:szCs w:val="21"/>
                <w:lang w:eastAsia="en-US"/>
              </w:rPr>
            </w:pPr>
            <w:r>
              <w:rPr>
                <w:rFonts w:hint="eastAsia" w:ascii="宋体" w:hAnsi="宋体" w:cs="宋体"/>
                <w:spacing w:val="-5"/>
                <w:szCs w:val="21"/>
                <w:lang w:eastAsia="en-US"/>
              </w:rPr>
              <w:t>序号</w:t>
            </w:r>
          </w:p>
        </w:tc>
        <w:tc>
          <w:tcPr>
            <w:tcW w:w="2119" w:type="dxa"/>
            <w:gridSpan w:val="2"/>
            <w:vAlign w:val="center"/>
          </w:tcPr>
          <w:p>
            <w:pPr>
              <w:adjustRightInd w:val="0"/>
              <w:snapToGrid w:val="0"/>
              <w:ind w:left="436"/>
              <w:rPr>
                <w:rFonts w:ascii="宋体" w:hAnsi="宋体" w:cs="宋体"/>
                <w:szCs w:val="21"/>
                <w:lang w:eastAsia="en-US"/>
              </w:rPr>
            </w:pPr>
            <w:r>
              <w:rPr>
                <w:rFonts w:hint="eastAsia" w:ascii="宋体" w:hAnsi="宋体" w:cs="宋体"/>
                <w:spacing w:val="-3"/>
                <w:szCs w:val="21"/>
                <w:lang w:eastAsia="en-US"/>
              </w:rPr>
              <w:t>关联关系类型</w:t>
            </w:r>
          </w:p>
        </w:tc>
        <w:tc>
          <w:tcPr>
            <w:tcW w:w="1453" w:type="dxa"/>
            <w:gridSpan w:val="2"/>
            <w:vAlign w:val="center"/>
          </w:tcPr>
          <w:p>
            <w:pPr>
              <w:adjustRightInd w:val="0"/>
              <w:snapToGrid w:val="0"/>
              <w:ind w:left="166"/>
              <w:rPr>
                <w:rFonts w:ascii="宋体" w:hAnsi="宋体" w:cs="宋体"/>
                <w:szCs w:val="21"/>
                <w:lang w:eastAsia="en-US"/>
              </w:rPr>
            </w:pPr>
            <w:r>
              <w:rPr>
                <w:rFonts w:hint="eastAsia" w:ascii="宋体" w:hAnsi="宋体" w:cs="宋体"/>
                <w:spacing w:val="-3"/>
                <w:szCs w:val="21"/>
                <w:lang w:eastAsia="en-US"/>
              </w:rPr>
              <w:t>关联主体名称</w:t>
            </w:r>
          </w:p>
        </w:tc>
        <w:tc>
          <w:tcPr>
            <w:tcW w:w="4095" w:type="dxa"/>
            <w:gridSpan w:val="3"/>
            <w:vAlign w:val="center"/>
          </w:tcPr>
          <w:p>
            <w:pPr>
              <w:adjustRightInd w:val="0"/>
              <w:snapToGrid w:val="0"/>
              <w:ind w:left="1862"/>
              <w:rPr>
                <w:rFonts w:ascii="宋体" w:hAnsi="宋体" w:cs="宋体"/>
                <w:szCs w:val="21"/>
                <w:lang w:eastAsia="en-US"/>
              </w:rPr>
            </w:pPr>
            <w:r>
              <w:rPr>
                <w:rFonts w:hint="eastAsia" w:ascii="宋体" w:hAnsi="宋体" w:cs="宋体"/>
                <w:spacing w:val="-4"/>
                <w:szCs w:val="21"/>
                <w:lang w:eastAsia="en-US"/>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682" w:type="dxa"/>
            <w:vAlign w:val="center"/>
          </w:tcPr>
          <w:p>
            <w:pPr>
              <w:adjustRightInd w:val="0"/>
              <w:snapToGrid w:val="0"/>
              <w:ind w:left="321"/>
              <w:rPr>
                <w:rFonts w:ascii="宋体" w:hAnsi="宋体" w:cs="宋体"/>
                <w:szCs w:val="21"/>
                <w:lang w:eastAsia="en-US"/>
              </w:rPr>
            </w:pPr>
            <w:r>
              <w:rPr>
                <w:rFonts w:hint="eastAsia" w:ascii="宋体" w:hAnsi="宋体" w:cs="宋体"/>
                <w:szCs w:val="21"/>
                <w:lang w:eastAsia="en-US"/>
              </w:rPr>
              <w:t>1</w:t>
            </w:r>
          </w:p>
        </w:tc>
        <w:tc>
          <w:tcPr>
            <w:tcW w:w="2119" w:type="dxa"/>
            <w:gridSpan w:val="2"/>
            <w:vAlign w:val="center"/>
          </w:tcPr>
          <w:p>
            <w:pPr>
              <w:adjustRightInd w:val="0"/>
              <w:snapToGrid w:val="0"/>
              <w:jc w:val="center"/>
              <w:rPr>
                <w:rFonts w:ascii="宋体" w:hAnsi="宋体" w:cs="宋体"/>
                <w:szCs w:val="21"/>
                <w:lang w:eastAsia="en-US"/>
              </w:rPr>
            </w:pPr>
            <w:r>
              <w:rPr>
                <w:rFonts w:hint="eastAsia" w:ascii="宋体" w:hAnsi="宋体" w:cs="宋体"/>
                <w:b/>
                <w:bCs/>
                <w:color w:val="FF0000"/>
                <w:spacing w:val="-4"/>
                <w:szCs w:val="21"/>
                <w:lang w:eastAsia="en-US"/>
              </w:rPr>
              <w:t>控股股东（必填项）</w:t>
            </w:r>
          </w:p>
        </w:tc>
        <w:tc>
          <w:tcPr>
            <w:tcW w:w="1453" w:type="dxa"/>
            <w:gridSpan w:val="2"/>
            <w:vAlign w:val="center"/>
          </w:tcPr>
          <w:p>
            <w:pPr>
              <w:adjustRightInd w:val="0"/>
              <w:snapToGrid w:val="0"/>
              <w:rPr>
                <w:rFonts w:ascii="宋体" w:hAnsi="宋体" w:cs="宋体"/>
                <w:szCs w:val="21"/>
              </w:rPr>
            </w:pPr>
          </w:p>
        </w:tc>
        <w:tc>
          <w:tcPr>
            <w:tcW w:w="4095" w:type="dxa"/>
            <w:gridSpan w:val="3"/>
            <w:vAlign w:val="center"/>
          </w:tcPr>
          <w:p>
            <w:pPr>
              <w:adjustRightInd w:val="0"/>
              <w:snapToGrid w:val="0"/>
              <w:rPr>
                <w:rFonts w:ascii="宋体" w:hAnsi="宋体" w:cs="宋体"/>
                <w:szCs w:val="21"/>
              </w:rPr>
            </w:pPr>
            <w:r>
              <w:rPr>
                <w:rFonts w:hint="eastAsia" w:ascii="宋体" w:hAnsi="宋体" w:cs="宋体"/>
                <w:spacing w:val="-1"/>
                <w:szCs w:val="21"/>
              </w:rPr>
              <w:t>指出资额（或持有股份）占投标（响应）供应商资</w:t>
            </w:r>
            <w:r>
              <w:rPr>
                <w:rFonts w:hint="eastAsia" w:ascii="宋体" w:hAnsi="宋体" w:cs="宋体"/>
                <w:spacing w:val="-8"/>
                <w:szCs w:val="21"/>
              </w:rPr>
              <w:t>本总额（或股本总额）50%以上的股东，以及出资额</w:t>
            </w:r>
            <w:r>
              <w:rPr>
                <w:rFonts w:hint="eastAsia" w:ascii="宋体" w:hAnsi="宋体" w:cs="宋体"/>
                <w:spacing w:val="-5"/>
                <w:szCs w:val="21"/>
              </w:rPr>
              <w:t>（或持有股份）的比例虽然不足50%，但依</w:t>
            </w:r>
            <w:r>
              <w:rPr>
                <w:rFonts w:hint="eastAsia" w:ascii="宋体" w:hAnsi="宋体" w:cs="宋体"/>
                <w:spacing w:val="-6"/>
                <w:szCs w:val="21"/>
              </w:rPr>
              <w:t>其出资</w:t>
            </w:r>
            <w:r>
              <w:rPr>
                <w:rFonts w:hint="eastAsia" w:ascii="宋体" w:hAnsi="宋体" w:cs="宋体"/>
                <w:spacing w:val="-9"/>
                <w:szCs w:val="21"/>
              </w:rPr>
              <w:t>额（或持有股份）所享有的表决权已足以对投标（响</w:t>
            </w:r>
            <w:r>
              <w:rPr>
                <w:rFonts w:hint="eastAsia" w:ascii="宋体" w:hAnsi="宋体" w:cs="宋体"/>
                <w:szCs w:val="21"/>
              </w:rPr>
              <w:t>应）供应商股东会（或股东大会）的决议产生重要</w:t>
            </w:r>
            <w:r>
              <w:rPr>
                <w:rFonts w:hint="eastAsia" w:ascii="宋体" w:hAnsi="宋体" w:cs="宋体"/>
                <w:spacing w:val="-2"/>
                <w:szCs w:val="21"/>
              </w:rPr>
              <w:t>影响的股东。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682" w:type="dxa"/>
            <w:vAlign w:val="center"/>
          </w:tcPr>
          <w:p>
            <w:pPr>
              <w:adjustRightInd w:val="0"/>
              <w:snapToGrid w:val="0"/>
              <w:ind w:left="322"/>
              <w:rPr>
                <w:rFonts w:ascii="宋体" w:hAnsi="宋体" w:cs="宋体"/>
                <w:szCs w:val="21"/>
                <w:lang w:eastAsia="en-US"/>
              </w:rPr>
            </w:pPr>
            <w:r>
              <w:rPr>
                <w:rFonts w:hint="eastAsia" w:ascii="宋体" w:hAnsi="宋体" w:cs="宋体"/>
                <w:szCs w:val="21"/>
                <w:lang w:eastAsia="en-US"/>
              </w:rPr>
              <w:t>2</w:t>
            </w:r>
          </w:p>
        </w:tc>
        <w:tc>
          <w:tcPr>
            <w:tcW w:w="2119" w:type="dxa"/>
            <w:gridSpan w:val="2"/>
            <w:vAlign w:val="center"/>
          </w:tcPr>
          <w:p>
            <w:pPr>
              <w:adjustRightInd w:val="0"/>
              <w:snapToGrid w:val="0"/>
              <w:jc w:val="center"/>
              <w:rPr>
                <w:rFonts w:ascii="宋体" w:hAnsi="宋体" w:cs="宋体"/>
                <w:szCs w:val="21"/>
              </w:rPr>
            </w:pPr>
            <w:r>
              <w:rPr>
                <w:rFonts w:hint="eastAsia" w:ascii="宋体" w:hAnsi="宋体" w:cs="宋体"/>
                <w:spacing w:val="-5"/>
                <w:szCs w:val="21"/>
              </w:rPr>
              <w:t>管理关系（如无，可不填写）</w:t>
            </w:r>
          </w:p>
        </w:tc>
        <w:tc>
          <w:tcPr>
            <w:tcW w:w="1453" w:type="dxa"/>
            <w:gridSpan w:val="2"/>
            <w:vAlign w:val="center"/>
          </w:tcPr>
          <w:p>
            <w:pPr>
              <w:adjustRightInd w:val="0"/>
              <w:snapToGrid w:val="0"/>
              <w:rPr>
                <w:rFonts w:ascii="宋体" w:hAnsi="宋体" w:cs="宋体"/>
                <w:szCs w:val="21"/>
              </w:rPr>
            </w:pPr>
          </w:p>
        </w:tc>
        <w:tc>
          <w:tcPr>
            <w:tcW w:w="4095" w:type="dxa"/>
            <w:gridSpan w:val="3"/>
            <w:vAlign w:val="center"/>
          </w:tcPr>
          <w:p>
            <w:pPr>
              <w:adjustRightInd w:val="0"/>
              <w:snapToGrid w:val="0"/>
              <w:ind w:right="24"/>
              <w:rPr>
                <w:rFonts w:ascii="宋体" w:hAnsi="宋体" w:cs="宋体"/>
                <w:szCs w:val="21"/>
              </w:rPr>
            </w:pPr>
            <w:r>
              <w:rPr>
                <w:rFonts w:hint="eastAsia" w:ascii="宋体" w:hAnsi="宋体" w:cs="宋体"/>
                <w:spacing w:val="-8"/>
                <w:szCs w:val="21"/>
              </w:rPr>
              <w:t>指对投标（响应）供应商不具有出资持</w:t>
            </w:r>
            <w:r>
              <w:rPr>
                <w:rFonts w:hint="eastAsia" w:ascii="宋体" w:hAnsi="宋体" w:cs="宋体"/>
                <w:spacing w:val="-3"/>
                <w:szCs w:val="21"/>
              </w:rPr>
              <w:t>股关系，但对其存在管理关系的主体。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349" w:type="dxa"/>
            <w:gridSpan w:val="8"/>
            <w:vAlign w:val="center"/>
          </w:tcPr>
          <w:p>
            <w:pPr>
              <w:ind w:left="120"/>
              <w:rPr>
                <w:rFonts w:ascii="宋体" w:hAnsi="宋体" w:cs="宋体"/>
                <w:szCs w:val="21"/>
              </w:rPr>
            </w:pPr>
            <w:r>
              <w:rPr>
                <w:rFonts w:hint="eastAsia" w:ascii="宋体" w:hAnsi="宋体" w:cs="宋体"/>
                <w:b/>
                <w:bCs/>
                <w:spacing w:val="-1"/>
                <w:szCs w:val="21"/>
              </w:rPr>
              <w:t>说明：同一关联关系类型有多个主体的，应分行填写。</w:t>
            </w:r>
          </w:p>
        </w:tc>
      </w:tr>
    </w:tbl>
    <w:p>
      <w:pPr>
        <w:rPr>
          <w:rFonts w:ascii="宋体" w:hAnsi="宋体" w:cs="宋体"/>
          <w:b/>
          <w:bCs/>
          <w:color w:val="FF0000"/>
          <w:szCs w:val="21"/>
        </w:rPr>
      </w:pPr>
      <w:r>
        <w:rPr>
          <w:rFonts w:hint="eastAsia" w:ascii="宋体" w:hAnsi="宋体" w:cs="宋体"/>
          <w:b/>
          <w:bCs/>
          <w:color w:val="FF0000"/>
          <w:szCs w:val="21"/>
        </w:rPr>
        <w:t>备注：注明“必填项”的必须填写；未注明“必填项”的，如供应商未填写则视为未安排（或无）。</w:t>
      </w:r>
    </w:p>
    <w:p>
      <w:pPr>
        <w:spacing w:line="560" w:lineRule="exact"/>
        <w:jc w:val="center"/>
        <w:rPr>
          <w:rFonts w:ascii="宋体" w:hAnsi="宋体" w:cs="宋体"/>
          <w:b/>
          <w:bCs/>
          <w:szCs w:val="21"/>
        </w:rPr>
      </w:pPr>
      <w:r>
        <w:rPr>
          <w:rFonts w:hint="eastAsia" w:ascii="宋体" w:hAnsi="宋体" w:cs="宋体"/>
          <w:b/>
          <w:bCs/>
          <w:szCs w:val="21"/>
        </w:rPr>
        <w:t>2. 社保缴纳证明材料</w:t>
      </w:r>
    </w:p>
    <w:p>
      <w:pPr>
        <w:spacing w:after="160" w:line="560" w:lineRule="exact"/>
        <w:ind w:firstLine="410" w:firstLineChars="200"/>
        <w:jc w:val="left"/>
        <w:rPr>
          <w:rFonts w:ascii="宋体" w:hAnsi="宋体" w:cs="宋体"/>
          <w:b/>
          <w:bCs/>
          <w:spacing w:val="-3"/>
          <w:szCs w:val="21"/>
        </w:rPr>
      </w:pPr>
      <w:r>
        <w:rPr>
          <w:rFonts w:hint="eastAsia" w:ascii="宋体" w:hAnsi="宋体" w:cs="宋体"/>
          <w:b/>
          <w:bCs/>
          <w:spacing w:val="-3"/>
          <w:szCs w:val="21"/>
        </w:rPr>
        <w:t>2.1法定代表人/单位负责人/主要经营负责人开标前近一个月社保缴纳证明：</w:t>
      </w:r>
    </w:p>
    <w:p>
      <w:pPr>
        <w:spacing w:after="160" w:line="560" w:lineRule="exact"/>
        <w:ind w:firstLine="410" w:firstLineChars="200"/>
        <w:jc w:val="left"/>
        <w:rPr>
          <w:rFonts w:ascii="宋体" w:hAnsi="宋体" w:cs="宋体"/>
          <w:b/>
          <w:bCs/>
          <w:spacing w:val="-3"/>
          <w:szCs w:val="21"/>
        </w:rPr>
      </w:pPr>
      <w:r>
        <w:rPr>
          <w:rFonts w:hint="eastAsia" w:ascii="宋体" w:hAnsi="宋体" w:cs="宋体"/>
          <w:b/>
          <w:bCs/>
          <w:spacing w:val="-3"/>
          <w:szCs w:val="21"/>
        </w:rPr>
        <w:t>2.2投标授权代表人开标前近一个月的社保缴纳证明：</w:t>
      </w:r>
    </w:p>
    <w:p>
      <w:pPr>
        <w:spacing w:after="160" w:line="560" w:lineRule="exact"/>
        <w:ind w:firstLine="410" w:firstLineChars="200"/>
        <w:jc w:val="left"/>
        <w:rPr>
          <w:rFonts w:ascii="宋体" w:hAnsi="宋体" w:cs="宋体"/>
          <w:b/>
          <w:bCs/>
          <w:spacing w:val="-3"/>
          <w:szCs w:val="21"/>
        </w:rPr>
      </w:pPr>
      <w:r>
        <w:rPr>
          <w:rFonts w:hint="eastAsia" w:ascii="宋体" w:hAnsi="宋体" w:cs="宋体"/>
          <w:b/>
          <w:bCs/>
          <w:spacing w:val="-3"/>
          <w:szCs w:val="21"/>
        </w:rPr>
        <w:t>2.3项目负责人（如本项目未安排，可不提供）开标前近一个月的社保缴纳证明：</w:t>
      </w:r>
    </w:p>
    <w:p>
      <w:pPr>
        <w:spacing w:after="160" w:line="560" w:lineRule="exact"/>
        <w:ind w:firstLine="410" w:firstLineChars="200"/>
        <w:jc w:val="left"/>
        <w:rPr>
          <w:rFonts w:ascii="宋体" w:hAnsi="宋体" w:cs="宋体"/>
          <w:b/>
          <w:bCs/>
          <w:spacing w:val="-3"/>
          <w:szCs w:val="21"/>
        </w:rPr>
      </w:pPr>
      <w:r>
        <w:rPr>
          <w:rFonts w:hint="eastAsia" w:ascii="宋体" w:hAnsi="宋体" w:cs="宋体"/>
          <w:b/>
          <w:bCs/>
          <w:spacing w:val="-3"/>
          <w:szCs w:val="21"/>
        </w:rPr>
        <w:t>4.4主要技术人员（如本项目未安排，可不提供）开标前近一个月的社保缴纳证明：</w:t>
      </w:r>
    </w:p>
    <w:p>
      <w:pPr>
        <w:spacing w:after="160" w:line="560" w:lineRule="exact"/>
        <w:ind w:firstLine="410" w:firstLineChars="200"/>
        <w:jc w:val="left"/>
        <w:rPr>
          <w:rFonts w:ascii="宋体" w:hAnsi="宋体" w:cs="宋体"/>
          <w:b/>
          <w:bCs/>
          <w:spacing w:val="-3"/>
          <w:szCs w:val="21"/>
        </w:rPr>
      </w:pPr>
      <w:r>
        <w:rPr>
          <w:rFonts w:hint="eastAsia" w:ascii="宋体" w:hAnsi="宋体" w:cs="宋体"/>
          <w:b/>
          <w:bCs/>
          <w:spacing w:val="-3"/>
          <w:szCs w:val="21"/>
        </w:rPr>
        <w:t>2.5投标文件编制人员开标前近一个月的社保缴纳证明：</w:t>
      </w:r>
    </w:p>
    <w:p>
      <w:pPr>
        <w:spacing w:line="560" w:lineRule="exact"/>
        <w:ind w:firstLine="408" w:firstLineChars="200"/>
        <w:rPr>
          <w:rFonts w:ascii="宋体" w:hAnsi="宋体" w:cs="宋体"/>
          <w:spacing w:val="-3"/>
          <w:szCs w:val="21"/>
        </w:rPr>
      </w:pPr>
      <w:r>
        <w:rPr>
          <w:rFonts w:hint="eastAsia" w:ascii="宋体" w:hAnsi="宋体" w:cs="宋体"/>
          <w:spacing w:val="-3"/>
          <w:szCs w:val="21"/>
        </w:rPr>
        <w:t>注：</w:t>
      </w:r>
    </w:p>
    <w:p>
      <w:pPr>
        <w:spacing w:line="560" w:lineRule="exact"/>
        <w:ind w:firstLine="408" w:firstLineChars="200"/>
        <w:rPr>
          <w:rFonts w:ascii="宋体" w:hAnsi="宋体" w:cs="宋体"/>
          <w:spacing w:val="-3"/>
          <w:szCs w:val="21"/>
        </w:rPr>
      </w:pPr>
      <w:r>
        <w:rPr>
          <w:rFonts w:hint="eastAsia" w:ascii="宋体" w:hAnsi="宋体" w:cs="宋体"/>
          <w:spacing w:val="-3"/>
          <w:szCs w:val="21"/>
        </w:rPr>
        <w:t>1.</w:t>
      </w:r>
      <w:r>
        <w:rPr>
          <w:rFonts w:hint="eastAsia" w:ascii="宋体" w:hAnsi="宋体" w:cs="宋体"/>
          <w:b/>
          <w:bCs/>
          <w:color w:val="FF0000"/>
          <w:szCs w:val="21"/>
        </w:rPr>
        <w:t>上述社保证明材料对应的人员须与《供应商基本情况表》保持一致</w:t>
      </w:r>
      <w:r>
        <w:rPr>
          <w:rFonts w:hint="eastAsia" w:ascii="宋体" w:hAnsi="宋体" w:cs="宋体"/>
          <w:spacing w:val="-3"/>
          <w:szCs w:val="21"/>
        </w:rPr>
        <w:t>，请供应商认真填报，并保证所填信息的真实、准确和完整。</w:t>
      </w:r>
    </w:p>
    <w:p>
      <w:pPr>
        <w:spacing w:line="560" w:lineRule="exact"/>
        <w:ind w:firstLine="408" w:firstLineChars="200"/>
        <w:rPr>
          <w:rFonts w:ascii="宋体" w:hAnsi="宋体" w:cs="宋体"/>
          <w:spacing w:val="-3"/>
          <w:szCs w:val="21"/>
        </w:rPr>
      </w:pPr>
      <w:r>
        <w:rPr>
          <w:rFonts w:hint="eastAsia" w:ascii="宋体" w:hAnsi="宋体" w:cs="宋体"/>
          <w:spacing w:val="-3"/>
          <w:szCs w:val="21"/>
        </w:rPr>
        <w:t>2.如开标前近一个月的社保材料因社保部门原因暂时无法取得，则可以往前顺延一个月。</w:t>
      </w:r>
    </w:p>
    <w:p>
      <w:pPr>
        <w:spacing w:line="560" w:lineRule="exact"/>
        <w:ind w:firstLine="408" w:firstLineChars="200"/>
        <w:rPr>
          <w:rFonts w:ascii="宋体" w:hAnsi="宋体" w:cs="宋体"/>
          <w:spacing w:val="-3"/>
          <w:szCs w:val="21"/>
        </w:rPr>
      </w:pPr>
      <w:r>
        <w:rPr>
          <w:rFonts w:hint="eastAsia" w:ascii="宋体" w:hAnsi="宋体" w:cs="宋体"/>
          <w:spacing w:val="-3"/>
          <w:szCs w:val="21"/>
        </w:rPr>
        <w:t>3.如无法按上述要求提供人员社会保险证明材料的，提交以下材料亦视为符合：</w:t>
      </w:r>
    </w:p>
    <w:p>
      <w:pPr>
        <w:widowControl/>
        <w:spacing w:line="560" w:lineRule="exact"/>
        <w:ind w:firstLine="408" w:firstLineChars="200"/>
        <w:jc w:val="left"/>
        <w:rPr>
          <w:rFonts w:ascii="宋体" w:hAnsi="宋体" w:cs="宋体"/>
          <w:b/>
          <w:bCs/>
          <w:szCs w:val="21"/>
        </w:rPr>
      </w:pPr>
      <w:r>
        <w:rPr>
          <w:rFonts w:hint="eastAsia" w:ascii="宋体" w:hAnsi="宋体" w:cs="宋体"/>
          <w:spacing w:val="-3"/>
          <w:szCs w:val="21"/>
        </w:rPr>
        <w:t>若供应商为新成立企业且成立时间不足一个月，</w:t>
      </w:r>
      <w:r>
        <w:rPr>
          <w:rFonts w:hint="eastAsia" w:ascii="宋体" w:hAnsi="宋体" w:cs="宋体"/>
          <w:b/>
          <w:bCs/>
          <w:color w:val="FF0000"/>
          <w:spacing w:val="-3"/>
          <w:szCs w:val="21"/>
        </w:rPr>
        <w:t>提供加盖投标人公章的情况</w:t>
      </w:r>
      <w:r>
        <w:rPr>
          <w:rFonts w:hint="eastAsia" w:ascii="宋体" w:hAnsi="宋体" w:cs="宋体"/>
          <w:spacing w:val="-3"/>
          <w:szCs w:val="21"/>
        </w:rPr>
        <w:t>说明或者证明材料。若为退休人员，提供退休证明。如依法不需要缴纳社会保险的，应提供相应文件证明。若因为社保部门原因无法提供的，需提供劳动合同及社保部门官方通知证明(或官网公告截图)。</w:t>
      </w:r>
    </w:p>
    <w:p>
      <w:pPr>
        <w:spacing w:line="560" w:lineRule="exact"/>
        <w:jc w:val="center"/>
        <w:rPr>
          <w:rFonts w:ascii="宋体" w:hAnsi="宋体" w:cs="宋体"/>
          <w:b/>
          <w:bCs/>
          <w:szCs w:val="21"/>
        </w:rPr>
      </w:pPr>
      <w:r>
        <w:rPr>
          <w:rFonts w:hint="eastAsia" w:ascii="宋体" w:hAnsi="宋体" w:cs="宋体"/>
          <w:b/>
          <w:bCs/>
          <w:szCs w:val="21"/>
        </w:rPr>
        <w:t>3.</w:t>
      </w:r>
      <w:r>
        <w:rPr>
          <w:rFonts w:hint="eastAsia" w:ascii="宋体" w:hAnsi="宋体" w:cs="宋体"/>
          <w:szCs w:val="21"/>
        </w:rPr>
        <w:t xml:space="preserve"> </w:t>
      </w:r>
      <w:r>
        <w:rPr>
          <w:rFonts w:hint="eastAsia" w:ascii="宋体" w:hAnsi="宋体" w:cs="宋体"/>
          <w:b/>
          <w:bCs/>
          <w:szCs w:val="21"/>
        </w:rPr>
        <w:t>股权或管理关系证明材料</w:t>
      </w:r>
    </w:p>
    <w:p>
      <w:pPr>
        <w:adjustRightInd w:val="0"/>
        <w:snapToGrid w:val="0"/>
        <w:spacing w:after="160" w:line="560" w:lineRule="exact"/>
        <w:ind w:firstLine="422" w:firstLineChars="200"/>
        <w:rPr>
          <w:rFonts w:ascii="宋体" w:hAnsi="宋体" w:cs="宋体"/>
          <w:b/>
          <w:bCs/>
          <w:szCs w:val="21"/>
        </w:rPr>
      </w:pPr>
      <w:r>
        <w:rPr>
          <w:rFonts w:hint="eastAsia" w:ascii="宋体" w:hAnsi="宋体" w:cs="宋体"/>
          <w:b/>
          <w:bCs/>
          <w:szCs w:val="21"/>
        </w:rPr>
        <w:t>3.1股权或管理关系证明截图</w:t>
      </w:r>
    </w:p>
    <w:p>
      <w:pPr>
        <w:adjustRightInd w:val="0"/>
        <w:snapToGrid w:val="0"/>
        <w:spacing w:after="160" w:line="560" w:lineRule="exact"/>
        <w:ind w:firstLine="408" w:firstLineChars="200"/>
        <w:rPr>
          <w:rFonts w:ascii="宋体" w:hAnsi="宋体" w:cs="宋体"/>
          <w:spacing w:val="-3"/>
          <w:szCs w:val="21"/>
        </w:rPr>
      </w:pPr>
      <w:r>
        <w:rPr>
          <w:rFonts w:hint="eastAsia" w:ascii="宋体" w:hAnsi="宋体" w:cs="宋体"/>
          <w:spacing w:val="-3"/>
          <w:szCs w:val="21"/>
        </w:rPr>
        <w:t>（通过国家企业信用信息公示系统(https://www.gsxt.gov.cn/index.html）、或机关赋码和事业单位登记管理网（http://gjsy.gov.cn/sydwfrxxcx/)、或全国社会组织信用信息公示平台（https://xxgs.chinanpo.mca.gov.cn/gsxt/newList 等网站查询的股权或管理关系截图）</w:t>
      </w:r>
    </w:p>
    <w:p>
      <w:pPr>
        <w:adjustRightInd w:val="0"/>
        <w:snapToGrid w:val="0"/>
        <w:spacing w:after="160" w:line="560" w:lineRule="exact"/>
        <w:ind w:firstLine="422" w:firstLineChars="200"/>
        <w:jc w:val="left"/>
        <w:rPr>
          <w:rFonts w:ascii="宋体" w:hAnsi="宋体" w:cs="宋体"/>
          <w:color w:val="FF0000"/>
          <w:szCs w:val="21"/>
        </w:rPr>
      </w:pPr>
      <w:r>
        <w:rPr>
          <w:rFonts w:hint="eastAsia" w:ascii="宋体" w:hAnsi="宋体" w:cs="宋体"/>
          <w:b/>
          <w:bCs/>
          <w:color w:val="FF0000"/>
          <w:szCs w:val="21"/>
        </w:rPr>
        <w:t>注：上述股权或管理关系证明截图对应的信息须与《供应商基本情况表》保持一致。</w:t>
      </w:r>
    </w:p>
    <w:p>
      <w:pPr>
        <w:adjustRightInd w:val="0"/>
        <w:snapToGrid w:val="0"/>
        <w:spacing w:after="160" w:line="560" w:lineRule="exact"/>
        <w:ind w:firstLine="422" w:firstLineChars="200"/>
        <w:rPr>
          <w:rFonts w:ascii="宋体" w:hAnsi="宋体" w:cs="宋体"/>
          <w:b/>
          <w:bCs/>
          <w:szCs w:val="21"/>
        </w:rPr>
      </w:pPr>
      <w:r>
        <w:rPr>
          <w:rFonts w:hint="eastAsia" w:ascii="宋体" w:hAnsi="宋体" w:cs="宋体"/>
          <w:b/>
          <w:bCs/>
          <w:szCs w:val="21"/>
        </w:rPr>
        <w:t>3.2承诺函</w:t>
      </w:r>
    </w:p>
    <w:p>
      <w:pPr>
        <w:adjustRightInd w:val="0"/>
        <w:snapToGrid w:val="0"/>
        <w:spacing w:after="160" w:line="560" w:lineRule="exact"/>
        <w:jc w:val="left"/>
        <w:rPr>
          <w:rFonts w:ascii="宋体" w:hAnsi="宋体" w:cs="宋体"/>
          <w:spacing w:val="-3"/>
          <w:szCs w:val="21"/>
        </w:rPr>
      </w:pPr>
      <w:r>
        <w:rPr>
          <w:rFonts w:hint="eastAsia" w:ascii="宋体" w:hAnsi="宋体" w:cs="宋体"/>
          <w:spacing w:val="-3"/>
          <w:szCs w:val="21"/>
        </w:rPr>
        <w:t>致：采购人</w:t>
      </w:r>
    </w:p>
    <w:p>
      <w:pPr>
        <w:adjustRightInd w:val="0"/>
        <w:snapToGrid w:val="0"/>
        <w:spacing w:after="160" w:line="560" w:lineRule="exact"/>
        <w:ind w:firstLine="408" w:firstLineChars="200"/>
        <w:jc w:val="left"/>
        <w:rPr>
          <w:rFonts w:ascii="宋体" w:hAnsi="宋体" w:cs="宋体"/>
          <w:spacing w:val="-3"/>
          <w:szCs w:val="21"/>
        </w:rPr>
      </w:pPr>
      <w:r>
        <w:rPr>
          <w:rFonts w:hint="eastAsia" w:ascii="宋体" w:hAnsi="宋体" w:cs="宋体"/>
          <w:spacing w:val="-3"/>
          <w:szCs w:val="21"/>
        </w:rPr>
        <w:t>我公司申请参加</w:t>
      </w:r>
      <w:r>
        <w:rPr>
          <w:rFonts w:hint="eastAsia" w:ascii="宋体" w:hAnsi="宋体" w:cs="宋体"/>
          <w:spacing w:val="-3"/>
          <w:szCs w:val="21"/>
          <w:u w:val="single"/>
        </w:rPr>
        <w:tab/>
      </w:r>
      <w:r>
        <w:rPr>
          <w:rFonts w:hint="eastAsia" w:ascii="宋体" w:hAnsi="宋体" w:cs="宋体"/>
          <w:spacing w:val="-3"/>
          <w:szCs w:val="21"/>
          <w:u w:val="single"/>
        </w:rPr>
        <w:tab/>
      </w:r>
      <w:r>
        <w:rPr>
          <w:rFonts w:hint="eastAsia" w:ascii="宋体" w:hAnsi="宋体" w:cs="宋体"/>
          <w:spacing w:val="-3"/>
          <w:szCs w:val="21"/>
          <w:u w:val="single"/>
        </w:rPr>
        <w:tab/>
      </w:r>
      <w:r>
        <w:rPr>
          <w:rFonts w:hint="eastAsia" w:ascii="宋体" w:hAnsi="宋体" w:cs="宋体"/>
          <w:spacing w:val="-3"/>
          <w:szCs w:val="21"/>
        </w:rPr>
        <w:t>项目（此处填写项目名称） ，项目编号为</w:t>
      </w:r>
      <w:r>
        <w:rPr>
          <w:rFonts w:hint="eastAsia" w:ascii="宋体" w:hAnsi="宋体" w:cs="宋体"/>
          <w:spacing w:val="-3"/>
          <w:szCs w:val="21"/>
        </w:rPr>
        <w:tab/>
      </w:r>
      <w:r>
        <w:rPr>
          <w:rFonts w:hint="eastAsia" w:ascii="宋体" w:hAnsi="宋体" w:cs="宋体"/>
          <w:spacing w:val="-3"/>
          <w:szCs w:val="21"/>
          <w:u w:val="single"/>
        </w:rPr>
        <w:tab/>
      </w:r>
      <w:r>
        <w:rPr>
          <w:rFonts w:hint="eastAsia" w:ascii="宋体" w:hAnsi="宋体" w:cs="宋体"/>
          <w:spacing w:val="-3"/>
          <w:szCs w:val="21"/>
          <w:u w:val="single"/>
        </w:rPr>
        <w:tab/>
      </w:r>
      <w:r>
        <w:rPr>
          <w:rFonts w:hint="eastAsia" w:ascii="宋体" w:hAnsi="宋体" w:cs="宋体"/>
          <w:spacing w:val="-3"/>
          <w:szCs w:val="21"/>
        </w:rPr>
        <w:t>（此处填写项目编号）的项目投标，并作出如下承诺：</w:t>
      </w:r>
    </w:p>
    <w:p>
      <w:pPr>
        <w:adjustRightInd w:val="0"/>
        <w:snapToGrid w:val="0"/>
        <w:spacing w:after="160" w:line="560" w:lineRule="exact"/>
        <w:ind w:firstLine="408" w:firstLineChars="200"/>
        <w:jc w:val="left"/>
        <w:rPr>
          <w:rFonts w:ascii="宋体" w:hAnsi="宋体" w:cs="宋体"/>
          <w:spacing w:val="-3"/>
          <w:szCs w:val="21"/>
        </w:rPr>
      </w:pPr>
      <w:r>
        <w:rPr>
          <w:rFonts w:hint="eastAsia" w:ascii="宋体" w:hAnsi="宋体" w:cs="宋体"/>
          <w:spacing w:val="-3"/>
          <w:szCs w:val="21"/>
        </w:rPr>
        <w:t>我公司承诺所填的股权关系情况真实、准确、完整。</w:t>
      </w:r>
    </w:p>
    <w:p>
      <w:pPr>
        <w:adjustRightInd w:val="0"/>
        <w:snapToGrid w:val="0"/>
        <w:spacing w:after="160" w:line="560" w:lineRule="exact"/>
        <w:ind w:firstLine="408" w:firstLineChars="200"/>
        <w:jc w:val="left"/>
        <w:rPr>
          <w:rFonts w:ascii="宋体" w:hAnsi="宋体" w:cs="宋体"/>
          <w:spacing w:val="-3"/>
          <w:szCs w:val="21"/>
        </w:rPr>
      </w:pPr>
      <w:r>
        <w:rPr>
          <w:rFonts w:hint="eastAsia" w:ascii="宋体" w:hAnsi="宋体" w:cs="宋体"/>
          <w:spacing w:val="-3"/>
          <w:szCs w:val="21"/>
        </w:rPr>
        <w:t>我公司承诺自股权或管理关系证明材料查询之日起至本项目投标截止日止，股权或管理关系不会发生变更。如发生变更，将在投标文件中另行申明并附证明材料，保证不出现违背《中华人民共和国政府采购法实施条例》第十八条规定的情形。否则，自愿承担因此产生的不利后果而无异议。</w:t>
      </w:r>
    </w:p>
    <w:p>
      <w:pPr>
        <w:adjustRightInd w:val="0"/>
        <w:snapToGrid w:val="0"/>
        <w:spacing w:after="160" w:line="560" w:lineRule="exact"/>
        <w:ind w:firstLine="408" w:firstLineChars="200"/>
        <w:jc w:val="left"/>
        <w:rPr>
          <w:rFonts w:ascii="宋体" w:hAnsi="宋体" w:cs="宋体"/>
          <w:spacing w:val="-3"/>
          <w:szCs w:val="21"/>
        </w:rPr>
      </w:pPr>
      <w:r>
        <w:rPr>
          <w:rFonts w:hint="eastAsia" w:ascii="宋体" w:hAnsi="宋体" w:cs="宋体"/>
          <w:spacing w:val="-3"/>
          <w:szCs w:val="21"/>
        </w:rPr>
        <w:t>特此承诺！</w:t>
      </w:r>
    </w:p>
    <w:p>
      <w:pPr>
        <w:adjustRightInd w:val="0"/>
        <w:snapToGrid w:val="0"/>
        <w:spacing w:after="160" w:line="560" w:lineRule="exact"/>
        <w:jc w:val="left"/>
        <w:rPr>
          <w:rFonts w:ascii="宋体" w:hAnsi="宋体" w:cs="宋体"/>
          <w:spacing w:val="-3"/>
          <w:szCs w:val="21"/>
        </w:rPr>
      </w:pPr>
    </w:p>
    <w:p>
      <w:pPr>
        <w:adjustRightInd w:val="0"/>
        <w:snapToGrid w:val="0"/>
        <w:spacing w:after="160" w:line="560" w:lineRule="exact"/>
        <w:jc w:val="center"/>
        <w:rPr>
          <w:rFonts w:ascii="宋体" w:hAnsi="宋体" w:cs="宋体"/>
          <w:spacing w:val="-3"/>
          <w:szCs w:val="21"/>
        </w:rPr>
      </w:pPr>
      <w:r>
        <w:rPr>
          <w:rFonts w:hint="eastAsia" w:ascii="宋体" w:hAnsi="宋体" w:cs="宋体"/>
          <w:spacing w:val="-3"/>
          <w:szCs w:val="21"/>
        </w:rPr>
        <w:t xml:space="preserve">                                                供应商名称： </w:t>
      </w:r>
    </w:p>
    <w:p>
      <w:pPr>
        <w:adjustRightInd w:val="0"/>
        <w:snapToGrid w:val="0"/>
        <w:spacing w:after="160" w:line="560" w:lineRule="exact"/>
        <w:jc w:val="right"/>
      </w:pPr>
      <w:r>
        <w:rPr>
          <w:rFonts w:hint="eastAsia" w:ascii="宋体" w:hAnsi="宋体" w:cs="宋体"/>
          <w:spacing w:val="-3"/>
          <w:szCs w:val="21"/>
        </w:rPr>
        <w:t>日  期：       年    月   日</w:t>
      </w:r>
    </w:p>
    <w:p>
      <w:pPr>
        <w:pStyle w:val="5"/>
        <w:jc w:val="center"/>
        <w:rPr>
          <w:rFonts w:ascii="黑体" w:eastAsia="黑体"/>
          <w:b w:val="0"/>
          <w:sz w:val="24"/>
          <w:szCs w:val="24"/>
        </w:rPr>
      </w:pPr>
      <w:r>
        <w:rPr>
          <w:rFonts w:hint="eastAsia" w:ascii="黑体" w:eastAsia="黑体"/>
          <w:b w:val="0"/>
          <w:sz w:val="24"/>
          <w:szCs w:val="24"/>
        </w:rPr>
        <w:t>四、项目详细报价</w:t>
      </w:r>
    </w:p>
    <w:p>
      <w:pPr>
        <w:pStyle w:val="3"/>
        <w:jc w:val="center"/>
      </w:pPr>
      <w:r>
        <w:rPr>
          <w:rFonts w:hint="eastAsia"/>
          <w:b/>
          <w:bCs/>
        </w:rPr>
        <w:t>（一）</w:t>
      </w:r>
      <w:r>
        <w:rPr>
          <w:rFonts w:hint="eastAsia"/>
          <w:b/>
        </w:rPr>
        <w:t>分项报价表</w:t>
      </w:r>
    </w:p>
    <w:tbl>
      <w:tblPr>
        <w:tblStyle w:val="42"/>
        <w:tblW w:w="790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2625"/>
        <w:gridCol w:w="203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246" w:type="dxa"/>
            <w:tcBorders>
              <w:top w:val="double" w:color="auto" w:sz="4" w:space="0"/>
              <w:bottom w:val="single" w:color="auto" w:sz="4" w:space="0"/>
            </w:tcBorders>
            <w:vAlign w:val="center"/>
          </w:tcPr>
          <w:p>
            <w:pPr>
              <w:widowControl/>
              <w:adjustRightInd w:val="0"/>
              <w:snapToGrid w:val="0"/>
              <w:spacing w:line="300" w:lineRule="auto"/>
              <w:jc w:val="center"/>
              <w:rPr>
                <w:rFonts w:ascii="宋体" w:hAnsi="宋体"/>
                <w:snapToGrid w:val="0"/>
                <w:kern w:val="0"/>
                <w:sz w:val="24"/>
                <w:szCs w:val="21"/>
              </w:rPr>
            </w:pPr>
            <w:r>
              <w:rPr>
                <w:rFonts w:hint="eastAsia" w:ascii="宋体" w:hAnsi="宋体"/>
                <w:snapToGrid w:val="0"/>
                <w:kern w:val="0"/>
                <w:sz w:val="24"/>
                <w:szCs w:val="21"/>
              </w:rPr>
              <w:t>项目名称</w:t>
            </w:r>
          </w:p>
        </w:tc>
        <w:tc>
          <w:tcPr>
            <w:tcW w:w="2625" w:type="dxa"/>
            <w:tcBorders>
              <w:top w:val="double" w:color="auto" w:sz="4" w:space="0"/>
              <w:bottom w:val="single" w:color="auto" w:sz="4" w:space="0"/>
            </w:tcBorders>
            <w:vAlign w:val="center"/>
          </w:tcPr>
          <w:p>
            <w:pPr>
              <w:widowControl/>
              <w:adjustRightInd w:val="0"/>
              <w:snapToGrid w:val="0"/>
              <w:spacing w:line="300" w:lineRule="auto"/>
              <w:jc w:val="center"/>
              <w:rPr>
                <w:rFonts w:ascii="宋体" w:hAnsi="宋体"/>
                <w:snapToGrid w:val="0"/>
                <w:kern w:val="0"/>
                <w:sz w:val="24"/>
                <w:szCs w:val="21"/>
              </w:rPr>
            </w:pPr>
            <w:r>
              <w:rPr>
                <w:rFonts w:hint="eastAsia" w:ascii="宋体" w:hAnsi="宋体"/>
                <w:snapToGrid w:val="0"/>
                <w:kern w:val="0"/>
                <w:sz w:val="24"/>
                <w:szCs w:val="21"/>
              </w:rPr>
              <w:t>投标单价</w:t>
            </w:r>
          </w:p>
        </w:tc>
        <w:tc>
          <w:tcPr>
            <w:tcW w:w="2034" w:type="dxa"/>
            <w:tcBorders>
              <w:top w:val="double" w:color="auto" w:sz="4" w:space="0"/>
              <w:bottom w:val="single" w:color="auto" w:sz="4" w:space="0"/>
            </w:tcBorders>
            <w:vAlign w:val="center"/>
          </w:tcPr>
          <w:p>
            <w:pPr>
              <w:widowControl/>
              <w:adjustRightInd w:val="0"/>
              <w:snapToGrid w:val="0"/>
              <w:spacing w:line="300" w:lineRule="auto"/>
              <w:jc w:val="center"/>
              <w:rPr>
                <w:rFonts w:ascii="宋体" w:hAnsi="宋体"/>
                <w:snapToGrid w:val="0"/>
                <w:kern w:val="0"/>
                <w:sz w:val="24"/>
                <w:szCs w:val="21"/>
              </w:rPr>
            </w:pPr>
            <w:r>
              <w:rPr>
                <w:rFonts w:hint="eastAsia" w:ascii="宋体" w:hAnsi="宋体"/>
                <w:snapToGrid w:val="0"/>
                <w:kern w:val="0"/>
                <w:sz w:val="24"/>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3246" w:type="dxa"/>
            <w:tcBorders>
              <w:top w:val="single" w:color="auto" w:sz="4" w:space="0"/>
            </w:tcBorders>
            <w:vAlign w:val="center"/>
          </w:tcPr>
          <w:p>
            <w:pPr>
              <w:widowControl/>
              <w:adjustRightInd w:val="0"/>
              <w:snapToGrid w:val="0"/>
              <w:spacing w:line="300" w:lineRule="auto"/>
              <w:jc w:val="center"/>
              <w:rPr>
                <w:rFonts w:ascii="宋体" w:hAnsi="宋体"/>
                <w:snapToGrid w:val="0"/>
                <w:kern w:val="0"/>
                <w:sz w:val="24"/>
                <w:szCs w:val="21"/>
                <w:u w:val="single"/>
              </w:rPr>
            </w:pPr>
            <w:r>
              <w:rPr>
                <w:rFonts w:hint="eastAsia" w:ascii="宋体" w:hAnsi="宋体"/>
                <w:snapToGrid w:val="0"/>
                <w:kern w:val="0"/>
                <w:sz w:val="24"/>
                <w:szCs w:val="21"/>
                <w:u w:val="single"/>
              </w:rPr>
              <w:t xml:space="preserve">                 项目</w:t>
            </w:r>
          </w:p>
        </w:tc>
        <w:tc>
          <w:tcPr>
            <w:tcW w:w="2625" w:type="dxa"/>
            <w:tcBorders>
              <w:top w:val="single" w:color="auto" w:sz="4" w:space="0"/>
            </w:tcBorders>
            <w:vAlign w:val="center"/>
          </w:tcPr>
          <w:p>
            <w:pPr>
              <w:widowControl/>
              <w:adjustRightInd w:val="0"/>
              <w:snapToGrid w:val="0"/>
              <w:spacing w:line="300" w:lineRule="auto"/>
              <w:jc w:val="left"/>
            </w:pPr>
            <w:r>
              <w:rPr>
                <w:rFonts w:hint="eastAsia" w:ascii="宋体" w:hAnsi="宋体"/>
                <w:snapToGrid w:val="0"/>
                <w:kern w:val="0"/>
                <w:sz w:val="24"/>
                <w:szCs w:val="21"/>
                <w:u w:val="single"/>
              </w:rPr>
              <w:t xml:space="preserve">        </w:t>
            </w:r>
            <w:r>
              <w:rPr>
                <w:rFonts w:hint="eastAsia" w:ascii="宋体" w:hAnsi="宋体"/>
                <w:snapToGrid w:val="0"/>
                <w:kern w:val="0"/>
                <w:sz w:val="24"/>
                <w:szCs w:val="21"/>
              </w:rPr>
              <w:t>元/平方米</w:t>
            </w:r>
          </w:p>
        </w:tc>
        <w:tc>
          <w:tcPr>
            <w:tcW w:w="2034" w:type="dxa"/>
            <w:tcBorders>
              <w:top w:val="single" w:color="auto" w:sz="4" w:space="0"/>
            </w:tcBorders>
            <w:vAlign w:val="center"/>
          </w:tcPr>
          <w:p>
            <w:pPr>
              <w:widowControl/>
              <w:adjustRightInd w:val="0"/>
              <w:snapToGrid w:val="0"/>
              <w:spacing w:line="300" w:lineRule="auto"/>
              <w:jc w:val="center"/>
              <w:rPr>
                <w:rFonts w:ascii="宋体" w:hAnsi="宋体"/>
                <w:snapToGrid w:val="0"/>
                <w:kern w:val="0"/>
                <w:sz w:val="24"/>
                <w:szCs w:val="21"/>
              </w:rPr>
            </w:pPr>
          </w:p>
        </w:tc>
      </w:tr>
    </w:tbl>
    <w:p>
      <w:pPr>
        <w:widowControl/>
        <w:snapToGrid w:val="0"/>
        <w:ind w:firstLine="422" w:firstLineChars="200"/>
        <w:jc w:val="left"/>
        <w:rPr>
          <w:b/>
          <w:color w:val="0000FF"/>
          <w:szCs w:val="21"/>
        </w:rPr>
      </w:pPr>
      <w:r>
        <w:rPr>
          <w:rFonts w:hint="eastAsia"/>
          <w:b/>
          <w:color w:val="0000FF"/>
          <w:szCs w:val="21"/>
        </w:rPr>
        <w:t>注：</w:t>
      </w:r>
    </w:p>
    <w:p>
      <w:pPr>
        <w:widowControl/>
        <w:snapToGrid w:val="0"/>
        <w:ind w:firstLine="420" w:firstLineChars="200"/>
        <w:jc w:val="left"/>
        <w:rPr>
          <w:rFonts w:ascii="宋体" w:hAnsi="宋体"/>
          <w:color w:val="0000FF"/>
          <w:kern w:val="0"/>
          <w:szCs w:val="21"/>
        </w:rPr>
      </w:pPr>
      <w:r>
        <w:rPr>
          <w:rFonts w:hint="eastAsia"/>
          <w:bCs/>
          <w:color w:val="0000FF"/>
          <w:szCs w:val="21"/>
        </w:rPr>
        <w:t>1.</w:t>
      </w:r>
      <w:r>
        <w:rPr>
          <w:rFonts w:hint="eastAsia" w:ascii="宋体" w:hAnsi="宋体"/>
          <w:color w:val="0000FF"/>
          <w:kern w:val="0"/>
          <w:szCs w:val="21"/>
        </w:rPr>
        <w:t>投标人的投标报价不得超过单价限价，单价限价为4.00元/平方米，超出单价限价的作投标无效处理。</w:t>
      </w:r>
    </w:p>
    <w:p>
      <w:pPr>
        <w:widowControl/>
        <w:snapToGrid w:val="0"/>
        <w:ind w:firstLine="420" w:firstLineChars="200"/>
        <w:jc w:val="left"/>
        <w:rPr>
          <w:rFonts w:ascii="宋体" w:hAnsi="宋体"/>
          <w:color w:val="0000FF"/>
          <w:kern w:val="0"/>
          <w:szCs w:val="21"/>
        </w:rPr>
      </w:pPr>
      <w:r>
        <w:rPr>
          <w:rFonts w:hint="eastAsia" w:ascii="宋体" w:hAnsi="宋体"/>
          <w:color w:val="0000FF"/>
          <w:kern w:val="0"/>
          <w:szCs w:val="21"/>
        </w:rPr>
        <w:t>2.以上单价最多保留两位小数，例如报价为3.50元/平方米</w:t>
      </w:r>
      <w:r>
        <w:rPr>
          <w:rFonts w:hint="eastAsia" w:ascii="宋体" w:hAnsi="宋体"/>
          <w:color w:val="0000FF"/>
          <w:kern w:val="0"/>
          <w:szCs w:val="21"/>
        </w:rPr>
        <w:t>、3.80元/平方米</w:t>
      </w:r>
      <w:r>
        <w:rPr>
          <w:rFonts w:hint="eastAsia" w:ascii="宋体" w:hAnsi="宋体"/>
          <w:color w:val="0000FF"/>
          <w:kern w:val="0"/>
          <w:szCs w:val="21"/>
        </w:rPr>
        <w:t>等。</w:t>
      </w:r>
    </w:p>
    <w:p>
      <w:pPr>
        <w:widowControl/>
        <w:snapToGrid w:val="0"/>
        <w:ind w:firstLine="420" w:firstLineChars="200"/>
        <w:jc w:val="left"/>
      </w:pPr>
      <w:r>
        <w:rPr>
          <w:rFonts w:hint="eastAsia"/>
        </w:rPr>
        <w:t>3.投标人在系统投标报价环节需与本项报价保持一致，如不一致的作投标无效处理。</w:t>
      </w:r>
    </w:p>
    <w:p>
      <w:pPr>
        <w:tabs>
          <w:tab w:val="left" w:pos="720"/>
        </w:tabs>
        <w:jc w:val="center"/>
        <w:rPr>
          <w:b/>
          <w:sz w:val="24"/>
        </w:rPr>
      </w:pPr>
    </w:p>
    <w:p>
      <w:pPr>
        <w:tabs>
          <w:tab w:val="left" w:pos="720"/>
        </w:tabs>
        <w:jc w:val="center"/>
        <w:rPr>
          <w:b/>
          <w:sz w:val="24"/>
        </w:rPr>
      </w:pPr>
    </w:p>
    <w:p>
      <w:pPr>
        <w:tabs>
          <w:tab w:val="left" w:pos="720"/>
        </w:tabs>
        <w:jc w:val="center"/>
        <w:rPr>
          <w:b/>
          <w:sz w:val="24"/>
        </w:rPr>
      </w:pPr>
      <w:r>
        <w:rPr>
          <w:rFonts w:hint="eastAsia"/>
          <w:b/>
          <w:sz w:val="24"/>
        </w:rPr>
        <w:t>（二）</w:t>
      </w:r>
      <w:bookmarkStart w:id="44" w:name="_Hlk72073235"/>
      <w:r>
        <w:rPr>
          <w:rFonts w:hint="eastAsia"/>
          <w:b/>
          <w:sz w:val="24"/>
        </w:rPr>
        <w:t>投标人认为需要涉及的其他内容报价清单</w:t>
      </w:r>
      <w:bookmarkEnd w:id="44"/>
    </w:p>
    <w:p>
      <w:pPr>
        <w:rPr>
          <w:b/>
          <w:bCs/>
        </w:rPr>
      </w:pPr>
    </w:p>
    <w:p>
      <w:pPr>
        <w:pStyle w:val="5"/>
        <w:jc w:val="center"/>
        <w:rPr>
          <w:rFonts w:ascii="黑体" w:eastAsia="黑体"/>
          <w:b w:val="0"/>
          <w:sz w:val="24"/>
        </w:rPr>
      </w:pPr>
      <w:r>
        <w:rPr>
          <w:rFonts w:hint="eastAsia" w:ascii="黑体" w:eastAsia="黑体"/>
          <w:b w:val="0"/>
          <w:sz w:val="24"/>
        </w:rPr>
        <w:t>五、</w:t>
      </w:r>
      <w:bookmarkStart w:id="45" w:name="_Hlk72092499"/>
      <w:r>
        <w:rPr>
          <w:rFonts w:hint="eastAsia" w:ascii="黑体" w:eastAsia="黑体"/>
          <w:b w:val="0"/>
          <w:sz w:val="24"/>
        </w:rPr>
        <w:t>法定代表人（负责人）证明书</w:t>
      </w:r>
      <w:bookmarkEnd w:id="45"/>
    </w:p>
    <w:p>
      <w:pPr>
        <w:rPr>
          <w:sz w:val="24"/>
        </w:rPr>
      </w:pPr>
    </w:p>
    <w:p>
      <w:pPr>
        <w:ind w:firstLine="420" w:firstLineChars="200"/>
        <w:rPr>
          <w:szCs w:val="21"/>
        </w:rPr>
      </w:pPr>
      <w:r>
        <w:rPr>
          <w:rFonts w:hint="eastAsia"/>
          <w:szCs w:val="21"/>
        </w:rPr>
        <w:t xml:space="preserve">  </w:t>
      </w: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pPr>
        <w:ind w:firstLine="420" w:firstLineChars="200"/>
        <w:rPr>
          <w:szCs w:val="21"/>
        </w:rPr>
      </w:pPr>
      <w:r>
        <w:rPr>
          <w:rFonts w:hint="eastAsia"/>
          <w:szCs w:val="21"/>
        </w:rPr>
        <w:t>特此证明。</w:t>
      </w:r>
    </w:p>
    <w:p>
      <w:pPr>
        <w:ind w:firstLine="420" w:firstLineChars="200"/>
        <w:rPr>
          <w:szCs w:val="21"/>
        </w:rPr>
      </w:pPr>
      <w:r>
        <w:rPr>
          <w:rFonts w:hint="eastAsia"/>
          <w:szCs w:val="21"/>
        </w:rPr>
        <w:t>说明：1、法定代表人为投标人（企业事业单位、国家机关、社会团体）的主要行政负责人。</w:t>
      </w:r>
    </w:p>
    <w:p>
      <w:pPr>
        <w:numPr>
          <w:ilvl w:val="0"/>
          <w:numId w:val="8"/>
        </w:numPr>
        <w:ind w:left="420"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pPr>
        <w:numPr>
          <w:ilvl w:val="0"/>
          <w:numId w:val="8"/>
        </w:numPr>
        <w:ind w:left="420"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pPr>
        <w:numPr>
          <w:ilvl w:val="0"/>
          <w:numId w:val="8"/>
        </w:numPr>
        <w:ind w:left="420" w:firstLine="420" w:firstLineChars="200"/>
        <w:rPr>
          <w:szCs w:val="21"/>
        </w:rPr>
      </w:pPr>
      <w:r>
        <w:rPr>
          <w:rFonts w:hint="eastAsia"/>
          <w:szCs w:val="21"/>
        </w:rPr>
        <w:t>内容必须填写真实、清楚，涂改无效，不得转让、买卖。</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pPr>
            <w:r>
              <w:rPr>
                <w:rFonts w:hint="eastAsia"/>
              </w:rPr>
              <w:t>证件扫描件正面</w:t>
            </w:r>
          </w:p>
          <w:p>
            <w:pPr>
              <w:pStyle w:val="2"/>
              <w:spacing w:line="240" w:lineRule="auto"/>
              <w:jc w:val="center"/>
            </w:pPr>
          </w:p>
          <w:p>
            <w:pPr>
              <w:pStyle w:val="3"/>
              <w:spacing w:line="240" w:lineRule="auto"/>
              <w:jc w:val="center"/>
            </w:pPr>
          </w:p>
        </w:tc>
        <w:tc>
          <w:tcPr>
            <w:tcW w:w="4265" w:type="dxa"/>
          </w:tcPr>
          <w:p>
            <w:pPr>
              <w:jc w:val="center"/>
            </w:pPr>
            <w:r>
              <w:rPr>
                <w:rFonts w:hint="eastAsia"/>
              </w:rPr>
              <w:t>证件扫描件反面</w:t>
            </w:r>
          </w:p>
          <w:p>
            <w:pPr>
              <w:pStyle w:val="2"/>
              <w:spacing w:line="240" w:lineRule="auto"/>
              <w:jc w:val="center"/>
            </w:pPr>
          </w:p>
          <w:p>
            <w:pPr>
              <w:pStyle w:val="3"/>
              <w:spacing w:line="240" w:lineRule="auto"/>
              <w:jc w:val="center"/>
            </w:pPr>
          </w:p>
        </w:tc>
      </w:tr>
    </w:tbl>
    <w:p>
      <w:pPr>
        <w:ind w:firstLine="480" w:firstLineChars="200"/>
        <w:rPr>
          <w:sz w:val="24"/>
        </w:rPr>
      </w:pPr>
    </w:p>
    <w:p>
      <w:pPr>
        <w:rPr>
          <w:b/>
          <w:bCs/>
          <w:sz w:val="24"/>
        </w:rPr>
      </w:pPr>
    </w:p>
    <w:p>
      <w:pPr>
        <w:pStyle w:val="5"/>
        <w:spacing w:before="120" w:after="120"/>
        <w:jc w:val="center"/>
        <w:rPr>
          <w:rFonts w:ascii="黑体" w:eastAsia="黑体"/>
          <w:b w:val="0"/>
          <w:sz w:val="24"/>
        </w:rPr>
      </w:pPr>
      <w:r>
        <w:rPr>
          <w:rFonts w:hint="eastAsia" w:ascii="黑体" w:eastAsia="黑体"/>
          <w:b w:val="0"/>
          <w:sz w:val="24"/>
        </w:rPr>
        <w:t>六、投标文件签署授权委托书</w:t>
      </w:r>
    </w:p>
    <w:p>
      <w:pPr>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pPr>
        <w:ind w:firstLine="420" w:firstLineChars="200"/>
        <w:rPr>
          <w:szCs w:val="21"/>
        </w:rPr>
      </w:pPr>
      <w:r>
        <w:rPr>
          <w:rFonts w:hint="eastAsia"/>
          <w:szCs w:val="21"/>
        </w:rPr>
        <w:t>代理人无转委托权，特此委托。</w:t>
      </w:r>
    </w:p>
    <w:p>
      <w:pPr>
        <w:ind w:firstLine="420" w:firstLineChars="200"/>
        <w:rPr>
          <w:szCs w:val="21"/>
        </w:rPr>
      </w:pPr>
    </w:p>
    <w:p>
      <w:pPr>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pPr>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pPr>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pPr>
        <w:ind w:firstLine="420" w:firstLine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Pr>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pPr>
            <w:r>
              <w:rPr>
                <w:rFonts w:hint="eastAsia"/>
              </w:rPr>
              <w:t>证件扫描件正面</w:t>
            </w:r>
          </w:p>
          <w:p>
            <w:pPr>
              <w:pStyle w:val="2"/>
              <w:spacing w:line="240" w:lineRule="auto"/>
              <w:jc w:val="center"/>
            </w:pPr>
          </w:p>
          <w:p>
            <w:pPr>
              <w:pStyle w:val="3"/>
              <w:spacing w:line="240" w:lineRule="auto"/>
              <w:jc w:val="center"/>
            </w:pPr>
          </w:p>
        </w:tc>
        <w:tc>
          <w:tcPr>
            <w:tcW w:w="4265" w:type="dxa"/>
          </w:tcPr>
          <w:p>
            <w:pPr>
              <w:jc w:val="center"/>
            </w:pPr>
            <w:r>
              <w:rPr>
                <w:rFonts w:hint="eastAsia"/>
              </w:rPr>
              <w:t>证件扫描件反面</w:t>
            </w:r>
          </w:p>
          <w:p>
            <w:pPr>
              <w:pStyle w:val="2"/>
              <w:spacing w:line="240" w:lineRule="auto"/>
              <w:jc w:val="center"/>
            </w:pPr>
          </w:p>
          <w:p>
            <w:pPr>
              <w:pStyle w:val="3"/>
              <w:spacing w:line="240" w:lineRule="auto"/>
              <w:jc w:val="center"/>
            </w:pPr>
          </w:p>
        </w:tc>
      </w:tr>
    </w:tbl>
    <w:p>
      <w:pPr>
        <w:pStyle w:val="5"/>
        <w:jc w:val="center"/>
        <w:rPr>
          <w:rFonts w:ascii="黑体" w:eastAsia="黑体"/>
          <w:b w:val="0"/>
          <w:kern w:val="0"/>
          <w:sz w:val="24"/>
          <w:szCs w:val="24"/>
        </w:rPr>
      </w:pPr>
      <w:r>
        <w:rPr>
          <w:rFonts w:hint="eastAsia" w:ascii="黑体" w:eastAsia="黑体"/>
          <w:b w:val="0"/>
          <w:kern w:val="0"/>
          <w:sz w:val="24"/>
          <w:szCs w:val="24"/>
        </w:rPr>
        <w:t>七、</w:t>
      </w:r>
      <w:bookmarkStart w:id="46" w:name="_Hlk72092634"/>
      <w:r>
        <w:rPr>
          <w:rFonts w:hint="eastAsia" w:ascii="黑体" w:eastAsia="黑体"/>
          <w:b w:val="0"/>
          <w:kern w:val="0"/>
          <w:sz w:val="24"/>
          <w:szCs w:val="24"/>
        </w:rPr>
        <w:t>实质性条款响应情况表</w:t>
      </w:r>
      <w:bookmarkEnd w:id="46"/>
    </w:p>
    <w:tbl>
      <w:tblPr>
        <w:tblStyle w:val="4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514"/>
        <w:gridCol w:w="1559"/>
        <w:gridCol w:w="1276"/>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pPr>
              <w:adjustRightInd w:val="0"/>
              <w:snapToGrid w:val="0"/>
              <w:spacing w:line="360" w:lineRule="auto"/>
              <w:jc w:val="center"/>
              <w:rPr>
                <w:rFonts w:ascii="宋体" w:hAnsi="宋体"/>
                <w:kern w:val="0"/>
                <w:szCs w:val="21"/>
              </w:rPr>
            </w:pPr>
            <w:bookmarkStart w:id="47" w:name="_Hlk72092651"/>
            <w:r>
              <w:rPr>
                <w:rFonts w:hint="eastAsia" w:ascii="宋体" w:hAnsi="宋体"/>
                <w:kern w:val="0"/>
                <w:szCs w:val="21"/>
              </w:rPr>
              <w:t>序号</w:t>
            </w:r>
          </w:p>
        </w:tc>
        <w:tc>
          <w:tcPr>
            <w:tcW w:w="3514"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559" w:type="dxa"/>
            <w:vAlign w:val="center"/>
          </w:tcPr>
          <w:p>
            <w:pPr>
              <w:adjustRightInd w:val="0"/>
              <w:snapToGrid w:val="0"/>
              <w:spacing w:line="360" w:lineRule="auto"/>
              <w:jc w:val="center"/>
              <w:rPr>
                <w:rFonts w:ascii="宋体" w:hAnsi="宋体"/>
                <w:kern w:val="0"/>
                <w:szCs w:val="21"/>
              </w:rPr>
            </w:pPr>
            <w:r>
              <w:rPr>
                <w:rFonts w:hint="eastAsia"/>
              </w:rPr>
              <w:t>投标响应</w:t>
            </w:r>
          </w:p>
        </w:tc>
        <w:tc>
          <w:tcPr>
            <w:tcW w:w="1276" w:type="dxa"/>
            <w:vAlign w:val="center"/>
          </w:tcPr>
          <w:p>
            <w:pPr>
              <w:adjustRightInd w:val="0"/>
              <w:snapToGrid w:val="0"/>
              <w:spacing w:line="360" w:lineRule="auto"/>
              <w:jc w:val="center"/>
              <w:rPr>
                <w:rFonts w:ascii="宋体" w:hAnsi="宋体"/>
                <w:kern w:val="0"/>
                <w:szCs w:val="21"/>
              </w:rPr>
            </w:pPr>
            <w:r>
              <w:rPr>
                <w:rFonts w:hint="eastAsia"/>
              </w:rPr>
              <w:t>偏离情况</w:t>
            </w:r>
          </w:p>
        </w:tc>
        <w:tc>
          <w:tcPr>
            <w:tcW w:w="1163" w:type="dxa"/>
            <w:vAlign w:val="center"/>
          </w:tcPr>
          <w:p>
            <w:pPr>
              <w:adjustRightInd w:val="0"/>
              <w:snapToGrid w:val="0"/>
              <w:spacing w:line="360" w:lineRule="auto"/>
              <w:jc w:val="center"/>
              <w:rPr>
                <w:rFonts w:ascii="宋体" w:hAnsi="宋体"/>
                <w:kern w:val="0"/>
                <w:szCs w:val="21"/>
              </w:rPr>
            </w:pPr>
            <w:r>
              <w:rPr>
                <w:rFonts w:hint="eastAsia"/>
              </w:rPr>
              <w:t>说明</w:t>
            </w:r>
          </w:p>
        </w:tc>
      </w:tr>
      <w:bookmark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3514" w:type="dxa"/>
          </w:tcPr>
          <w:p>
            <w:pPr>
              <w:adjustRightInd w:val="0"/>
              <w:snapToGrid w:val="0"/>
              <w:spacing w:line="360" w:lineRule="auto"/>
              <w:jc w:val="left"/>
              <w:rPr>
                <w:rFonts w:hAnsi="宋体"/>
                <w:kern w:val="0"/>
                <w:szCs w:val="21"/>
              </w:rPr>
            </w:pPr>
            <w:r>
              <w:rPr>
                <w:rFonts w:hint="eastAsia"/>
              </w:rPr>
              <w:t>满足本项目标★的条款要求</w:t>
            </w:r>
          </w:p>
        </w:tc>
        <w:tc>
          <w:tcPr>
            <w:tcW w:w="1559" w:type="dxa"/>
          </w:tcPr>
          <w:p>
            <w:pPr>
              <w:adjustRightInd w:val="0"/>
              <w:snapToGrid w:val="0"/>
              <w:spacing w:line="360" w:lineRule="auto"/>
              <w:rPr>
                <w:rFonts w:ascii="宋体" w:hAnsi="宋体"/>
                <w:kern w:val="0"/>
                <w:szCs w:val="21"/>
              </w:rPr>
            </w:pPr>
          </w:p>
        </w:tc>
        <w:tc>
          <w:tcPr>
            <w:tcW w:w="1276" w:type="dxa"/>
          </w:tcPr>
          <w:p>
            <w:pPr>
              <w:adjustRightInd w:val="0"/>
              <w:snapToGrid w:val="0"/>
              <w:spacing w:line="360" w:lineRule="auto"/>
              <w:rPr>
                <w:rFonts w:ascii="宋体" w:hAnsi="宋体"/>
                <w:kern w:val="0"/>
                <w:szCs w:val="21"/>
              </w:rPr>
            </w:pPr>
          </w:p>
        </w:tc>
        <w:tc>
          <w:tcPr>
            <w:tcW w:w="1163" w:type="dxa"/>
          </w:tcPr>
          <w:p>
            <w:pPr>
              <w:adjustRightInd w:val="0"/>
              <w:snapToGrid w:val="0"/>
              <w:spacing w:line="360" w:lineRule="auto"/>
              <w:rPr>
                <w:rFonts w:ascii="宋体" w:hAnsi="宋体"/>
                <w:kern w:val="0"/>
                <w:szCs w:val="21"/>
              </w:rPr>
            </w:pPr>
          </w:p>
        </w:tc>
      </w:tr>
    </w:tbl>
    <w:p>
      <w:pPr>
        <w:ind w:firstLine="482" w:firstLineChars="200"/>
        <w:rPr>
          <w:b/>
          <w:sz w:val="24"/>
          <w:szCs w:val="22"/>
        </w:rPr>
      </w:pPr>
      <w:r>
        <w:rPr>
          <w:rFonts w:hint="eastAsia"/>
          <w:b/>
          <w:sz w:val="24"/>
          <w:szCs w:val="22"/>
        </w:rPr>
        <w:t>注：1.上表所列各项均为不可负偏离条款。</w:t>
      </w:r>
    </w:p>
    <w:p>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pPr>
        <w:ind w:firstLine="482" w:firstLineChars="200"/>
        <w:rPr>
          <w:b/>
          <w:sz w:val="24"/>
          <w:szCs w:val="22"/>
        </w:rPr>
      </w:pPr>
      <w:r>
        <w:rPr>
          <w:rFonts w:hint="eastAsia"/>
          <w:b/>
          <w:sz w:val="24"/>
          <w:szCs w:val="22"/>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pPr>
        <w:ind w:firstLine="482" w:firstLineChars="200"/>
        <w:rPr>
          <w:b/>
          <w:sz w:val="24"/>
          <w:szCs w:val="22"/>
        </w:rPr>
      </w:pPr>
      <w:r>
        <w:rPr>
          <w:rFonts w:hint="eastAsia"/>
          <w:b/>
          <w:sz w:val="24"/>
          <w:szCs w:val="22"/>
        </w:rPr>
        <w:t>4.评审委员会有权对投标响应情况作出判断（作出评审结论）。</w:t>
      </w:r>
    </w:p>
    <w:p>
      <w:pPr>
        <w:ind w:firstLine="482" w:firstLineChars="200"/>
        <w:rPr>
          <w:b/>
          <w:sz w:val="24"/>
          <w:szCs w:val="22"/>
        </w:rPr>
      </w:pPr>
      <w:r>
        <w:rPr>
          <w:rFonts w:hint="eastAsia"/>
          <w:b/>
          <w:sz w:val="24"/>
          <w:szCs w:val="22"/>
        </w:rPr>
        <w:t>5.实质性响应条款“投标响应情况”与投标文件其他内容冲突的，以实质性响应条款“投标响应情况”为准。</w:t>
      </w:r>
    </w:p>
    <w:p>
      <w:pPr>
        <w:ind w:firstLine="482" w:firstLineChars="200"/>
        <w:rPr>
          <w:b/>
          <w:sz w:val="24"/>
        </w:rPr>
      </w:pPr>
      <w:r>
        <w:rPr>
          <w:rFonts w:hint="eastAsia"/>
          <w:b/>
          <w:sz w:val="24"/>
          <w:szCs w:val="22"/>
        </w:rPr>
        <w:t>6.要求提供证明资料，在“说明”一栏中列明证明资料的位置,以便评审；未要求提供证明材料的，投标人可以不提供</w:t>
      </w:r>
      <w:r>
        <w:rPr>
          <w:rFonts w:hint="eastAsia"/>
          <w:b/>
          <w:sz w:val="24"/>
        </w:rPr>
        <w:t>。</w:t>
      </w:r>
    </w:p>
    <w:p>
      <w:pPr>
        <w:rPr>
          <w:b/>
          <w:bCs/>
          <w:sz w:val="24"/>
        </w:rPr>
      </w:pPr>
    </w:p>
    <w:p>
      <w:pPr>
        <w:pStyle w:val="5"/>
        <w:jc w:val="center"/>
        <w:rPr>
          <w:rFonts w:ascii="黑体" w:eastAsia="黑体"/>
          <w:b w:val="0"/>
          <w:kern w:val="0"/>
          <w:sz w:val="24"/>
          <w:szCs w:val="24"/>
        </w:rPr>
      </w:pPr>
      <w:r>
        <w:rPr>
          <w:rFonts w:hint="eastAsia" w:ascii="黑体" w:eastAsia="黑体"/>
          <w:b w:val="0"/>
          <w:kern w:val="0"/>
          <w:sz w:val="24"/>
          <w:szCs w:val="24"/>
        </w:rPr>
        <w:t>八、实施方案</w:t>
      </w:r>
    </w:p>
    <w:p>
      <w:pPr>
        <w:pStyle w:val="9"/>
        <w:ind w:firstLine="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pPr>
        <w:pStyle w:val="9"/>
        <w:ind w:firstLine="0"/>
        <w:rPr>
          <w:rFonts w:asciiTheme="minorEastAsia" w:hAnsiTheme="minorEastAsia" w:eastAsiaTheme="minorEastAsia" w:cstheme="minorEastAsia"/>
          <w:sz w:val="24"/>
        </w:rPr>
      </w:pPr>
    </w:p>
    <w:p>
      <w:pPr>
        <w:pStyle w:val="5"/>
        <w:jc w:val="center"/>
        <w:rPr>
          <w:rFonts w:ascii="黑体" w:eastAsia="黑体"/>
          <w:b w:val="0"/>
          <w:kern w:val="0"/>
          <w:sz w:val="24"/>
          <w:szCs w:val="24"/>
        </w:rPr>
      </w:pPr>
      <w:r>
        <w:rPr>
          <w:rFonts w:hint="eastAsia" w:ascii="黑体" w:eastAsia="黑体"/>
          <w:b w:val="0"/>
          <w:kern w:val="0"/>
          <w:sz w:val="24"/>
          <w:szCs w:val="24"/>
        </w:rPr>
        <w:t>九、项目重点难点分析、应对措施及相关的合理化建议（格式自定）</w:t>
      </w:r>
    </w:p>
    <w:p>
      <w:pPr>
        <w:pStyle w:val="9"/>
        <w:ind w:firstLine="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pPr>
        <w:pStyle w:val="9"/>
        <w:ind w:firstLine="0"/>
        <w:rPr>
          <w:rFonts w:asciiTheme="minorEastAsia" w:hAnsiTheme="minorEastAsia" w:eastAsiaTheme="minorEastAsia" w:cstheme="minorEastAsia"/>
          <w:sz w:val="24"/>
        </w:rPr>
      </w:pPr>
    </w:p>
    <w:p>
      <w:pPr>
        <w:pStyle w:val="5"/>
        <w:jc w:val="center"/>
        <w:rPr>
          <w:rFonts w:ascii="黑体" w:eastAsia="黑体"/>
          <w:sz w:val="24"/>
        </w:rPr>
      </w:pPr>
      <w:r>
        <w:rPr>
          <w:rFonts w:hint="eastAsia" w:ascii="黑体" w:eastAsia="黑体"/>
          <w:b w:val="0"/>
          <w:kern w:val="0"/>
          <w:sz w:val="24"/>
          <w:szCs w:val="24"/>
        </w:rPr>
        <w:t>十、质量保障措施（格式自定）</w:t>
      </w:r>
    </w:p>
    <w:p>
      <w:pPr>
        <w:pStyle w:val="9"/>
        <w:ind w:firstLine="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pPr>
        <w:pStyle w:val="9"/>
        <w:ind w:firstLine="0"/>
        <w:rPr>
          <w:rFonts w:asciiTheme="minorEastAsia" w:hAnsiTheme="minorEastAsia" w:eastAsiaTheme="minorEastAsia" w:cstheme="minorEastAsia"/>
          <w:sz w:val="24"/>
        </w:rPr>
      </w:pPr>
    </w:p>
    <w:p>
      <w:pPr>
        <w:pStyle w:val="5"/>
        <w:jc w:val="center"/>
        <w:rPr>
          <w:rFonts w:ascii="黑体" w:eastAsia="黑体"/>
          <w:b w:val="0"/>
          <w:kern w:val="0"/>
          <w:sz w:val="24"/>
          <w:szCs w:val="24"/>
        </w:rPr>
      </w:pPr>
      <w:r>
        <w:rPr>
          <w:rFonts w:hint="eastAsia" w:ascii="黑体" w:eastAsia="黑体"/>
          <w:b w:val="0"/>
          <w:kern w:val="0"/>
          <w:sz w:val="24"/>
          <w:szCs w:val="24"/>
        </w:rPr>
        <w:t>十一、拟安排的项目负责人（仅限1人）情况（格式自定）</w:t>
      </w:r>
    </w:p>
    <w:p>
      <w:pPr>
        <w:pStyle w:val="9"/>
        <w:ind w:firstLine="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pPr>
        <w:pStyle w:val="9"/>
        <w:ind w:firstLine="0"/>
        <w:rPr>
          <w:rFonts w:asciiTheme="minorEastAsia" w:hAnsiTheme="minorEastAsia" w:eastAsiaTheme="minorEastAsia" w:cstheme="minorEastAsia"/>
          <w:sz w:val="24"/>
        </w:rPr>
      </w:pPr>
    </w:p>
    <w:p>
      <w:pPr>
        <w:pStyle w:val="5"/>
        <w:jc w:val="center"/>
        <w:rPr>
          <w:rFonts w:ascii="黑体" w:eastAsia="黑体"/>
          <w:b w:val="0"/>
          <w:kern w:val="0"/>
          <w:sz w:val="24"/>
          <w:szCs w:val="24"/>
        </w:rPr>
      </w:pPr>
      <w:r>
        <w:rPr>
          <w:rFonts w:hint="eastAsia" w:ascii="黑体" w:eastAsia="黑体"/>
          <w:b w:val="0"/>
          <w:kern w:val="0"/>
          <w:sz w:val="24"/>
          <w:szCs w:val="24"/>
        </w:rPr>
        <w:t>十二、拟安排的技术负责人（格式自定）</w:t>
      </w:r>
    </w:p>
    <w:p>
      <w:pPr>
        <w:pStyle w:val="9"/>
        <w:spacing w:before="78" w:beforeLines="25" w:after="78" w:afterLines="25"/>
        <w:ind w:firstLine="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pPr>
        <w:pStyle w:val="9"/>
        <w:spacing w:before="78" w:beforeLines="25" w:after="78" w:afterLines="25"/>
        <w:ind w:firstLine="0"/>
        <w:rPr>
          <w:rFonts w:asciiTheme="minorEastAsia" w:hAnsiTheme="minorEastAsia" w:eastAsiaTheme="minorEastAsia" w:cstheme="minorEastAsia"/>
          <w:sz w:val="24"/>
        </w:rPr>
      </w:pPr>
    </w:p>
    <w:p>
      <w:pPr>
        <w:pStyle w:val="5"/>
        <w:jc w:val="center"/>
        <w:rPr>
          <w:rFonts w:ascii="黑体" w:eastAsia="黑体"/>
          <w:b w:val="0"/>
          <w:kern w:val="0"/>
          <w:sz w:val="24"/>
          <w:szCs w:val="24"/>
        </w:rPr>
      </w:pPr>
      <w:r>
        <w:rPr>
          <w:rFonts w:hint="eastAsia" w:ascii="黑体" w:eastAsia="黑体"/>
          <w:b w:val="0"/>
          <w:kern w:val="0"/>
          <w:sz w:val="24"/>
          <w:szCs w:val="24"/>
        </w:rPr>
        <w:t>十三、拟安排的项目团队主要成员（项目负责人除外）情况（格式自定）</w:t>
      </w:r>
    </w:p>
    <w:p>
      <w:pPr>
        <w:pStyle w:val="9"/>
        <w:spacing w:before="78" w:beforeLines="25" w:after="78" w:afterLines="25"/>
        <w:ind w:firstLine="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pPr>
        <w:pStyle w:val="9"/>
        <w:spacing w:before="78" w:beforeLines="25" w:after="78" w:afterLines="25"/>
        <w:ind w:firstLine="0"/>
        <w:rPr>
          <w:rFonts w:asciiTheme="minorEastAsia" w:hAnsiTheme="minorEastAsia" w:eastAsiaTheme="minorEastAsia" w:cstheme="minorEastAsia"/>
          <w:sz w:val="24"/>
        </w:rPr>
      </w:pPr>
    </w:p>
    <w:p>
      <w:pPr>
        <w:pStyle w:val="5"/>
        <w:jc w:val="center"/>
        <w:rPr>
          <w:rFonts w:ascii="黑体" w:eastAsia="黑体"/>
          <w:b w:val="0"/>
          <w:kern w:val="0"/>
          <w:sz w:val="24"/>
          <w:szCs w:val="24"/>
        </w:rPr>
      </w:pPr>
      <w:r>
        <w:rPr>
          <w:rFonts w:hint="eastAsia" w:ascii="黑体" w:eastAsia="黑体"/>
          <w:b w:val="0"/>
          <w:kern w:val="0"/>
          <w:sz w:val="24"/>
          <w:szCs w:val="24"/>
        </w:rPr>
        <w:t>十四、投标人通过相关认证情况</w:t>
      </w:r>
    </w:p>
    <w:p>
      <w:pPr>
        <w:pStyle w:val="5"/>
        <w:jc w:val="center"/>
        <w:rPr>
          <w:rFonts w:ascii="黑体" w:eastAsia="黑体"/>
          <w:b w:val="0"/>
          <w:kern w:val="0"/>
          <w:sz w:val="24"/>
          <w:szCs w:val="24"/>
        </w:rPr>
      </w:pPr>
      <w:r>
        <w:rPr>
          <w:rFonts w:hint="eastAsia" w:ascii="黑体" w:eastAsia="黑体"/>
          <w:b w:val="0"/>
          <w:kern w:val="0"/>
          <w:sz w:val="24"/>
          <w:szCs w:val="24"/>
        </w:rPr>
        <w:t>（格式自定）</w:t>
      </w:r>
    </w:p>
    <w:p>
      <w:pPr>
        <w:pStyle w:val="9"/>
        <w:spacing w:before="78" w:beforeLines="25" w:after="78" w:afterLines="25"/>
        <w:ind w:firstLine="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pPr>
        <w:pStyle w:val="9"/>
        <w:spacing w:before="78" w:beforeLines="25" w:after="78" w:afterLines="25"/>
        <w:ind w:firstLine="0"/>
        <w:rPr>
          <w:rFonts w:asciiTheme="minorEastAsia" w:hAnsiTheme="minorEastAsia" w:eastAsiaTheme="minorEastAsia" w:cstheme="minorEastAsia"/>
          <w:sz w:val="24"/>
        </w:rPr>
      </w:pPr>
    </w:p>
    <w:p>
      <w:pPr>
        <w:pStyle w:val="5"/>
        <w:jc w:val="center"/>
        <w:rPr>
          <w:rFonts w:ascii="黑体" w:eastAsia="黑体"/>
          <w:b w:val="0"/>
          <w:kern w:val="0"/>
          <w:sz w:val="24"/>
          <w:szCs w:val="24"/>
        </w:rPr>
      </w:pPr>
      <w:r>
        <w:rPr>
          <w:rFonts w:hint="eastAsia" w:ascii="黑体" w:eastAsia="黑体"/>
          <w:b w:val="0"/>
          <w:kern w:val="0"/>
          <w:sz w:val="24"/>
          <w:szCs w:val="24"/>
        </w:rPr>
        <w:t>十五、同类项目业绩情况（格式自定）</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pPr>
        <w:pStyle w:val="2"/>
      </w:pPr>
    </w:p>
    <w:p>
      <w:pPr>
        <w:pStyle w:val="5"/>
        <w:jc w:val="center"/>
        <w:rPr>
          <w:rFonts w:ascii="黑体" w:eastAsia="黑体"/>
          <w:b w:val="0"/>
          <w:kern w:val="0"/>
          <w:sz w:val="24"/>
          <w:szCs w:val="24"/>
        </w:rPr>
      </w:pPr>
      <w:r>
        <w:rPr>
          <w:rFonts w:hint="eastAsia" w:ascii="黑体" w:eastAsia="黑体"/>
          <w:b w:val="0"/>
          <w:kern w:val="0"/>
          <w:sz w:val="24"/>
          <w:szCs w:val="24"/>
        </w:rPr>
        <w:t>十六、自主创新能力（格式自定）</w:t>
      </w:r>
    </w:p>
    <w:p>
      <w:r>
        <w:rPr>
          <w:rFonts w:hint="eastAsia" w:asciiTheme="minorEastAsia" w:hAnsiTheme="minorEastAsia" w:eastAsiaTheme="minorEastAsia" w:cstheme="minorEastAsia"/>
          <w:color w:val="FF0000"/>
          <w:sz w:val="24"/>
        </w:rPr>
        <w:t>（特别提示：投标人须按本采购文件评标信息中这一评审因素要求，提供证明资料）</w:t>
      </w:r>
    </w:p>
    <w:p>
      <w:pPr>
        <w:pStyle w:val="2"/>
      </w:pPr>
    </w:p>
    <w:p>
      <w:pPr>
        <w:pStyle w:val="5"/>
        <w:jc w:val="center"/>
        <w:rPr>
          <w:rFonts w:ascii="黑体" w:eastAsia="黑体"/>
          <w:b w:val="0"/>
          <w:kern w:val="0"/>
          <w:sz w:val="24"/>
          <w:szCs w:val="24"/>
        </w:rPr>
      </w:pPr>
      <w:r>
        <w:rPr>
          <w:rFonts w:hint="eastAsia" w:ascii="黑体" w:eastAsia="黑体"/>
          <w:b w:val="0"/>
          <w:kern w:val="0"/>
          <w:sz w:val="24"/>
          <w:szCs w:val="24"/>
        </w:rPr>
        <w:t>十七、服务网点</w:t>
      </w:r>
    </w:p>
    <w:p>
      <w:pPr>
        <w:spacing w:line="360" w:lineRule="auto"/>
        <w:jc w:val="center"/>
        <w:rPr>
          <w:sz w:val="24"/>
        </w:rPr>
      </w:pPr>
      <w:r>
        <w:rPr>
          <w:rFonts w:hint="eastAsia"/>
          <w:sz w:val="24"/>
        </w:rPr>
        <w:t>承诺函</w:t>
      </w:r>
    </w:p>
    <w:p>
      <w:pPr>
        <w:spacing w:line="360" w:lineRule="auto"/>
        <w:rPr>
          <w:sz w:val="24"/>
        </w:rPr>
      </w:pPr>
      <w:r>
        <w:rPr>
          <w:rFonts w:hint="eastAsia"/>
          <w:sz w:val="24"/>
        </w:rPr>
        <w:t>致：深圳公共资源交易中心、采购人</w:t>
      </w:r>
    </w:p>
    <w:p>
      <w:pPr>
        <w:spacing w:line="360" w:lineRule="auto"/>
        <w:ind w:firstLine="480" w:firstLineChars="200"/>
        <w:rPr>
          <w:sz w:val="24"/>
        </w:rPr>
      </w:pPr>
      <w:r>
        <w:rPr>
          <w:rFonts w:hint="eastAsia"/>
          <w:sz w:val="24"/>
        </w:rPr>
        <w:t>我单位承诺，中标后为本项目提供本地经营（服务）网点，如不遵守相应承诺，愿按违约处理，并承担由此给采购人带来的损失。</w:t>
      </w:r>
    </w:p>
    <w:p>
      <w:pPr>
        <w:spacing w:line="360" w:lineRule="auto"/>
        <w:ind w:right="960" w:firstLine="5520" w:firstLineChars="2300"/>
        <w:rPr>
          <w:sz w:val="24"/>
        </w:rPr>
      </w:pPr>
      <w:r>
        <w:rPr>
          <w:rFonts w:hint="eastAsia"/>
          <w:sz w:val="24"/>
        </w:rPr>
        <w:t xml:space="preserve">投标人：              </w:t>
      </w:r>
    </w:p>
    <w:p>
      <w:pPr>
        <w:spacing w:line="360" w:lineRule="auto"/>
        <w:rPr>
          <w:sz w:val="24"/>
        </w:rPr>
      </w:pPr>
      <w:r>
        <w:rPr>
          <w:rFonts w:hint="eastAsia"/>
          <w:sz w:val="24"/>
        </w:rPr>
        <w:t xml:space="preserve">                                              日期：    年   月   日</w:t>
      </w:r>
    </w:p>
    <w:p>
      <w:pPr>
        <w:spacing w:line="360" w:lineRule="auto"/>
        <w:rPr>
          <w:sz w:val="24"/>
        </w:rPr>
      </w:pPr>
      <w:r>
        <w:rPr>
          <w:b/>
          <w:bCs/>
          <w:sz w:val="24"/>
        </w:rPr>
        <w:t>特别提示：投标人需按以上模板要求提供承诺函，否则将按不得分处理</w:t>
      </w:r>
      <w:r>
        <w:rPr>
          <w:rFonts w:hint="eastAsia"/>
          <w:b/>
          <w:bCs/>
          <w:sz w:val="24"/>
        </w:rPr>
        <w:t>。</w:t>
      </w:r>
    </w:p>
    <w:p>
      <w:pPr>
        <w:spacing w:line="360" w:lineRule="auto"/>
        <w:rPr>
          <w:sz w:val="24"/>
        </w:rPr>
      </w:pPr>
      <w:r>
        <w:rPr>
          <w:rFonts w:hint="eastAsia"/>
          <w:sz w:val="24"/>
        </w:rPr>
        <w:t>（特别提示：投标人须按本采购文件评标信息中这一评审因素要求，提供证明资料）</w:t>
      </w:r>
    </w:p>
    <w:p>
      <w:pPr>
        <w:pStyle w:val="2"/>
      </w:pPr>
    </w:p>
    <w:p>
      <w:pPr>
        <w:pStyle w:val="5"/>
        <w:jc w:val="center"/>
        <w:rPr>
          <w:rFonts w:ascii="黑体" w:eastAsia="黑体"/>
          <w:b w:val="0"/>
          <w:kern w:val="0"/>
          <w:sz w:val="24"/>
          <w:szCs w:val="24"/>
        </w:rPr>
      </w:pPr>
      <w:r>
        <w:rPr>
          <w:rFonts w:hint="eastAsia" w:ascii="黑体" w:eastAsia="黑体"/>
          <w:b w:val="0"/>
          <w:kern w:val="0"/>
          <w:sz w:val="24"/>
          <w:szCs w:val="24"/>
        </w:rPr>
        <w:t>十八、投标人认为需要加以说明的其他内容（格式自定）</w:t>
      </w:r>
    </w:p>
    <w:p>
      <w:pPr>
        <w:pStyle w:val="2"/>
      </w:pPr>
    </w:p>
    <w:p>
      <w:pPr>
        <w:widowControl/>
        <w:jc w:val="center"/>
        <w:rPr>
          <w:rFonts w:ascii="黑体" w:hAnsi="宋体" w:eastAsia="黑体"/>
          <w:kern w:val="0"/>
          <w:sz w:val="24"/>
          <w:szCs w:val="20"/>
        </w:rPr>
      </w:pPr>
      <w:r>
        <w:rPr>
          <w:rFonts w:hint="eastAsia" w:ascii="黑体" w:hAnsi="宋体" w:eastAsia="黑体"/>
          <w:kern w:val="0"/>
          <w:sz w:val="24"/>
          <w:szCs w:val="20"/>
        </w:rPr>
        <w:t>（一）采购违法行为风险知悉确认书</w:t>
      </w:r>
    </w:p>
    <w:p>
      <w:pPr>
        <w:widowControl/>
        <w:jc w:val="center"/>
        <w:rPr>
          <w:rFonts w:ascii="黑体" w:hAnsi="宋体" w:eastAsia="黑体"/>
          <w:kern w:val="0"/>
          <w:sz w:val="24"/>
          <w:szCs w:val="20"/>
        </w:rPr>
      </w:pPr>
    </w:p>
    <w:p>
      <w:pPr>
        <w:ind w:firstLine="420" w:firstLineChars="200"/>
      </w:pPr>
      <w:r>
        <w:rPr>
          <w:rFonts w:hint="eastAsia"/>
        </w:rPr>
        <w:t>本公司在投标前已充分知悉以下情形为参与自行采购活动时的重大风险事项，并承诺已对下述风险提示事项重点排查，做到严谨、诚信、依法依规参与自行采购活动。</w:t>
      </w:r>
    </w:p>
    <w:p>
      <w:pPr>
        <w:ind w:firstLine="422" w:firstLineChars="200"/>
        <w:rPr>
          <w:b/>
        </w:rPr>
      </w:pPr>
      <w:r>
        <w:rPr>
          <w:rFonts w:hint="eastAsia"/>
          <w:b/>
        </w:rPr>
        <w:t>一、本公司已充分知悉“隐瞒真实情况，提供虚假资料”的法定情形，相关情形包括但不限于：</w:t>
      </w:r>
    </w:p>
    <w:p>
      <w:pPr>
        <w:ind w:firstLine="420" w:firstLineChars="200"/>
      </w:pPr>
      <w:r>
        <w:rPr>
          <w:rFonts w:hint="eastAsia"/>
        </w:rPr>
        <w:t>（一）通过转让或者租借等方式从其他单位获取资格或者资质证书投标的。</w:t>
      </w:r>
    </w:p>
    <w:p>
      <w:pPr>
        <w:ind w:firstLine="420" w:firstLineChars="200"/>
      </w:pPr>
      <w:r>
        <w:rPr>
          <w:rFonts w:hint="eastAsia"/>
        </w:rPr>
        <w:t>（二）由其他单位或者其他单位负责人在投标供应商编制的投标文件上加盖印章或者签字的。</w:t>
      </w:r>
    </w:p>
    <w:p>
      <w:pPr>
        <w:ind w:firstLine="420" w:firstLineChars="200"/>
      </w:pPr>
      <w:r>
        <w:rPr>
          <w:rFonts w:hint="eastAsia"/>
        </w:rPr>
        <w:t>（三）项目负责人或者主要技术人员不是本单位人员的。</w:t>
      </w:r>
    </w:p>
    <w:p>
      <w:pPr>
        <w:ind w:firstLine="420" w:firstLineChars="200"/>
      </w:pPr>
      <w:r>
        <w:rPr>
          <w:rFonts w:hint="eastAsia"/>
        </w:rPr>
        <w:t>（四）投标保证金不是从投标供应商基本账户转出的。</w:t>
      </w:r>
    </w:p>
    <w:p>
      <w:pPr>
        <w:ind w:firstLine="420" w:firstLineChars="200"/>
      </w:pPr>
      <w:r>
        <w:rPr>
          <w:rFonts w:hint="eastAsia"/>
        </w:rPr>
        <w:t>（五）其他隐瞒真实情况、提供虚假资料的行为。</w:t>
      </w:r>
    </w:p>
    <w:p>
      <w:pPr>
        <w:ind w:firstLine="422" w:firstLineChars="200"/>
        <w:rPr>
          <w:b/>
        </w:rPr>
      </w:pPr>
      <w:r>
        <w:rPr>
          <w:rFonts w:hint="eastAsia"/>
          <w:b/>
        </w:rPr>
        <w:t>二、本公司已充分知悉“与其他采购参加人串通投标”的法定情形，相关情形包括但不限于：</w:t>
      </w:r>
    </w:p>
    <w:p>
      <w:pPr>
        <w:ind w:firstLine="420" w:firstLineChars="200"/>
      </w:pPr>
      <w:r>
        <w:rPr>
          <w:rFonts w:hint="eastAsia"/>
        </w:rPr>
        <w:t>（一）投标供应商之间相互约定给予未中标的供应商利益补偿。</w:t>
      </w:r>
    </w:p>
    <w:p>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pPr>
        <w:ind w:firstLine="420" w:firstLineChars="200"/>
      </w:pPr>
      <w:r>
        <w:rPr>
          <w:rFonts w:hint="eastAsia"/>
        </w:rPr>
        <w:t>（三）不同投标供应商的投标文件由同一单位或者同一人编制，或者由同一人分阶段参与编制的。</w:t>
      </w:r>
    </w:p>
    <w:p>
      <w:pPr>
        <w:ind w:firstLine="420" w:firstLineChars="200"/>
      </w:pPr>
      <w:r>
        <w:rPr>
          <w:rFonts w:hint="eastAsia"/>
        </w:rPr>
        <w:t>（四）不同投标供应商的投标文件或部分投标文件相互混装。</w:t>
      </w:r>
    </w:p>
    <w:p>
      <w:pPr>
        <w:ind w:firstLine="420" w:firstLineChars="200"/>
      </w:pPr>
      <w:r>
        <w:rPr>
          <w:rFonts w:hint="eastAsia"/>
        </w:rPr>
        <w:t>（五）不同投标供应商的投标文件内容存在非正常一致。</w:t>
      </w:r>
    </w:p>
    <w:p>
      <w:pPr>
        <w:ind w:firstLine="420" w:firstLineChars="200"/>
      </w:pPr>
      <w:r>
        <w:rPr>
          <w:rFonts w:hint="eastAsia"/>
        </w:rPr>
        <w:t>（六）由同一单位工作人员为两家以上（含两家）供应商进行同一项投标活动的。</w:t>
      </w:r>
    </w:p>
    <w:p>
      <w:pPr>
        <w:ind w:firstLine="420" w:firstLineChars="200"/>
      </w:pPr>
      <w:r>
        <w:rPr>
          <w:rFonts w:hint="eastAsia"/>
        </w:rPr>
        <w:t>（七）不同投标人的投标报价呈规律性差异。</w:t>
      </w:r>
    </w:p>
    <w:p>
      <w:pPr>
        <w:ind w:firstLine="420" w:firstLineChars="200"/>
      </w:pPr>
      <w:r>
        <w:rPr>
          <w:rFonts w:hint="eastAsia"/>
        </w:rPr>
        <w:t>（八）不同投标人的投标保证金从同一单位或者个人的账户转出。</w:t>
      </w:r>
    </w:p>
    <w:p>
      <w:pPr>
        <w:ind w:firstLine="420" w:firstLineChars="200"/>
      </w:pPr>
      <w:r>
        <w:rPr>
          <w:rFonts w:hint="eastAsia"/>
        </w:rPr>
        <w:t>（九）主管部门依照法律、法规认定的其他情形。</w:t>
      </w:r>
    </w:p>
    <w:p>
      <w:pPr>
        <w:ind w:firstLine="422" w:firstLineChars="200"/>
        <w:rPr>
          <w:b/>
        </w:rPr>
      </w:pPr>
      <w:r>
        <w:rPr>
          <w:rFonts w:hint="eastAsia"/>
          <w:b/>
        </w:rPr>
        <w:t>三、本公司已充分知悉下列情形所对应的法律风险，并在投标前已对相关风险事项进行排查。</w:t>
      </w:r>
    </w:p>
    <w:p>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pPr>
      <w:r>
        <w:rPr>
          <w:rFonts w:hint="eastAsia"/>
        </w:rPr>
        <w:t>（三）对于涉及安全生产、特种作业、抢险救灾、防疫等采购项目，供应商实施提供虚假资料、串通投标等违法行为的，主管部门将依法从严处理。</w:t>
      </w:r>
    </w:p>
    <w:p>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采购文件要求的，投标供应商应当依法承担相应法律责任。</w:t>
      </w:r>
    </w:p>
    <w:p>
      <w:pPr>
        <w:ind w:firstLine="420" w:firstLineChars="200"/>
      </w:pPr>
      <w:r>
        <w:rPr>
          <w:rFonts w:hint="eastAsia"/>
        </w:rPr>
        <w:t>（五）供应商对投标电子密钥负有妥善保管、及时变更和续期等主体责任。供应商使用电子密钥在深圳自行采购网站进行的活动，均具有法律效力，须承担相应的法律后果。供应商擅自将投标密钥出借他人使用所造成的法律后果，由供应商自行承担。</w:t>
      </w:r>
    </w:p>
    <w:p>
      <w:pPr>
        <w:ind w:firstLine="420" w:firstLineChars="200"/>
      </w:pPr>
      <w:r>
        <w:rPr>
          <w:rFonts w:hint="eastAsia"/>
        </w:rPr>
        <w:t>（六）单位负责人为同一人或者存在直接控股、管理关系的不同供应商，不得参加同一合同项下的采购活动。相关情形如查实，依法作投标无效处理；涉嫌串通投标等违法行为的，主管部门将依法调查处理。</w:t>
      </w:r>
    </w:p>
    <w:p>
      <w:pPr>
        <w:ind w:firstLine="422" w:firstLineChars="200"/>
        <w:rPr>
          <w:b/>
        </w:rPr>
      </w:pPr>
      <w:r>
        <w:rPr>
          <w:rFonts w:hint="eastAsia"/>
          <w:b/>
        </w:rPr>
        <w:t>四、本公司已充分知悉政府采购违法、违规行为的法律后果。</w:t>
      </w:r>
    </w:p>
    <w:p>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420" w:firstLineChars="200"/>
      </w:pPr>
      <w:r>
        <w:rPr>
          <w:rFonts w:hint="eastAsia"/>
        </w:rPr>
        <w:t>以下文字请投标供应商抄写并确认：“本公司已仔细阅读《采购违法行为风险知悉确认书》，充分知悉违法行为的法律后果，并承诺将严谨、诚信、依法依规参与采购活动”。</w:t>
      </w:r>
    </w:p>
    <w:tbl>
      <w:tblPr>
        <w:tblStyle w:val="201"/>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autoSpaceDE w:val="0"/>
              <w:autoSpaceDN w:val="0"/>
              <w:spacing w:line="400" w:lineRule="exact"/>
              <w:ind w:firstLine="1866"/>
              <w:rPr>
                <w:rFonts w:ascii="宋体" w:hAnsi="宋体" w:eastAsiaTheme="minorEastAsia"/>
                <w:spacing w:val="-4"/>
                <w:kern w:val="0"/>
                <w:szCs w:val="21"/>
              </w:rPr>
            </w:pPr>
          </w:p>
        </w:tc>
      </w:tr>
    </w:tbl>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负责人/投标授权代表签名：</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知悉人（公章）：</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r>
        <w:rPr>
          <w:rFonts w:hint="eastAsia" w:ascii="宋体" w:hAnsi="宋体" w:eastAsiaTheme="minorEastAsia"/>
          <w:spacing w:val="-4"/>
          <w:kern w:val="0"/>
          <w:szCs w:val="21"/>
          <w:u w:val="single"/>
        </w:rPr>
        <w:t xml:space="preserve">              </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pPr>
        <w:widowControl/>
        <w:autoSpaceDE w:val="0"/>
        <w:autoSpaceDN w:val="0"/>
        <w:spacing w:line="400" w:lineRule="exact"/>
        <w:ind w:firstLine="406" w:firstLineChars="200"/>
        <w:jc w:val="left"/>
        <w:rPr>
          <w:rFonts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2.投标供应商负责人或投标授权代表签字并加盖单位公章后，扫描上传至投标文件一并提交。</w:t>
      </w:r>
    </w:p>
    <w:p>
      <w:pPr>
        <w:widowControl/>
        <w:spacing w:line="360" w:lineRule="auto"/>
        <w:jc w:val="left"/>
        <w:rPr>
          <w:rFonts w:eastAsiaTheme="minorEastAsia"/>
          <w:b/>
          <w:bCs/>
          <w:kern w:val="0"/>
          <w:sz w:val="24"/>
        </w:rPr>
      </w:pPr>
    </w:p>
    <w:p>
      <w:pPr>
        <w:pStyle w:val="2"/>
      </w:pPr>
      <w:r>
        <w:rPr>
          <w:rFonts w:hint="eastAsia" w:ascii="黑体" w:hAnsi="宋体" w:eastAsia="黑体"/>
          <w:kern w:val="0"/>
          <w:szCs w:val="20"/>
        </w:rPr>
        <w:t>（二）投标人认为需要加以说明的其他内容（格式自定）</w:t>
      </w:r>
    </w:p>
    <w:p>
      <w:pPr>
        <w:pStyle w:val="3"/>
      </w:pPr>
    </w:p>
    <w:p>
      <w:pPr>
        <w:widowControl/>
        <w:jc w:val="left"/>
        <w:rPr>
          <w:rFonts w:ascii="宋体" w:hAnsi="宋体"/>
          <w:b/>
          <w:bCs/>
          <w:kern w:val="0"/>
          <w:sz w:val="24"/>
          <w:szCs w:val="20"/>
        </w:rPr>
      </w:pPr>
      <w:r>
        <w:br w:type="page"/>
      </w:r>
    </w:p>
    <w:p>
      <w:pPr>
        <w:pStyle w:val="7"/>
        <w:rPr>
          <w:sz w:val="28"/>
          <w:szCs w:val="28"/>
        </w:rPr>
      </w:pPr>
      <w:r>
        <w:rPr>
          <w:rFonts w:hint="eastAsia"/>
          <w:sz w:val="28"/>
          <w:szCs w:val="28"/>
        </w:rPr>
        <w:t>第五章  合同条款及格式</w:t>
      </w:r>
    </w:p>
    <w:p>
      <w:pPr>
        <w:jc w:val="center"/>
        <w:outlineLvl w:val="0"/>
      </w:pPr>
      <w:r>
        <w:rPr>
          <w:rFonts w:hint="eastAsia"/>
          <w:b/>
          <w:sz w:val="24"/>
        </w:rPr>
        <w:t>（仅供参考，具体以项目需求及实际签订为准）</w:t>
      </w:r>
    </w:p>
    <w:p>
      <w:pPr>
        <w:spacing w:line="360" w:lineRule="auto"/>
        <w:jc w:val="center"/>
        <w:rPr>
          <w:b/>
          <w:sz w:val="52"/>
          <w:szCs w:val="52"/>
        </w:rPr>
      </w:pPr>
    </w:p>
    <w:p>
      <w:pPr>
        <w:spacing w:line="360" w:lineRule="auto"/>
        <w:jc w:val="center"/>
        <w:rPr>
          <w:b/>
          <w:sz w:val="52"/>
          <w:szCs w:val="52"/>
        </w:rPr>
      </w:pPr>
    </w:p>
    <w:p>
      <w:pPr>
        <w:spacing w:line="360" w:lineRule="auto"/>
        <w:jc w:val="center"/>
        <w:rPr>
          <w:b/>
          <w:sz w:val="52"/>
          <w:szCs w:val="52"/>
        </w:rPr>
      </w:pPr>
    </w:p>
    <w:p>
      <w:pPr>
        <w:spacing w:line="360" w:lineRule="auto"/>
        <w:jc w:val="center"/>
        <w:rPr>
          <w:b/>
          <w:sz w:val="52"/>
          <w:szCs w:val="52"/>
        </w:rPr>
      </w:pPr>
      <w:r>
        <w:rPr>
          <w:rFonts w:hint="eastAsia"/>
          <w:b/>
          <w:sz w:val="52"/>
          <w:szCs w:val="52"/>
        </w:rPr>
        <w:t>消防安全评估合同</w:t>
      </w:r>
    </w:p>
    <w:p>
      <w:pPr>
        <w:spacing w:line="360" w:lineRule="auto"/>
        <w:rPr>
          <w:sz w:val="32"/>
          <w:szCs w:val="32"/>
        </w:rPr>
      </w:pPr>
    </w:p>
    <w:p>
      <w:pPr>
        <w:pStyle w:val="37"/>
        <w:spacing w:line="360" w:lineRule="auto"/>
        <w:rPr>
          <w:b/>
          <w:bCs/>
          <w:sz w:val="36"/>
          <w:u w:val="single"/>
        </w:rPr>
      </w:pPr>
    </w:p>
    <w:p>
      <w:pPr>
        <w:pStyle w:val="37"/>
        <w:spacing w:line="360" w:lineRule="auto"/>
        <w:rPr>
          <w:b/>
          <w:bCs/>
          <w:sz w:val="36"/>
          <w:u w:val="single"/>
        </w:rPr>
      </w:pPr>
    </w:p>
    <w:p>
      <w:pPr>
        <w:pStyle w:val="37"/>
        <w:spacing w:line="360" w:lineRule="auto"/>
        <w:rPr>
          <w:b/>
          <w:bCs/>
          <w:sz w:val="36"/>
          <w:u w:val="single"/>
        </w:rPr>
      </w:pPr>
    </w:p>
    <w:p>
      <w:pPr>
        <w:pStyle w:val="37"/>
        <w:spacing w:line="360" w:lineRule="auto"/>
        <w:rPr>
          <w:b/>
          <w:bCs/>
          <w:sz w:val="36"/>
          <w:u w:val="single"/>
        </w:rPr>
      </w:pPr>
    </w:p>
    <w:p>
      <w:pPr>
        <w:pStyle w:val="37"/>
        <w:spacing w:line="360" w:lineRule="auto"/>
        <w:rPr>
          <w:b/>
          <w:bCs/>
          <w:sz w:val="36"/>
          <w:u w:val="single"/>
        </w:rPr>
      </w:pPr>
    </w:p>
    <w:p>
      <w:pPr>
        <w:pStyle w:val="37"/>
        <w:spacing w:line="360" w:lineRule="auto"/>
        <w:ind w:firstLine="181" w:firstLineChars="50"/>
        <w:rPr>
          <w:b/>
          <w:bCs/>
          <w:sz w:val="36"/>
        </w:rPr>
      </w:pPr>
      <w:r>
        <w:rPr>
          <w:b/>
          <w:bCs/>
          <w:sz w:val="36"/>
        </w:rPr>
        <w:t>工程名称：</w:t>
      </w:r>
      <w:r>
        <w:rPr>
          <w:rFonts w:hint="eastAsia"/>
          <w:b/>
          <w:bCs/>
          <w:sz w:val="36"/>
        </w:rPr>
        <w:t>X</w:t>
      </w:r>
      <w:r>
        <w:rPr>
          <w:b/>
          <w:bCs/>
          <w:sz w:val="36"/>
        </w:rPr>
        <w:t>XXX</w:t>
      </w:r>
      <w:r>
        <w:rPr>
          <w:rFonts w:hint="eastAsia"/>
          <w:b/>
          <w:bCs/>
          <w:sz w:val="36"/>
        </w:rPr>
        <w:t>消防安全评估</w:t>
      </w:r>
    </w:p>
    <w:p>
      <w:pPr>
        <w:pStyle w:val="37"/>
        <w:spacing w:line="360" w:lineRule="auto"/>
        <w:ind w:firstLine="181" w:firstLineChars="50"/>
        <w:rPr>
          <w:b/>
          <w:bCs/>
          <w:sz w:val="36"/>
        </w:rPr>
      </w:pPr>
      <w:r>
        <w:rPr>
          <w:rFonts w:hint="eastAsia"/>
          <w:b/>
          <w:bCs/>
          <w:sz w:val="36"/>
        </w:rPr>
        <w:t>委托单位</w:t>
      </w:r>
      <w:r>
        <w:rPr>
          <w:b/>
          <w:bCs/>
          <w:sz w:val="36"/>
        </w:rPr>
        <w:t xml:space="preserve">： </w:t>
      </w:r>
    </w:p>
    <w:p>
      <w:pPr>
        <w:pStyle w:val="37"/>
        <w:spacing w:line="360" w:lineRule="auto"/>
        <w:ind w:firstLine="181" w:firstLineChars="50"/>
        <w:rPr>
          <w:b/>
          <w:bCs/>
          <w:sz w:val="36"/>
        </w:rPr>
      </w:pPr>
      <w:r>
        <w:rPr>
          <w:rFonts w:hint="eastAsia"/>
          <w:b/>
          <w:bCs/>
          <w:sz w:val="36"/>
        </w:rPr>
        <w:t>评估单位</w:t>
      </w:r>
      <w:r>
        <w:rPr>
          <w:b/>
          <w:bCs/>
          <w:sz w:val="36"/>
        </w:rPr>
        <w:t>：</w:t>
      </w:r>
    </w:p>
    <w:p>
      <w:pPr>
        <w:pStyle w:val="37"/>
        <w:spacing w:line="360" w:lineRule="auto"/>
        <w:ind w:firstLine="181" w:firstLineChars="50"/>
        <w:rPr>
          <w:b/>
          <w:bCs/>
          <w:sz w:val="36"/>
        </w:rPr>
      </w:pPr>
      <w:r>
        <w:rPr>
          <w:rFonts w:hint="eastAsia"/>
          <w:b/>
          <w:bCs/>
          <w:sz w:val="36"/>
        </w:rPr>
        <w:t>合同编号：                 （由乙方编写）</w:t>
      </w:r>
    </w:p>
    <w:p>
      <w:pPr>
        <w:pStyle w:val="37"/>
        <w:spacing w:line="360" w:lineRule="auto"/>
        <w:ind w:firstLine="181" w:firstLineChars="50"/>
        <w:rPr>
          <w:b/>
          <w:bCs/>
          <w:sz w:val="36"/>
        </w:rPr>
        <w:sectPr>
          <w:footerReference r:id="rId3" w:type="default"/>
          <w:pgSz w:w="11906" w:h="16838"/>
          <w:pgMar w:top="1440" w:right="1800" w:bottom="1440" w:left="1800" w:header="851" w:footer="992" w:gutter="0"/>
          <w:cols w:space="720" w:num="1"/>
          <w:docGrid w:type="lines" w:linePitch="312" w:charSpace="0"/>
        </w:sectPr>
      </w:pPr>
      <w:r>
        <w:rPr>
          <w:b/>
          <w:bCs/>
          <w:sz w:val="36"/>
        </w:rPr>
        <w:t>签订日期：</w:t>
      </w:r>
      <w:r>
        <w:rPr>
          <w:rFonts w:hint="eastAsia"/>
          <w:b/>
          <w:bCs/>
          <w:sz w:val="36"/>
        </w:rPr>
        <w:t xml:space="preserve">   </w:t>
      </w:r>
      <w:r>
        <w:rPr>
          <w:b/>
          <w:bCs/>
          <w:sz w:val="36"/>
        </w:rPr>
        <w:t>年</w:t>
      </w:r>
      <w:r>
        <w:rPr>
          <w:rFonts w:hint="eastAsia"/>
          <w:b/>
          <w:bCs/>
          <w:sz w:val="36"/>
        </w:rPr>
        <w:t xml:space="preserve">   月   日</w:t>
      </w:r>
    </w:p>
    <w:p>
      <w:pPr>
        <w:adjustRightInd w:val="0"/>
        <w:snapToGrid w:val="0"/>
        <w:spacing w:after="120" w:afterLines="50" w:line="360" w:lineRule="auto"/>
        <w:jc w:val="left"/>
        <w:rPr>
          <w:rFonts w:ascii="宋体" w:hAnsi="宋体"/>
          <w:b/>
          <w:sz w:val="24"/>
        </w:rPr>
      </w:pPr>
      <w:r>
        <w:rPr>
          <w:rFonts w:hint="eastAsia" w:ascii="宋体" w:hAnsi="宋体"/>
          <w:b/>
          <w:sz w:val="24"/>
        </w:rPr>
        <w:t>委托单位：</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rPr>
        <w:t>（以下简称甲方）</w:t>
      </w:r>
    </w:p>
    <w:p>
      <w:pPr>
        <w:adjustRightInd w:val="0"/>
        <w:snapToGrid w:val="0"/>
        <w:spacing w:after="120" w:afterLines="50" w:line="360" w:lineRule="auto"/>
        <w:jc w:val="left"/>
        <w:rPr>
          <w:rFonts w:ascii="宋体" w:hAnsi="宋体"/>
          <w:b/>
          <w:sz w:val="24"/>
        </w:rPr>
      </w:pPr>
      <w:r>
        <w:rPr>
          <w:rFonts w:hint="eastAsia" w:ascii="宋体" w:hAnsi="宋体"/>
          <w:b/>
          <w:sz w:val="24"/>
        </w:rPr>
        <w:t>评估单位：</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rPr>
        <w:t>（以下简称乙方）</w:t>
      </w:r>
    </w:p>
    <w:p>
      <w:pPr>
        <w:adjustRightInd w:val="0"/>
        <w:snapToGrid w:val="0"/>
        <w:spacing w:after="120" w:afterLines="50" w:line="360" w:lineRule="auto"/>
        <w:jc w:val="left"/>
        <w:rPr>
          <w:rFonts w:ascii="宋体" w:hAnsi="宋体"/>
          <w:b/>
          <w:sz w:val="24"/>
        </w:rPr>
      </w:pPr>
    </w:p>
    <w:p>
      <w:pPr>
        <w:widowControl/>
        <w:numPr>
          <w:ilvl w:val="0"/>
          <w:numId w:val="9"/>
        </w:numPr>
        <w:shd w:val="clear" w:color="auto" w:fill="FFFFFF"/>
        <w:adjustRightInd w:val="0"/>
        <w:spacing w:before="100" w:after="100" w:line="360" w:lineRule="auto"/>
        <w:ind w:hanging="1185"/>
        <w:jc w:val="left"/>
        <w:rPr>
          <w:rFonts w:ascii="宋体" w:hAnsi="宋体" w:cs="宋体"/>
          <w:b/>
          <w:kern w:val="0"/>
          <w:sz w:val="24"/>
        </w:rPr>
      </w:pPr>
      <w:r>
        <w:rPr>
          <w:rFonts w:hint="eastAsia" w:ascii="宋体" w:hAnsi="宋体" w:cs="宋体"/>
          <w:b/>
          <w:kern w:val="0"/>
          <w:sz w:val="24"/>
        </w:rPr>
        <w:t>合同依据下列文件签订：</w:t>
      </w:r>
    </w:p>
    <w:p>
      <w:pPr>
        <w:spacing w:line="360" w:lineRule="auto"/>
        <w:ind w:firstLine="480" w:firstLineChars="200"/>
        <w:rPr>
          <w:sz w:val="32"/>
          <w:szCs w:val="32"/>
        </w:rPr>
      </w:pPr>
      <w:r>
        <w:rPr>
          <w:rFonts w:ascii="宋体" w:hAnsi="宋体"/>
          <w:sz w:val="24"/>
        </w:rPr>
        <w:t>甲乙双方根据《中华人民共和国</w:t>
      </w:r>
      <w:r>
        <w:rPr>
          <w:rFonts w:hint="eastAsia" w:ascii="宋体" w:hAnsi="宋体"/>
          <w:sz w:val="24"/>
        </w:rPr>
        <w:t>民法典</w:t>
      </w:r>
      <w:r>
        <w:rPr>
          <w:rFonts w:ascii="宋体" w:hAnsi="宋体"/>
          <w:sz w:val="24"/>
        </w:rPr>
        <w:t>》、《中华人民共和国消防法》</w:t>
      </w:r>
      <w:r>
        <w:rPr>
          <w:rFonts w:hint="eastAsia" w:ascii="宋体" w:hAnsi="宋体"/>
          <w:sz w:val="24"/>
        </w:rPr>
        <w:t>及</w:t>
      </w:r>
      <w:r>
        <w:rPr>
          <w:rFonts w:ascii="宋体" w:hAnsi="宋体"/>
          <w:sz w:val="24"/>
        </w:rPr>
        <w:t>国家有关法律法规，结合具体情况，经协商达成如下协议，共同遵守本合同。</w:t>
      </w:r>
    </w:p>
    <w:p>
      <w:pPr>
        <w:spacing w:line="360" w:lineRule="auto"/>
        <w:rPr>
          <w:rFonts w:ascii="宋体" w:hAnsi="宋体"/>
          <w:sz w:val="24"/>
        </w:rPr>
      </w:pPr>
    </w:p>
    <w:p>
      <w:pPr>
        <w:widowControl/>
        <w:numPr>
          <w:ilvl w:val="0"/>
          <w:numId w:val="9"/>
        </w:numPr>
        <w:shd w:val="clear" w:color="auto" w:fill="FFFFFF"/>
        <w:adjustRightInd w:val="0"/>
        <w:spacing w:before="100" w:after="100" w:line="360" w:lineRule="auto"/>
        <w:ind w:hanging="1185"/>
        <w:jc w:val="left"/>
        <w:rPr>
          <w:rFonts w:ascii="宋体" w:hAnsi="宋体" w:cs="宋体"/>
          <w:b/>
          <w:kern w:val="0"/>
          <w:sz w:val="24"/>
        </w:rPr>
      </w:pPr>
      <w:r>
        <w:rPr>
          <w:rFonts w:hint="eastAsia" w:ascii="宋体" w:hAnsi="宋体" w:cs="宋体"/>
          <w:b/>
          <w:kern w:val="0"/>
          <w:sz w:val="24"/>
        </w:rPr>
        <w:t>项目的内容：</w:t>
      </w:r>
      <w:r>
        <w:rPr>
          <w:rFonts w:ascii="宋体" w:hAnsi="宋体" w:cs="宋体"/>
          <w:b/>
          <w:kern w:val="0"/>
          <w:sz w:val="24"/>
        </w:rPr>
        <w:t xml:space="preserve"> </w:t>
      </w:r>
    </w:p>
    <w:p>
      <w:pPr>
        <w:widowControl/>
        <w:shd w:val="clear" w:color="auto" w:fill="FFFFFF"/>
        <w:adjustRightInd w:val="0"/>
        <w:spacing w:before="100" w:after="100" w:line="360" w:lineRule="auto"/>
        <w:ind w:left="240"/>
        <w:jc w:val="left"/>
        <w:rPr>
          <w:rFonts w:ascii="宋体" w:hAnsi="宋体"/>
          <w:sz w:val="24"/>
        </w:rPr>
      </w:pPr>
      <w:r>
        <w:rPr>
          <w:rFonts w:hint="eastAsia" w:ascii="宋体" w:hAnsi="宋体" w:cs="宋体"/>
          <w:b/>
          <w:kern w:val="0"/>
          <w:sz w:val="24"/>
        </w:rPr>
        <w:t>项目名称</w:t>
      </w:r>
      <w:r>
        <w:rPr>
          <w:rFonts w:ascii="宋体" w:hAnsi="宋体" w:cs="宋体"/>
          <w:b/>
          <w:kern w:val="0"/>
          <w:sz w:val="24"/>
        </w:rPr>
        <w:t>：</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 xml:space="preserve"> </w:t>
      </w:r>
    </w:p>
    <w:p>
      <w:pPr>
        <w:widowControl/>
        <w:shd w:val="clear" w:color="auto" w:fill="FFFFFF"/>
        <w:adjustRightInd w:val="0"/>
        <w:spacing w:before="100" w:after="100" w:line="360" w:lineRule="auto"/>
        <w:ind w:left="240"/>
        <w:jc w:val="left"/>
        <w:rPr>
          <w:rFonts w:ascii="宋体" w:hAnsi="宋体"/>
          <w:sz w:val="24"/>
        </w:rPr>
      </w:pPr>
      <w:r>
        <w:rPr>
          <w:rFonts w:hint="eastAsia" w:ascii="宋体" w:hAnsi="宋体" w:cs="宋体"/>
          <w:b/>
          <w:kern w:val="0"/>
          <w:sz w:val="24"/>
        </w:rPr>
        <w:t>工程</w:t>
      </w:r>
      <w:r>
        <w:rPr>
          <w:rFonts w:ascii="宋体" w:hAnsi="宋体" w:cs="宋体"/>
          <w:b/>
          <w:kern w:val="0"/>
          <w:sz w:val="24"/>
        </w:rPr>
        <w:t>地点：</w:t>
      </w:r>
      <w:r>
        <w:rPr>
          <w:rFonts w:hint="eastAsia" w:ascii="宋体" w:hAnsi="宋体"/>
          <w:b/>
          <w:sz w:val="24"/>
          <w:u w:val="single"/>
        </w:rPr>
        <w:t xml:space="preserve"> </w:t>
      </w:r>
      <w:r>
        <w:rPr>
          <w:rFonts w:ascii="宋体" w:hAnsi="宋体"/>
          <w:b/>
          <w:sz w:val="24"/>
          <w:u w:val="single"/>
        </w:rPr>
        <w:t xml:space="preserve">                          </w:t>
      </w:r>
    </w:p>
    <w:p>
      <w:r>
        <w:rPr>
          <w:rFonts w:hint="eastAsia" w:ascii="宋体" w:hAnsi="宋体" w:cs="宋体"/>
          <w:b/>
          <w:kern w:val="0"/>
          <w:sz w:val="24"/>
        </w:rPr>
        <w:t>项目</w:t>
      </w:r>
      <w:r>
        <w:rPr>
          <w:rFonts w:ascii="宋体" w:hAnsi="宋体" w:cs="宋体"/>
          <w:b/>
          <w:kern w:val="0"/>
          <w:sz w:val="24"/>
        </w:rPr>
        <w:t>概况：</w:t>
      </w:r>
      <w:r>
        <w:rPr>
          <w:rFonts w:ascii="宋体" w:hAnsi="宋体" w:cs="宋体"/>
          <w:b/>
          <w:kern w:val="0"/>
          <w:sz w:val="24"/>
          <w:u w:val="single"/>
        </w:rPr>
        <w:t xml:space="preserve">                           </w:t>
      </w:r>
    </w:p>
    <w:p>
      <w:pPr>
        <w:widowControl/>
        <w:shd w:val="clear" w:color="auto" w:fill="FFFFFF"/>
        <w:adjustRightInd w:val="0"/>
        <w:spacing w:before="100" w:after="100" w:line="360" w:lineRule="auto"/>
        <w:ind w:left="240"/>
        <w:jc w:val="left"/>
        <w:rPr>
          <w:rFonts w:ascii="宋体" w:hAnsi="宋体" w:cs="宋体"/>
          <w:b/>
          <w:kern w:val="0"/>
          <w:sz w:val="24"/>
          <w:u w:val="single"/>
        </w:rPr>
      </w:pPr>
    </w:p>
    <w:p>
      <w:pPr>
        <w:widowControl/>
        <w:shd w:val="clear" w:color="auto" w:fill="FFFFFF"/>
        <w:adjustRightInd w:val="0"/>
        <w:spacing w:before="100" w:after="100" w:line="360" w:lineRule="auto"/>
        <w:ind w:left="240"/>
        <w:jc w:val="left"/>
        <w:rPr>
          <w:rFonts w:ascii="宋体" w:hAnsi="宋体" w:cs="宋体"/>
          <w:b/>
          <w:kern w:val="0"/>
          <w:sz w:val="24"/>
          <w:u w:val="single"/>
        </w:rPr>
      </w:pPr>
    </w:p>
    <w:p>
      <w:pPr>
        <w:widowControl/>
        <w:numPr>
          <w:ilvl w:val="0"/>
          <w:numId w:val="9"/>
        </w:numPr>
        <w:shd w:val="clear" w:color="auto" w:fill="FFFFFF"/>
        <w:adjustRightInd w:val="0"/>
        <w:spacing w:before="100" w:after="100" w:line="360" w:lineRule="auto"/>
        <w:ind w:hanging="1185"/>
        <w:jc w:val="left"/>
        <w:rPr>
          <w:rFonts w:ascii="宋体" w:hAnsi="宋体" w:cs="宋体"/>
          <w:b/>
          <w:kern w:val="0"/>
          <w:sz w:val="24"/>
        </w:rPr>
      </w:pPr>
      <w:r>
        <w:rPr>
          <w:rFonts w:ascii="宋体" w:hAnsi="宋体" w:cs="宋体"/>
          <w:b/>
          <w:kern w:val="0"/>
          <w:sz w:val="24"/>
        </w:rPr>
        <w:t>评估的类别</w:t>
      </w:r>
      <w:r>
        <w:rPr>
          <w:rFonts w:hint="eastAsia" w:ascii="宋体" w:hAnsi="宋体" w:cs="宋体"/>
          <w:b/>
          <w:kern w:val="0"/>
          <w:sz w:val="24"/>
        </w:rPr>
        <w:t>：</w:t>
      </w:r>
    </w:p>
    <w:p>
      <w:pPr>
        <w:spacing w:line="360" w:lineRule="auto"/>
        <w:ind w:firstLine="240" w:firstLineChars="100"/>
        <w:rPr>
          <w:rFonts w:ascii="宋体" w:hAnsi="宋体"/>
          <w:sz w:val="24"/>
        </w:rPr>
      </w:pPr>
      <w:r>
        <w:rPr>
          <w:rFonts w:hint="eastAsia" w:ascii="宋体" w:hAnsi="宋体"/>
          <w:sz w:val="24"/>
        </w:rPr>
        <w:sym w:font="Webdings" w:char="F03C"/>
      </w:r>
      <w:r>
        <w:rPr>
          <w:rFonts w:ascii="宋体" w:hAnsi="宋体"/>
          <w:sz w:val="24"/>
        </w:rPr>
        <w:t>火灾高危单位消防安全评估；</w:t>
      </w:r>
    </w:p>
    <w:p>
      <w:pPr>
        <w:numPr>
          <w:ilvl w:val="0"/>
          <w:numId w:val="10"/>
        </w:numPr>
        <w:spacing w:line="360" w:lineRule="auto"/>
        <w:rPr>
          <w:rFonts w:ascii="宋体" w:hAnsi="宋体"/>
          <w:sz w:val="24"/>
        </w:rPr>
      </w:pPr>
      <w:r>
        <w:rPr>
          <w:rFonts w:ascii="宋体" w:hAnsi="宋体"/>
          <w:sz w:val="24"/>
        </w:rPr>
        <w:t>区域消防安全评估；</w:t>
      </w:r>
    </w:p>
    <w:p>
      <w:pPr>
        <w:numPr>
          <w:ilvl w:val="0"/>
          <w:numId w:val="10"/>
        </w:numPr>
        <w:spacing w:line="360" w:lineRule="auto"/>
        <w:rPr>
          <w:rFonts w:ascii="宋体" w:hAnsi="宋体"/>
          <w:sz w:val="24"/>
        </w:rPr>
      </w:pPr>
      <w:r>
        <w:rPr>
          <w:rFonts w:ascii="宋体" w:hAnsi="宋体"/>
          <w:sz w:val="24"/>
        </w:rPr>
        <w:t>大型活动消防安全评估；</w:t>
      </w:r>
    </w:p>
    <w:p>
      <w:pPr>
        <w:numPr>
          <w:ilvl w:val="0"/>
          <w:numId w:val="10"/>
        </w:numPr>
        <w:spacing w:line="360" w:lineRule="auto"/>
        <w:rPr>
          <w:rFonts w:ascii="宋体" w:hAnsi="宋体"/>
          <w:sz w:val="24"/>
        </w:rPr>
      </w:pPr>
      <w:r>
        <w:rPr>
          <w:rFonts w:ascii="宋体" w:hAnsi="宋体"/>
          <w:sz w:val="24"/>
        </w:rPr>
        <w:t>特殊消防设计方案安全评估；</w:t>
      </w:r>
    </w:p>
    <w:p>
      <w:pPr>
        <w:numPr>
          <w:ilvl w:val="0"/>
          <w:numId w:val="10"/>
        </w:numPr>
        <w:spacing w:line="360" w:lineRule="auto"/>
        <w:rPr>
          <w:rFonts w:ascii="宋体" w:hAnsi="宋体"/>
          <w:sz w:val="24"/>
        </w:rPr>
      </w:pPr>
      <w:r>
        <w:rPr>
          <w:rFonts w:eastAsia="仿宋_GB2312"/>
          <w:color w:val="000000"/>
          <w:sz w:val="32"/>
          <w:szCs w:val="32"/>
          <w:u w:val="single"/>
        </w:rPr>
        <w:t xml:space="preserve">                              </w:t>
      </w:r>
    </w:p>
    <w:p>
      <w:pPr>
        <w:spacing w:line="360" w:lineRule="auto"/>
        <w:ind w:left="180"/>
        <w:rPr>
          <w:rFonts w:ascii="宋体" w:hAnsi="宋体"/>
          <w:sz w:val="24"/>
        </w:rPr>
      </w:pPr>
    </w:p>
    <w:p>
      <w:pPr>
        <w:widowControl/>
        <w:numPr>
          <w:ilvl w:val="0"/>
          <w:numId w:val="9"/>
        </w:numPr>
        <w:shd w:val="clear" w:color="auto" w:fill="FFFFFF"/>
        <w:adjustRightInd w:val="0"/>
        <w:spacing w:before="100" w:after="100" w:line="360" w:lineRule="auto"/>
        <w:ind w:hanging="1185"/>
        <w:jc w:val="left"/>
        <w:rPr>
          <w:rFonts w:ascii="宋体" w:hAnsi="宋体" w:cs="宋体"/>
          <w:b/>
          <w:kern w:val="0"/>
          <w:sz w:val="24"/>
        </w:rPr>
      </w:pPr>
      <w:r>
        <w:rPr>
          <w:rFonts w:ascii="宋体" w:hAnsi="宋体" w:cs="宋体"/>
          <w:b/>
          <w:kern w:val="0"/>
          <w:sz w:val="24"/>
        </w:rPr>
        <w:t>评估标准和依据</w:t>
      </w:r>
      <w:r>
        <w:rPr>
          <w:rFonts w:hint="eastAsia" w:ascii="宋体" w:hAnsi="宋体" w:cs="宋体"/>
          <w:b/>
          <w:kern w:val="0"/>
          <w:sz w:val="24"/>
        </w:rPr>
        <w:t>：</w:t>
      </w:r>
    </w:p>
    <w:p>
      <w:pPr>
        <w:widowControl/>
        <w:spacing w:line="360" w:lineRule="auto"/>
        <w:ind w:firstLine="120" w:firstLineChars="50"/>
        <w:jc w:val="left"/>
        <w:rPr>
          <w:rFonts w:ascii="宋体" w:hAnsi="宋体"/>
          <w:sz w:val="24"/>
        </w:rPr>
      </w:pPr>
      <w:r>
        <w:rPr>
          <w:rFonts w:hint="eastAsia" w:ascii="宋体" w:hAnsi="宋体"/>
          <w:sz w:val="24"/>
        </w:rPr>
        <w:t>广东省标准《建筑消防安全评估标准》</w:t>
      </w:r>
      <w:r>
        <w:rPr>
          <w:rFonts w:ascii="宋体" w:hAnsi="宋体"/>
          <w:sz w:val="24"/>
        </w:rPr>
        <w:t>（DBJ/T 15-144-2018）</w:t>
      </w:r>
    </w:p>
    <w:p>
      <w:pPr>
        <w:widowControl/>
        <w:spacing w:line="360" w:lineRule="auto"/>
        <w:jc w:val="left"/>
        <w:rPr>
          <w:rFonts w:ascii="宋体" w:hAnsi="宋体"/>
          <w:sz w:val="24"/>
        </w:rPr>
      </w:pPr>
      <w:r>
        <w:rPr>
          <w:rFonts w:hint="eastAsia" w:ascii="宋体" w:hAnsi="宋体"/>
          <w:sz w:val="24"/>
        </w:rPr>
        <w:t>《中华人民共和国消防法》</w:t>
      </w:r>
    </w:p>
    <w:p>
      <w:pPr>
        <w:widowControl/>
        <w:spacing w:line="360" w:lineRule="auto"/>
        <w:jc w:val="left"/>
        <w:rPr>
          <w:rFonts w:ascii="宋体" w:hAnsi="宋体"/>
          <w:sz w:val="24"/>
        </w:rPr>
      </w:pPr>
      <w:r>
        <w:rPr>
          <w:rFonts w:hint="eastAsia" w:ascii="宋体" w:hAnsi="宋体"/>
          <w:sz w:val="24"/>
        </w:rPr>
        <w:t>《机关、团体、企业、事业单位消防安全管理规定》（公安部令第61号）</w:t>
      </w:r>
    </w:p>
    <w:p>
      <w:r>
        <w:rPr>
          <w:rFonts w:hint="eastAsia" w:ascii="宋体" w:hAnsi="宋体"/>
          <w:sz w:val="24"/>
        </w:rPr>
        <w:t>《重大火灾隐患判定方法》</w:t>
      </w:r>
    </w:p>
    <w:p>
      <w:pPr>
        <w:widowControl/>
        <w:spacing w:line="360" w:lineRule="auto"/>
        <w:jc w:val="left"/>
        <w:rPr>
          <w:rFonts w:ascii="宋体" w:hAnsi="宋体"/>
          <w:sz w:val="24"/>
        </w:rPr>
      </w:pPr>
    </w:p>
    <w:p>
      <w:pPr>
        <w:pStyle w:val="2"/>
      </w:pPr>
      <w:r>
        <w:rPr>
          <w:rFonts w:hint="eastAsia"/>
        </w:rPr>
        <w:t>广东省实施《中华人民共和国消防法》办法</w:t>
      </w:r>
    </w:p>
    <w:p>
      <w:pPr>
        <w:widowControl/>
        <w:spacing w:line="360" w:lineRule="auto"/>
        <w:jc w:val="left"/>
        <w:rPr>
          <w:sz w:val="24"/>
        </w:rPr>
      </w:pPr>
      <w:r>
        <w:rPr>
          <w:rFonts w:hint="eastAsia" w:ascii="宋体" w:hAnsi="宋体" w:cs="宋体"/>
          <w:color w:val="000000"/>
          <w:kern w:val="0"/>
          <w:sz w:val="24"/>
          <w:lang w:bidi="ar"/>
        </w:rPr>
        <w:t>《广东省火灾高危单位消防安全管理规定 》</w:t>
      </w:r>
    </w:p>
    <w:p>
      <w:pPr>
        <w:widowControl/>
        <w:spacing w:line="360" w:lineRule="auto"/>
        <w:jc w:val="left"/>
        <w:rPr>
          <w:sz w:val="24"/>
        </w:rPr>
      </w:pPr>
      <w:r>
        <w:rPr>
          <w:rFonts w:hint="eastAsia" w:ascii="宋体" w:hAnsi="宋体" w:cs="宋体"/>
          <w:color w:val="000000"/>
          <w:kern w:val="0"/>
          <w:sz w:val="24"/>
          <w:lang w:bidi="ar"/>
        </w:rPr>
        <w:t>《广东省消防安全重点单位管理规定》</w:t>
      </w:r>
    </w:p>
    <w:p>
      <w:pPr>
        <w:widowControl/>
        <w:spacing w:line="360" w:lineRule="auto"/>
        <w:jc w:val="left"/>
        <w:rPr>
          <w:rFonts w:eastAsia="仿宋_GB2312"/>
          <w:color w:val="000000"/>
          <w:sz w:val="24"/>
          <w:u w:val="single"/>
        </w:rPr>
      </w:pPr>
    </w:p>
    <w:p>
      <w:pPr>
        <w:widowControl/>
        <w:numPr>
          <w:ilvl w:val="0"/>
          <w:numId w:val="9"/>
        </w:numPr>
        <w:shd w:val="clear" w:color="auto" w:fill="FFFFFF"/>
        <w:adjustRightInd w:val="0"/>
        <w:spacing w:before="100" w:after="100" w:line="360" w:lineRule="auto"/>
        <w:ind w:hanging="1185"/>
        <w:jc w:val="left"/>
        <w:rPr>
          <w:rFonts w:ascii="宋体" w:hAnsi="宋体" w:cs="宋体"/>
          <w:b/>
          <w:kern w:val="0"/>
          <w:sz w:val="24"/>
        </w:rPr>
      </w:pPr>
      <w:r>
        <w:rPr>
          <w:rFonts w:hint="eastAsia" w:ascii="宋体" w:hAnsi="宋体" w:cs="宋体"/>
          <w:b/>
          <w:kern w:val="0"/>
          <w:sz w:val="24"/>
        </w:rPr>
        <w:t>评估内容：</w:t>
      </w:r>
      <w:r>
        <w:rPr>
          <w:rFonts w:ascii="宋体" w:hAnsi="宋体" w:cs="宋体"/>
          <w:b/>
          <w:kern w:val="0"/>
          <w:sz w:val="24"/>
        </w:rPr>
        <w:t xml:space="preserve"> </w:t>
      </w:r>
    </w:p>
    <w:p>
      <w:pPr>
        <w:numPr>
          <w:ilvl w:val="0"/>
          <w:numId w:val="11"/>
        </w:numPr>
        <w:spacing w:before="100" w:beforeAutospacing="1" w:line="360" w:lineRule="auto"/>
        <w:ind w:left="0" w:firstLine="0"/>
        <w:rPr>
          <w:rFonts w:ascii="宋体" w:hAnsi="宋体"/>
          <w:b/>
          <w:sz w:val="24"/>
        </w:rPr>
      </w:pPr>
      <w:r>
        <w:rPr>
          <w:rFonts w:hint="eastAsia" w:ascii="宋体" w:hAnsi="宋体"/>
          <w:b/>
          <w:sz w:val="24"/>
        </w:rPr>
        <w:t>建筑防火</w:t>
      </w:r>
    </w:p>
    <w:p>
      <w:pPr>
        <w:numPr>
          <w:ilvl w:val="1"/>
          <w:numId w:val="12"/>
        </w:numPr>
        <w:spacing w:line="360" w:lineRule="auto"/>
        <w:ind w:left="0" w:firstLine="0"/>
        <w:rPr>
          <w:rFonts w:ascii="宋体" w:hAnsi="宋体"/>
          <w:sz w:val="24"/>
        </w:rPr>
      </w:pPr>
      <w:r>
        <w:rPr>
          <w:rFonts w:ascii="宋体" w:hAnsi="宋体"/>
          <w:sz w:val="24"/>
        </w:rPr>
        <w:t>耐火等级和总平面布局</w:t>
      </w:r>
    </w:p>
    <w:p>
      <w:pPr>
        <w:numPr>
          <w:ilvl w:val="1"/>
          <w:numId w:val="12"/>
        </w:numPr>
        <w:spacing w:line="360" w:lineRule="auto"/>
        <w:ind w:left="0" w:firstLine="0"/>
        <w:rPr>
          <w:rFonts w:ascii="宋体" w:hAnsi="宋体"/>
          <w:sz w:val="24"/>
        </w:rPr>
      </w:pPr>
      <w:r>
        <w:rPr>
          <w:rFonts w:hint="eastAsia" w:ascii="宋体" w:hAnsi="宋体"/>
          <w:sz w:val="24"/>
        </w:rPr>
        <w:t>防火分区</w:t>
      </w:r>
    </w:p>
    <w:p>
      <w:pPr>
        <w:numPr>
          <w:ilvl w:val="1"/>
          <w:numId w:val="12"/>
        </w:numPr>
        <w:spacing w:line="360" w:lineRule="auto"/>
        <w:ind w:left="0" w:firstLine="0"/>
        <w:rPr>
          <w:rFonts w:ascii="宋体" w:hAnsi="宋体"/>
          <w:sz w:val="24"/>
        </w:rPr>
      </w:pPr>
      <w:r>
        <w:rPr>
          <w:rFonts w:hint="eastAsia" w:ascii="宋体" w:hAnsi="宋体"/>
          <w:sz w:val="24"/>
        </w:rPr>
        <w:t>平面布置</w:t>
      </w:r>
    </w:p>
    <w:p>
      <w:pPr>
        <w:numPr>
          <w:ilvl w:val="1"/>
          <w:numId w:val="12"/>
        </w:numPr>
        <w:spacing w:line="360" w:lineRule="auto"/>
        <w:ind w:left="0" w:firstLine="0"/>
        <w:rPr>
          <w:rFonts w:ascii="宋体" w:hAnsi="宋体"/>
          <w:sz w:val="24"/>
        </w:rPr>
      </w:pPr>
      <w:r>
        <w:rPr>
          <w:rFonts w:hint="eastAsia" w:ascii="宋体" w:hAnsi="宋体"/>
          <w:sz w:val="24"/>
        </w:rPr>
        <w:t>安全疏散和</w:t>
      </w:r>
      <w:r>
        <w:rPr>
          <w:rFonts w:ascii="宋体" w:hAnsi="宋体"/>
          <w:sz w:val="24"/>
        </w:rPr>
        <w:t>避难</w:t>
      </w:r>
    </w:p>
    <w:p>
      <w:pPr>
        <w:numPr>
          <w:ilvl w:val="1"/>
          <w:numId w:val="12"/>
        </w:numPr>
        <w:spacing w:line="360" w:lineRule="auto"/>
        <w:ind w:left="0" w:firstLine="0"/>
        <w:rPr>
          <w:rFonts w:ascii="宋体" w:hAnsi="宋体"/>
          <w:sz w:val="24"/>
        </w:rPr>
      </w:pPr>
      <w:r>
        <w:rPr>
          <w:rFonts w:hint="eastAsia" w:ascii="宋体" w:hAnsi="宋体"/>
          <w:sz w:val="24"/>
        </w:rPr>
        <w:t>电气</w:t>
      </w:r>
    </w:p>
    <w:p>
      <w:pPr>
        <w:numPr>
          <w:ilvl w:val="1"/>
          <w:numId w:val="12"/>
        </w:numPr>
        <w:spacing w:line="360" w:lineRule="auto"/>
        <w:ind w:left="0" w:firstLine="0"/>
        <w:rPr>
          <w:rFonts w:ascii="宋体" w:hAnsi="宋体"/>
          <w:sz w:val="24"/>
        </w:rPr>
      </w:pPr>
      <w:r>
        <w:rPr>
          <w:rFonts w:hint="eastAsia" w:ascii="宋体" w:hAnsi="宋体"/>
          <w:sz w:val="24"/>
        </w:rPr>
        <w:t>灭火救援</w:t>
      </w:r>
    </w:p>
    <w:p>
      <w:pPr>
        <w:numPr>
          <w:ilvl w:val="1"/>
          <w:numId w:val="12"/>
        </w:numPr>
        <w:spacing w:line="360" w:lineRule="auto"/>
        <w:ind w:left="0" w:firstLine="0"/>
        <w:rPr>
          <w:rFonts w:ascii="宋体" w:hAnsi="宋体"/>
          <w:sz w:val="24"/>
        </w:rPr>
      </w:pPr>
      <w:r>
        <w:rPr>
          <w:rFonts w:hint="eastAsia" w:ascii="宋体" w:hAnsi="宋体"/>
          <w:sz w:val="24"/>
        </w:rPr>
        <w:t>室内外装修</w:t>
      </w:r>
      <w:r>
        <w:rPr>
          <w:rFonts w:ascii="宋体" w:hAnsi="宋体"/>
          <w:sz w:val="24"/>
        </w:rPr>
        <w:t>和</w:t>
      </w:r>
      <w:r>
        <w:rPr>
          <w:rFonts w:hint="eastAsia" w:ascii="宋体" w:hAnsi="宋体"/>
          <w:sz w:val="24"/>
        </w:rPr>
        <w:t>保温隔热系统</w:t>
      </w:r>
    </w:p>
    <w:p>
      <w:pPr>
        <w:numPr>
          <w:ilvl w:val="1"/>
          <w:numId w:val="12"/>
        </w:numPr>
        <w:spacing w:line="360" w:lineRule="auto"/>
        <w:ind w:left="0" w:firstLine="0"/>
        <w:rPr>
          <w:rFonts w:ascii="宋体" w:hAnsi="宋体"/>
          <w:sz w:val="24"/>
        </w:rPr>
      </w:pPr>
      <w:r>
        <w:rPr>
          <w:rFonts w:hint="eastAsia" w:ascii="宋体" w:hAnsi="宋体"/>
          <w:sz w:val="24"/>
        </w:rPr>
        <w:t>通风</w:t>
      </w:r>
      <w:r>
        <w:rPr>
          <w:rFonts w:ascii="宋体" w:hAnsi="宋体"/>
          <w:sz w:val="24"/>
        </w:rPr>
        <w:t>和空气调节</w:t>
      </w:r>
    </w:p>
    <w:p>
      <w:pPr>
        <w:numPr>
          <w:ilvl w:val="1"/>
          <w:numId w:val="12"/>
        </w:numPr>
        <w:spacing w:line="360" w:lineRule="auto"/>
        <w:ind w:left="0" w:firstLine="0"/>
        <w:rPr>
          <w:rFonts w:ascii="宋体" w:hAnsi="宋体"/>
          <w:sz w:val="24"/>
        </w:rPr>
      </w:pPr>
      <w:r>
        <w:rPr>
          <w:rFonts w:hint="eastAsia" w:ascii="宋体" w:hAnsi="宋体"/>
          <w:sz w:val="24"/>
        </w:rPr>
        <w:t>防爆措施</w:t>
      </w:r>
    </w:p>
    <w:p>
      <w:pPr>
        <w:numPr>
          <w:ilvl w:val="0"/>
          <w:numId w:val="11"/>
        </w:numPr>
        <w:spacing w:before="100" w:beforeAutospacing="1" w:line="360" w:lineRule="auto"/>
        <w:ind w:left="0" w:firstLine="0"/>
        <w:rPr>
          <w:rFonts w:ascii="宋体" w:hAnsi="宋体"/>
          <w:b/>
          <w:sz w:val="24"/>
        </w:rPr>
      </w:pPr>
      <w:r>
        <w:rPr>
          <w:rFonts w:hint="eastAsia" w:ascii="宋体" w:hAnsi="宋体"/>
          <w:b/>
          <w:sz w:val="24"/>
        </w:rPr>
        <w:t>消防设施</w:t>
      </w:r>
      <w:r>
        <w:rPr>
          <w:rFonts w:ascii="宋体" w:hAnsi="宋体"/>
          <w:b/>
          <w:sz w:val="24"/>
        </w:rPr>
        <w:t>及器材</w:t>
      </w:r>
    </w:p>
    <w:p>
      <w:pPr>
        <w:numPr>
          <w:ilvl w:val="1"/>
          <w:numId w:val="13"/>
        </w:numPr>
        <w:spacing w:line="360" w:lineRule="auto"/>
        <w:ind w:left="0" w:firstLine="0"/>
        <w:rPr>
          <w:rFonts w:ascii="宋体" w:hAnsi="宋体"/>
          <w:sz w:val="24"/>
        </w:rPr>
      </w:pPr>
      <w:r>
        <w:rPr>
          <w:rFonts w:ascii="宋体" w:hAnsi="宋体"/>
          <w:sz w:val="24"/>
        </w:rPr>
        <w:t>消防给水及消火栓系统</w:t>
      </w:r>
    </w:p>
    <w:p>
      <w:pPr>
        <w:numPr>
          <w:ilvl w:val="1"/>
          <w:numId w:val="13"/>
        </w:numPr>
        <w:spacing w:line="360" w:lineRule="auto"/>
        <w:ind w:left="0" w:firstLine="0"/>
        <w:rPr>
          <w:rFonts w:ascii="宋体" w:hAnsi="宋体"/>
          <w:sz w:val="24"/>
        </w:rPr>
      </w:pPr>
      <w:r>
        <w:rPr>
          <w:rFonts w:ascii="宋体" w:hAnsi="宋体"/>
          <w:sz w:val="24"/>
        </w:rPr>
        <w:t>自动灭火系统</w:t>
      </w:r>
    </w:p>
    <w:p>
      <w:pPr>
        <w:numPr>
          <w:ilvl w:val="1"/>
          <w:numId w:val="13"/>
        </w:numPr>
        <w:spacing w:line="360" w:lineRule="auto"/>
        <w:ind w:left="0" w:firstLine="0"/>
        <w:rPr>
          <w:rFonts w:ascii="宋体" w:hAnsi="宋体"/>
          <w:sz w:val="24"/>
        </w:rPr>
      </w:pPr>
      <w:r>
        <w:rPr>
          <w:rFonts w:ascii="宋体" w:hAnsi="宋体"/>
          <w:sz w:val="24"/>
        </w:rPr>
        <w:t>火灾自动</w:t>
      </w:r>
      <w:r>
        <w:rPr>
          <w:rFonts w:hint="eastAsia" w:ascii="宋体" w:hAnsi="宋体"/>
          <w:sz w:val="24"/>
        </w:rPr>
        <w:t>报警</w:t>
      </w:r>
      <w:r>
        <w:rPr>
          <w:rFonts w:ascii="宋体" w:hAnsi="宋体"/>
          <w:sz w:val="24"/>
        </w:rPr>
        <w:t>系统</w:t>
      </w:r>
    </w:p>
    <w:p>
      <w:pPr>
        <w:numPr>
          <w:ilvl w:val="1"/>
          <w:numId w:val="13"/>
        </w:numPr>
        <w:spacing w:line="360" w:lineRule="auto"/>
        <w:ind w:left="0" w:firstLine="0"/>
        <w:rPr>
          <w:rFonts w:ascii="宋体" w:hAnsi="宋体"/>
          <w:sz w:val="24"/>
        </w:rPr>
      </w:pPr>
      <w:r>
        <w:rPr>
          <w:rFonts w:ascii="宋体" w:hAnsi="宋体"/>
          <w:sz w:val="24"/>
        </w:rPr>
        <w:t>防排烟系统</w:t>
      </w:r>
    </w:p>
    <w:p>
      <w:pPr>
        <w:numPr>
          <w:ilvl w:val="1"/>
          <w:numId w:val="13"/>
        </w:numPr>
        <w:spacing w:line="360" w:lineRule="auto"/>
        <w:ind w:left="0" w:firstLine="0"/>
        <w:rPr>
          <w:rFonts w:ascii="宋体" w:hAnsi="宋体"/>
          <w:sz w:val="24"/>
        </w:rPr>
      </w:pPr>
      <w:r>
        <w:rPr>
          <w:rFonts w:ascii="宋体" w:hAnsi="宋体"/>
          <w:sz w:val="24"/>
        </w:rPr>
        <w:t>消防电源</w:t>
      </w:r>
    </w:p>
    <w:p>
      <w:pPr>
        <w:numPr>
          <w:ilvl w:val="1"/>
          <w:numId w:val="13"/>
        </w:numPr>
        <w:spacing w:line="360" w:lineRule="auto"/>
        <w:ind w:left="0" w:firstLine="0"/>
        <w:rPr>
          <w:rFonts w:ascii="宋体" w:hAnsi="宋体"/>
          <w:sz w:val="24"/>
        </w:rPr>
      </w:pPr>
      <w:r>
        <w:rPr>
          <w:rFonts w:ascii="宋体" w:hAnsi="宋体"/>
          <w:sz w:val="24"/>
        </w:rPr>
        <w:t>疏散指示标志及应急照明</w:t>
      </w:r>
    </w:p>
    <w:p>
      <w:pPr>
        <w:numPr>
          <w:ilvl w:val="1"/>
          <w:numId w:val="13"/>
        </w:numPr>
        <w:spacing w:line="360" w:lineRule="auto"/>
        <w:ind w:left="0" w:firstLine="0"/>
        <w:rPr>
          <w:rFonts w:ascii="宋体" w:hAnsi="宋体"/>
          <w:sz w:val="24"/>
        </w:rPr>
      </w:pPr>
      <w:r>
        <w:rPr>
          <w:rFonts w:ascii="宋体" w:hAnsi="宋体"/>
          <w:sz w:val="24"/>
        </w:rPr>
        <w:t>灭火器及其他消防器材</w:t>
      </w:r>
    </w:p>
    <w:p>
      <w:pPr>
        <w:pStyle w:val="2"/>
      </w:pPr>
    </w:p>
    <w:p>
      <w:pPr>
        <w:widowControl/>
        <w:numPr>
          <w:ilvl w:val="0"/>
          <w:numId w:val="9"/>
        </w:numPr>
        <w:shd w:val="clear" w:color="auto" w:fill="FFFFFF"/>
        <w:adjustRightInd w:val="0"/>
        <w:spacing w:before="100" w:after="100" w:line="360" w:lineRule="auto"/>
        <w:ind w:hanging="1185"/>
        <w:jc w:val="left"/>
        <w:rPr>
          <w:rFonts w:ascii="宋体" w:hAnsi="宋体" w:cs="宋体"/>
          <w:b/>
          <w:kern w:val="0"/>
          <w:sz w:val="24"/>
        </w:rPr>
      </w:pPr>
      <w:r>
        <w:rPr>
          <w:rFonts w:hint="eastAsia" w:ascii="宋体" w:hAnsi="宋体" w:cs="宋体"/>
          <w:b/>
          <w:kern w:val="0"/>
          <w:sz w:val="24"/>
        </w:rPr>
        <w:t>甲方提供的资料</w:t>
      </w:r>
    </w:p>
    <w:p>
      <w:pPr>
        <w:numPr>
          <w:ilvl w:val="0"/>
          <w:numId w:val="14"/>
        </w:numPr>
        <w:spacing w:before="100" w:beforeAutospacing="1" w:line="360" w:lineRule="auto"/>
        <w:ind w:left="0" w:firstLine="0"/>
        <w:rPr>
          <w:rFonts w:ascii="宋体" w:hAnsi="宋体"/>
          <w:b/>
          <w:sz w:val="24"/>
        </w:rPr>
      </w:pPr>
      <w:r>
        <w:rPr>
          <w:rFonts w:hint="eastAsia" w:ascii="宋体" w:hAnsi="宋体"/>
          <w:b/>
          <w:sz w:val="24"/>
        </w:rPr>
        <w:t>营业执照、组织机构代码及税务登记证；</w:t>
      </w:r>
    </w:p>
    <w:p>
      <w:pPr>
        <w:numPr>
          <w:ilvl w:val="0"/>
          <w:numId w:val="14"/>
        </w:numPr>
        <w:spacing w:before="120" w:beforeLines="50" w:line="360" w:lineRule="auto"/>
        <w:ind w:left="0" w:firstLine="0"/>
        <w:rPr>
          <w:rFonts w:ascii="宋体" w:hAnsi="宋体"/>
          <w:b/>
          <w:sz w:val="24"/>
        </w:rPr>
      </w:pPr>
      <w:r>
        <w:rPr>
          <w:rFonts w:hint="eastAsia" w:ascii="宋体" w:hAnsi="宋体"/>
          <w:b/>
          <w:sz w:val="24"/>
        </w:rPr>
        <w:t>消防行政许可文书，具体包括以下资料:</w:t>
      </w:r>
    </w:p>
    <w:p>
      <w:pPr>
        <w:numPr>
          <w:ilvl w:val="1"/>
          <w:numId w:val="15"/>
        </w:numPr>
        <w:spacing w:line="360" w:lineRule="auto"/>
        <w:ind w:left="0" w:firstLine="0"/>
        <w:rPr>
          <w:rFonts w:ascii="宋体" w:hAnsi="宋体"/>
          <w:sz w:val="24"/>
        </w:rPr>
      </w:pPr>
      <w:r>
        <w:rPr>
          <w:rFonts w:hint="eastAsia" w:ascii="宋体" w:hAnsi="宋体"/>
          <w:sz w:val="24"/>
        </w:rPr>
        <w:t>建设工程消防设计审核意见书或备案证明</w:t>
      </w:r>
    </w:p>
    <w:p>
      <w:pPr>
        <w:numPr>
          <w:ilvl w:val="1"/>
          <w:numId w:val="15"/>
        </w:numPr>
        <w:spacing w:line="360" w:lineRule="auto"/>
        <w:ind w:left="0" w:firstLine="0"/>
        <w:rPr>
          <w:rFonts w:ascii="宋体" w:hAnsi="宋体"/>
          <w:sz w:val="24"/>
        </w:rPr>
      </w:pPr>
      <w:r>
        <w:rPr>
          <w:rFonts w:hint="eastAsia" w:ascii="宋体" w:hAnsi="宋体"/>
          <w:sz w:val="24"/>
        </w:rPr>
        <w:t>建设工程消防验收意见书；</w:t>
      </w:r>
    </w:p>
    <w:p>
      <w:pPr>
        <w:numPr>
          <w:ilvl w:val="1"/>
          <w:numId w:val="15"/>
        </w:numPr>
        <w:spacing w:line="360" w:lineRule="auto"/>
        <w:ind w:left="0" w:firstLine="0"/>
        <w:rPr>
          <w:rFonts w:ascii="宋体" w:hAnsi="宋体"/>
          <w:sz w:val="24"/>
        </w:rPr>
      </w:pPr>
      <w:r>
        <w:rPr>
          <w:rFonts w:hint="eastAsia" w:ascii="宋体" w:hAnsi="宋体"/>
          <w:sz w:val="24"/>
        </w:rPr>
        <w:t>消防竣工图纸。</w:t>
      </w:r>
    </w:p>
    <w:p>
      <w:pPr>
        <w:spacing w:line="360" w:lineRule="auto"/>
        <w:rPr>
          <w:rFonts w:ascii="宋体" w:hAnsi="宋体"/>
          <w:sz w:val="24"/>
        </w:rPr>
      </w:pPr>
    </w:p>
    <w:p>
      <w:pPr>
        <w:widowControl/>
        <w:numPr>
          <w:ilvl w:val="0"/>
          <w:numId w:val="9"/>
        </w:numPr>
        <w:shd w:val="clear" w:color="auto" w:fill="FFFFFF"/>
        <w:adjustRightInd w:val="0"/>
        <w:spacing w:before="100" w:after="100" w:line="360" w:lineRule="auto"/>
        <w:ind w:hanging="1185"/>
        <w:jc w:val="left"/>
        <w:rPr>
          <w:rFonts w:ascii="宋体" w:hAnsi="宋体" w:cs="宋体"/>
          <w:b/>
          <w:kern w:val="0"/>
          <w:sz w:val="24"/>
        </w:rPr>
      </w:pPr>
      <w:r>
        <w:rPr>
          <w:rFonts w:hint="eastAsia" w:ascii="宋体" w:hAnsi="宋体" w:cs="宋体"/>
          <w:b/>
          <w:kern w:val="0"/>
          <w:sz w:val="24"/>
        </w:rPr>
        <w:t>乙方提供的成果文件</w:t>
      </w:r>
    </w:p>
    <w:p>
      <w:r>
        <w:rPr>
          <w:rFonts w:hint="eastAsia" w:ascii="宋体" w:hAnsi="宋体"/>
          <w:sz w:val="24"/>
        </w:rPr>
        <w:t>7</w:t>
      </w:r>
      <w:r>
        <w:rPr>
          <w:rFonts w:ascii="宋体" w:hAnsi="宋体"/>
          <w:sz w:val="24"/>
        </w:rPr>
        <w:t>.1以书面形式提供</w:t>
      </w:r>
      <w:r>
        <w:rPr>
          <w:rFonts w:hint="eastAsia" w:ascii="宋体" w:hAnsi="宋体"/>
          <w:sz w:val="24"/>
        </w:rPr>
        <w:t>准确</w:t>
      </w:r>
      <w:r>
        <w:rPr>
          <w:rFonts w:ascii="宋体" w:hAnsi="宋体"/>
          <w:sz w:val="24"/>
        </w:rPr>
        <w:t>反映建筑物消防状况的</w:t>
      </w:r>
      <w:r>
        <w:rPr>
          <w:rFonts w:hint="eastAsia" w:ascii="宋体" w:hAnsi="宋体"/>
          <w:sz w:val="24"/>
        </w:rPr>
        <w:t>建筑消防安全评估</w:t>
      </w:r>
      <w:r>
        <w:rPr>
          <w:rFonts w:ascii="宋体" w:hAnsi="宋体"/>
          <w:sz w:val="24"/>
        </w:rPr>
        <w:t>报告以及问题整改建议。</w:t>
      </w:r>
    </w:p>
    <w:p>
      <w:pPr>
        <w:spacing w:line="360" w:lineRule="auto"/>
        <w:rPr>
          <w:rFonts w:ascii="宋体" w:hAnsi="宋体"/>
          <w:sz w:val="24"/>
        </w:rPr>
      </w:pPr>
    </w:p>
    <w:p>
      <w:pPr>
        <w:spacing w:line="360" w:lineRule="auto"/>
        <w:rPr>
          <w:rFonts w:ascii="宋体" w:hAnsi="宋体"/>
          <w:sz w:val="24"/>
        </w:rPr>
      </w:pPr>
    </w:p>
    <w:p>
      <w:pPr>
        <w:widowControl/>
        <w:numPr>
          <w:ilvl w:val="0"/>
          <w:numId w:val="9"/>
        </w:numPr>
        <w:shd w:val="clear" w:color="auto" w:fill="FFFFFF"/>
        <w:adjustRightInd w:val="0"/>
        <w:spacing w:before="100" w:after="100" w:line="360" w:lineRule="auto"/>
        <w:ind w:hanging="1185"/>
        <w:jc w:val="left"/>
        <w:rPr>
          <w:rFonts w:ascii="宋体" w:hAnsi="宋体" w:cs="宋体"/>
          <w:b/>
          <w:kern w:val="0"/>
          <w:sz w:val="24"/>
        </w:rPr>
      </w:pPr>
      <w:r>
        <w:rPr>
          <w:rFonts w:hint="eastAsia" w:ascii="宋体" w:hAnsi="宋体" w:cs="宋体"/>
          <w:b/>
          <w:kern w:val="0"/>
          <w:sz w:val="24"/>
        </w:rPr>
        <w:t>消防安全评估约定时间：</w:t>
      </w:r>
      <w:r>
        <w:rPr>
          <w:rFonts w:ascii="宋体" w:hAnsi="宋体" w:cs="宋体"/>
          <w:b/>
          <w:kern w:val="0"/>
          <w:sz w:val="24"/>
        </w:rPr>
        <w:t xml:space="preserve">    </w:t>
      </w:r>
      <w:r>
        <w:rPr>
          <w:rFonts w:hint="eastAsia" w:ascii="宋体" w:hAnsi="宋体" w:cs="宋体"/>
          <w:b/>
          <w:kern w:val="0"/>
          <w:sz w:val="24"/>
        </w:rPr>
        <w:t>年</w:t>
      </w:r>
      <w:r>
        <w:rPr>
          <w:rFonts w:ascii="宋体" w:hAnsi="宋体" w:cs="宋体"/>
          <w:b/>
          <w:kern w:val="0"/>
          <w:sz w:val="24"/>
        </w:rPr>
        <w:t xml:space="preserve">    </w:t>
      </w:r>
      <w:r>
        <w:rPr>
          <w:rFonts w:hint="eastAsia" w:ascii="宋体" w:hAnsi="宋体" w:cs="宋体"/>
          <w:b/>
          <w:kern w:val="0"/>
          <w:sz w:val="24"/>
        </w:rPr>
        <w:t>月</w:t>
      </w:r>
      <w:r>
        <w:rPr>
          <w:rFonts w:ascii="宋体" w:hAnsi="宋体" w:cs="宋体"/>
          <w:b/>
          <w:kern w:val="0"/>
          <w:sz w:val="24"/>
        </w:rPr>
        <w:t xml:space="preserve">    </w:t>
      </w:r>
      <w:r>
        <w:rPr>
          <w:rFonts w:hint="eastAsia" w:ascii="宋体" w:hAnsi="宋体" w:cs="宋体"/>
          <w:b/>
          <w:kern w:val="0"/>
          <w:sz w:val="24"/>
        </w:rPr>
        <w:t>日至</w:t>
      </w:r>
      <w:r>
        <w:rPr>
          <w:rFonts w:ascii="宋体" w:hAnsi="宋体" w:cs="宋体"/>
          <w:b/>
          <w:kern w:val="0"/>
          <w:sz w:val="24"/>
        </w:rPr>
        <w:t xml:space="preserve">    </w:t>
      </w:r>
      <w:r>
        <w:rPr>
          <w:rFonts w:hint="eastAsia" w:ascii="宋体" w:hAnsi="宋体" w:cs="宋体"/>
          <w:b/>
          <w:kern w:val="0"/>
          <w:sz w:val="24"/>
        </w:rPr>
        <w:t>年</w:t>
      </w:r>
      <w:r>
        <w:rPr>
          <w:rFonts w:ascii="宋体" w:hAnsi="宋体" w:cs="宋体"/>
          <w:b/>
          <w:kern w:val="0"/>
          <w:sz w:val="24"/>
        </w:rPr>
        <w:t xml:space="preserve">    </w:t>
      </w:r>
      <w:r>
        <w:rPr>
          <w:rFonts w:hint="eastAsia" w:ascii="宋体" w:hAnsi="宋体" w:cs="宋体"/>
          <w:b/>
          <w:kern w:val="0"/>
          <w:sz w:val="24"/>
        </w:rPr>
        <w:t>月</w:t>
      </w:r>
      <w:r>
        <w:rPr>
          <w:rFonts w:ascii="宋体" w:hAnsi="宋体" w:cs="宋体"/>
          <w:b/>
          <w:kern w:val="0"/>
          <w:sz w:val="24"/>
        </w:rPr>
        <w:t xml:space="preserve">    </w:t>
      </w:r>
      <w:r>
        <w:rPr>
          <w:rFonts w:hint="eastAsia" w:ascii="宋体" w:hAnsi="宋体" w:cs="宋体"/>
          <w:b/>
          <w:kern w:val="0"/>
          <w:sz w:val="24"/>
        </w:rPr>
        <w:t>日。</w:t>
      </w:r>
    </w:p>
    <w:p>
      <w:pPr>
        <w:widowControl/>
        <w:shd w:val="clear" w:color="auto" w:fill="FFFFFF"/>
        <w:adjustRightInd w:val="0"/>
        <w:spacing w:before="100" w:after="100" w:line="360" w:lineRule="auto"/>
        <w:jc w:val="left"/>
        <w:rPr>
          <w:rFonts w:ascii="宋体" w:hAnsi="宋体" w:cs="宋体"/>
          <w:b/>
          <w:kern w:val="0"/>
          <w:sz w:val="24"/>
        </w:rPr>
      </w:pPr>
    </w:p>
    <w:p>
      <w:pPr>
        <w:widowControl/>
        <w:numPr>
          <w:ilvl w:val="0"/>
          <w:numId w:val="9"/>
        </w:numPr>
        <w:shd w:val="clear" w:color="auto" w:fill="FFFFFF"/>
        <w:adjustRightInd w:val="0"/>
        <w:spacing w:before="100" w:after="100" w:line="360" w:lineRule="auto"/>
        <w:ind w:hanging="1185"/>
        <w:jc w:val="left"/>
        <w:rPr>
          <w:rFonts w:ascii="宋体" w:hAnsi="宋体" w:cs="宋体"/>
          <w:b/>
          <w:kern w:val="0"/>
          <w:sz w:val="24"/>
        </w:rPr>
      </w:pPr>
      <w:r>
        <w:rPr>
          <w:rFonts w:hint="eastAsia" w:ascii="宋体" w:hAnsi="宋体" w:cs="宋体"/>
          <w:b/>
          <w:kern w:val="0"/>
          <w:sz w:val="24"/>
        </w:rPr>
        <w:t>评估费及支付进度</w:t>
      </w:r>
    </w:p>
    <w:p>
      <w:pPr>
        <w:spacing w:after="120" w:afterLines="50" w:line="360" w:lineRule="auto"/>
        <w:jc w:val="left"/>
        <w:rPr>
          <w:rFonts w:ascii="宋体" w:hAnsi="宋体"/>
          <w:sz w:val="24"/>
        </w:rPr>
      </w:pPr>
      <w:r>
        <w:rPr>
          <w:rFonts w:hint="eastAsia" w:ascii="宋体" w:hAnsi="宋体"/>
          <w:sz w:val="24"/>
        </w:rPr>
        <w:t>9.1消防安全评估费用为包干</w:t>
      </w:r>
      <w:r>
        <w:rPr>
          <w:rFonts w:ascii="宋体" w:hAnsi="宋体"/>
          <w:sz w:val="24"/>
        </w:rPr>
        <w:t>总价</w:t>
      </w:r>
      <w:r>
        <w:rPr>
          <w:rFonts w:hint="eastAsia" w:ascii="宋体" w:hAnsi="宋体"/>
          <w:sz w:val="24"/>
        </w:rPr>
        <w:t>（含税）人民币</w:t>
      </w:r>
      <w:r>
        <w:rPr>
          <w:rFonts w:ascii="宋体" w:hAnsi="宋体"/>
          <w:sz w:val="24"/>
        </w:rPr>
        <w:t xml:space="preserve">    .00</w:t>
      </w:r>
      <w:r>
        <w:rPr>
          <w:rFonts w:hint="eastAsia" w:ascii="宋体" w:hAnsi="宋体"/>
          <w:sz w:val="24"/>
        </w:rPr>
        <w:t xml:space="preserve">元（大写： </w:t>
      </w:r>
      <w:r>
        <w:rPr>
          <w:rFonts w:ascii="宋体" w:hAnsi="宋体"/>
          <w:sz w:val="24"/>
        </w:rPr>
        <w:t xml:space="preserve">   </w:t>
      </w:r>
      <w:r>
        <w:rPr>
          <w:rFonts w:hint="eastAsia" w:ascii="宋体" w:hAnsi="宋体"/>
          <w:sz w:val="24"/>
        </w:rPr>
        <w:t>元整）。</w:t>
      </w:r>
    </w:p>
    <w:p>
      <w:pPr>
        <w:spacing w:after="120" w:afterLines="50" w:line="360" w:lineRule="auto"/>
        <w:jc w:val="left"/>
        <w:rPr>
          <w:rFonts w:ascii="宋体" w:hAnsi="宋体"/>
          <w:sz w:val="24"/>
        </w:rPr>
      </w:pPr>
      <w:r>
        <w:rPr>
          <w:rFonts w:hint="eastAsia" w:ascii="宋体" w:hAnsi="宋体"/>
          <w:sz w:val="24"/>
        </w:rPr>
        <w:t>9.1.1预付款：合同签订并收到乙方发票后10个工作日内，甲方支付50%费用即</w:t>
      </w:r>
      <w:r>
        <w:rPr>
          <w:rFonts w:ascii="宋体" w:hAnsi="宋体"/>
          <w:sz w:val="24"/>
          <w:u w:val="single"/>
        </w:rPr>
        <w:t xml:space="preserve">  .00</w:t>
      </w:r>
      <w:r>
        <w:rPr>
          <w:rFonts w:hint="eastAsia" w:ascii="宋体" w:hAnsi="宋体"/>
          <w:sz w:val="24"/>
          <w:u w:val="single"/>
        </w:rPr>
        <w:t xml:space="preserve"> </w:t>
      </w:r>
      <w:r>
        <w:rPr>
          <w:rFonts w:hint="eastAsia" w:ascii="宋体" w:hAnsi="宋体"/>
          <w:sz w:val="24"/>
        </w:rPr>
        <w:t>元（大写</w:t>
      </w:r>
      <w:r>
        <w:rPr>
          <w:rFonts w:ascii="宋体" w:hAnsi="宋体"/>
          <w:sz w:val="24"/>
        </w:rPr>
        <w:t>：</w:t>
      </w:r>
      <w:r>
        <w:rPr>
          <w:rFonts w:hint="eastAsia" w:ascii="宋体" w:hAnsi="宋体"/>
          <w:sz w:val="24"/>
        </w:rPr>
        <w:t xml:space="preserve"> </w:t>
      </w:r>
      <w:r>
        <w:rPr>
          <w:rFonts w:ascii="宋体" w:hAnsi="宋体"/>
          <w:sz w:val="24"/>
        </w:rPr>
        <w:t xml:space="preserve">   </w:t>
      </w:r>
      <w:r>
        <w:rPr>
          <w:rFonts w:hint="eastAsia" w:ascii="宋体" w:hAnsi="宋体"/>
          <w:sz w:val="24"/>
        </w:rPr>
        <w:t>元整）。</w:t>
      </w:r>
    </w:p>
    <w:p>
      <w:r>
        <w:rPr>
          <w:rFonts w:hint="eastAsia" w:ascii="宋体" w:hAnsi="宋体"/>
          <w:sz w:val="24"/>
        </w:rPr>
        <w:t>9.1.2</w:t>
      </w:r>
    </w:p>
    <w:p>
      <w:pPr>
        <w:spacing w:after="120" w:afterLines="50" w:line="360" w:lineRule="auto"/>
        <w:jc w:val="left"/>
        <w:rPr>
          <w:rFonts w:ascii="宋体" w:hAnsi="宋体"/>
          <w:sz w:val="24"/>
        </w:rPr>
      </w:pPr>
      <w:r>
        <w:rPr>
          <w:rFonts w:hint="eastAsia" w:ascii="宋体" w:hAnsi="宋体"/>
          <w:sz w:val="24"/>
        </w:rPr>
        <w:t>第二次付款：乙方提交电子版消防</w:t>
      </w:r>
      <w:r>
        <w:rPr>
          <w:rFonts w:ascii="宋体" w:hAnsi="宋体"/>
          <w:sz w:val="24"/>
        </w:rPr>
        <w:t>评估报告</w:t>
      </w:r>
      <w:r>
        <w:rPr>
          <w:rFonts w:hint="eastAsia" w:ascii="宋体" w:hAnsi="宋体"/>
          <w:sz w:val="24"/>
        </w:rPr>
        <w:t>并跟甲方沟通调整后，甲方支付剩余的50%费用即</w:t>
      </w:r>
      <w:r>
        <w:rPr>
          <w:rFonts w:ascii="宋体" w:hAnsi="宋体"/>
          <w:sz w:val="24"/>
          <w:u w:val="single"/>
        </w:rPr>
        <w:t xml:space="preserve">     .00</w:t>
      </w:r>
      <w:r>
        <w:rPr>
          <w:rFonts w:hint="eastAsia" w:ascii="宋体" w:hAnsi="宋体"/>
          <w:b/>
          <w:sz w:val="24"/>
          <w:u w:val="single"/>
        </w:rPr>
        <w:t xml:space="preserve"> </w:t>
      </w:r>
      <w:r>
        <w:rPr>
          <w:rFonts w:hint="eastAsia" w:ascii="宋体" w:hAnsi="宋体"/>
          <w:sz w:val="24"/>
        </w:rPr>
        <w:t>元（大写</w:t>
      </w:r>
      <w:r>
        <w:rPr>
          <w:rFonts w:ascii="宋体" w:hAnsi="宋体"/>
          <w:sz w:val="24"/>
        </w:rPr>
        <w:t>：</w:t>
      </w:r>
      <w:r>
        <w:rPr>
          <w:rFonts w:hint="eastAsia" w:ascii="宋体" w:hAnsi="宋体"/>
          <w:sz w:val="24"/>
        </w:rPr>
        <w:t xml:space="preserve"> </w:t>
      </w:r>
      <w:r>
        <w:rPr>
          <w:rFonts w:ascii="宋体" w:hAnsi="宋体"/>
          <w:sz w:val="24"/>
        </w:rPr>
        <w:t xml:space="preserve">    </w:t>
      </w:r>
      <w:r>
        <w:rPr>
          <w:rFonts w:hint="eastAsia" w:ascii="宋体" w:hAnsi="宋体"/>
          <w:sz w:val="24"/>
        </w:rPr>
        <w:t>元整），乙方在收到此阶段款项5日内提交给甲方正式版的纸质评估报告。</w:t>
      </w:r>
    </w:p>
    <w:p>
      <w:pPr>
        <w:spacing w:line="360" w:lineRule="auto"/>
        <w:rPr>
          <w:rFonts w:ascii="宋体" w:hAnsi="宋体" w:cs="宋体"/>
          <w:b/>
          <w:sz w:val="24"/>
        </w:rPr>
      </w:pPr>
      <w:r>
        <w:rPr>
          <w:rFonts w:hint="eastAsia" w:ascii="宋体" w:hAnsi="宋体"/>
          <w:b/>
          <w:sz w:val="24"/>
        </w:rPr>
        <w:t>注：1、乙方</w:t>
      </w:r>
      <w:r>
        <w:rPr>
          <w:rFonts w:hint="eastAsia" w:ascii="宋体" w:hAnsi="宋体" w:cs="宋体"/>
          <w:b/>
          <w:sz w:val="24"/>
        </w:rPr>
        <w:t>提供增值税专用发票，税率</w:t>
      </w:r>
      <w:r>
        <w:rPr>
          <w:rFonts w:ascii="宋体" w:hAnsi="宋体" w:cs="宋体"/>
          <w:b/>
          <w:sz w:val="24"/>
        </w:rPr>
        <w:t>6</w:t>
      </w:r>
      <w:r>
        <w:rPr>
          <w:rFonts w:hint="eastAsia" w:ascii="宋体" w:hAnsi="宋体" w:cs="宋体"/>
          <w:b/>
          <w:sz w:val="24"/>
        </w:rPr>
        <w:t>%。</w:t>
      </w:r>
    </w:p>
    <w:p>
      <w:pPr>
        <w:spacing w:after="120" w:afterLines="50" w:line="360" w:lineRule="auto"/>
        <w:jc w:val="left"/>
      </w:pPr>
      <w:r>
        <w:rPr>
          <w:rFonts w:ascii="宋体" w:hAnsi="宋体" w:cs="宋体"/>
          <w:b/>
          <w:sz w:val="24"/>
        </w:rPr>
        <w:t>9.2</w:t>
      </w:r>
      <w:r>
        <w:rPr>
          <w:rFonts w:hint="eastAsia" w:ascii="宋体" w:hAnsi="宋体"/>
          <w:sz w:val="24"/>
          <w:szCs w:val="21"/>
        </w:rPr>
        <w:t>每次付款前，乙方应开具符合国家规定的当次支付金额的全额发票给甲方，否则甲方有权拒绝付款。甲方按照相关程序提交财政支付申办手续即视为已履行支付义务，如因政府有关部门超期审批等原因造成甲方付款迟延的，不视为甲方违约。</w:t>
      </w:r>
    </w:p>
    <w:p>
      <w:pPr>
        <w:spacing w:line="360" w:lineRule="auto"/>
        <w:rPr>
          <w:rFonts w:ascii="宋体" w:hAnsi="宋体"/>
          <w:b/>
          <w:sz w:val="24"/>
        </w:rPr>
      </w:pPr>
    </w:p>
    <w:p>
      <w:pPr>
        <w:widowControl/>
        <w:numPr>
          <w:ilvl w:val="0"/>
          <w:numId w:val="9"/>
        </w:numPr>
        <w:shd w:val="clear" w:color="auto" w:fill="FFFFFF"/>
        <w:adjustRightInd w:val="0"/>
        <w:spacing w:before="100" w:after="100" w:line="360" w:lineRule="auto"/>
        <w:ind w:hanging="1185"/>
        <w:jc w:val="left"/>
        <w:rPr>
          <w:rFonts w:ascii="宋体" w:hAnsi="宋体" w:cs="宋体"/>
          <w:b/>
          <w:kern w:val="0"/>
          <w:sz w:val="24"/>
        </w:rPr>
      </w:pPr>
      <w:r>
        <w:rPr>
          <w:rFonts w:hint="eastAsia" w:ascii="宋体" w:hAnsi="宋体" w:cs="宋体"/>
          <w:b/>
          <w:kern w:val="0"/>
          <w:sz w:val="24"/>
        </w:rPr>
        <w:t>双方权利及义务</w:t>
      </w:r>
    </w:p>
    <w:p>
      <w:pPr>
        <w:adjustRightInd w:val="0"/>
        <w:snapToGrid w:val="0"/>
        <w:spacing w:before="240" w:beforeLines="100" w:line="360" w:lineRule="auto"/>
        <w:jc w:val="left"/>
        <w:rPr>
          <w:rFonts w:ascii="宋体" w:hAnsi="宋体"/>
          <w:b/>
          <w:sz w:val="24"/>
        </w:rPr>
      </w:pPr>
      <w:r>
        <w:rPr>
          <w:rFonts w:hint="eastAsia" w:ascii="宋体" w:hAnsi="宋体"/>
          <w:b/>
          <w:sz w:val="24"/>
        </w:rPr>
        <w:t>10.1甲方权利、义务：</w:t>
      </w:r>
    </w:p>
    <w:p>
      <w:pPr>
        <w:numPr>
          <w:ilvl w:val="0"/>
          <w:numId w:val="16"/>
        </w:numPr>
        <w:spacing w:line="360" w:lineRule="auto"/>
        <w:ind w:left="0" w:firstLine="0"/>
        <w:rPr>
          <w:rFonts w:ascii="宋体" w:hAnsi="宋体"/>
          <w:sz w:val="24"/>
        </w:rPr>
      </w:pPr>
      <w:r>
        <w:rPr>
          <w:rFonts w:hint="eastAsia" w:ascii="宋体" w:hAnsi="宋体"/>
          <w:sz w:val="24"/>
        </w:rPr>
        <w:t>评估时，需填报建筑消防设施统计表，提供被检工程各消防系统竣工图纸、竣工资料、建筑工程消防设计审核意见书和电气系统图、运行的有关数据及调试记录，并保证所提供的资料和数据是真实的。</w:t>
      </w:r>
    </w:p>
    <w:p>
      <w:pPr>
        <w:numPr>
          <w:ilvl w:val="0"/>
          <w:numId w:val="16"/>
        </w:numPr>
        <w:spacing w:line="360" w:lineRule="auto"/>
        <w:ind w:left="0" w:firstLine="0"/>
        <w:rPr>
          <w:rFonts w:ascii="宋体" w:hAnsi="宋体"/>
          <w:sz w:val="24"/>
        </w:rPr>
      </w:pPr>
      <w:r>
        <w:rPr>
          <w:rFonts w:hint="eastAsia" w:ascii="宋体" w:hAnsi="宋体"/>
          <w:sz w:val="24"/>
        </w:rPr>
        <w:t>提供适合评估用场地、电源及一些必须的工具，清理现场使其具备评估条件。</w:t>
      </w:r>
    </w:p>
    <w:p>
      <w:pPr>
        <w:numPr>
          <w:ilvl w:val="0"/>
          <w:numId w:val="16"/>
        </w:numPr>
        <w:adjustRightInd w:val="0"/>
        <w:snapToGrid w:val="0"/>
        <w:spacing w:line="360" w:lineRule="auto"/>
        <w:ind w:left="0" w:firstLine="0"/>
        <w:jc w:val="left"/>
        <w:rPr>
          <w:rFonts w:ascii="宋体" w:hAnsi="宋体"/>
          <w:sz w:val="24"/>
        </w:rPr>
      </w:pPr>
      <w:r>
        <w:rPr>
          <w:rFonts w:hint="eastAsia" w:ascii="宋体" w:hAnsi="宋体"/>
          <w:sz w:val="24"/>
        </w:rPr>
        <w:t>甲方负责事前通知有关单位和人员，并派专人负责，请相关专业人员全部到场配合乙方评估工作，为评估工作提供便利。</w:t>
      </w:r>
    </w:p>
    <w:p>
      <w:pPr>
        <w:numPr>
          <w:ilvl w:val="0"/>
          <w:numId w:val="16"/>
        </w:numPr>
        <w:spacing w:line="360" w:lineRule="auto"/>
        <w:ind w:left="0" w:firstLine="0"/>
        <w:rPr>
          <w:rFonts w:ascii="宋体" w:hAnsi="宋体"/>
          <w:sz w:val="24"/>
        </w:rPr>
      </w:pPr>
      <w:r>
        <w:rPr>
          <w:rFonts w:hint="eastAsia" w:ascii="宋体" w:hAnsi="宋体"/>
          <w:sz w:val="24"/>
        </w:rPr>
        <w:t>应为评估人员指派若干名熟悉系统设备的专职技术人员，于评估时全程协助乙方做好配合工作。若不能提供图纸，应由专职技术人员现场指认评估线路走向及设备位置，并做好必要的设备操作工作等。</w:t>
      </w:r>
    </w:p>
    <w:p>
      <w:pPr>
        <w:numPr>
          <w:ilvl w:val="0"/>
          <w:numId w:val="16"/>
        </w:numPr>
        <w:spacing w:line="360" w:lineRule="auto"/>
        <w:ind w:left="0" w:firstLine="0"/>
        <w:rPr>
          <w:rFonts w:ascii="宋体" w:hAnsi="宋体"/>
          <w:sz w:val="24"/>
        </w:rPr>
      </w:pPr>
      <w:r>
        <w:rPr>
          <w:rFonts w:hint="eastAsia" w:ascii="宋体" w:hAnsi="宋体"/>
          <w:sz w:val="24"/>
        </w:rPr>
        <w:t>协助乙方办理进出展区方面的手续（如出入证等）。</w:t>
      </w:r>
    </w:p>
    <w:p>
      <w:pPr>
        <w:adjustRightInd w:val="0"/>
        <w:snapToGrid w:val="0"/>
        <w:spacing w:before="240" w:beforeLines="100" w:line="360" w:lineRule="auto"/>
        <w:jc w:val="left"/>
        <w:rPr>
          <w:rFonts w:ascii="宋体" w:hAnsi="宋体"/>
          <w:b/>
          <w:sz w:val="24"/>
        </w:rPr>
      </w:pPr>
      <w:r>
        <w:rPr>
          <w:rFonts w:ascii="宋体" w:hAnsi="宋体"/>
          <w:b/>
          <w:sz w:val="24"/>
        </w:rPr>
        <w:t>10</w:t>
      </w:r>
      <w:r>
        <w:rPr>
          <w:rFonts w:hint="eastAsia" w:ascii="宋体" w:hAnsi="宋体"/>
          <w:b/>
          <w:sz w:val="24"/>
        </w:rPr>
        <w:t>.2乙方的权利、义务：</w:t>
      </w:r>
    </w:p>
    <w:p>
      <w:pPr>
        <w:numPr>
          <w:ilvl w:val="0"/>
          <w:numId w:val="17"/>
        </w:numPr>
        <w:spacing w:line="360" w:lineRule="auto"/>
        <w:ind w:left="0" w:firstLine="0"/>
        <w:rPr>
          <w:rFonts w:ascii="宋体" w:hAnsi="宋体"/>
          <w:sz w:val="24"/>
        </w:rPr>
      </w:pPr>
      <w:r>
        <w:rPr>
          <w:rFonts w:hint="eastAsia" w:ascii="宋体" w:hAnsi="宋体"/>
          <w:sz w:val="24"/>
        </w:rPr>
        <w:t>根据甲方提供的图纸资料和现场情况制定评估方案，安排评估。</w:t>
      </w:r>
    </w:p>
    <w:p>
      <w:pPr>
        <w:numPr>
          <w:ilvl w:val="0"/>
          <w:numId w:val="17"/>
        </w:numPr>
        <w:spacing w:line="360" w:lineRule="auto"/>
        <w:ind w:left="0" w:firstLine="0"/>
        <w:rPr>
          <w:rFonts w:ascii="宋体" w:hAnsi="宋体"/>
          <w:sz w:val="24"/>
        </w:rPr>
      </w:pPr>
      <w:r>
        <w:rPr>
          <w:rFonts w:hint="eastAsia" w:ascii="宋体" w:hAnsi="宋体"/>
          <w:sz w:val="24"/>
        </w:rPr>
        <w:t>遵守安全操作规程的规定，遵守甲方有关安全要求。</w:t>
      </w:r>
    </w:p>
    <w:p>
      <w:pPr>
        <w:numPr>
          <w:ilvl w:val="0"/>
          <w:numId w:val="17"/>
        </w:numPr>
        <w:spacing w:line="360" w:lineRule="auto"/>
        <w:ind w:left="0" w:firstLine="0"/>
        <w:rPr>
          <w:rFonts w:ascii="宋体" w:hAnsi="宋体"/>
          <w:sz w:val="24"/>
        </w:rPr>
      </w:pPr>
      <w:r>
        <w:rPr>
          <w:rFonts w:hint="eastAsia" w:ascii="宋体" w:hAnsi="宋体"/>
          <w:sz w:val="24"/>
        </w:rPr>
        <w:t>应本着科学、公正、真实的精神，做好评估工作，并保证其评估结论真实、可靠、有效，具有法律效力。</w:t>
      </w:r>
    </w:p>
    <w:p>
      <w:pPr>
        <w:numPr>
          <w:ilvl w:val="0"/>
          <w:numId w:val="17"/>
        </w:numPr>
        <w:spacing w:line="360" w:lineRule="auto"/>
        <w:ind w:left="0" w:firstLine="0"/>
        <w:rPr>
          <w:rFonts w:ascii="宋体" w:hAnsi="宋体"/>
          <w:sz w:val="24"/>
        </w:rPr>
      </w:pPr>
      <w:r>
        <w:rPr>
          <w:rFonts w:hint="eastAsia" w:ascii="宋体" w:hAnsi="宋体"/>
          <w:sz w:val="24"/>
        </w:rPr>
        <w:t>具备消防设施评估的相应资格，依照法律法规、技术标准和执业准则，开展建筑消防设施评估技术服务活动，对评估质量负责。 </w:t>
      </w:r>
    </w:p>
    <w:p>
      <w:pPr>
        <w:numPr>
          <w:ilvl w:val="0"/>
          <w:numId w:val="17"/>
        </w:numPr>
        <w:spacing w:line="360" w:lineRule="auto"/>
        <w:ind w:left="0" w:firstLine="0"/>
        <w:rPr>
          <w:rFonts w:ascii="宋体" w:hAnsi="宋体"/>
          <w:sz w:val="24"/>
        </w:rPr>
      </w:pPr>
      <w:r>
        <w:rPr>
          <w:rFonts w:hint="eastAsia" w:ascii="宋体" w:hAnsi="宋体"/>
          <w:sz w:val="24"/>
        </w:rPr>
        <w:t>通过建筑消防设施评估信息管理系统出具真实、规范的评估报告，由经办人、项目负责人和技术负责人签名，并加盖评估机构印章。</w:t>
      </w:r>
    </w:p>
    <w:p>
      <w:pPr>
        <w:numPr>
          <w:ilvl w:val="0"/>
          <w:numId w:val="17"/>
        </w:numPr>
        <w:spacing w:line="360" w:lineRule="auto"/>
        <w:ind w:left="0" w:firstLine="0"/>
        <w:rPr>
          <w:rFonts w:ascii="宋体" w:hAnsi="宋体"/>
          <w:sz w:val="24"/>
        </w:rPr>
      </w:pPr>
      <w:r>
        <w:rPr>
          <w:rFonts w:hint="eastAsia" w:ascii="宋体" w:hAnsi="宋体"/>
          <w:sz w:val="24"/>
        </w:rPr>
        <w:t>按照合同约定及时向甲方出具评估报告或问题反馈意见书。</w:t>
      </w:r>
    </w:p>
    <w:p>
      <w:pPr>
        <w:numPr>
          <w:ilvl w:val="0"/>
          <w:numId w:val="17"/>
        </w:numPr>
        <w:spacing w:line="360" w:lineRule="auto"/>
        <w:ind w:left="0" w:firstLine="0"/>
        <w:rPr>
          <w:rFonts w:ascii="宋体" w:hAnsi="宋体"/>
          <w:sz w:val="24"/>
        </w:rPr>
      </w:pPr>
      <w:r>
        <w:rPr>
          <w:rFonts w:hint="eastAsia" w:ascii="宋体" w:hAnsi="宋体"/>
          <w:sz w:val="24"/>
        </w:rPr>
        <w:t>评估质量符合国家有关消防规范和消防设施技术评估的检验规程；并保证评估通过后系统的运行满足消防主管部门对系统年审的要求。</w:t>
      </w:r>
    </w:p>
    <w:p>
      <w:pPr>
        <w:numPr>
          <w:ilvl w:val="0"/>
          <w:numId w:val="17"/>
        </w:numPr>
        <w:spacing w:line="360" w:lineRule="auto"/>
        <w:ind w:left="0" w:firstLine="0"/>
        <w:rPr>
          <w:rFonts w:ascii="宋体" w:hAnsi="宋体"/>
          <w:sz w:val="24"/>
        </w:rPr>
      </w:pPr>
      <w:r>
        <w:rPr>
          <w:rFonts w:hint="eastAsia" w:ascii="宋体" w:hAnsi="宋体"/>
          <w:sz w:val="24"/>
        </w:rPr>
        <w:t xml:space="preserve"> 保密义务</w:t>
      </w:r>
    </w:p>
    <w:p>
      <w:pPr>
        <w:numPr>
          <w:ilvl w:val="255"/>
          <w:numId w:val="0"/>
        </w:numPr>
        <w:spacing w:line="360" w:lineRule="auto"/>
        <w:rPr>
          <w:rFonts w:ascii="宋体" w:hAnsi="宋体"/>
          <w:sz w:val="24"/>
        </w:rPr>
      </w:pPr>
      <w:r>
        <w:rPr>
          <w:rFonts w:hint="eastAsia" w:ascii="宋体" w:hAnsi="宋体"/>
          <w:sz w:val="24"/>
        </w:rPr>
        <w:t>10.2.8.1乙方对在本合同履行中获取或者知悉甲方提供的资料、信息负有保密义务。</w:t>
      </w:r>
    </w:p>
    <w:p>
      <w:pPr>
        <w:numPr>
          <w:ilvl w:val="255"/>
          <w:numId w:val="0"/>
        </w:numPr>
        <w:spacing w:line="360" w:lineRule="auto"/>
        <w:rPr>
          <w:rFonts w:ascii="宋体" w:hAnsi="宋体"/>
          <w:sz w:val="24"/>
        </w:rPr>
      </w:pPr>
      <w:r>
        <w:rPr>
          <w:rFonts w:hint="eastAsia" w:ascii="宋体" w:hAnsi="宋体"/>
          <w:sz w:val="24"/>
        </w:rPr>
        <w:t>10.2.8.2乙方不得私自复印、留存、泄漏本合同履行有关的资料、信息。除非依照法律规定或者经甲方书面同意，乙方不得向第三方提供或披露由甲方提供的资料和信息，也不得用于本合同履行以外的其他用途，并保证采取一切合理和必要的措施防止任何第三方接触到甲方的上述资料和信息。</w:t>
      </w:r>
    </w:p>
    <w:p>
      <w:pPr>
        <w:numPr>
          <w:ilvl w:val="255"/>
          <w:numId w:val="0"/>
        </w:numPr>
        <w:spacing w:line="360" w:lineRule="auto"/>
        <w:rPr>
          <w:rFonts w:ascii="宋体" w:hAnsi="宋体"/>
          <w:sz w:val="24"/>
        </w:rPr>
      </w:pPr>
      <w:r>
        <w:rPr>
          <w:rFonts w:hint="eastAsia" w:ascii="宋体" w:hAnsi="宋体"/>
          <w:sz w:val="24"/>
        </w:rPr>
        <w:t>10.2.8.3乙方不得依据本合同所形成的法律关系，在对外公开业绩宣传、宣讲、展示活动中擅自使用甲方单位名称。如乙方确需使用，应事先向甲方提交书面申请，明确使用场合、受众范围、用途情况等必要事项，以及拟公开的相关书面稿件、图片等；未经甲方书面批准，禁止在上述活动中使用甲方单位名称。</w:t>
      </w:r>
    </w:p>
    <w:p>
      <w:pPr>
        <w:numPr>
          <w:ilvl w:val="255"/>
          <w:numId w:val="0"/>
        </w:numPr>
        <w:spacing w:line="360" w:lineRule="auto"/>
        <w:rPr>
          <w:rFonts w:ascii="宋体" w:hAnsi="宋体"/>
          <w:sz w:val="24"/>
        </w:rPr>
      </w:pPr>
      <w:r>
        <w:rPr>
          <w:rFonts w:hint="eastAsia" w:ascii="宋体" w:hAnsi="宋体"/>
          <w:sz w:val="24"/>
        </w:rPr>
        <w:t>10.2.8.4保密期限自本协议签订生效之日起至保密信息被依法公开披露或成为公开信息之日止。合同变更、中止、终止或者解除不视为免除保密义务，乙方仍应当承担保密义务。</w:t>
      </w:r>
    </w:p>
    <w:p>
      <w:pPr>
        <w:spacing w:line="360" w:lineRule="auto"/>
        <w:rPr>
          <w:rFonts w:ascii="宋体" w:hAnsi="宋体"/>
          <w:sz w:val="24"/>
        </w:rPr>
      </w:pPr>
    </w:p>
    <w:p>
      <w:pPr>
        <w:widowControl/>
        <w:numPr>
          <w:ilvl w:val="0"/>
          <w:numId w:val="9"/>
        </w:numPr>
        <w:shd w:val="clear" w:color="auto" w:fill="FFFFFF"/>
        <w:adjustRightInd w:val="0"/>
        <w:spacing w:before="100" w:after="100" w:line="360" w:lineRule="auto"/>
        <w:ind w:hanging="1185"/>
        <w:jc w:val="left"/>
        <w:rPr>
          <w:rFonts w:ascii="宋体" w:hAnsi="宋体" w:cs="宋体"/>
          <w:b/>
          <w:kern w:val="0"/>
          <w:sz w:val="24"/>
        </w:rPr>
      </w:pPr>
      <w:r>
        <w:rPr>
          <w:rFonts w:hint="eastAsia" w:ascii="宋体" w:hAnsi="宋体" w:cs="宋体"/>
          <w:b/>
          <w:kern w:val="0"/>
          <w:sz w:val="24"/>
        </w:rPr>
        <w:t>甲方指定专人为现场配合人员。评估工作中涉及相关消防设施的操作由甲方人员进行。</w:t>
      </w:r>
    </w:p>
    <w:p>
      <w:pPr>
        <w:widowControl/>
        <w:shd w:val="clear" w:color="auto" w:fill="FFFFFF"/>
        <w:adjustRightInd w:val="0"/>
        <w:spacing w:before="100" w:after="100" w:line="360" w:lineRule="auto"/>
        <w:ind w:left="1185"/>
        <w:jc w:val="left"/>
        <w:rPr>
          <w:rFonts w:ascii="宋体" w:hAnsi="宋体" w:cs="宋体"/>
          <w:b/>
          <w:kern w:val="0"/>
          <w:sz w:val="24"/>
        </w:rPr>
      </w:pPr>
    </w:p>
    <w:p>
      <w:pPr>
        <w:widowControl/>
        <w:numPr>
          <w:ilvl w:val="0"/>
          <w:numId w:val="9"/>
        </w:numPr>
        <w:shd w:val="clear" w:color="auto" w:fill="FFFFFF"/>
        <w:adjustRightInd w:val="0"/>
        <w:spacing w:before="100" w:after="100" w:line="360" w:lineRule="auto"/>
        <w:ind w:hanging="1185"/>
        <w:jc w:val="left"/>
        <w:rPr>
          <w:rFonts w:ascii="宋体" w:hAnsi="宋体" w:cs="宋体"/>
          <w:b/>
          <w:kern w:val="0"/>
          <w:sz w:val="24"/>
        </w:rPr>
      </w:pPr>
      <w:r>
        <w:rPr>
          <w:rFonts w:hint="eastAsia" w:ascii="宋体" w:hAnsi="宋体" w:cs="宋体"/>
          <w:b/>
          <w:kern w:val="0"/>
          <w:sz w:val="24"/>
        </w:rPr>
        <w:t>违约责任</w:t>
      </w:r>
    </w:p>
    <w:p>
      <w:pPr>
        <w:tabs>
          <w:tab w:val="left" w:pos="4800"/>
        </w:tabs>
        <w:spacing w:before="240" w:beforeLines="100" w:line="360" w:lineRule="auto"/>
        <w:ind w:left="241" w:hanging="241" w:hangingChars="100"/>
        <w:jc w:val="left"/>
        <w:rPr>
          <w:rFonts w:ascii="宋体" w:hAnsi="宋体"/>
          <w:b/>
          <w:sz w:val="24"/>
        </w:rPr>
      </w:pPr>
      <w:r>
        <w:rPr>
          <w:rFonts w:hint="eastAsia" w:ascii="宋体" w:hAnsi="宋体"/>
          <w:b/>
          <w:sz w:val="24"/>
        </w:rPr>
        <w:t>1</w:t>
      </w:r>
      <w:r>
        <w:rPr>
          <w:rFonts w:ascii="宋体" w:hAnsi="宋体"/>
          <w:b/>
          <w:sz w:val="24"/>
        </w:rPr>
        <w:t>2</w:t>
      </w:r>
      <w:r>
        <w:rPr>
          <w:rFonts w:hint="eastAsia" w:ascii="宋体" w:hAnsi="宋体"/>
          <w:b/>
          <w:sz w:val="24"/>
        </w:rPr>
        <w:t>.1甲方违约</w:t>
      </w:r>
    </w:p>
    <w:p>
      <w:pPr>
        <w:numPr>
          <w:ilvl w:val="1"/>
          <w:numId w:val="18"/>
        </w:numPr>
        <w:spacing w:line="360" w:lineRule="auto"/>
        <w:ind w:left="0" w:firstLine="0"/>
        <w:rPr>
          <w:rFonts w:ascii="宋体" w:hAnsi="宋体"/>
          <w:sz w:val="24"/>
        </w:rPr>
      </w:pPr>
      <w:r>
        <w:rPr>
          <w:rFonts w:hint="eastAsia" w:ascii="宋体" w:hAnsi="宋体"/>
          <w:sz w:val="24"/>
        </w:rPr>
        <w:t>在合同履行期间，甲方要求终止或解除合同，甲方应根据乙方已进行的实际工作量进行结算。</w:t>
      </w:r>
    </w:p>
    <w:p>
      <w:pPr>
        <w:numPr>
          <w:ilvl w:val="1"/>
          <w:numId w:val="18"/>
        </w:numPr>
        <w:spacing w:line="360" w:lineRule="auto"/>
        <w:ind w:left="0" w:firstLine="0"/>
        <w:rPr>
          <w:rFonts w:ascii="宋体" w:hAnsi="宋体"/>
          <w:sz w:val="24"/>
        </w:rPr>
      </w:pPr>
      <w:r>
        <w:rPr>
          <w:rFonts w:hint="eastAsia" w:ascii="宋体" w:hAnsi="宋体"/>
          <w:sz w:val="24"/>
        </w:rPr>
        <w:t>合同签订且收到甲方通知后，乙方工作</w:t>
      </w:r>
      <w:r>
        <w:rPr>
          <w:rFonts w:ascii="宋体" w:hAnsi="宋体"/>
          <w:sz w:val="24"/>
        </w:rPr>
        <w:t>正式开始，如甲方通知延后，</w:t>
      </w:r>
      <w:r>
        <w:rPr>
          <w:rFonts w:hint="eastAsia" w:ascii="宋体" w:hAnsi="宋体"/>
          <w:sz w:val="24"/>
        </w:rPr>
        <w:t>乙方有权推迟工作的开工时间，且交付文件的时间顺延。</w:t>
      </w:r>
    </w:p>
    <w:p>
      <w:pPr>
        <w:numPr>
          <w:ilvl w:val="1"/>
          <w:numId w:val="18"/>
        </w:numPr>
        <w:spacing w:line="360" w:lineRule="auto"/>
        <w:ind w:left="0" w:firstLine="0"/>
        <w:rPr>
          <w:rFonts w:ascii="宋体" w:hAnsi="宋体"/>
          <w:sz w:val="24"/>
        </w:rPr>
      </w:pPr>
      <w:r>
        <w:rPr>
          <w:rFonts w:hint="eastAsia" w:ascii="宋体" w:hAnsi="宋体"/>
          <w:sz w:val="24"/>
        </w:rPr>
        <w:t>甲方应按本合同规定的金额和日期向乙方支付评估费，每逾期支付一天，应承担项目评估费的千分之二的逾期违约金，但违约金金额不高于评估费总额。</w:t>
      </w:r>
    </w:p>
    <w:p>
      <w:pPr>
        <w:numPr>
          <w:ilvl w:val="1"/>
          <w:numId w:val="18"/>
        </w:numPr>
        <w:spacing w:line="360" w:lineRule="auto"/>
        <w:ind w:left="0" w:firstLine="0"/>
        <w:rPr>
          <w:rFonts w:ascii="宋体" w:hAnsi="宋体"/>
          <w:sz w:val="24"/>
        </w:rPr>
      </w:pPr>
      <w:r>
        <w:rPr>
          <w:rFonts w:hint="eastAsia" w:ascii="宋体" w:hAnsi="宋体"/>
          <w:sz w:val="24"/>
        </w:rPr>
        <w:t>如因甲方配合不及时导致评估时间拖延及评估质量问题，造成的损失由甲方承担，并甲方不能因此拖欠乙方评估费用。</w:t>
      </w:r>
    </w:p>
    <w:p>
      <w:pPr>
        <w:tabs>
          <w:tab w:val="left" w:pos="4800"/>
        </w:tabs>
        <w:spacing w:before="240" w:beforeLines="100" w:line="360" w:lineRule="auto"/>
        <w:ind w:left="241" w:hanging="241" w:hangingChars="100"/>
        <w:jc w:val="left"/>
        <w:rPr>
          <w:rFonts w:ascii="宋体" w:hAnsi="宋体"/>
          <w:b/>
          <w:sz w:val="24"/>
        </w:rPr>
      </w:pPr>
      <w:r>
        <w:rPr>
          <w:rFonts w:hint="eastAsia" w:ascii="宋体" w:hAnsi="宋体"/>
          <w:b/>
          <w:sz w:val="24"/>
        </w:rPr>
        <w:t>1</w:t>
      </w:r>
      <w:r>
        <w:rPr>
          <w:rFonts w:ascii="宋体" w:hAnsi="宋体"/>
          <w:b/>
          <w:sz w:val="24"/>
        </w:rPr>
        <w:t>2</w:t>
      </w:r>
      <w:r>
        <w:rPr>
          <w:rFonts w:hint="eastAsia" w:ascii="宋体" w:hAnsi="宋体"/>
          <w:b/>
          <w:sz w:val="24"/>
        </w:rPr>
        <w:t>.2乙方违约</w:t>
      </w:r>
    </w:p>
    <w:p>
      <w:pPr>
        <w:numPr>
          <w:ilvl w:val="1"/>
          <w:numId w:val="19"/>
        </w:numPr>
        <w:spacing w:line="360" w:lineRule="auto"/>
        <w:ind w:left="0" w:firstLine="0"/>
        <w:rPr>
          <w:rFonts w:ascii="宋体" w:hAnsi="宋体"/>
          <w:sz w:val="24"/>
        </w:rPr>
      </w:pPr>
      <w:r>
        <w:rPr>
          <w:rFonts w:hint="eastAsia" w:ascii="宋体" w:hAnsi="宋体"/>
          <w:sz w:val="24"/>
        </w:rPr>
        <w:t>对乙方不按规定履行义务，在评估中弄虚作假的，甲方有权单方解除合同并要求乙方承担评估费总额20%的违约金。</w:t>
      </w:r>
    </w:p>
    <w:p>
      <w:pPr>
        <w:numPr>
          <w:ilvl w:val="1"/>
          <w:numId w:val="19"/>
        </w:numPr>
        <w:spacing w:line="360" w:lineRule="auto"/>
        <w:ind w:left="0" w:firstLine="0"/>
        <w:rPr>
          <w:rFonts w:ascii="宋体" w:hAnsi="宋体"/>
          <w:sz w:val="24"/>
        </w:rPr>
      </w:pPr>
      <w:r>
        <w:rPr>
          <w:rFonts w:hint="eastAsia" w:ascii="宋体" w:hAnsi="宋体"/>
          <w:sz w:val="24"/>
        </w:rPr>
        <w:t>乙方未能依照技术标准和执业准则，导致评估质量问题的，造成的甲方损失，乙方予以赔偿。</w:t>
      </w:r>
    </w:p>
    <w:p>
      <w:pPr>
        <w:numPr>
          <w:ilvl w:val="1"/>
          <w:numId w:val="19"/>
        </w:numPr>
        <w:spacing w:line="360" w:lineRule="auto"/>
        <w:ind w:left="0" w:firstLine="0"/>
        <w:rPr>
          <w:rFonts w:ascii="宋体" w:hAnsi="宋体"/>
          <w:sz w:val="24"/>
        </w:rPr>
      </w:pPr>
      <w:r>
        <w:rPr>
          <w:rFonts w:hint="eastAsia" w:ascii="宋体" w:hAnsi="宋体"/>
          <w:sz w:val="24"/>
        </w:rPr>
        <w:t>乙方</w:t>
      </w:r>
      <w:r>
        <w:rPr>
          <w:rFonts w:ascii="宋体" w:hAnsi="宋体"/>
          <w:sz w:val="24"/>
        </w:rPr>
        <w:t>按照合同约定时间向甲方提交</w:t>
      </w:r>
      <w:r>
        <w:rPr>
          <w:rFonts w:hint="eastAsia" w:ascii="宋体" w:hAnsi="宋体"/>
          <w:sz w:val="24"/>
        </w:rPr>
        <w:t>评估</w:t>
      </w:r>
      <w:r>
        <w:rPr>
          <w:rFonts w:ascii="宋体" w:hAnsi="宋体"/>
          <w:sz w:val="24"/>
        </w:rPr>
        <w:t>报告，每</w:t>
      </w:r>
      <w:r>
        <w:rPr>
          <w:rFonts w:hint="eastAsia" w:ascii="宋体" w:hAnsi="宋体"/>
          <w:sz w:val="24"/>
        </w:rPr>
        <w:t>逾期支付一天，应承担项目费用的千分之二的逾期违约金，逾期超过</w:t>
      </w:r>
      <w:r>
        <w:rPr>
          <w:rFonts w:ascii="宋体" w:hAnsi="宋体"/>
          <w:sz w:val="24"/>
        </w:rPr>
        <w:t>1</w:t>
      </w:r>
      <w:r>
        <w:rPr>
          <w:rFonts w:hint="eastAsia" w:ascii="宋体" w:hAnsi="宋体"/>
          <w:sz w:val="24"/>
        </w:rPr>
        <w:t>0天以上时，甲方有权解除合同，且有权不予向乙方支付任何费用。</w:t>
      </w:r>
    </w:p>
    <w:p>
      <w:pPr>
        <w:numPr>
          <w:ilvl w:val="1"/>
          <w:numId w:val="19"/>
        </w:numPr>
        <w:spacing w:line="360" w:lineRule="auto"/>
        <w:ind w:left="0" w:firstLine="0"/>
        <w:rPr>
          <w:rFonts w:ascii="宋体" w:hAnsi="宋体"/>
          <w:sz w:val="24"/>
        </w:rPr>
      </w:pPr>
      <w:r>
        <w:rPr>
          <w:rFonts w:hint="eastAsia" w:ascii="宋体" w:hAnsi="宋体"/>
          <w:sz w:val="24"/>
        </w:rPr>
        <w:t>乙方应对所出具报告的真实性、合法性及评估结论负责，对乙方不按规定履行义务，在评估中弄虚作假或严重不负责任的，甲方有权解除合同，并要求乙方赔偿甲方由此遭受的损失（包括但不限于赔偿金、诉讼费、保全费、律师费等所有费用）。</w:t>
      </w:r>
    </w:p>
    <w:p>
      <w:pPr>
        <w:numPr>
          <w:ilvl w:val="1"/>
          <w:numId w:val="19"/>
        </w:numPr>
        <w:spacing w:line="360" w:lineRule="auto"/>
        <w:ind w:left="0" w:firstLine="0"/>
        <w:rPr>
          <w:rFonts w:ascii="宋体" w:hAnsi="宋体"/>
          <w:sz w:val="24"/>
        </w:rPr>
      </w:pPr>
      <w:bookmarkStart w:id="48" w:name="_Hlk75014743"/>
      <w:r>
        <w:rPr>
          <w:rFonts w:hint="eastAsia" w:ascii="宋体" w:hAnsi="宋体"/>
          <w:sz w:val="24"/>
        </w:rPr>
        <w:t>乙方违反本合同约定的保密义务，甲方有权要求乙方按合同总价20%支付违约金；造成不良影响或对甲方造成损失的，甲方有权要求乙方消除影响，承担赔偿责任，并有权解除合同。</w:t>
      </w:r>
      <w:bookmarkEnd w:id="48"/>
    </w:p>
    <w:p>
      <w:pPr>
        <w:spacing w:line="360" w:lineRule="auto"/>
        <w:rPr>
          <w:rFonts w:ascii="宋体" w:hAnsi="宋体"/>
          <w:sz w:val="24"/>
        </w:rPr>
      </w:pPr>
    </w:p>
    <w:p>
      <w:pPr>
        <w:widowControl/>
        <w:numPr>
          <w:ilvl w:val="0"/>
          <w:numId w:val="9"/>
        </w:numPr>
        <w:shd w:val="clear" w:color="auto" w:fill="FFFFFF"/>
        <w:adjustRightInd w:val="0"/>
        <w:spacing w:before="100" w:after="100" w:line="360" w:lineRule="auto"/>
        <w:ind w:hanging="1185"/>
        <w:jc w:val="left"/>
        <w:rPr>
          <w:rFonts w:ascii="宋体" w:hAnsi="宋体" w:cs="宋体"/>
          <w:b/>
          <w:kern w:val="0"/>
          <w:sz w:val="24"/>
        </w:rPr>
      </w:pPr>
      <w:r>
        <w:rPr>
          <w:rFonts w:hint="eastAsia" w:ascii="宋体" w:hAnsi="宋体" w:cs="宋体"/>
          <w:b/>
          <w:kern w:val="0"/>
          <w:sz w:val="24"/>
        </w:rPr>
        <w:t>其他：</w:t>
      </w:r>
    </w:p>
    <w:p>
      <w:pPr>
        <w:numPr>
          <w:ilvl w:val="0"/>
          <w:numId w:val="20"/>
        </w:numPr>
        <w:spacing w:line="360" w:lineRule="auto"/>
        <w:ind w:left="0" w:firstLine="0"/>
        <w:rPr>
          <w:rFonts w:ascii="宋体" w:hAnsi="宋体"/>
          <w:sz w:val="24"/>
        </w:rPr>
      </w:pPr>
      <w:r>
        <w:rPr>
          <w:rFonts w:hint="eastAsia" w:ascii="宋体" w:hAnsi="宋体"/>
          <w:sz w:val="24"/>
        </w:rPr>
        <w:t>本合同未尽事宜，经双方共同协商一致后，可签订补充条款，补充条款与本合同具有同等法律效力。</w:t>
      </w:r>
    </w:p>
    <w:p>
      <w:pPr>
        <w:numPr>
          <w:ilvl w:val="0"/>
          <w:numId w:val="20"/>
        </w:numPr>
        <w:spacing w:line="360" w:lineRule="auto"/>
        <w:ind w:left="0" w:firstLine="0"/>
        <w:rPr>
          <w:rFonts w:ascii="宋体" w:hAnsi="宋体"/>
          <w:sz w:val="24"/>
        </w:rPr>
      </w:pPr>
      <w:r>
        <w:rPr>
          <w:rFonts w:hint="eastAsia" w:ascii="宋体" w:hAnsi="宋体"/>
          <w:sz w:val="24"/>
        </w:rPr>
        <w:t>本合同执行中如发生纠纷，双方协商无法达成一致时，可向甲方所在地有管辖权的人民法院起诉。</w:t>
      </w:r>
    </w:p>
    <w:p>
      <w:pPr>
        <w:numPr>
          <w:ilvl w:val="0"/>
          <w:numId w:val="20"/>
        </w:numPr>
        <w:spacing w:line="360" w:lineRule="auto"/>
        <w:ind w:left="0" w:firstLine="0"/>
        <w:rPr>
          <w:rFonts w:ascii="宋体" w:hAnsi="宋体"/>
          <w:sz w:val="24"/>
        </w:rPr>
      </w:pPr>
      <w:r>
        <w:rPr>
          <w:rFonts w:hint="eastAsia" w:ascii="宋体" w:hAnsi="宋体"/>
          <w:sz w:val="24"/>
        </w:rPr>
        <w:t>本合同双方法定代表人或委托代理人签字，单位盖章后即生效。本合同一式肆份，各执贰份，具有同等法律效力。</w:t>
      </w:r>
    </w:p>
    <w:p>
      <w:pPr>
        <w:numPr>
          <w:ilvl w:val="0"/>
          <w:numId w:val="20"/>
        </w:numPr>
        <w:spacing w:line="360" w:lineRule="auto"/>
        <w:ind w:left="0" w:firstLine="0"/>
        <w:rPr>
          <w:rFonts w:ascii="宋体" w:hAnsi="宋体"/>
          <w:sz w:val="24"/>
        </w:rPr>
      </w:pPr>
      <w:r>
        <w:rPr>
          <w:rFonts w:hint="eastAsia" w:ascii="宋体" w:hAnsi="宋体"/>
          <w:sz w:val="24"/>
        </w:rPr>
        <w:t>双方确认位于</w:t>
      </w:r>
      <w:r>
        <w:rPr>
          <w:rFonts w:hint="eastAsia" w:ascii="宋体" w:hAnsi="宋体"/>
          <w:sz w:val="24"/>
          <w:lang w:eastAsia="zh-Hans"/>
        </w:rPr>
        <w:t>合同</w:t>
      </w:r>
      <w:r>
        <w:rPr>
          <w:rFonts w:hint="eastAsia" w:ascii="宋体" w:hAnsi="宋体"/>
          <w:sz w:val="24"/>
        </w:rPr>
        <w:t>尾部的送达地址适用范围包括双方非诉时各类通知、协议等文件以及就合同发生纠纷时法律文书和相关文件的送达。任何一方送达地址需要变更时应当提前3日书面通知对方，未履行通知义务，该地址仍视为有效送达地址。</w:t>
      </w:r>
    </w:p>
    <w:p>
      <w:pPr>
        <w:numPr>
          <w:ilvl w:val="0"/>
          <w:numId w:val="20"/>
        </w:numPr>
        <w:spacing w:line="360" w:lineRule="auto"/>
        <w:ind w:left="0" w:firstLine="0"/>
        <w:rPr>
          <w:rFonts w:ascii="宋体" w:hAnsi="宋体"/>
          <w:sz w:val="24"/>
        </w:rPr>
      </w:pPr>
      <w:r>
        <w:rPr>
          <w:rFonts w:hint="eastAsia" w:ascii="宋体" w:hAnsi="宋体"/>
          <w:sz w:val="24"/>
        </w:rPr>
        <w:t>以下为合同签署页，无正文。</w:t>
      </w:r>
    </w:p>
    <w:p>
      <w:pPr>
        <w:adjustRightInd w:val="0"/>
        <w:snapToGrid w:val="0"/>
        <w:spacing w:after="120" w:afterLines="50" w:line="360" w:lineRule="auto"/>
        <w:ind w:firstLine="480" w:firstLineChars="200"/>
        <w:jc w:val="left"/>
        <w:rPr>
          <w:rFonts w:ascii="宋体" w:hAnsi="宋体"/>
          <w:sz w:val="24"/>
        </w:rPr>
      </w:pPr>
      <w:r>
        <w:rPr>
          <w:rFonts w:ascii="宋体" w:hAnsi="宋体"/>
          <w:sz w:val="24"/>
        </w:rPr>
        <w:br w:type="page"/>
      </w:r>
    </w:p>
    <w:tbl>
      <w:tblPr>
        <w:tblStyle w:val="42"/>
        <w:tblW w:w="9675" w:type="dxa"/>
        <w:jc w:val="center"/>
        <w:tblLayout w:type="fixed"/>
        <w:tblCellMar>
          <w:top w:w="0" w:type="dxa"/>
          <w:left w:w="108" w:type="dxa"/>
          <w:bottom w:w="0" w:type="dxa"/>
          <w:right w:w="108" w:type="dxa"/>
        </w:tblCellMar>
      </w:tblPr>
      <w:tblGrid>
        <w:gridCol w:w="1589"/>
        <w:gridCol w:w="3319"/>
        <w:gridCol w:w="1620"/>
        <w:gridCol w:w="3147"/>
      </w:tblGrid>
      <w:tr>
        <w:tblPrEx>
          <w:tblCellMar>
            <w:top w:w="0" w:type="dxa"/>
            <w:left w:w="108" w:type="dxa"/>
            <w:bottom w:w="0" w:type="dxa"/>
            <w:right w:w="108" w:type="dxa"/>
          </w:tblCellMar>
        </w:tblPrEx>
        <w:trPr>
          <w:trHeight w:val="454" w:hRule="atLeast"/>
          <w:jc w:val="center"/>
        </w:trPr>
        <w:tc>
          <w:tcPr>
            <w:tcW w:w="1589" w:type="dxa"/>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rPr>
              <w:t>甲方名称：</w:t>
            </w:r>
          </w:p>
        </w:tc>
        <w:tc>
          <w:tcPr>
            <w:tcW w:w="3319" w:type="dxa"/>
            <w:vAlign w:val="center"/>
          </w:tcPr>
          <w:p>
            <w:pPr>
              <w:widowControl/>
              <w:adjustRightInd w:val="0"/>
              <w:spacing w:before="100" w:after="100" w:line="360" w:lineRule="auto"/>
              <w:jc w:val="left"/>
              <w:rPr>
                <w:rFonts w:ascii="宋体" w:hAnsi="宋体" w:cs="宋体"/>
                <w:kern w:val="0"/>
                <w:sz w:val="24"/>
              </w:rPr>
            </w:pPr>
          </w:p>
        </w:tc>
        <w:tc>
          <w:tcPr>
            <w:tcW w:w="1620" w:type="dxa"/>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乙方名称：</w:t>
            </w:r>
          </w:p>
        </w:tc>
        <w:tc>
          <w:tcPr>
            <w:tcW w:w="3147" w:type="dxa"/>
            <w:vAlign w:val="bottom"/>
          </w:tcPr>
          <w:p>
            <w:pPr>
              <w:widowControl/>
              <w:adjustRightInd w:val="0"/>
              <w:spacing w:before="100" w:after="100" w:line="360" w:lineRule="auto"/>
              <w:jc w:val="left"/>
              <w:rPr>
                <w:rFonts w:ascii="宋体" w:hAnsi="宋体" w:cs="宋体"/>
                <w:kern w:val="0"/>
                <w:sz w:val="24"/>
              </w:rPr>
            </w:pPr>
          </w:p>
        </w:tc>
      </w:tr>
      <w:tr>
        <w:tblPrEx>
          <w:tblCellMar>
            <w:top w:w="0" w:type="dxa"/>
            <w:left w:w="108" w:type="dxa"/>
            <w:bottom w:w="0" w:type="dxa"/>
            <w:right w:w="108" w:type="dxa"/>
          </w:tblCellMar>
        </w:tblPrEx>
        <w:trPr>
          <w:trHeight w:val="592" w:hRule="atLeast"/>
          <w:jc w:val="center"/>
        </w:trPr>
        <w:tc>
          <w:tcPr>
            <w:tcW w:w="1589" w:type="dxa"/>
            <w:vAlign w:val="bottom"/>
          </w:tcPr>
          <w:p>
            <w:pPr>
              <w:widowControl/>
              <w:adjustRightInd w:val="0"/>
              <w:spacing w:before="100" w:after="100" w:line="360" w:lineRule="auto"/>
              <w:jc w:val="left"/>
              <w:rPr>
                <w:rFonts w:ascii="宋体" w:hAnsi="宋体" w:cs="宋体"/>
                <w:kern w:val="0"/>
                <w:sz w:val="24"/>
              </w:rPr>
            </w:pPr>
          </w:p>
        </w:tc>
        <w:tc>
          <w:tcPr>
            <w:tcW w:w="3319" w:type="dxa"/>
            <w:vAlign w:val="bottom"/>
          </w:tcPr>
          <w:p>
            <w:pPr>
              <w:widowControl/>
              <w:adjustRightInd w:val="0"/>
              <w:spacing w:before="100" w:after="100" w:line="360" w:lineRule="auto"/>
              <w:jc w:val="left"/>
              <w:rPr>
                <w:rFonts w:ascii="宋体" w:hAnsi="宋体" w:cs="宋体"/>
                <w:kern w:val="0"/>
                <w:sz w:val="24"/>
              </w:rPr>
            </w:pPr>
          </w:p>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(盖章)</w:t>
            </w:r>
          </w:p>
          <w:p>
            <w:pPr>
              <w:widowControl/>
              <w:adjustRightInd w:val="0"/>
              <w:spacing w:before="100" w:after="100" w:line="360" w:lineRule="auto"/>
              <w:jc w:val="left"/>
              <w:rPr>
                <w:rFonts w:ascii="宋体" w:hAnsi="宋体" w:cs="宋体"/>
                <w:kern w:val="0"/>
                <w:sz w:val="24"/>
              </w:rPr>
            </w:pPr>
          </w:p>
        </w:tc>
        <w:tc>
          <w:tcPr>
            <w:tcW w:w="1620" w:type="dxa"/>
            <w:vAlign w:val="bottom"/>
          </w:tcPr>
          <w:p>
            <w:pPr>
              <w:widowControl/>
              <w:adjustRightInd w:val="0"/>
              <w:spacing w:before="100" w:after="100" w:line="360" w:lineRule="auto"/>
              <w:jc w:val="right"/>
              <w:rPr>
                <w:rFonts w:ascii="宋体" w:hAnsi="宋体" w:cs="宋体"/>
                <w:kern w:val="0"/>
                <w:sz w:val="24"/>
              </w:rPr>
            </w:pPr>
          </w:p>
        </w:tc>
        <w:tc>
          <w:tcPr>
            <w:tcW w:w="3147" w:type="dxa"/>
            <w:vAlign w:val="bottom"/>
          </w:tcPr>
          <w:p>
            <w:pPr>
              <w:widowControl/>
              <w:adjustRightInd w:val="0"/>
              <w:spacing w:before="100" w:after="100" w:line="360" w:lineRule="auto"/>
              <w:jc w:val="left"/>
              <w:rPr>
                <w:rFonts w:ascii="宋体" w:hAnsi="宋体" w:cs="宋体"/>
                <w:kern w:val="0"/>
                <w:sz w:val="24"/>
              </w:rPr>
            </w:pPr>
          </w:p>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(盖章)</w:t>
            </w:r>
          </w:p>
          <w:p>
            <w:pPr>
              <w:widowControl/>
              <w:adjustRightInd w:val="0"/>
              <w:spacing w:before="100" w:after="100" w:line="360" w:lineRule="auto"/>
              <w:jc w:val="left"/>
              <w:rPr>
                <w:rFonts w:ascii="宋体" w:hAnsi="宋体" w:cs="宋体"/>
                <w:kern w:val="0"/>
                <w:sz w:val="24"/>
              </w:rPr>
            </w:pPr>
          </w:p>
        </w:tc>
      </w:tr>
      <w:tr>
        <w:tblPrEx>
          <w:tblCellMar>
            <w:top w:w="0" w:type="dxa"/>
            <w:left w:w="108" w:type="dxa"/>
            <w:bottom w:w="0" w:type="dxa"/>
            <w:right w:w="108" w:type="dxa"/>
          </w:tblCellMar>
        </w:tblPrEx>
        <w:trPr>
          <w:trHeight w:val="743" w:hRule="atLeast"/>
          <w:jc w:val="center"/>
        </w:trPr>
        <w:tc>
          <w:tcPr>
            <w:tcW w:w="1589" w:type="dxa"/>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法定代表人：</w:t>
            </w:r>
          </w:p>
        </w:tc>
        <w:tc>
          <w:tcPr>
            <w:tcW w:w="3319" w:type="dxa"/>
            <w:vAlign w:val="bottom"/>
          </w:tcPr>
          <w:p>
            <w:pPr>
              <w:widowControl/>
              <w:adjustRightInd w:val="0"/>
              <w:spacing w:before="100" w:after="100" w:line="360" w:lineRule="auto"/>
              <w:jc w:val="left"/>
              <w:rPr>
                <w:rFonts w:ascii="宋体" w:hAnsi="宋体" w:cs="宋体"/>
                <w:kern w:val="0"/>
                <w:sz w:val="24"/>
              </w:rPr>
            </w:pPr>
          </w:p>
        </w:tc>
        <w:tc>
          <w:tcPr>
            <w:tcW w:w="1620" w:type="dxa"/>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法定代表人：</w:t>
            </w:r>
          </w:p>
        </w:tc>
        <w:tc>
          <w:tcPr>
            <w:tcW w:w="3147" w:type="dxa"/>
            <w:vAlign w:val="bottom"/>
          </w:tcPr>
          <w:p>
            <w:pPr>
              <w:widowControl/>
              <w:adjustRightInd w:val="0"/>
              <w:spacing w:before="100" w:after="100" w:line="360" w:lineRule="auto"/>
              <w:jc w:val="left"/>
              <w:rPr>
                <w:rFonts w:ascii="宋体" w:hAnsi="宋体" w:cs="宋体"/>
                <w:kern w:val="0"/>
                <w:sz w:val="24"/>
              </w:rPr>
            </w:pPr>
          </w:p>
        </w:tc>
      </w:tr>
      <w:tr>
        <w:tblPrEx>
          <w:tblCellMar>
            <w:top w:w="0" w:type="dxa"/>
            <w:left w:w="108" w:type="dxa"/>
            <w:bottom w:w="0" w:type="dxa"/>
            <w:right w:w="108" w:type="dxa"/>
          </w:tblCellMar>
        </w:tblPrEx>
        <w:trPr>
          <w:trHeight w:val="634" w:hRule="atLeast"/>
          <w:jc w:val="center"/>
        </w:trPr>
        <w:tc>
          <w:tcPr>
            <w:tcW w:w="1589" w:type="dxa"/>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委托代理人：</w:t>
            </w:r>
          </w:p>
        </w:tc>
        <w:tc>
          <w:tcPr>
            <w:tcW w:w="3319" w:type="dxa"/>
            <w:vAlign w:val="bottom"/>
          </w:tcPr>
          <w:p>
            <w:pPr>
              <w:widowControl/>
              <w:adjustRightInd w:val="0"/>
              <w:spacing w:before="100" w:after="100" w:line="360" w:lineRule="auto"/>
              <w:jc w:val="left"/>
              <w:rPr>
                <w:rFonts w:ascii="宋体" w:hAnsi="宋体" w:cs="宋体"/>
                <w:kern w:val="0"/>
                <w:sz w:val="24"/>
              </w:rPr>
            </w:pPr>
          </w:p>
        </w:tc>
        <w:tc>
          <w:tcPr>
            <w:tcW w:w="1620" w:type="dxa"/>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委托代理人：</w:t>
            </w:r>
          </w:p>
        </w:tc>
        <w:tc>
          <w:tcPr>
            <w:tcW w:w="3147" w:type="dxa"/>
            <w:vAlign w:val="bottom"/>
          </w:tcPr>
          <w:p>
            <w:pPr>
              <w:widowControl/>
              <w:adjustRightInd w:val="0"/>
              <w:spacing w:before="100" w:after="100" w:line="360" w:lineRule="auto"/>
              <w:jc w:val="left"/>
              <w:rPr>
                <w:rFonts w:ascii="宋体" w:hAnsi="宋体" w:cs="宋体"/>
                <w:kern w:val="0"/>
                <w:sz w:val="24"/>
              </w:rPr>
            </w:pPr>
          </w:p>
        </w:tc>
      </w:tr>
      <w:tr>
        <w:tblPrEx>
          <w:tblCellMar>
            <w:top w:w="0" w:type="dxa"/>
            <w:left w:w="108" w:type="dxa"/>
            <w:bottom w:w="0" w:type="dxa"/>
            <w:right w:w="108" w:type="dxa"/>
          </w:tblCellMar>
        </w:tblPrEx>
        <w:trPr>
          <w:trHeight w:val="454" w:hRule="atLeast"/>
          <w:jc w:val="center"/>
        </w:trPr>
        <w:tc>
          <w:tcPr>
            <w:tcW w:w="1589" w:type="dxa"/>
            <w:vAlign w:val="center"/>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住 所：</w:t>
            </w:r>
          </w:p>
        </w:tc>
        <w:tc>
          <w:tcPr>
            <w:tcW w:w="3319" w:type="dxa"/>
            <w:vAlign w:val="bottom"/>
          </w:tcPr>
          <w:p>
            <w:pPr>
              <w:widowControl/>
              <w:adjustRightInd w:val="0"/>
              <w:spacing w:before="100" w:after="100" w:line="360" w:lineRule="auto"/>
              <w:jc w:val="left"/>
              <w:rPr>
                <w:rFonts w:ascii="宋体" w:hAnsi="宋体" w:cs="宋体"/>
                <w:kern w:val="0"/>
                <w:sz w:val="24"/>
              </w:rPr>
            </w:pPr>
          </w:p>
        </w:tc>
        <w:tc>
          <w:tcPr>
            <w:tcW w:w="1620" w:type="dxa"/>
            <w:vAlign w:val="center"/>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住 所：</w:t>
            </w:r>
          </w:p>
        </w:tc>
        <w:tc>
          <w:tcPr>
            <w:tcW w:w="3147" w:type="dxa"/>
            <w:vAlign w:val="bottom"/>
          </w:tcPr>
          <w:p>
            <w:pPr>
              <w:widowControl/>
              <w:adjustRightInd w:val="0"/>
              <w:spacing w:before="100" w:after="100" w:line="360" w:lineRule="auto"/>
              <w:jc w:val="left"/>
              <w:rPr>
                <w:rFonts w:ascii="宋体" w:hAnsi="宋体" w:cs="宋体"/>
                <w:kern w:val="0"/>
                <w:sz w:val="24"/>
              </w:rPr>
            </w:pPr>
          </w:p>
        </w:tc>
      </w:tr>
      <w:tr>
        <w:tblPrEx>
          <w:tblCellMar>
            <w:top w:w="0" w:type="dxa"/>
            <w:left w:w="108" w:type="dxa"/>
            <w:bottom w:w="0" w:type="dxa"/>
            <w:right w:w="108" w:type="dxa"/>
          </w:tblCellMar>
        </w:tblPrEx>
        <w:trPr>
          <w:trHeight w:val="622" w:hRule="atLeast"/>
          <w:jc w:val="center"/>
        </w:trPr>
        <w:tc>
          <w:tcPr>
            <w:tcW w:w="1589" w:type="dxa"/>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邮政编码：</w:t>
            </w:r>
          </w:p>
        </w:tc>
        <w:tc>
          <w:tcPr>
            <w:tcW w:w="3319" w:type="dxa"/>
            <w:vAlign w:val="bottom"/>
          </w:tcPr>
          <w:p>
            <w:pPr>
              <w:widowControl/>
              <w:adjustRightInd w:val="0"/>
              <w:spacing w:before="100" w:after="100" w:line="360" w:lineRule="auto"/>
              <w:jc w:val="left"/>
              <w:rPr>
                <w:rFonts w:ascii="宋体" w:hAnsi="宋体" w:cs="宋体"/>
                <w:kern w:val="0"/>
                <w:sz w:val="24"/>
              </w:rPr>
            </w:pPr>
          </w:p>
        </w:tc>
        <w:tc>
          <w:tcPr>
            <w:tcW w:w="1620" w:type="dxa"/>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邮政编码：</w:t>
            </w:r>
          </w:p>
        </w:tc>
        <w:tc>
          <w:tcPr>
            <w:tcW w:w="3147" w:type="dxa"/>
            <w:vAlign w:val="bottom"/>
          </w:tcPr>
          <w:p>
            <w:pPr>
              <w:widowControl/>
              <w:adjustRightInd w:val="0"/>
              <w:spacing w:before="100" w:after="100" w:line="360" w:lineRule="auto"/>
              <w:jc w:val="left"/>
              <w:rPr>
                <w:rFonts w:ascii="宋体" w:hAnsi="宋体" w:cs="宋体"/>
                <w:kern w:val="0"/>
                <w:sz w:val="24"/>
              </w:rPr>
            </w:pPr>
          </w:p>
        </w:tc>
      </w:tr>
      <w:tr>
        <w:tblPrEx>
          <w:tblCellMar>
            <w:top w:w="0" w:type="dxa"/>
            <w:left w:w="108" w:type="dxa"/>
            <w:bottom w:w="0" w:type="dxa"/>
            <w:right w:w="108" w:type="dxa"/>
          </w:tblCellMar>
        </w:tblPrEx>
        <w:trPr>
          <w:trHeight w:val="787" w:hRule="atLeast"/>
          <w:jc w:val="center"/>
        </w:trPr>
        <w:tc>
          <w:tcPr>
            <w:tcW w:w="1589" w:type="dxa"/>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电 话：</w:t>
            </w:r>
          </w:p>
        </w:tc>
        <w:tc>
          <w:tcPr>
            <w:tcW w:w="3319" w:type="dxa"/>
            <w:vAlign w:val="bottom"/>
          </w:tcPr>
          <w:p>
            <w:pPr>
              <w:widowControl/>
              <w:adjustRightInd w:val="0"/>
              <w:spacing w:before="100" w:after="100" w:line="360" w:lineRule="auto"/>
              <w:jc w:val="left"/>
              <w:rPr>
                <w:rFonts w:ascii="宋体" w:hAnsi="宋体" w:cs="宋体"/>
                <w:kern w:val="0"/>
                <w:sz w:val="24"/>
              </w:rPr>
            </w:pPr>
          </w:p>
        </w:tc>
        <w:tc>
          <w:tcPr>
            <w:tcW w:w="1620" w:type="dxa"/>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电 话：</w:t>
            </w:r>
          </w:p>
        </w:tc>
        <w:tc>
          <w:tcPr>
            <w:tcW w:w="3147" w:type="dxa"/>
            <w:vAlign w:val="bottom"/>
          </w:tcPr>
          <w:p>
            <w:pPr>
              <w:widowControl/>
              <w:adjustRightInd w:val="0"/>
              <w:spacing w:before="100" w:after="100" w:line="360" w:lineRule="auto"/>
              <w:jc w:val="left"/>
              <w:rPr>
                <w:rFonts w:ascii="宋体" w:hAnsi="宋体" w:cs="宋体"/>
                <w:kern w:val="0"/>
                <w:sz w:val="24"/>
              </w:rPr>
            </w:pPr>
          </w:p>
        </w:tc>
      </w:tr>
      <w:tr>
        <w:tblPrEx>
          <w:tblCellMar>
            <w:top w:w="0" w:type="dxa"/>
            <w:left w:w="108" w:type="dxa"/>
            <w:bottom w:w="0" w:type="dxa"/>
            <w:right w:w="108" w:type="dxa"/>
          </w:tblCellMar>
        </w:tblPrEx>
        <w:trPr>
          <w:trHeight w:val="612" w:hRule="atLeast"/>
          <w:jc w:val="center"/>
        </w:trPr>
        <w:tc>
          <w:tcPr>
            <w:tcW w:w="1589" w:type="dxa"/>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传 真：</w:t>
            </w:r>
          </w:p>
        </w:tc>
        <w:tc>
          <w:tcPr>
            <w:tcW w:w="3319" w:type="dxa"/>
            <w:vAlign w:val="bottom"/>
          </w:tcPr>
          <w:p>
            <w:pPr>
              <w:widowControl/>
              <w:adjustRightInd w:val="0"/>
              <w:spacing w:before="100" w:after="100" w:line="360" w:lineRule="auto"/>
              <w:jc w:val="left"/>
              <w:rPr>
                <w:rFonts w:ascii="宋体" w:hAnsi="宋体" w:cs="宋体"/>
                <w:kern w:val="0"/>
                <w:sz w:val="24"/>
              </w:rPr>
            </w:pPr>
          </w:p>
        </w:tc>
        <w:tc>
          <w:tcPr>
            <w:tcW w:w="1620" w:type="dxa"/>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传 真：</w:t>
            </w:r>
          </w:p>
        </w:tc>
        <w:tc>
          <w:tcPr>
            <w:tcW w:w="3147" w:type="dxa"/>
            <w:vAlign w:val="bottom"/>
          </w:tcPr>
          <w:p>
            <w:pPr>
              <w:widowControl/>
              <w:adjustRightInd w:val="0"/>
              <w:spacing w:before="100" w:after="100" w:line="360" w:lineRule="auto"/>
              <w:jc w:val="left"/>
              <w:rPr>
                <w:rFonts w:ascii="宋体" w:hAnsi="宋体" w:cs="宋体"/>
                <w:kern w:val="0"/>
                <w:sz w:val="24"/>
              </w:rPr>
            </w:pPr>
          </w:p>
        </w:tc>
      </w:tr>
      <w:tr>
        <w:tblPrEx>
          <w:tblCellMar>
            <w:top w:w="0" w:type="dxa"/>
            <w:left w:w="108" w:type="dxa"/>
            <w:bottom w:w="0" w:type="dxa"/>
            <w:right w:w="108" w:type="dxa"/>
          </w:tblCellMar>
        </w:tblPrEx>
        <w:trPr>
          <w:trHeight w:val="776" w:hRule="atLeast"/>
          <w:jc w:val="center"/>
        </w:trPr>
        <w:tc>
          <w:tcPr>
            <w:tcW w:w="1589" w:type="dxa"/>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开户银行：</w:t>
            </w:r>
          </w:p>
        </w:tc>
        <w:tc>
          <w:tcPr>
            <w:tcW w:w="3319" w:type="dxa"/>
            <w:vAlign w:val="bottom"/>
          </w:tcPr>
          <w:p>
            <w:pPr>
              <w:widowControl/>
              <w:adjustRightInd w:val="0"/>
              <w:spacing w:before="100" w:after="100" w:line="360" w:lineRule="auto"/>
              <w:jc w:val="left"/>
              <w:rPr>
                <w:rFonts w:ascii="宋体" w:hAnsi="宋体" w:cs="宋体"/>
                <w:kern w:val="0"/>
                <w:sz w:val="24"/>
              </w:rPr>
            </w:pPr>
          </w:p>
        </w:tc>
        <w:tc>
          <w:tcPr>
            <w:tcW w:w="1620" w:type="dxa"/>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开户银行：</w:t>
            </w:r>
          </w:p>
        </w:tc>
        <w:tc>
          <w:tcPr>
            <w:tcW w:w="3147" w:type="dxa"/>
            <w:vAlign w:val="bottom"/>
          </w:tcPr>
          <w:p>
            <w:pPr>
              <w:widowControl/>
              <w:adjustRightInd w:val="0"/>
              <w:spacing w:before="100" w:after="100" w:line="360" w:lineRule="auto"/>
              <w:jc w:val="left"/>
              <w:rPr>
                <w:rFonts w:ascii="宋体" w:hAnsi="宋体" w:cs="宋体"/>
                <w:kern w:val="0"/>
                <w:sz w:val="24"/>
              </w:rPr>
            </w:pPr>
          </w:p>
        </w:tc>
      </w:tr>
      <w:tr>
        <w:tblPrEx>
          <w:tblCellMar>
            <w:top w:w="0" w:type="dxa"/>
            <w:left w:w="108" w:type="dxa"/>
            <w:bottom w:w="0" w:type="dxa"/>
            <w:right w:w="108" w:type="dxa"/>
          </w:tblCellMar>
        </w:tblPrEx>
        <w:trPr>
          <w:trHeight w:val="941" w:hRule="atLeast"/>
          <w:jc w:val="center"/>
        </w:trPr>
        <w:tc>
          <w:tcPr>
            <w:tcW w:w="1589" w:type="dxa"/>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银行账号：</w:t>
            </w:r>
          </w:p>
        </w:tc>
        <w:tc>
          <w:tcPr>
            <w:tcW w:w="3319" w:type="dxa"/>
            <w:vAlign w:val="bottom"/>
          </w:tcPr>
          <w:p>
            <w:pPr>
              <w:widowControl/>
              <w:adjustRightInd w:val="0"/>
              <w:spacing w:before="100" w:after="100" w:line="360" w:lineRule="auto"/>
              <w:jc w:val="left"/>
              <w:rPr>
                <w:rFonts w:ascii="宋体" w:hAnsi="宋体" w:cs="宋体"/>
                <w:kern w:val="0"/>
                <w:sz w:val="24"/>
              </w:rPr>
            </w:pPr>
          </w:p>
        </w:tc>
        <w:tc>
          <w:tcPr>
            <w:tcW w:w="1620" w:type="dxa"/>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银行账号：</w:t>
            </w:r>
          </w:p>
        </w:tc>
        <w:tc>
          <w:tcPr>
            <w:tcW w:w="3147" w:type="dxa"/>
            <w:vAlign w:val="bottom"/>
          </w:tcPr>
          <w:p>
            <w:pPr>
              <w:widowControl/>
              <w:adjustRightInd w:val="0"/>
              <w:spacing w:before="100" w:after="100" w:line="360" w:lineRule="auto"/>
              <w:jc w:val="left"/>
              <w:rPr>
                <w:rFonts w:ascii="宋体" w:hAnsi="宋体" w:cs="宋体"/>
                <w:kern w:val="0"/>
                <w:sz w:val="24"/>
              </w:rPr>
            </w:pPr>
          </w:p>
        </w:tc>
      </w:tr>
      <w:tr>
        <w:tblPrEx>
          <w:tblCellMar>
            <w:top w:w="0" w:type="dxa"/>
            <w:left w:w="108" w:type="dxa"/>
            <w:bottom w:w="0" w:type="dxa"/>
            <w:right w:w="108" w:type="dxa"/>
          </w:tblCellMar>
        </w:tblPrEx>
        <w:trPr>
          <w:trHeight w:val="941" w:hRule="atLeast"/>
          <w:jc w:val="center"/>
        </w:trPr>
        <w:tc>
          <w:tcPr>
            <w:tcW w:w="4908" w:type="dxa"/>
            <w:gridSpan w:val="2"/>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建设行政主管部门备案：</w:t>
            </w:r>
          </w:p>
        </w:tc>
        <w:tc>
          <w:tcPr>
            <w:tcW w:w="1620" w:type="dxa"/>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鉴证意见：</w:t>
            </w:r>
          </w:p>
        </w:tc>
        <w:tc>
          <w:tcPr>
            <w:tcW w:w="3147" w:type="dxa"/>
            <w:vAlign w:val="bottom"/>
          </w:tcPr>
          <w:p>
            <w:pPr>
              <w:widowControl/>
              <w:adjustRightInd w:val="0"/>
              <w:spacing w:before="100" w:after="100" w:line="360" w:lineRule="auto"/>
              <w:jc w:val="left"/>
              <w:rPr>
                <w:rFonts w:ascii="宋体" w:hAnsi="宋体" w:cs="宋体"/>
                <w:kern w:val="0"/>
                <w:sz w:val="24"/>
              </w:rPr>
            </w:pPr>
          </w:p>
        </w:tc>
      </w:tr>
    </w:tbl>
    <w:p/>
    <w:p/>
    <w:p/>
    <w:p/>
    <w:p/>
    <w:p/>
    <w:p>
      <w:pPr>
        <w:rPr>
          <w:sz w:val="28"/>
          <w:szCs w:val="28"/>
        </w:rPr>
      </w:pPr>
      <w:r>
        <w:rPr>
          <w:rFonts w:hint="eastAsia"/>
          <w:sz w:val="28"/>
          <w:szCs w:val="28"/>
        </w:rPr>
        <w:br w:type="page"/>
      </w:r>
    </w:p>
    <w:p>
      <w:pPr>
        <w:pStyle w:val="7"/>
        <w:spacing w:before="120" w:beforeLines="50" w:after="120" w:afterLines="50"/>
        <w:rPr>
          <w:sz w:val="28"/>
          <w:szCs w:val="28"/>
        </w:rPr>
      </w:pPr>
      <w:r>
        <w:rPr>
          <w:rFonts w:hint="eastAsia"/>
          <w:sz w:val="28"/>
          <w:szCs w:val="28"/>
        </w:rPr>
        <w:t>第二册  通用条款（公开征集）</w:t>
      </w:r>
    </w:p>
    <w:p>
      <w:pPr>
        <w:pStyle w:val="78"/>
        <w:keepNext/>
        <w:keepLines/>
        <w:numPr>
          <w:ilvl w:val="0"/>
          <w:numId w:val="2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bookmarkStart w:id="49" w:name="_Hlk72399513"/>
      <w:bookmarkStart w:id="50" w:name="_Hlk72439706"/>
      <w:r>
        <w:rPr>
          <w:rFonts w:hint="eastAsia" w:asciiTheme="majorHAnsi" w:hAnsiTheme="majorHAnsi" w:eastAsiaTheme="majorEastAsia" w:cstheme="majorBidi"/>
          <w:b/>
          <w:bCs/>
          <w:sz w:val="28"/>
          <w:szCs w:val="28"/>
        </w:rPr>
        <w:t>总则</w:t>
      </w:r>
    </w:p>
    <w:bookmarkEnd w:id="49"/>
    <w:p>
      <w:pPr>
        <w:ind w:firstLine="420" w:firstLineChars="200"/>
        <w:rPr>
          <w:rFonts w:ascii="黑体" w:hAnsi="宋体" w:eastAsia="黑体"/>
          <w:szCs w:val="21"/>
        </w:rPr>
      </w:pPr>
      <w:r>
        <w:rPr>
          <w:rFonts w:hint="eastAsia" w:ascii="黑体" w:hAnsi="宋体" w:eastAsia="黑体"/>
          <w:szCs w:val="21"/>
        </w:rPr>
        <w:t>1. 通用条款说明</w:t>
      </w:r>
    </w:p>
    <w:p>
      <w:pPr>
        <w:ind w:firstLine="420" w:firstLineChars="200"/>
        <w:rPr>
          <w:rFonts w:ascii="宋体" w:hAnsi="宋体"/>
          <w:szCs w:val="21"/>
        </w:rPr>
      </w:pPr>
      <w:r>
        <w:rPr>
          <w:rFonts w:hint="eastAsia" w:ascii="宋体" w:hAnsi="宋体"/>
          <w:szCs w:val="21"/>
        </w:rPr>
        <w:t>1.1政府集中采购机构发出采购文件通用条款版本，列出深圳市自行采购项目进行采购所适用的通用条款内容。</w:t>
      </w:r>
      <w:bookmarkStart w:id="51" w:name="_Hlk72399729"/>
      <w:r>
        <w:rPr>
          <w:rFonts w:hint="eastAsia" w:ascii="宋体" w:hAnsi="宋体"/>
          <w:szCs w:val="21"/>
        </w:rPr>
        <w:t>如有需要，政府集中采购机构可以对通用条款的内容进行补充。</w:t>
      </w:r>
      <w:bookmarkEnd w:id="51"/>
    </w:p>
    <w:p>
      <w:pPr>
        <w:ind w:firstLine="420" w:firstLineChars="200"/>
        <w:rPr>
          <w:rFonts w:ascii="宋体" w:hAnsi="宋体"/>
          <w:szCs w:val="21"/>
        </w:rPr>
      </w:pPr>
      <w:r>
        <w:rPr>
          <w:rFonts w:hint="eastAsia" w:ascii="宋体" w:hAnsi="宋体"/>
          <w:szCs w:val="21"/>
        </w:rPr>
        <w:t>1.2采购文件分为第一册“专用条款”和第二册“通用条款”。</w:t>
      </w:r>
    </w:p>
    <w:p>
      <w:pPr>
        <w:ind w:firstLine="420" w:firstLineChars="200"/>
        <w:rPr>
          <w:rFonts w:ascii="宋体" w:hAnsi="宋体"/>
          <w:szCs w:val="21"/>
        </w:rPr>
      </w:pPr>
      <w:r>
        <w:rPr>
          <w:rFonts w:hint="eastAsia" w:ascii="宋体" w:hAnsi="宋体"/>
          <w:szCs w:val="21"/>
        </w:rPr>
        <w:t>1.3“专用条款”是对本次采购项目的具体要求，包含采购公告、对通用条款的补充内容及其他关键信息、用户需求书、投标文件格式及附件、合同条款及格式等内容。</w:t>
      </w:r>
    </w:p>
    <w:p>
      <w:pPr>
        <w:ind w:firstLine="420" w:firstLineChars="200"/>
        <w:rPr>
          <w:rFonts w:ascii="宋体" w:hAnsi="宋体"/>
          <w:szCs w:val="21"/>
        </w:rPr>
      </w:pPr>
      <w:r>
        <w:rPr>
          <w:rFonts w:hint="eastAsia" w:ascii="宋体" w:hAnsi="宋体"/>
          <w:szCs w:val="21"/>
        </w:rPr>
        <w:t>1.4“通用条款”是适用于自行采购公开征集项目的基础性条款，具有普遍性和通用性。</w:t>
      </w:r>
    </w:p>
    <w:p>
      <w:pPr>
        <w:ind w:firstLine="420" w:firstLineChars="200"/>
        <w:rPr>
          <w:rFonts w:ascii="宋体" w:hAnsi="宋体"/>
          <w:szCs w:val="21"/>
        </w:rPr>
      </w:pPr>
      <w:r>
        <w:rPr>
          <w:rFonts w:hint="eastAsia" w:ascii="宋体" w:hAnsi="宋体"/>
          <w:szCs w:val="21"/>
        </w:rPr>
        <w:t>1.5 “专用条款”和“通用条款”表述不一致或有冲突时，以“专用条款”为准。</w:t>
      </w:r>
    </w:p>
    <w:p>
      <w:pPr>
        <w:ind w:firstLine="420" w:firstLineChars="200"/>
        <w:rPr>
          <w:rFonts w:ascii="黑体" w:hAnsi="宋体" w:eastAsia="黑体"/>
          <w:szCs w:val="21"/>
        </w:rPr>
      </w:pPr>
      <w:r>
        <w:rPr>
          <w:rFonts w:hint="eastAsia" w:ascii="黑体" w:hAnsi="宋体" w:eastAsia="黑体"/>
          <w:szCs w:val="21"/>
        </w:rPr>
        <w:t>2</w:t>
      </w:r>
      <w:r>
        <w:rPr>
          <w:rFonts w:ascii="黑体" w:hAnsi="宋体" w:eastAsia="黑体"/>
          <w:szCs w:val="21"/>
        </w:rPr>
        <w:t>．</w:t>
      </w:r>
      <w:r>
        <w:rPr>
          <w:rFonts w:hint="eastAsia" w:ascii="黑体" w:hAnsi="宋体" w:eastAsia="黑体"/>
          <w:szCs w:val="21"/>
        </w:rPr>
        <w:t>采购说明</w:t>
      </w:r>
    </w:p>
    <w:p>
      <w:pPr>
        <w:ind w:firstLine="422" w:firstLineChars="200"/>
        <w:rPr>
          <w:rFonts w:ascii="宋体" w:hAnsi="宋体"/>
          <w:b/>
          <w:bCs/>
          <w:color w:val="FF0000"/>
          <w:szCs w:val="21"/>
        </w:rPr>
      </w:pPr>
      <w:r>
        <w:rPr>
          <w:rFonts w:hint="eastAsia" w:ascii="宋体" w:hAnsi="宋体"/>
          <w:b/>
          <w:bCs/>
          <w:color w:val="FF0000"/>
          <w:szCs w:val="21"/>
        </w:rPr>
        <w:t>本项目为自行采购项目，参照《深圳经济特区政府采购条例》、《深圳经济特区政府采购条例实施细则》及政府采购其他法律法规，按照采购人内控制度要求，通过公开征集方式确定中标供应商。公开征集，是指在采购代理机构平台公开发布征集文件，市场潜在供应商参加投标，由社会招标代理机构组织采购单位代表、评审专家成立评审组，按照征集文件规定的评审标准进行综合评审并确定中标供应商的采购方式。</w:t>
      </w:r>
    </w:p>
    <w:p>
      <w:pPr>
        <w:ind w:firstLine="420" w:firstLineChars="200"/>
        <w:rPr>
          <w:rFonts w:ascii="黑体" w:hAnsi="宋体" w:eastAsia="黑体"/>
          <w:szCs w:val="21"/>
        </w:rPr>
      </w:pPr>
      <w:r>
        <w:rPr>
          <w:rFonts w:hint="eastAsia" w:ascii="黑体" w:hAnsi="宋体" w:eastAsia="黑体"/>
          <w:szCs w:val="21"/>
        </w:rPr>
        <w:t>3．定义</w:t>
      </w:r>
    </w:p>
    <w:p>
      <w:pPr>
        <w:ind w:firstLine="420" w:firstLineChars="200"/>
        <w:rPr>
          <w:rFonts w:ascii="宋体" w:hAnsi="宋体"/>
          <w:szCs w:val="21"/>
        </w:rPr>
      </w:pPr>
      <w:r>
        <w:rPr>
          <w:rFonts w:hint="eastAsia" w:ascii="宋体" w:hAnsi="宋体"/>
          <w:szCs w:val="21"/>
        </w:rPr>
        <w:t>采购</w:t>
      </w:r>
      <w:r>
        <w:rPr>
          <w:rFonts w:ascii="宋体" w:hAnsi="宋体"/>
          <w:szCs w:val="21"/>
        </w:rPr>
        <w:t>文件中下列术语应解释为：</w:t>
      </w:r>
    </w:p>
    <w:p>
      <w:pPr>
        <w:ind w:firstLine="420" w:firstLineChars="200"/>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w:t>
      </w:r>
      <w:r>
        <w:rPr>
          <w:rFonts w:hint="eastAsia" w:ascii="宋体" w:hAnsi="宋体"/>
          <w:b/>
          <w:bCs/>
          <w:color w:val="FF0000"/>
          <w:szCs w:val="21"/>
        </w:rPr>
        <w:t>自行采购</w:t>
      </w:r>
      <w:r>
        <w:rPr>
          <w:rFonts w:hint="eastAsia" w:ascii="宋体" w:hAnsi="宋体"/>
          <w:szCs w:val="21"/>
        </w:rPr>
        <w:t>的国家机关、事业单位、团体组织；</w:t>
      </w:r>
      <w:r>
        <w:rPr>
          <w:rFonts w:ascii="宋体" w:hAnsi="宋体"/>
          <w:szCs w:val="21"/>
        </w:rPr>
        <w:t xml:space="preserve"> </w:t>
      </w:r>
    </w:p>
    <w:p>
      <w:pPr>
        <w:ind w:firstLine="420" w:firstLineChars="200"/>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是指市政府设立的，组织实施采购项目，并对采购活动提供服务的专门机构；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pPr>
        <w:ind w:firstLine="420" w:firstLineChars="200"/>
        <w:rPr>
          <w:rFonts w:ascii="宋体" w:hAnsi="宋体"/>
          <w:szCs w:val="21"/>
        </w:rPr>
      </w:pPr>
      <w:r>
        <w:rPr>
          <w:rFonts w:hint="eastAsia" w:ascii="宋体" w:hAnsi="宋体"/>
          <w:szCs w:val="21"/>
        </w:rPr>
        <w:t>3.3“投标人”，即供应商，指参加投标竞争并愿意按照采购文件要求向采购人提供货物、工程或者服务的依法成立的法人、其他组织或者自然人；</w:t>
      </w:r>
    </w:p>
    <w:p>
      <w:pPr>
        <w:ind w:firstLine="420" w:firstLineChars="200"/>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3.4“评审委员会”是依据《深圳经济特区政府采购条例》、《深圳经济特区政府采购条例实施细则》等有关规定组建的专门负责本次采购其评审工作的临时性机构；</w:t>
      </w:r>
    </w:p>
    <w:p>
      <w:pPr>
        <w:ind w:firstLine="420" w:firstLineChars="200"/>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pPr>
        <w:ind w:firstLine="420" w:firstLineChars="200"/>
        <w:rPr>
          <w:rFonts w:ascii="宋体" w:hAnsi="宋体"/>
          <w:szCs w:val="21"/>
        </w:rPr>
      </w:pPr>
      <w:r>
        <w:rPr>
          <w:rFonts w:hint="eastAsia" w:ascii="宋体" w:hAnsi="宋体"/>
          <w:szCs w:val="21"/>
        </w:rPr>
        <w:t>3.6“合同”指由本次采购所产生的合同或合约文件；</w:t>
      </w:r>
    </w:p>
    <w:p>
      <w:pPr>
        <w:ind w:firstLine="420" w:firstLineChars="200"/>
        <w:rPr>
          <w:rFonts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提供的深圳政府采购自行采购系统投标文件制作专用软件（以下简称：投标文件制作软件）制作并加密的投标文件,适用于网上投标；（投标文件制作软件可从“下载地址：https://www.szggzy.com/jyfw/details.html?contentId=2053275深圳政府采购自行采购系统投标文件编制工具”下载）</w:t>
      </w:r>
    </w:p>
    <w:p>
      <w:pPr>
        <w:ind w:firstLine="420" w:firstLineChars="200"/>
        <w:rPr>
          <w:rFonts w:ascii="宋体" w:hAnsi="宋体"/>
          <w:szCs w:val="21"/>
        </w:rPr>
      </w:pPr>
      <w:r>
        <w:rPr>
          <w:rFonts w:hint="eastAsia" w:ascii="宋体" w:hAnsi="宋体"/>
          <w:szCs w:val="21"/>
        </w:rPr>
        <w:t>3.8“网上投标”指通过</w:t>
      </w:r>
      <w:r>
        <w:rPr>
          <w:rFonts w:hint="eastAsia" w:ascii="宋体" w:hAnsi="宋体"/>
          <w:b/>
          <w:bCs/>
          <w:color w:val="FF0000"/>
          <w:szCs w:val="21"/>
        </w:rPr>
        <w:t>深圳政府采购自行采购系统</w:t>
      </w:r>
      <w:r>
        <w:rPr>
          <w:rFonts w:hint="eastAsia" w:ascii="宋体" w:hAnsi="宋体"/>
          <w:szCs w:val="21"/>
        </w:rPr>
        <w:t>网站上传电子投标文件；</w:t>
      </w:r>
    </w:p>
    <w:p>
      <w:pPr>
        <w:ind w:firstLine="420" w:firstLineChars="200"/>
        <w:rPr>
          <w:rFonts w:ascii="宋体" w:hAnsi="宋体"/>
          <w:szCs w:val="21"/>
        </w:rPr>
      </w:pPr>
      <w:r>
        <w:rPr>
          <w:rFonts w:hint="eastAsia" w:ascii="宋体" w:hAnsi="宋体"/>
          <w:szCs w:val="21"/>
        </w:rPr>
        <w:t>3.9采购文件中的标题或题名仅起引导作用，而不应视为对采购文件内容的理解和解释。</w:t>
      </w:r>
    </w:p>
    <w:p>
      <w:pPr>
        <w:ind w:firstLine="420" w:firstLineChars="200"/>
        <w:rPr>
          <w:rFonts w:ascii="黑体" w:hAnsi="宋体" w:eastAsia="黑体"/>
          <w:szCs w:val="21"/>
        </w:rPr>
      </w:pPr>
      <w:r>
        <w:rPr>
          <w:rFonts w:hint="eastAsia" w:ascii="黑体" w:hAnsi="宋体" w:eastAsia="黑体"/>
          <w:szCs w:val="21"/>
        </w:rPr>
        <w:t xml:space="preserve">4. </w:t>
      </w:r>
      <w:bookmarkStart w:id="52" w:name="_Hlk72398643"/>
      <w:r>
        <w:rPr>
          <w:rFonts w:hint="eastAsia" w:ascii="黑体" w:hAnsi="宋体" w:eastAsia="黑体"/>
          <w:szCs w:val="21"/>
        </w:rPr>
        <w:t>自行采购供应商责任</w:t>
      </w:r>
    </w:p>
    <w:p>
      <w:pPr>
        <w:ind w:firstLine="420" w:firstLineChars="200"/>
        <w:rPr>
          <w:rFonts w:ascii="宋体" w:hAnsi="宋体"/>
          <w:szCs w:val="21"/>
        </w:rPr>
      </w:pPr>
      <w:r>
        <w:rPr>
          <w:rFonts w:hint="eastAsia" w:ascii="宋体" w:hAnsi="宋体"/>
          <w:szCs w:val="21"/>
        </w:rPr>
        <w:t>4.1欢迎诚信、有实力和有社会责任心的供应商参与自行采购事业。</w:t>
      </w:r>
    </w:p>
    <w:p>
      <w:pPr>
        <w:ind w:firstLine="420" w:firstLineChars="200"/>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ind w:firstLine="420" w:firstLineChars="200"/>
        <w:rPr>
          <w:rFonts w:ascii="黑体" w:hAnsi="宋体" w:eastAsia="黑体"/>
          <w:szCs w:val="21"/>
        </w:rPr>
      </w:pPr>
      <w:r>
        <w:rPr>
          <w:rFonts w:hint="eastAsia" w:ascii="黑体" w:hAnsi="宋体" w:eastAsia="黑体"/>
          <w:szCs w:val="21"/>
        </w:rPr>
        <w:t>5．投标人参加自行采购的条件</w:t>
      </w:r>
    </w:p>
    <w:p>
      <w:pPr>
        <w:ind w:firstLine="420" w:firstLineChars="200"/>
        <w:jc w:val="left"/>
        <w:rPr>
          <w:rFonts w:ascii="宋体" w:hAnsi="宋体"/>
          <w:szCs w:val="21"/>
        </w:rPr>
      </w:pPr>
      <w:r>
        <w:rPr>
          <w:rFonts w:hint="eastAsia" w:ascii="宋体" w:hAnsi="宋体"/>
          <w:szCs w:val="21"/>
        </w:rPr>
        <w:t>5.1投标人应在投标前到</w:t>
      </w:r>
      <w:r>
        <w:rPr>
          <w:rFonts w:hint="eastAsia" w:ascii="宋体" w:hAnsi="宋体"/>
          <w:b/>
          <w:bCs/>
          <w:szCs w:val="21"/>
        </w:rPr>
        <w:t>深圳政府采购自行采购系统（具体在深圳交易集团有限公司政府采购业务分公司进行办理）</w:t>
      </w:r>
      <w:r>
        <w:rPr>
          <w:rFonts w:hint="eastAsia" w:ascii="宋体" w:hAnsi="宋体"/>
          <w:szCs w:val="21"/>
        </w:rPr>
        <w:t>进行注册并办理电子密钥。《深圳政府采购自行采购系统用户操作指引（供应商）》详见www.szggzy.com网站“交易服务指南-政府采购-资料下载”。</w:t>
      </w:r>
    </w:p>
    <w:p>
      <w:pPr>
        <w:ind w:firstLine="420" w:firstLineChars="200"/>
        <w:rPr>
          <w:rFonts w:ascii="宋体" w:hAnsi="宋体"/>
          <w:szCs w:val="21"/>
        </w:rPr>
      </w:pPr>
      <w:r>
        <w:rPr>
          <w:rFonts w:hint="eastAsia" w:ascii="宋体" w:hAnsi="宋体"/>
          <w:szCs w:val="21"/>
        </w:rPr>
        <w:t>5.2投标人资格要求</w:t>
      </w:r>
    </w:p>
    <w:p>
      <w:pPr>
        <w:ind w:firstLine="420" w:firstLineChars="200"/>
        <w:rPr>
          <w:rFonts w:ascii="宋体" w:hAnsi="宋体"/>
          <w:szCs w:val="21"/>
        </w:rPr>
      </w:pPr>
      <w:r>
        <w:rPr>
          <w:rFonts w:hint="eastAsia" w:ascii="宋体" w:hAnsi="宋体"/>
          <w:szCs w:val="21"/>
        </w:rPr>
        <w:t>参加本项目的投标人应具备的资格条件详见本项目采购公告中 “投标人资格要求”的内容。</w:t>
      </w:r>
    </w:p>
    <w:p>
      <w:pPr>
        <w:ind w:firstLine="420" w:firstLineChars="200"/>
        <w:rPr>
          <w:rFonts w:ascii="宋体" w:hAnsi="宋体"/>
          <w:szCs w:val="21"/>
        </w:rPr>
      </w:pPr>
      <w:r>
        <w:rPr>
          <w:rFonts w:hint="eastAsia" w:ascii="宋体" w:hAnsi="宋体"/>
          <w:szCs w:val="21"/>
        </w:rPr>
        <w:t>5.3联合体投标</w:t>
      </w:r>
    </w:p>
    <w:p>
      <w:pPr>
        <w:ind w:firstLine="420" w:firstLineChars="200"/>
        <w:rPr>
          <w:rFonts w:ascii="宋体" w:hAnsi="宋体"/>
          <w:szCs w:val="21"/>
        </w:rPr>
      </w:pPr>
      <w:r>
        <w:rPr>
          <w:rFonts w:hint="eastAsia" w:ascii="宋体" w:hAnsi="宋体"/>
          <w:szCs w:val="21"/>
        </w:rPr>
        <w:t>5.3.1　以下有关联合体投标的条款仅适用于允许投标人组成联合体投标的项目。</w:t>
      </w:r>
    </w:p>
    <w:p>
      <w:pPr>
        <w:ind w:firstLine="420" w:firstLineChars="200"/>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ind w:firstLine="420" w:firstLineChars="200"/>
        <w:rPr>
          <w:rFonts w:ascii="宋体" w:hAnsi="宋体"/>
          <w:szCs w:val="21"/>
        </w:rPr>
      </w:pPr>
      <w:r>
        <w:rPr>
          <w:rFonts w:hint="eastAsia" w:ascii="宋体" w:hAnsi="宋体"/>
          <w:szCs w:val="21"/>
        </w:rPr>
        <w:t>（1）投标联合体各方参加采购活动应当具备下列条件：</w:t>
      </w:r>
      <w:r>
        <w:rPr>
          <w:rFonts w:ascii="宋体" w:hAnsi="宋体"/>
          <w:szCs w:val="21"/>
        </w:rPr>
        <w:t xml:space="preserve"> </w:t>
      </w:r>
    </w:p>
    <w:p>
      <w:pPr>
        <w:ind w:firstLine="420" w:firstLineChars="200"/>
        <w:rPr>
          <w:rFonts w:ascii="宋体" w:hAnsi="宋体"/>
          <w:szCs w:val="21"/>
        </w:rPr>
      </w:pPr>
      <w:r>
        <w:rPr>
          <w:rFonts w:hint="eastAsia" w:ascii="宋体" w:hAnsi="宋体"/>
          <w:szCs w:val="21"/>
        </w:rPr>
        <w:t>1、具有独立承担民事责任的能力；</w:t>
      </w:r>
      <w:r>
        <w:rPr>
          <w:rFonts w:ascii="宋体" w:hAnsi="宋体"/>
          <w:szCs w:val="21"/>
        </w:rPr>
        <w:t xml:space="preserve"> </w:t>
      </w:r>
    </w:p>
    <w:p>
      <w:pPr>
        <w:ind w:firstLine="420" w:firstLineChars="200"/>
        <w:rPr>
          <w:rFonts w:ascii="宋体" w:hAnsi="宋体"/>
          <w:szCs w:val="21"/>
        </w:rPr>
      </w:pPr>
      <w:r>
        <w:rPr>
          <w:rFonts w:hint="eastAsia" w:ascii="宋体" w:hAnsi="宋体"/>
          <w:szCs w:val="21"/>
        </w:rPr>
        <w:t>2、有良好的商业信誉和健全的财务会计制度；</w:t>
      </w:r>
      <w:r>
        <w:rPr>
          <w:rFonts w:ascii="宋体" w:hAnsi="宋体"/>
          <w:szCs w:val="21"/>
        </w:rPr>
        <w:t xml:space="preserve"> </w:t>
      </w:r>
    </w:p>
    <w:p>
      <w:pPr>
        <w:ind w:firstLine="420" w:firstLineChars="200"/>
        <w:rPr>
          <w:rFonts w:ascii="宋体" w:hAnsi="宋体"/>
          <w:szCs w:val="21"/>
        </w:rPr>
      </w:pPr>
      <w:r>
        <w:rPr>
          <w:rFonts w:hint="eastAsia" w:ascii="宋体" w:hAnsi="宋体"/>
          <w:szCs w:val="21"/>
        </w:rPr>
        <w:t>3、具有履行合同所必需的设备和专业技术能力；</w:t>
      </w:r>
      <w:r>
        <w:rPr>
          <w:rFonts w:ascii="宋体" w:hAnsi="宋体"/>
          <w:szCs w:val="21"/>
        </w:rPr>
        <w:t xml:space="preserve"> </w:t>
      </w:r>
    </w:p>
    <w:p>
      <w:pPr>
        <w:ind w:firstLine="420" w:firstLineChars="200"/>
        <w:rPr>
          <w:rFonts w:ascii="宋体" w:hAnsi="宋体"/>
          <w:szCs w:val="21"/>
        </w:rPr>
      </w:pPr>
      <w:r>
        <w:rPr>
          <w:rFonts w:hint="eastAsia" w:ascii="宋体" w:hAnsi="宋体"/>
          <w:szCs w:val="21"/>
        </w:rPr>
        <w:t>4、有依法缴纳税收和社会保障资金的良好记录；</w:t>
      </w:r>
      <w:r>
        <w:rPr>
          <w:rFonts w:ascii="宋体" w:hAnsi="宋体"/>
          <w:szCs w:val="21"/>
        </w:rPr>
        <w:t xml:space="preserve"> </w:t>
      </w:r>
    </w:p>
    <w:p>
      <w:pPr>
        <w:ind w:firstLine="420" w:firstLineChars="200"/>
        <w:rPr>
          <w:rFonts w:ascii="宋体" w:hAnsi="宋体"/>
          <w:szCs w:val="21"/>
        </w:rPr>
      </w:pPr>
      <w:r>
        <w:rPr>
          <w:rFonts w:hint="eastAsia" w:ascii="宋体" w:hAnsi="宋体"/>
          <w:szCs w:val="21"/>
        </w:rPr>
        <w:t>5、参加采购活动前三年内，在经营活动中没有重大违法记录；</w:t>
      </w:r>
      <w:r>
        <w:rPr>
          <w:rFonts w:ascii="宋体" w:hAnsi="宋体"/>
          <w:szCs w:val="21"/>
        </w:rPr>
        <w:t xml:space="preserve"> </w:t>
      </w:r>
    </w:p>
    <w:p>
      <w:pPr>
        <w:ind w:firstLine="420" w:firstLineChars="200"/>
        <w:rPr>
          <w:rFonts w:ascii="宋体" w:hAnsi="宋体"/>
          <w:szCs w:val="21"/>
        </w:rPr>
      </w:pPr>
      <w:r>
        <w:rPr>
          <w:rFonts w:hint="eastAsia" w:ascii="宋体" w:hAnsi="宋体"/>
          <w:szCs w:val="21"/>
        </w:rPr>
        <w:t>6、法律、行政法规规定的其他条件。</w:t>
      </w:r>
      <w:r>
        <w:rPr>
          <w:rFonts w:ascii="宋体" w:hAnsi="宋体"/>
          <w:szCs w:val="21"/>
        </w:rPr>
        <w:t xml:space="preserve"> </w:t>
      </w:r>
    </w:p>
    <w:p>
      <w:pPr>
        <w:ind w:firstLine="420" w:firstLineChars="200"/>
        <w:rPr>
          <w:rFonts w:ascii="宋体" w:hAnsi="宋体"/>
          <w:szCs w:val="21"/>
        </w:rPr>
      </w:pPr>
      <w:r>
        <w:rPr>
          <w:rFonts w:hint="eastAsia" w:ascii="宋体" w:hAnsi="宋体"/>
          <w:szCs w:val="21"/>
        </w:rPr>
        <w:t>（2）在投标截止前，投标联合体各方均应注册成</w:t>
      </w:r>
      <w:r>
        <w:rPr>
          <w:rFonts w:hint="eastAsia" w:ascii="宋体" w:hAnsi="宋体"/>
          <w:b/>
          <w:bCs/>
          <w:color w:val="FF0000"/>
          <w:szCs w:val="21"/>
        </w:rPr>
        <w:t>深圳政府采购自行采购系统</w:t>
      </w:r>
      <w:r>
        <w:rPr>
          <w:rFonts w:hint="eastAsia" w:ascii="宋体" w:hAnsi="宋体"/>
          <w:szCs w:val="21"/>
        </w:rPr>
        <w:t>供应商；</w:t>
      </w:r>
    </w:p>
    <w:p>
      <w:pPr>
        <w:ind w:firstLine="420" w:firstLineChars="200"/>
        <w:rPr>
          <w:rFonts w:ascii="宋体" w:hAnsi="宋体"/>
          <w:szCs w:val="21"/>
        </w:rPr>
      </w:pPr>
      <w:r>
        <w:rPr>
          <w:rFonts w:hint="eastAsia" w:ascii="宋体" w:hAnsi="宋体"/>
          <w:szCs w:val="21"/>
        </w:rPr>
        <w:t>（3）联合体中有同类资质的供应商按照联合体分工承担相同工作的，应当按照资质等级较低的供应商确定资质等级；</w:t>
      </w:r>
    </w:p>
    <w:p>
      <w:pPr>
        <w:ind w:firstLine="420" w:firstLineChars="200"/>
        <w:rPr>
          <w:szCs w:val="21"/>
        </w:rPr>
      </w:pPr>
      <w:r>
        <w:rPr>
          <w:rFonts w:hint="eastAsia"/>
          <w:szCs w:val="21"/>
        </w:rPr>
        <w:t>（4）是否允许联合体参加投标，应当由采购人和采购代理机构根据项目的实际情况和潜在供应商的数量自主决定，如果决定接受联合体投标则应当在采购公告中明示；</w:t>
      </w:r>
    </w:p>
    <w:p>
      <w:pPr>
        <w:ind w:firstLine="420" w:firstLineChars="200"/>
        <w:rPr>
          <w:rFonts w:ascii="宋体" w:hAnsi="宋体"/>
          <w:szCs w:val="21"/>
        </w:rPr>
      </w:pPr>
      <w:r>
        <w:rPr>
          <w:rFonts w:hint="eastAsia" w:ascii="宋体" w:hAnsi="宋体"/>
          <w:szCs w:val="21"/>
        </w:rPr>
        <w:t>（5）投标人的投标文件及中标后签署的合同协议对联合体各方均具法律约束力；</w:t>
      </w:r>
    </w:p>
    <w:p>
      <w:pPr>
        <w:ind w:firstLine="420" w:firstLineChars="200"/>
        <w:rPr>
          <w:rFonts w:ascii="宋体" w:hAnsi="宋体"/>
          <w:szCs w:val="21"/>
        </w:rPr>
      </w:pPr>
      <w:r>
        <w:rPr>
          <w:rFonts w:hint="eastAsia" w:ascii="宋体" w:hAnsi="宋体"/>
          <w:szCs w:val="21"/>
        </w:rPr>
        <w:t>（6）联合体各方应当签订联合体投标协议，明确约定各方拟承担的工作和责任，并将该协议随投标文件一并递交给政府集中采购机构；</w:t>
      </w:r>
    </w:p>
    <w:p>
      <w:pPr>
        <w:ind w:firstLine="420" w:firstLineChars="200"/>
        <w:rPr>
          <w:rFonts w:ascii="宋体" w:hAnsi="宋体"/>
          <w:szCs w:val="21"/>
        </w:rPr>
      </w:pPr>
      <w:r>
        <w:rPr>
          <w:rFonts w:hint="eastAsia" w:ascii="宋体" w:hAnsi="宋体"/>
          <w:szCs w:val="21"/>
        </w:rPr>
        <w:t>（7）联合体中标后，联合体各方应当共同与采购人签订合同，就中标项目向采购人承担连带责任；</w:t>
      </w:r>
    </w:p>
    <w:p>
      <w:pPr>
        <w:ind w:firstLine="420" w:firstLineChars="200"/>
        <w:rPr>
          <w:rFonts w:ascii="宋体" w:hAnsi="宋体"/>
          <w:szCs w:val="21"/>
        </w:rPr>
      </w:pPr>
      <w:r>
        <w:rPr>
          <w:rFonts w:hint="eastAsia" w:ascii="宋体" w:hAnsi="宋体"/>
          <w:szCs w:val="21"/>
        </w:rPr>
        <w:t>（8）以联合体形式参加采购活动的，联合体各方不得再单独参加或者与其他供应商另外组成联合体参加同一合同项下的采购活动，出现上述情况者，其投标和与此有关联合体、总包单位的投标将被拒绝；</w:t>
      </w:r>
    </w:p>
    <w:p>
      <w:pPr>
        <w:ind w:firstLine="420" w:firstLineChars="200"/>
        <w:rPr>
          <w:rFonts w:ascii="宋体" w:hAnsi="宋体"/>
          <w:szCs w:val="21"/>
        </w:rPr>
      </w:pPr>
      <w:r>
        <w:rPr>
          <w:rFonts w:hint="eastAsia" w:ascii="宋体" w:hAnsi="宋体"/>
          <w:szCs w:val="21"/>
        </w:rPr>
        <w:t>（9）本通用条款中“投标人”一词亦指联合体各方，专用条款另有规定或说明的除外。</w:t>
      </w:r>
    </w:p>
    <w:p>
      <w:pPr>
        <w:ind w:firstLine="420" w:firstLineChars="200"/>
        <w:rPr>
          <w:rFonts w:ascii="黑体" w:hAnsi="宋体" w:eastAsia="黑体"/>
          <w:szCs w:val="21"/>
        </w:rPr>
      </w:pPr>
      <w:r>
        <w:rPr>
          <w:rFonts w:hint="eastAsia" w:ascii="黑体" w:hAnsi="宋体" w:eastAsia="黑体"/>
          <w:szCs w:val="21"/>
        </w:rPr>
        <w:t>6．政策导向</w:t>
      </w:r>
    </w:p>
    <w:p>
      <w:pPr>
        <w:ind w:firstLine="420" w:firstLineChars="200"/>
        <w:rPr>
          <w:rFonts w:ascii="宋体" w:hAnsi="宋体"/>
          <w:szCs w:val="21"/>
        </w:rPr>
      </w:pPr>
      <w:r>
        <w:rPr>
          <w:rFonts w:hint="eastAsia" w:ascii="宋体" w:hAnsi="宋体"/>
          <w:szCs w:val="21"/>
        </w:rPr>
        <w:t>6.1</w:t>
      </w:r>
      <w:r>
        <w:rPr>
          <w:rFonts w:ascii="宋体" w:hAnsi="宋体"/>
          <w:szCs w:val="21"/>
        </w:rPr>
        <w:t xml:space="preserve">  </w:t>
      </w:r>
      <w:r>
        <w:rPr>
          <w:rFonts w:hint="eastAsia" w:ascii="宋体" w:hAnsi="宋体"/>
          <w:szCs w:val="21"/>
        </w:rPr>
        <w:t>采购扶持贫困地区、中小企业、监狱企业和残疾人福利性单位发展，支持节能减排、环境保护。</w:t>
      </w:r>
    </w:p>
    <w:p>
      <w:pPr>
        <w:ind w:firstLine="420" w:firstLineChars="200"/>
        <w:rPr>
          <w:szCs w:val="21"/>
          <w:shd w:val="clear" w:color="auto" w:fill="FFFFFF"/>
        </w:rPr>
      </w:pPr>
      <w:r>
        <w:rPr>
          <w:rFonts w:hint="eastAsia" w:ascii="宋体" w:hAnsi="宋体"/>
          <w:szCs w:val="21"/>
        </w:rPr>
        <w:t>6.2</w:t>
      </w:r>
      <w:r>
        <w:rPr>
          <w:rFonts w:ascii="宋体" w:hAnsi="宋体"/>
          <w:szCs w:val="21"/>
        </w:rPr>
        <w:t xml:space="preserve">  </w:t>
      </w:r>
      <w:r>
        <w:rPr>
          <w:rFonts w:hint="eastAsia" w:ascii="宋体" w:hAnsi="宋体"/>
          <w:szCs w:val="21"/>
        </w:rPr>
        <w:t>本项目落实深圳市政府采购供应商诚信管理政策要求。</w:t>
      </w:r>
    </w:p>
    <w:p>
      <w:pPr>
        <w:ind w:firstLine="420" w:firstLineChars="200"/>
        <w:rPr>
          <w:rFonts w:ascii="黑体" w:hAnsi="宋体" w:eastAsia="黑体"/>
          <w:szCs w:val="21"/>
        </w:rPr>
      </w:pPr>
      <w:r>
        <w:rPr>
          <w:rFonts w:hint="eastAsia" w:ascii="黑体" w:hAnsi="宋体" w:eastAsia="黑体"/>
          <w:szCs w:val="21"/>
        </w:rPr>
        <w:t>7. 本项目若涉及采购货物，则合格的货物及相应服务应满足以下要求：</w:t>
      </w:r>
    </w:p>
    <w:p>
      <w:pPr>
        <w:ind w:firstLine="420" w:firstLineChars="200"/>
        <w:rPr>
          <w:rFonts w:ascii="宋体" w:hAnsi="宋体"/>
          <w:szCs w:val="21"/>
        </w:rPr>
      </w:pPr>
      <w:r>
        <w:rPr>
          <w:rFonts w:hint="eastAsia" w:ascii="宋体" w:hAnsi="宋体"/>
          <w:szCs w:val="21"/>
        </w:rPr>
        <w:t>7</w:t>
      </w:r>
      <w:r>
        <w:rPr>
          <w:rFonts w:ascii="宋体" w:hAnsi="宋体"/>
          <w:szCs w:val="21"/>
        </w:rPr>
        <w:t xml:space="preserve">.1  </w:t>
      </w:r>
      <w:r>
        <w:rPr>
          <w:rFonts w:hint="eastAsia" w:ascii="宋体" w:hAnsi="宋体"/>
          <w:szCs w:val="21"/>
        </w:rPr>
        <w:t>必须是全新、未使用过的原装合格正品（包括零部件），如安装或配置了软件的，须为正版软件。</w:t>
      </w:r>
    </w:p>
    <w:p>
      <w:pPr>
        <w:ind w:firstLine="420" w:firstLineChars="200"/>
        <w:rPr>
          <w:rFonts w:ascii="宋体" w:hAnsi="宋体"/>
          <w:szCs w:val="21"/>
        </w:rPr>
      </w:pPr>
      <w:r>
        <w:rPr>
          <w:rFonts w:hint="eastAsia" w:ascii="宋体" w:hAnsi="宋体"/>
          <w:szCs w:val="21"/>
        </w:rPr>
        <w:t>7.2  国产的货物及其有关服务必须符合中华人民共和国的设计、制造生产标准及行业标准。采购公告有其他要求的，亦应符合其要求。</w:t>
      </w:r>
    </w:p>
    <w:p>
      <w:pPr>
        <w:ind w:firstLine="420" w:firstLineChars="200"/>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3</w:t>
      </w:r>
      <w:r>
        <w:rPr>
          <w:rFonts w:ascii="宋体" w:hAnsi="宋体"/>
          <w:szCs w:val="21"/>
        </w:rPr>
        <w:t xml:space="preserve">  </w:t>
      </w:r>
      <w:r>
        <w:rPr>
          <w:rFonts w:hint="eastAsia" w:ascii="宋体" w:hAnsi="宋体"/>
          <w:szCs w:val="21"/>
        </w:rPr>
        <w:t>进口货物及其有关服务必须符合原产地和中华人民共和国的设计、制造生产标准及行业标准。进口的货物必须具有合法的进口手续和途径，并通过中华人民共和国商检部门检验。采购公告有其他要求的，亦应符合其要求。</w:t>
      </w:r>
    </w:p>
    <w:p>
      <w:pPr>
        <w:ind w:firstLine="420" w:firstLineChars="200"/>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4</w:t>
      </w:r>
      <w:r>
        <w:rPr>
          <w:rFonts w:ascii="宋体" w:hAnsi="宋体"/>
          <w:szCs w:val="21"/>
        </w:rPr>
        <w:t xml:space="preserve">  </w:t>
      </w:r>
      <w:r>
        <w:rPr>
          <w:rFonts w:hint="eastAsia" w:ascii="宋体" w:hAnsi="宋体"/>
          <w:szCs w:val="21"/>
        </w:rPr>
        <w:t>投标人</w:t>
      </w:r>
      <w:bookmarkStart w:id="53" w:name="_Hlk72152753"/>
      <w:r>
        <w:rPr>
          <w:rFonts w:hint="eastAsia" w:ascii="宋体" w:hAnsi="宋体"/>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3"/>
    </w:p>
    <w:p>
      <w:pPr>
        <w:ind w:firstLine="420" w:firstLineChars="200"/>
        <w:rPr>
          <w:rFonts w:ascii="宋体" w:hAnsi="宋体"/>
          <w:szCs w:val="21"/>
        </w:rPr>
      </w:pPr>
      <w:r>
        <w:rPr>
          <w:rFonts w:hint="eastAsia" w:ascii="宋体" w:hAnsi="宋体"/>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20" w:firstLineChars="200"/>
        <w:rPr>
          <w:rFonts w:ascii="宋体" w:hAnsi="宋体"/>
          <w:szCs w:val="21"/>
        </w:rPr>
      </w:pPr>
      <w:r>
        <w:rPr>
          <w:rFonts w:hint="eastAsia" w:ascii="宋体" w:hAnsi="宋体"/>
          <w:szCs w:val="21"/>
        </w:rPr>
        <w:t>7.6  工期要求：投标人在投标时对其所投项目应提交交货进度、交货计划等，在合同规定的时间内完成项目实施工作。</w:t>
      </w:r>
    </w:p>
    <w:p>
      <w:pPr>
        <w:ind w:firstLine="420" w:firstLineChars="200"/>
        <w:rPr>
          <w:rFonts w:ascii="宋体" w:hAnsi="宋体"/>
          <w:szCs w:val="21"/>
        </w:rPr>
      </w:pPr>
      <w:r>
        <w:rPr>
          <w:rFonts w:hint="eastAsia" w:ascii="宋体" w:hAnsi="宋体"/>
          <w:szCs w:val="21"/>
        </w:rPr>
        <w:t>7.7  投标人必须承担的设备运输、安装调试、验收检测和提供设备操作说明书、图纸等其他相关及类似的义务。</w:t>
      </w:r>
    </w:p>
    <w:p>
      <w:pPr>
        <w:ind w:firstLine="420" w:firstLineChars="200"/>
        <w:rPr>
          <w:rFonts w:ascii="黑体" w:hAnsi="宋体" w:eastAsia="黑体"/>
          <w:szCs w:val="21"/>
        </w:rPr>
      </w:pPr>
      <w:r>
        <w:rPr>
          <w:rFonts w:hint="eastAsia" w:ascii="黑体" w:hAnsi="宋体" w:eastAsia="黑体"/>
          <w:szCs w:val="21"/>
        </w:rPr>
        <w:t>8．投标费用</w:t>
      </w:r>
    </w:p>
    <w:p>
      <w:pPr>
        <w:ind w:firstLine="420" w:firstLineChars="200"/>
        <w:rPr>
          <w:rFonts w:ascii="宋体" w:hAnsi="宋体"/>
          <w:szCs w:val="21"/>
        </w:rPr>
      </w:pPr>
      <w:r>
        <w:rPr>
          <w:rFonts w:hint="eastAsia" w:ascii="宋体" w:hAnsi="宋体"/>
          <w:szCs w:val="21"/>
        </w:rPr>
        <w:t>不论投标结果如何，投标人应承担其编制投标文件与递交投标文件所涉及的一切费用。</w:t>
      </w:r>
    </w:p>
    <w:p>
      <w:pPr>
        <w:ind w:firstLine="420" w:firstLineChars="200"/>
        <w:rPr>
          <w:rFonts w:ascii="黑体" w:hAnsi="宋体" w:eastAsia="黑体"/>
          <w:szCs w:val="21"/>
        </w:rPr>
      </w:pPr>
      <w:r>
        <w:rPr>
          <w:rFonts w:hint="eastAsia" w:ascii="黑体" w:hAnsi="宋体" w:eastAsia="黑体"/>
          <w:szCs w:val="21"/>
        </w:rPr>
        <w:t>9．踏勘现场</w:t>
      </w:r>
    </w:p>
    <w:p>
      <w:pPr>
        <w:ind w:firstLine="420" w:firstLineChars="200"/>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采购文件所约定的时间、地点踏勘现场。</w:t>
      </w:r>
    </w:p>
    <w:p>
      <w:pPr>
        <w:ind w:firstLine="420" w:firstLineChars="200"/>
        <w:rPr>
          <w:rFonts w:ascii="宋体" w:hAnsi="宋体"/>
          <w:szCs w:val="21"/>
        </w:rPr>
      </w:pPr>
      <w:r>
        <w:rPr>
          <w:rFonts w:hint="eastAsia" w:ascii="宋体" w:hAnsi="宋体"/>
          <w:szCs w:val="21"/>
        </w:rPr>
        <w:t>9.2投标人及其人员经过采购人的允许，可以进入采购人的项目现场踏勘。若采购文件要求投标人于统一时间地点踏勘现场的，投标人应当按时前往。</w:t>
      </w:r>
    </w:p>
    <w:p>
      <w:pPr>
        <w:ind w:firstLine="420" w:firstLineChars="200"/>
        <w:rPr>
          <w:rFonts w:ascii="宋体" w:hAnsi="宋体"/>
          <w:szCs w:val="21"/>
        </w:rPr>
      </w:pPr>
      <w:r>
        <w:rPr>
          <w:rFonts w:hint="eastAsia" w:ascii="宋体" w:hAnsi="宋体"/>
          <w:szCs w:val="21"/>
        </w:rPr>
        <w:t>9.3采购人应当通过政府集中采购机构向投标人提供有关现场的书面资料和数据。</w:t>
      </w:r>
    </w:p>
    <w:p>
      <w:pPr>
        <w:ind w:firstLine="420" w:firstLineChars="200"/>
        <w:rPr>
          <w:rFonts w:ascii="宋体" w:hAnsi="宋体"/>
          <w:szCs w:val="21"/>
        </w:rPr>
      </w:pPr>
      <w:r>
        <w:rPr>
          <w:rFonts w:hint="eastAsia" w:ascii="宋体" w:hAnsi="宋体"/>
          <w:szCs w:val="21"/>
        </w:rPr>
        <w:t>9.4任何人或任何组织在踏勘现场时向投标人提供的任何书面资料或口头承诺，未经政府集中采购机构在网上发布或书面通知，均作无效处理。</w:t>
      </w:r>
    </w:p>
    <w:p>
      <w:pPr>
        <w:ind w:firstLine="420" w:firstLineChars="200"/>
        <w:rPr>
          <w:rFonts w:ascii="宋体" w:hAnsi="宋体"/>
          <w:szCs w:val="21"/>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pPr>
        <w:ind w:firstLine="420" w:firstLineChars="200"/>
        <w:rPr>
          <w:rFonts w:ascii="宋体" w:hAnsi="宋体"/>
          <w:szCs w:val="21"/>
        </w:rPr>
      </w:pPr>
      <w:r>
        <w:rPr>
          <w:rFonts w:hint="eastAsia" w:ascii="黑体" w:hAnsi="宋体" w:eastAsia="黑体"/>
          <w:szCs w:val="21"/>
        </w:rPr>
        <w:t>1</w:t>
      </w:r>
      <w:r>
        <w:rPr>
          <w:rFonts w:ascii="黑体" w:hAnsi="宋体" w:eastAsia="黑体"/>
          <w:szCs w:val="21"/>
        </w:rPr>
        <w:t>0</w:t>
      </w:r>
      <w:r>
        <w:rPr>
          <w:rFonts w:hint="eastAsia" w:ascii="黑体" w:hAnsi="宋体" w:eastAsia="黑体"/>
          <w:szCs w:val="21"/>
        </w:rPr>
        <w:t>．标前会议</w:t>
      </w:r>
    </w:p>
    <w:p>
      <w:pPr>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采购文件规定的时间或政府集中采购机构另行书面通知（包括政府集中采购机构网站发布方式，如更正公告等）的时间和地点，参与标前会议。</w:t>
      </w:r>
    </w:p>
    <w:p>
      <w:pPr>
        <w:ind w:firstLine="420" w:firstLineChars="200"/>
        <w:rPr>
          <w:rFonts w:ascii="宋体" w:hAnsi="宋体"/>
          <w:szCs w:val="21"/>
        </w:rPr>
      </w:pPr>
      <w:r>
        <w:rPr>
          <w:rFonts w:ascii="宋体" w:hAnsi="宋体"/>
          <w:szCs w:val="21"/>
        </w:rPr>
        <w:t>10</w:t>
      </w:r>
      <w:r>
        <w:rPr>
          <w:rFonts w:hint="eastAsia" w:ascii="宋体" w:hAnsi="宋体"/>
          <w:szCs w:val="21"/>
        </w:rPr>
        <w:t>.</w:t>
      </w:r>
      <w:r>
        <w:rPr>
          <w:rFonts w:ascii="宋体" w:hAnsi="宋体"/>
          <w:szCs w:val="21"/>
        </w:rPr>
        <w:t>2</w:t>
      </w:r>
      <w:r>
        <w:rPr>
          <w:rFonts w:hint="eastAsia" w:ascii="宋体" w:hAnsi="宋体"/>
          <w:szCs w:val="21"/>
        </w:rPr>
        <w:t>任何人或任何组织在标前会议时向投标人提供的任何书面资料或口头承诺，未经政府集中采购机构在网上发布或书面通知，均作无效处理。</w:t>
      </w:r>
    </w:p>
    <w:p>
      <w:pPr>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52"/>
    <w:p>
      <w:pPr>
        <w:ind w:firstLine="411" w:firstLineChars="196"/>
        <w:rPr>
          <w:rFonts w:ascii="宋体" w:hAnsi="宋体"/>
        </w:rPr>
      </w:pPr>
    </w:p>
    <w:p>
      <w:pPr>
        <w:pStyle w:val="78"/>
        <w:keepNext/>
        <w:keepLines/>
        <w:numPr>
          <w:ilvl w:val="0"/>
          <w:numId w:val="2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采购文件</w:t>
      </w:r>
    </w:p>
    <w:p>
      <w:pPr>
        <w:ind w:firstLine="420" w:firstLineChars="200"/>
        <w:rPr>
          <w:rFonts w:ascii="黑体" w:hAnsi="宋体" w:eastAsia="黑体"/>
          <w:szCs w:val="21"/>
        </w:rPr>
      </w:pPr>
      <w:r>
        <w:rPr>
          <w:rFonts w:hint="eastAsia" w:ascii="黑体" w:hAnsi="宋体" w:eastAsia="黑体"/>
          <w:szCs w:val="21"/>
        </w:rPr>
        <w:t>1</w:t>
      </w:r>
      <w:r>
        <w:rPr>
          <w:rFonts w:ascii="黑体" w:hAnsi="宋体" w:eastAsia="黑体"/>
          <w:szCs w:val="21"/>
        </w:rPr>
        <w:t>1</w:t>
      </w:r>
      <w:r>
        <w:rPr>
          <w:rFonts w:hint="eastAsia" w:ascii="黑体" w:hAnsi="宋体" w:eastAsia="黑体"/>
          <w:szCs w:val="21"/>
        </w:rPr>
        <w:t>．</w:t>
      </w:r>
      <w:bookmarkStart w:id="54" w:name="_Hlk72399819"/>
      <w:r>
        <w:rPr>
          <w:rFonts w:hint="eastAsia" w:ascii="黑体" w:hAnsi="宋体" w:eastAsia="黑体"/>
          <w:szCs w:val="21"/>
        </w:rPr>
        <w:t>采购文件的编制与组成</w:t>
      </w:r>
    </w:p>
    <w:p>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.1采购文件除以下内容外，政府集中采购机构在采购期间发出的澄清或修改等相关公告或通知内容，均是采购文件的组成部分，对投标人起约束作用；</w:t>
      </w:r>
    </w:p>
    <w:p>
      <w:pPr>
        <w:ind w:firstLine="420" w:firstLineChars="200"/>
        <w:rPr>
          <w:rFonts w:ascii="宋体" w:hAnsi="宋体"/>
          <w:szCs w:val="21"/>
        </w:rPr>
      </w:pPr>
      <w:r>
        <w:rPr>
          <w:rFonts w:hint="eastAsia" w:ascii="宋体" w:hAnsi="宋体"/>
          <w:szCs w:val="21"/>
        </w:rPr>
        <w:t>采购文件包括下列内容：</w:t>
      </w:r>
    </w:p>
    <w:p>
      <w:pPr>
        <w:ind w:firstLine="422" w:firstLineChars="200"/>
        <w:rPr>
          <w:rFonts w:ascii="宋体" w:hAnsi="宋体"/>
          <w:b/>
          <w:szCs w:val="21"/>
        </w:rPr>
      </w:pPr>
      <w:r>
        <w:rPr>
          <w:rFonts w:hint="eastAsia" w:ascii="宋体" w:hAnsi="宋体"/>
          <w:b/>
          <w:szCs w:val="21"/>
        </w:rPr>
        <w:t>第一册  专用条款</w:t>
      </w:r>
    </w:p>
    <w:p>
      <w:pPr>
        <w:ind w:firstLine="422" w:firstLineChars="200"/>
        <w:rPr>
          <w:rFonts w:ascii="宋体" w:hAnsi="宋体"/>
          <w:b/>
          <w:szCs w:val="21"/>
        </w:rPr>
      </w:pPr>
      <w:r>
        <w:rPr>
          <w:rFonts w:hint="eastAsia" w:ascii="宋体" w:hAnsi="宋体"/>
          <w:b/>
          <w:szCs w:val="21"/>
        </w:rPr>
        <w:t>关键信息</w:t>
      </w:r>
    </w:p>
    <w:p>
      <w:pPr>
        <w:ind w:firstLine="420" w:firstLineChars="200"/>
        <w:rPr>
          <w:rFonts w:ascii="宋体" w:hAnsi="宋体"/>
          <w:szCs w:val="21"/>
        </w:rPr>
      </w:pPr>
      <w:r>
        <w:rPr>
          <w:rFonts w:hint="eastAsia" w:ascii="宋体" w:hAnsi="宋体"/>
          <w:szCs w:val="21"/>
        </w:rPr>
        <w:t>第一章  采购公告</w:t>
      </w:r>
    </w:p>
    <w:p>
      <w:pPr>
        <w:ind w:firstLine="420" w:firstLineChars="200"/>
        <w:rPr>
          <w:rFonts w:ascii="宋体" w:hAnsi="宋体"/>
          <w:szCs w:val="21"/>
        </w:rPr>
      </w:pPr>
      <w:r>
        <w:rPr>
          <w:rFonts w:hint="eastAsia" w:ascii="宋体" w:hAnsi="宋体"/>
          <w:szCs w:val="21"/>
        </w:rPr>
        <w:t>第二章  对通用条款的补充内容及其他关键信息</w:t>
      </w:r>
    </w:p>
    <w:p>
      <w:pPr>
        <w:ind w:firstLine="420" w:firstLineChars="200"/>
        <w:rPr>
          <w:rFonts w:ascii="宋体" w:hAnsi="宋体"/>
          <w:szCs w:val="21"/>
        </w:rPr>
      </w:pPr>
      <w:r>
        <w:rPr>
          <w:rFonts w:hint="eastAsia" w:ascii="宋体" w:hAnsi="宋体"/>
          <w:szCs w:val="21"/>
        </w:rPr>
        <w:t>第三章  用户需求书</w:t>
      </w:r>
    </w:p>
    <w:p>
      <w:pPr>
        <w:ind w:firstLine="420" w:firstLineChars="200"/>
        <w:rPr>
          <w:rFonts w:ascii="宋体" w:hAnsi="宋体"/>
          <w:szCs w:val="21"/>
        </w:rPr>
      </w:pPr>
      <w:r>
        <w:rPr>
          <w:rFonts w:hint="eastAsia"/>
          <w:szCs w:val="21"/>
        </w:rPr>
        <w:t xml:space="preserve">第四章 </w:t>
      </w:r>
      <w:r>
        <w:rPr>
          <w:szCs w:val="21"/>
        </w:rPr>
        <w:t xml:space="preserve"> </w:t>
      </w:r>
      <w:r>
        <w:rPr>
          <w:rFonts w:hint="eastAsia"/>
          <w:szCs w:val="21"/>
        </w:rPr>
        <w:t>投标文件格式及附件</w:t>
      </w:r>
    </w:p>
    <w:p>
      <w:pPr>
        <w:ind w:firstLine="420" w:firstLineChars="200"/>
        <w:rPr>
          <w:rFonts w:ascii="宋体" w:hAnsi="宋体"/>
          <w:szCs w:val="21"/>
        </w:rPr>
      </w:pPr>
      <w:r>
        <w:rPr>
          <w:rFonts w:hint="eastAsia" w:ascii="宋体" w:hAnsi="宋体"/>
          <w:szCs w:val="21"/>
        </w:rPr>
        <w:t>第五章  合同条款及格式</w:t>
      </w:r>
    </w:p>
    <w:p>
      <w:pPr>
        <w:ind w:firstLine="422" w:firstLineChars="200"/>
        <w:rPr>
          <w:rFonts w:ascii="宋体" w:hAnsi="宋体"/>
          <w:b/>
          <w:szCs w:val="21"/>
        </w:rPr>
      </w:pPr>
      <w:r>
        <w:rPr>
          <w:rFonts w:hint="eastAsia" w:ascii="宋体" w:hAnsi="宋体"/>
          <w:b/>
          <w:szCs w:val="21"/>
        </w:rPr>
        <w:t>第二册  通用条款</w:t>
      </w:r>
    </w:p>
    <w:p>
      <w:pPr>
        <w:ind w:firstLine="420" w:firstLineChars="200"/>
        <w:rPr>
          <w:rFonts w:ascii="宋体" w:hAnsi="宋体"/>
          <w:szCs w:val="21"/>
        </w:rPr>
      </w:pPr>
      <w:r>
        <w:rPr>
          <w:rFonts w:hint="eastAsia" w:ascii="宋体" w:hAnsi="宋体"/>
          <w:szCs w:val="21"/>
        </w:rPr>
        <w:t>第一章  总则</w:t>
      </w:r>
    </w:p>
    <w:p>
      <w:pPr>
        <w:ind w:firstLine="420" w:firstLineChars="200"/>
        <w:rPr>
          <w:rFonts w:ascii="宋体" w:hAnsi="宋体"/>
          <w:szCs w:val="21"/>
        </w:rPr>
      </w:pPr>
      <w:r>
        <w:rPr>
          <w:rFonts w:hint="eastAsia" w:ascii="宋体" w:hAnsi="宋体"/>
          <w:szCs w:val="21"/>
        </w:rPr>
        <w:t>第二章  采购文件</w:t>
      </w:r>
    </w:p>
    <w:p>
      <w:pPr>
        <w:ind w:firstLine="420" w:firstLineChars="200"/>
        <w:rPr>
          <w:rFonts w:ascii="宋体" w:hAnsi="宋体"/>
          <w:szCs w:val="21"/>
        </w:rPr>
      </w:pPr>
      <w:r>
        <w:rPr>
          <w:rFonts w:hint="eastAsia" w:ascii="宋体" w:hAnsi="宋体"/>
          <w:szCs w:val="21"/>
        </w:rPr>
        <w:t>第三章  投标文件的编制</w:t>
      </w:r>
    </w:p>
    <w:p>
      <w:pPr>
        <w:ind w:firstLine="420" w:firstLineChars="200"/>
        <w:rPr>
          <w:rFonts w:ascii="宋体" w:hAnsi="宋体"/>
          <w:szCs w:val="21"/>
        </w:rPr>
      </w:pPr>
      <w:r>
        <w:rPr>
          <w:rFonts w:hint="eastAsia" w:ascii="宋体" w:hAnsi="宋体"/>
          <w:szCs w:val="21"/>
        </w:rPr>
        <w:t>第四章  投标文件的递交</w:t>
      </w:r>
    </w:p>
    <w:p>
      <w:pPr>
        <w:ind w:firstLine="420" w:firstLineChars="200"/>
        <w:rPr>
          <w:rFonts w:ascii="宋体" w:hAnsi="宋体"/>
          <w:szCs w:val="21"/>
        </w:rPr>
      </w:pPr>
      <w:r>
        <w:rPr>
          <w:rFonts w:hint="eastAsia" w:ascii="宋体" w:hAnsi="宋体"/>
          <w:szCs w:val="21"/>
        </w:rPr>
        <w:t>第五章  开标</w:t>
      </w:r>
    </w:p>
    <w:p>
      <w:pPr>
        <w:ind w:firstLine="420" w:firstLineChars="200"/>
        <w:rPr>
          <w:rFonts w:ascii="宋体" w:hAnsi="宋体"/>
          <w:szCs w:val="21"/>
        </w:rPr>
      </w:pPr>
      <w:r>
        <w:rPr>
          <w:rFonts w:hint="eastAsia" w:ascii="宋体" w:hAnsi="宋体"/>
          <w:szCs w:val="21"/>
        </w:rPr>
        <w:t>第六章  评审要求</w:t>
      </w:r>
    </w:p>
    <w:p>
      <w:pPr>
        <w:ind w:firstLine="420" w:firstLineChars="200"/>
        <w:rPr>
          <w:rFonts w:ascii="宋体" w:hAnsi="宋体"/>
          <w:szCs w:val="21"/>
        </w:rPr>
      </w:pPr>
      <w:r>
        <w:rPr>
          <w:rFonts w:hint="eastAsia" w:ascii="宋体" w:hAnsi="宋体"/>
          <w:szCs w:val="21"/>
        </w:rPr>
        <w:t>第七章  评审程序及评审方法</w:t>
      </w:r>
    </w:p>
    <w:p>
      <w:pPr>
        <w:ind w:firstLine="420" w:firstLineChars="200"/>
        <w:rPr>
          <w:rFonts w:ascii="宋体" w:hAnsi="宋体"/>
          <w:szCs w:val="21"/>
        </w:rPr>
      </w:pPr>
      <w:r>
        <w:rPr>
          <w:rFonts w:hint="eastAsia" w:ascii="宋体" w:hAnsi="宋体"/>
          <w:szCs w:val="21"/>
        </w:rPr>
        <w:t>第八章  定标及公示</w:t>
      </w:r>
    </w:p>
    <w:p>
      <w:pPr>
        <w:ind w:firstLine="420" w:firstLineChars="200"/>
        <w:rPr>
          <w:rFonts w:ascii="宋体" w:hAnsi="宋体"/>
          <w:szCs w:val="21"/>
        </w:rPr>
      </w:pPr>
      <w:r>
        <w:rPr>
          <w:rFonts w:hint="eastAsia" w:ascii="宋体" w:hAnsi="宋体"/>
          <w:szCs w:val="21"/>
        </w:rPr>
        <w:t>第九章  公开征集失败的后续处理</w:t>
      </w:r>
    </w:p>
    <w:p>
      <w:pPr>
        <w:ind w:firstLine="420" w:firstLineChars="200"/>
        <w:rPr>
          <w:rFonts w:ascii="宋体" w:hAnsi="宋体"/>
          <w:szCs w:val="21"/>
        </w:rPr>
      </w:pPr>
      <w:r>
        <w:rPr>
          <w:rFonts w:hint="eastAsia" w:ascii="宋体" w:hAnsi="宋体"/>
          <w:szCs w:val="21"/>
        </w:rPr>
        <w:t>第十章  合同的授予与备案</w:t>
      </w:r>
    </w:p>
    <w:p>
      <w:pPr>
        <w:ind w:firstLine="420" w:firstLineChars="200"/>
        <w:rPr>
          <w:rFonts w:ascii="宋体" w:hAnsi="宋体"/>
          <w:szCs w:val="21"/>
        </w:rPr>
      </w:pPr>
      <w:r>
        <w:rPr>
          <w:rFonts w:hint="eastAsia" w:ascii="宋体" w:hAnsi="宋体"/>
          <w:szCs w:val="21"/>
        </w:rPr>
        <w:t>第十一章  质疑处理</w:t>
      </w:r>
    </w:p>
    <w:p>
      <w:pPr>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采购文件后，应仔细检查采购文件的所有内容，如有疑问应在答疑截止时间之前向政府集中采购机构提出，否则，由此引起的投标损失自负；投标人同时应认真审阅采购文件所有的事项、格式、条款和规范要求等，如果投标人的投标文件未按采购文件要求提交全部资料或者投标文件未对采购文件做出实质性响应，其风险由投标人自行承担。</w:t>
      </w:r>
    </w:p>
    <w:p>
      <w:pPr>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任何人或任何组织向投标人提交的任何书面或口头资料，未经政府集中采购机构在网上发布或书面通知，均作无效处理，不得作为采购文件的组成部分。政府集中采购机构对投标人由此而做出的推论、理解和结论概不负责。</w:t>
      </w:r>
    </w:p>
    <w:p>
      <w:pPr>
        <w:ind w:firstLine="420" w:firstLineChars="200"/>
        <w:rPr>
          <w:rFonts w:ascii="黑体" w:hAnsi="宋体" w:eastAsia="黑体"/>
          <w:szCs w:val="21"/>
        </w:rPr>
      </w:pPr>
      <w:r>
        <w:rPr>
          <w:rFonts w:hint="eastAsia" w:ascii="黑体" w:hAnsi="宋体" w:eastAsia="黑体"/>
          <w:szCs w:val="21"/>
        </w:rPr>
        <w:t>1</w:t>
      </w:r>
      <w:r>
        <w:rPr>
          <w:rFonts w:ascii="黑体" w:hAnsi="宋体" w:eastAsia="黑体"/>
          <w:szCs w:val="21"/>
        </w:rPr>
        <w:t>2</w:t>
      </w:r>
      <w:r>
        <w:rPr>
          <w:rFonts w:hint="eastAsia" w:ascii="黑体" w:hAnsi="宋体" w:eastAsia="黑体"/>
          <w:szCs w:val="21"/>
        </w:rPr>
        <w:t>．采购文件的澄清</w:t>
      </w:r>
    </w:p>
    <w:p>
      <w:pPr>
        <w:ind w:firstLine="42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.1采购文件澄清的目的是澄清、解答投标人在查阅采购文件后或现场踏勘中可能提出的与投标有关的疑问或询问。</w:t>
      </w:r>
    </w:p>
    <w:p>
      <w:pPr>
        <w:ind w:firstLine="420" w:firstLineChars="200"/>
        <w:rPr>
          <w:rFonts w:ascii="宋体" w:hAnsi="宋体"/>
          <w:color w:val="FF0000"/>
          <w:szCs w:val="21"/>
        </w:rPr>
      </w:pPr>
      <w:r>
        <w:rPr>
          <w:rFonts w:hint="eastAsia" w:ascii="宋体" w:hAnsi="宋体"/>
          <w:color w:val="FF0000"/>
          <w:szCs w:val="21"/>
        </w:rPr>
        <w:t>1</w:t>
      </w:r>
      <w:r>
        <w:rPr>
          <w:rFonts w:ascii="宋体" w:hAnsi="宋体"/>
          <w:color w:val="FF0000"/>
          <w:szCs w:val="21"/>
        </w:rPr>
        <w:t>2</w:t>
      </w:r>
      <w:r>
        <w:rPr>
          <w:rFonts w:hint="eastAsia" w:ascii="宋体" w:hAnsi="宋体"/>
          <w:color w:val="FF0000"/>
          <w:szCs w:val="21"/>
        </w:rPr>
        <w:t>.2投标人如对采购文件内容有疑问，应当在采购公告规定的澄清（提问）截止时间前将疑问内容加盖公章书面提交至政府集中采购机构。</w:t>
      </w:r>
    </w:p>
    <w:p>
      <w:pPr>
        <w:ind w:firstLine="42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采购文件进行必要的澄清或是根据投标人的要求对采购文件做出澄清，政府集中采购机构都将在投标截止日期前以书面形式（包括政府集中采购机构网站发布方式）答复或发送给所有投标人。答复内容是采购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pPr>
        <w:ind w:firstLine="420" w:firstLineChars="200"/>
        <w:rPr>
          <w:rFonts w:ascii="黑体" w:hAnsi="宋体" w:eastAsia="黑体"/>
          <w:szCs w:val="21"/>
        </w:rPr>
      </w:pPr>
      <w:r>
        <w:rPr>
          <w:rFonts w:ascii="黑体" w:hAnsi="宋体" w:eastAsia="黑体"/>
          <w:szCs w:val="21"/>
        </w:rPr>
        <w:t>1</w:t>
      </w:r>
      <w:r>
        <w:rPr>
          <w:rFonts w:hint="eastAsia" w:ascii="黑体" w:hAnsi="宋体" w:eastAsia="黑体"/>
          <w:szCs w:val="21"/>
        </w:rPr>
        <w:t>3．采购文件的修改</w:t>
      </w:r>
    </w:p>
    <w:p>
      <w:pPr>
        <w:ind w:firstLine="420" w:firstLineChars="200"/>
        <w:rPr>
          <w:rFonts w:ascii="宋体" w:hAnsi="宋体"/>
          <w:szCs w:val="21"/>
        </w:rPr>
      </w:pPr>
      <w:r>
        <w:rPr>
          <w:rFonts w:ascii="宋体" w:hAnsi="宋体"/>
          <w:szCs w:val="21"/>
        </w:rPr>
        <w:t>1</w:t>
      </w:r>
      <w:r>
        <w:rPr>
          <w:rFonts w:hint="eastAsia" w:ascii="宋体" w:hAnsi="宋体"/>
          <w:szCs w:val="21"/>
        </w:rPr>
        <w:t>3.1采购文件发出后，在投标截止日期前任何时候，确需要变更采购文件内容的，政府集中采购机构可主动或在解答投标人提出的澄清问题时对采购文件进行修改。</w:t>
      </w:r>
    </w:p>
    <w:p>
      <w:pPr>
        <w:ind w:firstLine="420" w:firstLineChars="200"/>
        <w:rPr>
          <w:rFonts w:ascii="宋体" w:hAnsi="宋体"/>
          <w:szCs w:val="21"/>
        </w:rPr>
      </w:pPr>
      <w:r>
        <w:rPr>
          <w:rFonts w:ascii="宋体" w:hAnsi="宋体"/>
          <w:szCs w:val="21"/>
        </w:rPr>
        <w:t>1</w:t>
      </w:r>
      <w:r>
        <w:rPr>
          <w:rFonts w:hint="eastAsia" w:ascii="宋体" w:hAnsi="宋体"/>
          <w:szCs w:val="21"/>
        </w:rPr>
        <w:t>3.2采购文件的修改以书面形式（包括政府集中采购机构网站发布方式，如更正公告等）发送给所有投标人，采购文件的修改内容作为采购文件的组成部分，并具有约束力。</w:t>
      </w:r>
    </w:p>
    <w:p>
      <w:pPr>
        <w:ind w:firstLine="420" w:firstLineChars="200"/>
        <w:rPr>
          <w:rFonts w:ascii="宋体" w:hAnsi="宋体"/>
          <w:szCs w:val="21"/>
        </w:rPr>
      </w:pPr>
      <w:r>
        <w:rPr>
          <w:rFonts w:ascii="宋体" w:hAnsi="宋体"/>
          <w:szCs w:val="21"/>
        </w:rPr>
        <w:t>1</w:t>
      </w:r>
      <w:r>
        <w:rPr>
          <w:rFonts w:hint="eastAsia" w:ascii="宋体" w:hAnsi="宋体"/>
          <w:szCs w:val="21"/>
        </w:rPr>
        <w:t>3.3采购文件、采购文件澄清答复内容、采购文件修改补充内容均以书面形式（包括政府集中采购机构网站公开发布方式，如更正公告等）明确的内容为准。当采购文件、修改补充通知、采购文件澄清答复内容相互矛盾时，以最后发出的内容为准。</w:t>
      </w:r>
    </w:p>
    <w:p>
      <w:pPr>
        <w:ind w:firstLine="420" w:firstLineChars="200"/>
        <w:rPr>
          <w:rFonts w:ascii="宋体" w:hAnsi="宋体"/>
          <w:szCs w:val="21"/>
        </w:rPr>
      </w:pPr>
      <w:r>
        <w:rPr>
          <w:rFonts w:ascii="宋体" w:hAnsi="宋体"/>
          <w:szCs w:val="21"/>
        </w:rPr>
        <w:t>1</w:t>
      </w:r>
      <w:r>
        <w:rPr>
          <w:rFonts w:hint="eastAsia" w:ascii="宋体" w:hAnsi="宋体"/>
          <w:szCs w:val="21"/>
        </w:rPr>
        <w:t>3.4政府集中采购机构保证采购文件澄清答复内容和采购文件修改补充内容在投标截止时间前以书面形式（包括政府集中采购机构网站发布方式，如更正公告等）发送给所有投标人。为使投标人在编制投标文件时有充分时间对采购文件的修改部分进行研究，政府集中采购机构可以酌情延长递交投标文件的截止日期。</w:t>
      </w:r>
      <w:bookmarkEnd w:id="54"/>
    </w:p>
    <w:p>
      <w:pPr>
        <w:rPr>
          <w:rFonts w:ascii="宋体" w:hAnsi="宋体"/>
          <w:szCs w:val="21"/>
        </w:rPr>
      </w:pPr>
    </w:p>
    <w:p>
      <w:pPr>
        <w:pStyle w:val="78"/>
        <w:keepNext/>
        <w:keepLines/>
        <w:numPr>
          <w:ilvl w:val="0"/>
          <w:numId w:val="2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投标文件的编制</w:t>
      </w:r>
    </w:p>
    <w:p>
      <w:pPr>
        <w:ind w:firstLine="420" w:firstLineChars="200"/>
        <w:rPr>
          <w:rFonts w:ascii="黑体" w:hAnsi="宋体" w:eastAsia="黑体"/>
          <w:szCs w:val="21"/>
        </w:rPr>
      </w:pPr>
      <w:r>
        <w:rPr>
          <w:rFonts w:hint="eastAsia" w:ascii="黑体" w:hAnsi="宋体" w:eastAsia="黑体"/>
          <w:szCs w:val="21"/>
        </w:rPr>
        <w:t>14．</w:t>
      </w:r>
      <w:bookmarkStart w:id="55" w:name="_Hlk72400236"/>
      <w:r>
        <w:rPr>
          <w:rFonts w:hint="eastAsia" w:ascii="黑体" w:hAnsi="宋体" w:eastAsia="黑体"/>
          <w:szCs w:val="21"/>
        </w:rPr>
        <w:t>投标文件的语言及度量单位</w:t>
      </w:r>
    </w:p>
    <w:p>
      <w:pPr>
        <w:ind w:firstLine="420" w:firstLineChars="200"/>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pPr>
        <w:ind w:firstLine="420" w:firstLineChars="200"/>
        <w:rPr>
          <w:rFonts w:ascii="宋体" w:hAnsi="宋体"/>
          <w:szCs w:val="21"/>
        </w:rPr>
      </w:pPr>
      <w:r>
        <w:rPr>
          <w:rFonts w:hint="eastAsia" w:ascii="宋体" w:hAnsi="宋体"/>
          <w:szCs w:val="21"/>
        </w:rPr>
        <w:t>14.2 除技术规范另有规定外，投标文件使用的度量单位，均采用中华人民共和国法定计量单位。</w:t>
      </w:r>
    </w:p>
    <w:bookmarkEnd w:id="55"/>
    <w:p>
      <w:pPr>
        <w:ind w:firstLine="420" w:firstLineChars="200"/>
        <w:rPr>
          <w:rFonts w:ascii="黑体" w:hAnsi="宋体" w:eastAsia="黑体"/>
          <w:szCs w:val="21"/>
        </w:rPr>
      </w:pPr>
      <w:r>
        <w:rPr>
          <w:rFonts w:hint="eastAsia" w:ascii="黑体" w:hAnsi="宋体" w:eastAsia="黑体"/>
          <w:szCs w:val="21"/>
        </w:rPr>
        <w:t>15．</w:t>
      </w:r>
      <w:bookmarkStart w:id="56" w:name="_Hlk72401567"/>
      <w:r>
        <w:rPr>
          <w:rFonts w:hint="eastAsia" w:ascii="黑体" w:hAnsi="宋体" w:eastAsia="黑体"/>
          <w:szCs w:val="21"/>
        </w:rPr>
        <w:t>投标文件的组成</w:t>
      </w:r>
    </w:p>
    <w:p>
      <w:pPr>
        <w:ind w:firstLine="420" w:firstLineChars="200"/>
        <w:rPr>
          <w:rFonts w:ascii="宋体" w:hAnsi="宋体"/>
          <w:szCs w:val="21"/>
        </w:rPr>
      </w:pPr>
      <w:r>
        <w:rPr>
          <w:rFonts w:hint="eastAsia" w:ascii="宋体" w:hAnsi="宋体"/>
          <w:szCs w:val="21"/>
        </w:rPr>
        <w:t>具体内容在采购文件专用条款中进行规定。</w:t>
      </w:r>
    </w:p>
    <w:p>
      <w:pPr>
        <w:ind w:firstLine="420" w:firstLineChars="200"/>
        <w:rPr>
          <w:rFonts w:ascii="黑体" w:hAnsi="宋体" w:eastAsia="黑体"/>
          <w:szCs w:val="21"/>
        </w:rPr>
      </w:pPr>
      <w:r>
        <w:rPr>
          <w:rFonts w:ascii="黑体" w:hAnsi="宋体" w:eastAsia="黑体"/>
          <w:szCs w:val="21"/>
        </w:rPr>
        <w:t>16．投标文件格式</w:t>
      </w:r>
    </w:p>
    <w:p>
      <w:pPr>
        <w:ind w:firstLine="420" w:firstLineChars="200"/>
        <w:rPr>
          <w:rFonts w:ascii="宋体" w:hAnsi="宋体"/>
          <w:szCs w:val="21"/>
        </w:rPr>
      </w:pPr>
      <w:r>
        <w:rPr>
          <w:rFonts w:hint="eastAsia" w:ascii="宋体" w:hAnsi="宋体"/>
          <w:szCs w:val="21"/>
        </w:rPr>
        <w:t>投标文件包括本通用条款第</w:t>
      </w:r>
      <w:r>
        <w:rPr>
          <w:rFonts w:ascii="宋体" w:hAnsi="宋体"/>
          <w:szCs w:val="21"/>
        </w:rPr>
        <w:t>15条中规定的内容。如</w:t>
      </w:r>
      <w:r>
        <w:rPr>
          <w:rFonts w:hint="eastAsia" w:ascii="宋体" w:hAnsi="宋体"/>
          <w:szCs w:val="21"/>
        </w:rPr>
        <w:t>采购</w:t>
      </w:r>
      <w:r>
        <w:rPr>
          <w:rFonts w:ascii="宋体" w:hAnsi="宋体"/>
          <w:szCs w:val="21"/>
        </w:rPr>
        <w:t>文件提供了投标文件格式，则</w:t>
      </w:r>
      <w:r>
        <w:rPr>
          <w:rFonts w:hint="eastAsia" w:ascii="宋体" w:hAnsi="宋体"/>
          <w:b/>
          <w:bCs/>
          <w:szCs w:val="21"/>
        </w:rPr>
        <w:t>投标人提交的投标文件应毫无例外地使用采购文件所提供的相应格式</w:t>
      </w:r>
      <w:r>
        <w:rPr>
          <w:rFonts w:hint="eastAsia" w:ascii="宋体" w:hAnsi="宋体"/>
          <w:szCs w:val="21"/>
        </w:rPr>
        <w:t>（表格均可按同样格式扩展）。</w:t>
      </w:r>
    </w:p>
    <w:p>
      <w:pPr>
        <w:ind w:firstLine="420" w:firstLineChars="200"/>
        <w:rPr>
          <w:rFonts w:ascii="黑体" w:hAnsi="宋体" w:eastAsia="黑体"/>
          <w:szCs w:val="21"/>
        </w:rPr>
      </w:pPr>
      <w:r>
        <w:rPr>
          <w:rFonts w:hint="eastAsia" w:ascii="黑体" w:hAnsi="宋体" w:eastAsia="黑体"/>
          <w:szCs w:val="21"/>
        </w:rPr>
        <w:t>17．投标货币</w:t>
      </w:r>
    </w:p>
    <w:p>
      <w:pPr>
        <w:ind w:firstLine="420" w:firstLineChars="200"/>
        <w:rPr>
          <w:rFonts w:ascii="宋体" w:hAnsi="宋体"/>
          <w:szCs w:val="21"/>
        </w:rPr>
      </w:pPr>
      <w:r>
        <w:rPr>
          <w:rFonts w:hint="eastAsia" w:ascii="宋体" w:hAnsi="宋体"/>
          <w:szCs w:val="21"/>
        </w:rPr>
        <w:t>本项目的投标报价应以人民币计。</w:t>
      </w:r>
    </w:p>
    <w:bookmarkEnd w:id="56"/>
    <w:p>
      <w:pPr>
        <w:ind w:firstLine="420" w:firstLineChars="200"/>
        <w:rPr>
          <w:rFonts w:ascii="黑体" w:hAnsi="宋体" w:eastAsia="黑体"/>
          <w:szCs w:val="21"/>
        </w:rPr>
      </w:pPr>
      <w:r>
        <w:rPr>
          <w:rFonts w:hint="eastAsia" w:ascii="黑体" w:hAnsi="宋体" w:eastAsia="黑体"/>
          <w:szCs w:val="21"/>
        </w:rPr>
        <w:t>18．</w:t>
      </w:r>
      <w:bookmarkStart w:id="57" w:name="_Hlk72401735"/>
      <w:r>
        <w:rPr>
          <w:rFonts w:hint="eastAsia" w:ascii="黑体" w:hAnsi="宋体" w:eastAsia="黑体"/>
          <w:szCs w:val="21"/>
        </w:rPr>
        <w:t>证明投标文件投标技术方案的合格性和符合采购文件规定的文件要求</w:t>
      </w:r>
    </w:p>
    <w:p>
      <w:pPr>
        <w:ind w:firstLine="420" w:firstLineChars="200"/>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投标人应提交证明文件，证明其投标技术方案项下的货物和服务的合格性符合采购文件规定。该投标技术方案及其证明文件均作为投标文件组成部分。</w:t>
      </w:r>
    </w:p>
    <w:p>
      <w:pPr>
        <w:ind w:firstLine="420" w:firstLineChars="200"/>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采购文件的要求相一致的文件，可以是文字资料、图纸、数据或数码照片、制造商公布的产品说明书、产品彩页和我国政府机构出具的产品检验和核准证件等，提供的文件应符合以下要求：</w:t>
      </w:r>
    </w:p>
    <w:p>
      <w:pPr>
        <w:ind w:firstLine="420" w:firstLineChars="200"/>
        <w:rPr>
          <w:rFonts w:ascii="宋体" w:hAnsi="宋体"/>
          <w:szCs w:val="21"/>
        </w:rPr>
      </w:pPr>
      <w:r>
        <w:rPr>
          <w:rFonts w:hint="eastAsia" w:ascii="宋体" w:hAnsi="宋体"/>
          <w:szCs w:val="21"/>
        </w:rPr>
        <w:t>18.2.1主要技术指标和性能的详细说明。</w:t>
      </w:r>
    </w:p>
    <w:p>
      <w:pPr>
        <w:ind w:firstLine="420" w:firstLineChars="200"/>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投标产品从采购人开始使用至采购文件中规定的周期内正常、连续地使用所必须的备件和专用工具清单，包括备件和专用工具的货源及现行价格。</w:t>
      </w:r>
    </w:p>
    <w:p>
      <w:pPr>
        <w:ind w:firstLine="420" w:firstLineChars="200"/>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采购文件技术规格，逐条说明投标技术方案已对采购人的技术规格做出了实质性的响应，或申明与技术规格条文的偏差和例外。投标人应详细说明投标技术方案中产品的具体参数，不得不合理照搬照抄采购文件的技术要求。</w:t>
      </w:r>
    </w:p>
    <w:p>
      <w:pPr>
        <w:ind w:firstLine="420" w:firstLineChars="200"/>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szCs w:val="21"/>
        </w:rPr>
        <w:t>清晰度要求能够使用电脑阅读、识别和判断</w:t>
      </w:r>
      <w:r>
        <w:rPr>
          <w:rFonts w:hint="eastAsia" w:ascii="宋体" w:hAnsi="宋体"/>
          <w:szCs w:val="21"/>
        </w:rPr>
        <w:t>；</w:t>
      </w:r>
    </w:p>
    <w:p>
      <w:pPr>
        <w:ind w:firstLine="420" w:firstLineChars="200"/>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20" w:firstLineChars="200"/>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20" w:firstLineChars="200"/>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采购文件中技术规格的要求，是否</w:t>
      </w:r>
      <w:r>
        <w:rPr>
          <w:rFonts w:hint="eastAsia"/>
          <w:szCs w:val="21"/>
        </w:rPr>
        <w:t>满足要求</w:t>
      </w:r>
      <w:r>
        <w:rPr>
          <w:rFonts w:hint="eastAsia" w:ascii="宋体" w:hAnsi="宋体"/>
          <w:szCs w:val="21"/>
        </w:rPr>
        <w:t>，由评审委员会来评判。</w:t>
      </w:r>
    </w:p>
    <w:p>
      <w:pPr>
        <w:ind w:firstLine="420" w:firstLineChars="200"/>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57"/>
    <w:p>
      <w:pPr>
        <w:ind w:firstLine="420" w:firstLineChars="200"/>
        <w:rPr>
          <w:rFonts w:ascii="黑体" w:hAnsi="宋体" w:eastAsia="黑体"/>
          <w:szCs w:val="21"/>
        </w:rPr>
      </w:pPr>
      <w:r>
        <w:rPr>
          <w:rFonts w:hint="eastAsia" w:ascii="黑体" w:hAnsi="宋体" w:eastAsia="黑体"/>
          <w:szCs w:val="21"/>
        </w:rPr>
        <w:t>19．</w:t>
      </w:r>
      <w:bookmarkStart w:id="58" w:name="_Hlk72402034"/>
      <w:r>
        <w:rPr>
          <w:rFonts w:hint="eastAsia" w:ascii="黑体" w:hAnsi="宋体" w:eastAsia="黑体"/>
          <w:szCs w:val="21"/>
        </w:rPr>
        <w:t>投标文件其他证明文件的要求</w:t>
      </w:r>
    </w:p>
    <w:p>
      <w:pPr>
        <w:ind w:firstLine="420" w:firstLineChars="200"/>
        <w:rPr>
          <w:rFonts w:ascii="宋体" w:hAnsi="宋体"/>
          <w:color w:val="FF0000"/>
          <w:szCs w:val="21"/>
        </w:rPr>
      </w:pPr>
      <w:r>
        <w:rPr>
          <w:rFonts w:hint="eastAsia" w:ascii="宋体" w:hAnsi="宋体"/>
          <w:szCs w:val="21"/>
        </w:rPr>
        <w:t>19.1采用综合评分法的项目，对项目采购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采购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9" w:name="_Hlk71407299"/>
    </w:p>
    <w:bookmarkEnd w:id="59"/>
    <w:p>
      <w:pPr>
        <w:ind w:firstLine="420" w:firstLineChars="200"/>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ind w:firstLine="420" w:firstLineChars="200"/>
        <w:rPr>
          <w:rFonts w:ascii="黑体" w:hAnsi="宋体" w:eastAsia="黑体"/>
          <w:szCs w:val="21"/>
        </w:rPr>
      </w:pPr>
      <w:r>
        <w:rPr>
          <w:rFonts w:hint="eastAsia" w:ascii="黑体" w:hAnsi="宋体" w:eastAsia="黑体"/>
          <w:szCs w:val="21"/>
        </w:rPr>
        <w:t>20．投标有效期</w:t>
      </w:r>
    </w:p>
    <w:bookmarkEnd w:id="58"/>
    <w:p>
      <w:pPr>
        <w:ind w:firstLine="420" w:firstLineChars="200"/>
        <w:rPr>
          <w:rFonts w:ascii="宋体" w:hAnsi="宋体"/>
          <w:szCs w:val="21"/>
        </w:rPr>
      </w:pPr>
      <w:bookmarkStart w:id="60"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pPr>
        <w:ind w:firstLine="420" w:firstLineChars="200"/>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20" w:firstLineChars="200"/>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中标供应商的投标文件有效期，截止于完成本采购文件规定的全部项目内容，并通过竣工验收及保修期结束。</w:t>
      </w:r>
    </w:p>
    <w:bookmarkEnd w:id="60"/>
    <w:p>
      <w:pPr>
        <w:ind w:firstLine="420" w:firstLineChars="200"/>
        <w:rPr>
          <w:rFonts w:ascii="黑体" w:hAnsi="宋体" w:eastAsia="黑体"/>
          <w:szCs w:val="21"/>
        </w:rPr>
      </w:pPr>
      <w:r>
        <w:rPr>
          <w:rFonts w:hint="eastAsia" w:ascii="黑体" w:hAnsi="宋体" w:eastAsia="黑体"/>
          <w:szCs w:val="21"/>
        </w:rPr>
        <w:t>21．</w:t>
      </w:r>
      <w:bookmarkStart w:id="61" w:name="_Hlk72402325"/>
      <w:r>
        <w:rPr>
          <w:rFonts w:hint="eastAsia" w:ascii="黑体" w:hAnsi="宋体" w:eastAsia="黑体"/>
          <w:szCs w:val="21"/>
        </w:rPr>
        <w:t xml:space="preserve">关于投标保证金 </w:t>
      </w:r>
    </w:p>
    <w:p>
      <w:pPr>
        <w:ind w:firstLine="420" w:firstLineChars="200"/>
        <w:rPr>
          <w:rFonts w:ascii="宋体" w:hAnsi="宋体"/>
          <w:szCs w:val="21"/>
        </w:rPr>
      </w:pPr>
      <w:r>
        <w:rPr>
          <w:rFonts w:hint="eastAsia" w:ascii="宋体" w:hAnsi="宋体"/>
          <w:szCs w:val="21"/>
        </w:rPr>
        <w:t>21.1</w:t>
      </w:r>
      <w:r>
        <w:rPr>
          <w:rFonts w:hint="eastAsia"/>
          <w:szCs w:val="21"/>
        </w:rPr>
        <w:t>根据《深圳市财政局关于调整政府采购投标（响应）保证金管理政策的通知》（深财购〔2021〕51号）文的规定，本项目不收取投标保证金。</w:t>
      </w:r>
    </w:p>
    <w:p>
      <w:pPr>
        <w:ind w:firstLine="420" w:firstLineChars="200"/>
        <w:rPr>
          <w:rFonts w:ascii="黑体" w:hAnsi="宋体" w:eastAsia="黑体"/>
          <w:szCs w:val="21"/>
        </w:rPr>
      </w:pPr>
      <w:r>
        <w:rPr>
          <w:rFonts w:hint="eastAsia" w:ascii="黑体" w:hAnsi="宋体" w:eastAsia="黑体"/>
          <w:szCs w:val="21"/>
        </w:rPr>
        <w:t>22．投标人的替代方案</w:t>
      </w:r>
    </w:p>
    <w:p>
      <w:pPr>
        <w:ind w:firstLine="420" w:firstLineChars="200"/>
        <w:rPr>
          <w:rFonts w:ascii="宋体" w:hAnsi="宋体"/>
          <w:szCs w:val="21"/>
        </w:rPr>
      </w:pPr>
      <w:r>
        <w:rPr>
          <w:rFonts w:hint="eastAsia" w:ascii="宋体" w:hAnsi="宋体"/>
          <w:szCs w:val="21"/>
        </w:rPr>
        <w:t>22.1投标人所提交的投标文件应完全满足采购文件（包括图纸和技术规范所示的基本技术设计）的要求。除非项目明确允许投标人提交替代方案，否则投标人有关替代方案的条款将初审不通过，作投标无效处理。</w:t>
      </w:r>
    </w:p>
    <w:p>
      <w:pPr>
        <w:ind w:firstLine="420" w:firstLineChars="200"/>
        <w:rPr>
          <w:rFonts w:ascii="宋体" w:hAnsi="宋体"/>
          <w:szCs w:val="21"/>
        </w:rPr>
      </w:pPr>
      <w:r>
        <w:rPr>
          <w:rFonts w:hint="eastAsia" w:ascii="宋体" w:hAnsi="宋体"/>
          <w:szCs w:val="21"/>
        </w:rPr>
        <w:t>22.2 如果允许投标人提交替代方案，则准备提交替代方案的投标人除应提交一份满足采购文件（包括图纸和技术规范所示的基本技术设计）要求的投标文件外，还应提交需评审其替代方案所需的全部资料，包括项目方案书、技术规范、替代方案报价书、所建议的项目方案及有关的其他详细资料。</w:t>
      </w:r>
    </w:p>
    <w:bookmarkEnd w:id="61"/>
    <w:p>
      <w:pPr>
        <w:ind w:firstLine="420" w:firstLineChars="200"/>
        <w:rPr>
          <w:rFonts w:ascii="黑体" w:hAnsi="宋体" w:eastAsia="黑体"/>
          <w:szCs w:val="21"/>
        </w:rPr>
      </w:pPr>
      <w:r>
        <w:rPr>
          <w:rFonts w:hint="eastAsia" w:ascii="黑体" w:hAnsi="宋体" w:eastAsia="黑体"/>
          <w:szCs w:val="21"/>
        </w:rPr>
        <w:t>23．</w:t>
      </w:r>
      <w:bookmarkStart w:id="62" w:name="_Hlk72402860"/>
      <w:r>
        <w:rPr>
          <w:rFonts w:ascii="黑体" w:hAnsi="宋体" w:eastAsia="黑体"/>
          <w:szCs w:val="21"/>
        </w:rPr>
        <w:t>投标文件的</w:t>
      </w:r>
      <w:r>
        <w:rPr>
          <w:rFonts w:hint="eastAsia" w:ascii="黑体" w:hAnsi="宋体" w:eastAsia="黑体"/>
          <w:szCs w:val="21"/>
        </w:rPr>
        <w:t>制作</w:t>
      </w:r>
      <w:r>
        <w:rPr>
          <w:rFonts w:ascii="黑体" w:hAnsi="宋体" w:eastAsia="黑体"/>
          <w:szCs w:val="21"/>
        </w:rPr>
        <w:t>要求</w:t>
      </w:r>
    </w:p>
    <w:p>
      <w:pPr>
        <w:ind w:firstLine="420" w:firstLineChars="200"/>
        <w:rPr>
          <w:rFonts w:ascii="宋体" w:hAnsi="宋体"/>
          <w:szCs w:val="21"/>
        </w:rPr>
      </w:pPr>
      <w:r>
        <w:rPr>
          <w:rFonts w:hint="eastAsia" w:ascii="宋体" w:hAnsi="宋体"/>
          <w:szCs w:val="21"/>
        </w:rPr>
        <w:t>23.1投标人应准备所投项目的电子投标文件一份。</w:t>
      </w:r>
    </w:p>
    <w:p>
      <w:pPr>
        <w:ind w:firstLine="420" w:firstLineChars="200"/>
        <w:rPr>
          <w:rFonts w:ascii="宋体" w:hAnsi="宋体"/>
          <w:szCs w:val="21"/>
        </w:rPr>
      </w:pPr>
      <w:r>
        <w:rPr>
          <w:rFonts w:hint="eastAsia" w:ascii="宋体" w:hAnsi="宋体"/>
          <w:szCs w:val="21"/>
        </w:rPr>
        <w:t>23.2投标人在使用《投标书编制软件》编制投标书时须注意：</w:t>
      </w:r>
    </w:p>
    <w:p>
      <w:pPr>
        <w:ind w:firstLine="420" w:firstLineChars="200"/>
        <w:rPr>
          <w:rFonts w:ascii="宋体" w:hAnsi="宋体"/>
          <w:szCs w:val="21"/>
        </w:rPr>
      </w:pPr>
      <w:r>
        <w:rPr>
          <w:rFonts w:hint="eastAsia" w:ascii="宋体" w:hAnsi="宋体"/>
          <w:szCs w:val="21"/>
        </w:rPr>
        <w:t>23.2.1导入《投标书编制软件》的采购文件项目编号、包号应与以此制作的投标文件项目编号、包号一致。例如，不能将甲项目A包的采购文件导入《投标书编制软件》，制作乙项目B包的投标书。</w:t>
      </w:r>
    </w:p>
    <w:p>
      <w:pPr>
        <w:ind w:firstLine="420" w:firstLineChars="200"/>
        <w:rPr>
          <w:rFonts w:ascii="宋体" w:hAnsi="宋体"/>
          <w:szCs w:val="21"/>
        </w:rPr>
      </w:pPr>
      <w:r>
        <w:rPr>
          <w:rFonts w:hint="eastAsia" w:ascii="宋体" w:hAnsi="宋体"/>
          <w:szCs w:val="21"/>
        </w:rPr>
        <w:t>23.2.2不能用非本公司的电子密钥加密本公司的投标文件，或者用其他公司的登录用户上传本公司的投标文件。</w:t>
      </w:r>
    </w:p>
    <w:p>
      <w:pPr>
        <w:ind w:firstLine="420" w:firstLineChars="200"/>
        <w:rPr>
          <w:rFonts w:ascii="宋体" w:hAnsi="宋体"/>
          <w:szCs w:val="21"/>
        </w:rPr>
      </w:pPr>
      <w:r>
        <w:rPr>
          <w:rFonts w:hint="eastAsia" w:ascii="宋体" w:hAnsi="宋体"/>
          <w:szCs w:val="21"/>
        </w:rPr>
        <w:t>23.2.3要求用《投标书编制软件》编制投标书的包，不能用其他方式编制投标书。编制投标文件时，电脑须连通互联网。</w:t>
      </w:r>
    </w:p>
    <w:p>
      <w:pPr>
        <w:ind w:firstLine="420" w:firstLineChars="200"/>
        <w:rPr>
          <w:rFonts w:ascii="宋体" w:hAnsi="宋体"/>
          <w:szCs w:val="21"/>
        </w:rPr>
      </w:pPr>
      <w:r>
        <w:rPr>
          <w:rFonts w:hint="eastAsia" w:ascii="宋体" w:hAnsi="宋体"/>
          <w:szCs w:val="21"/>
        </w:rPr>
        <w:t>23.2.4投标文件不能带病毒。政府集中采购机构将用专业杀毒软件对投标文件进行病毒检测，如果软件报告发现病毒，则政府集中采购机构认为该投标文件带病毒。</w:t>
      </w:r>
    </w:p>
    <w:p>
      <w:pPr>
        <w:ind w:firstLine="420" w:firstLineChars="200"/>
        <w:rPr>
          <w:rFonts w:ascii="宋体" w:hAnsi="宋体"/>
          <w:szCs w:val="21"/>
        </w:rPr>
      </w:pPr>
      <w:r>
        <w:rPr>
          <w:rFonts w:hint="eastAsia" w:ascii="宋体" w:hAnsi="宋体"/>
          <w:szCs w:val="21"/>
        </w:rPr>
        <w:t>23.2.5投标人在编辑投标文件时，</w:t>
      </w:r>
      <w:r>
        <w:rPr>
          <w:rFonts w:hint="eastAsia" w:ascii="宋体" w:hAnsi="宋体"/>
          <w:b/>
          <w:szCs w:val="21"/>
        </w:rPr>
        <w:t>在投标文件目录中属于本节点内容的必须在本节点中填写，填写到其他节点或附件，</w:t>
      </w:r>
      <w:r>
        <w:rPr>
          <w:rFonts w:hint="eastAsia" w:ascii="宋体" w:hAnsi="宋体"/>
          <w:szCs w:val="21"/>
        </w:rPr>
        <w:t>一切后果由供应商自行承担。</w:t>
      </w:r>
    </w:p>
    <w:p>
      <w:pPr>
        <w:ind w:firstLine="420" w:firstLineChars="200"/>
        <w:rPr>
          <w:rFonts w:ascii="宋体" w:hAnsi="宋体"/>
          <w:szCs w:val="21"/>
        </w:rPr>
      </w:pPr>
      <w:r>
        <w:rPr>
          <w:rFonts w:hint="eastAsia" w:ascii="宋体" w:hAnsi="宋体"/>
          <w:szCs w:val="21"/>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20" w:firstLineChars="200"/>
        <w:rPr>
          <w:rFonts w:ascii="宋体" w:hAnsi="宋体"/>
          <w:szCs w:val="21"/>
        </w:rPr>
      </w:pPr>
      <w:r>
        <w:rPr>
          <w:rFonts w:hint="eastAsia" w:ascii="宋体" w:hAnsi="宋体"/>
          <w:szCs w:val="21"/>
        </w:rPr>
        <w:t>23.2.7如果开标时出现网络故障、技术故障，影响了采购活动，政府集中采购机构有权采取措施如延期、接受无法从网上上传的投标书等，以保障采购活动的公开、公平和公正。</w:t>
      </w:r>
    </w:p>
    <w:p>
      <w:pPr>
        <w:ind w:firstLine="420" w:firstLineChars="200"/>
        <w:rPr>
          <w:rFonts w:ascii="宋体" w:hAnsi="宋体"/>
          <w:szCs w:val="21"/>
        </w:rPr>
      </w:pPr>
      <w:r>
        <w:rPr>
          <w:rFonts w:hint="eastAsia" w:ascii="宋体" w:hAnsi="宋体"/>
          <w:szCs w:val="21"/>
        </w:rPr>
        <w:t>23.3电报、电话、传真形式的投标概不接受。</w:t>
      </w:r>
    </w:p>
    <w:p>
      <w:pPr>
        <w:ind w:firstLine="422" w:firstLineChars="200"/>
        <w:rPr>
          <w:rFonts w:ascii="宋体" w:hAnsi="宋体"/>
          <w:b/>
          <w:szCs w:val="21"/>
        </w:rPr>
      </w:pPr>
      <w:r>
        <w:rPr>
          <w:rFonts w:hint="eastAsia" w:ascii="宋体" w:hAnsi="宋体"/>
          <w:b/>
          <w:szCs w:val="21"/>
        </w:rPr>
        <w:t>23.4全流程线上投标的投标文件无须盖章或签字，</w:t>
      </w:r>
      <w:r>
        <w:rPr>
          <w:rFonts w:hint="eastAsia" w:ascii="宋体" w:hAnsi="宋体"/>
          <w:szCs w:val="21"/>
        </w:rPr>
        <w:t>专用条款另有要求的除外。</w:t>
      </w:r>
    </w:p>
    <w:p>
      <w:pPr>
        <w:ind w:firstLine="422" w:firstLineChars="200"/>
        <w:rPr>
          <w:rFonts w:ascii="宋体" w:hAnsi="宋体"/>
        </w:rPr>
      </w:pPr>
      <w:r>
        <w:rPr>
          <w:rFonts w:hint="eastAsia" w:ascii="宋体" w:hAnsi="宋体"/>
          <w:b/>
          <w:szCs w:val="21"/>
        </w:rPr>
        <w:t>23.5</w:t>
      </w:r>
      <w:r>
        <w:rPr>
          <w:rFonts w:hint="eastAsia" w:ascii="宋体" w:hAnsi="宋体"/>
          <w:szCs w:val="21"/>
        </w:rPr>
        <w:t xml:space="preserve"> 各类资格（资质）文件提供扫描件，专用条款另有要求的除外。</w:t>
      </w:r>
      <w:bookmarkEnd w:id="62"/>
    </w:p>
    <w:p>
      <w:pPr>
        <w:ind w:firstLine="411" w:firstLineChars="196"/>
        <w:rPr>
          <w:rFonts w:ascii="宋体" w:hAnsi="宋体"/>
          <w:szCs w:val="21"/>
        </w:rPr>
      </w:pPr>
    </w:p>
    <w:p>
      <w:pPr>
        <w:pStyle w:val="78"/>
        <w:keepNext/>
        <w:keepLines/>
        <w:numPr>
          <w:ilvl w:val="0"/>
          <w:numId w:val="2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投标文件的递交</w:t>
      </w:r>
    </w:p>
    <w:p>
      <w:pPr>
        <w:ind w:firstLine="420" w:firstLineChars="200"/>
        <w:rPr>
          <w:rFonts w:ascii="黑体" w:hAnsi="宋体" w:eastAsia="黑体"/>
          <w:szCs w:val="21"/>
        </w:rPr>
      </w:pPr>
      <w:bookmarkStart w:id="63" w:name="_Hlk72405459"/>
      <w:r>
        <w:rPr>
          <w:rFonts w:hint="eastAsia" w:ascii="黑体" w:hAnsi="宋体" w:eastAsia="黑体"/>
          <w:szCs w:val="21"/>
        </w:rPr>
        <w:t>24．投标文件的保密</w:t>
      </w:r>
    </w:p>
    <w:p>
      <w:pPr>
        <w:ind w:firstLine="420" w:firstLineChars="200"/>
        <w:rPr>
          <w:rFonts w:ascii="宋体" w:hAnsi="宋体" w:eastAsiaTheme="minorEastAsia"/>
          <w:szCs w:val="21"/>
        </w:rPr>
      </w:pPr>
      <w:r>
        <w:rPr>
          <w:rFonts w:hint="eastAsia" w:ascii="宋体" w:hAnsi="宋体"/>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pPr>
        <w:ind w:firstLine="422" w:firstLineChars="200"/>
        <w:rPr>
          <w:rFonts w:ascii="宋体" w:hAnsi="宋体"/>
          <w:b/>
          <w:szCs w:val="21"/>
        </w:rPr>
      </w:pPr>
      <w:r>
        <w:rPr>
          <w:rFonts w:hint="eastAsia" w:ascii="宋体" w:hAnsi="宋体"/>
          <w:b/>
          <w:szCs w:val="21"/>
        </w:rPr>
        <w:t>24.2若采购项目出现延期情况：</w:t>
      </w:r>
    </w:p>
    <w:p>
      <w:pPr>
        <w:ind w:firstLine="422" w:firstLineChars="200"/>
        <w:rPr>
          <w:rFonts w:ascii="黑体" w:hAnsi="宋体" w:eastAsia="黑体"/>
          <w:b/>
          <w:szCs w:val="21"/>
        </w:rPr>
      </w:pPr>
      <w:r>
        <w:rPr>
          <w:rFonts w:hint="eastAsia" w:ascii="宋体" w:hAnsi="宋体"/>
          <w:b/>
          <w:szCs w:val="21"/>
        </w:rPr>
        <w:t>如果供下载的采购文件有更新，投标人必须重新下载采购文件、重新制作投标文件、重新加密投标文件、重新上传投标文件。</w:t>
      </w:r>
    </w:p>
    <w:p>
      <w:pPr>
        <w:ind w:firstLine="420" w:firstLineChars="200"/>
        <w:rPr>
          <w:rFonts w:ascii="黑体" w:hAnsi="宋体" w:eastAsia="黑体"/>
          <w:szCs w:val="21"/>
        </w:rPr>
      </w:pPr>
      <w:r>
        <w:rPr>
          <w:rFonts w:hint="eastAsia" w:ascii="黑体" w:hAnsi="宋体" w:eastAsia="黑体"/>
          <w:szCs w:val="21"/>
        </w:rPr>
        <w:t>25．上传投标文件及投标截止日期</w:t>
      </w:r>
    </w:p>
    <w:p>
      <w:pPr>
        <w:ind w:firstLine="420" w:firstLineChars="200"/>
        <w:rPr>
          <w:rFonts w:ascii="宋体" w:hAnsi="宋体"/>
          <w:szCs w:val="21"/>
        </w:rPr>
      </w:pPr>
      <w:r>
        <w:rPr>
          <w:rFonts w:hint="eastAsia" w:ascii="宋体" w:hAnsi="宋体"/>
          <w:szCs w:val="21"/>
        </w:rPr>
        <w:t>25</w:t>
      </w:r>
      <w:r>
        <w:rPr>
          <w:rFonts w:ascii="宋体" w:hAnsi="宋体"/>
          <w:szCs w:val="21"/>
        </w:rPr>
        <w:t>.</w:t>
      </w:r>
      <w:r>
        <w:rPr>
          <w:rFonts w:hint="eastAsia" w:ascii="宋体" w:hAnsi="宋体"/>
          <w:szCs w:val="21"/>
        </w:rPr>
        <w:t>1实行网上投标，</w:t>
      </w:r>
      <w:r>
        <w:rPr>
          <w:rFonts w:ascii="宋体" w:hAnsi="宋体"/>
          <w:szCs w:val="21"/>
        </w:rPr>
        <w:t>投标人必须</w:t>
      </w:r>
      <w:r>
        <w:rPr>
          <w:rFonts w:hint="eastAsia" w:ascii="宋体" w:hAnsi="宋体"/>
          <w:szCs w:val="21"/>
        </w:rPr>
        <w:t>在采购</w:t>
      </w:r>
      <w:r>
        <w:rPr>
          <w:rFonts w:ascii="宋体" w:hAnsi="宋体"/>
          <w:szCs w:val="21"/>
        </w:rPr>
        <w:t>文件规定的投标截止时间前</w:t>
      </w:r>
      <w:r>
        <w:rPr>
          <w:rFonts w:hint="eastAsia" w:ascii="宋体" w:hAnsi="宋体"/>
          <w:szCs w:val="21"/>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深圳公共资源交易中心（深圳交易集团有限公司政府采购业务分公司）3楼服务大厅（地址：深圳市南山区沙河西路3185号南山智谷A座深圳交易集团总部大楼）</w:t>
      </w:r>
      <w:r>
        <w:rPr>
          <w:rFonts w:ascii="宋体" w:hAnsi="宋体"/>
          <w:b/>
          <w:bCs/>
          <w:szCs w:val="21"/>
        </w:rPr>
        <w:t>协助上传</w:t>
      </w:r>
      <w:r>
        <w:rPr>
          <w:rFonts w:hint="eastAsia" w:ascii="宋体" w:hAnsi="宋体"/>
          <w:b/>
          <w:bCs/>
          <w:szCs w:val="21"/>
        </w:rPr>
        <w:t>，</w:t>
      </w:r>
      <w:r>
        <w:rPr>
          <w:rFonts w:ascii="宋体" w:hAnsi="宋体"/>
          <w:b/>
          <w:bCs/>
          <w:szCs w:val="21"/>
        </w:rPr>
        <w:t>但上传过程</w:t>
      </w:r>
      <w:r>
        <w:rPr>
          <w:rFonts w:hint="eastAsia" w:ascii="宋体" w:hAnsi="宋体"/>
          <w:b/>
          <w:bCs/>
          <w:szCs w:val="21"/>
        </w:rPr>
        <w:t>中</w:t>
      </w:r>
      <w:r>
        <w:rPr>
          <w:rFonts w:ascii="宋体" w:hAnsi="宋体"/>
          <w:b/>
          <w:bCs/>
          <w:szCs w:val="21"/>
        </w:rPr>
        <w:t>投标截止时间到达仍无法上传成功的，由投标人自行负责</w:t>
      </w:r>
      <w:r>
        <w:rPr>
          <w:rFonts w:hint="eastAsia" w:ascii="宋体" w:hAnsi="宋体"/>
          <w:szCs w:val="21"/>
        </w:rPr>
        <w:t>。</w:t>
      </w:r>
    </w:p>
    <w:p>
      <w:pPr>
        <w:ind w:firstLine="420" w:firstLineChars="200"/>
        <w:rPr>
          <w:rFonts w:ascii="宋体" w:hAnsi="宋体"/>
          <w:szCs w:val="21"/>
        </w:rPr>
      </w:pPr>
      <w:r>
        <w:rPr>
          <w:rFonts w:hint="eastAsia" w:ascii="宋体" w:hAnsi="宋体"/>
          <w:szCs w:val="21"/>
        </w:rPr>
        <w:t>25.2政府集中采购机构可以按本通用条款第13条规定，通过修改采购文件自行决定酌情延长投标截止期。在此情况下，政府集中采购机构、采购人和投标人受投标截止期制约的所有权利和义务均应延长至新的截止期。</w:t>
      </w:r>
    </w:p>
    <w:p>
      <w:pPr>
        <w:ind w:firstLine="420" w:firstLineChars="200"/>
        <w:rPr>
          <w:rFonts w:ascii="宋体" w:hAnsi="宋体"/>
          <w:szCs w:val="21"/>
        </w:rPr>
      </w:pPr>
      <w:r>
        <w:rPr>
          <w:rFonts w:hint="eastAsia" w:ascii="宋体" w:hAnsi="宋体"/>
          <w:szCs w:val="21"/>
        </w:rPr>
        <w:t>25</w:t>
      </w:r>
      <w:r>
        <w:rPr>
          <w:rFonts w:ascii="宋体" w:hAnsi="宋体"/>
          <w:szCs w:val="21"/>
        </w:rPr>
        <w:t>.</w:t>
      </w:r>
      <w:r>
        <w:rPr>
          <w:rFonts w:hint="eastAsia" w:ascii="宋体" w:hAnsi="宋体"/>
          <w:szCs w:val="21"/>
        </w:rPr>
        <w:t>3投标截止时间以后不得上传投标文件。</w:t>
      </w:r>
    </w:p>
    <w:bookmarkEnd w:id="63"/>
    <w:p>
      <w:pPr>
        <w:ind w:firstLine="420" w:firstLineChars="200"/>
        <w:rPr>
          <w:rFonts w:ascii="黑体" w:hAnsi="宋体" w:eastAsia="黑体"/>
          <w:szCs w:val="21"/>
        </w:rPr>
      </w:pPr>
      <w:r>
        <w:rPr>
          <w:rFonts w:hint="eastAsia" w:ascii="黑体" w:hAnsi="宋体" w:eastAsia="黑体"/>
          <w:szCs w:val="21"/>
        </w:rPr>
        <w:t>26. 样品、现场演示、方案讲解</w:t>
      </w:r>
    </w:p>
    <w:p>
      <w:pPr>
        <w:ind w:firstLine="420" w:firstLineChars="200"/>
        <w:rPr>
          <w:rFonts w:ascii="宋体" w:hAnsi="宋体"/>
          <w:szCs w:val="21"/>
        </w:rPr>
      </w:pPr>
      <w:r>
        <w:rPr>
          <w:rFonts w:hint="eastAsia" w:ascii="宋体" w:hAnsi="宋体"/>
          <w:szCs w:val="21"/>
        </w:rPr>
        <w:t>26.1 样品、现场演示、方案讲解等事项在采购文件专用条款中进行规定。</w:t>
      </w:r>
    </w:p>
    <w:p>
      <w:pPr>
        <w:ind w:firstLine="420" w:firstLineChars="200"/>
        <w:rPr>
          <w:rFonts w:ascii="黑体" w:hAnsi="宋体" w:eastAsia="黑体"/>
          <w:szCs w:val="21"/>
        </w:rPr>
      </w:pPr>
      <w:bookmarkStart w:id="64" w:name="_Hlk72428346"/>
      <w:r>
        <w:rPr>
          <w:rFonts w:ascii="黑体" w:hAnsi="宋体" w:eastAsia="黑体"/>
          <w:szCs w:val="21"/>
        </w:rPr>
        <w:t>2</w:t>
      </w:r>
      <w:r>
        <w:rPr>
          <w:rFonts w:hint="eastAsia" w:ascii="黑体" w:hAnsi="宋体" w:eastAsia="黑体"/>
          <w:szCs w:val="21"/>
        </w:rPr>
        <w:t>7．</w:t>
      </w:r>
      <w:r>
        <w:rPr>
          <w:rFonts w:ascii="黑体" w:hAnsi="宋体" w:eastAsia="黑体"/>
          <w:szCs w:val="21"/>
        </w:rPr>
        <w:t>投标文件的修改和撤销</w:t>
      </w:r>
    </w:p>
    <w:p>
      <w:pPr>
        <w:ind w:firstLine="420" w:firstLineChars="200"/>
        <w:rPr>
          <w:rFonts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1</w:t>
      </w:r>
      <w:r>
        <w:rPr>
          <w:rFonts w:ascii="宋体" w:hAnsi="宋体"/>
          <w:szCs w:val="21"/>
        </w:rPr>
        <w:t>投标方在提交投标文件后可对其投标文件进行修改</w:t>
      </w:r>
      <w:r>
        <w:rPr>
          <w:rFonts w:hint="eastAsia" w:ascii="宋体" w:hAnsi="宋体"/>
          <w:szCs w:val="21"/>
        </w:rPr>
        <w:t>并重新上传投标文件</w:t>
      </w:r>
      <w:r>
        <w:rPr>
          <w:rFonts w:ascii="宋体" w:hAnsi="宋体"/>
          <w:szCs w:val="21"/>
        </w:rPr>
        <w:t>或</w:t>
      </w:r>
      <w:r>
        <w:rPr>
          <w:rFonts w:hint="eastAsia" w:ascii="宋体" w:hAnsi="宋体"/>
          <w:szCs w:val="21"/>
        </w:rPr>
        <w:t>在网上进行</w:t>
      </w:r>
      <w:r>
        <w:rPr>
          <w:rFonts w:ascii="宋体" w:hAnsi="宋体"/>
          <w:szCs w:val="21"/>
        </w:rPr>
        <w:t>撤销</w:t>
      </w:r>
      <w:r>
        <w:rPr>
          <w:rFonts w:hint="eastAsia" w:ascii="宋体" w:hAnsi="宋体"/>
          <w:szCs w:val="21"/>
        </w:rPr>
        <w:t>投标的操作</w:t>
      </w:r>
      <w:r>
        <w:rPr>
          <w:rFonts w:ascii="宋体" w:hAnsi="宋体"/>
          <w:szCs w:val="21"/>
        </w:rPr>
        <w:t>。</w:t>
      </w:r>
    </w:p>
    <w:p>
      <w:pPr>
        <w:ind w:firstLine="420" w:firstLineChars="200"/>
        <w:rPr>
          <w:rFonts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2</w:t>
      </w:r>
      <w:r>
        <w:rPr>
          <w:rFonts w:ascii="宋体" w:hAnsi="宋体"/>
          <w:szCs w:val="21"/>
        </w:rPr>
        <w:t>投标截止时间以后不得修改投标文件。</w:t>
      </w:r>
    </w:p>
    <w:p>
      <w:pPr>
        <w:ind w:firstLine="420" w:firstLineChars="200"/>
        <w:rPr>
          <w:rFonts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3从投标截止期至投标人在投标文件中确定的投标有效期之间的这段时间内，投标人不得撤回其投标。</w:t>
      </w:r>
    </w:p>
    <w:p>
      <w:pPr>
        <w:ind w:firstLine="420" w:firstLineChars="200"/>
        <w:rPr>
          <w:rFonts w:ascii="宋体" w:hAnsi="宋体"/>
          <w:szCs w:val="21"/>
        </w:rPr>
      </w:pPr>
      <w:r>
        <w:rPr>
          <w:rFonts w:hint="eastAsia" w:ascii="宋体" w:hAnsi="宋体"/>
          <w:szCs w:val="21"/>
        </w:rPr>
        <w:t>27.4政府集中采购机构不退还投标文件，专用条款另有规定的除外。</w:t>
      </w:r>
    </w:p>
    <w:bookmarkEnd w:id="64"/>
    <w:p>
      <w:pPr>
        <w:pStyle w:val="78"/>
        <w:keepNext/>
        <w:keepLines/>
        <w:numPr>
          <w:ilvl w:val="0"/>
          <w:numId w:val="2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开标</w:t>
      </w:r>
    </w:p>
    <w:p>
      <w:pPr>
        <w:ind w:firstLine="420" w:firstLineChars="200"/>
        <w:rPr>
          <w:rFonts w:ascii="黑体" w:hAnsi="宋体" w:eastAsia="黑体"/>
          <w:szCs w:val="21"/>
        </w:rPr>
      </w:pPr>
      <w:r>
        <w:rPr>
          <w:rFonts w:hint="eastAsia" w:ascii="黑体" w:hAnsi="宋体" w:eastAsia="黑体"/>
          <w:szCs w:val="21"/>
        </w:rPr>
        <w:t>28．开标</w:t>
      </w:r>
    </w:p>
    <w:p>
      <w:pPr>
        <w:wordWrap w:val="0"/>
        <w:ind w:firstLine="420" w:firstLineChars="200"/>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pPr>
        <w:wordWrap w:val="0"/>
        <w:ind w:firstLine="420" w:firstLineChars="200"/>
        <w:rPr>
          <w:rFonts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ind w:firstLine="315" w:firstLineChars="150"/>
        <w:rPr>
          <w:rFonts w:ascii="宋体" w:hAnsi="宋体"/>
          <w:szCs w:val="21"/>
        </w:rPr>
      </w:pPr>
    </w:p>
    <w:p>
      <w:pPr>
        <w:pStyle w:val="78"/>
        <w:keepNext/>
        <w:keepLines/>
        <w:numPr>
          <w:ilvl w:val="0"/>
          <w:numId w:val="2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评审要求</w:t>
      </w:r>
    </w:p>
    <w:p>
      <w:pPr>
        <w:ind w:firstLine="420" w:firstLineChars="200"/>
        <w:rPr>
          <w:rFonts w:ascii="黑体" w:hAnsi="宋体" w:eastAsia="黑体"/>
          <w:szCs w:val="21"/>
        </w:rPr>
      </w:pPr>
      <w:r>
        <w:rPr>
          <w:rFonts w:hint="eastAsia" w:ascii="黑体" w:hAnsi="宋体" w:eastAsia="黑体"/>
          <w:szCs w:val="21"/>
        </w:rPr>
        <w:t>29．评审委员会组成</w:t>
      </w:r>
    </w:p>
    <w:p>
      <w:pPr>
        <w:ind w:firstLine="420" w:firstLineChars="200"/>
        <w:rPr>
          <w:rFonts w:ascii="宋体" w:hAnsi="宋体"/>
          <w:szCs w:val="21"/>
        </w:rPr>
      </w:pPr>
      <w:r>
        <w:rPr>
          <w:rFonts w:hint="eastAsia" w:ascii="宋体" w:hAnsi="宋体"/>
          <w:szCs w:val="21"/>
        </w:rPr>
        <w:t>29.1网上开标结束后召开评审会议，评审委员会由政府集中采购机构依法组建，负责评审活动。</w:t>
      </w:r>
    </w:p>
    <w:p>
      <w:pPr>
        <w:ind w:firstLine="420" w:firstLineChars="200"/>
        <w:rPr>
          <w:rFonts w:ascii="宋体" w:hAnsi="宋体"/>
          <w:szCs w:val="21"/>
        </w:rPr>
      </w:pPr>
      <w:bookmarkStart w:id="65" w:name="_Hlk72436580"/>
      <w:r>
        <w:rPr>
          <w:rFonts w:hint="eastAsia" w:ascii="宋体" w:hAnsi="宋体"/>
          <w:szCs w:val="21"/>
        </w:rPr>
        <w:t>评审委员会由采购人代表和评审专家组成，成员人数应当为5人以上单数（部分条件下为7人以上单数），其中评审专家不得少于成员总数的三分之二。</w:t>
      </w:r>
      <w:bookmarkEnd w:id="65"/>
      <w:r>
        <w:rPr>
          <w:rFonts w:hint="eastAsia" w:ascii="宋体" w:hAnsi="宋体"/>
          <w:szCs w:val="21"/>
        </w:rPr>
        <w:t>评定</w:t>
      </w:r>
      <w:r>
        <w:rPr>
          <w:rFonts w:hint="eastAsia"/>
          <w:szCs w:val="21"/>
        </w:rPr>
        <w:t>分离项目</w:t>
      </w:r>
      <w:r>
        <w:rPr>
          <w:szCs w:val="21"/>
        </w:rPr>
        <w:t>评审专家</w:t>
      </w:r>
      <w:r>
        <w:rPr>
          <w:rFonts w:hint="eastAsia"/>
          <w:szCs w:val="21"/>
        </w:rPr>
        <w:t>均</w:t>
      </w:r>
      <w:r>
        <w:rPr>
          <w:szCs w:val="21"/>
        </w:rPr>
        <w:t>由</w:t>
      </w:r>
      <w:r>
        <w:rPr>
          <w:rFonts w:hint="eastAsia"/>
          <w:szCs w:val="21"/>
        </w:rPr>
        <w:t>评审专家组成。</w:t>
      </w:r>
      <w:r>
        <w:rPr>
          <w:rFonts w:hint="eastAsia" w:ascii="宋体" w:hAnsi="宋体"/>
          <w:szCs w:val="21"/>
        </w:rPr>
        <w:t>评审专家一般是从深圳市政府采购评审专家库中随机抽取。采购人代表须持本单位签发的《评审授权书》参加评审。</w:t>
      </w:r>
    </w:p>
    <w:p>
      <w:pPr>
        <w:ind w:firstLine="420" w:firstLineChars="200"/>
        <w:rPr>
          <w:rFonts w:ascii="宋体" w:hAnsi="宋体"/>
          <w:szCs w:val="21"/>
        </w:rPr>
      </w:pPr>
      <w:r>
        <w:rPr>
          <w:rFonts w:hint="eastAsia" w:ascii="宋体" w:hAnsi="宋体"/>
          <w:szCs w:val="21"/>
        </w:rPr>
        <w:t>29.2评审定标应当遵循公平、公正、科学、择优的原则。</w:t>
      </w:r>
    </w:p>
    <w:p>
      <w:pPr>
        <w:ind w:firstLine="420" w:firstLineChars="200"/>
        <w:rPr>
          <w:rFonts w:ascii="宋体" w:hAnsi="宋体"/>
          <w:szCs w:val="21"/>
        </w:rPr>
      </w:pPr>
      <w:r>
        <w:rPr>
          <w:rFonts w:hint="eastAsia" w:ascii="宋体" w:hAnsi="宋体"/>
          <w:szCs w:val="21"/>
        </w:rPr>
        <w:t>29.3评审活动依法进行，任何单位和个人不得非法干预评标过程和结果。</w:t>
      </w:r>
    </w:p>
    <w:p>
      <w:pPr>
        <w:ind w:firstLine="420" w:firstLineChars="200"/>
        <w:rPr>
          <w:rFonts w:ascii="宋体" w:hAnsi="宋体"/>
          <w:szCs w:val="21"/>
        </w:rPr>
      </w:pPr>
      <w:r>
        <w:rPr>
          <w:rFonts w:hint="eastAsia" w:ascii="宋体" w:hAnsi="宋体"/>
          <w:szCs w:val="21"/>
        </w:rPr>
        <w:t>29.4评审过程中不允许违背评标程序或采用采购文件未载明的评标方法或评标因素进行评标。</w:t>
      </w:r>
    </w:p>
    <w:p>
      <w:pPr>
        <w:ind w:firstLine="420" w:firstLineChars="200"/>
        <w:rPr>
          <w:rFonts w:ascii="宋体" w:hAnsi="宋体"/>
          <w:bCs/>
          <w:szCs w:val="21"/>
        </w:rPr>
      </w:pPr>
      <w:r>
        <w:rPr>
          <w:rFonts w:hint="eastAsia" w:ascii="宋体" w:hAnsi="宋体"/>
          <w:bCs/>
          <w:szCs w:val="21"/>
        </w:rPr>
        <w:t>29.5 开标后，直到签订合同为止，凡属于对投标文件的审查、澄清、评价和比较的有关资料以及中标候选人的推荐情况、与评审有关的其他任何情况均严格保密（</w:t>
      </w:r>
      <w:r>
        <w:rPr>
          <w:rFonts w:hint="eastAsia"/>
          <w:szCs w:val="21"/>
        </w:rPr>
        <w:t>信息公开的内容除外</w:t>
      </w:r>
      <w:r>
        <w:rPr>
          <w:rFonts w:hint="eastAsia" w:ascii="宋体" w:hAnsi="宋体"/>
          <w:bCs/>
          <w:szCs w:val="21"/>
        </w:rPr>
        <w:t>）。</w:t>
      </w:r>
    </w:p>
    <w:p>
      <w:pPr>
        <w:ind w:firstLine="420" w:firstLineChars="200"/>
        <w:rPr>
          <w:rFonts w:ascii="黑体" w:hAnsi="宋体" w:eastAsia="黑体"/>
          <w:szCs w:val="21"/>
        </w:rPr>
      </w:pPr>
      <w:r>
        <w:rPr>
          <w:rFonts w:hint="eastAsia" w:ascii="黑体" w:hAnsi="宋体" w:eastAsia="黑体"/>
          <w:szCs w:val="21"/>
        </w:rPr>
        <w:t>30．向评审委员会提供的资料</w:t>
      </w:r>
    </w:p>
    <w:p>
      <w:pPr>
        <w:ind w:firstLine="420" w:firstLineChars="200"/>
        <w:rPr>
          <w:rFonts w:ascii="宋体" w:hAnsi="宋体"/>
          <w:szCs w:val="21"/>
        </w:rPr>
      </w:pPr>
      <w:r>
        <w:rPr>
          <w:rFonts w:hint="eastAsia" w:ascii="宋体" w:hAnsi="宋体"/>
          <w:szCs w:val="21"/>
        </w:rPr>
        <w:t>30.1公开发布的采购文件，包括图纸、服务清单、答疑文件等；</w:t>
      </w:r>
    </w:p>
    <w:p>
      <w:pPr>
        <w:ind w:firstLine="420" w:firstLineChars="200"/>
        <w:rPr>
          <w:rFonts w:ascii="宋体" w:hAnsi="宋体"/>
          <w:szCs w:val="21"/>
        </w:rPr>
      </w:pPr>
      <w:r>
        <w:rPr>
          <w:rFonts w:hint="eastAsia" w:ascii="宋体" w:hAnsi="宋体"/>
          <w:szCs w:val="21"/>
        </w:rPr>
        <w:t>30.2其他评标必须的资料。</w:t>
      </w:r>
    </w:p>
    <w:p>
      <w:pPr>
        <w:ind w:firstLine="420" w:firstLineChars="200"/>
        <w:rPr>
          <w:rFonts w:ascii="宋体" w:hAnsi="宋体"/>
          <w:szCs w:val="21"/>
        </w:rPr>
      </w:pPr>
      <w:r>
        <w:rPr>
          <w:rFonts w:hint="eastAsia" w:ascii="宋体" w:hAnsi="宋体"/>
          <w:szCs w:val="21"/>
        </w:rPr>
        <w:t>30.3评审委员会应当认真研究采购文件，至少应了解熟悉以下内容：</w:t>
      </w:r>
    </w:p>
    <w:p>
      <w:pPr>
        <w:ind w:firstLine="420" w:firstLineChars="200"/>
        <w:rPr>
          <w:rFonts w:ascii="宋体" w:hAnsi="宋体"/>
          <w:szCs w:val="21"/>
        </w:rPr>
      </w:pPr>
      <w:r>
        <w:rPr>
          <w:rFonts w:hint="eastAsia" w:ascii="宋体" w:hAnsi="宋体"/>
          <w:szCs w:val="21"/>
        </w:rPr>
        <w:t>（1）采购的目的；</w:t>
      </w:r>
    </w:p>
    <w:p>
      <w:pPr>
        <w:ind w:firstLine="420" w:firstLineChars="200"/>
        <w:rPr>
          <w:rFonts w:ascii="宋体" w:hAnsi="宋体"/>
          <w:szCs w:val="21"/>
        </w:rPr>
      </w:pPr>
      <w:r>
        <w:rPr>
          <w:rFonts w:hint="eastAsia" w:ascii="宋体" w:hAnsi="宋体"/>
          <w:szCs w:val="21"/>
        </w:rPr>
        <w:t>（2）采购项目需求的范围和性质；</w:t>
      </w:r>
    </w:p>
    <w:p>
      <w:pPr>
        <w:ind w:firstLine="420" w:firstLineChars="200"/>
        <w:rPr>
          <w:rFonts w:ascii="宋体" w:hAnsi="宋体"/>
          <w:szCs w:val="21"/>
        </w:rPr>
      </w:pPr>
      <w:r>
        <w:rPr>
          <w:rFonts w:hint="eastAsia" w:ascii="宋体" w:hAnsi="宋体"/>
          <w:szCs w:val="21"/>
        </w:rPr>
        <w:t>（3）采购文件规定的投标人的资格、财政预算限额、商务条款；</w:t>
      </w:r>
    </w:p>
    <w:p>
      <w:pPr>
        <w:ind w:firstLine="420" w:firstLineChars="200"/>
        <w:rPr>
          <w:rFonts w:ascii="宋体" w:hAnsi="宋体"/>
          <w:szCs w:val="21"/>
        </w:rPr>
      </w:pPr>
      <w:r>
        <w:rPr>
          <w:rFonts w:hint="eastAsia" w:ascii="宋体" w:hAnsi="宋体"/>
          <w:szCs w:val="21"/>
        </w:rPr>
        <w:t>（4）采购文件规定的评标程序、评标方法和评标因素；</w:t>
      </w:r>
    </w:p>
    <w:p>
      <w:pPr>
        <w:ind w:firstLine="420" w:firstLineChars="200"/>
        <w:rPr>
          <w:rFonts w:ascii="宋体" w:hAnsi="宋体"/>
          <w:szCs w:val="21"/>
        </w:rPr>
      </w:pPr>
      <w:r>
        <w:rPr>
          <w:rFonts w:hint="eastAsia" w:ascii="宋体" w:hAnsi="宋体"/>
          <w:szCs w:val="21"/>
        </w:rPr>
        <w:t>（5）采购文件所列示的资格性审查表及符合性审查表。</w:t>
      </w:r>
    </w:p>
    <w:p>
      <w:pPr>
        <w:ind w:firstLine="420" w:firstLineChars="200"/>
        <w:rPr>
          <w:rFonts w:ascii="黑体" w:hAnsi="宋体" w:eastAsia="黑体"/>
          <w:szCs w:val="21"/>
        </w:rPr>
      </w:pPr>
      <w:r>
        <w:rPr>
          <w:rFonts w:hint="eastAsia" w:ascii="黑体" w:hAnsi="宋体" w:eastAsia="黑体"/>
          <w:szCs w:val="21"/>
        </w:rPr>
        <w:t>31．独立评审</w:t>
      </w:r>
    </w:p>
    <w:p>
      <w:pPr>
        <w:ind w:firstLine="420" w:firstLineChars="200"/>
        <w:rPr>
          <w:rFonts w:ascii="宋体" w:hAnsi="宋体"/>
          <w:bCs/>
          <w:szCs w:val="21"/>
        </w:rPr>
      </w:pPr>
      <w:r>
        <w:rPr>
          <w:rFonts w:hint="eastAsia" w:ascii="宋体" w:hAnsi="宋体"/>
          <w:bCs/>
          <w:szCs w:val="21"/>
        </w:rPr>
        <w:t>3</w:t>
      </w:r>
      <w:r>
        <w:rPr>
          <w:rFonts w:ascii="宋体" w:hAnsi="宋体"/>
          <w:bCs/>
          <w:szCs w:val="21"/>
        </w:rPr>
        <w:t>1</w:t>
      </w:r>
      <w:r>
        <w:rPr>
          <w:rFonts w:hint="eastAsia" w:ascii="宋体" w:hAnsi="宋体"/>
          <w:bCs/>
          <w:szCs w:val="21"/>
        </w:rPr>
        <w:t>.1</w:t>
      </w:r>
      <w:r>
        <w:rPr>
          <w:rFonts w:hint="eastAsia" w:ascii="宋体" w:hAnsi="宋体"/>
          <w:szCs w:val="21"/>
        </w:rPr>
        <w:t>评审委员会</w:t>
      </w:r>
      <w:r>
        <w:rPr>
          <w:rFonts w:hint="eastAsia" w:ascii="宋体" w:hAnsi="宋体"/>
          <w:bCs/>
          <w:szCs w:val="21"/>
        </w:rPr>
        <w:t>成员的评标活动应当独立进行，并应遵循投标文件初审、澄清有关问题、比较与评价、确定中标供应商、编写评审报告的工作程序。</w:t>
      </w:r>
    </w:p>
    <w:p>
      <w:pPr>
        <w:ind w:firstLine="411" w:firstLineChars="196"/>
        <w:rPr>
          <w:rFonts w:ascii="宋体" w:hAnsi="宋体"/>
          <w:bCs/>
          <w:szCs w:val="21"/>
        </w:rPr>
      </w:pPr>
    </w:p>
    <w:p>
      <w:pPr>
        <w:pStyle w:val="78"/>
        <w:keepNext/>
        <w:keepLines/>
        <w:numPr>
          <w:ilvl w:val="0"/>
          <w:numId w:val="2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评审程序及评审方法</w:t>
      </w:r>
    </w:p>
    <w:p>
      <w:pPr>
        <w:ind w:firstLine="420" w:firstLineChars="200"/>
        <w:rPr>
          <w:rFonts w:ascii="黑体" w:hAnsi="宋体" w:eastAsia="黑体"/>
          <w:szCs w:val="21"/>
        </w:rPr>
      </w:pPr>
      <w:r>
        <w:rPr>
          <w:rFonts w:hint="eastAsia" w:ascii="黑体" w:hAnsi="宋体" w:eastAsia="黑体"/>
          <w:szCs w:val="21"/>
        </w:rPr>
        <w:t>32．投标文件初审</w:t>
      </w:r>
    </w:p>
    <w:p>
      <w:pPr>
        <w:ind w:firstLine="420" w:firstLineChars="200"/>
        <w:rPr>
          <w:rFonts w:ascii="宋体" w:hAnsi="宋体"/>
          <w:szCs w:val="21"/>
        </w:rPr>
      </w:pPr>
      <w:r>
        <w:rPr>
          <w:rFonts w:hint="eastAsia" w:ascii="宋体" w:hAnsi="宋体"/>
          <w:szCs w:val="21"/>
        </w:rPr>
        <w:t>32.1投标文件初审包括资格性审查和符合性审查。</w:t>
      </w:r>
    </w:p>
    <w:p>
      <w:pPr>
        <w:ind w:firstLine="420" w:firstLineChars="200"/>
        <w:rPr>
          <w:rFonts w:ascii="宋体" w:hAnsi="宋体"/>
          <w:szCs w:val="21"/>
        </w:rPr>
      </w:pPr>
      <w:r>
        <w:rPr>
          <w:rFonts w:hint="eastAsia" w:ascii="宋体" w:hAnsi="宋体"/>
          <w:szCs w:val="21"/>
        </w:rPr>
        <w:t>资格性审查：依据法律法规和采购文件的规定，对投标文件中的资格证明等进行审查，以确定投标供应商是否具备投标资格。</w:t>
      </w:r>
    </w:p>
    <w:p>
      <w:pPr>
        <w:ind w:firstLine="420" w:firstLineChars="200"/>
        <w:rPr>
          <w:rFonts w:ascii="宋体" w:hAnsi="宋体"/>
          <w:szCs w:val="21"/>
        </w:rPr>
      </w:pPr>
      <w:r>
        <w:rPr>
          <w:rFonts w:hint="eastAsia" w:ascii="宋体" w:hAnsi="宋体"/>
          <w:szCs w:val="21"/>
        </w:rPr>
        <w:t>符合性审查：依据采购文件的规定，对投标文件的有效性、完整性和对采购文件的响应程度进行审查，以确定是否满足符合性审查的要求。</w:t>
      </w:r>
    </w:p>
    <w:p>
      <w:pPr>
        <w:ind w:firstLine="420" w:firstLineChars="200"/>
        <w:rPr>
          <w:rFonts w:ascii="宋体" w:hAnsi="宋体"/>
          <w:szCs w:val="21"/>
        </w:rPr>
      </w:pPr>
      <w:r>
        <w:rPr>
          <w:rFonts w:hint="eastAsia" w:ascii="宋体" w:hAnsi="宋体"/>
          <w:szCs w:val="21"/>
        </w:rPr>
        <w:t>32.2 投标文件初审内容请详见《资格性审查表》和《符合性审查表》部分。投标人若有一条审查不通过则按投标无效处理。</w:t>
      </w:r>
    </w:p>
    <w:p>
      <w:pPr>
        <w:ind w:firstLine="420" w:firstLineChars="200"/>
        <w:rPr>
          <w:rFonts w:ascii="宋体" w:hAnsi="宋体"/>
          <w:bCs/>
          <w:szCs w:val="21"/>
        </w:rPr>
      </w:pPr>
      <w:r>
        <w:rPr>
          <w:rFonts w:hint="eastAsia" w:ascii="宋体" w:hAnsi="宋体"/>
          <w:bCs/>
          <w:szCs w:val="21"/>
        </w:rPr>
        <w:t>32.3 投标文件初审中关于供应商家数的计算:</w:t>
      </w:r>
    </w:p>
    <w:p>
      <w:pPr>
        <w:ind w:firstLine="420" w:firstLineChars="200"/>
        <w:rPr>
          <w:rFonts w:ascii="宋体" w:hAnsi="宋体"/>
          <w:bCs/>
          <w:szCs w:val="21"/>
        </w:rPr>
      </w:pPr>
      <w:r>
        <w:rPr>
          <w:rFonts w:hint="eastAsia" w:ascii="宋体" w:hAnsi="宋体"/>
          <w:bCs/>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采购文件规定的方式确定一个参加评审的投标人，采购文件未规定的采取随机抽取方式确定，其他投标无效。</w:t>
      </w:r>
    </w:p>
    <w:p>
      <w:pPr>
        <w:ind w:firstLine="420" w:firstLineChars="200"/>
        <w:rPr>
          <w:rFonts w:ascii="宋体" w:hAnsi="宋体"/>
          <w:bCs/>
          <w:szCs w:val="21"/>
        </w:rPr>
      </w:pPr>
      <w:r>
        <w:rPr>
          <w:rFonts w:hint="eastAsia" w:ascii="宋体" w:hAnsi="宋体"/>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pPr>
        <w:ind w:firstLine="420" w:firstLineChars="200"/>
        <w:rPr>
          <w:rFonts w:ascii="宋体" w:hAnsi="宋体"/>
          <w:bCs/>
          <w:szCs w:val="21"/>
        </w:rPr>
      </w:pPr>
      <w:r>
        <w:rPr>
          <w:rFonts w:hint="eastAsia" w:ascii="宋体" w:hAnsi="宋体"/>
          <w:bCs/>
          <w:szCs w:val="21"/>
        </w:rPr>
        <w:t>32.3.3非单一产品采购项目，采购人应当根据采购项目技术构成、产品价格比重等合理确定核心产品，并在采购文件中载明。多家投标人提供的核心产品品牌相同的，按前两款规定处理。</w:t>
      </w:r>
    </w:p>
    <w:p>
      <w:pPr>
        <w:ind w:firstLine="420" w:firstLineChars="200"/>
        <w:rPr>
          <w:rFonts w:ascii="宋体" w:hAnsi="宋体"/>
          <w:szCs w:val="21"/>
        </w:rPr>
      </w:pPr>
      <w:r>
        <w:rPr>
          <w:rFonts w:hint="eastAsia" w:ascii="宋体" w:hAnsi="宋体"/>
          <w:szCs w:val="21"/>
        </w:rPr>
        <w:t>32.4投标人投标文件作无效处理的情形，具体包括但不限于以下：</w:t>
      </w:r>
    </w:p>
    <w:p>
      <w:pPr>
        <w:ind w:firstLine="420" w:firstLineChars="200"/>
        <w:rPr>
          <w:szCs w:val="21"/>
        </w:rPr>
      </w:pPr>
      <w:r>
        <w:rPr>
          <w:rFonts w:hint="eastAsia" w:ascii="宋体" w:hAnsi="宋体"/>
          <w:szCs w:val="21"/>
        </w:rPr>
        <w:t>32.4.1</w:t>
      </w:r>
      <w:r>
        <w:rPr>
          <w:rFonts w:hint="eastAsia"/>
          <w:szCs w:val="21"/>
        </w:rPr>
        <w:t>不同投标人的投标文件由同一单位或者同一个人编制，或者由同一个人分阶段参与编制；</w:t>
      </w:r>
    </w:p>
    <w:p>
      <w:pPr>
        <w:ind w:firstLine="420" w:firstLineChars="200"/>
        <w:rPr>
          <w:szCs w:val="21"/>
        </w:rPr>
      </w:pPr>
      <w:r>
        <w:rPr>
          <w:rFonts w:ascii="宋体" w:hAnsi="宋体"/>
          <w:szCs w:val="21"/>
        </w:rPr>
        <w:t>32.4.</w:t>
      </w:r>
      <w:r>
        <w:rPr>
          <w:rFonts w:hint="eastAsia" w:ascii="宋体" w:hAnsi="宋体"/>
          <w:szCs w:val="21"/>
        </w:rPr>
        <w:t>2</w:t>
      </w:r>
      <w:r>
        <w:rPr>
          <w:rFonts w:hint="eastAsia"/>
          <w:szCs w:val="21"/>
        </w:rPr>
        <w:t>不同投标人委托同一单位或者个人办理投标事宜；</w:t>
      </w:r>
    </w:p>
    <w:p>
      <w:pPr>
        <w:ind w:firstLine="420" w:firstLineChars="200"/>
        <w:rPr>
          <w:rFonts w:ascii="宋体" w:hAnsi="宋体"/>
          <w:szCs w:val="21"/>
        </w:rPr>
      </w:pPr>
      <w:r>
        <w:rPr>
          <w:rFonts w:hint="eastAsia" w:ascii="宋体" w:hAnsi="宋体"/>
          <w:szCs w:val="21"/>
        </w:rPr>
        <w:t>32.4.3不同投标人的投标文件载明的项目管理成员或者联系人员为同一人；</w:t>
      </w:r>
    </w:p>
    <w:p>
      <w:pPr>
        <w:ind w:firstLine="420" w:firstLineChars="200"/>
        <w:rPr>
          <w:rFonts w:ascii="宋体" w:hAnsi="宋体"/>
          <w:szCs w:val="21"/>
        </w:rPr>
      </w:pPr>
      <w:r>
        <w:rPr>
          <w:rFonts w:hint="eastAsia" w:ascii="宋体" w:hAnsi="宋体"/>
          <w:szCs w:val="21"/>
        </w:rPr>
        <w:t>32.4.4不同投标人的投标文件异常一致或者投标报价呈规律性差异；</w:t>
      </w:r>
    </w:p>
    <w:p>
      <w:pPr>
        <w:ind w:firstLine="420" w:firstLineChars="200"/>
        <w:rPr>
          <w:rFonts w:ascii="宋体" w:hAnsi="宋体"/>
          <w:szCs w:val="21"/>
        </w:rPr>
      </w:pPr>
      <w:r>
        <w:rPr>
          <w:rFonts w:hint="eastAsia" w:ascii="宋体" w:hAnsi="宋体"/>
          <w:szCs w:val="21"/>
        </w:rPr>
        <w:t>32.4.5</w:t>
      </w:r>
      <w:r>
        <w:rPr>
          <w:rFonts w:ascii="宋体" w:hAnsi="宋体"/>
          <w:szCs w:val="21"/>
        </w:rPr>
        <w:t>不同投标供应商的投标文件或部分投标文件相互混装</w:t>
      </w:r>
      <w:r>
        <w:rPr>
          <w:rFonts w:hint="eastAsia" w:ascii="宋体" w:hAnsi="宋体"/>
          <w:szCs w:val="21"/>
        </w:rPr>
        <w:t>；</w:t>
      </w:r>
    </w:p>
    <w:p>
      <w:pPr>
        <w:ind w:firstLine="420" w:firstLineChars="200"/>
        <w:rPr>
          <w:rFonts w:ascii="宋体" w:hAnsi="宋体"/>
          <w:szCs w:val="21"/>
        </w:rPr>
      </w:pPr>
      <w:r>
        <w:rPr>
          <w:rFonts w:hint="eastAsia" w:ascii="宋体" w:hAnsi="宋体"/>
          <w:szCs w:val="21"/>
        </w:rPr>
        <w:t>32.4.6投标供应商之间相互约定给予未中标的供应商利益补偿；</w:t>
      </w:r>
    </w:p>
    <w:p>
      <w:pPr>
        <w:ind w:firstLine="420" w:firstLineChars="200"/>
        <w:rPr>
          <w:rFonts w:ascii="宋体" w:hAnsi="宋体"/>
          <w:szCs w:val="21"/>
        </w:rPr>
      </w:pPr>
      <w:r>
        <w:rPr>
          <w:rFonts w:hint="eastAsia" w:ascii="宋体" w:hAnsi="宋体"/>
          <w:szCs w:val="21"/>
        </w:rPr>
        <w:t>32.4.7不同投标供应商的法定代表人、主要经营负责人、项目投标授权代表人、项目负责人、主要技术人员为同一人、属同一单位或者同一单位缴纳社会保险；</w:t>
      </w:r>
    </w:p>
    <w:p>
      <w:pPr>
        <w:ind w:firstLine="420" w:firstLineChars="200"/>
        <w:rPr>
          <w:rFonts w:ascii="宋体" w:hAnsi="宋体"/>
          <w:szCs w:val="21"/>
        </w:rPr>
      </w:pPr>
      <w:r>
        <w:rPr>
          <w:rFonts w:hint="eastAsia" w:ascii="宋体" w:hAnsi="宋体"/>
          <w:szCs w:val="21"/>
        </w:rPr>
        <w:t>32.4.8不同投标供应商的投标文件内容存在非正常一致；</w:t>
      </w:r>
    </w:p>
    <w:p>
      <w:pPr>
        <w:ind w:firstLine="420" w:firstLineChars="200"/>
        <w:rPr>
          <w:rFonts w:ascii="宋体" w:hAnsi="宋体"/>
          <w:szCs w:val="21"/>
        </w:rPr>
      </w:pPr>
      <w:r>
        <w:rPr>
          <w:rFonts w:hint="eastAsia" w:ascii="宋体" w:hAnsi="宋体"/>
          <w:szCs w:val="21"/>
        </w:rPr>
        <w:t>32.4.9在同一单位工作人员为两家以上（含两家）供应商进行同一项投标活动；</w:t>
      </w:r>
    </w:p>
    <w:p>
      <w:pPr>
        <w:ind w:firstLine="420" w:firstLineChars="200"/>
        <w:rPr>
          <w:rFonts w:ascii="宋体" w:hAnsi="宋体"/>
          <w:szCs w:val="21"/>
        </w:rPr>
      </w:pPr>
      <w:r>
        <w:rPr>
          <w:rFonts w:hint="eastAsia" w:ascii="宋体" w:hAnsi="宋体"/>
          <w:szCs w:val="21"/>
        </w:rPr>
        <w:t>32.4.10主管部门依照法律、法规认定的其他情形。</w:t>
      </w:r>
    </w:p>
    <w:p>
      <w:pPr>
        <w:ind w:firstLine="420" w:firstLineChars="200"/>
        <w:rPr>
          <w:rFonts w:ascii="宋体" w:hAnsi="宋体"/>
          <w:szCs w:val="21"/>
        </w:rPr>
      </w:pPr>
      <w:r>
        <w:rPr>
          <w:rFonts w:hint="eastAsia" w:ascii="宋体" w:hAnsi="宋体"/>
          <w:szCs w:val="21"/>
        </w:rPr>
        <w:t>32.5对不属于《资格性审查表》和《符合性审查表》所列的其他情形，除专用条款另有规定和32.4条款所列情形外，不得作为投标无效的理由。</w:t>
      </w:r>
    </w:p>
    <w:p>
      <w:pPr>
        <w:ind w:firstLine="420" w:firstLineChars="200"/>
        <w:rPr>
          <w:rFonts w:ascii="黑体" w:hAnsi="宋体" w:eastAsia="黑体"/>
          <w:szCs w:val="21"/>
        </w:rPr>
      </w:pPr>
      <w:r>
        <w:rPr>
          <w:rFonts w:hint="eastAsia" w:ascii="黑体" w:hAnsi="宋体" w:eastAsia="黑体"/>
          <w:szCs w:val="21"/>
        </w:rPr>
        <w:t>33．澄清有关问题</w:t>
      </w:r>
    </w:p>
    <w:p>
      <w:pPr>
        <w:ind w:firstLine="420" w:firstLineChars="200"/>
        <w:rPr>
          <w:rFonts w:ascii="宋体" w:hAnsi="宋体"/>
          <w:szCs w:val="21"/>
        </w:rPr>
      </w:pPr>
      <w:bookmarkStart w:id="66" w:name="_Hlk71407321"/>
      <w:r>
        <w:rPr>
          <w:rFonts w:hint="eastAsia" w:ascii="宋体" w:hAnsi="宋体"/>
          <w:szCs w:val="21"/>
        </w:rPr>
        <w:t>3</w:t>
      </w:r>
      <w:r>
        <w:rPr>
          <w:rFonts w:ascii="宋体" w:hAnsi="宋体"/>
          <w:szCs w:val="21"/>
        </w:rPr>
        <w:t>3.1</w:t>
      </w:r>
      <w:r>
        <w:rPr>
          <w:rFonts w:hint="eastAsia" w:ascii="宋体" w:hAnsi="宋体"/>
          <w:szCs w:val="21"/>
        </w:rPr>
        <w:t>对采购文件中描述有歧义或前后不一致的地方（不含</w:t>
      </w:r>
      <w:r>
        <w:rPr>
          <w:rFonts w:hint="eastAsia"/>
          <w:szCs w:val="21"/>
        </w:rPr>
        <w:t>采购</w:t>
      </w:r>
      <w:r>
        <w:rPr>
          <w:szCs w:val="21"/>
        </w:rPr>
        <w:t>文件存在歧义、重大缺陷导致评</w:t>
      </w:r>
      <w:r>
        <w:rPr>
          <w:rFonts w:hint="eastAsia"/>
          <w:szCs w:val="21"/>
        </w:rPr>
        <w:t>审</w:t>
      </w:r>
      <w:r>
        <w:rPr>
          <w:szCs w:val="21"/>
        </w:rPr>
        <w:t>工作无法进行</w:t>
      </w:r>
      <w:r>
        <w:rPr>
          <w:rFonts w:hint="eastAsia"/>
          <w:szCs w:val="21"/>
        </w:rPr>
        <w:t>的情况）</w:t>
      </w:r>
      <w:r>
        <w:rPr>
          <w:rFonts w:hint="eastAsia" w:ascii="宋体" w:hAnsi="宋体"/>
          <w:szCs w:val="21"/>
        </w:rPr>
        <w:t>，评审委员会有权进行评判，但对同一条款的评判应适用于每个投标人。</w:t>
      </w:r>
      <w:bookmarkEnd w:id="66"/>
    </w:p>
    <w:p>
      <w:pPr>
        <w:ind w:firstLine="420" w:firstLineChars="200"/>
        <w:rPr>
          <w:rFonts w:ascii="宋体" w:hAnsi="宋体"/>
          <w:szCs w:val="21"/>
        </w:rPr>
      </w:pPr>
      <w:r>
        <w:rPr>
          <w:rFonts w:hint="eastAsia" w:ascii="宋体" w:hAnsi="宋体"/>
          <w:szCs w:val="21"/>
        </w:rPr>
        <w:t>3</w:t>
      </w:r>
      <w:r>
        <w:rPr>
          <w:rFonts w:ascii="宋体" w:hAnsi="宋体"/>
          <w:szCs w:val="21"/>
        </w:rPr>
        <w:t>3.2</w:t>
      </w:r>
      <w:r>
        <w:rPr>
          <w:szCs w:val="21"/>
        </w:rPr>
        <w:t>评</w:t>
      </w:r>
      <w:r>
        <w:rPr>
          <w:rFonts w:hint="eastAsia"/>
          <w:szCs w:val="21"/>
        </w:rPr>
        <w:t>审</w:t>
      </w:r>
      <w:r>
        <w:rPr>
          <w:szCs w:val="21"/>
        </w:rPr>
        <w:t>委员会发现</w:t>
      </w:r>
      <w:r>
        <w:rPr>
          <w:rFonts w:hint="eastAsia"/>
          <w:szCs w:val="21"/>
        </w:rPr>
        <w:t>采购</w:t>
      </w:r>
      <w:r>
        <w:rPr>
          <w:szCs w:val="21"/>
        </w:rPr>
        <w:t>文件存在歧义、重大缺陷导致评</w:t>
      </w:r>
      <w:r>
        <w:rPr>
          <w:rFonts w:hint="eastAsia"/>
          <w:szCs w:val="21"/>
        </w:rPr>
        <w:t>审</w:t>
      </w:r>
      <w:r>
        <w:rPr>
          <w:szCs w:val="21"/>
        </w:rPr>
        <w:t>工作无法进行，或者</w:t>
      </w:r>
      <w:r>
        <w:rPr>
          <w:rFonts w:hint="eastAsia"/>
          <w:szCs w:val="21"/>
        </w:rPr>
        <w:t>采购</w:t>
      </w:r>
      <w:r>
        <w:rPr>
          <w:szCs w:val="21"/>
        </w:rPr>
        <w:t>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w:t>
      </w:r>
      <w:r>
        <w:rPr>
          <w:rFonts w:hint="eastAsia"/>
          <w:szCs w:val="21"/>
        </w:rPr>
        <w:t>采购</w:t>
      </w:r>
      <w:r>
        <w:rPr>
          <w:szCs w:val="21"/>
        </w:rPr>
        <w:t>文件，重新组织采购活动。</w:t>
      </w:r>
    </w:p>
    <w:p>
      <w:pPr>
        <w:ind w:firstLine="420" w:firstLineChars="200"/>
        <w:rPr>
          <w:rFonts w:ascii="宋体" w:hAnsi="宋体"/>
          <w:szCs w:val="21"/>
        </w:rPr>
      </w:pPr>
      <w:r>
        <w:rPr>
          <w:rFonts w:ascii="宋体" w:hAnsi="宋体"/>
          <w:szCs w:val="21"/>
        </w:rPr>
        <w:t>33.3</w:t>
      </w:r>
      <w:r>
        <w:rPr>
          <w:rFonts w:hint="eastAsia" w:ascii="宋体" w:hAnsi="宋体"/>
          <w:szCs w:val="21"/>
        </w:rPr>
        <w:t>对于投标文件中含义不明确、同类问题表述不一致或者有明显文字和计算错误的内容，评审委员会应当以书面形式要求投标人作出必要的澄清、说明或者补正。</w:t>
      </w:r>
    </w:p>
    <w:p>
      <w:pPr>
        <w:ind w:firstLine="420" w:firstLineChars="200"/>
        <w:rPr>
          <w:rFonts w:ascii="宋体" w:hAnsi="宋体"/>
          <w:szCs w:val="21"/>
        </w:rPr>
      </w:pPr>
      <w:r>
        <w:rPr>
          <w:rFonts w:hint="eastAsia" w:ascii="宋体" w:hAnsi="宋体"/>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20" w:firstLineChars="200"/>
        <w:rPr>
          <w:rFonts w:ascii="宋体" w:hAnsi="宋体"/>
          <w:szCs w:val="21"/>
        </w:rPr>
      </w:pPr>
      <w:r>
        <w:rPr>
          <w:rFonts w:hint="eastAsia" w:ascii="宋体" w:hAnsi="宋体"/>
          <w:szCs w:val="21"/>
        </w:rPr>
        <w:t>根据本通用条款第34条，凡属于评审委员会在评审中发现的算术错误进行核实的修改不在此列。</w:t>
      </w:r>
    </w:p>
    <w:p>
      <w:pPr>
        <w:ind w:firstLine="420" w:firstLineChars="200"/>
        <w:rPr>
          <w:rFonts w:ascii="黑体" w:hAnsi="宋体" w:eastAsia="黑体"/>
          <w:szCs w:val="21"/>
        </w:rPr>
      </w:pPr>
      <w:bookmarkStart w:id="67" w:name="_Toc73517673"/>
      <w:bookmarkStart w:id="68" w:name="_Toc73521669"/>
      <w:bookmarkStart w:id="69" w:name="_Toc73521581"/>
      <w:bookmarkStart w:id="70" w:name="_Toc73518151"/>
      <w:bookmarkStart w:id="71" w:name="_Toc100052400"/>
      <w:r>
        <w:rPr>
          <w:rFonts w:hint="eastAsia" w:ascii="黑体" w:hAnsi="宋体" w:eastAsia="黑体"/>
          <w:szCs w:val="21"/>
        </w:rPr>
        <w:t>34．错误的修正</w:t>
      </w:r>
      <w:bookmarkEnd w:id="67"/>
      <w:bookmarkEnd w:id="68"/>
      <w:bookmarkEnd w:id="69"/>
      <w:bookmarkEnd w:id="70"/>
      <w:bookmarkEnd w:id="71"/>
    </w:p>
    <w:p>
      <w:pPr>
        <w:ind w:firstLine="420" w:firstLineChars="200"/>
        <w:rPr>
          <w:rFonts w:ascii="宋体" w:hAnsi="宋体"/>
          <w:szCs w:val="21"/>
        </w:rPr>
      </w:pPr>
      <w:r>
        <w:rPr>
          <w:rFonts w:hint="eastAsia" w:ascii="宋体" w:hAnsi="宋体"/>
          <w:szCs w:val="21"/>
        </w:rPr>
        <w:t>投标文件报价出现前后不一致的，除专用条款另有规定外，按照下列规定修正：</w:t>
      </w:r>
    </w:p>
    <w:p>
      <w:pPr>
        <w:ind w:firstLine="420" w:firstLineChars="200"/>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pPr>
        <w:ind w:firstLine="420" w:firstLineChars="200"/>
        <w:rPr>
          <w:rFonts w:ascii="宋体" w:hAnsi="宋体"/>
          <w:szCs w:val="21"/>
        </w:rPr>
      </w:pPr>
      <w:r>
        <w:rPr>
          <w:rFonts w:hint="eastAsia" w:ascii="宋体" w:hAnsi="宋体"/>
          <w:szCs w:val="21"/>
        </w:rPr>
        <w:t>34.2大写金额和小写金额不一致的，以大写金额为准；</w:t>
      </w:r>
    </w:p>
    <w:p>
      <w:pPr>
        <w:ind w:firstLine="420" w:firstLineChars="200"/>
        <w:rPr>
          <w:rFonts w:ascii="宋体" w:hAnsi="宋体"/>
          <w:szCs w:val="21"/>
        </w:rPr>
      </w:pPr>
      <w:r>
        <w:rPr>
          <w:rFonts w:hint="eastAsia" w:ascii="宋体" w:hAnsi="宋体"/>
          <w:szCs w:val="21"/>
        </w:rPr>
        <w:t>34.3单价金额小数点或者百分比有明显错位，以开标一览表的总价为准，并修改单价；</w:t>
      </w:r>
    </w:p>
    <w:p>
      <w:pPr>
        <w:ind w:firstLine="420" w:firstLineChars="200"/>
        <w:rPr>
          <w:rFonts w:ascii="宋体" w:hAnsi="宋体"/>
          <w:szCs w:val="21"/>
        </w:rPr>
      </w:pPr>
      <w:r>
        <w:rPr>
          <w:rFonts w:hint="eastAsia" w:ascii="宋体" w:hAnsi="宋体"/>
          <w:szCs w:val="21"/>
        </w:rPr>
        <w:t>34.4总价金额与按单价汇总金额不一致的，以单价金额计算结果为准。</w:t>
      </w:r>
    </w:p>
    <w:p>
      <w:pPr>
        <w:ind w:firstLine="420" w:firstLineChars="200"/>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ind w:firstLine="420" w:firstLineChars="200"/>
        <w:rPr>
          <w:rFonts w:ascii="黑体" w:hAnsi="宋体" w:eastAsia="黑体"/>
          <w:szCs w:val="21"/>
        </w:rPr>
      </w:pPr>
      <w:r>
        <w:rPr>
          <w:rFonts w:hint="eastAsia" w:ascii="黑体" w:hAnsi="宋体" w:eastAsia="黑体"/>
          <w:szCs w:val="21"/>
        </w:rPr>
        <w:t>35．投标文件的比较与评价</w:t>
      </w:r>
    </w:p>
    <w:p>
      <w:pPr>
        <w:ind w:firstLine="420" w:firstLineChars="200"/>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20" w:firstLineChars="200"/>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pPr>
        <w:ind w:firstLine="420" w:firstLineChars="200"/>
        <w:rPr>
          <w:rFonts w:ascii="黑体" w:hAnsi="宋体" w:eastAsia="黑体"/>
          <w:szCs w:val="21"/>
        </w:rPr>
      </w:pPr>
      <w:r>
        <w:rPr>
          <w:rFonts w:hint="eastAsia" w:ascii="黑体" w:hAnsi="宋体" w:eastAsia="黑体"/>
          <w:szCs w:val="21"/>
        </w:rPr>
        <w:t>36. 实地考察或资料查验</w:t>
      </w:r>
    </w:p>
    <w:p>
      <w:pPr>
        <w:ind w:firstLine="420" w:firstLineChars="200"/>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pPr>
        <w:ind w:firstLine="420" w:firstLineChars="200"/>
        <w:rPr>
          <w:rFonts w:ascii="黑体" w:hAnsi="宋体" w:eastAsia="黑体"/>
          <w:szCs w:val="21"/>
        </w:rPr>
      </w:pPr>
      <w:r>
        <w:rPr>
          <w:rFonts w:hint="eastAsia" w:ascii="黑体" w:hAnsi="宋体" w:eastAsia="黑体"/>
          <w:szCs w:val="21"/>
        </w:rPr>
        <w:t>37．评审方法</w:t>
      </w:r>
    </w:p>
    <w:p>
      <w:pPr>
        <w:ind w:firstLine="422" w:firstLineChars="200"/>
        <w:rPr>
          <w:rFonts w:ascii="宋体" w:hAnsi="宋体"/>
          <w:b/>
          <w:bCs/>
          <w:szCs w:val="21"/>
        </w:rPr>
      </w:pPr>
      <w:r>
        <w:rPr>
          <w:rFonts w:hint="eastAsia" w:ascii="宋体" w:hAnsi="宋体"/>
          <w:b/>
          <w:bCs/>
          <w:szCs w:val="21"/>
        </w:rPr>
        <w:t>37.1.1最低价法</w:t>
      </w:r>
    </w:p>
    <w:p>
      <w:pPr>
        <w:ind w:firstLine="420" w:firstLineChars="200"/>
        <w:rPr>
          <w:rFonts w:ascii="ˎ̥" w:hAnsi="ˎ̥"/>
          <w:szCs w:val="21"/>
        </w:rPr>
      </w:pPr>
      <w:bookmarkStart w:id="72" w:name="_Hlk72438142"/>
      <w:r>
        <w:rPr>
          <w:rFonts w:ascii="ˎ̥" w:hAnsi="ˎ̥"/>
          <w:szCs w:val="21"/>
        </w:rPr>
        <w:t>最低价法，是指</w:t>
      </w:r>
      <w:r>
        <w:rPr>
          <w:rFonts w:hint="eastAsia" w:ascii="ˎ̥" w:hAnsi="ˎ̥"/>
          <w:szCs w:val="21"/>
        </w:rPr>
        <w:t>完全</w:t>
      </w:r>
      <w:r>
        <w:rPr>
          <w:rFonts w:ascii="ˎ̥" w:hAnsi="ˎ̥"/>
          <w:szCs w:val="21"/>
        </w:rPr>
        <w:t>满足</w:t>
      </w:r>
      <w:r>
        <w:rPr>
          <w:rFonts w:hint="eastAsia" w:ascii="ˎ̥" w:hAnsi="ˎ̥"/>
          <w:szCs w:val="21"/>
        </w:rPr>
        <w:t>采购</w:t>
      </w:r>
      <w:r>
        <w:rPr>
          <w:rFonts w:ascii="ˎ̥" w:hAnsi="ˎ̥"/>
          <w:szCs w:val="21"/>
        </w:rPr>
        <w:t>文件实质性要求，</w:t>
      </w:r>
      <w:r>
        <w:rPr>
          <w:rFonts w:hint="eastAsia" w:ascii="ˎ̥" w:hAnsi="ˎ̥"/>
          <w:szCs w:val="21"/>
        </w:rPr>
        <w:t>按照报价由低到高的顺序，依据采购文件中规定的数量或者比例推荐候选中标供应商。</w:t>
      </w:r>
    </w:p>
    <w:p>
      <w:pPr>
        <w:ind w:firstLine="422" w:firstLineChars="200"/>
        <w:rPr>
          <w:rFonts w:ascii="宋体" w:hAnsi="宋体"/>
          <w:b/>
          <w:bCs/>
          <w:szCs w:val="21"/>
        </w:rPr>
      </w:pPr>
      <w:r>
        <w:rPr>
          <w:rFonts w:hint="eastAsia" w:ascii="宋体" w:hAnsi="宋体"/>
          <w:b/>
          <w:bCs/>
          <w:szCs w:val="21"/>
        </w:rPr>
        <w:t>37.1.2综合评分法</w:t>
      </w:r>
    </w:p>
    <w:p>
      <w:pPr>
        <w:ind w:firstLine="420" w:firstLineChars="200"/>
        <w:rPr>
          <w:rFonts w:ascii="ˎ̥" w:hAnsi="ˎ̥"/>
          <w:szCs w:val="21"/>
        </w:rPr>
      </w:pPr>
      <w:r>
        <w:rPr>
          <w:rFonts w:ascii="ˎ̥" w:hAnsi="ˎ̥"/>
          <w:szCs w:val="21"/>
        </w:rPr>
        <w:t>综合评分法，是指</w:t>
      </w:r>
      <w:r>
        <w:rPr>
          <w:rFonts w:hint="eastAsia" w:ascii="ˎ̥" w:hAnsi="ˎ̥"/>
          <w:szCs w:val="21"/>
        </w:rPr>
        <w:t>在</w:t>
      </w:r>
      <w:r>
        <w:rPr>
          <w:rFonts w:ascii="ˎ̥" w:hAnsi="ˎ̥"/>
          <w:szCs w:val="21"/>
        </w:rPr>
        <w:t>满足</w:t>
      </w:r>
      <w:r>
        <w:rPr>
          <w:rFonts w:hint="eastAsia" w:ascii="ˎ̥" w:hAnsi="ˎ̥"/>
          <w:szCs w:val="21"/>
        </w:rPr>
        <w:t>采购</w:t>
      </w:r>
      <w:r>
        <w:rPr>
          <w:rFonts w:ascii="ˎ̥" w:hAnsi="ˎ̥"/>
          <w:szCs w:val="21"/>
        </w:rPr>
        <w:t>文件全部实质性要求</w:t>
      </w:r>
      <w:r>
        <w:rPr>
          <w:rFonts w:hint="eastAsia" w:ascii="ˎ̥" w:hAnsi="ˎ̥"/>
          <w:szCs w:val="21"/>
        </w:rPr>
        <w:t>的前提下</w:t>
      </w:r>
      <w:r>
        <w:rPr>
          <w:rFonts w:ascii="ˎ̥" w:hAnsi="ˎ̥"/>
          <w:szCs w:val="21"/>
        </w:rPr>
        <w:t>，</w:t>
      </w:r>
      <w:r>
        <w:rPr>
          <w:rFonts w:hint="eastAsia" w:ascii="ˎ̥" w:hAnsi="ˎ̥"/>
          <w:szCs w:val="21"/>
        </w:rPr>
        <w:t>按照采购文件中规定的各项因素进行综合评审，评审总得分排名前列的投标人，作为推荐的候选中标供应商。</w:t>
      </w:r>
      <w:bookmarkEnd w:id="72"/>
      <w:r>
        <w:rPr>
          <w:rFonts w:hint="eastAsia" w:ascii="宋体" w:hAnsi="宋体"/>
          <w:bCs/>
          <w:color w:val="FF0000"/>
          <w:szCs w:val="21"/>
        </w:rPr>
        <w:t xml:space="preserve">  </w:t>
      </w:r>
      <w:r>
        <w:rPr>
          <w:rFonts w:hint="eastAsia" w:ascii="宋体" w:hAnsi="宋体"/>
          <w:bCs/>
          <w:szCs w:val="21"/>
        </w:rPr>
        <w:t xml:space="preserve">                                                                                                                                                                                                                                                                                                                                                                                                                                                                                                                                                                                                                                                                                                                                                                                                                                                                                                                                                                                                                                                                                                                                                                                                                                                                                                                                                                                                                                                                                                                                                                                                                                                                                                                                                                                                                                                                                                                                                                                                                                                                                                                                                                                                                                                                                                                                                                                                                                                                                                                                                                                                                                                                                                                                                                                                                                                                                                                                                                                                                           </w:t>
      </w:r>
    </w:p>
    <w:p>
      <w:pPr>
        <w:ind w:firstLine="422" w:firstLineChars="200"/>
        <w:rPr>
          <w:rFonts w:ascii="宋体" w:hAnsi="宋体"/>
          <w:b/>
          <w:bCs/>
          <w:szCs w:val="21"/>
        </w:rPr>
      </w:pPr>
      <w:r>
        <w:rPr>
          <w:rFonts w:hint="eastAsia" w:ascii="宋体" w:hAnsi="宋体"/>
          <w:b/>
          <w:bCs/>
          <w:szCs w:val="21"/>
        </w:rPr>
        <w:t>37.2 本项目采用的评审方法见本项目采购文件第一册“专用条款”的相关内容。</w:t>
      </w:r>
    </w:p>
    <w:p>
      <w:pPr>
        <w:ind w:firstLine="422" w:firstLineChars="200"/>
        <w:rPr>
          <w:rFonts w:ascii="宋体" w:hAnsi="宋体"/>
          <w:b/>
          <w:bCs/>
          <w:szCs w:val="21"/>
        </w:rPr>
      </w:pPr>
      <w:r>
        <w:rPr>
          <w:rFonts w:hint="eastAsia" w:ascii="宋体" w:hAnsi="宋体"/>
          <w:b/>
          <w:bCs/>
          <w:szCs w:val="21"/>
        </w:rPr>
        <w:t>37.3重新评审的情形</w:t>
      </w:r>
    </w:p>
    <w:p>
      <w:pPr>
        <w:ind w:firstLine="420" w:firstLineChars="200"/>
        <w:rPr>
          <w:rFonts w:ascii="宋体" w:hAnsi="宋体"/>
          <w:b/>
          <w:bCs/>
          <w:szCs w:val="21"/>
        </w:rPr>
      </w:pPr>
      <w:r>
        <w:rPr>
          <w:rFonts w:hint="eastAsia" w:ascii="宋体" w:hAnsi="宋体" w:cs="宋体"/>
          <w:kern w:val="0"/>
          <w:szCs w:val="21"/>
        </w:rPr>
        <w:t>评审结果汇总完成后，除下列情形外，任何人不得修改评审结果：</w:t>
      </w:r>
    </w:p>
    <w:p>
      <w:pPr>
        <w:ind w:firstLine="420" w:firstLineChars="200"/>
        <w:rPr>
          <w:rFonts w:ascii="宋体" w:hAnsi="宋体" w:cs="宋体"/>
          <w:kern w:val="0"/>
          <w:szCs w:val="21"/>
        </w:rPr>
      </w:pPr>
      <w:r>
        <w:rPr>
          <w:rFonts w:hint="eastAsia" w:ascii="宋体" w:hAnsi="宋体" w:cs="宋体"/>
          <w:kern w:val="0"/>
          <w:szCs w:val="21"/>
        </w:rPr>
        <w:t>37.3.1分值汇总计算错误的；</w:t>
      </w:r>
    </w:p>
    <w:p>
      <w:pPr>
        <w:ind w:firstLine="420" w:firstLineChars="200"/>
        <w:rPr>
          <w:rFonts w:ascii="宋体" w:hAnsi="宋体" w:cs="宋体"/>
          <w:kern w:val="0"/>
          <w:szCs w:val="21"/>
        </w:rPr>
      </w:pPr>
      <w:r>
        <w:rPr>
          <w:rFonts w:hint="eastAsia" w:ascii="宋体" w:hAnsi="宋体" w:cs="宋体"/>
          <w:kern w:val="0"/>
          <w:szCs w:val="21"/>
        </w:rPr>
        <w:t>37.3.2分项评分超出评分标准范围的；</w:t>
      </w:r>
    </w:p>
    <w:p>
      <w:pPr>
        <w:ind w:firstLine="420" w:firstLineChars="200"/>
        <w:rPr>
          <w:rFonts w:ascii="宋体" w:hAnsi="宋体" w:cs="宋体"/>
          <w:kern w:val="0"/>
          <w:szCs w:val="21"/>
        </w:rPr>
      </w:pPr>
      <w:r>
        <w:rPr>
          <w:rFonts w:hint="eastAsia" w:ascii="宋体" w:hAnsi="宋体" w:cs="宋体"/>
          <w:kern w:val="0"/>
          <w:szCs w:val="21"/>
        </w:rPr>
        <w:t>37.3.3评审委员会成员对客观评审因素评分不一致的；</w:t>
      </w:r>
    </w:p>
    <w:p>
      <w:pPr>
        <w:ind w:firstLine="420" w:firstLineChars="200"/>
        <w:rPr>
          <w:rFonts w:ascii="宋体" w:hAnsi="宋体" w:cs="宋体"/>
          <w:kern w:val="0"/>
          <w:szCs w:val="21"/>
        </w:rPr>
      </w:pPr>
      <w:r>
        <w:rPr>
          <w:rFonts w:hint="eastAsia" w:ascii="宋体" w:hAnsi="宋体" w:cs="宋体"/>
          <w:kern w:val="0"/>
          <w:szCs w:val="21"/>
        </w:rPr>
        <w:t>37.3.4经评审委员会认定评分畸高、畸低的。</w:t>
      </w:r>
    </w:p>
    <w:p>
      <w:pPr>
        <w:ind w:firstLine="420" w:firstLineChars="200"/>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20" w:firstLineChars="200"/>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ind w:firstLine="422" w:firstLineChars="200"/>
        <w:rPr>
          <w:rFonts w:ascii="宋体" w:hAnsi="宋体"/>
          <w:b/>
          <w:bCs/>
          <w:szCs w:val="21"/>
        </w:rPr>
      </w:pPr>
      <w:r>
        <w:rPr>
          <w:rFonts w:hint="eastAsia" w:ascii="宋体" w:hAnsi="宋体"/>
          <w:b/>
          <w:bCs/>
          <w:szCs w:val="21"/>
        </w:rPr>
        <w:t xml:space="preserve"> 37.4重新组建评审委员会的情形</w:t>
      </w:r>
    </w:p>
    <w:p>
      <w:pPr>
        <w:ind w:firstLine="420" w:firstLineChars="200"/>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ind w:firstLine="420" w:firstLineChars="200"/>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20" w:firstLineChars="200"/>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20" w:firstLineChars="200"/>
        <w:rPr>
          <w:rFonts w:ascii="宋体" w:hAnsi="宋体" w:cs="宋体"/>
          <w:kern w:val="0"/>
          <w:szCs w:val="21"/>
        </w:rPr>
      </w:pPr>
      <w:r>
        <w:rPr>
          <w:rFonts w:hint="eastAsia" w:ascii="宋体" w:hAnsi="宋体" w:cs="宋体"/>
          <w:kern w:val="0"/>
          <w:szCs w:val="21"/>
        </w:rPr>
        <w:t>37.4.3评审委员会及其成员独立评标受到非法干预的；</w:t>
      </w:r>
    </w:p>
    <w:p>
      <w:pPr>
        <w:ind w:firstLine="420" w:firstLineChars="200"/>
        <w:rPr>
          <w:rFonts w:ascii="宋体" w:hAnsi="宋体" w:cs="宋体"/>
          <w:kern w:val="0"/>
          <w:szCs w:val="21"/>
        </w:rPr>
      </w:pPr>
      <w:r>
        <w:rPr>
          <w:rFonts w:hint="eastAsia" w:ascii="宋体" w:hAnsi="宋体" w:cs="宋体"/>
          <w:kern w:val="0"/>
          <w:szCs w:val="21"/>
        </w:rPr>
        <w:t>37.4.4有政府采购法实施条例第七十五条规定的违法行为的。</w:t>
      </w:r>
    </w:p>
    <w:p>
      <w:pPr>
        <w:ind w:firstLine="420" w:firstLineChars="200"/>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pPr>
        <w:ind w:firstLine="411" w:firstLineChars="196"/>
        <w:rPr>
          <w:rFonts w:ascii="宋体" w:hAnsi="宋体"/>
          <w:szCs w:val="21"/>
        </w:rPr>
      </w:pPr>
    </w:p>
    <w:p>
      <w:pPr>
        <w:pStyle w:val="78"/>
        <w:keepNext/>
        <w:keepLines/>
        <w:numPr>
          <w:ilvl w:val="0"/>
          <w:numId w:val="2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定标及公示</w:t>
      </w:r>
    </w:p>
    <w:p>
      <w:pPr>
        <w:ind w:firstLine="420" w:firstLineChars="200"/>
        <w:rPr>
          <w:rFonts w:ascii="黑体" w:hAnsi="宋体" w:eastAsia="黑体"/>
          <w:szCs w:val="21"/>
        </w:rPr>
      </w:pPr>
      <w:r>
        <w:rPr>
          <w:rFonts w:hint="eastAsia" w:ascii="黑体" w:hAnsi="宋体" w:eastAsia="黑体"/>
          <w:szCs w:val="21"/>
        </w:rPr>
        <w:t>38．定标方法</w:t>
      </w:r>
    </w:p>
    <w:p>
      <w:pPr>
        <w:ind w:firstLine="420" w:firstLineChars="200"/>
        <w:rPr>
          <w:rFonts w:ascii="宋体" w:hAnsi="宋体"/>
          <w:szCs w:val="21"/>
        </w:rPr>
      </w:pPr>
      <w:bookmarkStart w:id="73" w:name="_Hlk73782795"/>
      <w:r>
        <w:rPr>
          <w:rFonts w:hint="eastAsia" w:ascii="宋体" w:hAnsi="宋体"/>
          <w:szCs w:val="21"/>
        </w:rPr>
        <w:t>38.1非评定分离项目定标方法</w:t>
      </w:r>
    </w:p>
    <w:p>
      <w:pPr>
        <w:ind w:firstLine="420" w:firstLineChars="200"/>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1.1评审委员会依据本项目采购文件所约定的评审方法进行评审和比较，向政府集中采购机构提交书面评审报告，并根据评审方法比较评价结果从优到劣进行排序，确定候选中标供应商。</w:t>
      </w:r>
    </w:p>
    <w:p>
      <w:pPr>
        <w:ind w:firstLine="420" w:firstLineChars="200"/>
        <w:rPr>
          <w:rFonts w:ascii="ˎ̥" w:hAnsi="ˎ̥"/>
          <w:szCs w:val="21"/>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szCs w:val="21"/>
        </w:rPr>
        <w:t>采用最低价法的，评</w:t>
      </w:r>
      <w:r>
        <w:rPr>
          <w:rFonts w:hint="eastAsia" w:ascii="ˎ̥" w:hAnsi="ˎ̥"/>
          <w:szCs w:val="21"/>
        </w:rPr>
        <w:t>审</w:t>
      </w:r>
      <w:r>
        <w:rPr>
          <w:rFonts w:ascii="ˎ̥" w:hAnsi="ˎ̥"/>
          <w:szCs w:val="21"/>
        </w:rPr>
        <w:t>结果按投标报价由低到高顺序排列。投标报价相同的并列。投标文件满足</w:t>
      </w:r>
      <w:r>
        <w:rPr>
          <w:rFonts w:hint="eastAsia" w:ascii="ˎ̥" w:hAnsi="ˎ̥"/>
          <w:szCs w:val="21"/>
        </w:rPr>
        <w:t>采购</w:t>
      </w:r>
      <w:r>
        <w:rPr>
          <w:rFonts w:ascii="ˎ̥" w:hAnsi="ˎ̥"/>
          <w:szCs w:val="21"/>
        </w:rPr>
        <w:t>文件全部实质性要求且投标报价最低的</w:t>
      </w:r>
      <w:r>
        <w:rPr>
          <w:rFonts w:hint="eastAsia" w:ascii="ˎ̥" w:hAnsi="ˎ̥"/>
          <w:szCs w:val="21"/>
        </w:rPr>
        <w:t>投标人为</w:t>
      </w:r>
      <w:bookmarkStart w:id="74" w:name="_Hlk73821177"/>
      <w:r>
        <w:rPr>
          <w:rFonts w:hint="eastAsia" w:ascii="ˎ̥" w:hAnsi="ˎ̥"/>
          <w:szCs w:val="21"/>
        </w:rPr>
        <w:t>唯一候选中标供应商</w:t>
      </w:r>
      <w:bookmarkEnd w:id="74"/>
      <w:r>
        <w:rPr>
          <w:rFonts w:ascii="ˎ̥" w:hAnsi="ˎ̥"/>
          <w:szCs w:val="21"/>
        </w:rPr>
        <w:t>。</w:t>
      </w:r>
    </w:p>
    <w:p>
      <w:pPr>
        <w:ind w:firstLine="420" w:firstLineChars="200"/>
        <w:rPr>
          <w:rFonts w:ascii="ˎ̥" w:hAnsi="ˎ̥" w:eastAsiaTheme="minorEastAsia"/>
          <w:szCs w:val="21"/>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szCs w:val="21"/>
        </w:rPr>
        <w:t>用综合评分法的，评标结果按评审后得分由高到低顺序排列。得分相同的，按投标报价由低到高顺序排列。得分且投标报价相同的并列。投标文件满足</w:t>
      </w:r>
      <w:r>
        <w:rPr>
          <w:rFonts w:hint="eastAsia" w:ascii="ˎ̥" w:hAnsi="ˎ̥"/>
          <w:szCs w:val="21"/>
        </w:rPr>
        <w:t>采购</w:t>
      </w:r>
      <w:r>
        <w:rPr>
          <w:rFonts w:ascii="ˎ̥" w:hAnsi="ˎ̥"/>
          <w:szCs w:val="21"/>
        </w:rPr>
        <w:t>文件全部实质性要求，且按照评审因素的量化指标评审得分最高的投标人</w:t>
      </w:r>
      <w:r>
        <w:rPr>
          <w:rFonts w:hint="eastAsia" w:ascii="ˎ̥" w:hAnsi="ˎ̥"/>
          <w:szCs w:val="21"/>
        </w:rPr>
        <w:t>为唯一候选中标供应商</w:t>
      </w:r>
      <w:r>
        <w:rPr>
          <w:rFonts w:ascii="ˎ̥" w:hAnsi="ˎ̥"/>
          <w:szCs w:val="21"/>
        </w:rPr>
        <w:t>。</w:t>
      </w:r>
      <w:r>
        <w:rPr>
          <w:rFonts w:hint="eastAsia" w:ascii="ˎ̥" w:hAnsi="ˎ̥"/>
          <w:szCs w:val="21"/>
        </w:rPr>
        <w:t>出现</w:t>
      </w:r>
      <w:r>
        <w:rPr>
          <w:rFonts w:ascii="ˎ̥" w:hAnsi="ˎ̥"/>
          <w:szCs w:val="21"/>
        </w:rPr>
        <w:t>得分且投标报价相同的并列</w:t>
      </w:r>
      <w:r>
        <w:rPr>
          <w:rFonts w:hint="eastAsia" w:ascii="ˎ̥" w:hAnsi="ˎ̥"/>
          <w:szCs w:val="21"/>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ind w:firstLine="420" w:firstLineChars="200"/>
        <w:rPr>
          <w:rFonts w:ascii="宋体" w:hAnsi="宋体"/>
          <w:szCs w:val="21"/>
        </w:rPr>
      </w:pPr>
      <w:r>
        <w:rPr>
          <w:rFonts w:hint="eastAsia" w:ascii="宋体" w:hAnsi="宋体"/>
          <w:szCs w:val="21"/>
        </w:rPr>
        <w:t>38.2评定分离项目定标方法</w:t>
      </w:r>
    </w:p>
    <w:p>
      <w:pPr>
        <w:ind w:firstLine="420" w:firstLineChars="200"/>
        <w:rPr>
          <w:rFonts w:ascii="宋体" w:hAnsi="宋体"/>
          <w:szCs w:val="21"/>
        </w:rPr>
      </w:pPr>
      <w:r>
        <w:rPr>
          <w:rFonts w:hint="eastAsia" w:ascii="宋体" w:hAnsi="宋体"/>
          <w:szCs w:val="21"/>
        </w:rPr>
        <w:t>38.2.1评定分离是指在政府集中采购程序中，以公开征集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20" w:firstLineChars="200"/>
        <w:rPr>
          <w:szCs w:val="21"/>
        </w:rPr>
      </w:pPr>
      <w:r>
        <w:rPr>
          <w:rFonts w:ascii="宋体" w:hAnsi="宋体"/>
          <w:szCs w:val="21"/>
        </w:rPr>
        <w:t xml:space="preserve">38.2.2 </w:t>
      </w:r>
      <w:bookmarkStart w:id="75" w:name="_Hlk71469733"/>
      <w:r>
        <w:rPr>
          <w:szCs w:val="21"/>
        </w:rPr>
        <w:t>适用评定分离的</w:t>
      </w:r>
      <w:r>
        <w:rPr>
          <w:rFonts w:hint="eastAsia"/>
          <w:szCs w:val="21"/>
        </w:rPr>
        <w:t>采购</w:t>
      </w:r>
      <w:r>
        <w:rPr>
          <w:szCs w:val="21"/>
        </w:rPr>
        <w:t>项目，采用综合评分法评</w:t>
      </w:r>
      <w:r>
        <w:rPr>
          <w:rFonts w:hint="eastAsia"/>
          <w:szCs w:val="21"/>
        </w:rPr>
        <w:t>审。</w:t>
      </w:r>
      <w:r>
        <w:rPr>
          <w:rFonts w:hint="eastAsia" w:ascii="宋体" w:hAnsi="宋体"/>
          <w:szCs w:val="21"/>
        </w:rPr>
        <w:t>评审委员会按照评审结果，推荐</w:t>
      </w:r>
      <w:r>
        <w:rPr>
          <w:szCs w:val="21"/>
        </w:rPr>
        <w:t>三个合格的候选中标供应商。</w:t>
      </w:r>
    </w:p>
    <w:p>
      <w:pPr>
        <w:ind w:firstLine="420" w:firstLineChars="200"/>
        <w:rPr>
          <w:rFonts w:ascii="宋体" w:hAnsi="宋体"/>
          <w:szCs w:val="21"/>
        </w:rPr>
      </w:pPr>
      <w:r>
        <w:rPr>
          <w:rFonts w:hint="eastAsia" w:ascii="宋体" w:hAnsi="宋体"/>
          <w:szCs w:val="21"/>
        </w:rPr>
        <w:t>38.2.3</w:t>
      </w:r>
      <w:bookmarkStart w:id="76" w:name="_Hlk71469688"/>
      <w:r>
        <w:rPr>
          <w:szCs w:val="21"/>
        </w:rPr>
        <w:t>适用评定分离的</w:t>
      </w:r>
      <w:r>
        <w:rPr>
          <w:rFonts w:hint="eastAsia"/>
          <w:szCs w:val="21"/>
        </w:rPr>
        <w:t>采购</w:t>
      </w:r>
      <w:r>
        <w:rPr>
          <w:szCs w:val="21"/>
        </w:rPr>
        <w:t>项目，</w:t>
      </w:r>
      <w:r>
        <w:rPr>
          <w:rFonts w:hint="eastAsia" w:ascii="宋体" w:hAnsi="宋体"/>
          <w:szCs w:val="21"/>
        </w:rPr>
        <w:t>按照自定法确定中标供应商：自定法是指采购人组织定标委员会，由定标委员会在三家候选中标供应商中确定中标供应商。</w:t>
      </w:r>
      <w:bookmarkEnd w:id="75"/>
      <w:bookmarkEnd w:id="76"/>
    </w:p>
    <w:p>
      <w:pPr>
        <w:ind w:firstLine="420" w:firstLineChars="200"/>
        <w:rPr>
          <w:rFonts w:ascii="宋体" w:hAnsi="宋体"/>
          <w:szCs w:val="21"/>
        </w:rPr>
      </w:pPr>
      <w:r>
        <w:rPr>
          <w:rFonts w:ascii="宋体" w:hAnsi="宋体"/>
          <w:szCs w:val="21"/>
        </w:rPr>
        <w:t>38.2.4</w:t>
      </w:r>
      <w:r>
        <w:rPr>
          <w:rFonts w:hint="eastAsia" w:ascii="宋体" w:hAnsi="宋体"/>
          <w:szCs w:val="21"/>
        </w:rPr>
        <w:t>政府集中采购机构</w:t>
      </w:r>
      <w:r>
        <w:rPr>
          <w:szCs w:val="21"/>
        </w:rPr>
        <w:t>应当自评审结束之日起两个工作日内将候选中标供应商名单及其投标文件、评审报告送交采购人</w:t>
      </w:r>
      <w:r>
        <w:rPr>
          <w:rFonts w:hint="eastAsia" w:ascii="宋体" w:hAnsi="宋体"/>
          <w:szCs w:val="21"/>
        </w:rPr>
        <w:t>。</w:t>
      </w:r>
      <w:r>
        <w:rPr>
          <w:szCs w:val="21"/>
        </w:rPr>
        <w:t>采购人应当安排专人对定标过程进行书面记录，形成定标报告，作为采购文件的组成部分存档，并及时将定标结果反馈</w:t>
      </w:r>
      <w:r>
        <w:rPr>
          <w:rFonts w:hint="eastAsia"/>
          <w:szCs w:val="21"/>
        </w:rPr>
        <w:t>政府集中采购机构。具体定标程序及相关要求以参照《</w:t>
      </w:r>
      <w:r>
        <w:rPr>
          <w:szCs w:val="21"/>
        </w:rPr>
        <w:t>深圳市财政局关于印发</w:t>
      </w:r>
      <w:r>
        <w:rPr>
          <w:rFonts w:hint="eastAsia" w:ascii="宋体" w:hAnsi="宋体"/>
          <w:szCs w:val="21"/>
        </w:rPr>
        <w:t>〈</w:t>
      </w:r>
      <w:r>
        <w:rPr>
          <w:szCs w:val="21"/>
        </w:rPr>
        <w:t>深圳市政府采购评标定标分离管理办法</w:t>
      </w:r>
      <w:r>
        <w:rPr>
          <w:rFonts w:hint="eastAsia" w:ascii="宋体" w:hAnsi="宋体"/>
          <w:szCs w:val="21"/>
        </w:rPr>
        <w:t>〉</w:t>
      </w:r>
      <w:r>
        <w:rPr>
          <w:szCs w:val="21"/>
        </w:rPr>
        <w:t>的通知</w:t>
      </w:r>
      <w:r>
        <w:rPr>
          <w:rFonts w:hint="eastAsia"/>
          <w:szCs w:val="21"/>
        </w:rPr>
        <w:t>》（深财规【2</w:t>
      </w:r>
      <w:r>
        <w:rPr>
          <w:szCs w:val="21"/>
        </w:rPr>
        <w:t>020</w:t>
      </w:r>
      <w:r>
        <w:rPr>
          <w:rFonts w:hint="eastAsia"/>
          <w:szCs w:val="21"/>
        </w:rPr>
        <w:t>】1号）执行。</w:t>
      </w:r>
    </w:p>
    <w:p>
      <w:pPr>
        <w:ind w:firstLine="420" w:firstLineChars="200"/>
        <w:rPr>
          <w:rFonts w:ascii="宋体" w:hAnsi="宋体"/>
          <w:szCs w:val="21"/>
        </w:rPr>
      </w:pPr>
      <w:r>
        <w:rPr>
          <w:rFonts w:hint="eastAsia" w:ascii="宋体" w:hAnsi="宋体"/>
          <w:szCs w:val="21"/>
        </w:rPr>
        <w:t>说明：采购人及投标供应商应按照上述方法提前做好相关准备。</w:t>
      </w:r>
    </w:p>
    <w:p>
      <w:pPr>
        <w:ind w:firstLine="420" w:firstLineChars="200"/>
        <w:rPr>
          <w:rFonts w:ascii="宋体" w:hAnsi="宋体"/>
          <w:szCs w:val="21"/>
        </w:rPr>
      </w:pPr>
      <w:r>
        <w:rPr>
          <w:rFonts w:hint="eastAsia" w:ascii="宋体" w:hAnsi="宋体"/>
          <w:szCs w:val="21"/>
        </w:rPr>
        <w:t>38.3专用条款另有规定的，按专用条款相关要求定标。</w:t>
      </w:r>
      <w:bookmarkEnd w:id="73"/>
    </w:p>
    <w:p>
      <w:pPr>
        <w:ind w:firstLine="420" w:firstLineChars="200"/>
        <w:rPr>
          <w:rFonts w:ascii="黑体" w:hAnsi="宋体" w:eastAsia="黑体"/>
          <w:szCs w:val="21"/>
        </w:rPr>
      </w:pPr>
      <w:r>
        <w:rPr>
          <w:rFonts w:hint="eastAsia" w:ascii="黑体" w:hAnsi="宋体" w:eastAsia="黑体"/>
          <w:szCs w:val="21"/>
        </w:rPr>
        <w:t>39．编写评审报告</w:t>
      </w:r>
    </w:p>
    <w:p>
      <w:pPr>
        <w:ind w:firstLine="420" w:firstLineChars="200"/>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ind w:firstLine="420" w:firstLineChars="200"/>
        <w:rPr>
          <w:rFonts w:ascii="黑体" w:hAnsi="宋体" w:eastAsia="黑体"/>
          <w:szCs w:val="21"/>
        </w:rPr>
      </w:pPr>
      <w:r>
        <w:rPr>
          <w:rFonts w:hint="eastAsia" w:ascii="黑体" w:hAnsi="宋体" w:eastAsia="黑体"/>
          <w:szCs w:val="21"/>
        </w:rPr>
        <w:t>40．中标（成交）公告</w:t>
      </w:r>
    </w:p>
    <w:p>
      <w:pPr>
        <w:ind w:firstLine="420" w:firstLineChars="200"/>
        <w:rPr>
          <w:rFonts w:ascii="宋体" w:hAnsi="宋体"/>
          <w:szCs w:val="21"/>
        </w:rPr>
      </w:pPr>
      <w:r>
        <w:rPr>
          <w:rFonts w:hint="eastAsia" w:ascii="宋体" w:hAnsi="宋体"/>
          <w:szCs w:val="21"/>
        </w:rPr>
        <w:t>40.1</w:t>
      </w:r>
      <w:bookmarkStart w:id="77" w:name="_Hlk72438709"/>
      <w:r>
        <w:rPr>
          <w:rFonts w:hint="eastAsia" w:ascii="宋体" w:hAnsi="宋体"/>
          <w:szCs w:val="21"/>
        </w:rPr>
        <w:t>为体现“公开、公平、公正”的原则，评审结束后经采购人确认（确定）评审结果，政府集中采购机构将在深圳交易集团（深圳公共资源交易中心）官网</w:t>
      </w:r>
      <w:r>
        <w:rPr>
          <w:rFonts w:hint="eastAsia" w:ascii="宋体" w:hAnsi="宋体"/>
          <w:b/>
          <w:bCs/>
          <w:szCs w:val="21"/>
        </w:rPr>
        <w:t>https://www.szexgrp.com/jyfw/zfcg-view.html?id=zfcg</w:t>
      </w:r>
      <w:r>
        <w:rPr>
          <w:rFonts w:hint="eastAsia" w:ascii="宋体" w:hAnsi="宋体"/>
          <w:szCs w:val="21"/>
        </w:rPr>
        <w:t>上发布中标结果公告。</w:t>
      </w:r>
      <w:bookmarkEnd w:id="77"/>
      <w:bookmarkStart w:id="78" w:name="_Hlk72438751"/>
      <w:r>
        <w:rPr>
          <w:rFonts w:hint="eastAsia" w:ascii="宋体" w:hAnsi="宋体"/>
          <w:szCs w:val="21"/>
        </w:rPr>
        <w:t>中标(成交)公告公示内容包含:采购人名称、项目名称、预算金额、采购方式、成交供应商名称、成交金额。供应商如对评审结果有异议，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 xml:space="preserve">提出。 </w:t>
      </w:r>
      <w:r>
        <w:rPr>
          <w:rFonts w:hint="eastAsia" w:ascii="宋体" w:hAnsi="宋体"/>
          <w:szCs w:val="21"/>
        </w:rPr>
        <w:t xml:space="preserve"> 监督电话：0755-86500050</w:t>
      </w:r>
      <w:r>
        <w:rPr>
          <w:rFonts w:ascii="宋体" w:hAnsi="宋体"/>
          <w:szCs w:val="21"/>
        </w:rPr>
        <w:t>。</w:t>
      </w:r>
      <w:r>
        <w:rPr>
          <w:rFonts w:hint="eastAsia" w:ascii="宋体" w:hAnsi="宋体"/>
          <w:szCs w:val="21"/>
        </w:rPr>
        <w:t>若在公示期内未提出质疑，则视为认同该评审结果。</w:t>
      </w:r>
    </w:p>
    <w:bookmarkEnd w:id="78"/>
    <w:p>
      <w:pPr>
        <w:ind w:firstLine="420" w:firstLineChars="200"/>
        <w:rPr>
          <w:rFonts w:ascii="宋体" w:hAnsi="宋体"/>
          <w:szCs w:val="21"/>
        </w:rPr>
      </w:pPr>
      <w:r>
        <w:rPr>
          <w:rFonts w:hint="eastAsia" w:ascii="宋体" w:hAnsi="宋体"/>
          <w:szCs w:val="21"/>
        </w:rPr>
        <w:t>40.2质疑、投诉供应商应保证质疑、投诉内容的真实性和可靠性，并承担相应的法律责任。</w:t>
      </w:r>
    </w:p>
    <w:p>
      <w:pPr>
        <w:ind w:firstLine="420" w:firstLineChars="200"/>
        <w:rPr>
          <w:rFonts w:ascii="黑体" w:hAnsi="宋体" w:eastAsia="黑体"/>
          <w:szCs w:val="21"/>
        </w:rPr>
      </w:pPr>
      <w:r>
        <w:rPr>
          <w:rFonts w:hint="eastAsia" w:ascii="黑体" w:hAnsi="宋体" w:eastAsia="黑体"/>
          <w:szCs w:val="21"/>
        </w:rPr>
        <w:t>41．中标通知书</w:t>
      </w:r>
    </w:p>
    <w:p>
      <w:pPr>
        <w:ind w:firstLine="420" w:firstLineChars="200"/>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79"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szCs w:val="21"/>
        </w:rPr>
        <w:t>深圳政府采购自行采购系统（https://trade.szggzy.com/ggzy/center/#/login）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79"/>
    </w:p>
    <w:p>
      <w:pPr>
        <w:ind w:firstLine="420" w:firstLineChars="200"/>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20" w:firstLineChars="200"/>
        <w:rPr>
          <w:rFonts w:ascii="宋体" w:hAnsi="宋体"/>
          <w:szCs w:val="21"/>
        </w:rPr>
      </w:pPr>
      <w:bookmarkStart w:id="80" w:name="_Hlk71407340"/>
      <w:r>
        <w:rPr>
          <w:rFonts w:hint="eastAsia" w:ascii="宋体" w:hAnsi="宋体"/>
          <w:szCs w:val="21"/>
        </w:rPr>
        <w:t>41.3因质疑投诉或其他原因导致项目结果变更或采购终止的，政府集中采购机构有权吊销中标通知书。</w:t>
      </w:r>
    </w:p>
    <w:bookmarkEnd w:id="80"/>
    <w:p>
      <w:pPr>
        <w:ind w:firstLine="411" w:firstLineChars="196"/>
        <w:rPr>
          <w:rFonts w:ascii="宋体" w:hAnsi="宋体"/>
          <w:szCs w:val="21"/>
        </w:rPr>
      </w:pPr>
    </w:p>
    <w:p>
      <w:pPr>
        <w:pStyle w:val="78"/>
        <w:keepNext/>
        <w:keepLines/>
        <w:numPr>
          <w:ilvl w:val="0"/>
          <w:numId w:val="2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公开征集失败的后续处理</w:t>
      </w:r>
    </w:p>
    <w:p>
      <w:pPr>
        <w:ind w:firstLine="420" w:firstLineChars="200"/>
        <w:rPr>
          <w:rFonts w:ascii="黑体" w:hAnsi="宋体" w:eastAsia="黑体"/>
          <w:szCs w:val="21"/>
        </w:rPr>
      </w:pPr>
      <w:r>
        <w:rPr>
          <w:rFonts w:hint="eastAsia" w:ascii="黑体" w:hAnsi="宋体" w:eastAsia="黑体"/>
          <w:szCs w:val="21"/>
        </w:rPr>
        <w:t>42．公开征集失败的处理</w:t>
      </w:r>
    </w:p>
    <w:p>
      <w:pPr>
        <w:ind w:firstLine="420" w:firstLineChars="200"/>
        <w:rPr>
          <w:rFonts w:ascii="宋体" w:hAnsi="宋体"/>
          <w:szCs w:val="21"/>
        </w:rPr>
      </w:pPr>
      <w:r>
        <w:rPr>
          <w:rFonts w:hint="eastAsia" w:ascii="宋体" w:hAnsi="宋体"/>
          <w:szCs w:val="21"/>
        </w:rPr>
        <w:t>42.1本项目公开征集过程中若出现投标截止后实际递交</w:t>
      </w:r>
      <w:r>
        <w:rPr>
          <w:rFonts w:ascii="宋体" w:hAnsi="宋体"/>
          <w:szCs w:val="21"/>
        </w:rPr>
        <w:t>投标</w:t>
      </w:r>
      <w:r>
        <w:rPr>
          <w:rFonts w:hint="eastAsia" w:ascii="宋体" w:hAnsi="宋体"/>
          <w:szCs w:val="21"/>
        </w:rPr>
        <w:t>文件的供应商数量不足、经评审委员会评审对征集文件作实质响应的供应商不足等情况，公开征集有效供应商不足三家的，</w:t>
      </w:r>
      <w:r>
        <w:rPr>
          <w:rFonts w:hint="eastAsia" w:ascii="宋体" w:hAnsi="宋体"/>
          <w:b/>
          <w:bCs/>
          <w:color w:val="FF0000"/>
          <w:szCs w:val="21"/>
        </w:rPr>
        <w:t>项目可选择重新采购，也可根据以下情况开展（根据以下情况开展的需在专用条款中明确）</w:t>
      </w:r>
      <w:r>
        <w:rPr>
          <w:rFonts w:hint="eastAsia" w:ascii="宋体" w:hAnsi="宋体"/>
          <w:szCs w:val="21"/>
        </w:rPr>
        <w:t>：</w:t>
      </w:r>
    </w:p>
    <w:p>
      <w:pPr>
        <w:ind w:firstLine="420" w:firstLineChars="200"/>
        <w:rPr>
          <w:rFonts w:ascii="宋体" w:hAnsi="宋体"/>
          <w:szCs w:val="21"/>
        </w:rPr>
      </w:pPr>
      <w:r>
        <w:rPr>
          <w:rFonts w:hint="eastAsia" w:ascii="宋体" w:hAnsi="宋体"/>
          <w:szCs w:val="21"/>
        </w:rPr>
        <w:t>42.1.1有效供应商为两家的，项目现场转为邀请竞标，评审委员会根据本项目采购文件规定的评审方法确定中标供应商；</w:t>
      </w:r>
    </w:p>
    <w:p>
      <w:pPr>
        <w:ind w:firstLine="420" w:firstLineChars="200"/>
        <w:rPr>
          <w:rFonts w:ascii="宋体" w:hAnsi="宋体"/>
          <w:szCs w:val="21"/>
        </w:rPr>
      </w:pPr>
      <w:r>
        <w:rPr>
          <w:rFonts w:hint="eastAsia" w:ascii="宋体" w:hAnsi="宋体"/>
          <w:szCs w:val="21"/>
        </w:rPr>
        <w:t>42.1.2有效供应商为一家的，项目现场转为直接采购，评审委员会与唯一供应商进行总计不少于三轮谈判、报价（含首轮报价）；</w:t>
      </w:r>
    </w:p>
    <w:p>
      <w:pPr>
        <w:ind w:firstLine="420" w:firstLineChars="200"/>
        <w:rPr>
          <w:rFonts w:ascii="宋体" w:hAnsi="宋体"/>
          <w:szCs w:val="21"/>
        </w:rPr>
      </w:pPr>
      <w:r>
        <w:rPr>
          <w:rFonts w:hint="eastAsia" w:ascii="宋体" w:hAnsi="宋体"/>
          <w:szCs w:val="21"/>
        </w:rPr>
        <w:t>42.1.3无有效供应商的，项目公开征集失败，重新组织公开征集。</w:t>
      </w:r>
    </w:p>
    <w:p>
      <w:pPr>
        <w:ind w:firstLine="420" w:firstLineChars="200"/>
        <w:rPr>
          <w:rFonts w:ascii="宋体" w:hAnsi="宋体"/>
          <w:szCs w:val="21"/>
        </w:rPr>
      </w:pPr>
      <w:r>
        <w:rPr>
          <w:rFonts w:hint="eastAsia" w:ascii="宋体" w:hAnsi="宋体"/>
          <w:szCs w:val="21"/>
        </w:rPr>
        <w:t>42.2对公开征集失败的项目，评审委员会在出具该项目征集失败结论的同时，可以提出重新采购组织形式的建议，以及进一步完善征集文件的资格、技术、商务要求的修改建议。</w:t>
      </w:r>
    </w:p>
    <w:p>
      <w:pPr>
        <w:ind w:firstLine="420" w:firstLineChars="200"/>
        <w:rPr>
          <w:rFonts w:ascii="宋体" w:hAnsi="宋体"/>
          <w:szCs w:val="21"/>
        </w:rPr>
      </w:pPr>
      <w:r>
        <w:rPr>
          <w:rFonts w:hint="eastAsia" w:ascii="宋体" w:hAnsi="宋体"/>
          <w:szCs w:val="21"/>
        </w:rPr>
        <w:t>42.3公开征集失败的采购项目重新组织公开征集，由政府集中采购机构重新按公开征集流程组织采购活动。</w:t>
      </w:r>
    </w:p>
    <w:p>
      <w:pPr>
        <w:ind w:firstLine="420" w:firstLineChars="200"/>
        <w:rPr>
          <w:rFonts w:ascii="宋体" w:hAnsi="宋体"/>
          <w:szCs w:val="21"/>
        </w:rPr>
      </w:pPr>
      <w:r>
        <w:rPr>
          <w:rFonts w:hint="eastAsia" w:ascii="宋体" w:hAnsi="宋体"/>
          <w:szCs w:val="21"/>
        </w:rPr>
        <w:t>公开征集失败的采购项目转为邀请竞标或直接采购方式采购的，不另行制作谈判文件，政府集中采购代理机构可就原征集文件中资质、技术及评标方法等变动情况向拟谈判对象作出补充说明，与原征集文件具同等效力，变动部分以补充说明文件为准。转为邀请竞标或直接采购方式采购的，供应商的原投标文件转为谈判应答文件。</w:t>
      </w:r>
    </w:p>
    <w:p>
      <w:pPr>
        <w:ind w:firstLine="420" w:firstLineChars="200"/>
        <w:rPr>
          <w:rFonts w:ascii="黑体" w:hAnsi="宋体" w:eastAsia="黑体"/>
          <w:szCs w:val="21"/>
        </w:rPr>
      </w:pPr>
      <w:r>
        <w:rPr>
          <w:rFonts w:hint="eastAsia" w:ascii="黑体" w:hAnsi="宋体" w:eastAsia="黑体"/>
          <w:szCs w:val="21"/>
        </w:rPr>
        <w:t>43．公开征集失败项目转为邀请竞标方式采购</w:t>
      </w:r>
    </w:p>
    <w:p>
      <w:pPr>
        <w:ind w:firstLine="420" w:firstLineChars="200"/>
        <w:rPr>
          <w:rFonts w:ascii="宋体" w:hAnsi="宋体"/>
          <w:szCs w:val="21"/>
        </w:rPr>
      </w:pPr>
      <w:r>
        <w:rPr>
          <w:rFonts w:hint="eastAsia" w:ascii="宋体" w:hAnsi="宋体"/>
          <w:szCs w:val="21"/>
        </w:rPr>
        <w:t>43.1谈判小组</w:t>
      </w:r>
    </w:p>
    <w:p>
      <w:pPr>
        <w:ind w:firstLine="420" w:firstLineChars="200"/>
        <w:rPr>
          <w:rFonts w:ascii="宋体" w:hAnsi="宋体"/>
          <w:szCs w:val="21"/>
        </w:rPr>
      </w:pPr>
      <w:r>
        <w:rPr>
          <w:rFonts w:hint="eastAsia" w:ascii="宋体" w:hAnsi="宋体"/>
          <w:szCs w:val="21"/>
        </w:rPr>
        <w:t>43.1.1公开征集重新招标失败项目转为邀请竞标方式采购后，评审委员会转为谈判小组，谈判小组成员由采购单位代表和有关专家共3人以上（含3人）的单数组成；专家可重新抽取也可继续采用评审委员会内专家。</w:t>
      </w:r>
    </w:p>
    <w:p>
      <w:pPr>
        <w:ind w:firstLine="420" w:firstLineChars="200"/>
        <w:rPr>
          <w:rFonts w:ascii="宋体" w:hAnsi="宋体"/>
          <w:szCs w:val="21"/>
        </w:rPr>
      </w:pPr>
      <w:r>
        <w:rPr>
          <w:rFonts w:hint="eastAsia" w:ascii="宋体" w:hAnsi="宋体"/>
          <w:szCs w:val="21"/>
        </w:rPr>
        <w:t>43.1.2谈判前，谈判小组将对各供应商的谈判应答文件进行审查，当谈判应答文件出现否决的将视为无效，按废标处理，不得进入谈判，具体否决内容见原征集文件中投标文件初审表的《资格性检查表》部分以及谈判邀请中相应的变动部分。</w:t>
      </w:r>
    </w:p>
    <w:p>
      <w:pPr>
        <w:ind w:firstLine="420" w:firstLineChars="200"/>
        <w:rPr>
          <w:rFonts w:ascii="宋体" w:hAnsi="宋体"/>
          <w:szCs w:val="21"/>
        </w:rPr>
      </w:pPr>
      <w:r>
        <w:rPr>
          <w:rFonts w:hint="eastAsia" w:ascii="宋体" w:hAnsi="宋体"/>
          <w:szCs w:val="21"/>
        </w:rPr>
        <w:t>43.2谈判程序</w:t>
      </w:r>
    </w:p>
    <w:p>
      <w:pPr>
        <w:ind w:firstLine="420" w:firstLineChars="200"/>
        <w:rPr>
          <w:rFonts w:ascii="宋体" w:hAnsi="宋体"/>
          <w:szCs w:val="21"/>
        </w:rPr>
      </w:pPr>
      <w:r>
        <w:rPr>
          <w:rFonts w:hint="eastAsia" w:ascii="宋体" w:hAnsi="宋体"/>
          <w:szCs w:val="21"/>
        </w:rPr>
        <w:t>43.2.1参加谈判的供应商和谈判小组成员填写谈判登记表，并交验证明文件（法定代表人证明书、法人授权委托书、被授权的谈判代表身份证原件）。</w:t>
      </w:r>
    </w:p>
    <w:p>
      <w:pPr>
        <w:ind w:firstLine="420" w:firstLineChars="200"/>
        <w:rPr>
          <w:rFonts w:ascii="宋体" w:hAnsi="宋体"/>
          <w:szCs w:val="21"/>
        </w:rPr>
      </w:pPr>
      <w:r>
        <w:rPr>
          <w:rFonts w:hint="eastAsia" w:ascii="宋体" w:hAnsi="宋体"/>
          <w:szCs w:val="21"/>
        </w:rPr>
        <w:t>43.2.2谈判小组主持人宣布谈判规则和谈判纪律。</w:t>
      </w:r>
    </w:p>
    <w:p>
      <w:pPr>
        <w:ind w:firstLine="420" w:firstLineChars="200"/>
        <w:rPr>
          <w:rFonts w:ascii="宋体" w:hAnsi="宋体"/>
          <w:szCs w:val="21"/>
        </w:rPr>
      </w:pPr>
      <w:r>
        <w:rPr>
          <w:rFonts w:hint="eastAsia" w:ascii="宋体" w:hAnsi="宋体"/>
          <w:szCs w:val="21"/>
        </w:rPr>
        <w:t>43.2.3在谈判中，谈判小组将就以下谈判内容跟供应商进行谈判：</w:t>
      </w:r>
    </w:p>
    <w:p>
      <w:pPr>
        <w:ind w:firstLine="420" w:firstLineChars="200"/>
        <w:rPr>
          <w:rFonts w:ascii="宋体" w:hAnsi="宋体"/>
          <w:szCs w:val="21"/>
        </w:rPr>
      </w:pPr>
      <w:r>
        <w:rPr>
          <w:rFonts w:hint="eastAsia" w:ascii="宋体" w:hAnsi="宋体"/>
          <w:szCs w:val="21"/>
        </w:rPr>
        <w:t>（1）项目方案；</w:t>
      </w:r>
    </w:p>
    <w:p>
      <w:pPr>
        <w:ind w:firstLine="420" w:firstLineChars="200"/>
        <w:rPr>
          <w:rFonts w:ascii="宋体" w:hAnsi="宋体"/>
          <w:szCs w:val="21"/>
        </w:rPr>
      </w:pPr>
      <w:r>
        <w:rPr>
          <w:rFonts w:hint="eastAsia" w:ascii="宋体" w:hAnsi="宋体"/>
          <w:szCs w:val="21"/>
        </w:rPr>
        <w:t>（2）报价；</w:t>
      </w:r>
    </w:p>
    <w:p>
      <w:pPr>
        <w:ind w:firstLine="420" w:firstLineChars="200"/>
        <w:rPr>
          <w:rFonts w:ascii="宋体" w:hAnsi="宋体"/>
          <w:szCs w:val="21"/>
        </w:rPr>
      </w:pPr>
      <w:r>
        <w:rPr>
          <w:rFonts w:hint="eastAsia" w:ascii="宋体" w:hAnsi="宋体"/>
          <w:szCs w:val="21"/>
        </w:rPr>
        <w:t>（3）其它相关事项。</w:t>
      </w:r>
    </w:p>
    <w:p>
      <w:pPr>
        <w:ind w:firstLine="420" w:firstLineChars="200"/>
        <w:rPr>
          <w:rFonts w:ascii="宋体" w:hAnsi="宋体"/>
          <w:szCs w:val="21"/>
        </w:rPr>
      </w:pPr>
      <w:r>
        <w:rPr>
          <w:rFonts w:hint="eastAsia" w:ascii="宋体" w:hAnsi="宋体"/>
          <w:szCs w:val="21"/>
        </w:rPr>
        <w:t>原征集文件或谈判邀请文件有实质性变动的，谈判小组应当通过政府集中采购代理机构通知所有参加谈判的供应商。</w:t>
      </w:r>
    </w:p>
    <w:p>
      <w:pPr>
        <w:ind w:firstLine="420" w:firstLineChars="200"/>
        <w:rPr>
          <w:rFonts w:ascii="宋体" w:hAnsi="宋体"/>
          <w:szCs w:val="21"/>
        </w:rPr>
      </w:pPr>
      <w:r>
        <w:rPr>
          <w:rFonts w:hint="eastAsia" w:ascii="宋体" w:hAnsi="宋体"/>
          <w:szCs w:val="21"/>
        </w:rPr>
        <w:t>43.2.4谈判小组可以用书面形式要求各供应商对其谈判应答文件含义不明确的内容作必要的澄清或者说明，重要问题供应商应以书面形式进行澄清、说明。</w:t>
      </w:r>
    </w:p>
    <w:p>
      <w:pPr>
        <w:ind w:firstLine="420" w:firstLineChars="200"/>
        <w:rPr>
          <w:rFonts w:ascii="宋体" w:hAnsi="宋体"/>
          <w:szCs w:val="21"/>
        </w:rPr>
      </w:pPr>
      <w:r>
        <w:rPr>
          <w:rFonts w:hint="eastAsia" w:ascii="宋体" w:hAnsi="宋体"/>
          <w:szCs w:val="21"/>
        </w:rPr>
        <w:t>43.2.5 允许供应商在谈判结束之前根据谈判小组提出的内容进行澄清、修改或完善，或对项目方案进行相应的调整。</w:t>
      </w:r>
    </w:p>
    <w:p>
      <w:pPr>
        <w:ind w:firstLine="420" w:firstLineChars="200"/>
        <w:rPr>
          <w:rFonts w:ascii="宋体" w:hAnsi="宋体"/>
          <w:szCs w:val="21"/>
        </w:rPr>
      </w:pPr>
      <w:r>
        <w:rPr>
          <w:rFonts w:hint="eastAsia" w:ascii="宋体" w:hAnsi="宋体"/>
          <w:szCs w:val="21"/>
        </w:rPr>
        <w:t>43.2.6供应商对谈判应答文件进行修改，都应形成文字材料，并经供应商谈判授权人签字认可。</w:t>
      </w:r>
    </w:p>
    <w:p>
      <w:pPr>
        <w:ind w:firstLine="420" w:firstLineChars="200"/>
        <w:rPr>
          <w:rFonts w:ascii="宋体" w:hAnsi="宋体"/>
          <w:szCs w:val="21"/>
        </w:rPr>
      </w:pPr>
      <w:r>
        <w:rPr>
          <w:rFonts w:hint="eastAsia" w:ascii="宋体" w:hAnsi="宋体"/>
          <w:szCs w:val="21"/>
        </w:rPr>
        <w:t>43.2.7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pPr>
        <w:ind w:firstLine="420" w:firstLineChars="200"/>
        <w:rPr>
          <w:rFonts w:ascii="宋体" w:hAnsi="宋体"/>
          <w:szCs w:val="21"/>
        </w:rPr>
      </w:pPr>
      <w:r>
        <w:rPr>
          <w:rFonts w:hint="eastAsia" w:ascii="宋体" w:hAnsi="宋体"/>
          <w:szCs w:val="21"/>
        </w:rPr>
        <w:t>43.2.8有下列情形之一的，该供应商的谈判结果作废标处理，具体内容见原征集文件中投标文件初审表的《符合性检查表》部分以及谈判邀请中相应的变动部分。</w:t>
      </w:r>
    </w:p>
    <w:p>
      <w:pPr>
        <w:ind w:firstLine="420" w:firstLineChars="200"/>
        <w:rPr>
          <w:rFonts w:ascii="宋体" w:hAnsi="宋体"/>
          <w:szCs w:val="21"/>
        </w:rPr>
      </w:pPr>
      <w:r>
        <w:rPr>
          <w:rFonts w:hint="eastAsia" w:ascii="宋体" w:hAnsi="宋体"/>
          <w:szCs w:val="21"/>
        </w:rPr>
        <w:t>43.2.9谈判结束后，谈判小组根据供应商提供的谈判应答文件、谈判过程中产生的相关资料，对供应商谈判应答文件进行评估与比较，提出书面评审意见。</w:t>
      </w:r>
    </w:p>
    <w:p>
      <w:pPr>
        <w:ind w:firstLine="420" w:firstLineChars="200"/>
        <w:rPr>
          <w:rFonts w:ascii="宋体" w:hAnsi="宋体"/>
          <w:szCs w:val="21"/>
        </w:rPr>
      </w:pPr>
      <w:r>
        <w:rPr>
          <w:rFonts w:hint="eastAsia" w:ascii="宋体" w:hAnsi="宋体"/>
          <w:szCs w:val="21"/>
        </w:rPr>
        <w:t>43.2.10谈判小组将对谈判过程进行记录，以存档备查。</w:t>
      </w:r>
    </w:p>
    <w:p>
      <w:pPr>
        <w:ind w:firstLine="420" w:firstLineChars="200"/>
        <w:rPr>
          <w:rFonts w:ascii="黑体" w:hAnsi="宋体" w:eastAsia="黑体"/>
          <w:szCs w:val="21"/>
        </w:rPr>
      </w:pPr>
      <w:r>
        <w:rPr>
          <w:rFonts w:hint="eastAsia" w:ascii="黑体" w:hAnsi="宋体" w:eastAsia="黑体"/>
          <w:szCs w:val="21"/>
        </w:rPr>
        <w:t>43.3评标方法和定标原则</w:t>
      </w:r>
    </w:p>
    <w:p>
      <w:pPr>
        <w:ind w:firstLine="420" w:firstLineChars="200"/>
        <w:rPr>
          <w:rFonts w:ascii="宋体" w:hAnsi="宋体"/>
          <w:szCs w:val="21"/>
        </w:rPr>
      </w:pPr>
      <w:r>
        <w:rPr>
          <w:rFonts w:hint="eastAsia" w:ascii="宋体" w:hAnsi="宋体"/>
          <w:szCs w:val="21"/>
        </w:rPr>
        <w:t>43.3.1邀请竞标采购项目的评标方法要依照原招标文件的评标方法，转为邀请竞标后，评标方法应采用相应的评标方式。</w:t>
      </w:r>
    </w:p>
    <w:p>
      <w:pPr>
        <w:ind w:firstLine="420" w:firstLineChars="200"/>
        <w:rPr>
          <w:rFonts w:ascii="宋体" w:hAnsi="宋体"/>
          <w:szCs w:val="21"/>
        </w:rPr>
      </w:pPr>
      <w:r>
        <w:rPr>
          <w:rFonts w:hint="eastAsia" w:ascii="宋体" w:hAnsi="宋体"/>
          <w:szCs w:val="21"/>
        </w:rPr>
        <w:t>43.3.2对公开征集失败转为邀请竞标方式采购的项目，谈判小组对谈判应答文件进行评审和比较，综合各家供应商最终的方案、服务和投资等谈判结果并按原公开征集文件评审方法进行评审。</w:t>
      </w:r>
    </w:p>
    <w:p>
      <w:pPr>
        <w:ind w:firstLine="420" w:firstLineChars="200"/>
        <w:rPr>
          <w:rFonts w:ascii="宋体" w:hAnsi="宋体"/>
          <w:szCs w:val="21"/>
        </w:rPr>
      </w:pPr>
      <w:r>
        <w:rPr>
          <w:rFonts w:hint="eastAsia" w:ascii="宋体" w:hAnsi="宋体"/>
          <w:szCs w:val="21"/>
        </w:rPr>
        <w:t>43.3.3若要采用其他评标方法的，谈判小组按文件中列明的评标方法进行评审。谈判邀请文件中应注明批准的评标方法。</w:t>
      </w:r>
    </w:p>
    <w:p>
      <w:pPr>
        <w:ind w:firstLine="480" w:firstLineChars="200"/>
        <w:rPr>
          <w:rFonts w:ascii="黑体" w:hAnsi="宋体" w:eastAsia="黑体"/>
          <w:sz w:val="24"/>
        </w:rPr>
      </w:pPr>
      <w:r>
        <w:rPr>
          <w:rFonts w:hint="eastAsia" w:ascii="黑体" w:hAnsi="宋体" w:eastAsia="黑体"/>
          <w:sz w:val="24"/>
        </w:rPr>
        <w:t>44.</w:t>
      </w:r>
      <w:r>
        <w:rPr>
          <w:rFonts w:hint="eastAsia" w:ascii="黑体" w:hAnsi="宋体" w:eastAsia="黑体"/>
          <w:szCs w:val="21"/>
        </w:rPr>
        <w:t>公开征集失败项目转为直接采购的相关流程参照43.1与43.2条款执行。</w:t>
      </w:r>
    </w:p>
    <w:p>
      <w:pPr>
        <w:ind w:firstLine="420" w:firstLineChars="200"/>
        <w:rPr>
          <w:rFonts w:ascii="宋体" w:hAnsi="宋体"/>
          <w:szCs w:val="21"/>
        </w:rPr>
      </w:pPr>
    </w:p>
    <w:p>
      <w:pPr>
        <w:pStyle w:val="78"/>
        <w:keepNext/>
        <w:keepLines/>
        <w:numPr>
          <w:ilvl w:val="0"/>
          <w:numId w:val="2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bookmarkStart w:id="81" w:name="_Hlk72439043"/>
      <w:r>
        <w:rPr>
          <w:rFonts w:hint="eastAsia" w:asciiTheme="majorHAnsi" w:hAnsiTheme="majorHAnsi" w:eastAsiaTheme="majorEastAsia" w:cstheme="majorBidi"/>
          <w:b/>
          <w:bCs/>
          <w:sz w:val="28"/>
          <w:szCs w:val="28"/>
        </w:rPr>
        <w:t>合同的授予与备案</w:t>
      </w:r>
      <w:bookmarkEnd w:id="81"/>
    </w:p>
    <w:p>
      <w:pPr>
        <w:ind w:firstLine="420" w:firstLineChars="200"/>
        <w:rPr>
          <w:rFonts w:ascii="黑体" w:hAnsi="宋体" w:eastAsia="黑体"/>
          <w:szCs w:val="21"/>
        </w:rPr>
      </w:pPr>
      <w:bookmarkStart w:id="82" w:name="_Toc73517679"/>
      <w:bookmarkStart w:id="83" w:name="_Toc73521674"/>
      <w:bookmarkStart w:id="84" w:name="_Toc100052408"/>
      <w:bookmarkStart w:id="85" w:name="_Toc73518157"/>
      <w:bookmarkStart w:id="86" w:name="_Toc73521586"/>
      <w:bookmarkStart w:id="87" w:name="_Hlk72439088"/>
      <w:r>
        <w:rPr>
          <w:rFonts w:hint="eastAsia" w:ascii="黑体" w:hAnsi="宋体" w:eastAsia="黑体"/>
          <w:szCs w:val="21"/>
        </w:rPr>
        <w:t>43．合同授予标准</w:t>
      </w:r>
      <w:bookmarkEnd w:id="82"/>
      <w:bookmarkEnd w:id="83"/>
      <w:bookmarkEnd w:id="84"/>
      <w:bookmarkEnd w:id="85"/>
      <w:bookmarkEnd w:id="86"/>
    </w:p>
    <w:p>
      <w:pPr>
        <w:ind w:firstLine="420" w:firstLineChars="200"/>
        <w:rPr>
          <w:rFonts w:ascii="宋体" w:hAnsi="宋体"/>
          <w:szCs w:val="21"/>
        </w:rPr>
      </w:pPr>
      <w:r>
        <w:rPr>
          <w:rFonts w:hint="eastAsia" w:ascii="宋体" w:hAnsi="宋体"/>
          <w:szCs w:val="21"/>
        </w:rPr>
        <w:t>本项目的合同将授予经本采购文件规定评审确定的中标供应商。</w:t>
      </w:r>
    </w:p>
    <w:p>
      <w:pPr>
        <w:ind w:firstLine="420" w:firstLineChars="200"/>
        <w:rPr>
          <w:rFonts w:ascii="黑体" w:hAnsi="宋体" w:eastAsia="黑体"/>
          <w:szCs w:val="21"/>
        </w:rPr>
      </w:pPr>
      <w:bookmarkStart w:id="88" w:name="_Toc73521587"/>
      <w:bookmarkStart w:id="89" w:name="_Toc73517680"/>
      <w:bookmarkStart w:id="90" w:name="_Toc73521675"/>
      <w:bookmarkStart w:id="91" w:name="_Toc73518158"/>
      <w:bookmarkStart w:id="92" w:name="_Toc100052409"/>
      <w:r>
        <w:rPr>
          <w:rFonts w:hint="eastAsia" w:ascii="黑体" w:hAnsi="宋体" w:eastAsia="黑体"/>
          <w:szCs w:val="21"/>
        </w:rPr>
        <w:t>44．</w:t>
      </w:r>
      <w:bookmarkEnd w:id="88"/>
      <w:bookmarkEnd w:id="89"/>
      <w:bookmarkEnd w:id="90"/>
      <w:bookmarkEnd w:id="91"/>
      <w:bookmarkEnd w:id="92"/>
      <w:r>
        <w:rPr>
          <w:rFonts w:hint="eastAsia" w:ascii="黑体" w:hAnsi="宋体" w:eastAsia="黑体"/>
          <w:szCs w:val="21"/>
        </w:rPr>
        <w:t>接受和拒绝任何或所有投标的权力</w:t>
      </w:r>
    </w:p>
    <w:p>
      <w:pPr>
        <w:ind w:firstLine="420" w:firstLineChars="200"/>
        <w:rPr>
          <w:rFonts w:ascii="宋体" w:hAnsi="宋体"/>
          <w:szCs w:val="21"/>
        </w:rPr>
      </w:pPr>
      <w:r>
        <w:rPr>
          <w:rFonts w:hint="eastAsia" w:ascii="宋体" w:hAnsi="宋体"/>
          <w:szCs w:val="21"/>
        </w:rPr>
        <w:t>政府集中采购机构和采购人保留在投标之前任何时候接受或拒绝任何投标或所有投标，以及宣布采购无效的权力，对受影响的投标人不承担任何责任，也无义务向受影响的投标人解释采取这一行动的理由。</w:t>
      </w:r>
    </w:p>
    <w:p>
      <w:pPr>
        <w:ind w:firstLine="420" w:firstLineChars="200"/>
        <w:rPr>
          <w:rFonts w:ascii="黑体" w:hAnsi="宋体" w:eastAsia="黑体"/>
          <w:szCs w:val="21"/>
        </w:rPr>
      </w:pPr>
      <w:bookmarkStart w:id="93" w:name="_Toc100052410"/>
      <w:bookmarkStart w:id="94" w:name="_Toc73518160"/>
      <w:bookmarkStart w:id="95" w:name="_Toc73521589"/>
      <w:bookmarkStart w:id="96" w:name="_Toc73517682"/>
      <w:bookmarkStart w:id="97" w:name="_Toc73521677"/>
      <w:r>
        <w:rPr>
          <w:rFonts w:hint="eastAsia" w:ascii="黑体" w:hAnsi="宋体" w:eastAsia="黑体"/>
          <w:szCs w:val="21"/>
        </w:rPr>
        <w:t>45．合同的签订</w:t>
      </w:r>
      <w:bookmarkEnd w:id="93"/>
      <w:bookmarkEnd w:id="94"/>
      <w:bookmarkEnd w:id="95"/>
      <w:bookmarkEnd w:id="96"/>
      <w:bookmarkEnd w:id="97"/>
    </w:p>
    <w:p>
      <w:pPr>
        <w:ind w:firstLine="420" w:firstLineChars="200"/>
        <w:rPr>
          <w:rFonts w:ascii="宋体" w:hAnsi="宋体"/>
          <w:szCs w:val="21"/>
        </w:rPr>
      </w:pPr>
      <w:r>
        <w:rPr>
          <w:rFonts w:hint="eastAsia" w:ascii="宋体" w:hAnsi="宋体"/>
          <w:szCs w:val="21"/>
        </w:rPr>
        <w:t>45.1中标人将于中标通知书发出之日起十个工作日内，按照采购文件（采购文件和投标文件等）内容与采购人签订采购合同；合同的实质性内容应当符合采购文件的规定；</w:t>
      </w:r>
    </w:p>
    <w:p>
      <w:pPr>
        <w:ind w:firstLine="420" w:firstLineChars="200"/>
        <w:rPr>
          <w:rFonts w:ascii="宋体" w:hAnsi="宋体"/>
          <w:szCs w:val="21"/>
        </w:rPr>
      </w:pPr>
      <w:r>
        <w:rPr>
          <w:rFonts w:hint="eastAsia" w:ascii="宋体" w:hAnsi="宋体"/>
          <w:szCs w:val="21"/>
        </w:rPr>
        <w:t>45.2中标人应当按照合同约定履行义务，完成中标项目，不得将中标项目转让（转包）给他人。</w:t>
      </w:r>
    </w:p>
    <w:p>
      <w:pPr>
        <w:ind w:firstLine="420" w:firstLineChars="200"/>
        <w:rPr>
          <w:rFonts w:ascii="黑体" w:hAnsi="宋体" w:eastAsia="黑体"/>
          <w:szCs w:val="21"/>
        </w:rPr>
      </w:pPr>
      <w:bookmarkStart w:id="98" w:name="_Toc100052411"/>
      <w:bookmarkStart w:id="99" w:name="_Toc73517683"/>
      <w:bookmarkStart w:id="100" w:name="_Toc73521590"/>
      <w:bookmarkStart w:id="101" w:name="_Toc73518161"/>
      <w:bookmarkStart w:id="102" w:name="_Toc73521678"/>
      <w:r>
        <w:rPr>
          <w:rFonts w:hint="eastAsia" w:ascii="黑体" w:hAnsi="宋体" w:eastAsia="黑体"/>
          <w:szCs w:val="21"/>
        </w:rPr>
        <w:t>46．履约担保</w:t>
      </w:r>
      <w:bookmarkEnd w:id="98"/>
      <w:bookmarkEnd w:id="99"/>
      <w:bookmarkEnd w:id="100"/>
      <w:bookmarkEnd w:id="101"/>
      <w:bookmarkEnd w:id="102"/>
    </w:p>
    <w:p>
      <w:pPr>
        <w:ind w:firstLine="420" w:firstLineChars="200"/>
        <w:rPr>
          <w:rFonts w:ascii="宋体" w:hAnsi="宋体"/>
          <w:szCs w:val="21"/>
        </w:rPr>
      </w:pPr>
      <w:r>
        <w:rPr>
          <w:rFonts w:hint="eastAsia" w:ascii="宋体" w:hAnsi="宋体"/>
          <w:szCs w:val="21"/>
        </w:rPr>
        <w:t>46.1在签订项目合同的同时，中标人应按“对通用条款的补充内容”中规定的金额向采购人提交履约担保；</w:t>
      </w:r>
    </w:p>
    <w:p>
      <w:pPr>
        <w:ind w:firstLine="420" w:firstLineChars="200"/>
        <w:rPr>
          <w:rFonts w:ascii="宋体" w:hAnsi="宋体"/>
          <w:szCs w:val="21"/>
        </w:rPr>
      </w:pPr>
      <w:r>
        <w:rPr>
          <w:rFonts w:hint="eastAsia" w:ascii="宋体" w:hAnsi="宋体"/>
          <w:szCs w:val="21"/>
        </w:rPr>
        <w:t>46.2，允许供应商自主选择以支票、汇票、本票、保函等非现金方式提交履约担保；</w:t>
      </w:r>
      <w:r>
        <w:rPr>
          <w:szCs w:val="21"/>
        </w:rPr>
        <w:t>中标</w:t>
      </w:r>
      <w:r>
        <w:rPr>
          <w:rFonts w:hint="eastAsia"/>
          <w:szCs w:val="21"/>
        </w:rPr>
        <w:t>人</w:t>
      </w:r>
      <w:r>
        <w:rPr>
          <w:szCs w:val="21"/>
        </w:rPr>
        <w:t>提交履约</w:t>
      </w:r>
      <w:r>
        <w:rPr>
          <w:rFonts w:hint="eastAsia"/>
          <w:szCs w:val="21"/>
        </w:rPr>
        <w:t>担保不是</w:t>
      </w:r>
      <w:r>
        <w:rPr>
          <w:szCs w:val="21"/>
        </w:rPr>
        <w:t>合同签订的</w:t>
      </w:r>
      <w:r>
        <w:rPr>
          <w:rFonts w:hint="eastAsia"/>
          <w:szCs w:val="21"/>
        </w:rPr>
        <w:t>前提</w:t>
      </w:r>
      <w:r>
        <w:rPr>
          <w:szCs w:val="21"/>
        </w:rPr>
        <w:t>条件，不要求中标</w:t>
      </w:r>
      <w:r>
        <w:rPr>
          <w:rFonts w:hint="eastAsia"/>
          <w:szCs w:val="21"/>
        </w:rPr>
        <w:t>人</w:t>
      </w:r>
      <w:r>
        <w:rPr>
          <w:szCs w:val="21"/>
        </w:rPr>
        <w:t>提供除法律、法规明确规定外的其他担保</w:t>
      </w:r>
      <w:r>
        <w:rPr>
          <w:rFonts w:hint="eastAsia"/>
          <w:szCs w:val="21"/>
        </w:rPr>
        <w:t>。</w:t>
      </w:r>
    </w:p>
    <w:p>
      <w:pPr>
        <w:ind w:firstLine="420" w:firstLineChars="200"/>
        <w:rPr>
          <w:rFonts w:ascii="黑体" w:hAnsi="宋体" w:eastAsia="黑体"/>
          <w:szCs w:val="21"/>
        </w:rPr>
      </w:pPr>
      <w:r>
        <w:rPr>
          <w:rFonts w:hint="eastAsia" w:ascii="黑体" w:hAnsi="宋体" w:eastAsia="黑体"/>
          <w:szCs w:val="21"/>
        </w:rPr>
        <w:t>47. 合同备案</w:t>
      </w:r>
    </w:p>
    <w:p>
      <w:pPr>
        <w:ind w:firstLine="420" w:firstLineChars="200"/>
        <w:rPr>
          <w:rFonts w:ascii="宋体" w:hAnsi="宋体"/>
          <w:szCs w:val="21"/>
        </w:rPr>
      </w:pPr>
      <w:r>
        <w:rPr>
          <w:rFonts w:hint="eastAsia" w:ascii="宋体" w:hAnsi="宋体"/>
          <w:szCs w:val="21"/>
          <w:lang w:eastAsia="zh-Hans"/>
        </w:rPr>
        <w:t>采购人与中标供应商自中标通知书发出之日起10个工作日内签订采购合同，</w:t>
      </w:r>
      <w:r>
        <w:rPr>
          <w:rFonts w:hint="eastAsia" w:ascii="宋体" w:hAnsi="宋体"/>
          <w:szCs w:val="21"/>
        </w:rPr>
        <w:t>并按采购人内控制度规定提交备案。</w:t>
      </w:r>
    </w:p>
    <w:p>
      <w:pPr>
        <w:ind w:firstLine="420" w:firstLineChars="200"/>
        <w:rPr>
          <w:rFonts w:ascii="黑体" w:hAnsi="宋体" w:eastAsia="黑体"/>
          <w:szCs w:val="21"/>
        </w:rPr>
      </w:pPr>
      <w:r>
        <w:rPr>
          <w:rFonts w:hint="eastAsia" w:ascii="黑体" w:hAnsi="宋体" w:eastAsia="黑体"/>
          <w:szCs w:val="21"/>
        </w:rPr>
        <w:t>48. 合同变更</w:t>
      </w:r>
    </w:p>
    <w:p>
      <w:pPr>
        <w:ind w:firstLine="420" w:firstLineChars="200"/>
        <w:rPr>
          <w:rFonts w:ascii="宋体" w:hAnsi="宋体"/>
          <w:szCs w:val="21"/>
        </w:rPr>
      </w:pPr>
      <w:r>
        <w:rPr>
          <w:rFonts w:hint="eastAsia" w:ascii="宋体" w:hAnsi="宋体"/>
          <w:szCs w:val="21"/>
        </w:rPr>
        <w:t>合同变更事宜参照《深圳市财政局关于优化政府采购合同备案的通知》（深财发保〔2022〕2号）相关规定，按采购人内控制度执行。</w:t>
      </w:r>
    </w:p>
    <w:p>
      <w:pPr>
        <w:ind w:firstLine="420" w:firstLineChars="200"/>
        <w:rPr>
          <w:rFonts w:ascii="黑体" w:hAnsi="宋体" w:eastAsia="黑体"/>
          <w:szCs w:val="21"/>
        </w:rPr>
      </w:pPr>
      <w:r>
        <w:rPr>
          <w:rFonts w:hint="eastAsia" w:ascii="黑体" w:hAnsi="宋体" w:eastAsia="黑体"/>
          <w:szCs w:val="21"/>
        </w:rPr>
        <w:t>49. 项目验收</w:t>
      </w:r>
    </w:p>
    <w:p>
      <w:pPr>
        <w:widowControl/>
        <w:ind w:firstLine="420" w:firstLineChars="200"/>
        <w:jc w:val="left"/>
        <w:rPr>
          <w:rFonts w:ascii="宋体" w:hAnsi="宋体"/>
          <w:szCs w:val="21"/>
        </w:rPr>
      </w:pPr>
      <w:r>
        <w:rPr>
          <w:rFonts w:hint="eastAsia" w:ascii="宋体" w:hAnsi="宋体"/>
          <w:szCs w:val="21"/>
        </w:rPr>
        <w:t>49.1采购人应当按照采购文件和合同规定的标准和方法，及时组织验收。</w:t>
      </w:r>
      <w:r>
        <w:rPr>
          <w:rFonts w:ascii="宋体" w:hAnsi="宋体"/>
          <w:szCs w:val="21"/>
        </w:rPr>
        <w:t xml:space="preserve"> </w:t>
      </w:r>
    </w:p>
    <w:p>
      <w:pPr>
        <w:ind w:firstLine="420" w:firstLineChars="200"/>
        <w:rPr>
          <w:rFonts w:ascii="黑体" w:hAnsi="宋体" w:eastAsia="黑体"/>
          <w:szCs w:val="21"/>
        </w:rPr>
      </w:pPr>
      <w:r>
        <w:rPr>
          <w:rFonts w:hint="eastAsia" w:ascii="黑体" w:hAnsi="宋体" w:eastAsia="黑体"/>
          <w:szCs w:val="21"/>
        </w:rPr>
        <w:t>50. 宣传</w:t>
      </w:r>
    </w:p>
    <w:p>
      <w:pPr>
        <w:ind w:firstLine="420" w:firstLineChars="200"/>
        <w:rPr>
          <w:rFonts w:ascii="宋体" w:hAnsi="宋体"/>
          <w:szCs w:val="21"/>
        </w:rPr>
      </w:pPr>
      <w:r>
        <w:rPr>
          <w:rFonts w:hint="eastAsia" w:ascii="宋体" w:hAnsi="宋体"/>
          <w:szCs w:val="21"/>
        </w:rPr>
        <w:t>凡与采购活动有关的宣传或广告，若当中提及本项目采购，必须事先将具体对外宣传方案报采购人预算主管部门，并征得其同意。对外市场宣传包括但不限于以下形式：</w:t>
      </w:r>
    </w:p>
    <w:p>
      <w:pPr>
        <w:ind w:firstLine="420" w:firstLineChars="200"/>
        <w:rPr>
          <w:rFonts w:ascii="宋体" w:hAnsi="宋体"/>
          <w:szCs w:val="21"/>
        </w:rPr>
      </w:pPr>
      <w:r>
        <w:rPr>
          <w:rFonts w:hint="eastAsia" w:ascii="宋体" w:hAnsi="宋体"/>
          <w:szCs w:val="21"/>
        </w:rPr>
        <w:t>a.名片、宣传册、广告标语等；</w:t>
      </w:r>
    </w:p>
    <w:p>
      <w:pPr>
        <w:ind w:firstLine="420" w:firstLineChars="200"/>
        <w:rPr>
          <w:rFonts w:ascii="宋体" w:hAnsi="宋体"/>
          <w:szCs w:val="21"/>
        </w:rPr>
      </w:pPr>
      <w:r>
        <w:rPr>
          <w:rFonts w:hint="eastAsia" w:ascii="宋体" w:hAnsi="宋体"/>
          <w:szCs w:val="21"/>
        </w:rPr>
        <w:t>b.案例介绍、推广等；</w:t>
      </w:r>
    </w:p>
    <w:p>
      <w:pPr>
        <w:ind w:firstLine="420" w:firstLineChars="200"/>
        <w:rPr>
          <w:rFonts w:ascii="宋体" w:hAnsi="宋体"/>
          <w:szCs w:val="21"/>
        </w:rPr>
      </w:pPr>
      <w:r>
        <w:rPr>
          <w:rFonts w:hint="eastAsia" w:ascii="宋体" w:hAnsi="宋体"/>
          <w:szCs w:val="21"/>
        </w:rPr>
        <w:t>c.工作人员向其他消费群体宣传。</w:t>
      </w:r>
    </w:p>
    <w:p>
      <w:pPr>
        <w:ind w:firstLine="420" w:firstLineChars="200"/>
        <w:rPr>
          <w:rFonts w:ascii="黑体" w:hAnsi="宋体" w:eastAsia="黑体"/>
          <w:szCs w:val="21"/>
        </w:rPr>
      </w:pPr>
      <w:r>
        <w:rPr>
          <w:rFonts w:hint="eastAsia" w:ascii="黑体" w:hAnsi="宋体" w:eastAsia="黑体"/>
          <w:szCs w:val="21"/>
        </w:rPr>
        <w:t>51. 供应商违法责任</w:t>
      </w:r>
    </w:p>
    <w:p>
      <w:pPr>
        <w:ind w:firstLine="420" w:firstLineChars="200"/>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20" w:firstLineChars="200"/>
        <w:rPr>
          <w:rFonts w:ascii="宋体" w:hAnsi="宋体"/>
          <w:szCs w:val="21"/>
        </w:rPr>
      </w:pPr>
      <w:r>
        <w:rPr>
          <w:rFonts w:hint="eastAsia" w:ascii="宋体" w:hAnsi="宋体"/>
          <w:szCs w:val="21"/>
        </w:rPr>
        <w:t>（1）在采购活动中应当回避而未回避的；</w:t>
      </w:r>
    </w:p>
    <w:p>
      <w:pPr>
        <w:ind w:firstLine="420" w:firstLineChars="200"/>
        <w:rPr>
          <w:rFonts w:ascii="宋体" w:hAnsi="宋体"/>
          <w:szCs w:val="21"/>
        </w:rPr>
      </w:pPr>
      <w:r>
        <w:rPr>
          <w:rFonts w:hint="eastAsia" w:ascii="宋体" w:hAnsi="宋体"/>
          <w:szCs w:val="21"/>
        </w:rPr>
        <w:t>（2）未按本条例规定签订、履行采购合同，造成严重后果的；</w:t>
      </w:r>
    </w:p>
    <w:p>
      <w:pPr>
        <w:ind w:firstLine="420" w:firstLineChars="200"/>
        <w:rPr>
          <w:rFonts w:ascii="宋体" w:hAnsi="宋体"/>
          <w:szCs w:val="21"/>
        </w:rPr>
      </w:pPr>
      <w:r>
        <w:rPr>
          <w:rFonts w:hint="eastAsia" w:ascii="宋体" w:hAnsi="宋体"/>
          <w:szCs w:val="21"/>
        </w:rPr>
        <w:t>（3）隐瞒真实情况，提供虚假资料的；</w:t>
      </w:r>
    </w:p>
    <w:p>
      <w:pPr>
        <w:ind w:firstLine="420" w:firstLineChars="200"/>
        <w:rPr>
          <w:rFonts w:ascii="宋体" w:hAnsi="宋体"/>
          <w:szCs w:val="21"/>
        </w:rPr>
      </w:pPr>
      <w:r>
        <w:rPr>
          <w:rFonts w:hint="eastAsia" w:ascii="宋体" w:hAnsi="宋体"/>
          <w:szCs w:val="21"/>
        </w:rPr>
        <w:t>（4）以非法手段排斥其他供应商参与竞争的；</w:t>
      </w:r>
    </w:p>
    <w:p>
      <w:pPr>
        <w:ind w:firstLine="420" w:firstLineChars="200"/>
        <w:rPr>
          <w:rFonts w:ascii="宋体" w:hAnsi="宋体"/>
          <w:szCs w:val="21"/>
        </w:rPr>
      </w:pPr>
      <w:r>
        <w:rPr>
          <w:rFonts w:hint="eastAsia" w:ascii="宋体" w:hAnsi="宋体"/>
          <w:szCs w:val="21"/>
        </w:rPr>
        <w:t>（5）与其他采购参加人串通投标的；</w:t>
      </w:r>
    </w:p>
    <w:p>
      <w:pPr>
        <w:ind w:firstLine="420" w:firstLineChars="200"/>
        <w:rPr>
          <w:rFonts w:ascii="宋体" w:hAnsi="宋体"/>
          <w:szCs w:val="21"/>
        </w:rPr>
      </w:pPr>
      <w:r>
        <w:rPr>
          <w:rFonts w:hint="eastAsia" w:ascii="宋体" w:hAnsi="宋体"/>
          <w:szCs w:val="21"/>
        </w:rPr>
        <w:t>（6）恶意投诉的；</w:t>
      </w:r>
    </w:p>
    <w:p>
      <w:pPr>
        <w:ind w:firstLine="420" w:firstLineChars="200"/>
        <w:rPr>
          <w:rFonts w:ascii="宋体" w:hAnsi="宋体"/>
          <w:szCs w:val="21"/>
        </w:rPr>
      </w:pPr>
      <w:r>
        <w:rPr>
          <w:rFonts w:hint="eastAsia" w:ascii="宋体" w:hAnsi="宋体"/>
          <w:szCs w:val="21"/>
        </w:rPr>
        <w:t>（7）向采购项目相关人行贿或者提供其他不当利益的；</w:t>
      </w:r>
    </w:p>
    <w:p>
      <w:pPr>
        <w:ind w:firstLine="420" w:firstLineChars="200"/>
        <w:rPr>
          <w:rFonts w:ascii="宋体" w:hAnsi="宋体"/>
          <w:szCs w:val="21"/>
        </w:rPr>
      </w:pPr>
      <w:r>
        <w:rPr>
          <w:rFonts w:hint="eastAsia" w:ascii="宋体" w:hAnsi="宋体"/>
          <w:szCs w:val="21"/>
        </w:rPr>
        <w:t>（8）阻碍、抗拒主管部门监督检查的；</w:t>
      </w:r>
    </w:p>
    <w:p>
      <w:pPr>
        <w:ind w:firstLine="420" w:firstLineChars="200"/>
        <w:rPr>
          <w:rFonts w:ascii="宋体" w:hAnsi="宋体"/>
          <w:szCs w:val="21"/>
        </w:rPr>
      </w:pPr>
      <w:r>
        <w:rPr>
          <w:rFonts w:hint="eastAsia" w:ascii="宋体" w:hAnsi="宋体"/>
          <w:szCs w:val="21"/>
        </w:rPr>
        <w:t>（9）其他违反本条例规定的行为。</w:t>
      </w:r>
    </w:p>
    <w:p>
      <w:pPr>
        <w:ind w:firstLine="420" w:firstLineChars="200"/>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号）的要求，供应商在采购活动中出现《深圳经济特区政府采购条例实施细则》第八十条所列情形的，</w:t>
      </w:r>
      <w:bookmarkStart w:id="103" w:name="_Hlk72440769"/>
      <w:r>
        <w:rPr>
          <w:rFonts w:hint="eastAsia" w:ascii="宋体" w:hAnsi="宋体"/>
          <w:szCs w:val="21"/>
        </w:rPr>
        <w:t>政府集中采购机构或采购人不予退还其交纳的谈判保证金，情节严重的，并由主管部门</w:t>
      </w:r>
      <w:bookmarkEnd w:id="103"/>
      <w:r>
        <w:rPr>
          <w:rFonts w:hint="eastAsia" w:ascii="宋体" w:hAnsi="宋体"/>
          <w:szCs w:val="21"/>
        </w:rPr>
        <w:t>记入供应商诚信档案，予以通报：</w:t>
      </w:r>
    </w:p>
    <w:p>
      <w:pPr>
        <w:ind w:firstLine="420" w:firstLineChars="200"/>
        <w:rPr>
          <w:rFonts w:ascii="宋体" w:hAnsi="宋体"/>
          <w:szCs w:val="21"/>
        </w:rPr>
      </w:pPr>
      <w:r>
        <w:rPr>
          <w:rFonts w:hint="eastAsia" w:ascii="宋体" w:hAnsi="宋体"/>
          <w:szCs w:val="21"/>
        </w:rPr>
        <w:t>（1</w:t>
      </w:r>
      <w:r>
        <w:rPr>
          <w:rFonts w:ascii="宋体" w:hAnsi="宋体"/>
          <w:szCs w:val="21"/>
        </w:rPr>
        <w:t>）投标截止后，撤销投标的；</w:t>
      </w:r>
    </w:p>
    <w:p>
      <w:pPr>
        <w:ind w:firstLine="420" w:firstLineChars="200"/>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pPr>
        <w:ind w:firstLine="420" w:firstLineChars="200"/>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w:t>
      </w:r>
      <w:r>
        <w:rPr>
          <w:rFonts w:hint="eastAsia" w:ascii="宋体" w:hAnsi="宋体"/>
          <w:szCs w:val="21"/>
        </w:rPr>
        <w:t>代理</w:t>
      </w:r>
      <w:r>
        <w:rPr>
          <w:rFonts w:ascii="宋体" w:hAnsi="宋体"/>
          <w:szCs w:val="21"/>
        </w:rPr>
        <w:t>机构同意，将中标项目分包给他人的；</w:t>
      </w:r>
    </w:p>
    <w:p>
      <w:pPr>
        <w:ind w:firstLine="420" w:firstLineChars="200"/>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p>
      <w:pPr>
        <w:pStyle w:val="2"/>
      </w:pPr>
    </w:p>
    <w:bookmarkEnd w:id="87"/>
    <w:p>
      <w:pPr>
        <w:pStyle w:val="78"/>
        <w:keepNext/>
        <w:keepLines/>
        <w:numPr>
          <w:ilvl w:val="0"/>
          <w:numId w:val="2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质疑处理</w:t>
      </w:r>
    </w:p>
    <w:p>
      <w:pPr>
        <w:ind w:firstLine="420" w:firstLineChars="200"/>
        <w:rPr>
          <w:rFonts w:ascii="黑体" w:hAnsi="宋体" w:eastAsia="黑体"/>
          <w:szCs w:val="21"/>
        </w:rPr>
      </w:pPr>
      <w:r>
        <w:rPr>
          <w:rFonts w:hint="eastAsia" w:ascii="黑体" w:hAnsi="宋体" w:eastAsia="黑体"/>
          <w:szCs w:val="21"/>
        </w:rPr>
        <w:t>52.质疑提出与答复</w:t>
      </w:r>
    </w:p>
    <w:p>
      <w:pPr>
        <w:ind w:firstLine="420" w:firstLineChars="200"/>
        <w:rPr>
          <w:rFonts w:ascii="宋体" w:hAnsi="宋体"/>
          <w:szCs w:val="21"/>
        </w:rPr>
      </w:pPr>
      <w:r>
        <w:rPr>
          <w:rFonts w:hint="eastAsia" w:ascii="宋体" w:hAnsi="宋体"/>
          <w:szCs w:val="21"/>
        </w:rPr>
        <w:t>52.1提出质疑</w:t>
      </w:r>
    </w:p>
    <w:p>
      <w:pPr>
        <w:ind w:firstLine="420" w:firstLineChars="200"/>
        <w:rPr>
          <w:rFonts w:ascii="宋体" w:hAnsi="宋体"/>
          <w:szCs w:val="21"/>
        </w:rPr>
      </w:pPr>
      <w:r>
        <w:rPr>
          <w:rFonts w:hint="eastAsia" w:ascii="宋体" w:hAnsi="宋体"/>
          <w:szCs w:val="21"/>
        </w:rPr>
        <w:t>参与采购活动的供应商认为自己的权益在采购活动中受到损害的，应当自知道或者应当知道其权益受到损害之日起七个工作日内向采购人、政府集中采购机构以书面形式提出质疑。</w:t>
      </w:r>
    </w:p>
    <w:p>
      <w:pPr>
        <w:ind w:firstLine="420" w:firstLineChars="200"/>
        <w:rPr>
          <w:rFonts w:ascii="宋体" w:hAnsi="宋体"/>
          <w:szCs w:val="21"/>
        </w:rPr>
      </w:pPr>
      <w:r>
        <w:rPr>
          <w:rFonts w:hint="eastAsia" w:ascii="宋体" w:hAnsi="宋体"/>
          <w:szCs w:val="21"/>
        </w:rPr>
        <w:t>52.2</w:t>
      </w:r>
      <w:r>
        <w:rPr>
          <w:rFonts w:ascii="宋体" w:hAnsi="宋体"/>
          <w:szCs w:val="21"/>
        </w:rPr>
        <w:t>法律依据</w:t>
      </w:r>
    </w:p>
    <w:p>
      <w:pPr>
        <w:ind w:firstLine="420" w:firstLineChars="200"/>
        <w:rPr>
          <w:rFonts w:ascii="宋体" w:hAnsi="宋体"/>
          <w:szCs w:val="21"/>
        </w:rPr>
      </w:pPr>
      <w:r>
        <w:rPr>
          <w:rFonts w:hint="eastAsia" w:ascii="宋体" w:hAnsi="宋体"/>
          <w:szCs w:val="21"/>
        </w:rPr>
        <w:t>《中华人民共和国政府采购法》、《中华人民共和国政府采购法实施条例》、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ind w:firstLine="420" w:firstLineChars="200"/>
        <w:rPr>
          <w:rFonts w:ascii="宋体" w:hAnsi="宋体"/>
          <w:szCs w:val="21"/>
        </w:rPr>
      </w:pPr>
      <w:r>
        <w:rPr>
          <w:rFonts w:hint="eastAsia" w:ascii="宋体" w:hAnsi="宋体"/>
          <w:szCs w:val="21"/>
        </w:rPr>
        <w:t>52.3质疑条件</w:t>
      </w:r>
    </w:p>
    <w:p>
      <w:pPr>
        <w:ind w:firstLine="420" w:firstLineChars="200"/>
        <w:rPr>
          <w:rFonts w:ascii="宋体" w:hAnsi="宋体"/>
          <w:szCs w:val="21"/>
        </w:rPr>
      </w:pPr>
      <w:r>
        <w:rPr>
          <w:rFonts w:hint="eastAsia" w:ascii="宋体" w:hAnsi="宋体"/>
          <w:szCs w:val="21"/>
        </w:rPr>
        <w:t>52.3.1提出质疑的供应商应当是参与所质疑项目采购活动的供应商；</w:t>
      </w:r>
      <w:bookmarkStart w:id="104" w:name="_Hlk75374941"/>
      <w:r>
        <w:rPr>
          <w:rFonts w:hint="eastAsia" w:ascii="宋体" w:hAnsi="宋体"/>
          <w:szCs w:val="21"/>
        </w:rPr>
        <w:t>以联合体形式参与的，质疑应当由组成联合体的所有成员共同提出</w:t>
      </w:r>
      <w:bookmarkEnd w:id="104"/>
      <w:r>
        <w:rPr>
          <w:rFonts w:hint="eastAsia" w:ascii="宋体" w:hAnsi="宋体"/>
          <w:szCs w:val="21"/>
        </w:rPr>
        <w:t>；</w:t>
      </w:r>
    </w:p>
    <w:p>
      <w:pPr>
        <w:ind w:firstLine="420" w:firstLineChars="200"/>
        <w:rPr>
          <w:rFonts w:ascii="宋体" w:hAnsi="宋体"/>
          <w:szCs w:val="21"/>
        </w:rPr>
      </w:pPr>
      <w:r>
        <w:rPr>
          <w:rFonts w:hint="eastAsia" w:ascii="宋体" w:hAnsi="宋体"/>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结果以及评审委员会组成人员的质疑，为中标结果公示之日；</w:t>
      </w:r>
    </w:p>
    <w:p>
      <w:pPr>
        <w:ind w:firstLine="420" w:firstLineChars="20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pPr>
        <w:ind w:firstLine="420" w:firstLineChars="200"/>
        <w:rPr>
          <w:rFonts w:ascii="宋体" w:hAnsi="宋体"/>
          <w:szCs w:val="21"/>
        </w:rPr>
      </w:pPr>
      <w:r>
        <w:rPr>
          <w:rFonts w:hint="eastAsia" w:ascii="宋体" w:hAnsi="宋体"/>
          <w:szCs w:val="21"/>
        </w:rPr>
        <w:t>（1）供应商的名称（或者姓名）、地址、邮编、邮箱、联系人及联系电话；</w:t>
      </w:r>
    </w:p>
    <w:p>
      <w:pPr>
        <w:ind w:firstLine="420" w:firstLineChars="200"/>
        <w:rPr>
          <w:rFonts w:ascii="宋体" w:hAnsi="宋体"/>
          <w:szCs w:val="21"/>
        </w:rPr>
      </w:pPr>
      <w:r>
        <w:rPr>
          <w:rFonts w:hint="eastAsia" w:ascii="宋体" w:hAnsi="宋体"/>
          <w:szCs w:val="21"/>
        </w:rPr>
        <w:t>（2）质疑项目的名称、编号；</w:t>
      </w:r>
    </w:p>
    <w:p>
      <w:pPr>
        <w:ind w:firstLine="420" w:firstLineChars="200"/>
        <w:rPr>
          <w:rFonts w:ascii="宋体" w:hAnsi="宋体"/>
          <w:szCs w:val="21"/>
        </w:rPr>
      </w:pPr>
      <w:r>
        <w:rPr>
          <w:rFonts w:hint="eastAsia" w:ascii="宋体" w:hAnsi="宋体"/>
          <w:szCs w:val="21"/>
        </w:rPr>
        <w:t>（3）具体、明确的质疑对象、质疑事项和质疑请求；</w:t>
      </w:r>
    </w:p>
    <w:p>
      <w:pPr>
        <w:ind w:firstLine="420" w:firstLineChars="200"/>
        <w:rPr>
          <w:rFonts w:ascii="宋体" w:hAnsi="宋体"/>
          <w:szCs w:val="21"/>
        </w:rPr>
      </w:pPr>
      <w:r>
        <w:rPr>
          <w:rFonts w:hint="eastAsia" w:ascii="宋体" w:hAnsi="宋体"/>
          <w:szCs w:val="21"/>
        </w:rPr>
        <w:t>（4）因质疑事项而受损害的权益；</w:t>
      </w:r>
    </w:p>
    <w:p>
      <w:pPr>
        <w:ind w:firstLine="420" w:firstLineChars="200"/>
        <w:rPr>
          <w:rFonts w:ascii="宋体" w:hAnsi="宋体"/>
          <w:szCs w:val="21"/>
        </w:rPr>
      </w:pPr>
      <w:r>
        <w:rPr>
          <w:rFonts w:hint="eastAsia" w:ascii="宋体" w:hAnsi="宋体"/>
          <w:szCs w:val="21"/>
        </w:rPr>
        <w:t>（5）事实依据；</w:t>
      </w:r>
    </w:p>
    <w:p>
      <w:pPr>
        <w:ind w:firstLine="420" w:firstLineChars="200"/>
        <w:rPr>
          <w:rFonts w:ascii="宋体" w:hAnsi="宋体"/>
          <w:szCs w:val="21"/>
        </w:rPr>
      </w:pPr>
      <w:r>
        <w:rPr>
          <w:rFonts w:hint="eastAsia" w:ascii="宋体" w:hAnsi="宋体"/>
          <w:szCs w:val="21"/>
        </w:rPr>
        <w:t>（6）必要的法律依据；</w:t>
      </w:r>
    </w:p>
    <w:p>
      <w:pPr>
        <w:ind w:firstLine="420" w:firstLineChars="200"/>
        <w:rPr>
          <w:rFonts w:ascii="宋体" w:hAnsi="宋体"/>
          <w:szCs w:val="21"/>
        </w:rPr>
      </w:pPr>
      <w:r>
        <w:rPr>
          <w:rFonts w:hint="eastAsia" w:ascii="宋体" w:hAnsi="宋体"/>
          <w:szCs w:val="21"/>
        </w:rPr>
        <w:t>（7）提出质疑的日期。</w:t>
      </w:r>
    </w:p>
    <w:p>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20" w:firstLineChars="200"/>
        <w:rPr>
          <w:rFonts w:ascii="宋体" w:hAnsi="宋体"/>
          <w:szCs w:val="21"/>
        </w:rPr>
      </w:pPr>
      <w:r>
        <w:rPr>
          <w:rFonts w:hint="eastAsia" w:ascii="宋体" w:hAnsi="宋体"/>
          <w:szCs w:val="21"/>
        </w:rPr>
        <w:t>52.4提交</w:t>
      </w:r>
      <w:r>
        <w:rPr>
          <w:rFonts w:ascii="宋体" w:hAnsi="宋体"/>
          <w:szCs w:val="21"/>
        </w:rPr>
        <w:t>材料</w:t>
      </w:r>
    </w:p>
    <w:p>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szCs w:val="21"/>
        </w:rPr>
      </w:pPr>
      <w:r>
        <w:rPr>
          <w:rFonts w:hint="eastAsia" w:ascii="宋体" w:hAnsi="宋体"/>
          <w:szCs w:val="21"/>
        </w:rPr>
        <w:t>52.5收文地点</w:t>
      </w:r>
    </w:p>
    <w:p>
      <w:pPr>
        <w:ind w:firstLine="422" w:firstLineChars="200"/>
        <w:rPr>
          <w:rFonts w:ascii="宋体" w:hAnsi="宋体"/>
          <w:b/>
          <w:bCs/>
          <w:szCs w:val="21"/>
        </w:rPr>
      </w:pPr>
      <w:r>
        <w:rPr>
          <w:rFonts w:hint="eastAsia" w:ascii="宋体" w:hAnsi="宋体"/>
          <w:b/>
          <w:bCs/>
          <w:szCs w:val="21"/>
        </w:rPr>
        <w:t>地址：深圳公共资源交易中心（深圳交易集团有限公司政府采购业务分公司）27楼，质疑咨询电话：0755-</w:t>
      </w:r>
      <w:r>
        <w:rPr>
          <w:rFonts w:hint="eastAsia" w:ascii="宋体" w:hAnsi="宋体"/>
          <w:b/>
        </w:rPr>
        <w:t>86500050</w:t>
      </w:r>
      <w:r>
        <w:rPr>
          <w:rFonts w:hint="eastAsia" w:ascii="宋体" w:hAnsi="宋体"/>
          <w:b/>
          <w:bCs/>
          <w:szCs w:val="21"/>
        </w:rPr>
        <w:t>。</w:t>
      </w:r>
    </w:p>
    <w:p>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hAnsi="仿宋" w:eastAsia="仿宋"/>
          <w:szCs w:val="21"/>
        </w:rPr>
      </w:pPr>
      <w:r>
        <w:rPr>
          <w:rFonts w:hint="eastAsia" w:ascii="宋体" w:hAnsi="宋体"/>
          <w:szCs w:val="21"/>
        </w:rPr>
        <w:t>52.6.2供应商提交的质疑材料不符合质疑条件的，视情况处理：</w:t>
      </w:r>
    </w:p>
    <w:p>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pPr>
        <w:ind w:firstLine="420" w:firstLineChars="200"/>
        <w:rPr>
          <w:rFonts w:ascii="宋体" w:hAnsi="宋体"/>
          <w:szCs w:val="21"/>
        </w:rPr>
      </w:pPr>
      <w:r>
        <w:rPr>
          <w:rFonts w:hint="eastAsia" w:ascii="宋体" w:hAnsi="宋体"/>
          <w:szCs w:val="21"/>
        </w:rPr>
        <w:t>供应商提交的质疑存在下列情形之一的，不予受理：</w:t>
      </w:r>
    </w:p>
    <w:p>
      <w:pPr>
        <w:ind w:firstLine="420" w:firstLineChars="200"/>
        <w:rPr>
          <w:rFonts w:ascii="宋体" w:hAnsi="宋体"/>
          <w:szCs w:val="21"/>
        </w:rPr>
      </w:pPr>
      <w:r>
        <w:rPr>
          <w:rFonts w:hint="eastAsia" w:ascii="宋体" w:hAnsi="宋体"/>
          <w:szCs w:val="21"/>
        </w:rPr>
        <w:t>（1）质疑主体不满足要求的；</w:t>
      </w:r>
    </w:p>
    <w:p>
      <w:pPr>
        <w:ind w:firstLine="420" w:firstLineChars="200"/>
        <w:rPr>
          <w:rFonts w:ascii="宋体" w:hAnsi="宋体"/>
          <w:szCs w:val="21"/>
        </w:rPr>
      </w:pPr>
      <w:r>
        <w:rPr>
          <w:rFonts w:hint="eastAsia" w:ascii="宋体" w:hAnsi="宋体"/>
          <w:szCs w:val="21"/>
        </w:rPr>
        <w:t>（2）供应商自身权益未受到损害的；</w:t>
      </w:r>
    </w:p>
    <w:p>
      <w:pPr>
        <w:ind w:firstLine="420" w:firstLineChars="200"/>
        <w:rPr>
          <w:rFonts w:ascii="宋体" w:hAnsi="宋体"/>
          <w:szCs w:val="21"/>
        </w:rPr>
      </w:pPr>
      <w:r>
        <w:rPr>
          <w:rFonts w:hint="eastAsia" w:ascii="宋体" w:hAnsi="宋体"/>
          <w:szCs w:val="21"/>
        </w:rPr>
        <w:t>（3）供应商未在法定质疑期限内提出质疑的；</w:t>
      </w:r>
    </w:p>
    <w:p>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20" w:firstLineChars="200"/>
        <w:rPr>
          <w:rFonts w:ascii="宋体" w:hAnsi="宋体"/>
          <w:szCs w:val="21"/>
        </w:rPr>
      </w:pPr>
      <w:r>
        <w:rPr>
          <w:rFonts w:hint="eastAsia" w:ascii="宋体" w:hAnsi="宋体"/>
          <w:szCs w:val="21"/>
        </w:rPr>
        <w:t>（5）其他不符合受理条件情形的。</w:t>
      </w:r>
    </w:p>
    <w:p>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pPr>
        <w:ind w:firstLine="420" w:firstLineChars="200"/>
        <w:rPr>
          <w:rFonts w:ascii="宋体" w:hAnsi="宋体"/>
          <w:szCs w:val="21"/>
        </w:rPr>
      </w:pPr>
      <w:r>
        <w:rPr>
          <w:rFonts w:hint="eastAsia" w:ascii="宋体" w:hAnsi="宋体"/>
          <w:szCs w:val="21"/>
        </w:rPr>
        <w:t>52.7质疑答复时限</w:t>
      </w:r>
    </w:p>
    <w:p>
      <w:pPr>
        <w:ind w:firstLine="420" w:firstLineChars="200"/>
        <w:rPr>
          <w:rFonts w:ascii="宋体" w:hAnsi="宋体"/>
          <w:szCs w:val="21"/>
        </w:rPr>
      </w:pPr>
      <w:r>
        <w:rPr>
          <w:rFonts w:hint="eastAsia" w:ascii="宋体" w:hAnsi="宋体"/>
          <w:szCs w:val="21"/>
        </w:rPr>
        <w:t>自收文之日起七个工作日内。</w:t>
      </w:r>
    </w:p>
    <w:p>
      <w:pPr>
        <w:ind w:firstLine="420" w:firstLineChars="200"/>
        <w:rPr>
          <w:rFonts w:ascii="宋体" w:hAnsi="宋体"/>
          <w:szCs w:val="21"/>
        </w:rPr>
      </w:pPr>
      <w:r>
        <w:rPr>
          <w:rFonts w:hint="eastAsia" w:ascii="宋体" w:hAnsi="宋体"/>
          <w:szCs w:val="21"/>
        </w:rPr>
        <w:t>52.8争议（投诉）</w:t>
      </w:r>
    </w:p>
    <w:p>
      <w:pPr>
        <w:ind w:firstLine="420" w:firstLineChars="200"/>
        <w:rPr>
          <w:rFonts w:ascii="宋体" w:hAnsi="宋体"/>
          <w:szCs w:val="21"/>
        </w:rPr>
      </w:pPr>
      <w:r>
        <w:rPr>
          <w:rFonts w:hint="eastAsia" w:ascii="宋体" w:hAnsi="宋体"/>
          <w:szCs w:val="21"/>
        </w:rPr>
        <w:t>对质疑答复不满意或者未在规定时间内答复的，提出质疑的供应商可以在答复期满后15个工作日内向本项目预算主管单位投诉。</w:t>
      </w:r>
    </w:p>
    <w:p>
      <w:pPr>
        <w:ind w:firstLine="420" w:firstLineChars="200"/>
        <w:rPr>
          <w:rFonts w:ascii="黑体" w:hAnsi="宋体" w:eastAsia="黑体"/>
          <w:szCs w:val="21"/>
        </w:rPr>
      </w:pPr>
      <w:r>
        <w:rPr>
          <w:rFonts w:hint="eastAsia" w:ascii="黑体" w:hAnsi="宋体" w:eastAsia="黑体"/>
          <w:szCs w:val="21"/>
        </w:rPr>
        <w:t>53. 质疑后续处理</w:t>
      </w:r>
    </w:p>
    <w:p>
      <w:pPr>
        <w:ind w:firstLine="420" w:firstLineChars="200"/>
        <w:rPr>
          <w:rFonts w:ascii="宋体" w:hAnsi="宋体"/>
          <w:szCs w:val="21"/>
        </w:rPr>
      </w:pPr>
      <w:r>
        <w:rPr>
          <w:rFonts w:hint="eastAsia" w:ascii="宋体" w:hAnsi="宋体"/>
          <w:szCs w:val="21"/>
        </w:rPr>
        <w:t>53.1供应商质疑不成立，或者成立但未对中标、成交结果构成影响的，继续开展采购活动。</w:t>
      </w:r>
    </w:p>
    <w:p>
      <w:pPr>
        <w:ind w:firstLine="420" w:firstLineChars="200"/>
        <w:jc w:val="left"/>
        <w:rPr>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jc w:val="center"/>
      </w:pPr>
      <w:r>
        <w:t>---- END ----</w:t>
      </w:r>
      <w:bookmarkEnd w:id="50"/>
    </w:p>
    <w:p>
      <w:pPr>
        <w:rPr>
          <w:rFonts w:ascii="宋体" w:hAnsi="宋体"/>
          <w:szCs w:val="21"/>
        </w:rPr>
      </w:pPr>
    </w:p>
    <w:sectPr>
      <w:headerReference r:id="rId5" w:type="first"/>
      <w:headerReference r:id="rId4" w:type="default"/>
      <w:footerReference r:id="rId6" w:type="default"/>
      <w:footerReference r:id="rId7" w:type="even"/>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modern"/>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roman"/>
    <w:pitch w:val="default"/>
    <w:sig w:usb0="00000001" w:usb1="080E0000" w:usb2="00000000" w:usb3="00000000" w:csb0="00040000" w:csb1="00000000"/>
  </w:font>
  <w:font w:name="长城仿宋">
    <w:altName w:val="仿宋"/>
    <w:panose1 w:val="00000000000000000000"/>
    <w:charset w:val="86"/>
    <w:family w:val="roman"/>
    <w:pitch w:val="default"/>
    <w:sig w:usb0="00000000" w:usb1="00000000" w:usb2="00000010" w:usb3="00000000" w:csb0="00040000" w:csb1="00000000"/>
  </w:font>
  <w:font w:name="Helvetica">
    <w:altName w:val="Arial"/>
    <w:panose1 w:val="020B0604020202020204"/>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roman"/>
    <w:pitch w:val="default"/>
    <w:sig w:usb0="00000000" w:usb1="00000000" w:usb2="00000010" w:usb3="00000000" w:csb0="00040000" w:csb1="00000000"/>
  </w:font>
  <w:font w:name="Arial (W1)">
    <w:altName w:val="Arial"/>
    <w:panose1 w:val="00000000000000000000"/>
    <w:charset w:val="00"/>
    <w:family w:val="moder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roman"/>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瀹嬩綋">
    <w:altName w:val="Segoe Print"/>
    <w:panose1 w:val="00000000000000000000"/>
    <w:charset w:val="00"/>
    <w:family w:val="auto"/>
    <w:pitch w:val="default"/>
    <w:sig w:usb0="00000000" w:usb1="00000000" w:usb2="00000000" w:usb3="00000000" w:csb0="00000000" w:csb1="00000000"/>
  </w:font>
  <w:font w:name="Webdings">
    <w:panose1 w:val="05030102010509060703"/>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t xml:space="preserve">- </w:t>
    </w:r>
    <w:r>
      <w:fldChar w:fldCharType="begin"/>
    </w:r>
    <w:r>
      <w:instrText xml:space="preserve"> PAGE </w:instrText>
    </w:r>
    <w:r>
      <w:fldChar w:fldCharType="separate"/>
    </w:r>
    <w:r>
      <w:t>2</w:t>
    </w:r>
    <w:r>
      <w:fldChar w:fldCharType="end"/>
    </w:r>
    <w:r>
      <w:t xml:space="preserve"> -</w:t>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rPr>
        <w:rStyle w:val="46"/>
      </w:rPr>
      <w:fldChar w:fldCharType="begin"/>
    </w:r>
    <w:r>
      <w:rPr>
        <w:rStyle w:val="46"/>
      </w:rPr>
      <w:instrText xml:space="preserve">PAGE  </w:instrText>
    </w:r>
    <w:r>
      <w:rPr>
        <w:rStyle w:val="46"/>
      </w:rPr>
      <w:fldChar w:fldCharType="separate"/>
    </w:r>
    <w:r>
      <w:rPr>
        <w:rStyle w:val="46"/>
      </w:rPr>
      <w:t>10</w:t>
    </w:r>
    <w:r>
      <w:rPr>
        <w:rStyle w:val="46"/>
      </w:rP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30691"/>
    <w:multiLevelType w:val="singleLevel"/>
    <w:tmpl w:val="B4F30691"/>
    <w:lvl w:ilvl="0" w:tentative="0">
      <w:start w:val="3"/>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FFFFFF7C"/>
    <w:multiLevelType w:val="singleLevel"/>
    <w:tmpl w:val="FFFFFF7C"/>
    <w:lvl w:ilvl="0" w:tentative="0">
      <w:start w:val="1"/>
      <w:numFmt w:val="decimal"/>
      <w:pStyle w:val="64"/>
      <w:lvlText w:val="%1."/>
      <w:lvlJc w:val="left"/>
      <w:pPr>
        <w:tabs>
          <w:tab w:val="left" w:pos="2040"/>
        </w:tabs>
        <w:ind w:left="2040" w:leftChars="800" w:hanging="360" w:hangingChars="200"/>
      </w:pPr>
    </w:lvl>
  </w:abstractNum>
  <w:abstractNum w:abstractNumId="3">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4">
    <w:nsid w:val="00D06C01"/>
    <w:multiLevelType w:val="multilevel"/>
    <w:tmpl w:val="00D06C01"/>
    <w:lvl w:ilvl="0" w:tentative="0">
      <w:start w:val="1"/>
      <w:numFmt w:val="japaneseCounting"/>
      <w:lvlText w:val="第%1条"/>
      <w:lvlJc w:val="left"/>
      <w:pPr>
        <w:ind w:left="1185" w:hanging="945"/>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5">
    <w:nsid w:val="12503483"/>
    <w:multiLevelType w:val="multilevel"/>
    <w:tmpl w:val="12503483"/>
    <w:lvl w:ilvl="0" w:tentative="0">
      <w:start w:val="1"/>
      <w:numFmt w:val="bullet"/>
      <w:pStyle w:val="112"/>
      <w:lvlText w:val=""/>
      <w:lvlJc w:val="left"/>
      <w:pPr>
        <w:tabs>
          <w:tab w:val="left" w:pos="420"/>
        </w:tabs>
        <w:ind w:left="420" w:hanging="420"/>
      </w:pPr>
      <w:rPr>
        <w:rFonts w:hint="default" w:ascii="Wingdings" w:hAnsi="Wingdings"/>
      </w:rPr>
    </w:lvl>
    <w:lvl w:ilvl="1" w:tentative="0">
      <w:start w:val="1"/>
      <w:numFmt w:val="bullet"/>
      <w:pStyle w:val="111"/>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160D20D0"/>
    <w:multiLevelType w:val="multilevel"/>
    <w:tmpl w:val="160D20D0"/>
    <w:lvl w:ilvl="0" w:tentative="0">
      <w:start w:val="1"/>
      <w:numFmt w:val="bullet"/>
      <w:pStyle w:val="80"/>
      <w:lvlText w:val=""/>
      <w:lvlJc w:val="left"/>
      <w:pPr>
        <w:tabs>
          <w:tab w:val="left" w:pos="840"/>
        </w:tabs>
        <w:ind w:left="840" w:hanging="420"/>
      </w:pPr>
      <w:rPr>
        <w:rFonts w:hint="default" w:ascii="Wingdings" w:hAnsi="Wingdings"/>
      </w:rPr>
    </w:lvl>
    <w:lvl w:ilvl="1" w:tentative="0">
      <w:start w:val="1"/>
      <w:numFmt w:val="bullet"/>
      <w:pStyle w:val="8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2F395B7B"/>
    <w:multiLevelType w:val="multilevel"/>
    <w:tmpl w:val="2F395B7B"/>
    <w:lvl w:ilvl="0" w:tentative="0">
      <w:start w:val="1"/>
      <w:numFmt w:val="bullet"/>
      <w:pStyle w:val="172"/>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8">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D7E5995"/>
    <w:multiLevelType w:val="multilevel"/>
    <w:tmpl w:val="3D7E5995"/>
    <w:lvl w:ilvl="0" w:tentative="0">
      <w:start w:val="1"/>
      <w:numFmt w:val="decimal"/>
      <w:lvlText w:val="%1."/>
      <w:lvlJc w:val="left"/>
      <w:pPr>
        <w:ind w:left="600" w:hanging="600"/>
      </w:pPr>
      <w:rPr>
        <w:rFonts w:hint="default"/>
      </w:rPr>
    </w:lvl>
    <w:lvl w:ilvl="1" w:tentative="0">
      <w:start w:val="1"/>
      <w:numFmt w:val="decimal"/>
      <w:lvlText w:val="12.1.%2."/>
      <w:lvlJc w:val="left"/>
      <w:pPr>
        <w:ind w:left="1282" w:hanging="720"/>
      </w:pPr>
      <w:rPr>
        <w:rFonts w:hint="eastAsia"/>
      </w:rPr>
    </w:lvl>
    <w:lvl w:ilvl="2" w:tentative="0">
      <w:start w:val="1"/>
      <w:numFmt w:val="decimal"/>
      <w:lvlText w:val="%1.%2、%3."/>
      <w:lvlJc w:val="left"/>
      <w:pPr>
        <w:ind w:left="2204" w:hanging="1080"/>
      </w:pPr>
      <w:rPr>
        <w:rFonts w:hint="default"/>
      </w:rPr>
    </w:lvl>
    <w:lvl w:ilvl="3" w:tentative="0">
      <w:start w:val="1"/>
      <w:numFmt w:val="decimal"/>
      <w:lvlText w:val="%1.%2、%3.%4."/>
      <w:lvlJc w:val="left"/>
      <w:pPr>
        <w:ind w:left="2766" w:hanging="1080"/>
      </w:pPr>
      <w:rPr>
        <w:rFonts w:hint="default"/>
      </w:rPr>
    </w:lvl>
    <w:lvl w:ilvl="4" w:tentative="0">
      <w:start w:val="1"/>
      <w:numFmt w:val="decimal"/>
      <w:lvlText w:val="%1.%2、%3.%4.%5."/>
      <w:lvlJc w:val="left"/>
      <w:pPr>
        <w:ind w:left="3688" w:hanging="1440"/>
      </w:pPr>
      <w:rPr>
        <w:rFonts w:hint="default"/>
      </w:rPr>
    </w:lvl>
    <w:lvl w:ilvl="5" w:tentative="0">
      <w:start w:val="1"/>
      <w:numFmt w:val="decimal"/>
      <w:lvlText w:val="%1.%2、%3.%4.%5.%6."/>
      <w:lvlJc w:val="left"/>
      <w:pPr>
        <w:ind w:left="4610" w:hanging="1800"/>
      </w:pPr>
      <w:rPr>
        <w:rFonts w:hint="default"/>
      </w:rPr>
    </w:lvl>
    <w:lvl w:ilvl="6" w:tentative="0">
      <w:start w:val="1"/>
      <w:numFmt w:val="decimal"/>
      <w:lvlText w:val="%1.%2、%3.%4.%5.%6.%7."/>
      <w:lvlJc w:val="left"/>
      <w:pPr>
        <w:ind w:left="5172" w:hanging="1800"/>
      </w:pPr>
      <w:rPr>
        <w:rFonts w:hint="default"/>
      </w:rPr>
    </w:lvl>
    <w:lvl w:ilvl="7" w:tentative="0">
      <w:start w:val="1"/>
      <w:numFmt w:val="decimal"/>
      <w:lvlText w:val="%1.%2、%3.%4.%5.%6.%7.%8."/>
      <w:lvlJc w:val="left"/>
      <w:pPr>
        <w:ind w:left="6094" w:hanging="2160"/>
      </w:pPr>
      <w:rPr>
        <w:rFonts w:hint="default"/>
      </w:rPr>
    </w:lvl>
    <w:lvl w:ilvl="8" w:tentative="0">
      <w:start w:val="1"/>
      <w:numFmt w:val="decimal"/>
      <w:lvlText w:val="%1.%2、%3.%4.%5.%6.%7.%8.%9."/>
      <w:lvlJc w:val="left"/>
      <w:pPr>
        <w:ind w:left="7016" w:hanging="2520"/>
      </w:pPr>
      <w:rPr>
        <w:rFonts w:hint="default"/>
      </w:rPr>
    </w:lvl>
  </w:abstractNum>
  <w:abstractNum w:abstractNumId="10">
    <w:nsid w:val="478B6BCA"/>
    <w:multiLevelType w:val="multilevel"/>
    <w:tmpl w:val="478B6BCA"/>
    <w:lvl w:ilvl="0" w:tentative="0">
      <w:start w:val="1"/>
      <w:numFmt w:val="bullet"/>
      <w:lvlText w:val="□"/>
      <w:lvlJc w:val="left"/>
      <w:pPr>
        <w:tabs>
          <w:tab w:val="left" w:pos="540"/>
        </w:tabs>
        <w:ind w:left="540" w:hanging="360"/>
      </w:pPr>
      <w:rPr>
        <w:rFonts w:hint="eastAsia" w:ascii="宋体" w:hAnsi="宋体" w:eastAsia="宋体" w:cs="宋体"/>
      </w:rPr>
    </w:lvl>
    <w:lvl w:ilvl="1" w:tentative="0">
      <w:start w:val="1"/>
      <w:numFmt w:val="bullet"/>
      <w:lvlText w:val=""/>
      <w:lvlJc w:val="left"/>
      <w:pPr>
        <w:tabs>
          <w:tab w:val="left" w:pos="1020"/>
        </w:tabs>
        <w:ind w:left="1020" w:hanging="420"/>
      </w:pPr>
      <w:rPr>
        <w:rFonts w:hint="default" w:ascii="Wingdings" w:hAnsi="Wingdings"/>
      </w:rPr>
    </w:lvl>
    <w:lvl w:ilvl="2" w:tentative="0">
      <w:start w:val="1"/>
      <w:numFmt w:val="bullet"/>
      <w:lvlText w:val=""/>
      <w:lvlJc w:val="left"/>
      <w:pPr>
        <w:tabs>
          <w:tab w:val="left" w:pos="1440"/>
        </w:tabs>
        <w:ind w:left="1440" w:hanging="420"/>
      </w:pPr>
      <w:rPr>
        <w:rFonts w:hint="default" w:ascii="Wingdings" w:hAnsi="Wingdings"/>
      </w:rPr>
    </w:lvl>
    <w:lvl w:ilvl="3" w:tentative="0">
      <w:start w:val="1"/>
      <w:numFmt w:val="bullet"/>
      <w:lvlText w:val=""/>
      <w:lvlJc w:val="left"/>
      <w:pPr>
        <w:tabs>
          <w:tab w:val="left" w:pos="1860"/>
        </w:tabs>
        <w:ind w:left="1860" w:hanging="420"/>
      </w:pPr>
      <w:rPr>
        <w:rFonts w:hint="default" w:ascii="Wingdings" w:hAnsi="Wingdings"/>
      </w:rPr>
    </w:lvl>
    <w:lvl w:ilvl="4" w:tentative="0">
      <w:start w:val="1"/>
      <w:numFmt w:val="bullet"/>
      <w:lvlText w:val=""/>
      <w:lvlJc w:val="left"/>
      <w:pPr>
        <w:tabs>
          <w:tab w:val="left" w:pos="2280"/>
        </w:tabs>
        <w:ind w:left="2280" w:hanging="420"/>
      </w:pPr>
      <w:rPr>
        <w:rFonts w:hint="default" w:ascii="Wingdings" w:hAnsi="Wingdings"/>
      </w:rPr>
    </w:lvl>
    <w:lvl w:ilvl="5" w:tentative="0">
      <w:start w:val="1"/>
      <w:numFmt w:val="bullet"/>
      <w:lvlText w:val=""/>
      <w:lvlJc w:val="left"/>
      <w:pPr>
        <w:tabs>
          <w:tab w:val="left" w:pos="2700"/>
        </w:tabs>
        <w:ind w:left="2700" w:hanging="420"/>
      </w:pPr>
      <w:rPr>
        <w:rFonts w:hint="default" w:ascii="Wingdings" w:hAnsi="Wingdings"/>
      </w:rPr>
    </w:lvl>
    <w:lvl w:ilvl="6" w:tentative="0">
      <w:start w:val="1"/>
      <w:numFmt w:val="bullet"/>
      <w:lvlText w:val=""/>
      <w:lvlJc w:val="left"/>
      <w:pPr>
        <w:tabs>
          <w:tab w:val="left" w:pos="3120"/>
        </w:tabs>
        <w:ind w:left="3120" w:hanging="420"/>
      </w:pPr>
      <w:rPr>
        <w:rFonts w:hint="default" w:ascii="Wingdings" w:hAnsi="Wingdings"/>
      </w:rPr>
    </w:lvl>
    <w:lvl w:ilvl="7" w:tentative="0">
      <w:start w:val="1"/>
      <w:numFmt w:val="bullet"/>
      <w:lvlText w:val=""/>
      <w:lvlJc w:val="left"/>
      <w:pPr>
        <w:tabs>
          <w:tab w:val="left" w:pos="3540"/>
        </w:tabs>
        <w:ind w:left="3540" w:hanging="420"/>
      </w:pPr>
      <w:rPr>
        <w:rFonts w:hint="default" w:ascii="Wingdings" w:hAnsi="Wingdings"/>
      </w:rPr>
    </w:lvl>
    <w:lvl w:ilvl="8" w:tentative="0">
      <w:start w:val="1"/>
      <w:numFmt w:val="bullet"/>
      <w:lvlText w:val=""/>
      <w:lvlJc w:val="left"/>
      <w:pPr>
        <w:tabs>
          <w:tab w:val="left" w:pos="3960"/>
        </w:tabs>
        <w:ind w:left="3960" w:hanging="420"/>
      </w:pPr>
      <w:rPr>
        <w:rFonts w:hint="default" w:ascii="Wingdings" w:hAnsi="Wingdings"/>
      </w:rPr>
    </w:lvl>
  </w:abstractNum>
  <w:abstractNum w:abstractNumId="11">
    <w:nsid w:val="4B182E8C"/>
    <w:multiLevelType w:val="multilevel"/>
    <w:tmpl w:val="4B182E8C"/>
    <w:lvl w:ilvl="0" w:tentative="0">
      <w:start w:val="1"/>
      <w:numFmt w:val="decimal"/>
      <w:lvlText w:val="6.%1."/>
      <w:lvlJc w:val="left"/>
      <w:pPr>
        <w:ind w:left="562" w:hanging="420"/>
      </w:pPr>
      <w:rPr>
        <w:rFonts w:hint="eastAsia"/>
      </w:rPr>
    </w:lvl>
    <w:lvl w:ilvl="1" w:tentative="0">
      <w:start w:val="1"/>
      <w:numFmt w:val="lowerLetter"/>
      <w:lvlText w:val="%2)"/>
      <w:lvlJc w:val="left"/>
      <w:pPr>
        <w:ind w:left="-146" w:hanging="420"/>
      </w:pPr>
    </w:lvl>
    <w:lvl w:ilvl="2" w:tentative="0">
      <w:start w:val="1"/>
      <w:numFmt w:val="lowerRoman"/>
      <w:lvlText w:val="%3."/>
      <w:lvlJc w:val="right"/>
      <w:pPr>
        <w:ind w:left="274" w:hanging="420"/>
      </w:pPr>
    </w:lvl>
    <w:lvl w:ilvl="3" w:tentative="0">
      <w:start w:val="1"/>
      <w:numFmt w:val="decimal"/>
      <w:lvlText w:val="%4."/>
      <w:lvlJc w:val="left"/>
      <w:pPr>
        <w:ind w:left="694" w:hanging="420"/>
      </w:pPr>
    </w:lvl>
    <w:lvl w:ilvl="4" w:tentative="0">
      <w:start w:val="1"/>
      <w:numFmt w:val="lowerLetter"/>
      <w:lvlText w:val="%5)"/>
      <w:lvlJc w:val="left"/>
      <w:pPr>
        <w:ind w:left="1114" w:hanging="420"/>
      </w:pPr>
    </w:lvl>
    <w:lvl w:ilvl="5" w:tentative="0">
      <w:start w:val="1"/>
      <w:numFmt w:val="lowerRoman"/>
      <w:lvlText w:val="%6."/>
      <w:lvlJc w:val="right"/>
      <w:pPr>
        <w:ind w:left="1534" w:hanging="420"/>
      </w:pPr>
    </w:lvl>
    <w:lvl w:ilvl="6" w:tentative="0">
      <w:start w:val="1"/>
      <w:numFmt w:val="decimal"/>
      <w:lvlText w:val="%7."/>
      <w:lvlJc w:val="left"/>
      <w:pPr>
        <w:ind w:left="1954" w:hanging="420"/>
      </w:pPr>
    </w:lvl>
    <w:lvl w:ilvl="7" w:tentative="0">
      <w:start w:val="1"/>
      <w:numFmt w:val="lowerLetter"/>
      <w:lvlText w:val="%8)"/>
      <w:lvlJc w:val="left"/>
      <w:pPr>
        <w:ind w:left="2374" w:hanging="420"/>
      </w:pPr>
    </w:lvl>
    <w:lvl w:ilvl="8" w:tentative="0">
      <w:start w:val="1"/>
      <w:numFmt w:val="lowerRoman"/>
      <w:lvlText w:val="%9."/>
      <w:lvlJc w:val="right"/>
      <w:pPr>
        <w:ind w:left="2794" w:hanging="420"/>
      </w:pPr>
    </w:lvl>
  </w:abstractNum>
  <w:abstractNum w:abstractNumId="12">
    <w:nsid w:val="4E6D7FFE"/>
    <w:multiLevelType w:val="multilevel"/>
    <w:tmpl w:val="4E6D7FFE"/>
    <w:lvl w:ilvl="0" w:tentative="0">
      <w:start w:val="1"/>
      <w:numFmt w:val="decimal"/>
      <w:lvlText w:val="13.%1."/>
      <w:lvlJc w:val="left"/>
      <w:pPr>
        <w:ind w:left="980" w:hanging="420"/>
      </w:pPr>
      <w:rPr>
        <w:rFonts w:hint="eastAsia"/>
        <w:b w:val="0"/>
        <w:sz w:val="24"/>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ED74F0E"/>
    <w:multiLevelType w:val="multilevel"/>
    <w:tmpl w:val="4ED74F0E"/>
    <w:lvl w:ilvl="0" w:tentative="0">
      <w:start w:val="1"/>
      <w:numFmt w:val="decimal"/>
      <w:lvlText w:val="5.%1."/>
      <w:lvlJc w:val="left"/>
      <w:pPr>
        <w:ind w:left="562" w:hanging="420"/>
      </w:pPr>
      <w:rPr>
        <w:rFonts w:hint="eastAsia"/>
      </w:rPr>
    </w:lvl>
    <w:lvl w:ilvl="1" w:tentative="0">
      <w:start w:val="1"/>
      <w:numFmt w:val="lowerLetter"/>
      <w:lvlText w:val="%2)"/>
      <w:lvlJc w:val="left"/>
      <w:pPr>
        <w:ind w:left="-146" w:hanging="420"/>
      </w:pPr>
    </w:lvl>
    <w:lvl w:ilvl="2" w:tentative="0">
      <w:start w:val="1"/>
      <w:numFmt w:val="lowerRoman"/>
      <w:lvlText w:val="%3."/>
      <w:lvlJc w:val="right"/>
      <w:pPr>
        <w:ind w:left="274" w:hanging="420"/>
      </w:pPr>
    </w:lvl>
    <w:lvl w:ilvl="3" w:tentative="0">
      <w:start w:val="1"/>
      <w:numFmt w:val="decimal"/>
      <w:lvlText w:val="%4."/>
      <w:lvlJc w:val="left"/>
      <w:pPr>
        <w:ind w:left="694" w:hanging="420"/>
      </w:pPr>
    </w:lvl>
    <w:lvl w:ilvl="4" w:tentative="0">
      <w:start w:val="1"/>
      <w:numFmt w:val="lowerLetter"/>
      <w:lvlText w:val="%5)"/>
      <w:lvlJc w:val="left"/>
      <w:pPr>
        <w:ind w:left="1114" w:hanging="420"/>
      </w:pPr>
    </w:lvl>
    <w:lvl w:ilvl="5" w:tentative="0">
      <w:start w:val="1"/>
      <w:numFmt w:val="lowerRoman"/>
      <w:lvlText w:val="%6."/>
      <w:lvlJc w:val="right"/>
      <w:pPr>
        <w:ind w:left="1534" w:hanging="420"/>
      </w:pPr>
    </w:lvl>
    <w:lvl w:ilvl="6" w:tentative="0">
      <w:start w:val="1"/>
      <w:numFmt w:val="decimal"/>
      <w:lvlText w:val="%7."/>
      <w:lvlJc w:val="left"/>
      <w:pPr>
        <w:ind w:left="1954" w:hanging="420"/>
      </w:pPr>
    </w:lvl>
    <w:lvl w:ilvl="7" w:tentative="0">
      <w:start w:val="1"/>
      <w:numFmt w:val="lowerLetter"/>
      <w:lvlText w:val="%8)"/>
      <w:lvlJc w:val="left"/>
      <w:pPr>
        <w:ind w:left="2374" w:hanging="420"/>
      </w:pPr>
    </w:lvl>
    <w:lvl w:ilvl="8" w:tentative="0">
      <w:start w:val="1"/>
      <w:numFmt w:val="lowerRoman"/>
      <w:lvlText w:val="%9."/>
      <w:lvlJc w:val="right"/>
      <w:pPr>
        <w:ind w:left="2794" w:hanging="420"/>
      </w:pPr>
    </w:lvl>
  </w:abstractNum>
  <w:abstractNum w:abstractNumId="14">
    <w:nsid w:val="589F1A7B"/>
    <w:multiLevelType w:val="multilevel"/>
    <w:tmpl w:val="589F1A7B"/>
    <w:lvl w:ilvl="0" w:tentative="0">
      <w:start w:val="1"/>
      <w:numFmt w:val="decimal"/>
      <w:lvlText w:val="%1."/>
      <w:lvlJc w:val="left"/>
      <w:pPr>
        <w:ind w:left="600" w:hanging="600"/>
      </w:pPr>
      <w:rPr>
        <w:rFonts w:hint="default"/>
      </w:rPr>
    </w:lvl>
    <w:lvl w:ilvl="1" w:tentative="0">
      <w:start w:val="1"/>
      <w:numFmt w:val="decimal"/>
      <w:lvlText w:val="5.2.%2."/>
      <w:lvlJc w:val="left"/>
      <w:pPr>
        <w:ind w:left="1282" w:hanging="720"/>
      </w:pPr>
      <w:rPr>
        <w:rFonts w:hint="eastAsia"/>
      </w:rPr>
    </w:lvl>
    <w:lvl w:ilvl="2" w:tentative="0">
      <w:start w:val="1"/>
      <w:numFmt w:val="decimal"/>
      <w:lvlText w:val="%1.%2、%3."/>
      <w:lvlJc w:val="left"/>
      <w:pPr>
        <w:ind w:left="2204" w:hanging="1080"/>
      </w:pPr>
      <w:rPr>
        <w:rFonts w:hint="default"/>
      </w:rPr>
    </w:lvl>
    <w:lvl w:ilvl="3" w:tentative="0">
      <w:start w:val="1"/>
      <w:numFmt w:val="decimal"/>
      <w:lvlText w:val="%1.%2、%3.%4."/>
      <w:lvlJc w:val="left"/>
      <w:pPr>
        <w:ind w:left="2766" w:hanging="1080"/>
      </w:pPr>
      <w:rPr>
        <w:rFonts w:hint="default"/>
      </w:rPr>
    </w:lvl>
    <w:lvl w:ilvl="4" w:tentative="0">
      <w:start w:val="1"/>
      <w:numFmt w:val="decimal"/>
      <w:lvlText w:val="%1.%2、%3.%4.%5."/>
      <w:lvlJc w:val="left"/>
      <w:pPr>
        <w:ind w:left="3688" w:hanging="1440"/>
      </w:pPr>
      <w:rPr>
        <w:rFonts w:hint="default"/>
      </w:rPr>
    </w:lvl>
    <w:lvl w:ilvl="5" w:tentative="0">
      <w:start w:val="1"/>
      <w:numFmt w:val="decimal"/>
      <w:lvlText w:val="%1.%2、%3.%4.%5.%6."/>
      <w:lvlJc w:val="left"/>
      <w:pPr>
        <w:ind w:left="4610" w:hanging="1800"/>
      </w:pPr>
      <w:rPr>
        <w:rFonts w:hint="default"/>
      </w:rPr>
    </w:lvl>
    <w:lvl w:ilvl="6" w:tentative="0">
      <w:start w:val="1"/>
      <w:numFmt w:val="decimal"/>
      <w:lvlText w:val="%1.%2、%3.%4.%5.%6.%7."/>
      <w:lvlJc w:val="left"/>
      <w:pPr>
        <w:ind w:left="5172" w:hanging="1800"/>
      </w:pPr>
      <w:rPr>
        <w:rFonts w:hint="default"/>
      </w:rPr>
    </w:lvl>
    <w:lvl w:ilvl="7" w:tentative="0">
      <w:start w:val="1"/>
      <w:numFmt w:val="decimal"/>
      <w:lvlText w:val="%1.%2、%3.%4.%5.%6.%7.%8."/>
      <w:lvlJc w:val="left"/>
      <w:pPr>
        <w:ind w:left="6094" w:hanging="2160"/>
      </w:pPr>
      <w:rPr>
        <w:rFonts w:hint="default"/>
      </w:rPr>
    </w:lvl>
    <w:lvl w:ilvl="8" w:tentative="0">
      <w:start w:val="1"/>
      <w:numFmt w:val="decimal"/>
      <w:lvlText w:val="%1.%2、%3.%4.%5.%6.%7.%8.%9."/>
      <w:lvlJc w:val="left"/>
      <w:pPr>
        <w:ind w:left="7016" w:hanging="2520"/>
      </w:pPr>
      <w:rPr>
        <w:rFonts w:hint="default"/>
      </w:rPr>
    </w:lvl>
  </w:abstractNum>
  <w:abstractNum w:abstractNumId="15">
    <w:nsid w:val="5C0D2242"/>
    <w:multiLevelType w:val="multilevel"/>
    <w:tmpl w:val="5C0D2242"/>
    <w:lvl w:ilvl="0" w:tentative="0">
      <w:start w:val="1"/>
      <w:numFmt w:val="decimal"/>
      <w:lvlText w:val="%1."/>
      <w:lvlJc w:val="left"/>
      <w:pPr>
        <w:ind w:left="600" w:hanging="600"/>
      </w:pPr>
      <w:rPr>
        <w:rFonts w:hint="default"/>
      </w:rPr>
    </w:lvl>
    <w:lvl w:ilvl="1" w:tentative="0">
      <w:start w:val="1"/>
      <w:numFmt w:val="decimal"/>
      <w:lvlText w:val="12.2.%2."/>
      <w:lvlJc w:val="left"/>
      <w:pPr>
        <w:ind w:left="1282" w:hanging="720"/>
      </w:pPr>
      <w:rPr>
        <w:rFonts w:hint="eastAsia"/>
      </w:rPr>
    </w:lvl>
    <w:lvl w:ilvl="2" w:tentative="0">
      <w:start w:val="1"/>
      <w:numFmt w:val="decimal"/>
      <w:lvlText w:val="%1.%2、%3."/>
      <w:lvlJc w:val="left"/>
      <w:pPr>
        <w:ind w:left="2204" w:hanging="1080"/>
      </w:pPr>
      <w:rPr>
        <w:rFonts w:hint="default"/>
      </w:rPr>
    </w:lvl>
    <w:lvl w:ilvl="3" w:tentative="0">
      <w:start w:val="1"/>
      <w:numFmt w:val="decimal"/>
      <w:lvlText w:val="%1.%2、%3.%4."/>
      <w:lvlJc w:val="left"/>
      <w:pPr>
        <w:ind w:left="2766" w:hanging="1080"/>
      </w:pPr>
      <w:rPr>
        <w:rFonts w:hint="default"/>
      </w:rPr>
    </w:lvl>
    <w:lvl w:ilvl="4" w:tentative="0">
      <w:start w:val="1"/>
      <w:numFmt w:val="decimal"/>
      <w:lvlText w:val="%1.%2、%3.%4.%5."/>
      <w:lvlJc w:val="left"/>
      <w:pPr>
        <w:ind w:left="3688" w:hanging="1440"/>
      </w:pPr>
      <w:rPr>
        <w:rFonts w:hint="default"/>
      </w:rPr>
    </w:lvl>
    <w:lvl w:ilvl="5" w:tentative="0">
      <w:start w:val="1"/>
      <w:numFmt w:val="decimal"/>
      <w:lvlText w:val="%1.%2、%3.%4.%5.%6."/>
      <w:lvlJc w:val="left"/>
      <w:pPr>
        <w:ind w:left="4610" w:hanging="1800"/>
      </w:pPr>
      <w:rPr>
        <w:rFonts w:hint="default"/>
      </w:rPr>
    </w:lvl>
    <w:lvl w:ilvl="6" w:tentative="0">
      <w:start w:val="1"/>
      <w:numFmt w:val="decimal"/>
      <w:lvlText w:val="%1.%2、%3.%4.%5.%6.%7."/>
      <w:lvlJc w:val="left"/>
      <w:pPr>
        <w:ind w:left="5172" w:hanging="1800"/>
      </w:pPr>
      <w:rPr>
        <w:rFonts w:hint="default"/>
      </w:rPr>
    </w:lvl>
    <w:lvl w:ilvl="7" w:tentative="0">
      <w:start w:val="1"/>
      <w:numFmt w:val="decimal"/>
      <w:lvlText w:val="%1.%2、%3.%4.%5.%6.%7.%8."/>
      <w:lvlJc w:val="left"/>
      <w:pPr>
        <w:ind w:left="6094" w:hanging="2160"/>
      </w:pPr>
      <w:rPr>
        <w:rFonts w:hint="default"/>
      </w:rPr>
    </w:lvl>
    <w:lvl w:ilvl="8" w:tentative="0">
      <w:start w:val="1"/>
      <w:numFmt w:val="decimal"/>
      <w:lvlText w:val="%1.%2、%3.%4.%5.%6.%7.%8.%9."/>
      <w:lvlJc w:val="left"/>
      <w:pPr>
        <w:ind w:left="7016" w:hanging="2520"/>
      </w:pPr>
      <w:rPr>
        <w:rFonts w:hint="default"/>
      </w:rPr>
    </w:lvl>
  </w:abstractNum>
  <w:abstractNum w:abstractNumId="16">
    <w:nsid w:val="630A3ED7"/>
    <w:multiLevelType w:val="multilevel"/>
    <w:tmpl w:val="630A3ED7"/>
    <w:lvl w:ilvl="0" w:tentative="0">
      <w:start w:val="1"/>
      <w:numFmt w:val="decimal"/>
      <w:lvlText w:val="%1."/>
      <w:lvlJc w:val="left"/>
      <w:pPr>
        <w:ind w:left="600" w:hanging="600"/>
      </w:pPr>
      <w:rPr>
        <w:rFonts w:hint="default"/>
      </w:rPr>
    </w:lvl>
    <w:lvl w:ilvl="1" w:tentative="0">
      <w:start w:val="1"/>
      <w:numFmt w:val="decimal"/>
      <w:lvlText w:val="5.1.%2."/>
      <w:lvlJc w:val="left"/>
      <w:pPr>
        <w:ind w:left="1282" w:hanging="720"/>
      </w:pPr>
      <w:rPr>
        <w:rFonts w:hint="eastAsia"/>
      </w:rPr>
    </w:lvl>
    <w:lvl w:ilvl="2" w:tentative="0">
      <w:start w:val="1"/>
      <w:numFmt w:val="decimal"/>
      <w:lvlText w:val="%1.%2、%3."/>
      <w:lvlJc w:val="left"/>
      <w:pPr>
        <w:ind w:left="2204" w:hanging="1080"/>
      </w:pPr>
      <w:rPr>
        <w:rFonts w:hint="default"/>
      </w:rPr>
    </w:lvl>
    <w:lvl w:ilvl="3" w:tentative="0">
      <w:start w:val="1"/>
      <w:numFmt w:val="decimal"/>
      <w:lvlText w:val="%1.%2、%3.%4."/>
      <w:lvlJc w:val="left"/>
      <w:pPr>
        <w:ind w:left="2766" w:hanging="1080"/>
      </w:pPr>
      <w:rPr>
        <w:rFonts w:hint="default"/>
      </w:rPr>
    </w:lvl>
    <w:lvl w:ilvl="4" w:tentative="0">
      <w:start w:val="1"/>
      <w:numFmt w:val="decimal"/>
      <w:lvlText w:val="%1.%2、%3.%4.%5."/>
      <w:lvlJc w:val="left"/>
      <w:pPr>
        <w:ind w:left="3688" w:hanging="1440"/>
      </w:pPr>
      <w:rPr>
        <w:rFonts w:hint="default"/>
      </w:rPr>
    </w:lvl>
    <w:lvl w:ilvl="5" w:tentative="0">
      <w:start w:val="1"/>
      <w:numFmt w:val="decimal"/>
      <w:lvlText w:val="%1.%2、%3.%4.%5.%6."/>
      <w:lvlJc w:val="left"/>
      <w:pPr>
        <w:ind w:left="4610" w:hanging="1800"/>
      </w:pPr>
      <w:rPr>
        <w:rFonts w:hint="default"/>
      </w:rPr>
    </w:lvl>
    <w:lvl w:ilvl="6" w:tentative="0">
      <w:start w:val="1"/>
      <w:numFmt w:val="decimal"/>
      <w:lvlText w:val="%1.%2、%3.%4.%5.%6.%7."/>
      <w:lvlJc w:val="left"/>
      <w:pPr>
        <w:ind w:left="5172" w:hanging="1800"/>
      </w:pPr>
      <w:rPr>
        <w:rFonts w:hint="default"/>
      </w:rPr>
    </w:lvl>
    <w:lvl w:ilvl="7" w:tentative="0">
      <w:start w:val="1"/>
      <w:numFmt w:val="decimal"/>
      <w:lvlText w:val="%1.%2、%3.%4.%5.%6.%7.%8."/>
      <w:lvlJc w:val="left"/>
      <w:pPr>
        <w:ind w:left="6094" w:hanging="2160"/>
      </w:pPr>
      <w:rPr>
        <w:rFonts w:hint="default"/>
      </w:rPr>
    </w:lvl>
    <w:lvl w:ilvl="8" w:tentative="0">
      <w:start w:val="1"/>
      <w:numFmt w:val="decimal"/>
      <w:lvlText w:val="%1.%2、%3.%4.%5.%6.%7.%8.%9."/>
      <w:lvlJc w:val="left"/>
      <w:pPr>
        <w:ind w:left="7016" w:hanging="2520"/>
      </w:pPr>
      <w:rPr>
        <w:rFonts w:hint="default"/>
      </w:rPr>
    </w:lvl>
  </w:abstractNum>
  <w:abstractNum w:abstractNumId="17">
    <w:nsid w:val="670F0216"/>
    <w:multiLevelType w:val="multilevel"/>
    <w:tmpl w:val="670F0216"/>
    <w:lvl w:ilvl="0" w:tentative="0">
      <w:start w:val="1"/>
      <w:numFmt w:val="decimal"/>
      <w:lvlText w:val="10.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B2F4239"/>
    <w:multiLevelType w:val="multilevel"/>
    <w:tmpl w:val="6B2F4239"/>
    <w:lvl w:ilvl="0" w:tentative="0">
      <w:start w:val="1"/>
      <w:numFmt w:val="decimal"/>
      <w:lvlText w:val="%1."/>
      <w:lvlJc w:val="left"/>
      <w:pPr>
        <w:ind w:left="600" w:hanging="600"/>
      </w:pPr>
      <w:rPr>
        <w:rFonts w:hint="default"/>
      </w:rPr>
    </w:lvl>
    <w:lvl w:ilvl="1" w:tentative="0">
      <w:start w:val="1"/>
      <w:numFmt w:val="decimal"/>
      <w:lvlText w:val="6.2.%2."/>
      <w:lvlJc w:val="left"/>
      <w:pPr>
        <w:ind w:left="1282" w:hanging="720"/>
      </w:pPr>
      <w:rPr>
        <w:rFonts w:hint="eastAsia"/>
      </w:rPr>
    </w:lvl>
    <w:lvl w:ilvl="2" w:tentative="0">
      <w:start w:val="1"/>
      <w:numFmt w:val="decimal"/>
      <w:lvlText w:val="%1.%2、%3."/>
      <w:lvlJc w:val="left"/>
      <w:pPr>
        <w:ind w:left="2204" w:hanging="1080"/>
      </w:pPr>
      <w:rPr>
        <w:rFonts w:hint="default"/>
      </w:rPr>
    </w:lvl>
    <w:lvl w:ilvl="3" w:tentative="0">
      <w:start w:val="1"/>
      <w:numFmt w:val="decimal"/>
      <w:lvlText w:val="%1.%2、%3.%4."/>
      <w:lvlJc w:val="left"/>
      <w:pPr>
        <w:ind w:left="2766" w:hanging="1080"/>
      </w:pPr>
      <w:rPr>
        <w:rFonts w:hint="default"/>
      </w:rPr>
    </w:lvl>
    <w:lvl w:ilvl="4" w:tentative="0">
      <w:start w:val="1"/>
      <w:numFmt w:val="decimal"/>
      <w:lvlText w:val="%1.%2、%3.%4.%5."/>
      <w:lvlJc w:val="left"/>
      <w:pPr>
        <w:ind w:left="3688" w:hanging="1440"/>
      </w:pPr>
      <w:rPr>
        <w:rFonts w:hint="default"/>
      </w:rPr>
    </w:lvl>
    <w:lvl w:ilvl="5" w:tentative="0">
      <w:start w:val="1"/>
      <w:numFmt w:val="decimal"/>
      <w:lvlText w:val="%1.%2、%3.%4.%5.%6."/>
      <w:lvlJc w:val="left"/>
      <w:pPr>
        <w:ind w:left="4610" w:hanging="1800"/>
      </w:pPr>
      <w:rPr>
        <w:rFonts w:hint="default"/>
      </w:rPr>
    </w:lvl>
    <w:lvl w:ilvl="6" w:tentative="0">
      <w:start w:val="1"/>
      <w:numFmt w:val="decimal"/>
      <w:lvlText w:val="%1.%2、%3.%4.%5.%6.%7."/>
      <w:lvlJc w:val="left"/>
      <w:pPr>
        <w:ind w:left="5172" w:hanging="1800"/>
      </w:pPr>
      <w:rPr>
        <w:rFonts w:hint="default"/>
      </w:rPr>
    </w:lvl>
    <w:lvl w:ilvl="7" w:tentative="0">
      <w:start w:val="1"/>
      <w:numFmt w:val="decimal"/>
      <w:lvlText w:val="%1.%2、%3.%4.%5.%6.%7.%8."/>
      <w:lvlJc w:val="left"/>
      <w:pPr>
        <w:ind w:left="6094" w:hanging="2160"/>
      </w:pPr>
      <w:rPr>
        <w:rFonts w:hint="default"/>
      </w:rPr>
    </w:lvl>
    <w:lvl w:ilvl="8" w:tentative="0">
      <w:start w:val="1"/>
      <w:numFmt w:val="decimal"/>
      <w:lvlText w:val="%1.%2、%3.%4.%5.%6.%7.%8.%9."/>
      <w:lvlJc w:val="left"/>
      <w:pPr>
        <w:ind w:left="7016" w:hanging="2520"/>
      </w:pPr>
      <w:rPr>
        <w:rFonts w:hint="default"/>
      </w:rPr>
    </w:lvl>
  </w:abstractNum>
  <w:abstractNum w:abstractNumId="19">
    <w:nsid w:val="7AEF7716"/>
    <w:multiLevelType w:val="multilevel"/>
    <w:tmpl w:val="7AEF7716"/>
    <w:lvl w:ilvl="0" w:tentative="0">
      <w:start w:val="1"/>
      <w:numFmt w:val="chineseCountingThousand"/>
      <w:pStyle w:val="125"/>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7DFD1D6F"/>
    <w:multiLevelType w:val="multilevel"/>
    <w:tmpl w:val="7DFD1D6F"/>
    <w:lvl w:ilvl="0" w:tentative="0">
      <w:start w:val="1"/>
      <w:numFmt w:val="decimal"/>
      <w:lvlText w:val="10.2.%1"/>
      <w:lvlJc w:val="left"/>
      <w:pPr>
        <w:ind w:left="9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6"/>
  </w:num>
  <w:num w:numId="4">
    <w:abstractNumId w:val="5"/>
  </w:num>
  <w:num w:numId="5">
    <w:abstractNumId w:val="19"/>
  </w:num>
  <w:num w:numId="6">
    <w:abstractNumId w:val="7"/>
  </w:num>
  <w:num w:numId="7">
    <w:abstractNumId w:val="0"/>
  </w:num>
  <w:num w:numId="8">
    <w:abstractNumId w:val="1"/>
  </w:num>
  <w:num w:numId="9">
    <w:abstractNumId w:val="4"/>
  </w:num>
  <w:num w:numId="10">
    <w:abstractNumId w:val="10"/>
  </w:num>
  <w:num w:numId="11">
    <w:abstractNumId w:val="13"/>
  </w:num>
  <w:num w:numId="12">
    <w:abstractNumId w:val="16"/>
  </w:num>
  <w:num w:numId="13">
    <w:abstractNumId w:val="14"/>
  </w:num>
  <w:num w:numId="14">
    <w:abstractNumId w:val="11"/>
  </w:num>
  <w:num w:numId="15">
    <w:abstractNumId w:val="18"/>
  </w:num>
  <w:num w:numId="16">
    <w:abstractNumId w:val="17"/>
  </w:num>
  <w:num w:numId="17">
    <w:abstractNumId w:val="20"/>
  </w:num>
  <w:num w:numId="18">
    <w:abstractNumId w:val="9"/>
  </w:num>
  <w:num w:numId="19">
    <w:abstractNumId w:val="15"/>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mYzVhOTc4YmY4MGI2NTYwZDU1MzU4OTQwOTA3OTUifQ=="/>
  </w:docVars>
  <w:rsids>
    <w:rsidRoot w:val="006C5683"/>
    <w:rsid w:val="00000AD9"/>
    <w:rsid w:val="000041AD"/>
    <w:rsid w:val="000043C0"/>
    <w:rsid w:val="000050CA"/>
    <w:rsid w:val="000051C6"/>
    <w:rsid w:val="00005215"/>
    <w:rsid w:val="00005A10"/>
    <w:rsid w:val="00005D3D"/>
    <w:rsid w:val="0000608F"/>
    <w:rsid w:val="00006F7B"/>
    <w:rsid w:val="00007355"/>
    <w:rsid w:val="00007951"/>
    <w:rsid w:val="00007DB0"/>
    <w:rsid w:val="00010063"/>
    <w:rsid w:val="00010102"/>
    <w:rsid w:val="00010423"/>
    <w:rsid w:val="00011EA6"/>
    <w:rsid w:val="000122CD"/>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1953"/>
    <w:rsid w:val="000234B2"/>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817"/>
    <w:rsid w:val="00035CD1"/>
    <w:rsid w:val="00036A2B"/>
    <w:rsid w:val="000377D2"/>
    <w:rsid w:val="00040D3C"/>
    <w:rsid w:val="00040E5A"/>
    <w:rsid w:val="000417D2"/>
    <w:rsid w:val="00042897"/>
    <w:rsid w:val="00042C84"/>
    <w:rsid w:val="00043739"/>
    <w:rsid w:val="00043A89"/>
    <w:rsid w:val="00045739"/>
    <w:rsid w:val="00046D30"/>
    <w:rsid w:val="000510B6"/>
    <w:rsid w:val="00051133"/>
    <w:rsid w:val="00051EB5"/>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6F35"/>
    <w:rsid w:val="00067960"/>
    <w:rsid w:val="0007003A"/>
    <w:rsid w:val="00070210"/>
    <w:rsid w:val="000707BF"/>
    <w:rsid w:val="000722CF"/>
    <w:rsid w:val="0007277D"/>
    <w:rsid w:val="000734CD"/>
    <w:rsid w:val="00074403"/>
    <w:rsid w:val="00074CF0"/>
    <w:rsid w:val="000750DC"/>
    <w:rsid w:val="00075735"/>
    <w:rsid w:val="0007583C"/>
    <w:rsid w:val="00076057"/>
    <w:rsid w:val="000770EC"/>
    <w:rsid w:val="00081E95"/>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91F"/>
    <w:rsid w:val="000D2CCA"/>
    <w:rsid w:val="000D366B"/>
    <w:rsid w:val="000D38F9"/>
    <w:rsid w:val="000D4664"/>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570"/>
    <w:rsid w:val="0010184B"/>
    <w:rsid w:val="00101CE5"/>
    <w:rsid w:val="00101DD0"/>
    <w:rsid w:val="00102555"/>
    <w:rsid w:val="001029C0"/>
    <w:rsid w:val="00102B4B"/>
    <w:rsid w:val="00103469"/>
    <w:rsid w:val="00103AB9"/>
    <w:rsid w:val="00103E80"/>
    <w:rsid w:val="00104CC6"/>
    <w:rsid w:val="001061A4"/>
    <w:rsid w:val="00107187"/>
    <w:rsid w:val="00107272"/>
    <w:rsid w:val="00107D54"/>
    <w:rsid w:val="00110B62"/>
    <w:rsid w:val="001110F0"/>
    <w:rsid w:val="00111581"/>
    <w:rsid w:val="00111CEB"/>
    <w:rsid w:val="00111F8F"/>
    <w:rsid w:val="0011235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335A"/>
    <w:rsid w:val="00143554"/>
    <w:rsid w:val="00143653"/>
    <w:rsid w:val="00143934"/>
    <w:rsid w:val="00143B3A"/>
    <w:rsid w:val="00143E43"/>
    <w:rsid w:val="00143FFC"/>
    <w:rsid w:val="001453B3"/>
    <w:rsid w:val="00146ABB"/>
    <w:rsid w:val="00147338"/>
    <w:rsid w:val="00147A48"/>
    <w:rsid w:val="00150143"/>
    <w:rsid w:val="0015073C"/>
    <w:rsid w:val="001509AB"/>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D33"/>
    <w:rsid w:val="00183E75"/>
    <w:rsid w:val="001845CF"/>
    <w:rsid w:val="00185A98"/>
    <w:rsid w:val="001865BB"/>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14F"/>
    <w:rsid w:val="001B4A37"/>
    <w:rsid w:val="001B4BB2"/>
    <w:rsid w:val="001B6FAD"/>
    <w:rsid w:val="001C04B2"/>
    <w:rsid w:val="001C13DE"/>
    <w:rsid w:val="001C1FDE"/>
    <w:rsid w:val="001C2063"/>
    <w:rsid w:val="001C21E1"/>
    <w:rsid w:val="001C3426"/>
    <w:rsid w:val="001C4768"/>
    <w:rsid w:val="001C47B2"/>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2F08"/>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5BF"/>
    <w:rsid w:val="001F41B9"/>
    <w:rsid w:val="001F4AA7"/>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897"/>
    <w:rsid w:val="0020391D"/>
    <w:rsid w:val="00205AE4"/>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1C65"/>
    <w:rsid w:val="00242209"/>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47A5"/>
    <w:rsid w:val="00284B7C"/>
    <w:rsid w:val="00284C1F"/>
    <w:rsid w:val="002851AF"/>
    <w:rsid w:val="00286129"/>
    <w:rsid w:val="0028787B"/>
    <w:rsid w:val="00287E1B"/>
    <w:rsid w:val="00290263"/>
    <w:rsid w:val="002908A7"/>
    <w:rsid w:val="00291062"/>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A7EEA"/>
    <w:rsid w:val="002B06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3E5"/>
    <w:rsid w:val="00360494"/>
    <w:rsid w:val="00360C00"/>
    <w:rsid w:val="00360E7E"/>
    <w:rsid w:val="00361935"/>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4F0B"/>
    <w:rsid w:val="00385444"/>
    <w:rsid w:val="00385717"/>
    <w:rsid w:val="00385F39"/>
    <w:rsid w:val="00386070"/>
    <w:rsid w:val="003863FD"/>
    <w:rsid w:val="003900A5"/>
    <w:rsid w:val="00390941"/>
    <w:rsid w:val="00390C0A"/>
    <w:rsid w:val="003917AD"/>
    <w:rsid w:val="00391B5A"/>
    <w:rsid w:val="00391FAB"/>
    <w:rsid w:val="00392539"/>
    <w:rsid w:val="00392677"/>
    <w:rsid w:val="00393431"/>
    <w:rsid w:val="00393633"/>
    <w:rsid w:val="003939C4"/>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FF8"/>
    <w:rsid w:val="003C18C4"/>
    <w:rsid w:val="003C4333"/>
    <w:rsid w:val="003C43DA"/>
    <w:rsid w:val="003C4FD5"/>
    <w:rsid w:val="003C54F4"/>
    <w:rsid w:val="003C5585"/>
    <w:rsid w:val="003C57DD"/>
    <w:rsid w:val="003C582B"/>
    <w:rsid w:val="003C614D"/>
    <w:rsid w:val="003C77E9"/>
    <w:rsid w:val="003C7C63"/>
    <w:rsid w:val="003D152F"/>
    <w:rsid w:val="003D19EE"/>
    <w:rsid w:val="003D2333"/>
    <w:rsid w:val="003D2374"/>
    <w:rsid w:val="003D2B3A"/>
    <w:rsid w:val="003D3241"/>
    <w:rsid w:val="003D35EC"/>
    <w:rsid w:val="003D4419"/>
    <w:rsid w:val="003D4804"/>
    <w:rsid w:val="003D5413"/>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0F3A"/>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47719"/>
    <w:rsid w:val="0045016B"/>
    <w:rsid w:val="004501B4"/>
    <w:rsid w:val="0045082F"/>
    <w:rsid w:val="00450C00"/>
    <w:rsid w:val="0045135E"/>
    <w:rsid w:val="004522E5"/>
    <w:rsid w:val="00452434"/>
    <w:rsid w:val="0045273C"/>
    <w:rsid w:val="00452C53"/>
    <w:rsid w:val="004539C7"/>
    <w:rsid w:val="00453F8A"/>
    <w:rsid w:val="00454597"/>
    <w:rsid w:val="004548E6"/>
    <w:rsid w:val="0045543A"/>
    <w:rsid w:val="00455880"/>
    <w:rsid w:val="00455D1D"/>
    <w:rsid w:val="00456125"/>
    <w:rsid w:val="004561F9"/>
    <w:rsid w:val="0045637C"/>
    <w:rsid w:val="004569A3"/>
    <w:rsid w:val="00456A7F"/>
    <w:rsid w:val="004578ED"/>
    <w:rsid w:val="00457B0C"/>
    <w:rsid w:val="004611B6"/>
    <w:rsid w:val="004615A1"/>
    <w:rsid w:val="00461997"/>
    <w:rsid w:val="00462AA1"/>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4AE"/>
    <w:rsid w:val="0047558F"/>
    <w:rsid w:val="0047561A"/>
    <w:rsid w:val="00475FD5"/>
    <w:rsid w:val="0047770B"/>
    <w:rsid w:val="00477AFC"/>
    <w:rsid w:val="00477EA3"/>
    <w:rsid w:val="004812F4"/>
    <w:rsid w:val="0048231B"/>
    <w:rsid w:val="00482BD9"/>
    <w:rsid w:val="004838D4"/>
    <w:rsid w:val="004845AC"/>
    <w:rsid w:val="00484C31"/>
    <w:rsid w:val="004850AC"/>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295C"/>
    <w:rsid w:val="004E38B2"/>
    <w:rsid w:val="004E3936"/>
    <w:rsid w:val="004E4277"/>
    <w:rsid w:val="004E490B"/>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022"/>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63E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0A78"/>
    <w:rsid w:val="005913EE"/>
    <w:rsid w:val="00592461"/>
    <w:rsid w:val="00592B29"/>
    <w:rsid w:val="00592B43"/>
    <w:rsid w:val="00592F2B"/>
    <w:rsid w:val="005950D6"/>
    <w:rsid w:val="0059519C"/>
    <w:rsid w:val="00595524"/>
    <w:rsid w:val="00597221"/>
    <w:rsid w:val="005974F3"/>
    <w:rsid w:val="0059751C"/>
    <w:rsid w:val="00597919"/>
    <w:rsid w:val="005A034E"/>
    <w:rsid w:val="005A0A5B"/>
    <w:rsid w:val="005A0B9F"/>
    <w:rsid w:val="005A0EFC"/>
    <w:rsid w:val="005A1692"/>
    <w:rsid w:val="005A1956"/>
    <w:rsid w:val="005A286E"/>
    <w:rsid w:val="005A28BD"/>
    <w:rsid w:val="005A3DC0"/>
    <w:rsid w:val="005A44E7"/>
    <w:rsid w:val="005A5337"/>
    <w:rsid w:val="005A5D8E"/>
    <w:rsid w:val="005A63D8"/>
    <w:rsid w:val="005A6CC1"/>
    <w:rsid w:val="005A790F"/>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72C"/>
    <w:rsid w:val="005B747D"/>
    <w:rsid w:val="005B7733"/>
    <w:rsid w:val="005B7A22"/>
    <w:rsid w:val="005C0602"/>
    <w:rsid w:val="005C0D5D"/>
    <w:rsid w:val="005C0D70"/>
    <w:rsid w:val="005C0E5E"/>
    <w:rsid w:val="005C191A"/>
    <w:rsid w:val="005C2AA9"/>
    <w:rsid w:val="005C330D"/>
    <w:rsid w:val="005C40C7"/>
    <w:rsid w:val="005C4114"/>
    <w:rsid w:val="005C4B98"/>
    <w:rsid w:val="005C4EFF"/>
    <w:rsid w:val="005C4F43"/>
    <w:rsid w:val="005D0189"/>
    <w:rsid w:val="005D0B55"/>
    <w:rsid w:val="005D160D"/>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3466"/>
    <w:rsid w:val="005F4E3A"/>
    <w:rsid w:val="005F5573"/>
    <w:rsid w:val="005F5D1D"/>
    <w:rsid w:val="005F60C9"/>
    <w:rsid w:val="005F64C6"/>
    <w:rsid w:val="005F6F05"/>
    <w:rsid w:val="006008F1"/>
    <w:rsid w:val="00601714"/>
    <w:rsid w:val="00601735"/>
    <w:rsid w:val="00601A07"/>
    <w:rsid w:val="00602BD2"/>
    <w:rsid w:val="00604980"/>
    <w:rsid w:val="00605BDB"/>
    <w:rsid w:val="0060614D"/>
    <w:rsid w:val="00607C27"/>
    <w:rsid w:val="00607E54"/>
    <w:rsid w:val="0061005A"/>
    <w:rsid w:val="006101C5"/>
    <w:rsid w:val="00610871"/>
    <w:rsid w:val="00610E48"/>
    <w:rsid w:val="0061160D"/>
    <w:rsid w:val="0061286C"/>
    <w:rsid w:val="00612E83"/>
    <w:rsid w:val="00613C47"/>
    <w:rsid w:val="00614B0E"/>
    <w:rsid w:val="00615086"/>
    <w:rsid w:val="00615B0A"/>
    <w:rsid w:val="00615D40"/>
    <w:rsid w:val="00616201"/>
    <w:rsid w:val="00616225"/>
    <w:rsid w:val="00616917"/>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2D72"/>
    <w:rsid w:val="006443CB"/>
    <w:rsid w:val="006448B8"/>
    <w:rsid w:val="00644F80"/>
    <w:rsid w:val="00645874"/>
    <w:rsid w:val="006458E5"/>
    <w:rsid w:val="00646E5D"/>
    <w:rsid w:val="006472B4"/>
    <w:rsid w:val="00650550"/>
    <w:rsid w:val="00650B30"/>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0BC7"/>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3CC"/>
    <w:rsid w:val="006B7695"/>
    <w:rsid w:val="006B7C0F"/>
    <w:rsid w:val="006C0176"/>
    <w:rsid w:val="006C2994"/>
    <w:rsid w:val="006C35EC"/>
    <w:rsid w:val="006C3CA1"/>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708"/>
    <w:rsid w:val="006D4C8F"/>
    <w:rsid w:val="006D52A0"/>
    <w:rsid w:val="006D57CB"/>
    <w:rsid w:val="006D5819"/>
    <w:rsid w:val="006D5E6F"/>
    <w:rsid w:val="006D68D8"/>
    <w:rsid w:val="006D693F"/>
    <w:rsid w:val="006D6CDD"/>
    <w:rsid w:val="006D7604"/>
    <w:rsid w:val="006D765E"/>
    <w:rsid w:val="006E03D1"/>
    <w:rsid w:val="006E0455"/>
    <w:rsid w:val="006E150D"/>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D38"/>
    <w:rsid w:val="006F6D4C"/>
    <w:rsid w:val="006F6E67"/>
    <w:rsid w:val="006F7157"/>
    <w:rsid w:val="006F78E0"/>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4394"/>
    <w:rsid w:val="00714ED6"/>
    <w:rsid w:val="007151B7"/>
    <w:rsid w:val="007153FC"/>
    <w:rsid w:val="00715E8D"/>
    <w:rsid w:val="0071648F"/>
    <w:rsid w:val="00716D8A"/>
    <w:rsid w:val="00717854"/>
    <w:rsid w:val="00717969"/>
    <w:rsid w:val="00720CCE"/>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C5E"/>
    <w:rsid w:val="00734510"/>
    <w:rsid w:val="00734887"/>
    <w:rsid w:val="00736530"/>
    <w:rsid w:val="007365B6"/>
    <w:rsid w:val="007373C8"/>
    <w:rsid w:val="007401E2"/>
    <w:rsid w:val="00740205"/>
    <w:rsid w:val="00740D14"/>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DC"/>
    <w:rsid w:val="00756D6A"/>
    <w:rsid w:val="0075711E"/>
    <w:rsid w:val="007579F2"/>
    <w:rsid w:val="007602CB"/>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47C"/>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902AD"/>
    <w:rsid w:val="00790606"/>
    <w:rsid w:val="007908ED"/>
    <w:rsid w:val="00790F74"/>
    <w:rsid w:val="007912E8"/>
    <w:rsid w:val="00792288"/>
    <w:rsid w:val="00792447"/>
    <w:rsid w:val="007928C6"/>
    <w:rsid w:val="007929C0"/>
    <w:rsid w:val="007951F4"/>
    <w:rsid w:val="00795BF6"/>
    <w:rsid w:val="0079694C"/>
    <w:rsid w:val="00796F99"/>
    <w:rsid w:val="00797AF9"/>
    <w:rsid w:val="00797FBD"/>
    <w:rsid w:val="007A0187"/>
    <w:rsid w:val="007A19AC"/>
    <w:rsid w:val="007A2640"/>
    <w:rsid w:val="007A268F"/>
    <w:rsid w:val="007A4A53"/>
    <w:rsid w:val="007A4C93"/>
    <w:rsid w:val="007A4E17"/>
    <w:rsid w:val="007A5936"/>
    <w:rsid w:val="007A5AC6"/>
    <w:rsid w:val="007A6A01"/>
    <w:rsid w:val="007A7D0A"/>
    <w:rsid w:val="007A7F6D"/>
    <w:rsid w:val="007B0799"/>
    <w:rsid w:val="007B0FBD"/>
    <w:rsid w:val="007B1BAF"/>
    <w:rsid w:val="007B2393"/>
    <w:rsid w:val="007B2FE8"/>
    <w:rsid w:val="007B30DB"/>
    <w:rsid w:val="007B30F2"/>
    <w:rsid w:val="007B35F7"/>
    <w:rsid w:val="007B4534"/>
    <w:rsid w:val="007B4DD5"/>
    <w:rsid w:val="007B4EEA"/>
    <w:rsid w:val="007B4F72"/>
    <w:rsid w:val="007B5148"/>
    <w:rsid w:val="007B5A16"/>
    <w:rsid w:val="007B64D8"/>
    <w:rsid w:val="007B660D"/>
    <w:rsid w:val="007B7219"/>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3EE9"/>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80033E"/>
    <w:rsid w:val="00801D7A"/>
    <w:rsid w:val="008020F2"/>
    <w:rsid w:val="00802462"/>
    <w:rsid w:val="008036FC"/>
    <w:rsid w:val="00803F74"/>
    <w:rsid w:val="00804653"/>
    <w:rsid w:val="00804B6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56AC"/>
    <w:rsid w:val="00826173"/>
    <w:rsid w:val="00826F4C"/>
    <w:rsid w:val="008302D6"/>
    <w:rsid w:val="008305FD"/>
    <w:rsid w:val="00831573"/>
    <w:rsid w:val="00833946"/>
    <w:rsid w:val="00833C51"/>
    <w:rsid w:val="008349A6"/>
    <w:rsid w:val="00835271"/>
    <w:rsid w:val="00835679"/>
    <w:rsid w:val="008360DF"/>
    <w:rsid w:val="008365D4"/>
    <w:rsid w:val="0083731C"/>
    <w:rsid w:val="008377DA"/>
    <w:rsid w:val="00837BD7"/>
    <w:rsid w:val="008403A7"/>
    <w:rsid w:val="00840591"/>
    <w:rsid w:val="0084119A"/>
    <w:rsid w:val="00841F21"/>
    <w:rsid w:val="00842991"/>
    <w:rsid w:val="008429B0"/>
    <w:rsid w:val="00843900"/>
    <w:rsid w:val="00844C5B"/>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ABB"/>
    <w:rsid w:val="00880E30"/>
    <w:rsid w:val="008815B6"/>
    <w:rsid w:val="008818F6"/>
    <w:rsid w:val="00881D45"/>
    <w:rsid w:val="008829F8"/>
    <w:rsid w:val="0088398E"/>
    <w:rsid w:val="00885182"/>
    <w:rsid w:val="0088647E"/>
    <w:rsid w:val="00887E02"/>
    <w:rsid w:val="00890382"/>
    <w:rsid w:val="0089046A"/>
    <w:rsid w:val="00891106"/>
    <w:rsid w:val="008916CB"/>
    <w:rsid w:val="00892833"/>
    <w:rsid w:val="00893479"/>
    <w:rsid w:val="0089375D"/>
    <w:rsid w:val="008943CB"/>
    <w:rsid w:val="008946B9"/>
    <w:rsid w:val="008960A2"/>
    <w:rsid w:val="00896E62"/>
    <w:rsid w:val="008979BC"/>
    <w:rsid w:val="008A0055"/>
    <w:rsid w:val="008A056E"/>
    <w:rsid w:val="008A0882"/>
    <w:rsid w:val="008A10C1"/>
    <w:rsid w:val="008A181A"/>
    <w:rsid w:val="008A1A6F"/>
    <w:rsid w:val="008A1C47"/>
    <w:rsid w:val="008A2289"/>
    <w:rsid w:val="008A26F5"/>
    <w:rsid w:val="008A3766"/>
    <w:rsid w:val="008A3F08"/>
    <w:rsid w:val="008A4F66"/>
    <w:rsid w:val="008A525C"/>
    <w:rsid w:val="008A5290"/>
    <w:rsid w:val="008A593A"/>
    <w:rsid w:val="008A6A60"/>
    <w:rsid w:val="008A6B89"/>
    <w:rsid w:val="008A6C5A"/>
    <w:rsid w:val="008A6CCA"/>
    <w:rsid w:val="008B1417"/>
    <w:rsid w:val="008B1B85"/>
    <w:rsid w:val="008B1B8C"/>
    <w:rsid w:val="008B2170"/>
    <w:rsid w:val="008B25B1"/>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C7B03"/>
    <w:rsid w:val="008D00EA"/>
    <w:rsid w:val="008D0D1E"/>
    <w:rsid w:val="008D1175"/>
    <w:rsid w:val="008D13C7"/>
    <w:rsid w:val="008D1627"/>
    <w:rsid w:val="008D1DA0"/>
    <w:rsid w:val="008D284E"/>
    <w:rsid w:val="008D3E1A"/>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2E1"/>
    <w:rsid w:val="00900662"/>
    <w:rsid w:val="00900BFF"/>
    <w:rsid w:val="00901953"/>
    <w:rsid w:val="00901DF8"/>
    <w:rsid w:val="00902166"/>
    <w:rsid w:val="00902A0C"/>
    <w:rsid w:val="009040A1"/>
    <w:rsid w:val="009043AA"/>
    <w:rsid w:val="0090473B"/>
    <w:rsid w:val="0090487F"/>
    <w:rsid w:val="00904A1E"/>
    <w:rsid w:val="00905282"/>
    <w:rsid w:val="0090574B"/>
    <w:rsid w:val="00905908"/>
    <w:rsid w:val="00905F22"/>
    <w:rsid w:val="00906B46"/>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2A45"/>
    <w:rsid w:val="009233CE"/>
    <w:rsid w:val="00923C3F"/>
    <w:rsid w:val="00924853"/>
    <w:rsid w:val="009252E0"/>
    <w:rsid w:val="00925501"/>
    <w:rsid w:val="00926982"/>
    <w:rsid w:val="00926B5A"/>
    <w:rsid w:val="00926D4C"/>
    <w:rsid w:val="009270C4"/>
    <w:rsid w:val="00931743"/>
    <w:rsid w:val="00931AF8"/>
    <w:rsid w:val="00931C39"/>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120"/>
    <w:rsid w:val="009425F7"/>
    <w:rsid w:val="00943827"/>
    <w:rsid w:val="00943BC0"/>
    <w:rsid w:val="00943E23"/>
    <w:rsid w:val="00944BF0"/>
    <w:rsid w:val="00944F29"/>
    <w:rsid w:val="00945DE7"/>
    <w:rsid w:val="00946136"/>
    <w:rsid w:val="00946CD9"/>
    <w:rsid w:val="00947046"/>
    <w:rsid w:val="00947A00"/>
    <w:rsid w:val="009505F4"/>
    <w:rsid w:val="0095085D"/>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6D65"/>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2633"/>
    <w:rsid w:val="00983583"/>
    <w:rsid w:val="00983EFD"/>
    <w:rsid w:val="009855B0"/>
    <w:rsid w:val="009859A8"/>
    <w:rsid w:val="00985A7D"/>
    <w:rsid w:val="00986257"/>
    <w:rsid w:val="0098658A"/>
    <w:rsid w:val="00986861"/>
    <w:rsid w:val="00987CBC"/>
    <w:rsid w:val="00990BC7"/>
    <w:rsid w:val="00990E34"/>
    <w:rsid w:val="00991EB0"/>
    <w:rsid w:val="0099212B"/>
    <w:rsid w:val="0099245F"/>
    <w:rsid w:val="009928FA"/>
    <w:rsid w:val="009937B4"/>
    <w:rsid w:val="009940B6"/>
    <w:rsid w:val="00994B5F"/>
    <w:rsid w:val="00995768"/>
    <w:rsid w:val="009958B8"/>
    <w:rsid w:val="00996326"/>
    <w:rsid w:val="00996B7D"/>
    <w:rsid w:val="00996F95"/>
    <w:rsid w:val="009976A3"/>
    <w:rsid w:val="00997745"/>
    <w:rsid w:val="00997EA5"/>
    <w:rsid w:val="009A021C"/>
    <w:rsid w:val="009A07D5"/>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34F1"/>
    <w:rsid w:val="009C381A"/>
    <w:rsid w:val="009C3B80"/>
    <w:rsid w:val="009C3D84"/>
    <w:rsid w:val="009C42E2"/>
    <w:rsid w:val="009C48C6"/>
    <w:rsid w:val="009C5D76"/>
    <w:rsid w:val="009C5DFB"/>
    <w:rsid w:val="009C5FDE"/>
    <w:rsid w:val="009C6C92"/>
    <w:rsid w:val="009C7180"/>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E7491"/>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4B6F"/>
    <w:rsid w:val="00A054CB"/>
    <w:rsid w:val="00A05DF4"/>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532"/>
    <w:rsid w:val="00A24BC5"/>
    <w:rsid w:val="00A2504C"/>
    <w:rsid w:val="00A26747"/>
    <w:rsid w:val="00A26E5D"/>
    <w:rsid w:val="00A276A6"/>
    <w:rsid w:val="00A276FF"/>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90DB1"/>
    <w:rsid w:val="00A9147B"/>
    <w:rsid w:val="00A9177F"/>
    <w:rsid w:val="00A91BA8"/>
    <w:rsid w:val="00A91EF1"/>
    <w:rsid w:val="00A91EF2"/>
    <w:rsid w:val="00A92A8D"/>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7AE"/>
    <w:rsid w:val="00AA5EB3"/>
    <w:rsid w:val="00AA6916"/>
    <w:rsid w:val="00AB022F"/>
    <w:rsid w:val="00AB110E"/>
    <w:rsid w:val="00AB11CF"/>
    <w:rsid w:val="00AB1287"/>
    <w:rsid w:val="00AB1CE8"/>
    <w:rsid w:val="00AB2075"/>
    <w:rsid w:val="00AB2470"/>
    <w:rsid w:val="00AB3EC9"/>
    <w:rsid w:val="00AB3FCD"/>
    <w:rsid w:val="00AB43FC"/>
    <w:rsid w:val="00AB4506"/>
    <w:rsid w:val="00AB5190"/>
    <w:rsid w:val="00AB5513"/>
    <w:rsid w:val="00AB6DFC"/>
    <w:rsid w:val="00AB6E0F"/>
    <w:rsid w:val="00AB7354"/>
    <w:rsid w:val="00AB75DD"/>
    <w:rsid w:val="00AB7C46"/>
    <w:rsid w:val="00AC071C"/>
    <w:rsid w:val="00AC2076"/>
    <w:rsid w:val="00AC3637"/>
    <w:rsid w:val="00AC3D4F"/>
    <w:rsid w:val="00AC3D5B"/>
    <w:rsid w:val="00AC3DB7"/>
    <w:rsid w:val="00AC4699"/>
    <w:rsid w:val="00AC57CD"/>
    <w:rsid w:val="00AC59DF"/>
    <w:rsid w:val="00AC63A8"/>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AA"/>
    <w:rsid w:val="00B147C9"/>
    <w:rsid w:val="00B15BB2"/>
    <w:rsid w:val="00B1666B"/>
    <w:rsid w:val="00B16CEE"/>
    <w:rsid w:val="00B16EBE"/>
    <w:rsid w:val="00B20655"/>
    <w:rsid w:val="00B20BD6"/>
    <w:rsid w:val="00B21443"/>
    <w:rsid w:val="00B21D0E"/>
    <w:rsid w:val="00B22C57"/>
    <w:rsid w:val="00B23C76"/>
    <w:rsid w:val="00B23EEE"/>
    <w:rsid w:val="00B25E1E"/>
    <w:rsid w:val="00B267F7"/>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FF2"/>
    <w:rsid w:val="00B539EB"/>
    <w:rsid w:val="00B53D7D"/>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5B53"/>
    <w:rsid w:val="00B6731A"/>
    <w:rsid w:val="00B673CA"/>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5676"/>
    <w:rsid w:val="00B96069"/>
    <w:rsid w:val="00B968F3"/>
    <w:rsid w:val="00B96E78"/>
    <w:rsid w:val="00BA0A76"/>
    <w:rsid w:val="00BA11A9"/>
    <w:rsid w:val="00BA30C2"/>
    <w:rsid w:val="00BA31C6"/>
    <w:rsid w:val="00BA4B0A"/>
    <w:rsid w:val="00BA699B"/>
    <w:rsid w:val="00BA76AB"/>
    <w:rsid w:val="00BA7A5F"/>
    <w:rsid w:val="00BB0225"/>
    <w:rsid w:val="00BB0423"/>
    <w:rsid w:val="00BB0B48"/>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AD"/>
    <w:rsid w:val="00C067E0"/>
    <w:rsid w:val="00C071C7"/>
    <w:rsid w:val="00C0773D"/>
    <w:rsid w:val="00C1025D"/>
    <w:rsid w:val="00C110C7"/>
    <w:rsid w:val="00C11733"/>
    <w:rsid w:val="00C12CC1"/>
    <w:rsid w:val="00C12D93"/>
    <w:rsid w:val="00C12EE2"/>
    <w:rsid w:val="00C13103"/>
    <w:rsid w:val="00C13577"/>
    <w:rsid w:val="00C139DE"/>
    <w:rsid w:val="00C13B55"/>
    <w:rsid w:val="00C13CB8"/>
    <w:rsid w:val="00C14CD4"/>
    <w:rsid w:val="00C151CE"/>
    <w:rsid w:val="00C15BBB"/>
    <w:rsid w:val="00C16078"/>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08FA"/>
    <w:rsid w:val="00C410D2"/>
    <w:rsid w:val="00C411E0"/>
    <w:rsid w:val="00C41363"/>
    <w:rsid w:val="00C42209"/>
    <w:rsid w:val="00C429D5"/>
    <w:rsid w:val="00C42A78"/>
    <w:rsid w:val="00C42AD9"/>
    <w:rsid w:val="00C42DC9"/>
    <w:rsid w:val="00C437D6"/>
    <w:rsid w:val="00C45897"/>
    <w:rsid w:val="00C4601D"/>
    <w:rsid w:val="00C470F6"/>
    <w:rsid w:val="00C47B1C"/>
    <w:rsid w:val="00C504EF"/>
    <w:rsid w:val="00C509D2"/>
    <w:rsid w:val="00C51CCA"/>
    <w:rsid w:val="00C52FDA"/>
    <w:rsid w:val="00C53131"/>
    <w:rsid w:val="00C54473"/>
    <w:rsid w:val="00C55693"/>
    <w:rsid w:val="00C55945"/>
    <w:rsid w:val="00C55D94"/>
    <w:rsid w:val="00C55DCB"/>
    <w:rsid w:val="00C55FBB"/>
    <w:rsid w:val="00C56DCE"/>
    <w:rsid w:val="00C57582"/>
    <w:rsid w:val="00C608EF"/>
    <w:rsid w:val="00C60E9C"/>
    <w:rsid w:val="00C612BB"/>
    <w:rsid w:val="00C612BF"/>
    <w:rsid w:val="00C61338"/>
    <w:rsid w:val="00C616C6"/>
    <w:rsid w:val="00C61BAA"/>
    <w:rsid w:val="00C6207E"/>
    <w:rsid w:val="00C62A28"/>
    <w:rsid w:val="00C6324D"/>
    <w:rsid w:val="00C64FAE"/>
    <w:rsid w:val="00C653CC"/>
    <w:rsid w:val="00C65B09"/>
    <w:rsid w:val="00C66344"/>
    <w:rsid w:val="00C66EDC"/>
    <w:rsid w:val="00C674F7"/>
    <w:rsid w:val="00C67D05"/>
    <w:rsid w:val="00C714EE"/>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55F"/>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2D81"/>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5D7"/>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3D7F"/>
    <w:rsid w:val="00D34E83"/>
    <w:rsid w:val="00D35189"/>
    <w:rsid w:val="00D352D0"/>
    <w:rsid w:val="00D35F44"/>
    <w:rsid w:val="00D36898"/>
    <w:rsid w:val="00D36A87"/>
    <w:rsid w:val="00D3701D"/>
    <w:rsid w:val="00D37354"/>
    <w:rsid w:val="00D404B1"/>
    <w:rsid w:val="00D40C33"/>
    <w:rsid w:val="00D4104F"/>
    <w:rsid w:val="00D41EE5"/>
    <w:rsid w:val="00D4313E"/>
    <w:rsid w:val="00D43988"/>
    <w:rsid w:val="00D4707E"/>
    <w:rsid w:val="00D47238"/>
    <w:rsid w:val="00D4761E"/>
    <w:rsid w:val="00D4762C"/>
    <w:rsid w:val="00D47867"/>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343"/>
    <w:rsid w:val="00DC16F9"/>
    <w:rsid w:val="00DC1CA6"/>
    <w:rsid w:val="00DC20CF"/>
    <w:rsid w:val="00DC276E"/>
    <w:rsid w:val="00DC27E3"/>
    <w:rsid w:val="00DC2B8D"/>
    <w:rsid w:val="00DC3472"/>
    <w:rsid w:val="00DC4B44"/>
    <w:rsid w:val="00DC5C38"/>
    <w:rsid w:val="00DC5C39"/>
    <w:rsid w:val="00DC61A3"/>
    <w:rsid w:val="00DC62FE"/>
    <w:rsid w:val="00DC6EB6"/>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667B"/>
    <w:rsid w:val="00DD7F9B"/>
    <w:rsid w:val="00DE2E1E"/>
    <w:rsid w:val="00DE3385"/>
    <w:rsid w:val="00DE3503"/>
    <w:rsid w:val="00DE396F"/>
    <w:rsid w:val="00DE3CA1"/>
    <w:rsid w:val="00DE4007"/>
    <w:rsid w:val="00DE4638"/>
    <w:rsid w:val="00DE4651"/>
    <w:rsid w:val="00DE47B6"/>
    <w:rsid w:val="00DE50BD"/>
    <w:rsid w:val="00DE534A"/>
    <w:rsid w:val="00DE55FD"/>
    <w:rsid w:val="00DE7265"/>
    <w:rsid w:val="00DE7525"/>
    <w:rsid w:val="00DF2247"/>
    <w:rsid w:val="00DF225E"/>
    <w:rsid w:val="00DF2353"/>
    <w:rsid w:val="00DF387D"/>
    <w:rsid w:val="00DF3AB2"/>
    <w:rsid w:val="00DF5784"/>
    <w:rsid w:val="00DF58B8"/>
    <w:rsid w:val="00DF5FF8"/>
    <w:rsid w:val="00DF6EE5"/>
    <w:rsid w:val="00E0077B"/>
    <w:rsid w:val="00E00898"/>
    <w:rsid w:val="00E01BEF"/>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5D99"/>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0FD8"/>
    <w:rsid w:val="00E4125E"/>
    <w:rsid w:val="00E41E22"/>
    <w:rsid w:val="00E4239D"/>
    <w:rsid w:val="00E429A0"/>
    <w:rsid w:val="00E42D39"/>
    <w:rsid w:val="00E4337B"/>
    <w:rsid w:val="00E4483E"/>
    <w:rsid w:val="00E44CD4"/>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F4F"/>
    <w:rsid w:val="00E70D1E"/>
    <w:rsid w:val="00E721A9"/>
    <w:rsid w:val="00E727F8"/>
    <w:rsid w:val="00E73549"/>
    <w:rsid w:val="00E73EB9"/>
    <w:rsid w:val="00E74861"/>
    <w:rsid w:val="00E748DD"/>
    <w:rsid w:val="00E74EC9"/>
    <w:rsid w:val="00E750A5"/>
    <w:rsid w:val="00E75733"/>
    <w:rsid w:val="00E75A9D"/>
    <w:rsid w:val="00E76B19"/>
    <w:rsid w:val="00E80CF7"/>
    <w:rsid w:val="00E81581"/>
    <w:rsid w:val="00E81B8E"/>
    <w:rsid w:val="00E81ED7"/>
    <w:rsid w:val="00E82742"/>
    <w:rsid w:val="00E82FC0"/>
    <w:rsid w:val="00E8369B"/>
    <w:rsid w:val="00E8377F"/>
    <w:rsid w:val="00E83850"/>
    <w:rsid w:val="00E85244"/>
    <w:rsid w:val="00E86159"/>
    <w:rsid w:val="00E86741"/>
    <w:rsid w:val="00E86DCB"/>
    <w:rsid w:val="00E87AE4"/>
    <w:rsid w:val="00E90C1F"/>
    <w:rsid w:val="00E9124A"/>
    <w:rsid w:val="00E91A8F"/>
    <w:rsid w:val="00E9222C"/>
    <w:rsid w:val="00E92AA5"/>
    <w:rsid w:val="00E9314A"/>
    <w:rsid w:val="00E9558B"/>
    <w:rsid w:val="00E957C5"/>
    <w:rsid w:val="00E95D1B"/>
    <w:rsid w:val="00E9735C"/>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802"/>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74BA"/>
    <w:rsid w:val="00EC79C5"/>
    <w:rsid w:val="00EC7E82"/>
    <w:rsid w:val="00EC7E91"/>
    <w:rsid w:val="00ED0B81"/>
    <w:rsid w:val="00ED166B"/>
    <w:rsid w:val="00ED172E"/>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64B7"/>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D86"/>
    <w:rsid w:val="00F131AA"/>
    <w:rsid w:val="00F131FD"/>
    <w:rsid w:val="00F1350B"/>
    <w:rsid w:val="00F13B05"/>
    <w:rsid w:val="00F13B5A"/>
    <w:rsid w:val="00F13BAF"/>
    <w:rsid w:val="00F13EA5"/>
    <w:rsid w:val="00F13EED"/>
    <w:rsid w:val="00F14263"/>
    <w:rsid w:val="00F1590F"/>
    <w:rsid w:val="00F15AF2"/>
    <w:rsid w:val="00F162CA"/>
    <w:rsid w:val="00F1673D"/>
    <w:rsid w:val="00F1674C"/>
    <w:rsid w:val="00F17C70"/>
    <w:rsid w:val="00F21290"/>
    <w:rsid w:val="00F220D3"/>
    <w:rsid w:val="00F22103"/>
    <w:rsid w:val="00F2299F"/>
    <w:rsid w:val="00F231F0"/>
    <w:rsid w:val="00F24787"/>
    <w:rsid w:val="00F24D39"/>
    <w:rsid w:val="00F251E2"/>
    <w:rsid w:val="00F2586D"/>
    <w:rsid w:val="00F259A5"/>
    <w:rsid w:val="00F25EF1"/>
    <w:rsid w:val="00F263E5"/>
    <w:rsid w:val="00F301E0"/>
    <w:rsid w:val="00F303E8"/>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1D85"/>
    <w:rsid w:val="00F721EF"/>
    <w:rsid w:val="00F72AAF"/>
    <w:rsid w:val="00F72AC2"/>
    <w:rsid w:val="00F72F17"/>
    <w:rsid w:val="00F731F6"/>
    <w:rsid w:val="00F73923"/>
    <w:rsid w:val="00F73D91"/>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6365"/>
    <w:rsid w:val="00F96D24"/>
    <w:rsid w:val="00F97093"/>
    <w:rsid w:val="00F97FF3"/>
    <w:rsid w:val="00FA0091"/>
    <w:rsid w:val="00FA0426"/>
    <w:rsid w:val="00FA1AA9"/>
    <w:rsid w:val="00FA2C8B"/>
    <w:rsid w:val="00FA2CE3"/>
    <w:rsid w:val="00FA3E0C"/>
    <w:rsid w:val="00FA4E67"/>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6970"/>
    <w:rsid w:val="00FB6AEE"/>
    <w:rsid w:val="00FC072E"/>
    <w:rsid w:val="00FC1C02"/>
    <w:rsid w:val="00FC3497"/>
    <w:rsid w:val="00FC4323"/>
    <w:rsid w:val="00FC51AE"/>
    <w:rsid w:val="00FC550A"/>
    <w:rsid w:val="00FC551E"/>
    <w:rsid w:val="00FC5790"/>
    <w:rsid w:val="00FC5C41"/>
    <w:rsid w:val="00FC6275"/>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DE2"/>
    <w:rsid w:val="00FE7E56"/>
    <w:rsid w:val="00FF02D0"/>
    <w:rsid w:val="00FF081E"/>
    <w:rsid w:val="00FF1406"/>
    <w:rsid w:val="00FF145C"/>
    <w:rsid w:val="00FF26EE"/>
    <w:rsid w:val="00FF28EC"/>
    <w:rsid w:val="00FF47A3"/>
    <w:rsid w:val="00FF4B3F"/>
    <w:rsid w:val="00FF4B43"/>
    <w:rsid w:val="00FF574F"/>
    <w:rsid w:val="00FF6146"/>
    <w:rsid w:val="00FF7956"/>
    <w:rsid w:val="01B70F10"/>
    <w:rsid w:val="021967E1"/>
    <w:rsid w:val="027B7AFA"/>
    <w:rsid w:val="030D7E3E"/>
    <w:rsid w:val="0334205E"/>
    <w:rsid w:val="034856A5"/>
    <w:rsid w:val="03D07714"/>
    <w:rsid w:val="03F3534A"/>
    <w:rsid w:val="0407189D"/>
    <w:rsid w:val="045B6255"/>
    <w:rsid w:val="05D11D1B"/>
    <w:rsid w:val="05FA7789"/>
    <w:rsid w:val="062556EC"/>
    <w:rsid w:val="067D4F9E"/>
    <w:rsid w:val="07AF301F"/>
    <w:rsid w:val="08204893"/>
    <w:rsid w:val="08505170"/>
    <w:rsid w:val="086F7E62"/>
    <w:rsid w:val="08E27D9B"/>
    <w:rsid w:val="093A1D5C"/>
    <w:rsid w:val="096A3017"/>
    <w:rsid w:val="099512B1"/>
    <w:rsid w:val="09F07824"/>
    <w:rsid w:val="0A40746F"/>
    <w:rsid w:val="0AA40F50"/>
    <w:rsid w:val="0B0104DC"/>
    <w:rsid w:val="0B5C3E34"/>
    <w:rsid w:val="0B60651B"/>
    <w:rsid w:val="0B9340C0"/>
    <w:rsid w:val="0BB26C18"/>
    <w:rsid w:val="0BDF6813"/>
    <w:rsid w:val="0CBA3508"/>
    <w:rsid w:val="0D1077DD"/>
    <w:rsid w:val="0D32334D"/>
    <w:rsid w:val="0D646E2A"/>
    <w:rsid w:val="0ECD6BB9"/>
    <w:rsid w:val="0F5170F1"/>
    <w:rsid w:val="0F6E1082"/>
    <w:rsid w:val="102A1CBB"/>
    <w:rsid w:val="107C061C"/>
    <w:rsid w:val="109C2F25"/>
    <w:rsid w:val="10AF5CC3"/>
    <w:rsid w:val="111451B1"/>
    <w:rsid w:val="11205904"/>
    <w:rsid w:val="114A387E"/>
    <w:rsid w:val="11543BAC"/>
    <w:rsid w:val="11A5684D"/>
    <w:rsid w:val="12042B30"/>
    <w:rsid w:val="120E7E09"/>
    <w:rsid w:val="123D4E07"/>
    <w:rsid w:val="13F74556"/>
    <w:rsid w:val="14054F66"/>
    <w:rsid w:val="14B85A81"/>
    <w:rsid w:val="14F90946"/>
    <w:rsid w:val="151469B7"/>
    <w:rsid w:val="152850C5"/>
    <w:rsid w:val="15956C4F"/>
    <w:rsid w:val="159F2DAC"/>
    <w:rsid w:val="16B94475"/>
    <w:rsid w:val="175E1D65"/>
    <w:rsid w:val="17853B61"/>
    <w:rsid w:val="17BE3B06"/>
    <w:rsid w:val="17E70F2A"/>
    <w:rsid w:val="18657E73"/>
    <w:rsid w:val="19006747"/>
    <w:rsid w:val="19C9757D"/>
    <w:rsid w:val="19EA6260"/>
    <w:rsid w:val="1A4474E8"/>
    <w:rsid w:val="1AFB05F2"/>
    <w:rsid w:val="1BCE272A"/>
    <w:rsid w:val="1CE719CA"/>
    <w:rsid w:val="1D2B1804"/>
    <w:rsid w:val="1E3950C5"/>
    <w:rsid w:val="1E4808ED"/>
    <w:rsid w:val="1E9B3AFC"/>
    <w:rsid w:val="1FE46AA9"/>
    <w:rsid w:val="20476A09"/>
    <w:rsid w:val="21F77FBB"/>
    <w:rsid w:val="22E67766"/>
    <w:rsid w:val="23286980"/>
    <w:rsid w:val="23486984"/>
    <w:rsid w:val="23FF13A9"/>
    <w:rsid w:val="245E4A59"/>
    <w:rsid w:val="25184241"/>
    <w:rsid w:val="25E22D55"/>
    <w:rsid w:val="260E7FC9"/>
    <w:rsid w:val="26284DDB"/>
    <w:rsid w:val="2663191B"/>
    <w:rsid w:val="275E672C"/>
    <w:rsid w:val="27B52D4B"/>
    <w:rsid w:val="27BF3329"/>
    <w:rsid w:val="27D72D69"/>
    <w:rsid w:val="28C768EF"/>
    <w:rsid w:val="28DD6E23"/>
    <w:rsid w:val="29422464"/>
    <w:rsid w:val="2A2A14DB"/>
    <w:rsid w:val="2A31206B"/>
    <w:rsid w:val="2ACE1AD5"/>
    <w:rsid w:val="2B152B9A"/>
    <w:rsid w:val="2B9C7E34"/>
    <w:rsid w:val="2BA96061"/>
    <w:rsid w:val="2CED6C3A"/>
    <w:rsid w:val="2D0C788F"/>
    <w:rsid w:val="2D295F9A"/>
    <w:rsid w:val="2E2B27AB"/>
    <w:rsid w:val="2E921DA5"/>
    <w:rsid w:val="2EBB09DD"/>
    <w:rsid w:val="2F123144"/>
    <w:rsid w:val="2FCA01E7"/>
    <w:rsid w:val="30006A18"/>
    <w:rsid w:val="30045057"/>
    <w:rsid w:val="30667B76"/>
    <w:rsid w:val="307410C2"/>
    <w:rsid w:val="313C5E2A"/>
    <w:rsid w:val="33052E4F"/>
    <w:rsid w:val="34CC52D7"/>
    <w:rsid w:val="34FF745B"/>
    <w:rsid w:val="3569702C"/>
    <w:rsid w:val="35AF558A"/>
    <w:rsid w:val="364A5420"/>
    <w:rsid w:val="365F7D6B"/>
    <w:rsid w:val="37FA3B07"/>
    <w:rsid w:val="38125841"/>
    <w:rsid w:val="38BA5C68"/>
    <w:rsid w:val="393435C0"/>
    <w:rsid w:val="3A660185"/>
    <w:rsid w:val="3AFE0C57"/>
    <w:rsid w:val="3BDD4E74"/>
    <w:rsid w:val="3BF16943"/>
    <w:rsid w:val="3C254167"/>
    <w:rsid w:val="3C54617F"/>
    <w:rsid w:val="3D9C10CD"/>
    <w:rsid w:val="3DC6005E"/>
    <w:rsid w:val="3DF02037"/>
    <w:rsid w:val="3E734A16"/>
    <w:rsid w:val="3E80785E"/>
    <w:rsid w:val="3EDE6333"/>
    <w:rsid w:val="3FA34647"/>
    <w:rsid w:val="411529FB"/>
    <w:rsid w:val="41CA2D0D"/>
    <w:rsid w:val="41CF23DC"/>
    <w:rsid w:val="41DB399D"/>
    <w:rsid w:val="42A11473"/>
    <w:rsid w:val="441D3A1B"/>
    <w:rsid w:val="454C7069"/>
    <w:rsid w:val="458F0387"/>
    <w:rsid w:val="45E17242"/>
    <w:rsid w:val="46634A89"/>
    <w:rsid w:val="46BE3798"/>
    <w:rsid w:val="47462CC7"/>
    <w:rsid w:val="4764220C"/>
    <w:rsid w:val="47833F1C"/>
    <w:rsid w:val="47B6656B"/>
    <w:rsid w:val="48DF3CF4"/>
    <w:rsid w:val="49F76548"/>
    <w:rsid w:val="4A8907BB"/>
    <w:rsid w:val="4B110B90"/>
    <w:rsid w:val="4C2149E6"/>
    <w:rsid w:val="4D986247"/>
    <w:rsid w:val="4DAD0AEE"/>
    <w:rsid w:val="4DE33966"/>
    <w:rsid w:val="4E8135B3"/>
    <w:rsid w:val="4F267444"/>
    <w:rsid w:val="4FA0501B"/>
    <w:rsid w:val="503C40AD"/>
    <w:rsid w:val="508D27A6"/>
    <w:rsid w:val="51C4760A"/>
    <w:rsid w:val="53083749"/>
    <w:rsid w:val="55B84EAE"/>
    <w:rsid w:val="56382C47"/>
    <w:rsid w:val="59171178"/>
    <w:rsid w:val="597B4491"/>
    <w:rsid w:val="59A57D21"/>
    <w:rsid w:val="5A9B6510"/>
    <w:rsid w:val="5C1B17B8"/>
    <w:rsid w:val="5C8A1451"/>
    <w:rsid w:val="5CE11669"/>
    <w:rsid w:val="5D0A42CB"/>
    <w:rsid w:val="5D1F12B1"/>
    <w:rsid w:val="5E892710"/>
    <w:rsid w:val="5ED8763C"/>
    <w:rsid w:val="5F0E70B0"/>
    <w:rsid w:val="5F6D308F"/>
    <w:rsid w:val="5FFC7D0A"/>
    <w:rsid w:val="60515EE8"/>
    <w:rsid w:val="60D73CC0"/>
    <w:rsid w:val="61250170"/>
    <w:rsid w:val="61603C1A"/>
    <w:rsid w:val="61910E2C"/>
    <w:rsid w:val="619E0949"/>
    <w:rsid w:val="62324D67"/>
    <w:rsid w:val="62854069"/>
    <w:rsid w:val="62A241F2"/>
    <w:rsid w:val="63293E11"/>
    <w:rsid w:val="63331D15"/>
    <w:rsid w:val="63A27E10"/>
    <w:rsid w:val="64220BB4"/>
    <w:rsid w:val="64F40429"/>
    <w:rsid w:val="651E6376"/>
    <w:rsid w:val="660D7080"/>
    <w:rsid w:val="66472C76"/>
    <w:rsid w:val="6658788B"/>
    <w:rsid w:val="6699015D"/>
    <w:rsid w:val="67297071"/>
    <w:rsid w:val="679822B5"/>
    <w:rsid w:val="67E1648C"/>
    <w:rsid w:val="69A9410F"/>
    <w:rsid w:val="6A217DF6"/>
    <w:rsid w:val="6A371DEF"/>
    <w:rsid w:val="6B100175"/>
    <w:rsid w:val="6B122952"/>
    <w:rsid w:val="6B37721A"/>
    <w:rsid w:val="6B6C3978"/>
    <w:rsid w:val="6BEB3CFE"/>
    <w:rsid w:val="6C662F7C"/>
    <w:rsid w:val="6C804AB4"/>
    <w:rsid w:val="6D904C50"/>
    <w:rsid w:val="6DE55656"/>
    <w:rsid w:val="6DFD472A"/>
    <w:rsid w:val="6E261BA7"/>
    <w:rsid w:val="6FF90541"/>
    <w:rsid w:val="728338B1"/>
    <w:rsid w:val="732E2E41"/>
    <w:rsid w:val="73762E92"/>
    <w:rsid w:val="74B75416"/>
    <w:rsid w:val="751050E8"/>
    <w:rsid w:val="76414A7E"/>
    <w:rsid w:val="76574066"/>
    <w:rsid w:val="768C6099"/>
    <w:rsid w:val="77736FF8"/>
    <w:rsid w:val="784576F8"/>
    <w:rsid w:val="78767A5E"/>
    <w:rsid w:val="79960562"/>
    <w:rsid w:val="79FA5A10"/>
    <w:rsid w:val="7A2307C6"/>
    <w:rsid w:val="7A54626B"/>
    <w:rsid w:val="7BF02C60"/>
    <w:rsid w:val="7C050DEC"/>
    <w:rsid w:val="7C8D66C7"/>
    <w:rsid w:val="7D0050EB"/>
    <w:rsid w:val="7DFD76C5"/>
    <w:rsid w:val="7DFF53A3"/>
    <w:rsid w:val="7E5C44DF"/>
    <w:rsid w:val="7E816BC7"/>
    <w:rsid w:val="7ECA59B1"/>
    <w:rsid w:val="7F6C2EA6"/>
    <w:rsid w:val="7FAC630C"/>
    <w:rsid w:val="7FD45025"/>
    <w:rsid w:val="7FD558D4"/>
    <w:rsid w:val="7FFB2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semiHidden="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nhideWhenUsed="0" w:uiPriority="0" w:semiHidden="0" w:name="HTML Preformatted"/>
    <w:lsdException w:qFormat="1" w:uiPriority="0" w:semiHidden="0" w:name="HTML Sample"/>
    <w:lsdException w:qFormat="1" w:uiPriority="0" w:semiHidden="0" w:name="HTML Typewriter"/>
    <w:lsdException w:qFormat="1"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61"/>
    <w:qFormat/>
    <w:uiPriority w:val="0"/>
    <w:pPr>
      <w:spacing w:before="340" w:after="330" w:line="360" w:lineRule="auto"/>
      <w:jc w:val="center"/>
      <w:outlineLvl w:val="0"/>
    </w:pPr>
    <w:rPr>
      <w:rFonts w:eastAsia="黑体"/>
      <w:kern w:val="44"/>
      <w:szCs w:val="44"/>
    </w:rPr>
  </w:style>
  <w:style w:type="paragraph" w:styleId="7">
    <w:name w:val="heading 2"/>
    <w:basedOn w:val="5"/>
    <w:next w:val="6"/>
    <w:link w:val="76"/>
    <w:qFormat/>
    <w:uiPriority w:val="0"/>
    <w:pPr>
      <w:adjustRightInd w:val="0"/>
      <w:jc w:val="center"/>
      <w:textAlignment w:val="baseline"/>
      <w:outlineLvl w:val="1"/>
    </w:pPr>
    <w:rPr>
      <w:kern w:val="0"/>
      <w:sz w:val="24"/>
      <w:szCs w:val="20"/>
    </w:rPr>
  </w:style>
  <w:style w:type="paragraph" w:styleId="5">
    <w:name w:val="heading 3"/>
    <w:basedOn w:val="6"/>
    <w:next w:val="1"/>
    <w:link w:val="60"/>
    <w:qFormat/>
    <w:uiPriority w:val="9"/>
    <w:pPr>
      <w:spacing w:before="260" w:after="260" w:line="240" w:lineRule="auto"/>
      <w:outlineLvl w:val="2"/>
    </w:pPr>
    <w:rPr>
      <w:rFonts w:ascii="宋体" w:hAnsi="宋体" w:eastAsia="宋体"/>
      <w:szCs w:val="32"/>
    </w:rPr>
  </w:style>
  <w:style w:type="paragraph" w:styleId="6">
    <w:name w:val="heading 4"/>
    <w:basedOn w:val="1"/>
    <w:next w:val="1"/>
    <w:link w:val="58"/>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5"/>
    <w:qFormat/>
    <w:uiPriority w:val="0"/>
    <w:pPr>
      <w:keepNext/>
      <w:keepLines/>
      <w:spacing w:before="280" w:after="290" w:line="376" w:lineRule="auto"/>
      <w:outlineLvl w:val="4"/>
    </w:pPr>
    <w:rPr>
      <w:b/>
      <w:sz w:val="28"/>
      <w:szCs w:val="20"/>
    </w:rPr>
  </w:style>
  <w:style w:type="paragraph" w:styleId="10">
    <w:name w:val="heading 6"/>
    <w:basedOn w:val="1"/>
    <w:next w:val="9"/>
    <w:link w:val="88"/>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9"/>
    <w:link w:val="89"/>
    <w:qFormat/>
    <w:uiPriority w:val="0"/>
    <w:pPr>
      <w:keepNext/>
      <w:keepLines/>
      <w:spacing w:before="240" w:after="64" w:line="320" w:lineRule="auto"/>
      <w:outlineLvl w:val="6"/>
    </w:pPr>
    <w:rPr>
      <w:b/>
      <w:sz w:val="24"/>
      <w:szCs w:val="20"/>
    </w:rPr>
  </w:style>
  <w:style w:type="paragraph" w:styleId="12">
    <w:name w:val="heading 8"/>
    <w:basedOn w:val="1"/>
    <w:next w:val="9"/>
    <w:link w:val="90"/>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9"/>
    <w:link w:val="91"/>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7"/>
    <w:qFormat/>
    <w:uiPriority w:val="0"/>
    <w:pPr>
      <w:spacing w:line="360" w:lineRule="auto"/>
    </w:pPr>
    <w:rPr>
      <w:b/>
      <w:bCs/>
      <w:sz w:val="24"/>
    </w:rPr>
  </w:style>
  <w:style w:type="paragraph" w:styleId="3">
    <w:name w:val="Body Text 2"/>
    <w:basedOn w:val="1"/>
    <w:link w:val="101"/>
    <w:qFormat/>
    <w:uiPriority w:val="0"/>
    <w:pPr>
      <w:spacing w:line="360" w:lineRule="auto"/>
    </w:pPr>
    <w:rPr>
      <w:sz w:val="24"/>
    </w:rPr>
  </w:style>
  <w:style w:type="paragraph" w:styleId="9">
    <w:name w:val="Normal Indent"/>
    <w:basedOn w:val="1"/>
    <w:link w:val="62"/>
    <w:qFormat/>
    <w:uiPriority w:val="0"/>
    <w:pPr>
      <w:ind w:firstLine="420"/>
    </w:pPr>
    <w:rPr>
      <w:szCs w:val="20"/>
    </w:rPr>
  </w:style>
  <w:style w:type="paragraph" w:styleId="14">
    <w:name w:val="toc 7"/>
    <w:basedOn w:val="1"/>
    <w:next w:val="1"/>
    <w:semiHidden/>
    <w:qFormat/>
    <w:uiPriority w:val="0"/>
    <w:pPr>
      <w:ind w:left="1260"/>
      <w:jc w:val="left"/>
    </w:pPr>
    <w:rPr>
      <w:szCs w:val="21"/>
    </w:r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numPr>
        <w:ilvl w:val="0"/>
        <w:numId w:val="1"/>
      </w:numPr>
    </w:pPr>
    <w:rPr>
      <w:szCs w:val="20"/>
    </w:rPr>
  </w:style>
  <w:style w:type="paragraph" w:styleId="17">
    <w:name w:val="Document Map"/>
    <w:basedOn w:val="1"/>
    <w:semiHidden/>
    <w:qFormat/>
    <w:uiPriority w:val="0"/>
    <w:pPr>
      <w:shd w:val="clear" w:color="auto" w:fill="000080"/>
    </w:pPr>
  </w:style>
  <w:style w:type="paragraph" w:styleId="18">
    <w:name w:val="annotation text"/>
    <w:basedOn w:val="1"/>
    <w:link w:val="189"/>
    <w:qFormat/>
    <w:uiPriority w:val="0"/>
    <w:pPr>
      <w:autoSpaceDE w:val="0"/>
      <w:autoSpaceDN w:val="0"/>
      <w:adjustRightInd w:val="0"/>
      <w:jc w:val="left"/>
      <w:textAlignment w:val="baseline"/>
    </w:pPr>
    <w:rPr>
      <w:rFonts w:ascii="宋体"/>
      <w:kern w:val="0"/>
      <w:sz w:val="34"/>
      <w:szCs w:val="20"/>
    </w:rPr>
  </w:style>
  <w:style w:type="paragraph" w:styleId="19">
    <w:name w:val="Body Text 3"/>
    <w:basedOn w:val="1"/>
    <w:link w:val="103"/>
    <w:qFormat/>
    <w:uiPriority w:val="0"/>
    <w:pPr>
      <w:spacing w:after="120"/>
    </w:pPr>
    <w:rPr>
      <w:sz w:val="16"/>
      <w:szCs w:val="16"/>
    </w:rPr>
  </w:style>
  <w:style w:type="paragraph" w:styleId="20">
    <w:name w:val="Body Text Indent"/>
    <w:basedOn w:val="1"/>
    <w:link w:val="84"/>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95"/>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93"/>
    <w:qFormat/>
    <w:uiPriority w:val="0"/>
    <w:rPr>
      <w:rFonts w:ascii="宋体" w:hAnsi="Courier New"/>
      <w:sz w:val="32"/>
      <w:szCs w:val="20"/>
    </w:rPr>
  </w:style>
  <w:style w:type="paragraph" w:styleId="26">
    <w:name w:val="Body Text Indent 2"/>
    <w:basedOn w:val="1"/>
    <w:link w:val="98"/>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104"/>
    <w:semiHidden/>
    <w:qFormat/>
    <w:uiPriority w:val="99"/>
    <w:rPr>
      <w:sz w:val="18"/>
      <w:szCs w:val="18"/>
    </w:rPr>
  </w:style>
  <w:style w:type="paragraph" w:styleId="28">
    <w:name w:val="footer"/>
    <w:basedOn w:val="1"/>
    <w:link w:val="102"/>
    <w:qFormat/>
    <w:uiPriority w:val="0"/>
    <w:pPr>
      <w:tabs>
        <w:tab w:val="center" w:pos="4153"/>
        <w:tab w:val="right" w:pos="8306"/>
      </w:tabs>
      <w:snapToGrid w:val="0"/>
      <w:jc w:val="left"/>
    </w:pPr>
    <w:rPr>
      <w:sz w:val="18"/>
      <w:szCs w:val="18"/>
    </w:rPr>
  </w:style>
  <w:style w:type="paragraph" w:styleId="29">
    <w:name w:val="header"/>
    <w:basedOn w:val="1"/>
    <w:link w:val="99"/>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100"/>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95"/>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92"/>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8"/>
    <w:next w:val="18"/>
    <w:link w:val="190"/>
    <w:qFormat/>
    <w:uiPriority w:val="99"/>
    <w:pPr>
      <w:autoSpaceDE/>
      <w:autoSpaceDN/>
      <w:adjustRightInd/>
      <w:textAlignment w:val="auto"/>
    </w:pPr>
    <w:rPr>
      <w:rFonts w:ascii="Times New Roman"/>
      <w:b/>
      <w:bCs/>
      <w:kern w:val="2"/>
      <w:sz w:val="21"/>
      <w:szCs w:val="24"/>
    </w:rPr>
  </w:style>
  <w:style w:type="paragraph" w:styleId="41">
    <w:name w:val="Body Text First Indent"/>
    <w:basedOn w:val="2"/>
    <w:link w:val="135"/>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TML Definition"/>
    <w:basedOn w:val="44"/>
    <w:unhideWhenUsed/>
    <w:qFormat/>
    <w:uiPriority w:val="0"/>
  </w:style>
  <w:style w:type="character" w:styleId="49">
    <w:name w:val="HTML Typewriter"/>
    <w:basedOn w:val="44"/>
    <w:unhideWhenUsed/>
    <w:qFormat/>
    <w:uiPriority w:val="0"/>
    <w:rPr>
      <w:rFonts w:hint="default" w:ascii="monospace" w:hAnsi="monospace" w:eastAsia="monospace" w:cs="monospace"/>
      <w:sz w:val="20"/>
    </w:rPr>
  </w:style>
  <w:style w:type="character" w:styleId="50">
    <w:name w:val="HTML Acronym"/>
    <w:basedOn w:val="44"/>
    <w:unhideWhenUsed/>
    <w:qFormat/>
    <w:uiPriority w:val="0"/>
  </w:style>
  <w:style w:type="character" w:styleId="51">
    <w:name w:val="HTML Variable"/>
    <w:basedOn w:val="44"/>
    <w:unhideWhenUsed/>
    <w:qFormat/>
    <w:uiPriority w:val="0"/>
  </w:style>
  <w:style w:type="character" w:styleId="52">
    <w:name w:val="Hyperlink"/>
    <w:qFormat/>
    <w:uiPriority w:val="0"/>
    <w:rPr>
      <w:color w:val="0000FF"/>
      <w:u w:val="single"/>
    </w:rPr>
  </w:style>
  <w:style w:type="character" w:styleId="53">
    <w:name w:val="HTML Code"/>
    <w:basedOn w:val="44"/>
    <w:unhideWhenUsed/>
    <w:qFormat/>
    <w:uiPriority w:val="0"/>
    <w:rPr>
      <w:rFonts w:hint="default" w:ascii="monospace" w:hAnsi="monospace" w:eastAsia="monospace" w:cs="monospace"/>
      <w:sz w:val="20"/>
    </w:rPr>
  </w:style>
  <w:style w:type="character" w:styleId="54">
    <w:name w:val="annotation reference"/>
    <w:basedOn w:val="44"/>
    <w:qFormat/>
    <w:uiPriority w:val="99"/>
    <w:rPr>
      <w:sz w:val="21"/>
      <w:szCs w:val="21"/>
    </w:rPr>
  </w:style>
  <w:style w:type="character" w:styleId="55">
    <w:name w:val="HTML Cite"/>
    <w:basedOn w:val="44"/>
    <w:unhideWhenUsed/>
    <w:qFormat/>
    <w:uiPriority w:val="0"/>
  </w:style>
  <w:style w:type="character" w:styleId="56">
    <w:name w:val="HTML Keyboard"/>
    <w:basedOn w:val="44"/>
    <w:unhideWhenUsed/>
    <w:qFormat/>
    <w:uiPriority w:val="0"/>
    <w:rPr>
      <w:rFonts w:hint="default" w:ascii="monospace" w:hAnsi="monospace" w:eastAsia="monospace" w:cs="monospace"/>
      <w:sz w:val="20"/>
    </w:rPr>
  </w:style>
  <w:style w:type="character" w:styleId="57">
    <w:name w:val="HTML Sample"/>
    <w:basedOn w:val="44"/>
    <w:unhideWhenUsed/>
    <w:qFormat/>
    <w:uiPriority w:val="0"/>
    <w:rPr>
      <w:rFonts w:ascii="monospace" w:hAnsi="monospace" w:eastAsia="monospace" w:cs="monospace"/>
    </w:rPr>
  </w:style>
  <w:style w:type="character" w:customStyle="1" w:styleId="58">
    <w:name w:val="标题 4 字符"/>
    <w:link w:val="6"/>
    <w:qFormat/>
    <w:uiPriority w:val="9"/>
    <w:rPr>
      <w:rFonts w:ascii="Arial" w:hAnsi="Arial" w:eastAsia="黑体"/>
      <w:b/>
      <w:bCs/>
      <w:kern w:val="2"/>
      <w:sz w:val="28"/>
      <w:szCs w:val="28"/>
      <w:lang w:val="en-US" w:eastAsia="zh-CN" w:bidi="ar-SA"/>
    </w:rPr>
  </w:style>
  <w:style w:type="paragraph" w:customStyle="1" w:styleId="5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0">
    <w:name w:val="标题 3 字符"/>
    <w:link w:val="5"/>
    <w:qFormat/>
    <w:uiPriority w:val="9"/>
    <w:rPr>
      <w:rFonts w:ascii="宋体" w:hAnsi="宋体" w:eastAsia="宋体"/>
      <w:b/>
      <w:bCs/>
      <w:kern w:val="2"/>
      <w:sz w:val="28"/>
      <w:szCs w:val="32"/>
      <w:lang w:val="en-US" w:eastAsia="zh-CN" w:bidi="ar-SA"/>
    </w:rPr>
  </w:style>
  <w:style w:type="character" w:customStyle="1" w:styleId="61">
    <w:name w:val="标题 1 字符"/>
    <w:link w:val="4"/>
    <w:qFormat/>
    <w:uiPriority w:val="0"/>
    <w:rPr>
      <w:rFonts w:ascii="宋体" w:hAnsi="宋体" w:eastAsia="黑体"/>
      <w:b/>
      <w:bCs/>
      <w:kern w:val="44"/>
      <w:sz w:val="28"/>
      <w:szCs w:val="44"/>
      <w:lang w:val="en-US" w:eastAsia="zh-CN" w:bidi="ar-SA"/>
    </w:rPr>
  </w:style>
  <w:style w:type="character" w:customStyle="1" w:styleId="62">
    <w:name w:val="正文缩进 字符"/>
    <w:link w:val="9"/>
    <w:qFormat/>
    <w:uiPriority w:val="0"/>
    <w:rPr>
      <w:rFonts w:eastAsia="宋体"/>
      <w:kern w:val="2"/>
      <w:sz w:val="21"/>
      <w:lang w:val="en-US" w:eastAsia="zh-CN" w:bidi="ar-SA"/>
    </w:rPr>
  </w:style>
  <w:style w:type="character" w:customStyle="1" w:styleId="63">
    <w:name w:val="标题 3 Char"/>
    <w:qFormat/>
    <w:uiPriority w:val="0"/>
    <w:rPr>
      <w:rFonts w:ascii="黑体" w:eastAsia="黑体"/>
      <w:bCs/>
      <w:sz w:val="30"/>
    </w:rPr>
  </w:style>
  <w:style w:type="paragraph" w:customStyle="1" w:styleId="64">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5">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6">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7">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8">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9">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1">
    <w:name w:val="自定义正文"/>
    <w:basedOn w:val="1"/>
    <w:qFormat/>
    <w:uiPriority w:val="0"/>
    <w:pPr>
      <w:spacing w:afterLines="50"/>
      <w:ind w:left="600" w:leftChars="600"/>
    </w:pPr>
  </w:style>
  <w:style w:type="paragraph" w:customStyle="1" w:styleId="72">
    <w:name w:val="Char Char Char Char Char"/>
    <w:basedOn w:val="1"/>
    <w:qFormat/>
    <w:uiPriority w:val="0"/>
    <w:rPr>
      <w:rFonts w:ascii="Tahoma" w:hAnsi="Tahoma"/>
      <w:sz w:val="24"/>
      <w:szCs w:val="20"/>
    </w:rPr>
  </w:style>
  <w:style w:type="paragraph" w:customStyle="1" w:styleId="73">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4">
    <w:name w:val="Char Char"/>
    <w:basedOn w:val="1"/>
    <w:qFormat/>
    <w:uiPriority w:val="0"/>
    <w:rPr>
      <w:rFonts w:ascii="Tahoma" w:hAnsi="Tahoma"/>
      <w:sz w:val="24"/>
      <w:szCs w:val="20"/>
    </w:rPr>
  </w:style>
  <w:style w:type="paragraph" w:customStyle="1" w:styleId="75">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6">
    <w:name w:val="标题 2 字符"/>
    <w:link w:val="7"/>
    <w:qFormat/>
    <w:uiPriority w:val="0"/>
    <w:rPr>
      <w:rFonts w:ascii="宋体" w:hAnsi="宋体" w:eastAsia="宋体"/>
      <w:b/>
      <w:bCs/>
      <w:sz w:val="24"/>
      <w:lang w:val="en-US" w:eastAsia="zh-CN" w:bidi="ar-SA"/>
    </w:rPr>
  </w:style>
  <w:style w:type="paragraph" w:customStyle="1" w:styleId="7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78">
    <w:name w:val="列表段落1"/>
    <w:basedOn w:val="1"/>
    <w:qFormat/>
    <w:uiPriority w:val="34"/>
    <w:pPr>
      <w:ind w:firstLine="420" w:firstLineChars="200"/>
    </w:pPr>
    <w:rPr>
      <w:rFonts w:ascii="Calibri" w:hAnsi="Calibri"/>
      <w:szCs w:val="22"/>
    </w:rPr>
  </w:style>
  <w:style w:type="paragraph" w:customStyle="1" w:styleId="79">
    <w:name w:val="USE 1"/>
    <w:basedOn w:val="1"/>
    <w:qFormat/>
    <w:uiPriority w:val="0"/>
    <w:pPr>
      <w:spacing w:line="200" w:lineRule="atLeast"/>
      <w:jc w:val="left"/>
    </w:pPr>
    <w:rPr>
      <w:rFonts w:ascii="宋体" w:hAnsi="宋体"/>
      <w:b/>
      <w:sz w:val="24"/>
      <w:szCs w:val="28"/>
    </w:rPr>
  </w:style>
  <w:style w:type="paragraph" w:customStyle="1" w:styleId="80">
    <w:name w:val="RFI text from 3rd Level"/>
    <w:basedOn w:val="1"/>
    <w:qFormat/>
    <w:uiPriority w:val="0"/>
    <w:pPr>
      <w:widowControl/>
      <w:numPr>
        <w:ilvl w:val="0"/>
        <w:numId w:val="3"/>
      </w:numPr>
      <w:tabs>
        <w:tab w:val="left" w:pos="1080"/>
      </w:tabs>
      <w:spacing w:beforeLines="50" w:line="360" w:lineRule="auto"/>
      <w:ind w:left="0" w:firstLine="0"/>
    </w:pPr>
    <w:rPr>
      <w:rFonts w:ascii="Arial (W1)" w:hAnsi="Arial (W1)"/>
      <w:bCs/>
      <w:kern w:val="0"/>
      <w:sz w:val="24"/>
      <w:lang w:val="en-GB"/>
    </w:rPr>
  </w:style>
  <w:style w:type="paragraph" w:customStyle="1" w:styleId="81">
    <w:name w:val="正文文字缩进项目"/>
    <w:basedOn w:val="20"/>
    <w:qFormat/>
    <w:uiPriority w:val="0"/>
    <w:pPr>
      <w:numPr>
        <w:ilvl w:val="1"/>
        <w:numId w:val="3"/>
      </w:numPr>
      <w:tabs>
        <w:tab w:val="left" w:pos="840"/>
      </w:tabs>
      <w:spacing w:after="120" w:line="240" w:lineRule="auto"/>
      <w:ind w:left="840" w:firstLine="0" w:firstLineChars="0"/>
    </w:pPr>
    <w:rPr>
      <w:rFonts w:ascii="Tahoma" w:hAnsi="Tahoma"/>
      <w:sz w:val="22"/>
      <w:szCs w:val="20"/>
    </w:rPr>
  </w:style>
  <w:style w:type="paragraph" w:customStyle="1" w:styleId="82">
    <w:name w:val="样式 标题 2 + 段前: 13 磅 段后: 13 磅 行距: 单倍行距"/>
    <w:basedOn w:val="7"/>
    <w:qFormat/>
    <w:uiPriority w:val="0"/>
    <w:pPr>
      <w:adjustRightInd/>
      <w:jc w:val="both"/>
      <w:textAlignment w:val="auto"/>
    </w:pPr>
    <w:rPr>
      <w:rFonts w:ascii="Cambria" w:hAnsi="Cambria" w:cs="宋体"/>
      <w:kern w:val="2"/>
      <w:sz w:val="32"/>
    </w:rPr>
  </w:style>
  <w:style w:type="character" w:customStyle="1" w:styleId="83">
    <w:name w:val="H4 Char2"/>
    <w:qFormat/>
    <w:uiPriority w:val="0"/>
    <w:rPr>
      <w:rFonts w:ascii="Arial" w:hAnsi="Arial" w:eastAsia="黑体"/>
      <w:b/>
      <w:bCs/>
      <w:kern w:val="2"/>
      <w:sz w:val="28"/>
      <w:szCs w:val="28"/>
      <w:lang w:val="en-US" w:eastAsia="zh-CN" w:bidi="ar-SA"/>
    </w:rPr>
  </w:style>
  <w:style w:type="character" w:customStyle="1" w:styleId="84">
    <w:name w:val="正文文本缩进 字符"/>
    <w:link w:val="20"/>
    <w:qFormat/>
    <w:uiPriority w:val="0"/>
    <w:rPr>
      <w:rFonts w:eastAsia="宋体"/>
      <w:kern w:val="2"/>
      <w:sz w:val="21"/>
      <w:szCs w:val="24"/>
      <w:lang w:val="en-US" w:eastAsia="zh-CN" w:bidi="ar-SA"/>
    </w:rPr>
  </w:style>
  <w:style w:type="character" w:customStyle="1" w:styleId="85">
    <w:name w:val="标题 5 字符"/>
    <w:link w:val="8"/>
    <w:qFormat/>
    <w:uiPriority w:val="0"/>
    <w:rPr>
      <w:rFonts w:eastAsia="宋体"/>
      <w:b/>
      <w:kern w:val="2"/>
      <w:sz w:val="28"/>
      <w:lang w:val="en-US" w:eastAsia="zh-CN" w:bidi="ar-SA"/>
    </w:rPr>
  </w:style>
  <w:style w:type="character" w:customStyle="1" w:styleId="86">
    <w:name w:val="第*章 Char"/>
    <w:qFormat/>
    <w:uiPriority w:val="0"/>
    <w:rPr>
      <w:rFonts w:ascii="Arial" w:hAnsi="Arial" w:eastAsia="黑体"/>
      <w:b/>
      <w:bCs/>
      <w:kern w:val="2"/>
      <w:sz w:val="32"/>
      <w:szCs w:val="32"/>
    </w:rPr>
  </w:style>
  <w:style w:type="character" w:customStyle="1" w:styleId="87">
    <w:name w:val="章标题1 Char"/>
    <w:qFormat/>
    <w:uiPriority w:val="0"/>
    <w:rPr>
      <w:rFonts w:eastAsia="宋体"/>
      <w:b/>
      <w:bCs/>
      <w:kern w:val="2"/>
      <w:sz w:val="32"/>
      <w:szCs w:val="32"/>
      <w:lang w:val="en-US" w:eastAsia="zh-CN" w:bidi="ar-SA"/>
    </w:rPr>
  </w:style>
  <w:style w:type="character" w:customStyle="1" w:styleId="88">
    <w:name w:val="标题 6 字符"/>
    <w:link w:val="10"/>
    <w:qFormat/>
    <w:uiPriority w:val="0"/>
    <w:rPr>
      <w:rFonts w:ascii="Arial" w:hAnsi="Arial" w:eastAsia="黑体"/>
      <w:b/>
      <w:kern w:val="2"/>
      <w:sz w:val="24"/>
      <w:lang w:val="en-US" w:eastAsia="zh-CN" w:bidi="ar-SA"/>
    </w:rPr>
  </w:style>
  <w:style w:type="character" w:customStyle="1" w:styleId="89">
    <w:name w:val="标题 7 字符"/>
    <w:link w:val="11"/>
    <w:qFormat/>
    <w:uiPriority w:val="0"/>
    <w:rPr>
      <w:rFonts w:eastAsia="宋体"/>
      <w:b/>
      <w:kern w:val="2"/>
      <w:sz w:val="24"/>
      <w:lang w:val="en-US" w:eastAsia="zh-CN" w:bidi="ar-SA"/>
    </w:rPr>
  </w:style>
  <w:style w:type="character" w:customStyle="1" w:styleId="90">
    <w:name w:val="标题 8 字符"/>
    <w:link w:val="12"/>
    <w:qFormat/>
    <w:uiPriority w:val="0"/>
    <w:rPr>
      <w:rFonts w:ascii="Arial" w:hAnsi="Arial" w:eastAsia="黑体"/>
      <w:kern w:val="2"/>
      <w:sz w:val="24"/>
      <w:lang w:val="en-US" w:eastAsia="zh-CN" w:bidi="ar-SA"/>
    </w:rPr>
  </w:style>
  <w:style w:type="character" w:customStyle="1" w:styleId="91">
    <w:name w:val="标题 9 字符"/>
    <w:link w:val="13"/>
    <w:qFormat/>
    <w:uiPriority w:val="0"/>
    <w:rPr>
      <w:rFonts w:ascii="Arial" w:hAnsi="Arial" w:eastAsia="黑体"/>
      <w:kern w:val="2"/>
      <w:sz w:val="21"/>
      <w:lang w:val="en-US" w:eastAsia="zh-CN" w:bidi="ar-SA"/>
    </w:rPr>
  </w:style>
  <w:style w:type="character" w:customStyle="1" w:styleId="92">
    <w:name w:val="标题 字符"/>
    <w:link w:val="39"/>
    <w:qFormat/>
    <w:uiPriority w:val="0"/>
    <w:rPr>
      <w:rFonts w:ascii="Arial" w:hAnsi="Arial" w:eastAsia="隶书" w:cs="Arial"/>
      <w:b/>
      <w:bCs/>
      <w:kern w:val="2"/>
      <w:sz w:val="32"/>
      <w:szCs w:val="32"/>
      <w:lang w:val="en-US" w:eastAsia="zh-CN" w:bidi="ar-SA"/>
    </w:rPr>
  </w:style>
  <w:style w:type="character" w:customStyle="1" w:styleId="93">
    <w:name w:val="日期 字符"/>
    <w:link w:val="25"/>
    <w:qFormat/>
    <w:uiPriority w:val="0"/>
    <w:rPr>
      <w:rFonts w:ascii="宋体" w:hAnsi="Courier New" w:eastAsia="宋体"/>
      <w:kern w:val="2"/>
      <w:sz w:val="32"/>
      <w:lang w:val="en-US" w:eastAsia="zh-CN" w:bidi="ar-SA"/>
    </w:rPr>
  </w:style>
  <w:style w:type="character" w:customStyle="1" w:styleId="94">
    <w:name w:val="HTML 预设格式 字符"/>
    <w:link w:val="36"/>
    <w:qFormat/>
    <w:uiPriority w:val="0"/>
    <w:rPr>
      <w:rFonts w:ascii="Arial Unicode MS" w:hAnsi="Arial Unicode MS" w:eastAsia="Arial Unicode MS"/>
      <w:color w:val="000000"/>
      <w:lang w:val="en-US" w:eastAsia="zh-CN" w:bidi="ar-SA"/>
    </w:rPr>
  </w:style>
  <w:style w:type="character" w:customStyle="1" w:styleId="95">
    <w:name w:val="纯文本 字符"/>
    <w:link w:val="23"/>
    <w:qFormat/>
    <w:uiPriority w:val="0"/>
    <w:rPr>
      <w:rFonts w:ascii="宋体" w:hAnsi="Courier New" w:eastAsia="宋体"/>
      <w:kern w:val="2"/>
      <w:sz w:val="21"/>
      <w:lang w:val="en-US" w:eastAsia="zh-CN" w:bidi="ar-SA"/>
    </w:rPr>
  </w:style>
  <w:style w:type="character" w:customStyle="1" w:styleId="96">
    <w:name w:val="正文文字首行缩进 Char"/>
    <w:qFormat/>
    <w:uiPriority w:val="0"/>
    <w:rPr>
      <w:kern w:val="2"/>
      <w:sz w:val="21"/>
      <w:szCs w:val="24"/>
    </w:rPr>
  </w:style>
  <w:style w:type="character" w:customStyle="1" w:styleId="97">
    <w:name w:val="正文文本 字符"/>
    <w:link w:val="2"/>
    <w:qFormat/>
    <w:uiPriority w:val="0"/>
    <w:rPr>
      <w:rFonts w:eastAsia="宋体"/>
      <w:b/>
      <w:bCs/>
      <w:kern w:val="2"/>
      <w:sz w:val="24"/>
      <w:szCs w:val="24"/>
      <w:lang w:val="en-US" w:eastAsia="zh-CN" w:bidi="ar-SA"/>
    </w:rPr>
  </w:style>
  <w:style w:type="character" w:customStyle="1" w:styleId="98">
    <w:name w:val="正文文本缩进 2 字符"/>
    <w:link w:val="26"/>
    <w:qFormat/>
    <w:uiPriority w:val="0"/>
    <w:rPr>
      <w:rFonts w:ascii="宋体" w:hAnsi="宋体" w:eastAsia="宋体"/>
      <w:kern w:val="2"/>
      <w:sz w:val="21"/>
      <w:szCs w:val="24"/>
      <w:lang w:val="en-US" w:eastAsia="zh-CN" w:bidi="ar-SA"/>
    </w:rPr>
  </w:style>
  <w:style w:type="character" w:customStyle="1" w:styleId="99">
    <w:name w:val="页眉 字符"/>
    <w:link w:val="29"/>
    <w:qFormat/>
    <w:uiPriority w:val="99"/>
    <w:rPr>
      <w:rFonts w:eastAsia="宋体"/>
      <w:kern w:val="2"/>
      <w:sz w:val="18"/>
      <w:szCs w:val="18"/>
      <w:lang w:val="en-US" w:eastAsia="zh-CN" w:bidi="ar-SA"/>
    </w:rPr>
  </w:style>
  <w:style w:type="character" w:customStyle="1" w:styleId="100">
    <w:name w:val="正文文本缩进 3 字符"/>
    <w:link w:val="33"/>
    <w:qFormat/>
    <w:uiPriority w:val="0"/>
    <w:rPr>
      <w:rFonts w:ascii="宋体" w:eastAsia="宋体"/>
      <w:b/>
      <w:bCs/>
      <w:kern w:val="2"/>
      <w:sz w:val="24"/>
      <w:szCs w:val="24"/>
      <w:lang w:val="en-US" w:eastAsia="zh-CN" w:bidi="ar-SA"/>
    </w:rPr>
  </w:style>
  <w:style w:type="character" w:customStyle="1" w:styleId="101">
    <w:name w:val="正文文本 2 字符"/>
    <w:link w:val="3"/>
    <w:qFormat/>
    <w:uiPriority w:val="0"/>
    <w:rPr>
      <w:rFonts w:eastAsia="宋体"/>
      <w:kern w:val="2"/>
      <w:sz w:val="24"/>
      <w:szCs w:val="24"/>
      <w:lang w:val="en-US" w:eastAsia="zh-CN" w:bidi="ar-SA"/>
    </w:rPr>
  </w:style>
  <w:style w:type="character" w:customStyle="1" w:styleId="102">
    <w:name w:val="页脚 字符"/>
    <w:link w:val="28"/>
    <w:qFormat/>
    <w:uiPriority w:val="0"/>
    <w:rPr>
      <w:rFonts w:eastAsia="宋体"/>
      <w:kern w:val="2"/>
      <w:sz w:val="18"/>
      <w:szCs w:val="18"/>
      <w:lang w:val="en-US" w:eastAsia="zh-CN" w:bidi="ar-SA"/>
    </w:rPr>
  </w:style>
  <w:style w:type="character" w:customStyle="1" w:styleId="103">
    <w:name w:val="正文文本 3 字符"/>
    <w:link w:val="19"/>
    <w:qFormat/>
    <w:uiPriority w:val="0"/>
    <w:rPr>
      <w:rFonts w:eastAsia="宋体"/>
      <w:kern w:val="2"/>
      <w:sz w:val="16"/>
      <w:szCs w:val="16"/>
      <w:lang w:val="en-US" w:eastAsia="zh-CN" w:bidi="ar-SA"/>
    </w:rPr>
  </w:style>
  <w:style w:type="character" w:customStyle="1" w:styleId="104">
    <w:name w:val="批注框文本 字符"/>
    <w:link w:val="27"/>
    <w:semiHidden/>
    <w:qFormat/>
    <w:uiPriority w:val="99"/>
    <w:rPr>
      <w:rFonts w:eastAsia="宋体"/>
      <w:kern w:val="2"/>
      <w:sz w:val="18"/>
      <w:szCs w:val="18"/>
      <w:lang w:val="en-US" w:eastAsia="zh-CN" w:bidi="ar-SA"/>
    </w:rPr>
  </w:style>
  <w:style w:type="paragraph" w:customStyle="1" w:styleId="105">
    <w:name w:val="样式1"/>
    <w:basedOn w:val="39"/>
    <w:qFormat/>
    <w:uiPriority w:val="0"/>
    <w:pPr>
      <w:spacing w:before="120" w:after="120"/>
    </w:pPr>
    <w:rPr>
      <w:rFonts w:eastAsia="黑体"/>
      <w:b w:val="0"/>
      <w:sz w:val="30"/>
      <w:szCs w:val="21"/>
    </w:rPr>
  </w:style>
  <w:style w:type="paragraph" w:customStyle="1" w:styleId="106">
    <w:name w:val="样式2"/>
    <w:basedOn w:val="39"/>
    <w:next w:val="105"/>
    <w:qFormat/>
    <w:uiPriority w:val="0"/>
    <w:pPr>
      <w:spacing w:before="120" w:after="120"/>
    </w:pPr>
    <w:rPr>
      <w:rFonts w:eastAsia="黑体"/>
      <w:b w:val="0"/>
      <w:sz w:val="30"/>
      <w:szCs w:val="30"/>
    </w:rPr>
  </w:style>
  <w:style w:type="character" w:customStyle="1" w:styleId="107">
    <w:name w:val="标题 3 Char Char"/>
    <w:qFormat/>
    <w:uiPriority w:val="0"/>
    <w:rPr>
      <w:rFonts w:eastAsia="宋体"/>
      <w:b/>
      <w:bCs/>
      <w:kern w:val="2"/>
      <w:sz w:val="32"/>
      <w:szCs w:val="32"/>
      <w:lang w:val="en-US" w:eastAsia="zh-CN" w:bidi="ar-SA"/>
    </w:rPr>
  </w:style>
  <w:style w:type="paragraph" w:customStyle="1" w:styleId="108">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9">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0">
    <w:name w:val="--规划正文"/>
    <w:basedOn w:val="1"/>
    <w:qFormat/>
    <w:uiPriority w:val="0"/>
    <w:pPr>
      <w:spacing w:line="360" w:lineRule="auto"/>
      <w:ind w:firstLine="200" w:firstLineChars="200"/>
    </w:pPr>
    <w:rPr>
      <w:szCs w:val="20"/>
    </w:rPr>
  </w:style>
  <w:style w:type="paragraph" w:customStyle="1" w:styleId="111">
    <w:name w:val="设计依据"/>
    <w:basedOn w:val="2"/>
    <w:qFormat/>
    <w:uiPriority w:val="0"/>
    <w:pPr>
      <w:numPr>
        <w:ilvl w:val="1"/>
        <w:numId w:val="4"/>
      </w:numPr>
      <w:tabs>
        <w:tab w:val="left" w:pos="1440"/>
      </w:tabs>
      <w:adjustRightInd w:val="0"/>
      <w:ind w:left="1440"/>
      <w:textAlignment w:val="baseline"/>
    </w:pPr>
    <w:rPr>
      <w:rFonts w:ascii="宋体" w:hAnsi="宋体"/>
      <w:b w:val="0"/>
      <w:kern w:val="0"/>
      <w:sz w:val="28"/>
      <w:szCs w:val="18"/>
    </w:rPr>
  </w:style>
  <w:style w:type="paragraph" w:customStyle="1" w:styleId="112">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3">
    <w:name w:val="样式4"/>
    <w:basedOn w:val="1"/>
    <w:qFormat/>
    <w:uiPriority w:val="0"/>
    <w:pPr>
      <w:tabs>
        <w:tab w:val="left" w:pos="842"/>
      </w:tabs>
      <w:spacing w:line="360" w:lineRule="auto"/>
      <w:ind w:left="842" w:hanging="420"/>
    </w:pPr>
    <w:rPr>
      <w:sz w:val="24"/>
    </w:rPr>
  </w:style>
  <w:style w:type="paragraph" w:customStyle="1" w:styleId="114">
    <w:name w:val="文字"/>
    <w:basedOn w:val="1"/>
    <w:qFormat/>
    <w:uiPriority w:val="0"/>
    <w:pPr>
      <w:tabs>
        <w:tab w:val="left" w:pos="8520"/>
      </w:tabs>
      <w:spacing w:line="312" w:lineRule="auto"/>
      <w:ind w:right="-210" w:firstLine="556"/>
    </w:pPr>
    <w:rPr>
      <w:rFonts w:ascii="宋体"/>
      <w:sz w:val="28"/>
      <w:szCs w:val="20"/>
    </w:rPr>
  </w:style>
  <w:style w:type="paragraph" w:customStyle="1" w:styleId="115">
    <w:name w:val="--规划-表格-居左"/>
    <w:basedOn w:val="110"/>
    <w:qFormat/>
    <w:uiPriority w:val="0"/>
    <w:pPr>
      <w:spacing w:line="240" w:lineRule="auto"/>
      <w:ind w:firstLine="0" w:firstLineChars="0"/>
    </w:pPr>
    <w:rPr>
      <w:sz w:val="20"/>
    </w:rPr>
  </w:style>
  <w:style w:type="paragraph" w:customStyle="1" w:styleId="116">
    <w:name w:val="--规划-表格-居中"/>
    <w:basedOn w:val="110"/>
    <w:qFormat/>
    <w:uiPriority w:val="0"/>
    <w:pPr>
      <w:spacing w:line="240" w:lineRule="auto"/>
      <w:ind w:firstLine="0" w:firstLineChars="0"/>
      <w:jc w:val="center"/>
    </w:pPr>
    <w:rPr>
      <w:sz w:val="20"/>
    </w:rPr>
  </w:style>
  <w:style w:type="paragraph" w:customStyle="1" w:styleId="117">
    <w:name w:val="--编号内缩进"/>
    <w:basedOn w:val="1"/>
    <w:qFormat/>
    <w:uiPriority w:val="0"/>
    <w:pPr>
      <w:spacing w:line="360" w:lineRule="auto"/>
      <w:ind w:left="420" w:firstLine="200" w:firstLineChars="200"/>
    </w:pPr>
    <w:rPr>
      <w:szCs w:val="21"/>
    </w:rPr>
  </w:style>
  <w:style w:type="paragraph" w:customStyle="1" w:styleId="118">
    <w:name w:val="--规划-题注"/>
    <w:basedOn w:val="1"/>
    <w:next w:val="110"/>
    <w:qFormat/>
    <w:uiPriority w:val="0"/>
    <w:pPr>
      <w:spacing w:line="360" w:lineRule="auto"/>
      <w:jc w:val="center"/>
    </w:pPr>
    <w:rPr>
      <w:rFonts w:eastAsia="黑体"/>
    </w:rPr>
  </w:style>
  <w:style w:type="paragraph" w:customStyle="1" w:styleId="119">
    <w:name w:val="--规划-图和表"/>
    <w:next w:val="110"/>
    <w:qFormat/>
    <w:uiPriority w:val="0"/>
    <w:pPr>
      <w:jc w:val="center"/>
    </w:pPr>
    <w:rPr>
      <w:rFonts w:ascii="Times New Roman" w:hAnsi="Times New Roman" w:eastAsia="宋体" w:cs="Times New Roman"/>
      <w:kern w:val="2"/>
      <w:sz w:val="21"/>
      <w:lang w:val="en-US" w:eastAsia="zh-CN" w:bidi="ar-SA"/>
    </w:rPr>
  </w:style>
  <w:style w:type="paragraph" w:customStyle="1" w:styleId="120">
    <w:name w:val="--规划-小标题"/>
    <w:basedOn w:val="1"/>
    <w:next w:val="110"/>
    <w:qFormat/>
    <w:uiPriority w:val="0"/>
    <w:pPr>
      <w:keepNext/>
      <w:keepLines/>
      <w:spacing w:line="360" w:lineRule="auto"/>
      <w:outlineLvl w:val="4"/>
    </w:pPr>
    <w:rPr>
      <w:rFonts w:eastAsia="黑体"/>
    </w:rPr>
  </w:style>
  <w:style w:type="paragraph" w:customStyle="1" w:styleId="121">
    <w:name w:val="--规划正文 Char"/>
    <w:basedOn w:val="1"/>
    <w:qFormat/>
    <w:uiPriority w:val="0"/>
    <w:pPr>
      <w:spacing w:line="360" w:lineRule="auto"/>
      <w:ind w:firstLine="200" w:firstLineChars="200"/>
    </w:pPr>
    <w:rPr>
      <w:sz w:val="24"/>
    </w:rPr>
  </w:style>
  <w:style w:type="paragraph" w:customStyle="1" w:styleId="122">
    <w:name w:val="缺省文本"/>
    <w:basedOn w:val="1"/>
    <w:qFormat/>
    <w:uiPriority w:val="0"/>
    <w:pPr>
      <w:autoSpaceDE w:val="0"/>
      <w:autoSpaceDN w:val="0"/>
      <w:adjustRightInd w:val="0"/>
      <w:jc w:val="left"/>
    </w:pPr>
    <w:rPr>
      <w:kern w:val="0"/>
    </w:rPr>
  </w:style>
  <w:style w:type="paragraph" w:customStyle="1" w:styleId="123">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4">
    <w:name w:val="--规划正文 Char Char"/>
    <w:qFormat/>
    <w:uiPriority w:val="0"/>
    <w:rPr>
      <w:rFonts w:eastAsia="宋体"/>
      <w:kern w:val="2"/>
      <w:sz w:val="24"/>
      <w:szCs w:val="24"/>
      <w:lang w:val="en-US" w:eastAsia="zh-CN" w:bidi="ar-SA"/>
    </w:rPr>
  </w:style>
  <w:style w:type="paragraph" w:customStyle="1" w:styleId="125">
    <w:name w:val="样式3"/>
    <w:basedOn w:val="4"/>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6">
    <w:name w:val="--规划正文 Char1"/>
    <w:qFormat/>
    <w:uiPriority w:val="0"/>
    <w:rPr>
      <w:rFonts w:eastAsia="宋体"/>
      <w:kern w:val="2"/>
      <w:sz w:val="21"/>
      <w:lang w:val="en-US" w:eastAsia="zh-CN" w:bidi="ar-SA"/>
    </w:rPr>
  </w:style>
  <w:style w:type="paragraph" w:customStyle="1" w:styleId="127">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8">
    <w:name w:val="列表项目"/>
    <w:basedOn w:val="1"/>
    <w:qFormat/>
    <w:uiPriority w:val="0"/>
    <w:pPr>
      <w:tabs>
        <w:tab w:val="left" w:pos="420"/>
        <w:tab w:val="left" w:pos="1080"/>
      </w:tabs>
      <w:spacing w:line="288" w:lineRule="auto"/>
      <w:ind w:left="1080" w:hanging="360"/>
    </w:pPr>
    <w:rPr>
      <w:sz w:val="24"/>
      <w:szCs w:val="20"/>
    </w:rPr>
  </w:style>
  <w:style w:type="character" w:customStyle="1" w:styleId="129">
    <w:name w:val="content1"/>
    <w:qFormat/>
    <w:uiPriority w:val="0"/>
    <w:rPr>
      <w:rFonts w:hint="default" w:ascii="??" w:hAnsi="??"/>
      <w:sz w:val="16"/>
      <w:szCs w:val="16"/>
      <w:u w:val="none"/>
    </w:rPr>
  </w:style>
  <w:style w:type="character" w:customStyle="1" w:styleId="130">
    <w:name w:val="unnamed4"/>
    <w:basedOn w:val="44"/>
    <w:qFormat/>
    <w:uiPriority w:val="0"/>
  </w:style>
  <w:style w:type="character" w:customStyle="1" w:styleId="131">
    <w:name w:val="font2"/>
    <w:basedOn w:val="44"/>
    <w:qFormat/>
    <w:uiPriority w:val="0"/>
  </w:style>
  <w:style w:type="character" w:customStyle="1" w:styleId="132">
    <w:name w:val="font41"/>
    <w:qFormat/>
    <w:uiPriority w:val="0"/>
    <w:rPr>
      <w:color w:val="000000"/>
      <w:spacing w:val="260"/>
      <w:sz w:val="18"/>
      <w:szCs w:val="18"/>
      <w:u w:val="none"/>
    </w:rPr>
  </w:style>
  <w:style w:type="paragraph" w:customStyle="1" w:styleId="133">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4">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5">
    <w:name w:val="正文文本首行缩进 字符"/>
    <w:link w:val="41"/>
    <w:qFormat/>
    <w:uiPriority w:val="0"/>
    <w:rPr>
      <w:rFonts w:eastAsia="宋体"/>
      <w:b/>
      <w:bCs/>
      <w:kern w:val="2"/>
      <w:sz w:val="21"/>
      <w:szCs w:val="24"/>
      <w:lang w:val="en-US" w:eastAsia="zh-CN" w:bidi="ar-SA"/>
    </w:rPr>
  </w:style>
  <w:style w:type="paragraph" w:customStyle="1" w:styleId="136">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7">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8">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9">
    <w:name w:val="mode"/>
    <w:basedOn w:val="44"/>
    <w:qFormat/>
    <w:uiPriority w:val="0"/>
  </w:style>
  <w:style w:type="paragraph" w:customStyle="1" w:styleId="140">
    <w:name w:val="9"/>
    <w:basedOn w:val="1"/>
    <w:next w:val="9"/>
    <w:qFormat/>
    <w:uiPriority w:val="0"/>
    <w:pPr>
      <w:autoSpaceDE w:val="0"/>
      <w:autoSpaceDN w:val="0"/>
      <w:adjustRightInd w:val="0"/>
      <w:ind w:firstLine="420"/>
      <w:jc w:val="left"/>
      <w:textAlignment w:val="baseline"/>
    </w:pPr>
    <w:rPr>
      <w:rFonts w:ascii="宋体"/>
      <w:kern w:val="0"/>
      <w:sz w:val="34"/>
      <w:szCs w:val="20"/>
    </w:rPr>
  </w:style>
  <w:style w:type="character" w:customStyle="1" w:styleId="141">
    <w:name w:val="unnamed3"/>
    <w:basedOn w:val="44"/>
    <w:qFormat/>
    <w:uiPriority w:val="0"/>
  </w:style>
  <w:style w:type="paragraph" w:customStyle="1" w:styleId="142">
    <w:name w:val="8"/>
    <w:basedOn w:val="1"/>
    <w:next w:val="20"/>
    <w:qFormat/>
    <w:uiPriority w:val="0"/>
    <w:pPr>
      <w:spacing w:after="120"/>
      <w:ind w:left="420" w:leftChars="200"/>
    </w:pPr>
  </w:style>
  <w:style w:type="paragraph" w:customStyle="1" w:styleId="143">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4">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5">
    <w:name w:val="5"/>
    <w:basedOn w:val="1"/>
    <w:qFormat/>
    <w:uiPriority w:val="0"/>
    <w:pPr>
      <w:autoSpaceDE w:val="0"/>
      <w:autoSpaceDN w:val="0"/>
      <w:adjustRightInd w:val="0"/>
      <w:jc w:val="left"/>
    </w:pPr>
    <w:rPr>
      <w:rFonts w:ascii="宋体"/>
      <w:b/>
      <w:bCs/>
      <w:kern w:val="0"/>
      <w:sz w:val="18"/>
      <w:szCs w:val="18"/>
    </w:rPr>
  </w:style>
  <w:style w:type="paragraph" w:customStyle="1" w:styleId="146">
    <w:name w:val="6"/>
    <w:basedOn w:val="145"/>
    <w:qFormat/>
    <w:uiPriority w:val="0"/>
    <w:pPr>
      <w:spacing w:line="270" w:lineRule="atLeast"/>
      <w:jc w:val="both"/>
    </w:pPr>
    <w:rPr>
      <w:b w:val="0"/>
      <w:bCs w:val="0"/>
    </w:rPr>
  </w:style>
  <w:style w:type="paragraph" w:customStyle="1" w:styleId="147">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8">
    <w:name w:val="姜文清定义的正文"/>
    <w:basedOn w:val="1"/>
    <w:qFormat/>
    <w:uiPriority w:val="0"/>
    <w:pPr>
      <w:spacing w:line="240" w:lineRule="atLeast"/>
      <w:ind w:firstLine="567"/>
    </w:pPr>
    <w:rPr>
      <w:szCs w:val="20"/>
    </w:rPr>
  </w:style>
  <w:style w:type="paragraph" w:customStyle="1" w:styleId="149">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0">
    <w:name w:val="CM2"/>
    <w:basedOn w:val="149"/>
    <w:next w:val="149"/>
    <w:qFormat/>
    <w:uiPriority w:val="0"/>
    <w:pPr>
      <w:spacing w:line="200" w:lineRule="atLeast"/>
    </w:pPr>
    <w:rPr>
      <w:rFonts w:ascii="Arial" w:hAnsi="Arial" w:eastAsia="宋体" w:cs="Times New Roman"/>
      <w:color w:val="auto"/>
    </w:rPr>
  </w:style>
  <w:style w:type="paragraph" w:customStyle="1" w:styleId="151">
    <w:name w:val="Normal Paragraph"/>
    <w:basedOn w:val="1"/>
    <w:qFormat/>
    <w:uiPriority w:val="0"/>
    <w:pPr>
      <w:widowControl/>
      <w:spacing w:before="120" w:line="360" w:lineRule="auto"/>
      <w:ind w:firstLine="425"/>
    </w:pPr>
    <w:rPr>
      <w:kern w:val="0"/>
      <w:sz w:val="24"/>
    </w:rPr>
  </w:style>
  <w:style w:type="character" w:customStyle="1" w:styleId="152">
    <w:name w:val="blue"/>
    <w:basedOn w:val="44"/>
    <w:qFormat/>
    <w:uiPriority w:val="0"/>
  </w:style>
  <w:style w:type="paragraph" w:customStyle="1" w:styleId="153">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4">
    <w:name w:val="font"/>
    <w:basedOn w:val="44"/>
    <w:qFormat/>
    <w:uiPriority w:val="0"/>
  </w:style>
  <w:style w:type="character" w:customStyle="1" w:styleId="155">
    <w:name w:val="font11"/>
    <w:qFormat/>
    <w:uiPriority w:val="0"/>
    <w:rPr>
      <w:rFonts w:hint="default" w:ascii="ˎ̥" w:hAnsi="ˎ̥"/>
    </w:rPr>
  </w:style>
  <w:style w:type="paragraph" w:customStyle="1" w:styleId="156">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7">
    <w:name w:val="proddescription"/>
    <w:basedOn w:val="44"/>
    <w:qFormat/>
    <w:uiPriority w:val="0"/>
  </w:style>
  <w:style w:type="character" w:customStyle="1" w:styleId="158">
    <w:name w:val="prodheadlines"/>
    <w:basedOn w:val="44"/>
    <w:qFormat/>
    <w:uiPriority w:val="0"/>
  </w:style>
  <w:style w:type="character" w:customStyle="1" w:styleId="159">
    <w:name w:val="text"/>
    <w:basedOn w:val="44"/>
    <w:qFormat/>
    <w:uiPriority w:val="0"/>
  </w:style>
  <w:style w:type="paragraph" w:customStyle="1" w:styleId="160">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1">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2">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3">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4">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段落正文"/>
    <w:basedOn w:val="23"/>
    <w:qFormat/>
    <w:uiPriority w:val="0"/>
    <w:pPr>
      <w:ind w:firstLine="560" w:firstLineChars="200"/>
    </w:pPr>
    <w:rPr>
      <w:sz w:val="28"/>
    </w:rPr>
  </w:style>
  <w:style w:type="character" w:customStyle="1" w:styleId="166">
    <w:name w:val="gray6"/>
    <w:basedOn w:val="44"/>
    <w:qFormat/>
    <w:uiPriority w:val="0"/>
  </w:style>
  <w:style w:type="character" w:customStyle="1" w:styleId="167">
    <w:name w:val="style9"/>
    <w:basedOn w:val="44"/>
    <w:qFormat/>
    <w:uiPriority w:val="0"/>
  </w:style>
  <w:style w:type="paragraph" w:customStyle="1" w:styleId="168">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9">
    <w:name w:val="grame"/>
    <w:basedOn w:val="44"/>
    <w:qFormat/>
    <w:uiPriority w:val="0"/>
  </w:style>
  <w:style w:type="paragraph" w:customStyle="1" w:styleId="170">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1">
    <w:name w:val="Char1"/>
    <w:basedOn w:val="1"/>
    <w:qFormat/>
    <w:uiPriority w:val="0"/>
    <w:pPr>
      <w:jc w:val="left"/>
    </w:pPr>
    <w:rPr>
      <w:rFonts w:ascii="Tahoma" w:hAnsi="Tahoma"/>
      <w:sz w:val="24"/>
      <w:szCs w:val="20"/>
    </w:rPr>
  </w:style>
  <w:style w:type="paragraph" w:customStyle="1" w:styleId="172">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3">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6">
    <w:name w:val="font6"/>
    <w:basedOn w:val="1"/>
    <w:qFormat/>
    <w:uiPriority w:val="0"/>
    <w:pPr>
      <w:widowControl/>
      <w:spacing w:before="100" w:beforeAutospacing="1" w:after="100" w:afterAutospacing="1"/>
      <w:jc w:val="left"/>
    </w:pPr>
    <w:rPr>
      <w:kern w:val="0"/>
      <w:sz w:val="24"/>
    </w:rPr>
  </w:style>
  <w:style w:type="paragraph" w:customStyle="1" w:styleId="17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9">
    <w:name w:val="表格字"/>
    <w:basedOn w:val="1"/>
    <w:qFormat/>
    <w:uiPriority w:val="0"/>
    <w:pPr>
      <w:adjustRightInd w:val="0"/>
      <w:jc w:val="center"/>
    </w:pPr>
    <w:rPr>
      <w:rFonts w:ascii="宋体"/>
      <w:sz w:val="24"/>
      <w:szCs w:val="20"/>
    </w:rPr>
  </w:style>
  <w:style w:type="character" w:customStyle="1" w:styleId="180">
    <w:name w:val="样式 小三 加粗"/>
    <w:qFormat/>
    <w:uiPriority w:val="0"/>
    <w:rPr>
      <w:rFonts w:eastAsia="宋体"/>
      <w:b/>
      <w:bCs/>
      <w:sz w:val="32"/>
    </w:rPr>
  </w:style>
  <w:style w:type="paragraph" w:customStyle="1" w:styleId="18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2">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3">
    <w:name w:val="Char Char Char"/>
    <w:basedOn w:val="1"/>
    <w:qFormat/>
    <w:uiPriority w:val="0"/>
    <w:rPr>
      <w:rFonts w:ascii="Tahoma" w:hAnsi="Tahoma"/>
      <w:sz w:val="24"/>
      <w:szCs w:val="20"/>
    </w:rPr>
  </w:style>
  <w:style w:type="paragraph" w:customStyle="1" w:styleId="184">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5">
    <w:name w:val="info4"/>
    <w:basedOn w:val="44"/>
    <w:qFormat/>
    <w:uiPriority w:val="0"/>
  </w:style>
  <w:style w:type="paragraph" w:customStyle="1" w:styleId="186">
    <w:name w:val="缩进正文"/>
    <w:basedOn w:val="1"/>
    <w:link w:val="187"/>
    <w:qFormat/>
    <w:uiPriority w:val="0"/>
    <w:pPr>
      <w:ind w:firstLine="560" w:firstLineChars="200"/>
    </w:pPr>
    <w:rPr>
      <w:rFonts w:eastAsia="仿宋_GB2312" w:cs="宋体"/>
      <w:sz w:val="28"/>
      <w:szCs w:val="20"/>
    </w:rPr>
  </w:style>
  <w:style w:type="character" w:customStyle="1" w:styleId="187">
    <w:name w:val="缩进正文 Char"/>
    <w:link w:val="186"/>
    <w:qFormat/>
    <w:uiPriority w:val="0"/>
    <w:rPr>
      <w:rFonts w:eastAsia="仿宋_GB2312" w:cs="宋体"/>
      <w:kern w:val="2"/>
      <w:sz w:val="28"/>
      <w:lang w:val="en-US" w:eastAsia="zh-CN" w:bidi="ar-SA"/>
    </w:rPr>
  </w:style>
  <w:style w:type="paragraph" w:customStyle="1" w:styleId="188">
    <w:name w:val="列出段落1"/>
    <w:basedOn w:val="1"/>
    <w:qFormat/>
    <w:uiPriority w:val="0"/>
    <w:pPr>
      <w:ind w:firstLine="420" w:firstLineChars="200"/>
    </w:pPr>
    <w:rPr>
      <w:rFonts w:ascii="Calibri" w:hAnsi="Calibri" w:cs="Calibri"/>
      <w:szCs w:val="21"/>
    </w:rPr>
  </w:style>
  <w:style w:type="character" w:customStyle="1" w:styleId="189">
    <w:name w:val="批注文字 字符"/>
    <w:basedOn w:val="44"/>
    <w:link w:val="18"/>
    <w:qFormat/>
    <w:uiPriority w:val="0"/>
    <w:rPr>
      <w:rFonts w:ascii="宋体"/>
      <w:sz w:val="34"/>
    </w:rPr>
  </w:style>
  <w:style w:type="character" w:customStyle="1" w:styleId="190">
    <w:name w:val="批注主题 字符"/>
    <w:basedOn w:val="189"/>
    <w:link w:val="40"/>
    <w:qFormat/>
    <w:uiPriority w:val="99"/>
    <w:rPr>
      <w:rFonts w:ascii="宋体"/>
      <w:sz w:val="34"/>
    </w:rPr>
  </w:style>
  <w:style w:type="paragraph" w:customStyle="1" w:styleId="191">
    <w:name w:val="评价"/>
    <w:basedOn w:val="1"/>
    <w:qFormat/>
    <w:uiPriority w:val="0"/>
    <w:pPr>
      <w:spacing w:afterLines="20"/>
      <w:ind w:firstLine="1446" w:firstLineChars="200"/>
    </w:pPr>
    <w:rPr>
      <w:rFonts w:ascii="Calibri" w:hAnsi="Calibri"/>
      <w:sz w:val="24"/>
    </w:rPr>
  </w:style>
  <w:style w:type="paragraph" w:customStyle="1" w:styleId="19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3">
    <w:name w:val="alt-edited1"/>
    <w:qFormat/>
    <w:uiPriority w:val="0"/>
    <w:rPr>
      <w:color w:val="4D90F0"/>
    </w:rPr>
  </w:style>
  <w:style w:type="character" w:customStyle="1" w:styleId="194">
    <w:name w:val="body text Char1"/>
    <w:qFormat/>
    <w:uiPriority w:val="0"/>
    <w:rPr>
      <w:rFonts w:eastAsia="宋体"/>
      <w:kern w:val="2"/>
      <w:sz w:val="21"/>
      <w:lang w:val="en-US" w:eastAsia="zh-CN" w:bidi="ar-SA"/>
    </w:rPr>
  </w:style>
  <w:style w:type="character" w:customStyle="1" w:styleId="195">
    <w:name w:val="普通(网站) 字符"/>
    <w:link w:val="37"/>
    <w:qFormat/>
    <w:uiPriority w:val="0"/>
    <w:rPr>
      <w:kern w:val="2"/>
      <w:sz w:val="24"/>
      <w:szCs w:val="24"/>
    </w:rPr>
  </w:style>
  <w:style w:type="character" w:customStyle="1" w:styleId="196">
    <w:name w:val="批注文字 Char1"/>
    <w:qFormat/>
    <w:uiPriority w:val="99"/>
    <w:rPr>
      <w:rFonts w:ascii="宋体"/>
      <w:sz w:val="34"/>
    </w:rPr>
  </w:style>
  <w:style w:type="character" w:customStyle="1" w:styleId="197">
    <w:name w:val="正文缩进 Char1"/>
    <w:qFormat/>
    <w:uiPriority w:val="0"/>
    <w:rPr>
      <w:rFonts w:eastAsia="宋体"/>
      <w:kern w:val="2"/>
      <w:sz w:val="21"/>
      <w:lang w:val="en-US" w:eastAsia="zh-CN" w:bidi="ar-SA"/>
    </w:rPr>
  </w:style>
  <w:style w:type="character" w:customStyle="1" w:styleId="198">
    <w:name w:val="layui-this"/>
    <w:basedOn w:val="44"/>
    <w:qFormat/>
    <w:uiPriority w:val="0"/>
    <w:rPr>
      <w:bdr w:val="single" w:color="EEEEEE" w:sz="4" w:space="0"/>
      <w:shd w:val="clear" w:color="auto" w:fill="FFFFFF"/>
    </w:rPr>
  </w:style>
  <w:style w:type="character" w:customStyle="1" w:styleId="199">
    <w:name w:val="first-child"/>
    <w:basedOn w:val="44"/>
    <w:qFormat/>
    <w:uiPriority w:val="0"/>
  </w:style>
  <w:style w:type="paragraph" w:customStyle="1" w:styleId="200">
    <w:name w:val="修订2"/>
    <w:hidden/>
    <w:semiHidden/>
    <w:qFormat/>
    <w:uiPriority w:val="99"/>
    <w:rPr>
      <w:rFonts w:ascii="Times New Roman" w:hAnsi="Times New Roman" w:eastAsia="宋体" w:cs="Times New Roman"/>
      <w:kern w:val="2"/>
      <w:sz w:val="21"/>
      <w:szCs w:val="24"/>
      <w:lang w:val="en-US" w:eastAsia="zh-CN" w:bidi="ar-SA"/>
    </w:rPr>
  </w:style>
  <w:style w:type="table" w:customStyle="1" w:styleId="201">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2">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3">
    <w:name w:val="Table Text"/>
    <w:basedOn w:val="1"/>
    <w:semiHidden/>
    <w:qFormat/>
    <w:uiPriority w:val="0"/>
    <w:rPr>
      <w:rFonts w:ascii="微软雅黑" w:hAnsi="微软雅黑" w:eastAsia="微软雅黑" w:cs="微软雅黑"/>
      <w:sz w:val="24"/>
      <w:lang w:eastAsia="en-US"/>
    </w:rPr>
  </w:style>
  <w:style w:type="table" w:customStyle="1" w:styleId="204">
    <w:name w:val="Table Normal"/>
    <w:unhideWhenUsed/>
    <w:qFormat/>
    <w:uiPriority w:val="0"/>
    <w:tblPr>
      <w:tblCellMar>
        <w:top w:w="0" w:type="dxa"/>
        <w:left w:w="0" w:type="dxa"/>
        <w:bottom w:w="0" w:type="dxa"/>
        <w:right w:w="0" w:type="dxa"/>
      </w:tblCellMar>
    </w:tblPr>
  </w:style>
  <w:style w:type="paragraph" w:customStyle="1" w:styleId="205">
    <w:name w:val="Table Paragraph"/>
    <w:basedOn w:val="1"/>
    <w:qFormat/>
    <w:uiPriority w:val="1"/>
    <w:pPr>
      <w:widowControl/>
      <w:autoSpaceDE w:val="0"/>
      <w:autoSpaceDN w:val="0"/>
      <w:adjustRightInd w:val="0"/>
      <w:jc w:val="left"/>
    </w:pPr>
    <w:rPr>
      <w:rFonts w:eastAsia="等线"/>
      <w:kern w:val="0"/>
      <w:sz w:val="24"/>
    </w:rPr>
  </w:style>
  <w:style w:type="paragraph" w:customStyle="1" w:styleId="206">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207">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20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209">
    <w:name w:val="修订6"/>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292A2-44D4-4866-B7C3-B84112E4B6E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7664</Words>
  <Characters>43688</Characters>
  <Lines>364</Lines>
  <Paragraphs>102</Paragraphs>
  <TotalTime>4</TotalTime>
  <ScaleCrop>false</ScaleCrop>
  <LinksUpToDate>false</LinksUpToDate>
  <CharactersWithSpaces>51250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2025-04-30T06:52:00Z</dcterms:created>
  <dc:creator>thsware</dc:creator>
  <cp:lastModifiedBy>政府采购业务部</cp:lastModifiedBy>
  <cp:lastPrinted>2021-05-09T08:02:00Z</cp:lastPrinted>
  <dcterms:modified xsi:type="dcterms:W3CDTF">2025-05-27T09:03:29Z</dcterms:modified>
  <dc:title>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158B56F9414D4F32B5B8FAA7F40C1278_13</vt:lpwstr>
  </property>
  <property fmtid="{D5CDD505-2E9C-101B-9397-08002B2CF9AE}" pid="4" name="KSOTemplateDocerSaveRecord">
    <vt:lpwstr>eyJoZGlkIjoiMTkwY2I3ZDZlZWEzMmQ5ZjFhOGExOTU0NWEzZmIyNWEiLCJ1c2VySWQiOiI0MzM5NjUxMjAifQ==</vt:lpwstr>
  </property>
</Properties>
</file>