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F12E2A">
      <w:pPr>
        <w:widowControl w:val="0"/>
        <w:spacing w:before="0" w:after="0"/>
        <w:jc w:val="both"/>
        <w:rPr>
          <w:rFonts w:hint="eastAsia" w:ascii="方正小标宋简体" w:hAnsi="方正小标宋简体" w:eastAsia="方正小标宋简体" w:cs="方正小标宋简体"/>
          <w:bCs/>
          <w:color w:val="000000"/>
          <w:kern w:val="2"/>
          <w:sz w:val="44"/>
          <w:szCs w:val="44"/>
          <w:lang w:eastAsia="zh-CN"/>
        </w:rPr>
      </w:pPr>
      <w:bookmarkStart w:id="101" w:name="_GoBack"/>
      <w:bookmarkEnd w:id="101"/>
    </w:p>
    <w:p w14:paraId="6529AF58">
      <w:pPr>
        <w:widowControl/>
        <w:spacing w:before="100" w:beforeAutospacing="1" w:after="100" w:afterAutospacing="1"/>
        <w:jc w:val="center"/>
        <w:outlineLvl w:val="1"/>
        <w:rPr>
          <w:rFonts w:hint="eastAsia" w:ascii="方正小标宋简体" w:hAnsi="方正小标宋简体" w:eastAsia="方正小标宋简体" w:cs="方正小标宋简体"/>
          <w:bCs/>
          <w:color w:val="000000"/>
          <w:kern w:val="2"/>
          <w:sz w:val="44"/>
          <w:szCs w:val="44"/>
          <w:lang w:eastAsia="zh-CN"/>
        </w:rPr>
      </w:pPr>
      <w:r>
        <w:rPr>
          <w:rFonts w:hint="eastAsia" w:ascii="方正小标宋简体" w:hAnsi="方正小标宋简体" w:eastAsia="方正小标宋简体" w:cs="方正小标宋简体"/>
          <w:bCs/>
          <w:color w:val="000000"/>
          <w:kern w:val="2"/>
          <w:sz w:val="44"/>
          <w:szCs w:val="44"/>
          <w:lang w:eastAsia="zh-CN"/>
        </w:rPr>
        <w:t>招标文件信息</w:t>
      </w:r>
    </w:p>
    <w:tbl>
      <w:tblPr>
        <w:tblStyle w:val="13"/>
        <w:tblW w:w="5000" w:type="pct"/>
        <w:jc w:val="center"/>
        <w:tblCellSpacing w:w="0" w:type="dxa"/>
        <w:tblLayout w:type="fixed"/>
        <w:tblCellMar>
          <w:top w:w="45" w:type="dxa"/>
          <w:left w:w="45" w:type="dxa"/>
          <w:bottom w:w="45" w:type="dxa"/>
          <w:right w:w="45" w:type="dxa"/>
        </w:tblCellMar>
      </w:tblPr>
      <w:tblGrid>
        <w:gridCol w:w="2881"/>
        <w:gridCol w:w="5522"/>
      </w:tblGrid>
      <w:tr w14:paraId="0FA7E412">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3D29BC2F">
            <w:pPr>
              <w:widowControl/>
              <w:jc w:val="right"/>
              <w:rPr>
                <w:rFonts w:eastAsia="宋体"/>
                <w:kern w:val="2"/>
                <w:sz w:val="30"/>
                <w:szCs w:val="30"/>
                <w:lang w:eastAsia="zh-CN"/>
              </w:rPr>
            </w:pPr>
            <w:r>
              <w:rPr>
                <w:rFonts w:ascii="宋体" w:hAnsi="宋体" w:eastAsia="宋体" w:cs="宋体"/>
                <w:sz w:val="30"/>
                <w:szCs w:val="30"/>
                <w:lang w:eastAsia="zh-CN"/>
              </w:rPr>
              <w:t>项目编号：</w:t>
            </w:r>
          </w:p>
        </w:tc>
        <w:tc>
          <w:tcPr>
            <w:tcW w:w="5220" w:type="dxa"/>
            <w:shd w:val="clear" w:color="auto" w:fill="auto"/>
            <w:vAlign w:val="center"/>
          </w:tcPr>
          <w:p w14:paraId="3E640BC3">
            <w:pPr>
              <w:widowControl/>
              <w:jc w:val="left"/>
              <w:rPr>
                <w:rFonts w:eastAsia="宋体"/>
                <w:kern w:val="2"/>
                <w:sz w:val="30"/>
                <w:szCs w:val="30"/>
                <w:lang w:eastAsia="zh-CN"/>
              </w:rPr>
            </w:pPr>
            <w:r>
              <w:rPr>
                <w:rFonts w:eastAsia="宋体"/>
                <w:kern w:val="2"/>
                <w:sz w:val="30"/>
                <w:szCs w:val="30"/>
                <w:lang w:eastAsia="zh-CN"/>
              </w:rPr>
              <w:t>SZZXCG-2025-00535</w:t>
            </w:r>
          </w:p>
        </w:tc>
      </w:tr>
      <w:tr w14:paraId="41B906EF">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529440D6">
            <w:pPr>
              <w:widowControl/>
              <w:jc w:val="right"/>
              <w:rPr>
                <w:rFonts w:eastAsia="宋体"/>
                <w:kern w:val="2"/>
                <w:sz w:val="30"/>
                <w:szCs w:val="30"/>
                <w:lang w:eastAsia="zh-CN"/>
              </w:rPr>
            </w:pPr>
            <w:r>
              <w:rPr>
                <w:rFonts w:ascii="宋体" w:hAnsi="宋体" w:eastAsia="宋体" w:cs="宋体"/>
                <w:sz w:val="30"/>
                <w:szCs w:val="30"/>
                <w:lang w:eastAsia="zh-CN"/>
              </w:rPr>
              <w:t>项目名称：</w:t>
            </w:r>
          </w:p>
        </w:tc>
        <w:tc>
          <w:tcPr>
            <w:tcW w:w="5220" w:type="dxa"/>
            <w:shd w:val="clear" w:color="auto" w:fill="auto"/>
            <w:vAlign w:val="center"/>
          </w:tcPr>
          <w:p w14:paraId="781324B2">
            <w:pPr>
              <w:widowControl/>
              <w:jc w:val="left"/>
              <w:rPr>
                <w:rFonts w:eastAsia="宋体"/>
                <w:kern w:val="2"/>
                <w:sz w:val="30"/>
                <w:szCs w:val="30"/>
                <w:lang w:eastAsia="zh-CN"/>
              </w:rPr>
            </w:pPr>
            <w:r>
              <w:rPr>
                <w:rFonts w:hint="eastAsia" w:ascii="宋体" w:hAnsi="宋体" w:eastAsia="宋体" w:cs="宋体"/>
                <w:sz w:val="30"/>
                <w:szCs w:val="30"/>
                <w:lang w:eastAsia="zh-CN"/>
              </w:rPr>
              <w:t>深圳市医疗保障局医保基金预警监测和监管协同处置平台项目、医保数据融合应用项目第三方测评</w:t>
            </w:r>
          </w:p>
        </w:tc>
      </w:tr>
      <w:tr w14:paraId="4D6E9A4B">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6AFFEA2A">
            <w:pPr>
              <w:widowControl/>
              <w:jc w:val="right"/>
              <w:rPr>
                <w:rFonts w:eastAsia="宋体"/>
                <w:kern w:val="2"/>
                <w:sz w:val="30"/>
                <w:szCs w:val="30"/>
                <w:lang w:eastAsia="zh-CN"/>
              </w:rPr>
            </w:pPr>
            <w:r>
              <w:rPr>
                <w:rFonts w:ascii="宋体" w:hAnsi="宋体" w:eastAsia="宋体" w:cs="宋体"/>
                <w:sz w:val="30"/>
                <w:szCs w:val="30"/>
                <w:lang w:eastAsia="zh-CN"/>
              </w:rPr>
              <w:t>包 号：</w:t>
            </w:r>
          </w:p>
        </w:tc>
        <w:tc>
          <w:tcPr>
            <w:tcW w:w="5220" w:type="dxa"/>
            <w:shd w:val="clear" w:color="auto" w:fill="auto"/>
            <w:vAlign w:val="center"/>
          </w:tcPr>
          <w:p w14:paraId="7A54C47C">
            <w:pPr>
              <w:widowControl/>
              <w:jc w:val="left"/>
              <w:rPr>
                <w:rFonts w:eastAsia="宋体"/>
                <w:kern w:val="2"/>
                <w:sz w:val="30"/>
                <w:szCs w:val="30"/>
                <w:lang w:eastAsia="zh-CN"/>
              </w:rPr>
            </w:pPr>
            <w:r>
              <w:rPr>
                <w:rFonts w:ascii="宋体" w:hAnsi="宋体" w:eastAsia="宋体" w:cs="宋体"/>
                <w:sz w:val="30"/>
                <w:szCs w:val="30"/>
                <w:lang w:eastAsia="zh-CN"/>
              </w:rPr>
              <w:t>A</w:t>
            </w:r>
          </w:p>
        </w:tc>
      </w:tr>
      <w:tr w14:paraId="588DF7DF">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36921BD4">
            <w:pPr>
              <w:widowControl/>
              <w:jc w:val="right"/>
              <w:rPr>
                <w:rFonts w:eastAsia="宋体"/>
                <w:kern w:val="2"/>
                <w:sz w:val="30"/>
                <w:szCs w:val="30"/>
                <w:lang w:eastAsia="zh-CN"/>
              </w:rPr>
            </w:pPr>
            <w:r>
              <w:rPr>
                <w:rFonts w:ascii="宋体" w:hAnsi="宋体" w:eastAsia="宋体" w:cs="宋体"/>
                <w:sz w:val="30"/>
                <w:szCs w:val="30"/>
                <w:lang w:eastAsia="zh-CN"/>
              </w:rPr>
              <w:t>项目类型：</w:t>
            </w:r>
          </w:p>
        </w:tc>
        <w:tc>
          <w:tcPr>
            <w:tcW w:w="5220" w:type="dxa"/>
            <w:shd w:val="clear" w:color="auto" w:fill="auto"/>
            <w:vAlign w:val="center"/>
          </w:tcPr>
          <w:p w14:paraId="632EA523">
            <w:pPr>
              <w:widowControl/>
              <w:jc w:val="left"/>
              <w:rPr>
                <w:rFonts w:eastAsia="宋体"/>
                <w:kern w:val="2"/>
                <w:sz w:val="30"/>
                <w:szCs w:val="30"/>
                <w:lang w:eastAsia="zh-CN"/>
              </w:rPr>
            </w:pPr>
            <w:r>
              <w:rPr>
                <w:rFonts w:hint="eastAsia" w:ascii="宋体" w:hAnsi="宋体" w:eastAsia="宋体" w:cs="宋体"/>
                <w:sz w:val="30"/>
                <w:szCs w:val="30"/>
                <w:lang w:eastAsia="zh-CN"/>
              </w:rPr>
              <w:t>服务类</w:t>
            </w:r>
          </w:p>
        </w:tc>
      </w:tr>
      <w:tr w14:paraId="0BB71939">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425094CE">
            <w:pPr>
              <w:widowControl/>
              <w:jc w:val="right"/>
              <w:rPr>
                <w:rFonts w:eastAsia="宋体"/>
                <w:kern w:val="2"/>
                <w:sz w:val="30"/>
                <w:szCs w:val="30"/>
                <w:lang w:eastAsia="zh-CN"/>
              </w:rPr>
            </w:pPr>
            <w:r>
              <w:rPr>
                <w:rFonts w:ascii="宋体" w:hAnsi="宋体" w:eastAsia="宋体" w:cs="宋体"/>
                <w:sz w:val="30"/>
                <w:szCs w:val="30"/>
                <w:lang w:eastAsia="zh-CN"/>
              </w:rPr>
              <w:t>采购方式：</w:t>
            </w:r>
          </w:p>
        </w:tc>
        <w:tc>
          <w:tcPr>
            <w:tcW w:w="5220" w:type="dxa"/>
            <w:shd w:val="clear" w:color="auto" w:fill="auto"/>
            <w:vAlign w:val="center"/>
          </w:tcPr>
          <w:p w14:paraId="56BE4B22">
            <w:pPr>
              <w:widowControl/>
              <w:jc w:val="left"/>
              <w:rPr>
                <w:rFonts w:eastAsia="宋体"/>
                <w:kern w:val="2"/>
                <w:sz w:val="30"/>
                <w:szCs w:val="30"/>
                <w:lang w:eastAsia="zh-CN"/>
              </w:rPr>
            </w:pPr>
            <w:r>
              <w:rPr>
                <w:rFonts w:ascii="宋体" w:hAnsi="宋体" w:eastAsia="宋体" w:cs="宋体"/>
                <w:sz w:val="30"/>
                <w:szCs w:val="30"/>
                <w:lang w:eastAsia="zh-CN"/>
              </w:rPr>
              <w:t>公开</w:t>
            </w:r>
            <w:r>
              <w:rPr>
                <w:rFonts w:hint="eastAsia" w:ascii="宋体" w:hAnsi="宋体" w:eastAsia="宋体" w:cs="宋体"/>
                <w:sz w:val="30"/>
                <w:szCs w:val="30"/>
                <w:lang w:eastAsia="zh-CN"/>
              </w:rPr>
              <w:t>招标</w:t>
            </w:r>
          </w:p>
        </w:tc>
      </w:tr>
      <w:tr w14:paraId="2257E2C9">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1F9FDF69">
            <w:pPr>
              <w:widowControl/>
              <w:jc w:val="right"/>
              <w:rPr>
                <w:rFonts w:eastAsia="宋体"/>
                <w:kern w:val="2"/>
                <w:sz w:val="30"/>
                <w:szCs w:val="30"/>
                <w:lang w:eastAsia="zh-CN"/>
              </w:rPr>
            </w:pPr>
            <w:r>
              <w:rPr>
                <w:rFonts w:ascii="宋体" w:hAnsi="宋体" w:eastAsia="宋体" w:cs="宋体"/>
                <w:sz w:val="30"/>
                <w:szCs w:val="30"/>
                <w:lang w:eastAsia="zh-CN"/>
              </w:rPr>
              <w:t>货币类型：</w:t>
            </w:r>
          </w:p>
        </w:tc>
        <w:tc>
          <w:tcPr>
            <w:tcW w:w="5220" w:type="dxa"/>
            <w:shd w:val="clear" w:color="auto" w:fill="auto"/>
            <w:vAlign w:val="center"/>
          </w:tcPr>
          <w:p w14:paraId="1620A781">
            <w:pPr>
              <w:widowControl/>
              <w:jc w:val="left"/>
              <w:rPr>
                <w:rFonts w:eastAsia="宋体"/>
                <w:kern w:val="2"/>
                <w:sz w:val="30"/>
                <w:szCs w:val="30"/>
                <w:lang w:eastAsia="zh-CN"/>
              </w:rPr>
            </w:pPr>
            <w:r>
              <w:rPr>
                <w:rFonts w:ascii="宋体" w:hAnsi="宋体" w:eastAsia="宋体" w:cs="宋体"/>
                <w:sz w:val="30"/>
                <w:szCs w:val="30"/>
                <w:lang w:eastAsia="zh-CN"/>
              </w:rPr>
              <w:t>人民币</w:t>
            </w:r>
          </w:p>
        </w:tc>
      </w:tr>
      <w:tr w14:paraId="26EF2116">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5B49F578">
            <w:pPr>
              <w:widowControl/>
              <w:jc w:val="right"/>
              <w:rPr>
                <w:rFonts w:eastAsia="宋体"/>
                <w:kern w:val="2"/>
                <w:sz w:val="30"/>
                <w:szCs w:val="30"/>
                <w:lang w:eastAsia="zh-CN"/>
              </w:rPr>
            </w:pPr>
            <w:r>
              <w:rPr>
                <w:rFonts w:ascii="宋体" w:hAnsi="宋体" w:eastAsia="宋体" w:cs="宋体"/>
                <w:sz w:val="30"/>
                <w:szCs w:val="30"/>
                <w:lang w:eastAsia="zh-CN"/>
              </w:rPr>
              <w:t>评标方法：</w:t>
            </w:r>
          </w:p>
        </w:tc>
        <w:tc>
          <w:tcPr>
            <w:tcW w:w="5220" w:type="dxa"/>
            <w:shd w:val="clear" w:color="auto" w:fill="auto"/>
            <w:vAlign w:val="center"/>
          </w:tcPr>
          <w:p w14:paraId="00C69C44">
            <w:pPr>
              <w:widowControl/>
              <w:jc w:val="left"/>
              <w:rPr>
                <w:rFonts w:eastAsia="宋体"/>
                <w:kern w:val="2"/>
                <w:sz w:val="30"/>
                <w:szCs w:val="30"/>
                <w:lang w:eastAsia="zh-CN"/>
              </w:rPr>
            </w:pPr>
            <w:r>
              <w:rPr>
                <w:rFonts w:ascii="宋体" w:hAnsi="宋体" w:eastAsia="宋体" w:cs="宋体"/>
                <w:sz w:val="30"/>
                <w:szCs w:val="30"/>
                <w:lang w:eastAsia="zh-CN" w:bidi="ar"/>
              </w:rPr>
              <w:t>综合评分法</w:t>
            </w:r>
          </w:p>
        </w:tc>
      </w:tr>
    </w:tbl>
    <w:p w14:paraId="35F18E46">
      <w:pPr>
        <w:widowControl w:val="0"/>
        <w:jc w:val="center"/>
        <w:outlineLvl w:val="1"/>
        <w:rPr>
          <w:rFonts w:hint="eastAsia" w:ascii="黑体" w:hAnsi="黑体" w:eastAsia="黑体"/>
          <w:kern w:val="2"/>
          <w:sz w:val="40"/>
          <w:szCs w:val="40"/>
          <w:lang w:eastAsia="zh-CN"/>
        </w:rPr>
      </w:pPr>
      <w:r>
        <w:rPr>
          <w:rFonts w:hint="eastAsia" w:ascii="黑体" w:hAnsi="黑体" w:eastAsia="黑体"/>
          <w:kern w:val="2"/>
          <w:sz w:val="40"/>
          <w:szCs w:val="40"/>
          <w:lang w:eastAsia="zh-CN"/>
        </w:rPr>
        <w:t>资格性审查表</w:t>
      </w:r>
    </w:p>
    <w:tbl>
      <w:tblPr>
        <w:tblStyle w:val="13"/>
        <w:tblW w:w="5000"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5868"/>
        <w:gridCol w:w="2661"/>
      </w:tblGrid>
      <w:tr w14:paraId="25AF1F5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00907683">
            <w:pPr>
              <w:widowControl w:val="0"/>
              <w:jc w:val="center"/>
              <w:rPr>
                <w:rFonts w:hint="eastAsia" w:ascii="宋体" w:hAnsi="宋体" w:eastAsia="宋体" w:cs="宋体"/>
                <w:kern w:val="2"/>
                <w:sz w:val="28"/>
                <w:szCs w:val="28"/>
                <w:lang w:eastAsia="zh-CN"/>
              </w:rPr>
            </w:pPr>
            <w:r>
              <w:rPr>
                <w:rFonts w:eastAsia="宋体"/>
                <w:kern w:val="2"/>
                <w:sz w:val="28"/>
                <w:szCs w:val="28"/>
                <w:lang w:eastAsia="zh-CN"/>
              </w:rPr>
              <w:t>序号</w:t>
            </w:r>
          </w:p>
        </w:tc>
        <w:tc>
          <w:tcPr>
            <w:tcW w:w="360"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5588F8B8">
            <w:pPr>
              <w:widowControl w:val="0"/>
              <w:jc w:val="center"/>
              <w:rPr>
                <w:rFonts w:hint="eastAsia" w:ascii="宋体" w:hAnsi="宋体" w:eastAsia="宋体" w:cs="宋体"/>
                <w:kern w:val="2"/>
                <w:sz w:val="28"/>
                <w:szCs w:val="28"/>
                <w:lang w:eastAsia="zh-CN"/>
              </w:rPr>
            </w:pPr>
            <w:r>
              <w:rPr>
                <w:rFonts w:eastAsia="宋体"/>
                <w:kern w:val="2"/>
                <w:sz w:val="28"/>
                <w:szCs w:val="28"/>
                <w:lang w:eastAsia="zh-CN"/>
              </w:rPr>
              <w:t>内容</w:t>
            </w:r>
          </w:p>
        </w:tc>
      </w:tr>
      <w:tr w14:paraId="5C50983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08E3C43B">
            <w:pPr>
              <w:widowControl w:val="0"/>
              <w:jc w:val="center"/>
              <w:rPr>
                <w:rFonts w:hint="eastAsia" w:ascii="宋体" w:hAnsi="宋体" w:eastAsia="宋体" w:cs="宋体"/>
                <w:kern w:val="2"/>
                <w:sz w:val="21"/>
                <w:szCs w:val="21"/>
                <w:lang w:eastAsia="zh-CN"/>
              </w:rPr>
            </w:pPr>
            <w:r>
              <w:rPr>
                <w:rFonts w:eastAsia="宋体"/>
                <w:kern w:val="2"/>
                <w:sz w:val="21"/>
                <w:szCs w:val="21"/>
                <w:lang w:eastAsia="zh-CN"/>
              </w:rPr>
              <w:t>1</w:t>
            </w:r>
          </w:p>
        </w:tc>
        <w:tc>
          <w:tcPr>
            <w:tcW w:w="360" w:type="dxa"/>
            <w:tcBorders>
              <w:top w:val="single" w:color="000000" w:sz="8" w:space="0"/>
              <w:left w:val="single" w:color="000000" w:sz="8" w:space="0"/>
              <w:bottom w:val="single" w:color="000000" w:sz="8" w:space="0"/>
              <w:right w:val="single" w:color="000000" w:sz="8" w:space="0"/>
            </w:tcBorders>
          </w:tcPr>
          <w:p w14:paraId="4AEC4116">
            <w:pPr>
              <w:widowControl w:val="0"/>
              <w:jc w:val="both"/>
              <w:rPr>
                <w:rFonts w:hint="eastAsia" w:ascii="宋体" w:hAnsi="宋体" w:eastAsia="宋体" w:cs="宋体"/>
                <w:kern w:val="2"/>
                <w:sz w:val="21"/>
                <w:szCs w:val="21"/>
                <w:lang w:eastAsia="zh-CN"/>
              </w:rPr>
            </w:pPr>
            <w:r>
              <w:rPr>
                <w:rFonts w:ascii="宋体" w:hAnsi="宋体" w:eastAsia="宋体" w:cs="宋体"/>
                <w:sz w:val="21"/>
                <w:szCs w:val="21"/>
                <w:lang w:eastAsia="zh-CN"/>
              </w:rPr>
              <w:t>投标人不</w:t>
            </w:r>
            <w:r>
              <w:rPr>
                <w:rFonts w:hint="eastAsia" w:ascii="宋体" w:hAnsi="宋体" w:eastAsia="宋体" w:cs="宋体"/>
                <w:sz w:val="21"/>
                <w:szCs w:val="21"/>
                <w:lang w:eastAsia="zh-CN"/>
              </w:rPr>
              <w:t>符合</w:t>
            </w:r>
            <w:r>
              <w:rPr>
                <w:rFonts w:ascii="宋体" w:hAnsi="宋体" w:eastAsia="宋体" w:cs="宋体"/>
                <w:sz w:val="21"/>
                <w:szCs w:val="21"/>
                <w:lang w:eastAsia="zh-CN"/>
              </w:rPr>
              <w:t>资格要求，或未提交相应的资格证明资料（详见</w:t>
            </w:r>
            <w:r>
              <w:rPr>
                <w:rFonts w:hint="eastAsia" w:ascii="宋体" w:hAnsi="宋体" w:eastAsia="宋体" w:cs="宋体"/>
                <w:sz w:val="21"/>
                <w:szCs w:val="21"/>
                <w:lang w:eastAsia="zh-CN"/>
              </w:rPr>
              <w:t>招标</w:t>
            </w:r>
            <w:r>
              <w:rPr>
                <w:rFonts w:ascii="宋体" w:hAnsi="宋体" w:eastAsia="宋体" w:cs="宋体"/>
                <w:sz w:val="21"/>
                <w:szCs w:val="21"/>
                <w:lang w:eastAsia="zh-CN"/>
              </w:rPr>
              <w:t>公告</w:t>
            </w:r>
            <w:r>
              <w:rPr>
                <w:rFonts w:hint="eastAsia" w:ascii="宋体" w:hAnsi="宋体" w:eastAsia="宋体"/>
                <w:kern w:val="2"/>
                <w:sz w:val="21"/>
                <w:szCs w:val="21"/>
                <w:lang w:eastAsia="zh-CN"/>
              </w:rPr>
              <w:t>投标人资格要求</w:t>
            </w:r>
            <w:r>
              <w:rPr>
                <w:rFonts w:ascii="宋体" w:hAnsi="宋体" w:eastAsia="宋体" w:cs="宋体"/>
                <w:sz w:val="21"/>
                <w:szCs w:val="21"/>
                <w:lang w:eastAsia="zh-CN"/>
              </w:rPr>
              <w:t>）</w:t>
            </w:r>
          </w:p>
        </w:tc>
      </w:tr>
    </w:tbl>
    <w:p w14:paraId="55B408F6">
      <w:pPr>
        <w:widowControl w:val="0"/>
        <w:spacing w:before="280"/>
        <w:jc w:val="center"/>
        <w:outlineLvl w:val="1"/>
        <w:rPr>
          <w:rFonts w:hint="eastAsia" w:ascii="黑体" w:hAnsi="黑体" w:eastAsia="黑体"/>
          <w:kern w:val="2"/>
          <w:sz w:val="40"/>
          <w:szCs w:val="40"/>
          <w:lang w:eastAsia="zh-CN"/>
        </w:rPr>
      </w:pPr>
      <w:r>
        <w:rPr>
          <w:rFonts w:hint="eastAsia" w:ascii="黑体" w:hAnsi="黑体" w:eastAsia="黑体"/>
          <w:kern w:val="2"/>
          <w:sz w:val="40"/>
          <w:szCs w:val="40"/>
          <w:lang w:eastAsia="zh-CN"/>
        </w:rPr>
        <w:t>符合性审查表</w:t>
      </w:r>
    </w:p>
    <w:tbl>
      <w:tblPr>
        <w:tblStyle w:val="13"/>
        <w:tblW w:w="5000"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58"/>
        <w:gridCol w:w="7771"/>
      </w:tblGrid>
      <w:tr w14:paraId="6C9FCD0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6B7B493B">
            <w:pPr>
              <w:widowControl/>
              <w:jc w:val="center"/>
              <w:rPr>
                <w:rFonts w:eastAsia="宋体"/>
                <w:kern w:val="2"/>
                <w:sz w:val="28"/>
                <w:szCs w:val="28"/>
                <w:lang w:eastAsia="zh-CN"/>
              </w:rPr>
            </w:pPr>
            <w:r>
              <w:rPr>
                <w:rFonts w:ascii="宋体" w:hAnsi="宋体" w:eastAsia="宋体" w:cs="宋体"/>
                <w:sz w:val="28"/>
                <w:szCs w:val="28"/>
                <w:lang w:eastAsia="zh-CN"/>
              </w:rPr>
              <w:t>序号</w:t>
            </w:r>
          </w:p>
        </w:tc>
        <w:tc>
          <w:tcPr>
            <w:tcW w:w="360"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476B2D8A">
            <w:pPr>
              <w:widowControl/>
              <w:jc w:val="center"/>
              <w:rPr>
                <w:rFonts w:eastAsia="宋体"/>
                <w:kern w:val="2"/>
                <w:sz w:val="28"/>
                <w:szCs w:val="28"/>
                <w:lang w:eastAsia="zh-CN"/>
              </w:rPr>
            </w:pPr>
            <w:r>
              <w:rPr>
                <w:rFonts w:ascii="宋体" w:hAnsi="宋体" w:eastAsia="宋体" w:cs="宋体"/>
                <w:sz w:val="28"/>
                <w:szCs w:val="28"/>
                <w:lang w:eastAsia="zh-CN"/>
              </w:rPr>
              <w:t>内容</w:t>
            </w:r>
          </w:p>
        </w:tc>
      </w:tr>
      <w:tr w14:paraId="6446E62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14:paraId="12B642F3">
            <w:pPr>
              <w:widowControl/>
              <w:jc w:val="center"/>
              <w:textAlignment w:val="top"/>
              <w:rPr>
                <w:rFonts w:eastAsia="宋体"/>
                <w:kern w:val="2"/>
                <w:sz w:val="21"/>
                <w:szCs w:val="21"/>
                <w:lang w:eastAsia="zh-CN"/>
              </w:rPr>
            </w:pPr>
            <w:r>
              <w:rPr>
                <w:rFonts w:ascii="宋体" w:hAnsi="宋体" w:eastAsia="宋体" w:cs="宋体"/>
                <w:sz w:val="21"/>
                <w:szCs w:val="21"/>
                <w:lang w:eastAsia="zh-CN"/>
              </w:rPr>
              <w:t>1</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7C0E42F9">
            <w:pPr>
              <w:widowControl/>
              <w:jc w:val="left"/>
              <w:textAlignment w:val="top"/>
              <w:rPr>
                <w:rFonts w:eastAsia="宋体"/>
                <w:kern w:val="2"/>
                <w:sz w:val="21"/>
                <w:szCs w:val="21"/>
                <w:lang w:eastAsia="zh-CN"/>
              </w:rPr>
            </w:pPr>
            <w:r>
              <w:rPr>
                <w:rFonts w:hint="eastAsia" w:eastAsia="宋体"/>
                <w:kern w:val="2"/>
                <w:sz w:val="21"/>
                <w:lang w:eastAsia="zh-CN"/>
              </w:rPr>
              <w:t>不得将一个包内容拆开投标；</w:t>
            </w:r>
          </w:p>
        </w:tc>
      </w:tr>
      <w:tr w14:paraId="2DF209C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14:paraId="4BC87B00">
            <w:pPr>
              <w:widowControl/>
              <w:jc w:val="center"/>
              <w:textAlignment w:val="top"/>
              <w:rPr>
                <w:rFonts w:eastAsia="宋体"/>
                <w:kern w:val="2"/>
                <w:sz w:val="21"/>
                <w:szCs w:val="21"/>
                <w:lang w:eastAsia="zh-CN"/>
              </w:rPr>
            </w:pPr>
            <w:r>
              <w:rPr>
                <w:rFonts w:ascii="宋体" w:hAnsi="宋体" w:eastAsia="宋体" w:cs="宋体"/>
                <w:sz w:val="21"/>
                <w:szCs w:val="21"/>
                <w:lang w:eastAsia="zh-CN"/>
              </w:rPr>
              <w:t>2</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0D25CF72">
            <w:pPr>
              <w:widowControl/>
              <w:jc w:val="left"/>
              <w:textAlignment w:val="top"/>
              <w:rPr>
                <w:rFonts w:eastAsia="宋体"/>
                <w:kern w:val="2"/>
                <w:sz w:val="21"/>
                <w:szCs w:val="21"/>
                <w:lang w:eastAsia="zh-CN"/>
              </w:rPr>
            </w:pPr>
            <w:r>
              <w:rPr>
                <w:rFonts w:hint="eastAsia" w:eastAsia="宋体"/>
                <w:kern w:val="2"/>
                <w:sz w:val="21"/>
                <w:lang w:eastAsia="zh-CN"/>
              </w:rPr>
              <w:t>对同一项目投标时，不得提供两套以上的投标方案（招标文件另有规定的除外）；</w:t>
            </w:r>
          </w:p>
        </w:tc>
      </w:tr>
      <w:tr w14:paraId="45DFC9C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14:paraId="575DE594">
            <w:pPr>
              <w:widowControl/>
              <w:jc w:val="center"/>
              <w:textAlignment w:val="top"/>
              <w:rPr>
                <w:rFonts w:eastAsia="宋体"/>
                <w:kern w:val="2"/>
                <w:sz w:val="21"/>
                <w:szCs w:val="21"/>
                <w:lang w:eastAsia="zh-CN"/>
              </w:rPr>
            </w:pPr>
            <w:r>
              <w:rPr>
                <w:rFonts w:ascii="宋体" w:hAnsi="宋体" w:eastAsia="宋体" w:cs="宋体"/>
                <w:sz w:val="21"/>
                <w:szCs w:val="21"/>
                <w:lang w:eastAsia="zh-CN"/>
              </w:rPr>
              <w:t>3</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45CEB65F">
            <w:pPr>
              <w:widowControl/>
              <w:jc w:val="left"/>
              <w:textAlignment w:val="top"/>
              <w:rPr>
                <w:rFonts w:eastAsia="宋体"/>
                <w:kern w:val="2"/>
                <w:sz w:val="21"/>
                <w:szCs w:val="21"/>
                <w:lang w:eastAsia="zh-CN"/>
              </w:rPr>
            </w:pPr>
            <w:r>
              <w:rPr>
                <w:rFonts w:hint="eastAsia" w:eastAsia="宋体"/>
                <w:kern w:val="2"/>
                <w:sz w:val="21"/>
                <w:lang w:eastAsia="zh-CN"/>
              </w:rPr>
              <w:t>分项报价或投标总价不得高于相应预算金额（或设定的预算金额下的最高限价）；</w:t>
            </w:r>
          </w:p>
        </w:tc>
      </w:tr>
      <w:tr w14:paraId="717F591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1436" w:hRule="atLeast"/>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14:paraId="37EB7BAF">
            <w:pPr>
              <w:widowControl/>
              <w:jc w:val="center"/>
              <w:textAlignment w:val="top"/>
              <w:rPr>
                <w:rFonts w:eastAsia="宋体"/>
                <w:kern w:val="2"/>
                <w:sz w:val="21"/>
                <w:szCs w:val="21"/>
                <w:lang w:eastAsia="zh-CN"/>
              </w:rPr>
            </w:pPr>
            <w:r>
              <w:rPr>
                <w:rFonts w:ascii="宋体" w:hAnsi="宋体" w:eastAsia="宋体" w:cs="宋体"/>
                <w:sz w:val="21"/>
                <w:szCs w:val="21"/>
                <w:lang w:eastAsia="zh-CN"/>
              </w:rPr>
              <w:t>4</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60018F3F">
            <w:pPr>
              <w:widowControl/>
              <w:jc w:val="left"/>
              <w:textAlignment w:val="top"/>
              <w:rPr>
                <w:rFonts w:eastAsia="宋体"/>
                <w:kern w:val="2"/>
                <w:sz w:val="21"/>
                <w:szCs w:val="21"/>
                <w:lang w:eastAsia="zh-CN"/>
              </w:rPr>
            </w:pPr>
            <w:r>
              <w:rPr>
                <w:rFonts w:hint="eastAsia" w:eastAsia="宋体"/>
                <w:kern w:val="2"/>
                <w:sz w:val="21"/>
                <w:lang w:eastAsia="zh-CN"/>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14:paraId="1110C2A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14:paraId="17343FA6">
            <w:pPr>
              <w:widowControl/>
              <w:jc w:val="center"/>
              <w:textAlignment w:val="top"/>
              <w:rPr>
                <w:rFonts w:eastAsia="宋体"/>
                <w:kern w:val="2"/>
                <w:sz w:val="21"/>
                <w:szCs w:val="21"/>
                <w:lang w:eastAsia="zh-CN"/>
              </w:rPr>
            </w:pPr>
            <w:r>
              <w:rPr>
                <w:rFonts w:ascii="宋体" w:hAnsi="宋体" w:eastAsia="宋体" w:cs="宋体"/>
                <w:sz w:val="21"/>
                <w:szCs w:val="21"/>
                <w:lang w:eastAsia="zh-CN"/>
              </w:rPr>
              <w:t>5</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0168F574">
            <w:pPr>
              <w:widowControl/>
              <w:jc w:val="left"/>
              <w:textAlignment w:val="top"/>
              <w:rPr>
                <w:rFonts w:eastAsia="宋体"/>
                <w:kern w:val="2"/>
                <w:sz w:val="21"/>
                <w:szCs w:val="21"/>
                <w:lang w:eastAsia="zh-CN"/>
              </w:rPr>
            </w:pPr>
            <w:r>
              <w:rPr>
                <w:rFonts w:hint="eastAsia" w:eastAsia="宋体"/>
                <w:kern w:val="2"/>
                <w:sz w:val="21"/>
                <w:lang w:eastAsia="zh-CN"/>
              </w:rPr>
              <w:t>投标人响应的内容在技术、商务等方面没有实质性满足（</w:t>
            </w:r>
            <w:r>
              <w:rPr>
                <w:rFonts w:hint="eastAsia" w:ascii="Calibri" w:hAnsi="Calibri" w:eastAsia="宋体"/>
                <w:kern w:val="2"/>
                <w:sz w:val="21"/>
                <w:lang w:eastAsia="zh-CN"/>
              </w:rPr>
              <w:t>或未响应招标文件中带★号条款或响应有负偏离）</w:t>
            </w:r>
            <w:r>
              <w:rPr>
                <w:rFonts w:hint="eastAsia" w:eastAsia="宋体"/>
                <w:kern w:val="2"/>
                <w:sz w:val="21"/>
                <w:lang w:eastAsia="zh-CN"/>
              </w:rPr>
              <w:t>招标文件要求的（是否实质性满足招标文件要求，由评审委员会根据实质性条款响应情况作出评判，若招标文件未设置实质性条款，不得据此做投标无效处理）；</w:t>
            </w:r>
          </w:p>
        </w:tc>
      </w:tr>
      <w:tr w14:paraId="1203876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14:paraId="5F983961">
            <w:pPr>
              <w:widowControl/>
              <w:jc w:val="center"/>
              <w:textAlignment w:val="top"/>
              <w:rPr>
                <w:rFonts w:eastAsia="宋体"/>
                <w:kern w:val="2"/>
                <w:sz w:val="21"/>
                <w:szCs w:val="21"/>
                <w:lang w:eastAsia="zh-CN"/>
              </w:rPr>
            </w:pPr>
            <w:r>
              <w:rPr>
                <w:rFonts w:ascii="宋体" w:hAnsi="宋体" w:eastAsia="宋体" w:cs="宋体"/>
                <w:sz w:val="21"/>
                <w:szCs w:val="21"/>
                <w:lang w:eastAsia="zh-CN"/>
              </w:rPr>
              <w:t>6</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41A920B9">
            <w:pPr>
              <w:widowControl/>
              <w:jc w:val="left"/>
              <w:textAlignment w:val="top"/>
              <w:rPr>
                <w:rFonts w:eastAsia="宋体"/>
                <w:kern w:val="2"/>
                <w:sz w:val="21"/>
                <w:szCs w:val="21"/>
                <w:lang w:eastAsia="zh-CN"/>
              </w:rPr>
            </w:pPr>
            <w:r>
              <w:rPr>
                <w:rFonts w:hint="eastAsia" w:eastAsia="宋体"/>
                <w:kern w:val="2"/>
                <w:sz w:val="21"/>
                <w:lang w:eastAsia="zh-CN"/>
              </w:rPr>
              <w:t>未按招标文件所提供的样式填写《投标函》；未按招标文件所提供的《采购投标及履约承诺函》进行承诺或不符合承诺的；未按招标文件对投标文件组成的要求提供投标文件；</w:t>
            </w:r>
          </w:p>
        </w:tc>
      </w:tr>
      <w:tr w14:paraId="4D52008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14:paraId="41C2EC43">
            <w:pPr>
              <w:widowControl/>
              <w:jc w:val="center"/>
              <w:textAlignment w:val="top"/>
              <w:rPr>
                <w:rFonts w:eastAsia="宋体"/>
                <w:kern w:val="2"/>
                <w:sz w:val="21"/>
                <w:szCs w:val="21"/>
                <w:lang w:eastAsia="zh-CN"/>
              </w:rPr>
            </w:pPr>
            <w:r>
              <w:rPr>
                <w:rFonts w:ascii="宋体" w:hAnsi="宋体" w:eastAsia="宋体" w:cs="宋体"/>
                <w:sz w:val="21"/>
                <w:szCs w:val="21"/>
                <w:lang w:eastAsia="zh-CN"/>
              </w:rPr>
              <w:t>7</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277BA615">
            <w:pPr>
              <w:widowControl/>
              <w:jc w:val="left"/>
              <w:textAlignment w:val="top"/>
              <w:rPr>
                <w:rFonts w:eastAsia="宋体"/>
                <w:kern w:val="2"/>
                <w:sz w:val="21"/>
                <w:szCs w:val="21"/>
                <w:lang w:eastAsia="zh-CN"/>
              </w:rPr>
            </w:pPr>
            <w:r>
              <w:rPr>
                <w:rFonts w:hint="eastAsia" w:eastAsia="宋体"/>
                <w:kern w:val="2"/>
                <w:sz w:val="21"/>
                <w:lang w:eastAsia="zh-CN"/>
              </w:rPr>
              <w:t>采购标的/所投产品/货物清单有缺漏项或响应不全或报价有缺漏或者对招标文件规定的项目需求内容或者需求数量进行修改，评审委员会判定投标响应不满足采购需求；</w:t>
            </w:r>
          </w:p>
        </w:tc>
      </w:tr>
      <w:tr w14:paraId="664BE59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14:paraId="4F1323ED">
            <w:pPr>
              <w:widowControl/>
              <w:jc w:val="center"/>
              <w:textAlignment w:val="top"/>
              <w:rPr>
                <w:rFonts w:eastAsia="宋体"/>
                <w:kern w:val="2"/>
                <w:sz w:val="21"/>
                <w:szCs w:val="21"/>
                <w:lang w:eastAsia="zh-CN"/>
              </w:rPr>
            </w:pPr>
            <w:r>
              <w:rPr>
                <w:rFonts w:hint="eastAsia" w:ascii="宋体" w:hAnsi="宋体" w:eastAsia="宋体" w:cs="宋体"/>
                <w:sz w:val="21"/>
                <w:szCs w:val="21"/>
                <w:lang w:eastAsia="zh-CN"/>
              </w:rPr>
              <w:t>8</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5103C638">
            <w:pPr>
              <w:widowControl/>
              <w:jc w:val="left"/>
              <w:textAlignment w:val="top"/>
              <w:rPr>
                <w:rFonts w:eastAsia="宋体"/>
                <w:kern w:val="2"/>
                <w:sz w:val="21"/>
                <w:szCs w:val="21"/>
                <w:lang w:eastAsia="zh-CN"/>
              </w:rPr>
            </w:pPr>
            <w:r>
              <w:rPr>
                <w:rFonts w:hint="eastAsia" w:eastAsia="宋体"/>
                <w:kern w:val="2"/>
                <w:sz w:val="21"/>
                <w:lang w:eastAsia="zh-CN"/>
              </w:rPr>
              <w:t>投标文件电子文档不得带病毒；</w:t>
            </w:r>
          </w:p>
        </w:tc>
      </w:tr>
      <w:tr w14:paraId="73C68C5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14:paraId="7BD9770E">
            <w:pPr>
              <w:widowControl/>
              <w:jc w:val="center"/>
              <w:textAlignment w:val="top"/>
              <w:rPr>
                <w:rFonts w:eastAsia="宋体"/>
                <w:kern w:val="2"/>
                <w:sz w:val="21"/>
                <w:szCs w:val="21"/>
                <w:lang w:eastAsia="zh-CN"/>
              </w:rPr>
            </w:pPr>
            <w:r>
              <w:rPr>
                <w:rFonts w:hint="eastAsia" w:ascii="宋体" w:hAnsi="宋体" w:eastAsia="宋体" w:cs="宋体"/>
                <w:sz w:val="21"/>
                <w:szCs w:val="21"/>
                <w:lang w:eastAsia="zh-CN"/>
              </w:rPr>
              <w:t>9</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3B5A7B38">
            <w:pPr>
              <w:widowControl/>
              <w:jc w:val="left"/>
              <w:textAlignment w:val="top"/>
              <w:rPr>
                <w:rFonts w:eastAsia="宋体"/>
                <w:kern w:val="2"/>
                <w:sz w:val="21"/>
                <w:szCs w:val="21"/>
                <w:lang w:eastAsia="zh-CN"/>
              </w:rPr>
            </w:pPr>
            <w:r>
              <w:rPr>
                <w:rFonts w:hint="eastAsia" w:eastAsia="宋体"/>
                <w:kern w:val="2"/>
                <w:sz w:val="21"/>
                <w:lang w:eastAsia="zh-CN"/>
              </w:rPr>
              <w:t>投标文件用不属于本公司的电子密钥进行加密或投标文件未按时解密的；</w:t>
            </w:r>
          </w:p>
        </w:tc>
      </w:tr>
      <w:tr w14:paraId="135033C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14:paraId="4BDC4F6D">
            <w:pPr>
              <w:widowControl/>
              <w:jc w:val="center"/>
              <w:textAlignment w:val="top"/>
              <w:rPr>
                <w:rFonts w:eastAsia="宋体"/>
                <w:kern w:val="2"/>
                <w:sz w:val="21"/>
                <w:szCs w:val="21"/>
                <w:lang w:eastAsia="zh-CN"/>
              </w:rPr>
            </w:pPr>
            <w:r>
              <w:rPr>
                <w:rFonts w:ascii="宋体" w:hAnsi="宋体" w:eastAsia="宋体" w:cs="宋体"/>
                <w:sz w:val="21"/>
                <w:szCs w:val="21"/>
                <w:lang w:eastAsia="zh-CN"/>
              </w:rPr>
              <w:t>1</w:t>
            </w:r>
            <w:r>
              <w:rPr>
                <w:rFonts w:hint="eastAsia" w:ascii="宋体" w:hAnsi="宋体" w:eastAsia="宋体" w:cs="宋体"/>
                <w:sz w:val="21"/>
                <w:szCs w:val="21"/>
                <w:lang w:eastAsia="zh-CN"/>
              </w:rPr>
              <w:t>0</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0E546128">
            <w:pPr>
              <w:widowControl/>
              <w:jc w:val="left"/>
              <w:textAlignment w:val="top"/>
              <w:rPr>
                <w:rFonts w:eastAsia="宋体"/>
                <w:kern w:val="2"/>
                <w:sz w:val="21"/>
                <w:szCs w:val="21"/>
                <w:lang w:eastAsia="zh-CN"/>
              </w:rPr>
            </w:pPr>
            <w:r>
              <w:rPr>
                <w:rFonts w:hint="eastAsia" w:eastAsia="宋体"/>
                <w:kern w:val="2"/>
                <w:sz w:val="21"/>
                <w:lang w:eastAsia="zh-CN"/>
              </w:rPr>
              <w:t>法律、法规、规章、规范性文件规定的其他情形。</w:t>
            </w:r>
          </w:p>
        </w:tc>
      </w:tr>
    </w:tbl>
    <w:p w14:paraId="49165F5A">
      <w:pPr>
        <w:widowControl w:val="0"/>
        <w:jc w:val="center"/>
        <w:outlineLvl w:val="1"/>
        <w:rPr>
          <w:rFonts w:hint="eastAsia" w:ascii="黑体" w:hAnsi="黑体" w:eastAsia="黑体"/>
          <w:kern w:val="2"/>
          <w:sz w:val="40"/>
          <w:szCs w:val="40"/>
          <w:lang w:eastAsia="zh-CN"/>
        </w:rPr>
      </w:pPr>
      <w:r>
        <w:rPr>
          <w:rFonts w:hint="eastAsia" w:ascii="黑体" w:hAnsi="黑体" w:eastAsia="黑体"/>
          <w:kern w:val="2"/>
          <w:sz w:val="40"/>
          <w:szCs w:val="40"/>
          <w:lang w:eastAsia="zh-CN"/>
        </w:rPr>
        <w:t>评标信息</w:t>
      </w:r>
    </w:p>
    <w:p w14:paraId="284D9607">
      <w:pPr>
        <w:widowControl w:val="0"/>
        <w:jc w:val="both"/>
        <w:rPr>
          <w:rFonts w:hint="eastAsia" w:eastAsia="宋体"/>
          <w:kern w:val="2"/>
          <w:sz w:val="21"/>
          <w:lang w:eastAsia="zh-CN"/>
        </w:rPr>
      </w:pPr>
    </w:p>
    <w:tbl>
      <w:tblPr>
        <w:tblStyle w:val="13"/>
        <w:tblpPr w:leftFromText="180" w:rightFromText="180" w:vertAnchor="text" w:horzAnchor="page" w:tblpX="1477" w:tblpY="240"/>
        <w:tblOverlap w:val="never"/>
        <w:tblW w:w="5000" w:type="pct"/>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
      <w:tblGrid>
        <w:gridCol w:w="8423"/>
      </w:tblGrid>
      <w:tr w14:paraId="11716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9072" w:type="dxa"/>
            <w:vAlign w:val="center"/>
          </w:tcPr>
          <w:p w14:paraId="774F4473">
            <w:pPr>
              <w:widowControl w:val="0"/>
              <w:jc w:val="left"/>
              <w:rPr>
                <w:rFonts w:hint="eastAsia" w:ascii="宋体" w:hAnsi="宋体" w:eastAsia="宋体" w:cs="宋体"/>
                <w:b/>
                <w:bCs/>
                <w:kern w:val="2"/>
                <w:lang w:eastAsia="zh-CN"/>
              </w:rPr>
            </w:pPr>
            <w:r>
              <w:rPr>
                <w:rFonts w:eastAsia="宋体"/>
                <w:b/>
                <w:bCs/>
                <w:kern w:val="2"/>
                <w:sz w:val="21"/>
                <w:lang w:eastAsia="zh-CN"/>
              </w:rPr>
              <w:t>评标方法：综合评分法</w:t>
            </w:r>
          </w:p>
        </w:tc>
      </w:tr>
      <w:tr w14:paraId="4C887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9072" w:type="dxa"/>
            <w:vAlign w:val="center"/>
          </w:tcPr>
          <w:p w14:paraId="78EFC001">
            <w:pPr>
              <w:widowControl w:val="0"/>
              <w:spacing w:line="324" w:lineRule="auto"/>
              <w:ind w:firstLine="420"/>
              <w:jc w:val="both"/>
              <w:rPr>
                <w:rFonts w:eastAsia="宋体"/>
                <w:kern w:val="2"/>
                <w:sz w:val="21"/>
                <w:szCs w:val="21"/>
                <w:lang w:eastAsia="zh-CN"/>
              </w:rPr>
            </w:pPr>
            <w:r>
              <w:rPr>
                <w:rFonts w:hint="eastAsia" w:eastAsia="宋体"/>
                <w:kern w:val="2"/>
                <w:sz w:val="21"/>
                <w:szCs w:val="21"/>
                <w:lang w:eastAsia="zh-CN"/>
              </w:rPr>
              <w:t>综合评分法，是指投标文件满足招标文件全部实质性要求，且按照评审因素的量化指标评审得分最高的投标人为中标候选人的评标方法。 （适用于中标候选人为1家的情形）</w:t>
            </w:r>
          </w:p>
          <w:p w14:paraId="7BFB9A86">
            <w:pPr>
              <w:widowControl w:val="0"/>
              <w:spacing w:line="324" w:lineRule="auto"/>
              <w:ind w:firstLine="420"/>
              <w:jc w:val="both"/>
              <w:rPr>
                <w:rFonts w:eastAsia="宋体"/>
                <w:kern w:val="2"/>
                <w:sz w:val="21"/>
                <w:szCs w:val="21"/>
                <w:lang w:eastAsia="zh-CN"/>
              </w:rPr>
            </w:pPr>
            <w:r>
              <w:rPr>
                <w:rFonts w:hint="eastAsia" w:eastAsia="宋体"/>
                <w:kern w:val="2"/>
                <w:sz w:val="21"/>
                <w:szCs w:val="21"/>
                <w:lang w:eastAsia="zh-CN"/>
              </w:rPr>
              <w:t>综合评分法。在最大限度地满足招标文件实质性要求的前提下，按照招标文件中规定的各项因素进行综合评审，评标总得分排名前列的投标人，作为推荐的候选中标供应商。（适用于中标候选人为多家的情形）</w:t>
            </w:r>
          </w:p>
          <w:p w14:paraId="5BB25086">
            <w:pPr>
              <w:widowControl w:val="0"/>
              <w:ind w:firstLine="420"/>
              <w:jc w:val="both"/>
              <w:rPr>
                <w:rFonts w:eastAsia="宋体"/>
                <w:kern w:val="2"/>
                <w:sz w:val="21"/>
                <w:szCs w:val="21"/>
                <w:lang w:eastAsia="zh-CN"/>
              </w:rPr>
            </w:pPr>
            <w:r>
              <w:rPr>
                <w:rFonts w:eastAsia="宋体"/>
                <w:kern w:val="2"/>
                <w:sz w:val="21"/>
                <w:szCs w:val="21"/>
                <w:lang w:eastAsia="zh-CN"/>
              </w:rPr>
              <w:t>价格分计算方法：</w:t>
            </w:r>
          </w:p>
          <w:p w14:paraId="5EB5AF6F">
            <w:pPr>
              <w:widowControl w:val="0"/>
              <w:spacing w:line="324" w:lineRule="auto"/>
              <w:ind w:left="420"/>
              <w:jc w:val="both"/>
              <w:rPr>
                <w:rFonts w:eastAsia="宋体"/>
                <w:kern w:val="2"/>
                <w:sz w:val="21"/>
                <w:szCs w:val="21"/>
                <w:lang w:eastAsia="zh-CN"/>
              </w:rPr>
            </w:pPr>
            <w:r>
              <w:rPr>
                <w:rFonts w:eastAsia="宋体"/>
                <w:kern w:val="2"/>
                <w:sz w:val="21"/>
                <w:szCs w:val="21"/>
                <w:lang w:eastAsia="zh-CN"/>
              </w:rPr>
              <w:t>采用低价优先法计算，即满足</w:t>
            </w:r>
            <w:r>
              <w:rPr>
                <w:rFonts w:hint="eastAsia" w:eastAsia="宋体"/>
                <w:kern w:val="2"/>
                <w:sz w:val="21"/>
                <w:szCs w:val="21"/>
                <w:lang w:eastAsia="zh-CN"/>
              </w:rPr>
              <w:t>招标</w:t>
            </w:r>
            <w:r>
              <w:rPr>
                <w:rFonts w:eastAsia="宋体"/>
                <w:kern w:val="2"/>
                <w:sz w:val="21"/>
                <w:szCs w:val="21"/>
                <w:lang w:eastAsia="zh-CN"/>
              </w:rPr>
              <w:t xml:space="preserve">文件要求且投标价格最低的投标报价为评标基准价，其价格分为满分。其他投标人的价格分统一按照下列公式计算： </w:t>
            </w:r>
            <w:r>
              <w:rPr>
                <w:rFonts w:eastAsia="宋体"/>
                <w:kern w:val="2"/>
                <w:sz w:val="21"/>
                <w:szCs w:val="21"/>
                <w:lang w:eastAsia="zh-CN"/>
              </w:rPr>
              <w:br w:type="textWrapping"/>
            </w:r>
            <w:r>
              <w:rPr>
                <w:rFonts w:eastAsia="宋体"/>
                <w:kern w:val="2"/>
                <w:sz w:val="21"/>
                <w:szCs w:val="21"/>
                <w:lang w:eastAsia="zh-CN"/>
              </w:rPr>
              <w:t xml:space="preserve">投标报价得分=(评标基准价／投标报价)×100 </w:t>
            </w:r>
            <w:r>
              <w:rPr>
                <w:rFonts w:eastAsia="宋体"/>
                <w:kern w:val="2"/>
                <w:sz w:val="21"/>
                <w:szCs w:val="21"/>
                <w:lang w:eastAsia="zh-CN"/>
              </w:rPr>
              <w:br w:type="textWrapping"/>
            </w:r>
            <w:r>
              <w:rPr>
                <w:rFonts w:eastAsia="宋体"/>
                <w:kern w:val="2"/>
                <w:sz w:val="21"/>
                <w:szCs w:val="21"/>
                <w:lang w:eastAsia="zh-CN"/>
              </w:rPr>
              <w:t xml:space="preserve">评标总得分＝F1×A1＋F2×A2＋……＋Fn×An </w:t>
            </w:r>
            <w:r>
              <w:rPr>
                <w:rFonts w:eastAsia="宋体"/>
                <w:kern w:val="2"/>
                <w:sz w:val="21"/>
                <w:szCs w:val="21"/>
                <w:lang w:eastAsia="zh-CN"/>
              </w:rPr>
              <w:br w:type="textWrapping"/>
            </w:r>
            <w:r>
              <w:rPr>
                <w:rFonts w:eastAsia="宋体"/>
                <w:kern w:val="2"/>
                <w:sz w:val="21"/>
                <w:szCs w:val="21"/>
                <w:lang w:eastAsia="zh-CN"/>
              </w:rPr>
              <w:t xml:space="preserve">F1、F2……Fn分别为各项评审因素的得分； </w:t>
            </w:r>
            <w:r>
              <w:rPr>
                <w:rFonts w:eastAsia="宋体"/>
                <w:kern w:val="2"/>
                <w:sz w:val="21"/>
                <w:szCs w:val="21"/>
                <w:lang w:eastAsia="zh-CN"/>
              </w:rPr>
              <w:br w:type="textWrapping"/>
            </w:r>
            <w:r>
              <w:rPr>
                <w:rFonts w:eastAsia="宋体"/>
                <w:kern w:val="2"/>
                <w:sz w:val="21"/>
                <w:szCs w:val="21"/>
                <w:lang w:eastAsia="zh-CN"/>
              </w:rPr>
              <w:t xml:space="preserve">A1、A2、……An 分别为各项评审因素所占的权重(A1＋A2＋……＋An＝1)。 </w:t>
            </w:r>
            <w:r>
              <w:rPr>
                <w:rFonts w:eastAsia="宋体"/>
                <w:kern w:val="2"/>
                <w:sz w:val="21"/>
                <w:szCs w:val="21"/>
                <w:lang w:eastAsia="zh-CN"/>
              </w:rPr>
              <w:br w:type="textWrapping"/>
            </w:r>
            <w:r>
              <w:rPr>
                <w:rFonts w:eastAsia="宋体"/>
                <w:kern w:val="2"/>
                <w:sz w:val="21"/>
                <w:szCs w:val="21"/>
                <w:lang w:eastAsia="zh-CN"/>
              </w:rPr>
              <w:t>评标过程中，不得去掉报价中的最高报价和最低报价。</w:t>
            </w:r>
          </w:p>
          <w:p w14:paraId="296E320C">
            <w:pPr>
              <w:widowControl w:val="0"/>
              <w:spacing w:line="324" w:lineRule="auto"/>
              <w:ind w:left="420"/>
              <w:jc w:val="both"/>
              <w:rPr>
                <w:rFonts w:eastAsia="宋体"/>
                <w:kern w:val="2"/>
                <w:sz w:val="21"/>
                <w:szCs w:val="21"/>
                <w:lang w:eastAsia="zh-CN"/>
              </w:rPr>
            </w:pPr>
            <w:r>
              <w:rPr>
                <w:rFonts w:hint="eastAsia" w:eastAsia="宋体"/>
                <w:kern w:val="2"/>
                <w:sz w:val="21"/>
                <w:szCs w:val="21"/>
                <w:lang w:eastAsia="zh-CN"/>
              </w:rPr>
              <w:t>注：投标人的“</w:t>
            </w:r>
            <w:r>
              <w:rPr>
                <w:rFonts w:hint="eastAsia" w:eastAsia="宋体"/>
                <w:color w:val="FF0000"/>
                <w:kern w:val="2"/>
                <w:sz w:val="21"/>
                <w:szCs w:val="21"/>
                <w:lang w:eastAsia="zh-CN"/>
              </w:rPr>
              <w:t>技术响应情况</w:t>
            </w:r>
            <w:r>
              <w:rPr>
                <w:rFonts w:hint="eastAsia" w:eastAsia="宋体"/>
                <w:kern w:val="2"/>
                <w:sz w:val="21"/>
                <w:szCs w:val="21"/>
                <w:lang w:eastAsia="zh-CN"/>
              </w:rPr>
              <w:t>”“技术偏离情况”等必须与客观实际保持一致，响应不实且情节严重的，经查实，将依法记入供应商诚信档案或受到行政处罚。</w:t>
            </w:r>
          </w:p>
        </w:tc>
      </w:tr>
    </w:tbl>
    <w:p w14:paraId="4808ABF5">
      <w:pPr>
        <w:widowControl w:val="0"/>
        <w:jc w:val="both"/>
        <w:rPr>
          <w:rFonts w:hint="eastAsia" w:eastAsia="宋体"/>
          <w:kern w:val="2"/>
          <w:sz w:val="21"/>
          <w:lang w:eastAsia="zh-CN"/>
        </w:rPr>
      </w:pPr>
    </w:p>
    <w:p w14:paraId="526BB9CF">
      <w:pPr>
        <w:widowControl w:val="0"/>
        <w:ind w:left="0" w:leftChars="0" w:firstLine="0" w:firstLineChars="0"/>
        <w:jc w:val="both"/>
        <w:rPr>
          <w:rFonts w:hint="eastAsia" w:eastAsia="宋体"/>
          <w:kern w:val="2"/>
          <w:sz w:val="21"/>
          <w:szCs w:val="20"/>
          <w:lang w:eastAsia="zh-CN"/>
        </w:rPr>
      </w:pPr>
    </w:p>
    <w:tbl>
      <w:tblPr>
        <w:tblStyle w:val="13"/>
        <w:tblW w:w="5000" w:type="pct"/>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0" w:type="dxa"/>
          <w:left w:w="108" w:type="dxa"/>
          <w:bottom w:w="20" w:type="dxa"/>
          <w:right w:w="108" w:type="dxa"/>
        </w:tblCellMar>
      </w:tblPr>
      <w:tblGrid>
        <w:gridCol w:w="648"/>
        <w:gridCol w:w="647"/>
        <w:gridCol w:w="1536"/>
        <w:gridCol w:w="961"/>
        <w:gridCol w:w="4757"/>
      </w:tblGrid>
      <w:tr w14:paraId="558E4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676" w:type="dxa"/>
            <w:shd w:val="clear" w:color="auto" w:fill="E6EFFA"/>
            <w:noWrap w:val="0"/>
            <w:vAlign w:val="center"/>
          </w:tcPr>
          <w:p w14:paraId="58624AF0">
            <w:pPr>
              <w:keepNext w:val="0"/>
              <w:keepLines w:val="0"/>
              <w:pageBreakBefore w:val="0"/>
              <w:widowControl w:val="0"/>
              <w:kinsoku/>
              <w:wordWrap w:val="0"/>
              <w:overflowPunct/>
              <w:topLinePunct w:val="0"/>
              <w:bidi w:val="0"/>
              <w:spacing w:line="276" w:lineRule="auto"/>
              <w:jc w:val="center"/>
              <w:textAlignment w:val="auto"/>
              <w:rPr>
                <w:rFonts w:ascii="宋体" w:hAnsi="宋体" w:eastAsia="宋体" w:cs="宋体"/>
                <w:b/>
                <w:bCs/>
                <w:kern w:val="2"/>
                <w:lang w:eastAsia="zh-CN"/>
              </w:rPr>
            </w:pPr>
            <w:r>
              <w:rPr>
                <w:rFonts w:eastAsia="宋体"/>
                <w:b/>
                <w:bCs/>
                <w:kern w:val="2"/>
                <w:sz w:val="21"/>
                <w:lang w:eastAsia="zh-CN"/>
              </w:rPr>
              <w:t>序号</w:t>
            </w:r>
          </w:p>
        </w:tc>
        <w:tc>
          <w:tcPr>
            <w:tcW w:w="3315" w:type="dxa"/>
            <w:gridSpan w:val="3"/>
            <w:shd w:val="clear" w:color="auto" w:fill="E6EFFA"/>
            <w:noWrap w:val="0"/>
            <w:vAlign w:val="center"/>
          </w:tcPr>
          <w:p w14:paraId="16118990">
            <w:pPr>
              <w:keepNext w:val="0"/>
              <w:keepLines w:val="0"/>
              <w:pageBreakBefore w:val="0"/>
              <w:widowControl w:val="0"/>
              <w:kinsoku/>
              <w:wordWrap w:val="0"/>
              <w:overflowPunct/>
              <w:topLinePunct w:val="0"/>
              <w:bidi w:val="0"/>
              <w:spacing w:line="276" w:lineRule="auto"/>
              <w:jc w:val="center"/>
              <w:textAlignment w:val="auto"/>
              <w:rPr>
                <w:rFonts w:ascii="宋体" w:hAnsi="宋体" w:eastAsia="宋体" w:cs="宋体"/>
                <w:b/>
                <w:bCs/>
                <w:kern w:val="2"/>
                <w:lang w:eastAsia="zh-CN"/>
              </w:rPr>
            </w:pPr>
            <w:r>
              <w:rPr>
                <w:rFonts w:eastAsia="宋体"/>
                <w:b/>
                <w:bCs/>
                <w:kern w:val="2"/>
                <w:sz w:val="21"/>
                <w:lang w:eastAsia="zh-CN"/>
              </w:rPr>
              <w:t>评分项</w:t>
            </w:r>
          </w:p>
        </w:tc>
        <w:tc>
          <w:tcPr>
            <w:tcW w:w="5081" w:type="dxa"/>
            <w:shd w:val="clear" w:color="auto" w:fill="E6EFFA"/>
            <w:noWrap w:val="0"/>
            <w:vAlign w:val="center"/>
          </w:tcPr>
          <w:p w14:paraId="16F2810D">
            <w:pPr>
              <w:keepNext w:val="0"/>
              <w:keepLines w:val="0"/>
              <w:pageBreakBefore w:val="0"/>
              <w:widowControl w:val="0"/>
              <w:kinsoku/>
              <w:wordWrap w:val="0"/>
              <w:overflowPunct/>
              <w:topLinePunct w:val="0"/>
              <w:bidi w:val="0"/>
              <w:spacing w:line="276" w:lineRule="auto"/>
              <w:jc w:val="center"/>
              <w:textAlignment w:val="auto"/>
              <w:rPr>
                <w:rFonts w:ascii="宋体" w:hAnsi="宋体" w:eastAsia="宋体" w:cs="宋体"/>
                <w:b/>
                <w:bCs/>
                <w:kern w:val="2"/>
                <w:lang w:eastAsia="zh-CN"/>
              </w:rPr>
            </w:pPr>
            <w:r>
              <w:rPr>
                <w:rFonts w:eastAsia="宋体"/>
                <w:b/>
                <w:bCs/>
                <w:kern w:val="2"/>
                <w:sz w:val="21"/>
                <w:lang w:eastAsia="zh-CN"/>
              </w:rPr>
              <w:t>权重(%)</w:t>
            </w:r>
          </w:p>
        </w:tc>
      </w:tr>
      <w:tr w14:paraId="6489F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676" w:type="dxa"/>
            <w:vMerge w:val="restart"/>
            <w:noWrap w:val="0"/>
            <w:vAlign w:val="top"/>
          </w:tcPr>
          <w:p w14:paraId="5FDA53A2">
            <w:pPr>
              <w:keepNext w:val="0"/>
              <w:keepLines w:val="0"/>
              <w:pageBreakBefore w:val="0"/>
              <w:widowControl w:val="0"/>
              <w:kinsoku/>
              <w:wordWrap w:val="0"/>
              <w:overflowPunct/>
              <w:topLinePunct w:val="0"/>
              <w:bidi w:val="0"/>
              <w:spacing w:line="276" w:lineRule="auto"/>
              <w:jc w:val="center"/>
              <w:textAlignment w:val="auto"/>
              <w:rPr>
                <w:rFonts w:ascii="宋体" w:hAnsi="宋体" w:eastAsia="宋体" w:cs="宋体"/>
                <w:b/>
                <w:bCs/>
                <w:color w:val="0000FF"/>
                <w:kern w:val="2"/>
                <w:lang w:eastAsia="zh-CN"/>
              </w:rPr>
            </w:pPr>
            <w:r>
              <w:rPr>
                <w:rFonts w:eastAsia="宋体"/>
                <w:b/>
                <w:bCs/>
                <w:color w:val="0000FF"/>
                <w:kern w:val="2"/>
                <w:sz w:val="21"/>
                <w:lang w:eastAsia="zh-CN"/>
              </w:rPr>
              <w:t>1</w:t>
            </w:r>
          </w:p>
        </w:tc>
        <w:tc>
          <w:tcPr>
            <w:tcW w:w="3315" w:type="dxa"/>
            <w:gridSpan w:val="3"/>
            <w:noWrap w:val="0"/>
            <w:vAlign w:val="top"/>
          </w:tcPr>
          <w:p w14:paraId="16A9FECA">
            <w:pPr>
              <w:keepNext w:val="0"/>
              <w:keepLines w:val="0"/>
              <w:pageBreakBefore w:val="0"/>
              <w:widowControl w:val="0"/>
              <w:kinsoku/>
              <w:wordWrap w:val="0"/>
              <w:overflowPunct/>
              <w:topLinePunct w:val="0"/>
              <w:bidi w:val="0"/>
              <w:spacing w:line="276" w:lineRule="auto"/>
              <w:jc w:val="center"/>
              <w:textAlignment w:val="auto"/>
              <w:rPr>
                <w:rFonts w:ascii="宋体" w:hAnsi="宋体" w:eastAsia="宋体" w:cs="宋体"/>
                <w:b/>
                <w:bCs/>
                <w:color w:val="0000FF"/>
                <w:kern w:val="2"/>
                <w:lang w:eastAsia="zh-CN"/>
              </w:rPr>
            </w:pPr>
            <w:r>
              <w:rPr>
                <w:rFonts w:eastAsia="宋体"/>
                <w:b/>
                <w:bCs/>
                <w:color w:val="0000FF"/>
                <w:kern w:val="2"/>
                <w:sz w:val="21"/>
                <w:lang w:eastAsia="zh-CN"/>
              </w:rPr>
              <w:t>价格</w:t>
            </w:r>
          </w:p>
        </w:tc>
        <w:tc>
          <w:tcPr>
            <w:tcW w:w="5081" w:type="dxa"/>
            <w:noWrap w:val="0"/>
            <w:vAlign w:val="top"/>
          </w:tcPr>
          <w:p w14:paraId="674D8ABF">
            <w:pPr>
              <w:keepNext w:val="0"/>
              <w:keepLines w:val="0"/>
              <w:pageBreakBefore w:val="0"/>
              <w:widowControl w:val="0"/>
              <w:kinsoku/>
              <w:wordWrap w:val="0"/>
              <w:overflowPunct/>
              <w:topLinePunct w:val="0"/>
              <w:bidi w:val="0"/>
              <w:spacing w:line="276" w:lineRule="auto"/>
              <w:jc w:val="center"/>
              <w:textAlignment w:val="auto"/>
              <w:rPr>
                <w:rFonts w:ascii="宋体" w:hAnsi="宋体" w:eastAsia="宋体" w:cs="宋体"/>
                <w:b/>
                <w:bCs/>
                <w:color w:val="0000FF"/>
                <w:kern w:val="2"/>
                <w:lang w:eastAsia="zh-CN"/>
              </w:rPr>
            </w:pPr>
            <w:r>
              <w:rPr>
                <w:rFonts w:hint="eastAsia" w:eastAsia="宋体"/>
                <w:b/>
                <w:bCs/>
                <w:color w:val="0000FF"/>
                <w:kern w:val="2"/>
                <w:sz w:val="21"/>
                <w:lang w:eastAsia="zh-CN"/>
              </w:rPr>
              <w:t>1</w:t>
            </w:r>
            <w:r>
              <w:rPr>
                <w:rFonts w:eastAsia="宋体"/>
                <w:b/>
                <w:bCs/>
                <w:color w:val="0000FF"/>
                <w:kern w:val="2"/>
                <w:sz w:val="21"/>
                <w:lang w:eastAsia="zh-CN"/>
              </w:rPr>
              <w:t>0</w:t>
            </w:r>
          </w:p>
        </w:tc>
      </w:tr>
      <w:tr w14:paraId="20FC1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676" w:type="dxa"/>
            <w:vMerge w:val="continue"/>
            <w:noWrap w:val="0"/>
            <w:vAlign w:val="center"/>
          </w:tcPr>
          <w:p w14:paraId="3717364C">
            <w:pPr>
              <w:keepNext w:val="0"/>
              <w:keepLines w:val="0"/>
              <w:pageBreakBefore w:val="0"/>
              <w:widowControl w:val="0"/>
              <w:kinsoku/>
              <w:overflowPunct/>
              <w:topLinePunct w:val="0"/>
              <w:bidi w:val="0"/>
              <w:spacing w:line="276" w:lineRule="auto"/>
              <w:jc w:val="both"/>
              <w:textAlignment w:val="auto"/>
              <w:rPr>
                <w:rFonts w:ascii="宋体" w:hAnsi="宋体" w:eastAsia="宋体" w:cs="宋体"/>
                <w:b/>
                <w:bCs/>
                <w:color w:val="0000FF"/>
                <w:kern w:val="2"/>
                <w:lang w:eastAsia="zh-CN"/>
              </w:rPr>
            </w:pPr>
          </w:p>
        </w:tc>
        <w:tc>
          <w:tcPr>
            <w:tcW w:w="8396" w:type="dxa"/>
            <w:gridSpan w:val="4"/>
            <w:noWrap w:val="0"/>
            <w:vAlign w:val="top"/>
          </w:tcPr>
          <w:p w14:paraId="295B3370">
            <w:pPr>
              <w:keepNext w:val="0"/>
              <w:keepLines w:val="0"/>
              <w:pageBreakBefore w:val="0"/>
              <w:widowControl w:val="0"/>
              <w:kinsoku/>
              <w:wordWrap w:val="0"/>
              <w:overflowPunct/>
              <w:topLinePunct w:val="0"/>
              <w:bidi w:val="0"/>
              <w:spacing w:line="276" w:lineRule="auto"/>
              <w:jc w:val="both"/>
              <w:textAlignment w:val="auto"/>
              <w:rPr>
                <w:rFonts w:ascii="宋体" w:hAnsi="宋体" w:eastAsia="宋体" w:cs="宋体"/>
                <w:kern w:val="2"/>
                <w:sz w:val="21"/>
                <w:szCs w:val="21"/>
                <w:lang w:eastAsia="zh-CN"/>
              </w:rPr>
            </w:pPr>
          </w:p>
        </w:tc>
      </w:tr>
      <w:tr w14:paraId="4CD27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676" w:type="dxa"/>
            <w:vMerge w:val="restart"/>
            <w:noWrap w:val="0"/>
            <w:vAlign w:val="top"/>
          </w:tcPr>
          <w:p w14:paraId="725E3816">
            <w:pPr>
              <w:keepNext w:val="0"/>
              <w:keepLines w:val="0"/>
              <w:pageBreakBefore w:val="0"/>
              <w:widowControl w:val="0"/>
              <w:kinsoku/>
              <w:wordWrap w:val="0"/>
              <w:overflowPunct/>
              <w:topLinePunct w:val="0"/>
              <w:bidi w:val="0"/>
              <w:spacing w:line="276" w:lineRule="auto"/>
              <w:jc w:val="center"/>
              <w:textAlignment w:val="auto"/>
              <w:rPr>
                <w:rFonts w:ascii="宋体" w:hAnsi="宋体" w:eastAsia="宋体" w:cs="宋体"/>
                <w:b/>
                <w:bCs/>
                <w:color w:val="0000FF"/>
                <w:kern w:val="2"/>
                <w:lang w:eastAsia="zh-CN"/>
              </w:rPr>
            </w:pPr>
            <w:r>
              <w:rPr>
                <w:rFonts w:eastAsia="宋体"/>
                <w:b/>
                <w:bCs/>
                <w:color w:val="0000FF"/>
                <w:kern w:val="2"/>
                <w:sz w:val="21"/>
                <w:lang w:eastAsia="zh-CN"/>
              </w:rPr>
              <w:t>2</w:t>
            </w:r>
          </w:p>
        </w:tc>
        <w:tc>
          <w:tcPr>
            <w:tcW w:w="3315" w:type="dxa"/>
            <w:gridSpan w:val="3"/>
            <w:noWrap w:val="0"/>
            <w:vAlign w:val="top"/>
          </w:tcPr>
          <w:p w14:paraId="1F50127A">
            <w:pPr>
              <w:keepNext w:val="0"/>
              <w:keepLines w:val="0"/>
              <w:pageBreakBefore w:val="0"/>
              <w:widowControl w:val="0"/>
              <w:kinsoku/>
              <w:wordWrap w:val="0"/>
              <w:overflowPunct/>
              <w:topLinePunct w:val="0"/>
              <w:bidi w:val="0"/>
              <w:spacing w:line="276" w:lineRule="auto"/>
              <w:jc w:val="center"/>
              <w:textAlignment w:val="auto"/>
              <w:rPr>
                <w:rFonts w:ascii="宋体" w:hAnsi="宋体" w:eastAsia="宋体" w:cs="宋体"/>
                <w:b/>
                <w:bCs/>
                <w:color w:val="0000FF"/>
                <w:kern w:val="2"/>
                <w:lang w:eastAsia="zh-CN"/>
              </w:rPr>
            </w:pPr>
            <w:r>
              <w:rPr>
                <w:rFonts w:eastAsia="宋体"/>
                <w:b/>
                <w:bCs/>
                <w:color w:val="0000FF"/>
                <w:kern w:val="2"/>
                <w:sz w:val="21"/>
                <w:lang w:eastAsia="zh-CN"/>
              </w:rPr>
              <w:t>技术</w:t>
            </w:r>
            <w:r>
              <w:rPr>
                <w:rFonts w:hint="eastAsia" w:eastAsia="宋体"/>
                <w:b/>
                <w:bCs/>
                <w:color w:val="0000FF"/>
                <w:kern w:val="2"/>
                <w:sz w:val="21"/>
                <w:lang w:eastAsia="zh-CN"/>
              </w:rPr>
              <w:t>部分</w:t>
            </w:r>
          </w:p>
        </w:tc>
        <w:tc>
          <w:tcPr>
            <w:tcW w:w="5081" w:type="dxa"/>
            <w:noWrap w:val="0"/>
            <w:vAlign w:val="top"/>
          </w:tcPr>
          <w:p w14:paraId="066D33B8">
            <w:pPr>
              <w:keepNext w:val="0"/>
              <w:keepLines w:val="0"/>
              <w:pageBreakBefore w:val="0"/>
              <w:widowControl w:val="0"/>
              <w:kinsoku/>
              <w:wordWrap w:val="0"/>
              <w:overflowPunct/>
              <w:topLinePunct w:val="0"/>
              <w:bidi w:val="0"/>
              <w:spacing w:line="276" w:lineRule="auto"/>
              <w:jc w:val="center"/>
              <w:textAlignment w:val="auto"/>
              <w:rPr>
                <w:rFonts w:ascii="宋体" w:hAnsi="宋体" w:eastAsia="宋体" w:cs="宋体"/>
                <w:b/>
                <w:bCs/>
                <w:color w:val="0000FF"/>
                <w:kern w:val="2"/>
                <w:lang w:eastAsia="zh-CN"/>
              </w:rPr>
            </w:pPr>
            <w:r>
              <w:rPr>
                <w:rFonts w:hint="eastAsia" w:eastAsia="宋体"/>
                <w:b/>
                <w:bCs/>
                <w:color w:val="0000FF"/>
                <w:kern w:val="2"/>
                <w:sz w:val="21"/>
                <w:lang w:eastAsia="zh-CN"/>
              </w:rPr>
              <w:t>54</w:t>
            </w:r>
          </w:p>
        </w:tc>
      </w:tr>
      <w:tr w14:paraId="4892A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676" w:type="dxa"/>
            <w:vMerge w:val="continue"/>
            <w:noWrap w:val="0"/>
            <w:vAlign w:val="center"/>
          </w:tcPr>
          <w:p w14:paraId="051AA834">
            <w:pPr>
              <w:keepNext w:val="0"/>
              <w:keepLines w:val="0"/>
              <w:pageBreakBefore w:val="0"/>
              <w:widowControl w:val="0"/>
              <w:kinsoku/>
              <w:overflowPunct/>
              <w:topLinePunct w:val="0"/>
              <w:bidi w:val="0"/>
              <w:spacing w:line="276" w:lineRule="auto"/>
              <w:jc w:val="both"/>
              <w:textAlignment w:val="auto"/>
              <w:rPr>
                <w:rFonts w:ascii="宋体" w:hAnsi="宋体" w:eastAsia="宋体" w:cs="宋体"/>
                <w:b/>
                <w:bCs/>
                <w:color w:val="0000FF"/>
                <w:kern w:val="2"/>
                <w:lang w:eastAsia="zh-CN"/>
              </w:rPr>
            </w:pPr>
          </w:p>
        </w:tc>
        <w:tc>
          <w:tcPr>
            <w:tcW w:w="8396" w:type="dxa"/>
            <w:gridSpan w:val="4"/>
            <w:noWrap w:val="0"/>
            <w:vAlign w:val="top"/>
          </w:tcPr>
          <w:p w14:paraId="7A904DFF">
            <w:pPr>
              <w:keepNext w:val="0"/>
              <w:keepLines w:val="0"/>
              <w:pageBreakBefore w:val="0"/>
              <w:widowControl w:val="0"/>
              <w:kinsoku/>
              <w:wordWrap w:val="0"/>
              <w:overflowPunct/>
              <w:topLinePunct w:val="0"/>
              <w:bidi w:val="0"/>
              <w:spacing w:line="276" w:lineRule="auto"/>
              <w:jc w:val="both"/>
              <w:textAlignment w:val="auto"/>
              <w:rPr>
                <w:rFonts w:ascii="宋体" w:hAnsi="宋体" w:eastAsia="宋体" w:cs="宋体"/>
                <w:kern w:val="2"/>
                <w:sz w:val="21"/>
                <w:szCs w:val="21"/>
                <w:lang w:eastAsia="zh-CN"/>
              </w:rPr>
            </w:pPr>
          </w:p>
        </w:tc>
      </w:tr>
      <w:tr w14:paraId="3A500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676" w:type="dxa"/>
            <w:vMerge w:val="continue"/>
            <w:shd w:val="clear" w:color="auto" w:fill="E6EFFA"/>
            <w:noWrap w:val="0"/>
            <w:vAlign w:val="center"/>
          </w:tcPr>
          <w:p w14:paraId="3C50DE1D">
            <w:pPr>
              <w:keepNext w:val="0"/>
              <w:keepLines w:val="0"/>
              <w:pageBreakBefore w:val="0"/>
              <w:widowControl w:val="0"/>
              <w:kinsoku/>
              <w:overflowPunct/>
              <w:topLinePunct w:val="0"/>
              <w:bidi w:val="0"/>
              <w:spacing w:line="276" w:lineRule="auto"/>
              <w:jc w:val="both"/>
              <w:textAlignment w:val="auto"/>
              <w:rPr>
                <w:rFonts w:ascii="宋体" w:hAnsi="宋体" w:eastAsia="宋体" w:cs="宋体"/>
                <w:b/>
                <w:bCs/>
                <w:color w:val="0000FF"/>
                <w:kern w:val="2"/>
                <w:lang w:eastAsia="zh-CN"/>
              </w:rPr>
            </w:pPr>
          </w:p>
        </w:tc>
        <w:tc>
          <w:tcPr>
            <w:tcW w:w="675" w:type="dxa"/>
            <w:shd w:val="clear" w:color="auto" w:fill="E6EFFA"/>
            <w:noWrap w:val="0"/>
            <w:vAlign w:val="center"/>
          </w:tcPr>
          <w:p w14:paraId="63A7005C">
            <w:pPr>
              <w:keepNext w:val="0"/>
              <w:keepLines w:val="0"/>
              <w:pageBreakBefore w:val="0"/>
              <w:widowControl w:val="0"/>
              <w:kinsoku/>
              <w:wordWrap w:val="0"/>
              <w:overflowPunct/>
              <w:topLinePunct w:val="0"/>
              <w:bidi w:val="0"/>
              <w:spacing w:line="276" w:lineRule="auto"/>
              <w:jc w:val="center"/>
              <w:textAlignment w:val="auto"/>
              <w:rPr>
                <w:rFonts w:ascii="宋体" w:hAnsi="宋体" w:eastAsia="宋体" w:cs="宋体"/>
                <w:kern w:val="2"/>
                <w:sz w:val="21"/>
                <w:szCs w:val="21"/>
                <w:lang w:eastAsia="zh-CN"/>
              </w:rPr>
            </w:pPr>
            <w:r>
              <w:rPr>
                <w:rFonts w:eastAsia="宋体"/>
                <w:kern w:val="2"/>
                <w:sz w:val="21"/>
                <w:szCs w:val="21"/>
                <w:lang w:eastAsia="zh-CN"/>
              </w:rPr>
              <w:t>序号</w:t>
            </w:r>
          </w:p>
        </w:tc>
        <w:tc>
          <w:tcPr>
            <w:tcW w:w="1628" w:type="dxa"/>
            <w:shd w:val="clear" w:color="auto" w:fill="E6EFFA"/>
            <w:noWrap w:val="0"/>
            <w:vAlign w:val="center"/>
          </w:tcPr>
          <w:p w14:paraId="015EFF13">
            <w:pPr>
              <w:keepNext w:val="0"/>
              <w:keepLines w:val="0"/>
              <w:pageBreakBefore w:val="0"/>
              <w:widowControl w:val="0"/>
              <w:kinsoku/>
              <w:wordWrap w:val="0"/>
              <w:overflowPunct/>
              <w:topLinePunct w:val="0"/>
              <w:bidi w:val="0"/>
              <w:spacing w:line="276" w:lineRule="auto"/>
              <w:jc w:val="center"/>
              <w:textAlignment w:val="auto"/>
              <w:rPr>
                <w:rFonts w:ascii="宋体" w:hAnsi="宋体" w:eastAsia="宋体" w:cs="宋体"/>
                <w:kern w:val="2"/>
                <w:sz w:val="21"/>
                <w:szCs w:val="21"/>
                <w:lang w:eastAsia="zh-CN"/>
              </w:rPr>
            </w:pPr>
            <w:r>
              <w:rPr>
                <w:rFonts w:hint="eastAsia" w:eastAsia="宋体"/>
                <w:kern w:val="2"/>
                <w:sz w:val="21"/>
                <w:szCs w:val="21"/>
                <w:lang w:eastAsia="zh-CN"/>
              </w:rPr>
              <w:t>评审因素</w:t>
            </w:r>
          </w:p>
        </w:tc>
        <w:tc>
          <w:tcPr>
            <w:tcW w:w="1012" w:type="dxa"/>
            <w:shd w:val="clear" w:color="auto" w:fill="E6EFFA"/>
            <w:noWrap w:val="0"/>
            <w:vAlign w:val="center"/>
          </w:tcPr>
          <w:p w14:paraId="7C8A060D">
            <w:pPr>
              <w:keepNext w:val="0"/>
              <w:keepLines w:val="0"/>
              <w:pageBreakBefore w:val="0"/>
              <w:widowControl w:val="0"/>
              <w:kinsoku/>
              <w:wordWrap w:val="0"/>
              <w:overflowPunct/>
              <w:topLinePunct w:val="0"/>
              <w:bidi w:val="0"/>
              <w:spacing w:line="276" w:lineRule="auto"/>
              <w:jc w:val="center"/>
              <w:textAlignment w:val="auto"/>
              <w:rPr>
                <w:rFonts w:ascii="宋体" w:hAnsi="宋体" w:eastAsia="宋体" w:cs="宋体"/>
                <w:kern w:val="2"/>
                <w:sz w:val="21"/>
                <w:szCs w:val="21"/>
                <w:lang w:eastAsia="zh-CN"/>
              </w:rPr>
            </w:pPr>
            <w:r>
              <w:rPr>
                <w:rFonts w:eastAsia="宋体"/>
                <w:kern w:val="2"/>
                <w:sz w:val="21"/>
                <w:szCs w:val="21"/>
                <w:lang w:eastAsia="zh-CN"/>
              </w:rPr>
              <w:t>权重(%)</w:t>
            </w:r>
          </w:p>
        </w:tc>
        <w:tc>
          <w:tcPr>
            <w:tcW w:w="5081" w:type="dxa"/>
            <w:shd w:val="clear" w:color="auto" w:fill="E6EFFA"/>
            <w:noWrap w:val="0"/>
            <w:vAlign w:val="center"/>
          </w:tcPr>
          <w:p w14:paraId="1B20B7C9">
            <w:pPr>
              <w:keepNext w:val="0"/>
              <w:keepLines w:val="0"/>
              <w:pageBreakBefore w:val="0"/>
              <w:widowControl w:val="0"/>
              <w:kinsoku/>
              <w:wordWrap w:val="0"/>
              <w:overflowPunct/>
              <w:topLinePunct w:val="0"/>
              <w:bidi w:val="0"/>
              <w:spacing w:line="276" w:lineRule="auto"/>
              <w:jc w:val="center"/>
              <w:textAlignment w:val="auto"/>
              <w:rPr>
                <w:rFonts w:ascii="宋体" w:hAnsi="宋体" w:eastAsia="宋体" w:cs="宋体"/>
                <w:kern w:val="2"/>
                <w:sz w:val="21"/>
                <w:szCs w:val="21"/>
                <w:lang w:eastAsia="zh-CN"/>
              </w:rPr>
            </w:pPr>
            <w:r>
              <w:rPr>
                <w:rFonts w:eastAsia="宋体"/>
                <w:kern w:val="2"/>
                <w:sz w:val="21"/>
                <w:szCs w:val="21"/>
                <w:lang w:eastAsia="zh-CN"/>
              </w:rPr>
              <w:t>评分准则</w:t>
            </w:r>
          </w:p>
        </w:tc>
      </w:tr>
      <w:tr w14:paraId="70600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676" w:type="dxa"/>
            <w:vMerge w:val="continue"/>
            <w:noWrap w:val="0"/>
            <w:vAlign w:val="center"/>
          </w:tcPr>
          <w:p w14:paraId="6C17782F">
            <w:pPr>
              <w:keepNext w:val="0"/>
              <w:keepLines w:val="0"/>
              <w:pageBreakBefore w:val="0"/>
              <w:widowControl w:val="0"/>
              <w:kinsoku/>
              <w:overflowPunct/>
              <w:topLinePunct w:val="0"/>
              <w:bidi w:val="0"/>
              <w:spacing w:line="276" w:lineRule="auto"/>
              <w:jc w:val="both"/>
              <w:textAlignment w:val="auto"/>
              <w:rPr>
                <w:rFonts w:ascii="宋体" w:hAnsi="宋体" w:eastAsia="宋体" w:cs="宋体"/>
                <w:b/>
                <w:bCs/>
                <w:color w:val="0000FF"/>
                <w:kern w:val="2"/>
                <w:lang w:eastAsia="zh-CN"/>
              </w:rPr>
            </w:pPr>
          </w:p>
        </w:tc>
        <w:tc>
          <w:tcPr>
            <w:tcW w:w="675" w:type="dxa"/>
            <w:noWrap w:val="0"/>
            <w:vAlign w:val="center"/>
          </w:tcPr>
          <w:p w14:paraId="5F7F38AC">
            <w:pPr>
              <w:keepNext w:val="0"/>
              <w:keepLines w:val="0"/>
              <w:pageBreakBefore w:val="0"/>
              <w:widowControl w:val="0"/>
              <w:kinsoku/>
              <w:wordWrap w:val="0"/>
              <w:overflowPunct/>
              <w:topLinePunct w:val="0"/>
              <w:bidi w:val="0"/>
              <w:spacing w:line="276" w:lineRule="auto"/>
              <w:jc w:val="center"/>
              <w:textAlignment w:val="auto"/>
              <w:rPr>
                <w:rFonts w:ascii="宋体" w:hAnsi="宋体" w:eastAsia="宋体" w:cs="宋体"/>
                <w:kern w:val="2"/>
                <w:sz w:val="21"/>
                <w:szCs w:val="21"/>
                <w:lang w:eastAsia="zh-CN"/>
              </w:rPr>
            </w:pPr>
            <w:r>
              <w:rPr>
                <w:rFonts w:ascii="宋体" w:hAnsi="宋体" w:eastAsia="宋体"/>
                <w:kern w:val="2"/>
                <w:sz w:val="21"/>
                <w:szCs w:val="21"/>
                <w:lang w:eastAsia="zh-CN"/>
              </w:rPr>
              <w:t>1</w:t>
            </w:r>
          </w:p>
        </w:tc>
        <w:tc>
          <w:tcPr>
            <w:tcW w:w="1628" w:type="dxa"/>
            <w:noWrap w:val="0"/>
            <w:vAlign w:val="center"/>
          </w:tcPr>
          <w:p w14:paraId="1B6D0122">
            <w:pPr>
              <w:keepNext w:val="0"/>
              <w:keepLines w:val="0"/>
              <w:pageBreakBefore w:val="0"/>
              <w:widowControl w:val="0"/>
              <w:kinsoku/>
              <w:wordWrap w:val="0"/>
              <w:overflowPunct/>
              <w:topLinePunct w:val="0"/>
              <w:bidi w:val="0"/>
              <w:spacing w:line="276" w:lineRule="auto"/>
              <w:jc w:val="center"/>
              <w:textAlignment w:val="auto"/>
              <w:rPr>
                <w:rFonts w:ascii="宋体" w:hAnsi="宋体" w:eastAsia="宋体" w:cs="宋体"/>
                <w:kern w:val="2"/>
                <w:sz w:val="21"/>
                <w:szCs w:val="21"/>
                <w:lang w:eastAsia="zh-CN"/>
              </w:rPr>
            </w:pPr>
            <w:r>
              <w:rPr>
                <w:rFonts w:hint="eastAsia" w:ascii="宋体" w:hAnsi="宋体" w:eastAsia="宋体"/>
                <w:kern w:val="2"/>
                <w:sz w:val="21"/>
                <w:szCs w:val="21"/>
                <w:lang w:eastAsia="zh-CN"/>
              </w:rPr>
              <w:t>实施方案</w:t>
            </w:r>
          </w:p>
        </w:tc>
        <w:tc>
          <w:tcPr>
            <w:tcW w:w="1012" w:type="dxa"/>
            <w:noWrap w:val="0"/>
            <w:vAlign w:val="center"/>
          </w:tcPr>
          <w:p w14:paraId="6C933859">
            <w:pPr>
              <w:keepNext w:val="0"/>
              <w:keepLines w:val="0"/>
              <w:pageBreakBefore w:val="0"/>
              <w:widowControl w:val="0"/>
              <w:kinsoku/>
              <w:wordWrap w:val="0"/>
              <w:overflowPunct/>
              <w:topLinePunct w:val="0"/>
              <w:bidi w:val="0"/>
              <w:spacing w:line="276" w:lineRule="auto"/>
              <w:jc w:val="center"/>
              <w:textAlignment w:val="auto"/>
              <w:rPr>
                <w:rFonts w:ascii="宋体" w:hAnsi="宋体" w:eastAsia="宋体" w:cs="宋体"/>
                <w:kern w:val="2"/>
                <w:sz w:val="21"/>
                <w:szCs w:val="21"/>
                <w:lang w:eastAsia="zh-CN"/>
              </w:rPr>
            </w:pPr>
            <w:r>
              <w:rPr>
                <w:rFonts w:hint="eastAsia" w:ascii="宋体" w:hAnsi="宋体" w:eastAsia="宋体"/>
                <w:kern w:val="2"/>
                <w:sz w:val="21"/>
                <w:szCs w:val="21"/>
                <w:lang w:eastAsia="zh-CN"/>
              </w:rPr>
              <w:t>12</w:t>
            </w:r>
          </w:p>
        </w:tc>
        <w:tc>
          <w:tcPr>
            <w:tcW w:w="5081" w:type="dxa"/>
            <w:noWrap w:val="0"/>
            <w:vAlign w:val="top"/>
          </w:tcPr>
          <w:p w14:paraId="16BF64A8">
            <w:pPr>
              <w:keepNext w:val="0"/>
              <w:keepLines w:val="0"/>
              <w:pageBreakBefore w:val="0"/>
              <w:widowControl/>
              <w:kinsoku/>
              <w:wordWrap/>
              <w:overflowPunct/>
              <w:topLinePunct w:val="0"/>
              <w:bidi w:val="0"/>
              <w:spacing w:line="276" w:lineRule="auto"/>
              <w:ind w:left="-72" w:leftChars="-30" w:right="-101" w:rightChars="-42"/>
              <w:jc w:val="left"/>
              <w:textAlignment w:val="auto"/>
              <w:rPr>
                <w:rFonts w:hint="eastAsia" w:ascii="宋体" w:hAnsi="宋体" w:eastAsia="宋体" w:cs="宋体"/>
                <w:b/>
                <w:bCs/>
                <w:kern w:val="2"/>
                <w:sz w:val="21"/>
                <w:szCs w:val="21"/>
                <w:lang w:eastAsia="zh-CN"/>
              </w:rPr>
            </w:pPr>
            <w:r>
              <w:rPr>
                <w:rFonts w:hint="eastAsia" w:ascii="宋体" w:hAnsi="宋体" w:eastAsia="宋体" w:cs="宋体"/>
                <w:b/>
                <w:bCs/>
                <w:kern w:val="2"/>
                <w:sz w:val="21"/>
                <w:szCs w:val="21"/>
                <w:lang w:eastAsia="zh-CN"/>
              </w:rPr>
              <w:t>（一）评分内容：</w:t>
            </w:r>
          </w:p>
          <w:p w14:paraId="350D16F5">
            <w:pPr>
              <w:keepNext w:val="0"/>
              <w:keepLines w:val="0"/>
              <w:pageBreakBefore w:val="0"/>
              <w:widowControl/>
              <w:kinsoku/>
              <w:wordWrap/>
              <w:overflowPunct/>
              <w:topLinePunct w:val="0"/>
              <w:bidi w:val="0"/>
              <w:spacing w:line="276" w:lineRule="auto"/>
              <w:ind w:left="-72" w:leftChars="-30" w:right="-101" w:rightChars="-42"/>
              <w:jc w:val="left"/>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依据采购需求，考察投标人针对本项目制定的实施方案，包含：</w:t>
            </w:r>
          </w:p>
          <w:p w14:paraId="0FE31E0F">
            <w:pPr>
              <w:keepNext w:val="0"/>
              <w:keepLines w:val="0"/>
              <w:pageBreakBefore w:val="0"/>
              <w:widowControl/>
              <w:suppressLineNumbers w:val="0"/>
              <w:kinsoku/>
              <w:overflowPunct/>
              <w:topLinePunct w:val="0"/>
              <w:bidi w:val="0"/>
              <w:spacing w:line="276" w:lineRule="auto"/>
              <w:jc w:val="left"/>
              <w:textAlignment w:val="auto"/>
              <w:rPr>
                <w:rFonts w:hint="eastAsia" w:ascii="宋体" w:hAnsi="宋体" w:eastAsia="宋体" w:cs="宋体"/>
                <w:color w:val="000000"/>
                <w:sz w:val="21"/>
                <w:szCs w:val="21"/>
                <w:lang w:eastAsia="zh-CN" w:bidi="ar"/>
              </w:rPr>
            </w:pPr>
            <w:r>
              <w:rPr>
                <w:rFonts w:hint="eastAsia" w:ascii="宋体" w:hAnsi="宋体" w:eastAsia="宋体" w:cs="宋体"/>
                <w:color w:val="000000"/>
                <w:sz w:val="21"/>
                <w:szCs w:val="21"/>
                <w:lang w:eastAsia="zh-CN" w:bidi="ar"/>
              </w:rPr>
              <w:t>1.项目实施总体思路，工作措施；</w:t>
            </w:r>
          </w:p>
          <w:p w14:paraId="0E9B2780">
            <w:pPr>
              <w:keepNext w:val="0"/>
              <w:keepLines w:val="0"/>
              <w:pageBreakBefore w:val="0"/>
              <w:widowControl/>
              <w:suppressLineNumbers w:val="0"/>
              <w:kinsoku/>
              <w:overflowPunct/>
              <w:topLinePunct w:val="0"/>
              <w:bidi w:val="0"/>
              <w:spacing w:line="276" w:lineRule="auto"/>
              <w:jc w:val="left"/>
              <w:textAlignment w:val="auto"/>
              <w:rPr>
                <w:rFonts w:hint="eastAsia" w:ascii="宋体" w:hAnsi="宋体" w:eastAsia="宋体" w:cs="宋体"/>
                <w:color w:val="000000"/>
                <w:sz w:val="21"/>
                <w:szCs w:val="21"/>
                <w:lang w:eastAsia="zh-CN" w:bidi="ar"/>
              </w:rPr>
            </w:pPr>
            <w:r>
              <w:rPr>
                <w:rFonts w:hint="eastAsia" w:ascii="宋体" w:hAnsi="宋体" w:eastAsia="宋体" w:cs="宋体"/>
                <w:color w:val="000000"/>
                <w:sz w:val="21"/>
                <w:szCs w:val="21"/>
                <w:lang w:eastAsia="zh-CN" w:bidi="ar"/>
              </w:rPr>
              <w:t>2.实施本项目的主要人员配置工作方法；</w:t>
            </w:r>
          </w:p>
          <w:p w14:paraId="7E48F27C">
            <w:pPr>
              <w:keepNext w:val="0"/>
              <w:keepLines w:val="0"/>
              <w:pageBreakBefore w:val="0"/>
              <w:widowControl w:val="0"/>
              <w:kinsoku/>
              <w:overflowPunct/>
              <w:topLinePunct w:val="0"/>
              <w:bidi w:val="0"/>
              <w:spacing w:line="276" w:lineRule="auto"/>
              <w:jc w:val="both"/>
              <w:textAlignment w:val="auto"/>
              <w:rPr>
                <w:rFonts w:hint="eastAsia" w:eastAsia="宋体"/>
                <w:kern w:val="2"/>
                <w:sz w:val="21"/>
                <w:szCs w:val="21"/>
                <w:lang w:eastAsia="zh-CN"/>
              </w:rPr>
            </w:pPr>
            <w:r>
              <w:rPr>
                <w:rFonts w:hint="eastAsia" w:ascii="宋体" w:hAnsi="宋体" w:eastAsia="宋体" w:cs="宋体"/>
                <w:color w:val="000000"/>
                <w:sz w:val="21"/>
                <w:szCs w:val="21"/>
                <w:lang w:eastAsia="zh-CN" w:bidi="ar"/>
              </w:rPr>
              <w:t>3.项目内容技术保障工作流程；</w:t>
            </w:r>
          </w:p>
          <w:p w14:paraId="74723212">
            <w:pPr>
              <w:keepNext w:val="0"/>
              <w:keepLines w:val="0"/>
              <w:pageBreakBefore w:val="0"/>
              <w:widowControl/>
              <w:suppressLineNumbers w:val="0"/>
              <w:kinsoku/>
              <w:overflowPunct/>
              <w:topLinePunct w:val="0"/>
              <w:bidi w:val="0"/>
              <w:spacing w:line="276" w:lineRule="auto"/>
              <w:jc w:val="left"/>
              <w:textAlignment w:val="auto"/>
              <w:rPr>
                <w:rFonts w:eastAsia="宋体"/>
                <w:kern w:val="2"/>
                <w:sz w:val="21"/>
                <w:lang w:eastAsia="zh-CN"/>
              </w:rPr>
            </w:pPr>
            <w:r>
              <w:rPr>
                <w:rFonts w:hint="eastAsia" w:ascii="宋体" w:hAnsi="宋体" w:eastAsia="宋体" w:cs="宋体"/>
                <w:color w:val="000000"/>
                <w:sz w:val="21"/>
                <w:szCs w:val="21"/>
                <w:lang w:eastAsia="zh-CN" w:bidi="ar"/>
              </w:rPr>
              <w:t>4.质量保证措施（包括但不限于项目质量保证计划、项目实施中质量保障和质量控制方案）。</w:t>
            </w:r>
          </w:p>
          <w:p w14:paraId="62E0895D">
            <w:pPr>
              <w:keepNext w:val="0"/>
              <w:keepLines w:val="0"/>
              <w:pageBreakBefore w:val="0"/>
              <w:widowControl/>
              <w:kinsoku/>
              <w:wordWrap/>
              <w:overflowPunct/>
              <w:topLinePunct w:val="0"/>
              <w:bidi w:val="0"/>
              <w:spacing w:line="276" w:lineRule="auto"/>
              <w:ind w:left="0" w:leftChars="0" w:right="-101" w:rightChars="-42"/>
              <w:jc w:val="left"/>
              <w:textAlignment w:val="auto"/>
              <w:rPr>
                <w:rFonts w:hint="eastAsia" w:ascii="宋体" w:hAnsi="宋体" w:eastAsia="宋体" w:cs="宋体"/>
                <w:b/>
                <w:bCs/>
                <w:kern w:val="2"/>
                <w:sz w:val="21"/>
                <w:szCs w:val="21"/>
                <w:lang w:eastAsia="zh-CN"/>
              </w:rPr>
            </w:pPr>
            <w:r>
              <w:rPr>
                <w:rFonts w:hint="eastAsia" w:ascii="宋体" w:hAnsi="宋体" w:eastAsia="宋体" w:cs="宋体"/>
                <w:b/>
                <w:bCs/>
                <w:kern w:val="2"/>
                <w:sz w:val="21"/>
                <w:szCs w:val="21"/>
                <w:lang w:eastAsia="zh-CN"/>
              </w:rPr>
              <w:t>（二）评分依据：</w:t>
            </w:r>
          </w:p>
          <w:p w14:paraId="2945933E">
            <w:pPr>
              <w:keepNext w:val="0"/>
              <w:keepLines w:val="0"/>
              <w:pageBreakBefore w:val="0"/>
              <w:widowControl/>
              <w:kinsoku/>
              <w:overflowPunct/>
              <w:topLinePunct w:val="0"/>
              <w:bidi w:val="0"/>
              <w:spacing w:line="276" w:lineRule="auto"/>
              <w:ind w:left="-72" w:leftChars="-30" w:right="-101" w:rightChars="-42"/>
              <w:jc w:val="left"/>
              <w:textAlignment w:val="auto"/>
              <w:rPr>
                <w:rFonts w:hint="eastAsia" w:ascii="宋体" w:hAnsi="宋体" w:eastAsia="宋体" w:cs="宋体"/>
                <w:kern w:val="2"/>
                <w:sz w:val="21"/>
                <w:szCs w:val="21"/>
                <w:lang w:eastAsia="zh-CN" w:bidi="ar"/>
              </w:rPr>
            </w:pPr>
            <w:r>
              <w:rPr>
                <w:rFonts w:hint="eastAsia" w:ascii="宋体" w:hAnsi="宋体" w:eastAsia="宋体" w:cs="宋体"/>
                <w:kern w:val="2"/>
                <w:sz w:val="21"/>
                <w:szCs w:val="21"/>
                <w:lang w:eastAsia="zh-CN" w:bidi="ar"/>
              </w:rPr>
              <w:t>1.投标人响应的实施方案每包含上述任意一项内容得18分，最高得70分。在此基础上评审委员会根据各投标人的具体响应内容按照量化的标准进一步评审：</w:t>
            </w:r>
          </w:p>
          <w:p w14:paraId="6A139038">
            <w:pPr>
              <w:keepNext w:val="0"/>
              <w:keepLines w:val="0"/>
              <w:pageBreakBefore w:val="0"/>
              <w:widowControl/>
              <w:kinsoku/>
              <w:overflowPunct/>
              <w:topLinePunct w:val="0"/>
              <w:bidi w:val="0"/>
              <w:spacing w:line="276" w:lineRule="auto"/>
              <w:ind w:left="-72" w:leftChars="-30" w:right="-101" w:rightChars="-42"/>
              <w:jc w:val="left"/>
              <w:textAlignment w:val="auto"/>
              <w:rPr>
                <w:rFonts w:hint="eastAsia" w:ascii="宋体" w:hAnsi="宋体" w:eastAsia="宋体" w:cs="宋体"/>
                <w:kern w:val="2"/>
                <w:sz w:val="21"/>
                <w:szCs w:val="21"/>
                <w:lang w:eastAsia="zh-CN" w:bidi="ar"/>
              </w:rPr>
            </w:pPr>
            <w:r>
              <w:rPr>
                <w:rFonts w:hint="eastAsia" w:ascii="宋体" w:hAnsi="宋体" w:eastAsia="宋体" w:cs="宋体"/>
                <w:kern w:val="2"/>
                <w:sz w:val="21"/>
                <w:szCs w:val="21"/>
                <w:lang w:eastAsia="zh-CN" w:bidi="ar"/>
              </w:rPr>
              <w:t>（1）方案合理、优于采购需求、条理清晰、可操作强的，评审为优，得30分；</w:t>
            </w:r>
          </w:p>
          <w:p w14:paraId="4A86DF4C">
            <w:pPr>
              <w:keepNext w:val="0"/>
              <w:keepLines w:val="0"/>
              <w:pageBreakBefore w:val="0"/>
              <w:widowControl/>
              <w:kinsoku/>
              <w:overflowPunct/>
              <w:topLinePunct w:val="0"/>
              <w:bidi w:val="0"/>
              <w:spacing w:line="276" w:lineRule="auto"/>
              <w:ind w:left="-72" w:leftChars="-30" w:right="-101" w:rightChars="-42"/>
              <w:jc w:val="left"/>
              <w:textAlignment w:val="auto"/>
              <w:rPr>
                <w:rFonts w:hint="eastAsia" w:ascii="宋体" w:hAnsi="宋体" w:eastAsia="宋体" w:cs="宋体"/>
                <w:kern w:val="2"/>
                <w:sz w:val="21"/>
                <w:szCs w:val="21"/>
                <w:lang w:eastAsia="zh-CN" w:bidi="ar"/>
              </w:rPr>
            </w:pPr>
            <w:r>
              <w:rPr>
                <w:rFonts w:hint="eastAsia" w:ascii="宋体" w:hAnsi="宋体" w:eastAsia="宋体" w:cs="宋体"/>
                <w:kern w:val="2"/>
                <w:sz w:val="21"/>
                <w:szCs w:val="21"/>
                <w:lang w:eastAsia="zh-CN" w:bidi="ar"/>
              </w:rPr>
              <w:t>（2）方案较合理、满足采购需求、条理较清晰、可操作较强的，评审为良，得15分；</w:t>
            </w:r>
          </w:p>
          <w:p w14:paraId="7FCDAA54">
            <w:pPr>
              <w:keepNext w:val="0"/>
              <w:keepLines w:val="0"/>
              <w:pageBreakBefore w:val="0"/>
              <w:widowControl/>
              <w:kinsoku/>
              <w:overflowPunct/>
              <w:topLinePunct w:val="0"/>
              <w:bidi w:val="0"/>
              <w:spacing w:line="276" w:lineRule="auto"/>
              <w:ind w:left="-72" w:leftChars="-30" w:right="-101" w:rightChars="-42"/>
              <w:jc w:val="left"/>
              <w:textAlignment w:val="auto"/>
              <w:rPr>
                <w:rFonts w:hint="eastAsia" w:ascii="宋体" w:hAnsi="宋体" w:eastAsia="宋体" w:cs="宋体"/>
                <w:kern w:val="2"/>
                <w:sz w:val="21"/>
                <w:szCs w:val="21"/>
                <w:lang w:eastAsia="zh-CN" w:bidi="ar"/>
              </w:rPr>
            </w:pPr>
            <w:r>
              <w:rPr>
                <w:rFonts w:hint="eastAsia" w:ascii="宋体" w:hAnsi="宋体" w:eastAsia="宋体" w:cs="宋体"/>
                <w:kern w:val="2"/>
                <w:sz w:val="21"/>
                <w:szCs w:val="21"/>
                <w:lang w:eastAsia="zh-CN" w:bidi="ar"/>
              </w:rPr>
              <w:t>（3）方案基本合理、基本满足采购需求、条理基本清晰、基本具备可操作性的，评审为中，得10分；</w:t>
            </w:r>
          </w:p>
          <w:p w14:paraId="65B5F66D">
            <w:pPr>
              <w:keepNext w:val="0"/>
              <w:keepLines w:val="0"/>
              <w:pageBreakBefore w:val="0"/>
              <w:widowControl/>
              <w:kinsoku/>
              <w:overflowPunct/>
              <w:topLinePunct w:val="0"/>
              <w:bidi w:val="0"/>
              <w:spacing w:line="276" w:lineRule="auto"/>
              <w:ind w:left="-72" w:leftChars="-30" w:right="-101" w:rightChars="-42"/>
              <w:jc w:val="left"/>
              <w:textAlignment w:val="auto"/>
              <w:rPr>
                <w:rFonts w:hint="eastAsia" w:ascii="宋体" w:hAnsi="宋体" w:eastAsia="宋体" w:cs="宋体"/>
                <w:kern w:val="2"/>
                <w:sz w:val="21"/>
                <w:szCs w:val="21"/>
                <w:lang w:eastAsia="zh-CN" w:bidi="ar"/>
              </w:rPr>
            </w:pPr>
            <w:r>
              <w:rPr>
                <w:rFonts w:hint="eastAsia" w:ascii="宋体" w:hAnsi="宋体" w:eastAsia="宋体" w:cs="宋体"/>
                <w:kern w:val="2"/>
                <w:sz w:val="21"/>
                <w:szCs w:val="21"/>
                <w:lang w:eastAsia="zh-CN" w:bidi="ar"/>
              </w:rPr>
              <w:t>（4）方案不合理、无法满足采购需求、条理不清晰、可操作性差的评为差，得0分。</w:t>
            </w:r>
          </w:p>
          <w:p w14:paraId="7E22375B">
            <w:pPr>
              <w:keepNext w:val="0"/>
              <w:keepLines w:val="0"/>
              <w:pageBreakBefore w:val="0"/>
              <w:widowControl/>
              <w:kinsoku/>
              <w:overflowPunct/>
              <w:topLinePunct w:val="0"/>
              <w:bidi w:val="0"/>
              <w:spacing w:line="276" w:lineRule="auto"/>
              <w:ind w:left="-72" w:leftChars="-30" w:right="-101" w:rightChars="-42"/>
              <w:jc w:val="left"/>
              <w:textAlignment w:val="auto"/>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合计满分最高得100分。注：未提供的本项不得分，评价为差的需要评委提供书面说明并记录在档。</w:t>
            </w:r>
          </w:p>
        </w:tc>
      </w:tr>
      <w:tr w14:paraId="593F6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676" w:type="dxa"/>
            <w:vMerge w:val="continue"/>
            <w:noWrap w:val="0"/>
            <w:vAlign w:val="center"/>
          </w:tcPr>
          <w:p w14:paraId="23D70698">
            <w:pPr>
              <w:keepNext w:val="0"/>
              <w:keepLines w:val="0"/>
              <w:pageBreakBefore w:val="0"/>
              <w:widowControl w:val="0"/>
              <w:kinsoku/>
              <w:overflowPunct/>
              <w:topLinePunct w:val="0"/>
              <w:bidi w:val="0"/>
              <w:spacing w:line="276" w:lineRule="auto"/>
              <w:jc w:val="both"/>
              <w:textAlignment w:val="auto"/>
              <w:rPr>
                <w:rFonts w:ascii="宋体" w:hAnsi="宋体" w:eastAsia="宋体" w:cs="宋体"/>
                <w:b/>
                <w:bCs/>
                <w:color w:val="0000FF"/>
                <w:kern w:val="2"/>
                <w:lang w:eastAsia="zh-CN"/>
              </w:rPr>
            </w:pPr>
          </w:p>
        </w:tc>
        <w:tc>
          <w:tcPr>
            <w:tcW w:w="675" w:type="dxa"/>
            <w:noWrap w:val="0"/>
            <w:vAlign w:val="center"/>
          </w:tcPr>
          <w:p w14:paraId="450B263B">
            <w:pPr>
              <w:keepNext w:val="0"/>
              <w:keepLines w:val="0"/>
              <w:pageBreakBefore w:val="0"/>
              <w:widowControl w:val="0"/>
              <w:kinsoku/>
              <w:wordWrap w:val="0"/>
              <w:overflowPunct/>
              <w:topLinePunct w:val="0"/>
              <w:bidi w:val="0"/>
              <w:spacing w:line="276" w:lineRule="auto"/>
              <w:jc w:val="center"/>
              <w:textAlignment w:val="auto"/>
              <w:rPr>
                <w:rFonts w:ascii="宋体" w:hAnsi="宋体" w:eastAsia="宋体" w:cs="宋体"/>
                <w:kern w:val="2"/>
                <w:sz w:val="21"/>
                <w:szCs w:val="21"/>
                <w:lang w:eastAsia="zh-CN"/>
              </w:rPr>
            </w:pPr>
            <w:r>
              <w:rPr>
                <w:rFonts w:ascii="宋体" w:hAnsi="宋体" w:eastAsia="宋体"/>
                <w:kern w:val="2"/>
                <w:sz w:val="21"/>
                <w:szCs w:val="21"/>
                <w:lang w:eastAsia="zh-CN"/>
              </w:rPr>
              <w:t>2</w:t>
            </w:r>
          </w:p>
        </w:tc>
        <w:tc>
          <w:tcPr>
            <w:tcW w:w="1628" w:type="dxa"/>
            <w:noWrap w:val="0"/>
            <w:vAlign w:val="center"/>
          </w:tcPr>
          <w:p w14:paraId="3BAAA007">
            <w:pPr>
              <w:keepNext w:val="0"/>
              <w:keepLines w:val="0"/>
              <w:pageBreakBefore w:val="0"/>
              <w:widowControl w:val="0"/>
              <w:kinsoku/>
              <w:wordWrap w:val="0"/>
              <w:overflowPunct/>
              <w:topLinePunct w:val="0"/>
              <w:bidi w:val="0"/>
              <w:spacing w:line="276" w:lineRule="auto"/>
              <w:jc w:val="center"/>
              <w:textAlignment w:val="auto"/>
              <w:rPr>
                <w:rFonts w:ascii="宋体" w:hAnsi="宋体" w:eastAsia="宋体" w:cs="宋体"/>
                <w:kern w:val="2"/>
                <w:sz w:val="21"/>
                <w:szCs w:val="21"/>
                <w:lang w:eastAsia="zh-CN"/>
              </w:rPr>
            </w:pPr>
            <w:r>
              <w:rPr>
                <w:rFonts w:hint="eastAsia" w:ascii="宋体" w:hAnsi="宋体" w:eastAsia="宋体"/>
                <w:kern w:val="2"/>
                <w:sz w:val="21"/>
                <w:szCs w:val="21"/>
                <w:lang w:eastAsia="zh-CN"/>
              </w:rPr>
              <w:t>项目重点难点分析、应对措施及相关的合理化建议</w:t>
            </w:r>
          </w:p>
        </w:tc>
        <w:tc>
          <w:tcPr>
            <w:tcW w:w="1012" w:type="dxa"/>
            <w:noWrap w:val="0"/>
            <w:vAlign w:val="center"/>
          </w:tcPr>
          <w:p w14:paraId="0561C842">
            <w:pPr>
              <w:keepNext w:val="0"/>
              <w:keepLines w:val="0"/>
              <w:pageBreakBefore w:val="0"/>
              <w:widowControl w:val="0"/>
              <w:kinsoku/>
              <w:wordWrap w:val="0"/>
              <w:overflowPunct/>
              <w:topLinePunct w:val="0"/>
              <w:bidi w:val="0"/>
              <w:spacing w:line="276" w:lineRule="auto"/>
              <w:jc w:val="center"/>
              <w:textAlignment w:val="auto"/>
              <w:rPr>
                <w:rFonts w:ascii="宋体" w:hAnsi="宋体" w:eastAsia="宋体" w:cs="宋体"/>
                <w:kern w:val="2"/>
                <w:sz w:val="21"/>
                <w:szCs w:val="21"/>
                <w:lang w:eastAsia="zh-CN"/>
              </w:rPr>
            </w:pPr>
            <w:r>
              <w:rPr>
                <w:rFonts w:hint="eastAsia" w:ascii="宋体" w:hAnsi="宋体" w:eastAsia="宋体"/>
                <w:kern w:val="2"/>
                <w:sz w:val="21"/>
                <w:szCs w:val="21"/>
                <w:lang w:eastAsia="zh-CN"/>
              </w:rPr>
              <w:t>10</w:t>
            </w:r>
          </w:p>
        </w:tc>
        <w:tc>
          <w:tcPr>
            <w:tcW w:w="5081" w:type="dxa"/>
            <w:noWrap w:val="0"/>
            <w:vAlign w:val="center"/>
          </w:tcPr>
          <w:p w14:paraId="3F0B4E7C">
            <w:pPr>
              <w:keepNext w:val="0"/>
              <w:keepLines w:val="0"/>
              <w:pageBreakBefore w:val="0"/>
              <w:widowControl/>
              <w:kinsoku/>
              <w:wordWrap/>
              <w:overflowPunct/>
              <w:topLinePunct w:val="0"/>
              <w:bidi w:val="0"/>
              <w:spacing w:line="276" w:lineRule="auto"/>
              <w:ind w:left="-72" w:leftChars="-30" w:right="-101" w:rightChars="-42"/>
              <w:jc w:val="left"/>
              <w:textAlignment w:val="auto"/>
              <w:rPr>
                <w:rFonts w:hint="eastAsia" w:ascii="宋体" w:hAnsi="宋体" w:eastAsia="宋体" w:cs="宋体"/>
                <w:b/>
                <w:bCs/>
                <w:kern w:val="2"/>
                <w:sz w:val="21"/>
                <w:szCs w:val="21"/>
                <w:lang w:eastAsia="zh-CN"/>
              </w:rPr>
            </w:pPr>
            <w:r>
              <w:rPr>
                <w:rFonts w:hint="eastAsia" w:ascii="宋体" w:hAnsi="宋体" w:eastAsia="宋体" w:cs="宋体"/>
                <w:b/>
                <w:bCs/>
                <w:kern w:val="2"/>
                <w:sz w:val="21"/>
                <w:szCs w:val="21"/>
                <w:lang w:eastAsia="zh-CN"/>
              </w:rPr>
              <w:t>（一）评分内容：</w:t>
            </w:r>
          </w:p>
          <w:p w14:paraId="29F039EB">
            <w:pPr>
              <w:keepNext w:val="0"/>
              <w:keepLines w:val="0"/>
              <w:pageBreakBefore w:val="0"/>
              <w:widowControl/>
              <w:kinsoku/>
              <w:wordWrap/>
              <w:overflowPunct/>
              <w:topLinePunct w:val="0"/>
              <w:bidi w:val="0"/>
              <w:spacing w:line="276" w:lineRule="auto"/>
              <w:ind w:left="-72" w:leftChars="-30" w:right="-101" w:rightChars="-42"/>
              <w:jc w:val="left"/>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依据采购需求，考察投标人针对本项目制定的项目重点难点分析、应对措施及相关的合理化建议，包含：</w:t>
            </w:r>
          </w:p>
          <w:p w14:paraId="4AE1B4BE">
            <w:pPr>
              <w:keepNext w:val="0"/>
              <w:keepLines w:val="0"/>
              <w:pageBreakBefore w:val="0"/>
              <w:widowControl/>
              <w:kinsoku/>
              <w:wordWrap/>
              <w:overflowPunct/>
              <w:topLinePunct w:val="0"/>
              <w:bidi w:val="0"/>
              <w:spacing w:line="276" w:lineRule="auto"/>
              <w:ind w:left="-72" w:leftChars="-30" w:right="-101" w:rightChars="-42"/>
              <w:jc w:val="left"/>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1.项目重点难点分析；</w:t>
            </w:r>
          </w:p>
          <w:p w14:paraId="09C93DD3">
            <w:pPr>
              <w:keepNext w:val="0"/>
              <w:keepLines w:val="0"/>
              <w:pageBreakBefore w:val="0"/>
              <w:widowControl/>
              <w:kinsoku/>
              <w:wordWrap/>
              <w:overflowPunct/>
              <w:topLinePunct w:val="0"/>
              <w:bidi w:val="0"/>
              <w:spacing w:line="276" w:lineRule="auto"/>
              <w:ind w:left="-72" w:leftChars="-30" w:right="-101" w:rightChars="-42"/>
              <w:jc w:val="left"/>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2.应对措施；</w:t>
            </w:r>
          </w:p>
          <w:p w14:paraId="63D7346B">
            <w:pPr>
              <w:keepNext w:val="0"/>
              <w:keepLines w:val="0"/>
              <w:pageBreakBefore w:val="0"/>
              <w:widowControl/>
              <w:kinsoku/>
              <w:wordWrap/>
              <w:overflowPunct/>
              <w:topLinePunct w:val="0"/>
              <w:bidi w:val="0"/>
              <w:spacing w:line="276" w:lineRule="auto"/>
              <w:ind w:left="-72" w:leftChars="-30" w:right="-101" w:rightChars="-42"/>
              <w:jc w:val="left"/>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3.相关的合理化建议。</w:t>
            </w:r>
          </w:p>
          <w:p w14:paraId="27C831D3">
            <w:pPr>
              <w:keepNext w:val="0"/>
              <w:keepLines w:val="0"/>
              <w:pageBreakBefore w:val="0"/>
              <w:widowControl/>
              <w:kinsoku/>
              <w:wordWrap/>
              <w:overflowPunct/>
              <w:topLinePunct w:val="0"/>
              <w:bidi w:val="0"/>
              <w:spacing w:line="276" w:lineRule="auto"/>
              <w:ind w:left="-72" w:leftChars="-30" w:right="-101" w:rightChars="-42"/>
              <w:jc w:val="left"/>
              <w:textAlignment w:val="auto"/>
              <w:rPr>
                <w:rFonts w:hint="eastAsia" w:ascii="宋体" w:hAnsi="宋体" w:eastAsia="宋体" w:cs="宋体"/>
                <w:b/>
                <w:bCs/>
                <w:kern w:val="2"/>
                <w:sz w:val="21"/>
                <w:szCs w:val="21"/>
                <w:lang w:eastAsia="zh-CN"/>
              </w:rPr>
            </w:pPr>
            <w:r>
              <w:rPr>
                <w:rFonts w:hint="eastAsia" w:ascii="宋体" w:hAnsi="宋体" w:eastAsia="宋体" w:cs="宋体"/>
                <w:b/>
                <w:bCs/>
                <w:kern w:val="2"/>
                <w:sz w:val="21"/>
                <w:szCs w:val="21"/>
                <w:lang w:eastAsia="zh-CN"/>
              </w:rPr>
              <w:t>（二）评分依据：</w:t>
            </w:r>
          </w:p>
          <w:p w14:paraId="0116301A">
            <w:pPr>
              <w:keepNext w:val="0"/>
              <w:keepLines w:val="0"/>
              <w:pageBreakBefore w:val="0"/>
              <w:widowControl/>
              <w:kinsoku/>
              <w:overflowPunct/>
              <w:topLinePunct w:val="0"/>
              <w:bidi w:val="0"/>
              <w:spacing w:line="276" w:lineRule="auto"/>
              <w:ind w:left="-72" w:leftChars="-30" w:right="-101" w:rightChars="-42"/>
              <w:jc w:val="left"/>
              <w:textAlignment w:val="auto"/>
              <w:rPr>
                <w:rFonts w:hint="eastAsia" w:ascii="宋体" w:hAnsi="宋体" w:eastAsia="宋体" w:cs="宋体"/>
                <w:kern w:val="2"/>
                <w:sz w:val="21"/>
                <w:szCs w:val="21"/>
                <w:lang w:eastAsia="zh-CN" w:bidi="ar"/>
              </w:rPr>
            </w:pPr>
            <w:r>
              <w:rPr>
                <w:rFonts w:hint="eastAsia" w:ascii="宋体" w:hAnsi="宋体" w:eastAsia="宋体" w:cs="宋体"/>
                <w:kern w:val="2"/>
                <w:sz w:val="21"/>
                <w:szCs w:val="21"/>
                <w:lang w:eastAsia="zh-CN" w:bidi="ar"/>
              </w:rPr>
              <w:t>1.投标人响应的分析方案每包含上述任意一项内容得20分，最高得60分。在此基础上评审委员会根据各投标人的具体响应内容按照量化的标准进一步评审：</w:t>
            </w:r>
          </w:p>
          <w:p w14:paraId="094B5ECC">
            <w:pPr>
              <w:keepNext w:val="0"/>
              <w:keepLines w:val="0"/>
              <w:pageBreakBefore w:val="0"/>
              <w:widowControl/>
              <w:kinsoku/>
              <w:overflowPunct/>
              <w:topLinePunct w:val="0"/>
              <w:bidi w:val="0"/>
              <w:spacing w:line="276" w:lineRule="auto"/>
              <w:ind w:left="-72" w:leftChars="-30" w:right="-101" w:rightChars="-42"/>
              <w:jc w:val="left"/>
              <w:textAlignment w:val="auto"/>
              <w:rPr>
                <w:rFonts w:hint="eastAsia" w:ascii="宋体" w:hAnsi="宋体" w:eastAsia="宋体" w:cs="宋体"/>
                <w:kern w:val="2"/>
                <w:sz w:val="21"/>
                <w:szCs w:val="21"/>
                <w:lang w:eastAsia="zh-CN" w:bidi="ar"/>
              </w:rPr>
            </w:pPr>
            <w:r>
              <w:rPr>
                <w:rFonts w:hint="eastAsia" w:ascii="宋体" w:hAnsi="宋体" w:eastAsia="宋体" w:cs="宋体"/>
                <w:kern w:val="2"/>
                <w:sz w:val="21"/>
                <w:szCs w:val="21"/>
                <w:lang w:eastAsia="zh-CN" w:bidi="ar"/>
              </w:rPr>
              <w:t>（1）方案合理、优于采购需求、条理清晰、可操作强的，得40分；</w:t>
            </w:r>
          </w:p>
          <w:p w14:paraId="041D1980">
            <w:pPr>
              <w:keepNext w:val="0"/>
              <w:keepLines w:val="0"/>
              <w:pageBreakBefore w:val="0"/>
              <w:widowControl/>
              <w:kinsoku/>
              <w:overflowPunct/>
              <w:topLinePunct w:val="0"/>
              <w:bidi w:val="0"/>
              <w:spacing w:line="276" w:lineRule="auto"/>
              <w:ind w:left="-72" w:leftChars="-30" w:right="-101" w:rightChars="-42"/>
              <w:jc w:val="left"/>
              <w:textAlignment w:val="auto"/>
              <w:rPr>
                <w:rFonts w:hint="eastAsia" w:ascii="宋体" w:hAnsi="宋体" w:eastAsia="宋体" w:cs="宋体"/>
                <w:kern w:val="2"/>
                <w:sz w:val="21"/>
                <w:szCs w:val="21"/>
                <w:lang w:eastAsia="zh-CN" w:bidi="ar"/>
              </w:rPr>
            </w:pPr>
            <w:r>
              <w:rPr>
                <w:rFonts w:hint="eastAsia" w:ascii="宋体" w:hAnsi="宋体" w:eastAsia="宋体" w:cs="宋体"/>
                <w:kern w:val="2"/>
                <w:sz w:val="21"/>
                <w:szCs w:val="21"/>
                <w:lang w:eastAsia="zh-CN" w:bidi="ar"/>
              </w:rPr>
              <w:t>（2）方案较合理、满足采购需求、条理较清晰、可操作较强的，得20分；</w:t>
            </w:r>
          </w:p>
          <w:p w14:paraId="063711A0">
            <w:pPr>
              <w:keepNext w:val="0"/>
              <w:keepLines w:val="0"/>
              <w:pageBreakBefore w:val="0"/>
              <w:widowControl/>
              <w:kinsoku/>
              <w:overflowPunct/>
              <w:topLinePunct w:val="0"/>
              <w:bidi w:val="0"/>
              <w:spacing w:line="276" w:lineRule="auto"/>
              <w:ind w:left="-72" w:leftChars="-30" w:right="-101" w:rightChars="-42"/>
              <w:jc w:val="left"/>
              <w:textAlignment w:val="auto"/>
              <w:rPr>
                <w:rFonts w:hint="eastAsia" w:ascii="宋体" w:hAnsi="宋体" w:eastAsia="宋体" w:cs="宋体"/>
                <w:kern w:val="2"/>
                <w:sz w:val="21"/>
                <w:szCs w:val="21"/>
                <w:lang w:eastAsia="zh-CN" w:bidi="ar"/>
              </w:rPr>
            </w:pPr>
            <w:r>
              <w:rPr>
                <w:rFonts w:hint="eastAsia" w:ascii="宋体" w:hAnsi="宋体" w:eastAsia="宋体" w:cs="宋体"/>
                <w:kern w:val="2"/>
                <w:sz w:val="21"/>
                <w:szCs w:val="21"/>
                <w:lang w:eastAsia="zh-CN" w:bidi="ar"/>
              </w:rPr>
              <w:t>（3）方案基本合理、基本满足采购需求、条理基本清晰、基本具备可操作性的，得10分；</w:t>
            </w:r>
          </w:p>
          <w:p w14:paraId="23C462DE">
            <w:pPr>
              <w:keepNext w:val="0"/>
              <w:keepLines w:val="0"/>
              <w:pageBreakBefore w:val="0"/>
              <w:widowControl/>
              <w:kinsoku/>
              <w:overflowPunct/>
              <w:topLinePunct w:val="0"/>
              <w:bidi w:val="0"/>
              <w:spacing w:line="276" w:lineRule="auto"/>
              <w:ind w:left="-72" w:leftChars="-30" w:right="-101" w:rightChars="-42"/>
              <w:jc w:val="left"/>
              <w:textAlignment w:val="auto"/>
              <w:rPr>
                <w:rFonts w:hint="eastAsia" w:ascii="宋体" w:hAnsi="宋体" w:eastAsia="宋体" w:cs="宋体"/>
                <w:kern w:val="2"/>
                <w:sz w:val="21"/>
                <w:szCs w:val="21"/>
                <w:lang w:eastAsia="zh-CN" w:bidi="ar"/>
              </w:rPr>
            </w:pPr>
            <w:r>
              <w:rPr>
                <w:rFonts w:hint="eastAsia" w:ascii="宋体" w:hAnsi="宋体" w:eastAsia="宋体" w:cs="宋体"/>
                <w:kern w:val="2"/>
                <w:sz w:val="21"/>
                <w:szCs w:val="21"/>
                <w:lang w:eastAsia="zh-CN" w:bidi="ar"/>
              </w:rPr>
              <w:t>（4）方案不合理、无法满足采购需求、条理不清晰、可操作性差的评为差，得0分。</w:t>
            </w:r>
          </w:p>
          <w:p w14:paraId="5C7600A7">
            <w:pPr>
              <w:keepNext w:val="0"/>
              <w:keepLines w:val="0"/>
              <w:pageBreakBefore w:val="0"/>
              <w:widowControl w:val="0"/>
              <w:kinsoku/>
              <w:wordWrap w:val="0"/>
              <w:overflowPunct/>
              <w:topLinePunct w:val="0"/>
              <w:bidi w:val="0"/>
              <w:spacing w:line="276" w:lineRule="auto"/>
              <w:jc w:val="both"/>
              <w:textAlignment w:val="auto"/>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合计满分最高得100分。注：未提供的本项不得分，评价为差的需要评委提供书面说明并记录在档。</w:t>
            </w:r>
          </w:p>
        </w:tc>
      </w:tr>
      <w:tr w14:paraId="3E04A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676" w:type="dxa"/>
            <w:vMerge w:val="continue"/>
            <w:noWrap w:val="0"/>
            <w:vAlign w:val="center"/>
          </w:tcPr>
          <w:p w14:paraId="66506CBB">
            <w:pPr>
              <w:keepNext w:val="0"/>
              <w:keepLines w:val="0"/>
              <w:pageBreakBefore w:val="0"/>
              <w:widowControl w:val="0"/>
              <w:kinsoku/>
              <w:overflowPunct/>
              <w:topLinePunct w:val="0"/>
              <w:bidi w:val="0"/>
              <w:spacing w:line="276" w:lineRule="auto"/>
              <w:jc w:val="both"/>
              <w:textAlignment w:val="auto"/>
              <w:rPr>
                <w:rFonts w:ascii="宋体" w:hAnsi="宋体" w:eastAsia="宋体" w:cs="宋体"/>
                <w:b/>
                <w:bCs/>
                <w:color w:val="0000FF"/>
                <w:kern w:val="2"/>
                <w:lang w:eastAsia="zh-CN"/>
              </w:rPr>
            </w:pPr>
          </w:p>
        </w:tc>
        <w:tc>
          <w:tcPr>
            <w:tcW w:w="675" w:type="dxa"/>
            <w:noWrap w:val="0"/>
            <w:vAlign w:val="center"/>
          </w:tcPr>
          <w:p w14:paraId="16196760">
            <w:pPr>
              <w:keepNext w:val="0"/>
              <w:keepLines w:val="0"/>
              <w:pageBreakBefore w:val="0"/>
              <w:widowControl w:val="0"/>
              <w:kinsoku/>
              <w:wordWrap w:val="0"/>
              <w:overflowPunct/>
              <w:topLinePunct w:val="0"/>
              <w:bidi w:val="0"/>
              <w:spacing w:line="276" w:lineRule="auto"/>
              <w:jc w:val="center"/>
              <w:textAlignment w:val="auto"/>
              <w:rPr>
                <w:rFonts w:ascii="宋体" w:hAnsi="宋体" w:eastAsia="宋体" w:cs="宋体"/>
                <w:kern w:val="2"/>
                <w:sz w:val="21"/>
                <w:szCs w:val="21"/>
                <w:lang w:eastAsia="zh-CN"/>
              </w:rPr>
            </w:pPr>
            <w:r>
              <w:rPr>
                <w:rFonts w:ascii="宋体" w:hAnsi="宋体" w:eastAsia="宋体"/>
                <w:kern w:val="2"/>
                <w:sz w:val="21"/>
                <w:szCs w:val="21"/>
                <w:lang w:eastAsia="zh-CN"/>
              </w:rPr>
              <w:t>3</w:t>
            </w:r>
          </w:p>
        </w:tc>
        <w:tc>
          <w:tcPr>
            <w:tcW w:w="1628" w:type="dxa"/>
            <w:noWrap w:val="0"/>
            <w:vAlign w:val="center"/>
          </w:tcPr>
          <w:p w14:paraId="53D10E5D">
            <w:pPr>
              <w:keepNext w:val="0"/>
              <w:keepLines w:val="0"/>
              <w:pageBreakBefore w:val="0"/>
              <w:widowControl w:val="0"/>
              <w:kinsoku/>
              <w:wordWrap w:val="0"/>
              <w:overflowPunct/>
              <w:topLinePunct w:val="0"/>
              <w:bidi w:val="0"/>
              <w:spacing w:line="276" w:lineRule="auto"/>
              <w:jc w:val="center"/>
              <w:textAlignment w:val="auto"/>
              <w:rPr>
                <w:rFonts w:ascii="宋体" w:hAnsi="宋体" w:eastAsia="宋体" w:cs="宋体"/>
                <w:kern w:val="2"/>
                <w:sz w:val="21"/>
                <w:szCs w:val="21"/>
                <w:lang w:eastAsia="zh-CN"/>
              </w:rPr>
            </w:pPr>
            <w:r>
              <w:rPr>
                <w:rFonts w:hint="eastAsia" w:ascii="宋体" w:hAnsi="宋体" w:eastAsia="宋体"/>
                <w:kern w:val="2"/>
                <w:sz w:val="21"/>
                <w:szCs w:val="21"/>
                <w:lang w:eastAsia="zh-CN"/>
              </w:rPr>
              <w:t>质量（完成时间、安全、环保）保障措施及方案</w:t>
            </w:r>
          </w:p>
        </w:tc>
        <w:tc>
          <w:tcPr>
            <w:tcW w:w="1012" w:type="dxa"/>
            <w:noWrap w:val="0"/>
            <w:vAlign w:val="center"/>
          </w:tcPr>
          <w:p w14:paraId="18954CC4">
            <w:pPr>
              <w:keepNext w:val="0"/>
              <w:keepLines w:val="0"/>
              <w:pageBreakBefore w:val="0"/>
              <w:widowControl w:val="0"/>
              <w:kinsoku/>
              <w:wordWrap w:val="0"/>
              <w:overflowPunct/>
              <w:topLinePunct w:val="0"/>
              <w:bidi w:val="0"/>
              <w:spacing w:line="276" w:lineRule="auto"/>
              <w:jc w:val="center"/>
              <w:textAlignment w:val="auto"/>
              <w:rPr>
                <w:rFonts w:ascii="宋体" w:hAnsi="宋体" w:eastAsia="宋体" w:cs="宋体"/>
                <w:kern w:val="2"/>
                <w:sz w:val="21"/>
                <w:szCs w:val="21"/>
                <w:lang w:eastAsia="zh-CN"/>
              </w:rPr>
            </w:pPr>
            <w:r>
              <w:rPr>
                <w:rFonts w:hint="eastAsia" w:ascii="宋体" w:hAnsi="宋体" w:eastAsia="宋体"/>
                <w:kern w:val="2"/>
                <w:sz w:val="21"/>
                <w:szCs w:val="21"/>
                <w:lang w:eastAsia="zh-CN"/>
              </w:rPr>
              <w:t>5</w:t>
            </w:r>
          </w:p>
        </w:tc>
        <w:tc>
          <w:tcPr>
            <w:tcW w:w="5081" w:type="dxa"/>
            <w:noWrap w:val="0"/>
            <w:vAlign w:val="center"/>
          </w:tcPr>
          <w:p w14:paraId="1A4F091A">
            <w:pPr>
              <w:keepNext w:val="0"/>
              <w:keepLines w:val="0"/>
              <w:pageBreakBefore w:val="0"/>
              <w:widowControl w:val="0"/>
              <w:kinsoku/>
              <w:wordWrap w:val="0"/>
              <w:overflowPunct/>
              <w:topLinePunct w:val="0"/>
              <w:bidi w:val="0"/>
              <w:spacing w:line="276" w:lineRule="auto"/>
              <w:jc w:val="both"/>
              <w:textAlignment w:val="auto"/>
              <w:rPr>
                <w:rFonts w:hint="eastAsia" w:ascii="宋体" w:hAnsi="宋体" w:eastAsia="宋体" w:cs="宋体"/>
                <w:b/>
                <w:bCs/>
                <w:kern w:val="2"/>
                <w:sz w:val="21"/>
                <w:szCs w:val="21"/>
                <w:lang w:eastAsia="zh-CN"/>
              </w:rPr>
            </w:pPr>
            <w:r>
              <w:rPr>
                <w:rFonts w:hint="eastAsia" w:ascii="宋体" w:hAnsi="宋体" w:eastAsia="宋体" w:cs="宋体"/>
                <w:b/>
                <w:bCs/>
                <w:kern w:val="2"/>
                <w:sz w:val="21"/>
                <w:szCs w:val="21"/>
                <w:lang w:eastAsia="zh-CN"/>
              </w:rPr>
              <w:t>（一）评分内容：</w:t>
            </w:r>
          </w:p>
          <w:p w14:paraId="770D62D1">
            <w:pPr>
              <w:keepNext w:val="0"/>
              <w:keepLines w:val="0"/>
              <w:pageBreakBefore w:val="0"/>
              <w:widowControl w:val="0"/>
              <w:kinsoku/>
              <w:wordWrap w:val="0"/>
              <w:overflowPunct/>
              <w:topLinePunct w:val="0"/>
              <w:bidi w:val="0"/>
              <w:spacing w:line="276" w:lineRule="auto"/>
              <w:jc w:val="both"/>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依据采购需求，考察投标人针对本项目提出的质量保障措施及方案：</w:t>
            </w:r>
          </w:p>
          <w:p w14:paraId="68BC7299">
            <w:pPr>
              <w:keepNext w:val="0"/>
              <w:keepLines w:val="0"/>
              <w:pageBreakBefore w:val="0"/>
              <w:widowControl w:val="0"/>
              <w:kinsoku/>
              <w:wordWrap w:val="0"/>
              <w:overflowPunct/>
              <w:topLinePunct w:val="0"/>
              <w:bidi w:val="0"/>
              <w:spacing w:line="276" w:lineRule="auto"/>
              <w:jc w:val="both"/>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1.项目质量管理制度措施；</w:t>
            </w:r>
          </w:p>
          <w:p w14:paraId="2B982B53">
            <w:pPr>
              <w:keepNext w:val="0"/>
              <w:keepLines w:val="0"/>
              <w:pageBreakBefore w:val="0"/>
              <w:widowControl w:val="0"/>
              <w:kinsoku/>
              <w:wordWrap w:val="0"/>
              <w:overflowPunct/>
              <w:topLinePunct w:val="0"/>
              <w:bidi w:val="0"/>
              <w:spacing w:line="276" w:lineRule="auto"/>
              <w:jc w:val="both"/>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2.项目资料、保证服务人员的稳定、保证服务的质量措施；</w:t>
            </w:r>
          </w:p>
          <w:p w14:paraId="42C177A8">
            <w:pPr>
              <w:keepNext w:val="0"/>
              <w:keepLines w:val="0"/>
              <w:pageBreakBefore w:val="0"/>
              <w:widowControl w:val="0"/>
              <w:kinsoku/>
              <w:wordWrap w:val="0"/>
              <w:overflowPunct/>
              <w:topLinePunct w:val="0"/>
              <w:bidi w:val="0"/>
              <w:spacing w:line="276" w:lineRule="auto"/>
              <w:jc w:val="both"/>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3.成果安全性保障制度措施。</w:t>
            </w:r>
          </w:p>
          <w:p w14:paraId="3CDAF013">
            <w:pPr>
              <w:keepNext w:val="0"/>
              <w:keepLines w:val="0"/>
              <w:pageBreakBefore w:val="0"/>
              <w:widowControl w:val="0"/>
              <w:kinsoku/>
              <w:wordWrap w:val="0"/>
              <w:overflowPunct/>
              <w:topLinePunct w:val="0"/>
              <w:bidi w:val="0"/>
              <w:spacing w:line="276" w:lineRule="auto"/>
              <w:jc w:val="both"/>
              <w:textAlignment w:val="auto"/>
              <w:rPr>
                <w:rFonts w:hint="eastAsia" w:ascii="宋体" w:hAnsi="宋体" w:eastAsia="宋体" w:cs="宋体"/>
                <w:b/>
                <w:bCs/>
                <w:kern w:val="2"/>
                <w:sz w:val="21"/>
                <w:szCs w:val="21"/>
                <w:lang w:eastAsia="zh-CN"/>
              </w:rPr>
            </w:pPr>
            <w:r>
              <w:rPr>
                <w:rFonts w:hint="eastAsia" w:ascii="宋体" w:hAnsi="宋体" w:eastAsia="宋体" w:cs="宋体"/>
                <w:b/>
                <w:bCs/>
                <w:kern w:val="2"/>
                <w:sz w:val="21"/>
                <w:szCs w:val="21"/>
                <w:lang w:eastAsia="zh-CN"/>
              </w:rPr>
              <w:t>（二）评分依据：</w:t>
            </w:r>
          </w:p>
          <w:p w14:paraId="71758EBE">
            <w:pPr>
              <w:keepNext w:val="0"/>
              <w:keepLines w:val="0"/>
              <w:pageBreakBefore w:val="0"/>
              <w:widowControl/>
              <w:kinsoku/>
              <w:overflowPunct/>
              <w:topLinePunct w:val="0"/>
              <w:bidi w:val="0"/>
              <w:spacing w:line="276" w:lineRule="auto"/>
              <w:ind w:left="-72" w:leftChars="-30" w:right="-101" w:rightChars="-42"/>
              <w:jc w:val="left"/>
              <w:textAlignment w:val="auto"/>
              <w:rPr>
                <w:rFonts w:hint="eastAsia" w:ascii="宋体" w:hAnsi="宋体" w:eastAsia="宋体" w:cs="宋体"/>
                <w:kern w:val="2"/>
                <w:sz w:val="21"/>
                <w:szCs w:val="21"/>
                <w:lang w:eastAsia="zh-CN" w:bidi="ar"/>
              </w:rPr>
            </w:pPr>
            <w:r>
              <w:rPr>
                <w:rFonts w:hint="eastAsia" w:ascii="宋体" w:hAnsi="宋体" w:eastAsia="宋体" w:cs="宋体"/>
                <w:kern w:val="2"/>
                <w:sz w:val="21"/>
                <w:szCs w:val="21"/>
                <w:lang w:eastAsia="zh-CN" w:bidi="ar"/>
              </w:rPr>
              <w:t>1.投标人响应的内容每包含上述任意一项内容得20分，最高得60分。</w:t>
            </w:r>
          </w:p>
          <w:p w14:paraId="3B7BC570">
            <w:pPr>
              <w:keepNext w:val="0"/>
              <w:keepLines w:val="0"/>
              <w:pageBreakBefore w:val="0"/>
              <w:widowControl/>
              <w:kinsoku/>
              <w:overflowPunct/>
              <w:topLinePunct w:val="0"/>
              <w:bidi w:val="0"/>
              <w:spacing w:line="276" w:lineRule="auto"/>
              <w:ind w:left="-72" w:leftChars="-30" w:right="-101" w:rightChars="-42"/>
              <w:jc w:val="left"/>
              <w:textAlignment w:val="auto"/>
              <w:rPr>
                <w:rFonts w:hint="eastAsia" w:ascii="宋体" w:hAnsi="宋体" w:eastAsia="宋体" w:cs="宋体"/>
                <w:kern w:val="2"/>
                <w:sz w:val="21"/>
                <w:szCs w:val="21"/>
                <w:lang w:eastAsia="zh-CN" w:bidi="ar"/>
              </w:rPr>
            </w:pPr>
            <w:r>
              <w:rPr>
                <w:rFonts w:hint="eastAsia" w:ascii="宋体" w:hAnsi="宋体" w:eastAsia="宋体" w:cs="宋体"/>
                <w:kern w:val="2"/>
                <w:sz w:val="21"/>
                <w:szCs w:val="21"/>
                <w:lang w:eastAsia="zh-CN" w:bidi="ar"/>
              </w:rPr>
              <w:t>2.在第1项的基础上，根据以下标准对投标人具体响应内容进行评价评分：</w:t>
            </w:r>
          </w:p>
          <w:p w14:paraId="3F1DFBBD">
            <w:pPr>
              <w:keepNext w:val="0"/>
              <w:keepLines w:val="0"/>
              <w:pageBreakBefore w:val="0"/>
              <w:widowControl/>
              <w:kinsoku/>
              <w:overflowPunct/>
              <w:topLinePunct w:val="0"/>
              <w:bidi w:val="0"/>
              <w:spacing w:line="276" w:lineRule="auto"/>
              <w:ind w:left="-72" w:leftChars="-30" w:right="-101" w:rightChars="-42"/>
              <w:jc w:val="left"/>
              <w:textAlignment w:val="auto"/>
              <w:rPr>
                <w:rFonts w:hint="eastAsia" w:ascii="宋体" w:hAnsi="宋体" w:eastAsia="宋体" w:cs="宋体"/>
                <w:kern w:val="2"/>
                <w:sz w:val="21"/>
                <w:szCs w:val="21"/>
                <w:lang w:eastAsia="zh-CN" w:bidi="ar"/>
              </w:rPr>
            </w:pPr>
            <w:r>
              <w:rPr>
                <w:rFonts w:hint="eastAsia" w:ascii="宋体" w:hAnsi="宋体" w:eastAsia="宋体" w:cs="宋体"/>
                <w:kern w:val="2"/>
                <w:sz w:val="21"/>
                <w:szCs w:val="21"/>
                <w:lang w:eastAsia="zh-CN" w:bidi="ar"/>
              </w:rPr>
              <w:t>（1）方案合理、优于采购需求、条理清晰、可操作强的，得40分；</w:t>
            </w:r>
          </w:p>
          <w:p w14:paraId="33424B3B">
            <w:pPr>
              <w:keepNext w:val="0"/>
              <w:keepLines w:val="0"/>
              <w:pageBreakBefore w:val="0"/>
              <w:widowControl/>
              <w:kinsoku/>
              <w:overflowPunct/>
              <w:topLinePunct w:val="0"/>
              <w:bidi w:val="0"/>
              <w:spacing w:line="276" w:lineRule="auto"/>
              <w:ind w:left="-72" w:leftChars="-30" w:right="-101" w:rightChars="-42"/>
              <w:jc w:val="left"/>
              <w:textAlignment w:val="auto"/>
              <w:rPr>
                <w:rFonts w:hint="eastAsia" w:ascii="宋体" w:hAnsi="宋体" w:eastAsia="宋体" w:cs="宋体"/>
                <w:kern w:val="2"/>
                <w:sz w:val="21"/>
                <w:szCs w:val="21"/>
                <w:lang w:eastAsia="zh-CN" w:bidi="ar"/>
              </w:rPr>
            </w:pPr>
            <w:r>
              <w:rPr>
                <w:rFonts w:hint="eastAsia" w:ascii="宋体" w:hAnsi="宋体" w:eastAsia="宋体" w:cs="宋体"/>
                <w:kern w:val="2"/>
                <w:sz w:val="21"/>
                <w:szCs w:val="21"/>
                <w:lang w:eastAsia="zh-CN" w:bidi="ar"/>
              </w:rPr>
              <w:t>（2）方案较合理、满足采购需求、条理较清晰、可操作较强的，得20分；</w:t>
            </w:r>
          </w:p>
          <w:p w14:paraId="6203CD66">
            <w:pPr>
              <w:keepNext w:val="0"/>
              <w:keepLines w:val="0"/>
              <w:pageBreakBefore w:val="0"/>
              <w:widowControl/>
              <w:kinsoku/>
              <w:overflowPunct/>
              <w:topLinePunct w:val="0"/>
              <w:bidi w:val="0"/>
              <w:spacing w:line="276" w:lineRule="auto"/>
              <w:ind w:left="-72" w:leftChars="-30" w:right="-101" w:rightChars="-42"/>
              <w:jc w:val="left"/>
              <w:textAlignment w:val="auto"/>
              <w:rPr>
                <w:rFonts w:hint="eastAsia" w:ascii="宋体" w:hAnsi="宋体" w:eastAsia="宋体" w:cs="宋体"/>
                <w:kern w:val="2"/>
                <w:sz w:val="21"/>
                <w:szCs w:val="21"/>
                <w:lang w:eastAsia="zh-CN" w:bidi="ar"/>
              </w:rPr>
            </w:pPr>
            <w:r>
              <w:rPr>
                <w:rFonts w:hint="eastAsia" w:ascii="宋体" w:hAnsi="宋体" w:eastAsia="宋体" w:cs="宋体"/>
                <w:kern w:val="2"/>
                <w:sz w:val="21"/>
                <w:szCs w:val="21"/>
                <w:lang w:eastAsia="zh-CN" w:bidi="ar"/>
              </w:rPr>
              <w:t>（3）方案基本合理、基本满足采购需求、条理基本清晰、基本具备可操作性的，得10分；</w:t>
            </w:r>
          </w:p>
          <w:p w14:paraId="121CC2E5">
            <w:pPr>
              <w:keepNext w:val="0"/>
              <w:keepLines w:val="0"/>
              <w:pageBreakBefore w:val="0"/>
              <w:widowControl/>
              <w:kinsoku/>
              <w:overflowPunct/>
              <w:topLinePunct w:val="0"/>
              <w:bidi w:val="0"/>
              <w:spacing w:line="276" w:lineRule="auto"/>
              <w:ind w:left="-72" w:leftChars="-30" w:right="-101" w:rightChars="-42"/>
              <w:jc w:val="left"/>
              <w:textAlignment w:val="auto"/>
              <w:rPr>
                <w:rFonts w:hint="eastAsia" w:ascii="宋体" w:hAnsi="宋体" w:eastAsia="宋体" w:cs="宋体"/>
                <w:kern w:val="2"/>
                <w:sz w:val="21"/>
                <w:szCs w:val="21"/>
                <w:lang w:eastAsia="zh-CN" w:bidi="ar"/>
              </w:rPr>
            </w:pPr>
            <w:r>
              <w:rPr>
                <w:rFonts w:hint="eastAsia" w:ascii="宋体" w:hAnsi="宋体" w:eastAsia="宋体" w:cs="宋体"/>
                <w:kern w:val="2"/>
                <w:sz w:val="21"/>
                <w:szCs w:val="21"/>
                <w:lang w:eastAsia="zh-CN" w:bidi="ar"/>
              </w:rPr>
              <w:t>（4）方案不合理、无法满足采购需求、条理不清晰、可操作性差的评为差，得0分。</w:t>
            </w:r>
          </w:p>
          <w:p w14:paraId="19881500">
            <w:pPr>
              <w:keepNext w:val="0"/>
              <w:keepLines w:val="0"/>
              <w:pageBreakBefore w:val="0"/>
              <w:widowControl w:val="0"/>
              <w:kinsoku/>
              <w:wordWrap w:val="0"/>
              <w:overflowPunct/>
              <w:topLinePunct w:val="0"/>
              <w:bidi w:val="0"/>
              <w:spacing w:line="276" w:lineRule="auto"/>
              <w:jc w:val="both"/>
              <w:textAlignment w:val="auto"/>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合计满分最高得100分。注：未提供的本项不得分，评价为差的需要评委提供书面说明并记录在档。</w:t>
            </w:r>
          </w:p>
        </w:tc>
      </w:tr>
      <w:tr w14:paraId="0C225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676" w:type="dxa"/>
            <w:vMerge w:val="continue"/>
            <w:noWrap w:val="0"/>
            <w:vAlign w:val="center"/>
          </w:tcPr>
          <w:p w14:paraId="2204B2C1">
            <w:pPr>
              <w:keepNext w:val="0"/>
              <w:keepLines w:val="0"/>
              <w:pageBreakBefore w:val="0"/>
              <w:widowControl w:val="0"/>
              <w:kinsoku/>
              <w:overflowPunct/>
              <w:topLinePunct w:val="0"/>
              <w:bidi w:val="0"/>
              <w:spacing w:line="276" w:lineRule="auto"/>
              <w:jc w:val="both"/>
              <w:textAlignment w:val="auto"/>
              <w:rPr>
                <w:rFonts w:ascii="宋体" w:hAnsi="宋体" w:eastAsia="宋体" w:cs="宋体"/>
                <w:b/>
                <w:bCs/>
                <w:color w:val="0000FF"/>
                <w:kern w:val="2"/>
                <w:lang w:eastAsia="zh-CN"/>
              </w:rPr>
            </w:pPr>
          </w:p>
        </w:tc>
        <w:tc>
          <w:tcPr>
            <w:tcW w:w="675" w:type="dxa"/>
            <w:noWrap w:val="0"/>
            <w:vAlign w:val="center"/>
          </w:tcPr>
          <w:p w14:paraId="77F40872">
            <w:pPr>
              <w:keepNext w:val="0"/>
              <w:keepLines w:val="0"/>
              <w:pageBreakBefore w:val="0"/>
              <w:widowControl w:val="0"/>
              <w:kinsoku/>
              <w:wordWrap w:val="0"/>
              <w:overflowPunct/>
              <w:topLinePunct w:val="0"/>
              <w:bidi w:val="0"/>
              <w:spacing w:line="276" w:lineRule="auto"/>
              <w:jc w:val="center"/>
              <w:textAlignment w:val="auto"/>
              <w:rPr>
                <w:rFonts w:hint="eastAsia" w:ascii="宋体" w:hAnsi="宋体" w:eastAsia="宋体" w:cs="宋体"/>
                <w:kern w:val="2"/>
                <w:sz w:val="21"/>
                <w:szCs w:val="21"/>
                <w:lang w:eastAsia="zh-CN"/>
              </w:rPr>
            </w:pPr>
            <w:r>
              <w:rPr>
                <w:rFonts w:hint="eastAsia" w:ascii="宋体" w:hAnsi="宋体" w:eastAsia="宋体"/>
                <w:kern w:val="2"/>
                <w:sz w:val="21"/>
                <w:szCs w:val="21"/>
                <w:lang w:eastAsia="zh-CN"/>
              </w:rPr>
              <w:t>4</w:t>
            </w:r>
          </w:p>
        </w:tc>
        <w:tc>
          <w:tcPr>
            <w:tcW w:w="1628" w:type="dxa"/>
            <w:noWrap w:val="0"/>
            <w:vAlign w:val="center"/>
          </w:tcPr>
          <w:p w14:paraId="232771E8">
            <w:pPr>
              <w:keepNext w:val="0"/>
              <w:keepLines w:val="0"/>
              <w:pageBreakBefore w:val="0"/>
              <w:widowControl w:val="0"/>
              <w:kinsoku/>
              <w:wordWrap w:val="0"/>
              <w:overflowPunct/>
              <w:topLinePunct w:val="0"/>
              <w:bidi w:val="0"/>
              <w:spacing w:line="276" w:lineRule="auto"/>
              <w:jc w:val="center"/>
              <w:textAlignment w:val="auto"/>
              <w:rPr>
                <w:rFonts w:ascii="宋体" w:hAnsi="宋体" w:eastAsia="宋体" w:cs="宋体"/>
                <w:kern w:val="2"/>
                <w:sz w:val="21"/>
                <w:szCs w:val="21"/>
                <w:lang w:eastAsia="zh-CN"/>
              </w:rPr>
            </w:pPr>
            <w:r>
              <w:rPr>
                <w:rFonts w:hint="eastAsia" w:ascii="宋体" w:hAnsi="宋体" w:eastAsia="宋体"/>
                <w:kern w:val="2"/>
                <w:sz w:val="21"/>
                <w:szCs w:val="21"/>
                <w:lang w:eastAsia="zh-CN"/>
              </w:rPr>
              <w:t>违约承诺</w:t>
            </w:r>
          </w:p>
        </w:tc>
        <w:tc>
          <w:tcPr>
            <w:tcW w:w="1012" w:type="dxa"/>
            <w:noWrap w:val="0"/>
            <w:vAlign w:val="center"/>
          </w:tcPr>
          <w:p w14:paraId="59F40414">
            <w:pPr>
              <w:keepNext w:val="0"/>
              <w:keepLines w:val="0"/>
              <w:pageBreakBefore w:val="0"/>
              <w:widowControl w:val="0"/>
              <w:kinsoku/>
              <w:wordWrap w:val="0"/>
              <w:overflowPunct/>
              <w:topLinePunct w:val="0"/>
              <w:bidi w:val="0"/>
              <w:spacing w:line="276" w:lineRule="auto"/>
              <w:jc w:val="center"/>
              <w:textAlignment w:val="auto"/>
              <w:rPr>
                <w:rFonts w:hint="eastAsia" w:ascii="宋体" w:hAnsi="宋体" w:eastAsia="宋体" w:cs="宋体"/>
                <w:kern w:val="2"/>
                <w:sz w:val="21"/>
                <w:szCs w:val="21"/>
                <w:lang w:eastAsia="zh-CN"/>
              </w:rPr>
            </w:pPr>
            <w:r>
              <w:rPr>
                <w:rFonts w:hint="eastAsia" w:ascii="宋体" w:hAnsi="宋体" w:eastAsia="宋体"/>
                <w:kern w:val="2"/>
                <w:sz w:val="21"/>
                <w:szCs w:val="21"/>
                <w:lang w:eastAsia="zh-CN"/>
              </w:rPr>
              <w:t>2</w:t>
            </w:r>
          </w:p>
        </w:tc>
        <w:tc>
          <w:tcPr>
            <w:tcW w:w="5081" w:type="dxa"/>
            <w:noWrap w:val="0"/>
            <w:vAlign w:val="top"/>
          </w:tcPr>
          <w:p w14:paraId="2DAE53C9">
            <w:pPr>
              <w:keepNext w:val="0"/>
              <w:keepLines w:val="0"/>
              <w:pageBreakBefore w:val="0"/>
              <w:widowControl/>
              <w:kinsoku/>
              <w:overflowPunct/>
              <w:topLinePunct w:val="0"/>
              <w:bidi w:val="0"/>
              <w:spacing w:line="276" w:lineRule="auto"/>
              <w:ind w:left="-72" w:leftChars="-30" w:right="-101" w:rightChars="-42"/>
              <w:jc w:val="left"/>
              <w:textAlignment w:val="auto"/>
              <w:rPr>
                <w:rFonts w:hint="eastAsia" w:ascii="宋体" w:hAnsi="宋体" w:eastAsia="宋体" w:cs="宋体"/>
                <w:kern w:val="2"/>
                <w:sz w:val="21"/>
                <w:szCs w:val="21"/>
                <w:lang w:eastAsia="zh-CN" w:bidi="ar"/>
              </w:rPr>
            </w:pPr>
            <w:r>
              <w:rPr>
                <w:rFonts w:hint="eastAsia" w:ascii="宋体" w:hAnsi="宋体" w:eastAsia="宋体" w:cs="宋体"/>
                <w:kern w:val="2"/>
                <w:sz w:val="21"/>
                <w:szCs w:val="21"/>
                <w:lang w:eastAsia="zh-CN" w:bidi="ar"/>
              </w:rPr>
              <w:t>（一）评分内容：</w:t>
            </w:r>
          </w:p>
          <w:p w14:paraId="58663685">
            <w:pPr>
              <w:keepNext w:val="0"/>
              <w:keepLines w:val="0"/>
              <w:pageBreakBefore w:val="0"/>
              <w:widowControl/>
              <w:kinsoku/>
              <w:overflowPunct/>
              <w:topLinePunct w:val="0"/>
              <w:bidi w:val="0"/>
              <w:spacing w:line="276" w:lineRule="auto"/>
              <w:ind w:left="-72" w:leftChars="-30" w:right="-101" w:rightChars="-42"/>
              <w:jc w:val="left"/>
              <w:textAlignment w:val="auto"/>
              <w:rPr>
                <w:rFonts w:hint="eastAsia" w:ascii="宋体" w:hAnsi="宋体" w:eastAsia="宋体" w:cs="宋体"/>
                <w:kern w:val="2"/>
                <w:sz w:val="21"/>
                <w:szCs w:val="21"/>
                <w:lang w:eastAsia="zh-CN" w:bidi="ar"/>
              </w:rPr>
            </w:pPr>
            <w:r>
              <w:rPr>
                <w:rFonts w:hint="eastAsia" w:ascii="宋体" w:hAnsi="宋体" w:eastAsia="宋体" w:cs="宋体"/>
                <w:kern w:val="2"/>
                <w:sz w:val="21"/>
                <w:szCs w:val="21"/>
                <w:lang w:eastAsia="zh-CN" w:bidi="ar"/>
              </w:rPr>
              <w:t>投标人承诺以下全部二项内容的得100分，否则不得分。</w:t>
            </w:r>
          </w:p>
          <w:p w14:paraId="2397D696">
            <w:pPr>
              <w:keepNext w:val="0"/>
              <w:keepLines w:val="0"/>
              <w:pageBreakBefore w:val="0"/>
              <w:widowControl/>
              <w:kinsoku/>
              <w:overflowPunct/>
              <w:topLinePunct w:val="0"/>
              <w:bidi w:val="0"/>
              <w:spacing w:line="276" w:lineRule="auto"/>
              <w:ind w:left="-72" w:leftChars="-30" w:right="-101" w:rightChars="-42"/>
              <w:jc w:val="left"/>
              <w:textAlignment w:val="auto"/>
              <w:rPr>
                <w:rFonts w:hint="eastAsia" w:ascii="宋体" w:hAnsi="宋体" w:eastAsia="宋体" w:cs="宋体"/>
                <w:kern w:val="2"/>
                <w:sz w:val="21"/>
                <w:szCs w:val="21"/>
                <w:lang w:eastAsia="zh-CN" w:bidi="ar"/>
              </w:rPr>
            </w:pPr>
            <w:r>
              <w:rPr>
                <w:rFonts w:hint="eastAsia" w:ascii="宋体" w:hAnsi="宋体" w:eastAsia="宋体" w:cs="宋体"/>
                <w:kern w:val="2"/>
                <w:sz w:val="21"/>
                <w:szCs w:val="21"/>
                <w:lang w:eastAsia="zh-CN" w:bidi="ar"/>
              </w:rPr>
              <w:t>1.服务质量达到招标文件要求；</w:t>
            </w:r>
          </w:p>
          <w:p w14:paraId="5A190A76">
            <w:pPr>
              <w:keepNext w:val="0"/>
              <w:keepLines w:val="0"/>
              <w:pageBreakBefore w:val="0"/>
              <w:widowControl/>
              <w:kinsoku/>
              <w:overflowPunct/>
              <w:topLinePunct w:val="0"/>
              <w:bidi w:val="0"/>
              <w:spacing w:line="276" w:lineRule="auto"/>
              <w:ind w:left="-72" w:leftChars="-30" w:right="-101" w:rightChars="-42"/>
              <w:jc w:val="left"/>
              <w:textAlignment w:val="auto"/>
              <w:rPr>
                <w:rFonts w:hint="eastAsia" w:ascii="宋体" w:hAnsi="宋体" w:eastAsia="宋体" w:cs="宋体"/>
                <w:kern w:val="2"/>
                <w:sz w:val="21"/>
                <w:szCs w:val="21"/>
                <w:lang w:eastAsia="zh-CN" w:bidi="ar"/>
              </w:rPr>
            </w:pPr>
            <w:r>
              <w:rPr>
                <w:rFonts w:hint="eastAsia" w:ascii="宋体" w:hAnsi="宋体" w:eastAsia="宋体" w:cs="宋体"/>
                <w:kern w:val="2"/>
                <w:sz w:val="21"/>
                <w:szCs w:val="21"/>
                <w:lang w:eastAsia="zh-CN" w:bidi="ar"/>
              </w:rPr>
              <w:t>2.对未能达到的管理要求承担管理责任。</w:t>
            </w:r>
          </w:p>
          <w:p w14:paraId="4284B9A6">
            <w:pPr>
              <w:keepNext w:val="0"/>
              <w:keepLines w:val="0"/>
              <w:pageBreakBefore w:val="0"/>
              <w:widowControl/>
              <w:kinsoku/>
              <w:overflowPunct/>
              <w:topLinePunct w:val="0"/>
              <w:bidi w:val="0"/>
              <w:spacing w:line="276" w:lineRule="auto"/>
              <w:ind w:left="-72" w:leftChars="-30" w:right="-101" w:rightChars="-42"/>
              <w:jc w:val="left"/>
              <w:textAlignment w:val="auto"/>
              <w:rPr>
                <w:rFonts w:hint="eastAsia" w:ascii="宋体" w:hAnsi="宋体" w:eastAsia="宋体" w:cs="宋体"/>
                <w:kern w:val="2"/>
                <w:sz w:val="21"/>
                <w:szCs w:val="21"/>
                <w:lang w:eastAsia="zh-CN" w:bidi="ar"/>
              </w:rPr>
            </w:pPr>
            <w:r>
              <w:rPr>
                <w:rFonts w:hint="eastAsia" w:ascii="宋体" w:hAnsi="宋体" w:eastAsia="宋体" w:cs="宋体"/>
                <w:kern w:val="2"/>
                <w:sz w:val="21"/>
                <w:szCs w:val="21"/>
                <w:lang w:eastAsia="zh-CN" w:bidi="ar"/>
              </w:rPr>
              <w:t>（二）评分依据：</w:t>
            </w:r>
          </w:p>
          <w:p w14:paraId="4076C5DB">
            <w:pPr>
              <w:keepNext w:val="0"/>
              <w:keepLines w:val="0"/>
              <w:pageBreakBefore w:val="0"/>
              <w:widowControl w:val="0"/>
              <w:kinsoku/>
              <w:overflowPunct/>
              <w:topLinePunct w:val="0"/>
              <w:bidi w:val="0"/>
              <w:spacing w:line="276" w:lineRule="auto"/>
              <w:jc w:val="left"/>
              <w:textAlignment w:val="auto"/>
              <w:rPr>
                <w:rFonts w:hAnsi="宋体" w:eastAsia="宋体" w:cs="宋体"/>
                <w:kern w:val="2"/>
                <w:sz w:val="21"/>
                <w:szCs w:val="21"/>
                <w:lang w:eastAsia="zh-CN"/>
              </w:rPr>
            </w:pPr>
            <w:r>
              <w:rPr>
                <w:rFonts w:hint="eastAsia" w:ascii="宋体" w:hAnsi="宋体" w:eastAsia="宋体" w:cs="宋体"/>
                <w:kern w:val="2"/>
                <w:sz w:val="21"/>
                <w:szCs w:val="21"/>
                <w:lang w:eastAsia="zh-CN" w:bidi="ar"/>
              </w:rPr>
              <w:t>要求投标人提供承诺函（格式自定）作为得分依据，未提供承诺或承诺内容不满足要求不得分。</w:t>
            </w:r>
          </w:p>
        </w:tc>
      </w:tr>
      <w:tr w14:paraId="18363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676" w:type="dxa"/>
            <w:vMerge w:val="continue"/>
            <w:noWrap w:val="0"/>
            <w:vAlign w:val="center"/>
          </w:tcPr>
          <w:p w14:paraId="45CF3560">
            <w:pPr>
              <w:keepNext w:val="0"/>
              <w:keepLines w:val="0"/>
              <w:pageBreakBefore w:val="0"/>
              <w:widowControl w:val="0"/>
              <w:kinsoku/>
              <w:overflowPunct/>
              <w:topLinePunct w:val="0"/>
              <w:bidi w:val="0"/>
              <w:spacing w:line="276" w:lineRule="auto"/>
              <w:jc w:val="both"/>
              <w:textAlignment w:val="auto"/>
              <w:rPr>
                <w:rFonts w:ascii="宋体" w:hAnsi="宋体" w:eastAsia="宋体" w:cs="宋体"/>
                <w:b/>
                <w:bCs/>
                <w:color w:val="0000FF"/>
                <w:kern w:val="2"/>
                <w:lang w:eastAsia="zh-CN"/>
              </w:rPr>
            </w:pPr>
          </w:p>
        </w:tc>
        <w:tc>
          <w:tcPr>
            <w:tcW w:w="675" w:type="dxa"/>
            <w:noWrap w:val="0"/>
            <w:vAlign w:val="center"/>
          </w:tcPr>
          <w:p w14:paraId="1154BE6A">
            <w:pPr>
              <w:keepNext w:val="0"/>
              <w:keepLines w:val="0"/>
              <w:pageBreakBefore w:val="0"/>
              <w:widowControl w:val="0"/>
              <w:kinsoku/>
              <w:wordWrap w:val="0"/>
              <w:overflowPunct/>
              <w:topLinePunct w:val="0"/>
              <w:bidi w:val="0"/>
              <w:spacing w:line="276" w:lineRule="auto"/>
              <w:jc w:val="center"/>
              <w:textAlignment w:val="auto"/>
              <w:rPr>
                <w:rFonts w:hint="eastAsia" w:ascii="宋体" w:hAnsi="宋体" w:eastAsia="宋体" w:cs="宋体"/>
                <w:kern w:val="2"/>
                <w:sz w:val="21"/>
                <w:szCs w:val="21"/>
                <w:lang w:eastAsia="zh-CN"/>
              </w:rPr>
            </w:pPr>
            <w:r>
              <w:rPr>
                <w:rFonts w:hint="eastAsia" w:ascii="宋体" w:hAnsi="宋体" w:eastAsia="宋体"/>
                <w:kern w:val="2"/>
                <w:sz w:val="21"/>
                <w:szCs w:val="21"/>
                <w:lang w:eastAsia="zh-CN"/>
              </w:rPr>
              <w:t>5</w:t>
            </w:r>
          </w:p>
        </w:tc>
        <w:tc>
          <w:tcPr>
            <w:tcW w:w="1628" w:type="dxa"/>
            <w:noWrap w:val="0"/>
            <w:vAlign w:val="center"/>
          </w:tcPr>
          <w:p w14:paraId="03A2B100">
            <w:pPr>
              <w:keepNext w:val="0"/>
              <w:keepLines w:val="0"/>
              <w:pageBreakBefore w:val="0"/>
              <w:widowControl w:val="0"/>
              <w:kinsoku/>
              <w:wordWrap w:val="0"/>
              <w:overflowPunct/>
              <w:topLinePunct w:val="0"/>
              <w:bidi w:val="0"/>
              <w:spacing w:line="276" w:lineRule="auto"/>
              <w:jc w:val="center"/>
              <w:textAlignment w:val="auto"/>
              <w:rPr>
                <w:rFonts w:ascii="宋体" w:hAnsi="宋体" w:eastAsia="宋体" w:cs="宋体"/>
                <w:kern w:val="2"/>
                <w:sz w:val="21"/>
                <w:szCs w:val="21"/>
                <w:lang w:eastAsia="zh-CN"/>
              </w:rPr>
            </w:pPr>
            <w:r>
              <w:rPr>
                <w:rFonts w:hint="eastAsia" w:ascii="宋体" w:hAnsi="宋体" w:eastAsia="宋体"/>
                <w:kern w:val="2"/>
                <w:sz w:val="21"/>
                <w:szCs w:val="21"/>
                <w:lang w:eastAsia="zh-CN"/>
              </w:rPr>
              <w:t>拟安排的项目负责人情况（仅限一人）</w:t>
            </w:r>
          </w:p>
        </w:tc>
        <w:tc>
          <w:tcPr>
            <w:tcW w:w="1012" w:type="dxa"/>
            <w:noWrap w:val="0"/>
            <w:vAlign w:val="center"/>
          </w:tcPr>
          <w:p w14:paraId="44CE8A63">
            <w:pPr>
              <w:keepNext w:val="0"/>
              <w:keepLines w:val="0"/>
              <w:pageBreakBefore w:val="0"/>
              <w:widowControl w:val="0"/>
              <w:kinsoku/>
              <w:wordWrap w:val="0"/>
              <w:overflowPunct/>
              <w:topLinePunct w:val="0"/>
              <w:bidi w:val="0"/>
              <w:spacing w:line="276" w:lineRule="auto"/>
              <w:jc w:val="center"/>
              <w:textAlignment w:val="auto"/>
              <w:rPr>
                <w:rFonts w:ascii="宋体" w:hAnsi="宋体" w:eastAsia="宋体" w:cs="宋体"/>
                <w:kern w:val="2"/>
                <w:sz w:val="21"/>
                <w:szCs w:val="21"/>
                <w:lang w:eastAsia="zh-CN"/>
              </w:rPr>
            </w:pPr>
            <w:r>
              <w:rPr>
                <w:rFonts w:hint="eastAsia" w:ascii="宋体" w:hAnsi="宋体" w:eastAsia="宋体" w:cs="宋体"/>
                <w:kern w:val="2"/>
                <w:sz w:val="21"/>
                <w:szCs w:val="21"/>
                <w:lang w:eastAsia="zh-CN"/>
              </w:rPr>
              <w:t>10</w:t>
            </w:r>
          </w:p>
        </w:tc>
        <w:tc>
          <w:tcPr>
            <w:tcW w:w="5081" w:type="dxa"/>
            <w:noWrap w:val="0"/>
            <w:vAlign w:val="top"/>
          </w:tcPr>
          <w:p w14:paraId="39B5C007">
            <w:pPr>
              <w:keepNext w:val="0"/>
              <w:keepLines w:val="0"/>
              <w:pageBreakBefore w:val="0"/>
              <w:widowControl w:val="0"/>
              <w:kinsoku/>
              <w:overflowPunct/>
              <w:topLinePunct w:val="0"/>
              <w:bidi w:val="0"/>
              <w:adjustRightInd/>
              <w:spacing w:line="276" w:lineRule="auto"/>
              <w:jc w:val="both"/>
              <w:textAlignment w:val="auto"/>
              <w:rPr>
                <w:rFonts w:hint="eastAsia" w:ascii="宋体" w:hAnsi="宋体" w:eastAsia="宋体" w:cs="宋体"/>
                <w:bCs/>
                <w:kern w:val="2"/>
                <w:sz w:val="21"/>
                <w:szCs w:val="21"/>
                <w:lang w:val="zh-CN" w:eastAsia="zh-CN"/>
              </w:rPr>
            </w:pPr>
            <w:r>
              <w:rPr>
                <w:rFonts w:hint="eastAsia" w:ascii="宋体" w:hAnsi="宋体" w:eastAsia="宋体" w:cs="宋体"/>
                <w:bCs/>
                <w:kern w:val="2"/>
                <w:sz w:val="21"/>
                <w:szCs w:val="21"/>
                <w:lang w:val="zh-CN" w:eastAsia="zh-CN"/>
              </w:rPr>
              <w:t>（一）评分内容：</w:t>
            </w:r>
          </w:p>
          <w:p w14:paraId="3B24F7FF">
            <w:pPr>
              <w:keepNext w:val="0"/>
              <w:keepLines w:val="0"/>
              <w:pageBreakBefore w:val="0"/>
              <w:widowControl w:val="0"/>
              <w:kinsoku/>
              <w:overflowPunct/>
              <w:topLinePunct w:val="0"/>
              <w:bidi w:val="0"/>
              <w:adjustRightInd/>
              <w:spacing w:line="276" w:lineRule="auto"/>
              <w:jc w:val="both"/>
              <w:textAlignment w:val="auto"/>
              <w:rPr>
                <w:rFonts w:ascii="宋体" w:hAnsi="宋体" w:eastAsia="宋体" w:cs="宋体"/>
                <w:bCs/>
                <w:kern w:val="2"/>
                <w:sz w:val="21"/>
                <w:szCs w:val="21"/>
                <w:lang w:eastAsia="zh-CN"/>
              </w:rPr>
            </w:pPr>
            <w:r>
              <w:rPr>
                <w:rFonts w:hint="eastAsia" w:ascii="宋体" w:hAnsi="宋体" w:eastAsia="宋体" w:cs="宋体"/>
                <w:bCs/>
                <w:kern w:val="2"/>
                <w:sz w:val="21"/>
                <w:szCs w:val="21"/>
                <w:lang w:val="zh-CN" w:eastAsia="zh-CN"/>
              </w:rPr>
              <w:t>拟安排项目负责人</w:t>
            </w:r>
            <w:r>
              <w:rPr>
                <w:rFonts w:hint="eastAsia" w:ascii="宋体" w:hAnsi="宋体" w:eastAsia="宋体" w:cs="宋体"/>
                <w:bCs/>
                <w:kern w:val="2"/>
                <w:sz w:val="21"/>
                <w:szCs w:val="21"/>
                <w:lang w:eastAsia="zh-CN"/>
              </w:rPr>
              <w:t>需</w:t>
            </w:r>
            <w:r>
              <w:rPr>
                <w:rFonts w:hint="eastAsia" w:ascii="宋体" w:hAnsi="宋体" w:eastAsia="宋体" w:cs="宋体"/>
                <w:bCs/>
                <w:kern w:val="2"/>
                <w:sz w:val="21"/>
                <w:szCs w:val="21"/>
                <w:lang w:val="zh-CN" w:eastAsia="zh-CN"/>
              </w:rPr>
              <w:t>为投标人自有员工，同时具备商用密码应用安全性评估人员测评能力考核证书或商用密码应用安全性评估从业人员考核成绩证书或网络安全等级测评师证书，否则本项不得分。</w:t>
            </w:r>
            <w:r>
              <w:rPr>
                <w:rFonts w:hint="eastAsia" w:ascii="宋体" w:hAnsi="宋体" w:eastAsia="宋体" w:cs="宋体"/>
                <w:bCs/>
                <w:kern w:val="2"/>
                <w:sz w:val="21"/>
                <w:szCs w:val="21"/>
                <w:lang w:eastAsia="zh-CN"/>
              </w:rPr>
              <w:t>在此基础上：</w:t>
            </w:r>
          </w:p>
          <w:p w14:paraId="17AE7BFA">
            <w:pPr>
              <w:keepNext w:val="0"/>
              <w:keepLines w:val="0"/>
              <w:pageBreakBefore w:val="0"/>
              <w:widowControl w:val="0"/>
              <w:kinsoku/>
              <w:overflowPunct/>
              <w:topLinePunct w:val="0"/>
              <w:bidi w:val="0"/>
              <w:adjustRightInd/>
              <w:spacing w:line="276" w:lineRule="auto"/>
              <w:jc w:val="both"/>
              <w:textAlignment w:val="auto"/>
              <w:rPr>
                <w:rFonts w:hint="eastAsia" w:ascii="宋体" w:hAnsi="宋体" w:eastAsia="宋体" w:cs="宋体"/>
                <w:bCs/>
                <w:kern w:val="2"/>
                <w:sz w:val="21"/>
                <w:szCs w:val="21"/>
                <w:lang w:val="zh-CN" w:eastAsia="zh-CN"/>
              </w:rPr>
            </w:pPr>
            <w:r>
              <w:rPr>
                <w:rFonts w:hint="eastAsia" w:ascii="宋体" w:hAnsi="宋体" w:eastAsia="宋体" w:cs="宋体"/>
                <w:bCs/>
                <w:kern w:val="2"/>
                <w:sz w:val="21"/>
                <w:szCs w:val="21"/>
                <w:lang w:val="zh-CN" w:eastAsia="zh-CN"/>
              </w:rPr>
              <w:t>1.具有</w:t>
            </w:r>
            <w:r>
              <w:rPr>
                <w:rFonts w:hint="eastAsia" w:ascii="宋体" w:hAnsi="宋体" w:eastAsia="宋体" w:cs="宋体"/>
                <w:kern w:val="2"/>
                <w:sz w:val="21"/>
                <w:szCs w:val="21"/>
                <w:lang w:eastAsia="zh-CN"/>
              </w:rPr>
              <w:t>研究生学历及硕士学位（工学专业）证书</w:t>
            </w:r>
            <w:r>
              <w:rPr>
                <w:rFonts w:hint="eastAsia" w:ascii="宋体" w:hAnsi="宋体" w:eastAsia="宋体" w:cs="宋体"/>
                <w:bCs/>
                <w:kern w:val="2"/>
                <w:sz w:val="21"/>
                <w:szCs w:val="21"/>
                <w:lang w:eastAsia="zh-CN"/>
              </w:rPr>
              <w:t>得10分，</w:t>
            </w:r>
            <w:r>
              <w:rPr>
                <w:rFonts w:hint="eastAsia" w:ascii="宋体" w:hAnsi="宋体" w:eastAsia="宋体" w:cs="宋体"/>
                <w:bCs/>
                <w:kern w:val="2"/>
                <w:sz w:val="21"/>
                <w:szCs w:val="21"/>
                <w:lang w:val="zh-CN" w:eastAsia="zh-CN"/>
              </w:rPr>
              <w:t>具有</w:t>
            </w:r>
            <w:r>
              <w:rPr>
                <w:rFonts w:hint="eastAsia" w:ascii="宋体" w:hAnsi="宋体" w:eastAsia="宋体" w:cs="宋体"/>
                <w:kern w:val="2"/>
                <w:sz w:val="21"/>
                <w:szCs w:val="21"/>
                <w:lang w:eastAsia="zh-CN"/>
              </w:rPr>
              <w:t>研究生学历及博士学位（工学专业）证书</w:t>
            </w:r>
            <w:r>
              <w:rPr>
                <w:rFonts w:hint="eastAsia" w:ascii="宋体" w:hAnsi="宋体" w:eastAsia="宋体" w:cs="宋体"/>
                <w:bCs/>
                <w:kern w:val="2"/>
                <w:sz w:val="21"/>
                <w:szCs w:val="21"/>
                <w:lang w:eastAsia="zh-CN"/>
              </w:rPr>
              <w:t>得20分</w:t>
            </w:r>
            <w:r>
              <w:rPr>
                <w:rFonts w:hint="eastAsia" w:ascii="宋体" w:hAnsi="宋体" w:eastAsia="宋体" w:cs="宋体"/>
                <w:bCs/>
                <w:kern w:val="2"/>
                <w:sz w:val="21"/>
                <w:szCs w:val="21"/>
                <w:lang w:val="zh-CN" w:eastAsia="zh-CN"/>
              </w:rPr>
              <w:t>；（</w:t>
            </w:r>
            <w:r>
              <w:rPr>
                <w:rFonts w:hint="eastAsia" w:ascii="宋体" w:hAnsi="宋体" w:eastAsia="宋体" w:cs="宋体"/>
                <w:bCs/>
                <w:kern w:val="2"/>
                <w:sz w:val="21"/>
                <w:szCs w:val="21"/>
                <w:lang w:eastAsia="zh-CN"/>
              </w:rPr>
              <w:t>本项按最高分计分1次，最高得20分</w:t>
            </w:r>
            <w:r>
              <w:rPr>
                <w:rFonts w:hint="eastAsia" w:ascii="宋体" w:hAnsi="宋体" w:eastAsia="宋体" w:cs="宋体"/>
                <w:bCs/>
                <w:kern w:val="2"/>
                <w:sz w:val="21"/>
                <w:szCs w:val="21"/>
                <w:lang w:val="zh-CN" w:eastAsia="zh-CN"/>
              </w:rPr>
              <w:t>）</w:t>
            </w:r>
          </w:p>
          <w:p w14:paraId="70B874FB">
            <w:pPr>
              <w:keepNext w:val="0"/>
              <w:keepLines w:val="0"/>
              <w:pageBreakBefore w:val="0"/>
              <w:widowControl w:val="0"/>
              <w:kinsoku/>
              <w:overflowPunct/>
              <w:topLinePunct w:val="0"/>
              <w:bidi w:val="0"/>
              <w:adjustRightInd/>
              <w:spacing w:line="276" w:lineRule="auto"/>
              <w:jc w:val="both"/>
              <w:textAlignment w:val="auto"/>
              <w:rPr>
                <w:rFonts w:hint="eastAsia" w:ascii="宋体" w:hAnsi="宋体" w:eastAsia="宋体" w:cs="宋体"/>
                <w:bCs/>
                <w:kern w:val="2"/>
                <w:sz w:val="21"/>
                <w:szCs w:val="21"/>
                <w:lang w:val="zh-CN" w:eastAsia="zh-CN"/>
              </w:rPr>
            </w:pPr>
            <w:r>
              <w:rPr>
                <w:rFonts w:hint="eastAsia" w:ascii="宋体" w:hAnsi="宋体" w:eastAsia="宋体" w:cs="宋体"/>
                <w:bCs/>
                <w:kern w:val="2"/>
                <w:sz w:val="21"/>
                <w:szCs w:val="21"/>
                <w:lang w:val="zh-CN" w:eastAsia="zh-CN"/>
              </w:rPr>
              <w:t>2.具有信息系统项目管理师（高级）证书</w:t>
            </w:r>
            <w:r>
              <w:rPr>
                <w:rFonts w:hint="eastAsia" w:ascii="宋体" w:hAnsi="宋体" w:eastAsia="宋体" w:cs="宋体"/>
                <w:bCs/>
                <w:kern w:val="2"/>
                <w:sz w:val="21"/>
                <w:szCs w:val="21"/>
                <w:lang w:eastAsia="zh-CN"/>
              </w:rPr>
              <w:t>得30分</w:t>
            </w:r>
            <w:r>
              <w:rPr>
                <w:rFonts w:hint="eastAsia" w:ascii="宋体" w:hAnsi="宋体" w:eastAsia="宋体" w:cs="宋体"/>
                <w:bCs/>
                <w:kern w:val="2"/>
                <w:sz w:val="21"/>
                <w:szCs w:val="21"/>
                <w:lang w:val="zh-CN" w:eastAsia="zh-CN"/>
              </w:rPr>
              <w:t>；</w:t>
            </w:r>
          </w:p>
          <w:p w14:paraId="7C441F15">
            <w:pPr>
              <w:keepNext w:val="0"/>
              <w:keepLines w:val="0"/>
              <w:pageBreakBefore w:val="0"/>
              <w:widowControl w:val="0"/>
              <w:kinsoku/>
              <w:overflowPunct/>
              <w:topLinePunct w:val="0"/>
              <w:bidi w:val="0"/>
              <w:adjustRightInd/>
              <w:spacing w:line="276" w:lineRule="auto"/>
              <w:jc w:val="both"/>
              <w:textAlignment w:val="auto"/>
              <w:rPr>
                <w:rFonts w:hint="eastAsia" w:ascii="宋体" w:hAnsi="宋体" w:eastAsia="宋体" w:cs="宋体"/>
                <w:bCs/>
                <w:kern w:val="2"/>
                <w:sz w:val="21"/>
                <w:szCs w:val="21"/>
                <w:lang w:val="zh-CN" w:eastAsia="zh-CN"/>
              </w:rPr>
            </w:pPr>
            <w:r>
              <w:rPr>
                <w:rFonts w:hint="eastAsia" w:ascii="宋体" w:hAnsi="宋体" w:eastAsia="宋体" w:cs="宋体"/>
                <w:bCs/>
                <w:kern w:val="2"/>
                <w:sz w:val="21"/>
                <w:szCs w:val="21"/>
                <w:lang w:val="zh-CN" w:eastAsia="zh-CN"/>
              </w:rPr>
              <w:t>3.具有信息安全保障人员认证证书（即CISAW证书）</w:t>
            </w:r>
            <w:r>
              <w:rPr>
                <w:rFonts w:hint="eastAsia" w:ascii="宋体" w:hAnsi="宋体" w:eastAsia="宋体" w:cs="宋体"/>
                <w:bCs/>
                <w:kern w:val="2"/>
                <w:sz w:val="21"/>
                <w:szCs w:val="21"/>
                <w:lang w:eastAsia="zh-CN"/>
              </w:rPr>
              <w:t>得20分</w:t>
            </w:r>
            <w:r>
              <w:rPr>
                <w:rFonts w:hint="eastAsia" w:ascii="宋体" w:hAnsi="宋体" w:eastAsia="宋体" w:cs="宋体"/>
                <w:bCs/>
                <w:kern w:val="2"/>
                <w:sz w:val="21"/>
                <w:szCs w:val="21"/>
                <w:lang w:val="zh-CN" w:eastAsia="zh-CN"/>
              </w:rPr>
              <w:t>；</w:t>
            </w:r>
          </w:p>
          <w:p w14:paraId="62B8E248">
            <w:pPr>
              <w:keepNext w:val="0"/>
              <w:keepLines w:val="0"/>
              <w:pageBreakBefore w:val="0"/>
              <w:widowControl w:val="0"/>
              <w:kinsoku/>
              <w:overflowPunct/>
              <w:topLinePunct w:val="0"/>
              <w:bidi w:val="0"/>
              <w:adjustRightInd/>
              <w:spacing w:line="276" w:lineRule="auto"/>
              <w:jc w:val="both"/>
              <w:textAlignment w:val="auto"/>
              <w:rPr>
                <w:rFonts w:hint="eastAsia" w:ascii="宋体" w:hAnsi="宋体" w:eastAsia="宋体" w:cs="宋体"/>
                <w:bCs/>
                <w:kern w:val="2"/>
                <w:sz w:val="21"/>
                <w:szCs w:val="21"/>
                <w:lang w:val="zh-CN" w:eastAsia="zh-CN"/>
              </w:rPr>
            </w:pPr>
            <w:r>
              <w:rPr>
                <w:rFonts w:hint="eastAsia" w:ascii="宋体" w:hAnsi="宋体" w:eastAsia="宋体" w:cs="宋体"/>
                <w:bCs/>
                <w:kern w:val="2"/>
                <w:sz w:val="21"/>
                <w:szCs w:val="21"/>
                <w:lang w:val="zh-CN" w:eastAsia="zh-CN"/>
              </w:rPr>
              <w:t>4.</w:t>
            </w:r>
            <w:r>
              <w:rPr>
                <w:rFonts w:hint="eastAsia" w:eastAsia="宋体"/>
                <w:kern w:val="2"/>
                <w:sz w:val="21"/>
                <w:lang w:eastAsia="zh-CN"/>
              </w:rPr>
              <w:t>具有人社部门（或其他具备职称评定资格的单位或机构）颁发的</w:t>
            </w:r>
            <w:r>
              <w:rPr>
                <w:rFonts w:hint="eastAsia" w:ascii="宋体" w:hAnsi="宋体" w:eastAsia="宋体" w:cs="宋体"/>
                <w:bCs/>
                <w:kern w:val="2"/>
                <w:sz w:val="21"/>
                <w:szCs w:val="21"/>
                <w:lang w:val="zh-CN" w:eastAsia="zh-CN"/>
              </w:rPr>
              <w:t>正高级职称（专业方向：电子技术类或电子信息类或计算机类或网络空间安全系统评测类）</w:t>
            </w:r>
            <w:r>
              <w:rPr>
                <w:rFonts w:hint="eastAsia" w:ascii="宋体" w:hAnsi="宋体" w:eastAsia="宋体" w:cs="宋体"/>
                <w:bCs/>
                <w:kern w:val="2"/>
                <w:sz w:val="21"/>
                <w:szCs w:val="21"/>
                <w:lang w:eastAsia="zh-CN"/>
              </w:rPr>
              <w:t>得30分</w:t>
            </w:r>
            <w:r>
              <w:rPr>
                <w:rFonts w:hint="eastAsia" w:ascii="宋体" w:hAnsi="宋体" w:eastAsia="宋体" w:cs="宋体"/>
                <w:bCs/>
                <w:kern w:val="2"/>
                <w:sz w:val="21"/>
                <w:szCs w:val="21"/>
                <w:lang w:val="zh-CN" w:eastAsia="zh-CN"/>
              </w:rPr>
              <w:t>。</w:t>
            </w:r>
          </w:p>
          <w:p w14:paraId="0099783A">
            <w:pPr>
              <w:keepNext w:val="0"/>
              <w:keepLines w:val="0"/>
              <w:pageBreakBefore w:val="0"/>
              <w:widowControl/>
              <w:kinsoku/>
              <w:overflowPunct/>
              <w:topLinePunct w:val="0"/>
              <w:bidi w:val="0"/>
              <w:adjustRightInd/>
              <w:spacing w:line="276" w:lineRule="auto"/>
              <w:ind w:left="-72" w:leftChars="-30" w:right="-101" w:rightChars="-42"/>
              <w:jc w:val="left"/>
              <w:textAlignment w:val="auto"/>
              <w:rPr>
                <w:rFonts w:hint="eastAsia" w:ascii="宋体" w:hAnsi="宋体" w:eastAsia="宋体" w:cs="宋体"/>
                <w:bCs/>
                <w:kern w:val="2"/>
                <w:sz w:val="21"/>
                <w:szCs w:val="21"/>
                <w:lang w:val="zh-CN" w:eastAsia="zh-CN"/>
              </w:rPr>
            </w:pPr>
            <w:r>
              <w:rPr>
                <w:rFonts w:hint="eastAsia" w:ascii="宋体" w:hAnsi="宋体" w:eastAsia="宋体" w:cs="宋体"/>
                <w:kern w:val="2"/>
                <w:sz w:val="21"/>
                <w:szCs w:val="21"/>
                <w:lang w:eastAsia="zh-CN" w:bidi="ar"/>
              </w:rPr>
              <w:t>以上合计最高得100分。</w:t>
            </w:r>
            <w:r>
              <w:rPr>
                <w:rFonts w:hint="eastAsia" w:ascii="宋体" w:hAnsi="宋体" w:eastAsia="宋体" w:cs="宋体"/>
                <w:bCs/>
                <w:kern w:val="2"/>
                <w:sz w:val="21"/>
                <w:szCs w:val="21"/>
                <w:lang w:val="zh-CN" w:eastAsia="zh-CN"/>
              </w:rPr>
              <w:br w:type="textWrapping"/>
            </w:r>
            <w:r>
              <w:rPr>
                <w:rFonts w:hint="eastAsia" w:ascii="宋体" w:hAnsi="宋体" w:eastAsia="宋体" w:cs="宋体"/>
                <w:bCs/>
                <w:kern w:val="2"/>
                <w:sz w:val="21"/>
                <w:szCs w:val="21"/>
                <w:lang w:val="zh-CN" w:eastAsia="zh-CN"/>
              </w:rPr>
              <w:t>（二）评分依据：</w:t>
            </w:r>
          </w:p>
          <w:p w14:paraId="2B82F2EB">
            <w:pPr>
              <w:keepNext w:val="0"/>
              <w:keepLines w:val="0"/>
              <w:pageBreakBefore w:val="0"/>
              <w:widowControl w:val="0"/>
              <w:kinsoku/>
              <w:overflowPunct/>
              <w:topLinePunct w:val="0"/>
              <w:autoSpaceDE w:val="0"/>
              <w:autoSpaceDN w:val="0"/>
              <w:bidi w:val="0"/>
              <w:adjustRightInd/>
              <w:spacing w:line="276" w:lineRule="auto"/>
              <w:jc w:val="left"/>
              <w:textAlignment w:val="auto"/>
              <w:rPr>
                <w:rFonts w:hint="eastAsia" w:ascii="宋体" w:hAnsi="宋体" w:eastAsia="宋体" w:cs="宋体"/>
                <w:bCs/>
                <w:kern w:val="2"/>
                <w:sz w:val="21"/>
                <w:szCs w:val="21"/>
                <w:lang w:val="zh-CN" w:eastAsia="zh-CN"/>
              </w:rPr>
            </w:pPr>
            <w:r>
              <w:rPr>
                <w:rFonts w:hint="eastAsia" w:ascii="宋体" w:hAnsi="宋体" w:eastAsia="宋体" w:cs="宋体"/>
                <w:bCs/>
                <w:kern w:val="2"/>
                <w:sz w:val="21"/>
                <w:szCs w:val="21"/>
                <w:lang w:val="zh-CN" w:eastAsia="zh-CN"/>
              </w:rPr>
              <w:t>（1）要求提供通过投标人缴纳的近三个月(含开标当月)的任意一个月的社保证明作为本单位员工的证明依据，如供应商成立不足一个月的，提供情况说明函(格式自拟)，无需提供相关人员社保，亦可得分。</w:t>
            </w:r>
          </w:p>
          <w:p w14:paraId="3523E471">
            <w:pPr>
              <w:keepNext w:val="0"/>
              <w:keepLines w:val="0"/>
              <w:pageBreakBefore w:val="0"/>
              <w:widowControl w:val="0"/>
              <w:kinsoku/>
              <w:overflowPunct/>
              <w:topLinePunct w:val="0"/>
              <w:bidi w:val="0"/>
              <w:adjustRightInd/>
              <w:spacing w:line="276" w:lineRule="auto"/>
              <w:jc w:val="both"/>
              <w:textAlignment w:val="auto"/>
              <w:rPr>
                <w:rFonts w:hint="eastAsia" w:ascii="宋体" w:hAnsi="宋体" w:eastAsia="宋体" w:cs="宋体"/>
                <w:bCs/>
                <w:kern w:val="2"/>
                <w:sz w:val="21"/>
                <w:szCs w:val="21"/>
                <w:lang w:val="zh-CN" w:eastAsia="zh-CN"/>
              </w:rPr>
            </w:pPr>
            <w:r>
              <w:rPr>
                <w:rFonts w:hint="eastAsia" w:ascii="宋体" w:hAnsi="宋体" w:eastAsia="宋体" w:cs="宋体"/>
                <w:bCs/>
                <w:kern w:val="2"/>
                <w:sz w:val="21"/>
                <w:szCs w:val="21"/>
                <w:lang w:val="zh-CN" w:eastAsia="zh-CN"/>
              </w:rPr>
              <w:t>（2）要求提供项目负责人相关证明资料作为得分依据。涉及学历（学位）的，要求提供证书扫描件以及学信网查询记录。对于较早颁发的学历学位证书，学信网无法查询的，要求</w:t>
            </w:r>
            <w:r>
              <w:rPr>
                <w:rFonts w:hint="eastAsia" w:ascii="宋体" w:hAnsi="宋体" w:eastAsia="宋体" w:cs="宋体"/>
                <w:bCs/>
                <w:kern w:val="2"/>
                <w:sz w:val="21"/>
                <w:szCs w:val="21"/>
                <w:lang w:eastAsia="zh-CN"/>
              </w:rPr>
              <w:t>同时</w:t>
            </w:r>
            <w:r>
              <w:rPr>
                <w:rFonts w:hint="eastAsia" w:ascii="宋体" w:hAnsi="宋体" w:eastAsia="宋体" w:cs="宋体"/>
                <w:bCs/>
                <w:kern w:val="2"/>
                <w:sz w:val="21"/>
                <w:szCs w:val="21"/>
                <w:lang w:val="zh-CN" w:eastAsia="zh-CN"/>
              </w:rPr>
              <w:t>提供证书扫描件和其他佐证材料（如毕业院校、人社部门等颁发机构或监管机构等单位出具的证明）作为得分的依据。留学归国人员如无法提供学信网查询记录截图，提供国（境）外学历证书扫描件和教育部留学服务中心出具的国外学历学位认证书扫描件【或教育部留学服务中心网站（http://zwfw.cscse.edu.cn/）在线查询截图】也可得分。</w:t>
            </w:r>
          </w:p>
          <w:p w14:paraId="7845303D">
            <w:pPr>
              <w:keepNext w:val="0"/>
              <w:keepLines w:val="0"/>
              <w:pageBreakBefore w:val="0"/>
              <w:widowControl w:val="0"/>
              <w:kinsoku/>
              <w:overflowPunct/>
              <w:topLinePunct w:val="0"/>
              <w:bidi w:val="0"/>
              <w:spacing w:line="276" w:lineRule="auto"/>
              <w:ind w:firstLine="0"/>
              <w:jc w:val="both"/>
              <w:textAlignment w:val="auto"/>
              <w:rPr>
                <w:rFonts w:hint="eastAsia" w:eastAsia="宋体"/>
                <w:kern w:val="2"/>
                <w:sz w:val="21"/>
                <w:szCs w:val="20"/>
                <w:lang w:val="zh-CN" w:eastAsia="zh-CN"/>
              </w:rPr>
            </w:pPr>
            <w:r>
              <w:rPr>
                <w:rFonts w:hint="eastAsia" w:ascii="宋体" w:hAnsi="宋体" w:eastAsia="宋体" w:cs="宋体"/>
                <w:bCs/>
                <w:kern w:val="2"/>
                <w:sz w:val="21"/>
                <w:szCs w:val="21"/>
                <w:lang w:val="zh-CN" w:eastAsia="zh-CN"/>
              </w:rPr>
              <w:t>（</w:t>
            </w:r>
            <w:r>
              <w:rPr>
                <w:rFonts w:hint="eastAsia" w:ascii="宋体" w:hAnsi="宋体" w:eastAsia="宋体" w:cs="宋体"/>
                <w:bCs/>
                <w:kern w:val="2"/>
                <w:sz w:val="21"/>
                <w:szCs w:val="21"/>
                <w:lang w:eastAsia="zh-CN"/>
              </w:rPr>
              <w:t>3</w:t>
            </w:r>
            <w:r>
              <w:rPr>
                <w:rFonts w:hint="eastAsia" w:ascii="宋体" w:hAnsi="宋体" w:eastAsia="宋体" w:cs="宋体"/>
                <w:bCs/>
                <w:kern w:val="2"/>
                <w:sz w:val="21"/>
                <w:szCs w:val="21"/>
                <w:lang w:val="zh-CN" w:eastAsia="zh-CN"/>
              </w:rPr>
              <w:t>）</w:t>
            </w:r>
            <w:r>
              <w:rPr>
                <w:rFonts w:hint="eastAsia" w:ascii="宋体" w:hAnsi="宋体" w:eastAsia="宋体"/>
                <w:kern w:val="2"/>
                <w:sz w:val="21"/>
                <w:szCs w:val="21"/>
                <w:lang w:eastAsia="zh-CN"/>
              </w:rPr>
              <w:t>职称证书需同时提供证书在全国人力资源和社会保障政务服务平台（https://12333.gov.cn/）查询截图或人社部门(或职称评审管理部门)出具的证明材料（或官网查询截图）</w:t>
            </w:r>
          </w:p>
          <w:p w14:paraId="30001E0F">
            <w:pPr>
              <w:keepNext w:val="0"/>
              <w:keepLines w:val="0"/>
              <w:pageBreakBefore w:val="0"/>
              <w:widowControl w:val="0"/>
              <w:kinsoku/>
              <w:wordWrap w:val="0"/>
              <w:overflowPunct/>
              <w:topLinePunct w:val="0"/>
              <w:bidi w:val="0"/>
              <w:spacing w:line="276" w:lineRule="auto"/>
              <w:jc w:val="both"/>
              <w:textAlignment w:val="auto"/>
              <w:rPr>
                <w:rFonts w:ascii="宋体" w:hAnsi="宋体" w:eastAsia="宋体" w:cs="宋体"/>
                <w:kern w:val="2"/>
                <w:sz w:val="21"/>
                <w:szCs w:val="21"/>
                <w:lang w:eastAsia="zh-CN"/>
              </w:rPr>
            </w:pPr>
            <w:r>
              <w:rPr>
                <w:rFonts w:hint="eastAsia" w:ascii="宋体" w:hAnsi="宋体" w:eastAsia="宋体" w:cs="宋体"/>
                <w:bCs/>
                <w:kern w:val="2"/>
                <w:sz w:val="21"/>
                <w:szCs w:val="21"/>
                <w:lang w:val="zh-CN" w:eastAsia="zh-CN"/>
              </w:rPr>
              <w:t>（</w:t>
            </w:r>
            <w:r>
              <w:rPr>
                <w:rFonts w:hint="eastAsia" w:ascii="宋体" w:hAnsi="宋体" w:eastAsia="宋体" w:cs="宋体"/>
                <w:bCs/>
                <w:kern w:val="2"/>
                <w:sz w:val="21"/>
                <w:szCs w:val="21"/>
                <w:lang w:eastAsia="zh-CN"/>
              </w:rPr>
              <w:t>4</w:t>
            </w:r>
            <w:r>
              <w:rPr>
                <w:rFonts w:hint="eastAsia" w:ascii="宋体" w:hAnsi="宋体" w:eastAsia="宋体" w:cs="宋体"/>
                <w:bCs/>
                <w:kern w:val="2"/>
                <w:sz w:val="21"/>
                <w:szCs w:val="21"/>
                <w:lang w:val="zh-CN" w:eastAsia="zh-CN"/>
              </w:rPr>
              <w:t>）以上资料均要求提供</w:t>
            </w:r>
            <w:r>
              <w:rPr>
                <w:rFonts w:hint="eastAsia" w:ascii="宋体" w:hAnsi="宋体" w:eastAsia="宋体" w:cs="宋体"/>
                <w:bCs/>
                <w:kern w:val="2"/>
                <w:sz w:val="21"/>
                <w:szCs w:val="21"/>
                <w:lang w:eastAsia="zh-CN"/>
              </w:rPr>
              <w:t>扫描件</w:t>
            </w:r>
            <w:r>
              <w:rPr>
                <w:rFonts w:hint="eastAsia" w:ascii="宋体" w:hAnsi="宋体" w:eastAsia="宋体" w:cs="宋体"/>
                <w:bCs/>
                <w:kern w:val="2"/>
                <w:sz w:val="21"/>
                <w:szCs w:val="21"/>
                <w:lang w:val="zh-CN" w:eastAsia="zh-CN"/>
              </w:rPr>
              <w:t>（或官方网站截图）。评分中出现无证明资料或专家无法凭所提供资料判断是否得分的情况，一律作不得分处理。</w:t>
            </w:r>
          </w:p>
        </w:tc>
      </w:tr>
      <w:tr w14:paraId="02128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676" w:type="dxa"/>
            <w:vMerge w:val="continue"/>
            <w:noWrap w:val="0"/>
            <w:vAlign w:val="center"/>
          </w:tcPr>
          <w:p w14:paraId="7CD52534">
            <w:pPr>
              <w:keepNext w:val="0"/>
              <w:keepLines w:val="0"/>
              <w:pageBreakBefore w:val="0"/>
              <w:widowControl w:val="0"/>
              <w:kinsoku/>
              <w:overflowPunct/>
              <w:topLinePunct w:val="0"/>
              <w:bidi w:val="0"/>
              <w:spacing w:line="276" w:lineRule="auto"/>
              <w:jc w:val="both"/>
              <w:textAlignment w:val="auto"/>
              <w:rPr>
                <w:rFonts w:ascii="宋体" w:hAnsi="宋体" w:eastAsia="宋体" w:cs="宋体"/>
                <w:b/>
                <w:bCs/>
                <w:color w:val="0000FF"/>
                <w:kern w:val="2"/>
                <w:lang w:eastAsia="zh-CN"/>
              </w:rPr>
            </w:pPr>
          </w:p>
        </w:tc>
        <w:tc>
          <w:tcPr>
            <w:tcW w:w="675" w:type="dxa"/>
            <w:noWrap w:val="0"/>
            <w:vAlign w:val="center"/>
          </w:tcPr>
          <w:p w14:paraId="2F699E3C">
            <w:pPr>
              <w:keepNext w:val="0"/>
              <w:keepLines w:val="0"/>
              <w:pageBreakBefore w:val="0"/>
              <w:widowControl w:val="0"/>
              <w:kinsoku/>
              <w:wordWrap w:val="0"/>
              <w:overflowPunct/>
              <w:topLinePunct w:val="0"/>
              <w:bidi w:val="0"/>
              <w:spacing w:line="276" w:lineRule="auto"/>
              <w:jc w:val="center"/>
              <w:textAlignment w:val="auto"/>
              <w:rPr>
                <w:rFonts w:hint="eastAsia" w:ascii="宋体" w:hAnsi="宋体" w:eastAsia="宋体"/>
                <w:kern w:val="2"/>
                <w:sz w:val="21"/>
                <w:szCs w:val="21"/>
                <w:lang w:eastAsia="zh-CN"/>
              </w:rPr>
            </w:pPr>
            <w:r>
              <w:rPr>
                <w:rFonts w:hint="eastAsia" w:ascii="宋体" w:hAnsi="宋体" w:eastAsia="宋体"/>
                <w:kern w:val="2"/>
                <w:sz w:val="21"/>
                <w:szCs w:val="21"/>
                <w:lang w:eastAsia="zh-CN"/>
              </w:rPr>
              <w:t>6</w:t>
            </w:r>
          </w:p>
        </w:tc>
        <w:tc>
          <w:tcPr>
            <w:tcW w:w="1628" w:type="dxa"/>
            <w:noWrap w:val="0"/>
            <w:vAlign w:val="center"/>
          </w:tcPr>
          <w:p w14:paraId="4E793236">
            <w:pPr>
              <w:keepNext w:val="0"/>
              <w:keepLines w:val="0"/>
              <w:pageBreakBefore w:val="0"/>
              <w:widowControl w:val="0"/>
              <w:kinsoku/>
              <w:wordWrap w:val="0"/>
              <w:overflowPunct/>
              <w:topLinePunct w:val="0"/>
              <w:bidi w:val="0"/>
              <w:spacing w:line="276" w:lineRule="auto"/>
              <w:jc w:val="center"/>
              <w:textAlignment w:val="auto"/>
              <w:rPr>
                <w:rFonts w:ascii="宋体" w:hAnsi="宋体" w:eastAsia="宋体" w:cs="宋体"/>
                <w:kern w:val="2"/>
                <w:sz w:val="21"/>
                <w:szCs w:val="21"/>
                <w:lang w:eastAsia="zh-CN"/>
              </w:rPr>
            </w:pPr>
            <w:r>
              <w:rPr>
                <w:rFonts w:hint="eastAsia" w:ascii="宋体" w:hAnsi="宋体" w:eastAsia="宋体"/>
                <w:kern w:val="2"/>
                <w:sz w:val="21"/>
                <w:szCs w:val="21"/>
                <w:lang w:eastAsia="zh-CN"/>
              </w:rPr>
              <w:t>拟安排的项目主要团队成员（主要技术人员）情况（项目负责人除外）</w:t>
            </w:r>
          </w:p>
        </w:tc>
        <w:tc>
          <w:tcPr>
            <w:tcW w:w="1012" w:type="dxa"/>
            <w:noWrap w:val="0"/>
            <w:vAlign w:val="center"/>
          </w:tcPr>
          <w:p w14:paraId="0193B650">
            <w:pPr>
              <w:keepNext w:val="0"/>
              <w:keepLines w:val="0"/>
              <w:pageBreakBefore w:val="0"/>
              <w:widowControl w:val="0"/>
              <w:kinsoku/>
              <w:wordWrap w:val="0"/>
              <w:overflowPunct/>
              <w:topLinePunct w:val="0"/>
              <w:bidi w:val="0"/>
              <w:spacing w:line="276" w:lineRule="auto"/>
              <w:jc w:val="center"/>
              <w:textAlignment w:val="auto"/>
              <w:rPr>
                <w:rFonts w:ascii="宋体" w:hAnsi="宋体" w:eastAsia="宋体" w:cs="宋体"/>
                <w:kern w:val="2"/>
                <w:sz w:val="21"/>
                <w:szCs w:val="21"/>
                <w:lang w:eastAsia="zh-CN"/>
              </w:rPr>
            </w:pPr>
            <w:r>
              <w:rPr>
                <w:rFonts w:ascii="宋体" w:hAnsi="宋体" w:eastAsia="宋体"/>
                <w:kern w:val="2"/>
                <w:sz w:val="21"/>
                <w:szCs w:val="21"/>
                <w:lang w:eastAsia="zh-CN"/>
              </w:rPr>
              <w:t>15</w:t>
            </w:r>
          </w:p>
        </w:tc>
        <w:tc>
          <w:tcPr>
            <w:tcW w:w="5081" w:type="dxa"/>
            <w:noWrap w:val="0"/>
            <w:vAlign w:val="top"/>
          </w:tcPr>
          <w:p w14:paraId="19068260">
            <w:pPr>
              <w:keepNext w:val="0"/>
              <w:keepLines w:val="0"/>
              <w:pageBreakBefore w:val="0"/>
              <w:widowControl w:val="0"/>
              <w:kinsoku/>
              <w:overflowPunct/>
              <w:topLinePunct w:val="0"/>
              <w:bidi w:val="0"/>
              <w:adjustRightInd/>
              <w:spacing w:line="276" w:lineRule="auto"/>
              <w:jc w:val="both"/>
              <w:textAlignment w:val="auto"/>
              <w:rPr>
                <w:rFonts w:hint="eastAsia" w:ascii="宋体" w:hAnsi="宋体" w:eastAsia="宋体" w:cs="宋体"/>
                <w:bCs/>
                <w:kern w:val="2"/>
                <w:sz w:val="21"/>
                <w:szCs w:val="21"/>
                <w:lang w:val="zh-CN" w:eastAsia="zh-CN"/>
              </w:rPr>
            </w:pPr>
            <w:r>
              <w:rPr>
                <w:rFonts w:hint="eastAsia" w:ascii="宋体" w:hAnsi="宋体" w:eastAsia="宋体" w:cs="宋体"/>
                <w:bCs/>
                <w:kern w:val="2"/>
                <w:sz w:val="21"/>
                <w:szCs w:val="21"/>
                <w:lang w:val="zh-CN" w:eastAsia="zh-CN"/>
              </w:rPr>
              <w:t>（一）评分内容：</w:t>
            </w:r>
          </w:p>
          <w:p w14:paraId="20E13B34">
            <w:pPr>
              <w:keepNext w:val="0"/>
              <w:keepLines w:val="0"/>
              <w:pageBreakBefore w:val="0"/>
              <w:widowControl w:val="0"/>
              <w:kinsoku/>
              <w:overflowPunct/>
              <w:topLinePunct w:val="0"/>
              <w:bidi w:val="0"/>
              <w:adjustRightInd/>
              <w:spacing w:line="276" w:lineRule="auto"/>
              <w:jc w:val="both"/>
              <w:textAlignment w:val="auto"/>
              <w:rPr>
                <w:rFonts w:ascii="宋体" w:hAnsi="宋体" w:eastAsia="宋体" w:cs="宋体"/>
                <w:bCs/>
                <w:kern w:val="2"/>
                <w:sz w:val="21"/>
                <w:szCs w:val="21"/>
                <w:lang w:eastAsia="zh-CN"/>
              </w:rPr>
            </w:pPr>
            <w:r>
              <w:rPr>
                <w:rFonts w:hint="eastAsia" w:ascii="宋体" w:hAnsi="宋体" w:eastAsia="宋体" w:cs="宋体"/>
                <w:bCs/>
                <w:kern w:val="2"/>
                <w:sz w:val="21"/>
                <w:szCs w:val="21"/>
                <w:lang w:val="zh-CN" w:eastAsia="zh-CN"/>
              </w:rPr>
              <w:t>为本项目拟安排的项目主要团队成员（主要技术人员）（</w:t>
            </w:r>
            <w:r>
              <w:rPr>
                <w:rFonts w:hint="eastAsia" w:ascii="宋体" w:hAnsi="宋体" w:eastAsia="宋体" w:cs="宋体"/>
                <w:bCs/>
                <w:kern w:val="2"/>
                <w:sz w:val="21"/>
                <w:szCs w:val="21"/>
                <w:lang w:eastAsia="zh-CN"/>
              </w:rPr>
              <w:t>项目负责人除外</w:t>
            </w:r>
            <w:r>
              <w:rPr>
                <w:rFonts w:hint="eastAsia" w:ascii="宋体" w:hAnsi="宋体" w:eastAsia="宋体" w:cs="宋体"/>
                <w:bCs/>
                <w:kern w:val="2"/>
                <w:sz w:val="21"/>
                <w:szCs w:val="21"/>
                <w:lang w:val="zh-CN" w:eastAsia="zh-CN"/>
              </w:rPr>
              <w:t>）情况为投标单位员工（以社保为准），同时需具备商用密码应用安全性评估人员测评能力考核证书或商用密码应用安全性评估从业人员考核成绩证书或网络安全等级测评师证书，否</w:t>
            </w:r>
            <w:r>
              <w:rPr>
                <w:rFonts w:hint="eastAsia" w:ascii="宋体" w:hAnsi="宋体" w:eastAsia="宋体" w:cs="宋体"/>
                <w:bCs/>
                <w:kern w:val="2"/>
                <w:sz w:val="21"/>
                <w:szCs w:val="21"/>
                <w:lang w:eastAsia="zh-CN"/>
              </w:rPr>
              <w:t>则整项</w:t>
            </w:r>
            <w:r>
              <w:rPr>
                <w:rFonts w:hint="eastAsia" w:ascii="宋体" w:hAnsi="宋体" w:eastAsia="宋体" w:cs="宋体"/>
                <w:bCs/>
                <w:kern w:val="2"/>
                <w:sz w:val="21"/>
                <w:szCs w:val="21"/>
                <w:lang w:val="zh-CN" w:eastAsia="zh-CN"/>
              </w:rPr>
              <w:t>不计分。</w:t>
            </w:r>
            <w:r>
              <w:rPr>
                <w:rFonts w:hint="eastAsia" w:ascii="宋体" w:hAnsi="宋体" w:eastAsia="宋体" w:cs="宋体"/>
                <w:bCs/>
                <w:kern w:val="2"/>
                <w:sz w:val="21"/>
                <w:szCs w:val="21"/>
                <w:lang w:eastAsia="zh-CN"/>
              </w:rPr>
              <w:t>在此基础上：</w:t>
            </w:r>
          </w:p>
          <w:p w14:paraId="45CE349F">
            <w:pPr>
              <w:keepNext w:val="0"/>
              <w:keepLines w:val="0"/>
              <w:pageBreakBefore w:val="0"/>
              <w:widowControl w:val="0"/>
              <w:kinsoku/>
              <w:overflowPunct/>
              <w:topLinePunct w:val="0"/>
              <w:bidi w:val="0"/>
              <w:adjustRightInd/>
              <w:spacing w:line="276" w:lineRule="auto"/>
              <w:jc w:val="both"/>
              <w:textAlignment w:val="auto"/>
              <w:rPr>
                <w:rFonts w:hint="eastAsia" w:ascii="宋体" w:hAnsi="宋体" w:eastAsia="宋体" w:cs="宋体"/>
                <w:bCs/>
                <w:kern w:val="2"/>
                <w:sz w:val="21"/>
                <w:szCs w:val="21"/>
                <w:lang w:val="zh-CN" w:eastAsia="zh-CN"/>
              </w:rPr>
            </w:pPr>
            <w:r>
              <w:rPr>
                <w:rFonts w:hint="eastAsia" w:ascii="宋体" w:hAnsi="宋体" w:eastAsia="宋体" w:cs="宋体"/>
                <w:bCs/>
                <w:kern w:val="2"/>
                <w:sz w:val="21"/>
                <w:szCs w:val="21"/>
                <w:lang w:val="zh-CN" w:eastAsia="zh-CN"/>
              </w:rPr>
              <w:t>（</w:t>
            </w:r>
            <w:r>
              <w:rPr>
                <w:rFonts w:hint="eastAsia" w:ascii="宋体" w:hAnsi="宋体" w:eastAsia="宋体" w:cs="宋体"/>
                <w:bCs/>
                <w:kern w:val="2"/>
                <w:sz w:val="21"/>
                <w:szCs w:val="21"/>
                <w:lang w:eastAsia="zh-CN"/>
              </w:rPr>
              <w:t>1</w:t>
            </w:r>
            <w:r>
              <w:rPr>
                <w:rFonts w:hint="eastAsia" w:ascii="宋体" w:hAnsi="宋体" w:eastAsia="宋体" w:cs="宋体"/>
                <w:bCs/>
                <w:kern w:val="2"/>
                <w:sz w:val="21"/>
                <w:szCs w:val="21"/>
                <w:lang w:val="zh-CN" w:eastAsia="zh-CN"/>
              </w:rPr>
              <w:t>）拟投入项目技术负责人资质情况（</w:t>
            </w:r>
            <w:r>
              <w:rPr>
                <w:rFonts w:hint="eastAsia" w:ascii="宋体" w:hAnsi="宋体" w:eastAsia="宋体" w:cs="宋体"/>
                <w:bCs/>
                <w:kern w:val="2"/>
                <w:sz w:val="21"/>
                <w:szCs w:val="21"/>
                <w:lang w:eastAsia="zh-CN"/>
              </w:rPr>
              <w:t>仅限1人</w:t>
            </w:r>
            <w:r>
              <w:rPr>
                <w:rFonts w:hint="eastAsia" w:ascii="宋体" w:hAnsi="宋体" w:eastAsia="宋体" w:cs="宋体"/>
                <w:bCs/>
                <w:kern w:val="2"/>
                <w:sz w:val="21"/>
                <w:szCs w:val="21"/>
                <w:lang w:val="zh-CN" w:eastAsia="zh-CN"/>
              </w:rPr>
              <w:t>）：</w:t>
            </w:r>
          </w:p>
          <w:p w14:paraId="7B0D2D82">
            <w:pPr>
              <w:keepNext w:val="0"/>
              <w:keepLines w:val="0"/>
              <w:pageBreakBefore w:val="0"/>
              <w:widowControl w:val="0"/>
              <w:kinsoku/>
              <w:overflowPunct/>
              <w:topLinePunct w:val="0"/>
              <w:bidi w:val="0"/>
              <w:adjustRightInd/>
              <w:spacing w:line="276" w:lineRule="auto"/>
              <w:jc w:val="both"/>
              <w:textAlignment w:val="auto"/>
              <w:rPr>
                <w:rFonts w:hint="eastAsia" w:ascii="宋体" w:hAnsi="宋体" w:eastAsia="宋体" w:cs="宋体"/>
                <w:bCs/>
                <w:kern w:val="2"/>
                <w:sz w:val="21"/>
                <w:szCs w:val="21"/>
                <w:lang w:val="zh-CN" w:eastAsia="zh-CN"/>
              </w:rPr>
            </w:pPr>
            <w:r>
              <w:rPr>
                <w:rFonts w:hint="eastAsia" w:ascii="宋体" w:hAnsi="宋体" w:eastAsia="宋体" w:cs="宋体"/>
                <w:bCs/>
                <w:kern w:val="2"/>
                <w:sz w:val="21"/>
                <w:szCs w:val="21"/>
                <w:lang w:val="zh-CN" w:eastAsia="zh-CN"/>
              </w:rPr>
              <w:t>1.具有</w:t>
            </w:r>
            <w:r>
              <w:rPr>
                <w:rFonts w:hint="eastAsia" w:ascii="宋体" w:hAnsi="宋体" w:eastAsia="宋体" w:cs="宋体"/>
                <w:kern w:val="2"/>
                <w:sz w:val="21"/>
                <w:szCs w:val="21"/>
                <w:lang w:eastAsia="zh-CN"/>
              </w:rPr>
              <w:t>研究生学历及硕士学位（工学专业）证书</w:t>
            </w:r>
            <w:r>
              <w:rPr>
                <w:rFonts w:hint="eastAsia" w:ascii="宋体" w:hAnsi="宋体" w:eastAsia="宋体" w:cs="宋体"/>
                <w:bCs/>
                <w:kern w:val="2"/>
                <w:sz w:val="21"/>
                <w:szCs w:val="21"/>
                <w:lang w:eastAsia="zh-CN"/>
              </w:rPr>
              <w:t>得5分，</w:t>
            </w:r>
            <w:r>
              <w:rPr>
                <w:rFonts w:hint="eastAsia" w:ascii="宋体" w:hAnsi="宋体" w:eastAsia="宋体" w:cs="宋体"/>
                <w:bCs/>
                <w:kern w:val="2"/>
                <w:sz w:val="21"/>
                <w:szCs w:val="21"/>
                <w:lang w:val="zh-CN" w:eastAsia="zh-CN"/>
              </w:rPr>
              <w:t>具有</w:t>
            </w:r>
            <w:r>
              <w:rPr>
                <w:rFonts w:hint="eastAsia" w:ascii="宋体" w:hAnsi="宋体" w:eastAsia="宋体" w:cs="宋体"/>
                <w:kern w:val="2"/>
                <w:sz w:val="21"/>
                <w:szCs w:val="21"/>
                <w:lang w:eastAsia="zh-CN"/>
              </w:rPr>
              <w:t>研究生学历及博士学位（工学专业）证书</w:t>
            </w:r>
            <w:r>
              <w:rPr>
                <w:rFonts w:hint="eastAsia" w:ascii="宋体" w:hAnsi="宋体" w:eastAsia="宋体" w:cs="宋体"/>
                <w:bCs/>
                <w:kern w:val="2"/>
                <w:sz w:val="21"/>
                <w:szCs w:val="21"/>
                <w:lang w:val="zh-CN" w:eastAsia="zh-CN"/>
              </w:rPr>
              <w:t>，</w:t>
            </w:r>
            <w:r>
              <w:rPr>
                <w:rFonts w:hint="eastAsia" w:ascii="宋体" w:hAnsi="宋体" w:eastAsia="宋体" w:cs="宋体"/>
                <w:bCs/>
                <w:kern w:val="2"/>
                <w:sz w:val="21"/>
                <w:szCs w:val="21"/>
                <w:lang w:eastAsia="zh-CN"/>
              </w:rPr>
              <w:t>得10分</w:t>
            </w:r>
            <w:r>
              <w:rPr>
                <w:rFonts w:hint="eastAsia" w:ascii="宋体" w:hAnsi="宋体" w:eastAsia="宋体" w:cs="宋体"/>
                <w:bCs/>
                <w:kern w:val="2"/>
                <w:sz w:val="21"/>
                <w:szCs w:val="21"/>
                <w:lang w:val="zh-CN" w:eastAsia="zh-CN"/>
              </w:rPr>
              <w:t>；（</w:t>
            </w:r>
            <w:r>
              <w:rPr>
                <w:rFonts w:hint="eastAsia" w:ascii="宋体" w:hAnsi="宋体" w:eastAsia="宋体" w:cs="宋体"/>
                <w:bCs/>
                <w:kern w:val="2"/>
                <w:sz w:val="21"/>
                <w:szCs w:val="21"/>
                <w:lang w:eastAsia="zh-CN"/>
              </w:rPr>
              <w:t>本项按最高分计分1次，最高得10分</w:t>
            </w:r>
            <w:r>
              <w:rPr>
                <w:rFonts w:hint="eastAsia" w:ascii="宋体" w:hAnsi="宋体" w:eastAsia="宋体" w:cs="宋体"/>
                <w:bCs/>
                <w:kern w:val="2"/>
                <w:sz w:val="21"/>
                <w:szCs w:val="21"/>
                <w:lang w:val="zh-CN" w:eastAsia="zh-CN"/>
              </w:rPr>
              <w:t>）</w:t>
            </w:r>
          </w:p>
          <w:p w14:paraId="352175AA">
            <w:pPr>
              <w:keepNext w:val="0"/>
              <w:keepLines w:val="0"/>
              <w:pageBreakBefore w:val="0"/>
              <w:widowControl w:val="0"/>
              <w:kinsoku/>
              <w:overflowPunct/>
              <w:topLinePunct w:val="0"/>
              <w:bidi w:val="0"/>
              <w:adjustRightInd/>
              <w:spacing w:line="276" w:lineRule="auto"/>
              <w:jc w:val="both"/>
              <w:textAlignment w:val="auto"/>
              <w:rPr>
                <w:rFonts w:hint="eastAsia" w:ascii="宋体" w:hAnsi="宋体" w:eastAsia="宋体" w:cs="宋体"/>
                <w:bCs/>
                <w:kern w:val="2"/>
                <w:sz w:val="21"/>
                <w:szCs w:val="21"/>
                <w:lang w:val="zh-CN" w:eastAsia="zh-CN"/>
              </w:rPr>
            </w:pPr>
            <w:r>
              <w:rPr>
                <w:rFonts w:hint="eastAsia" w:ascii="宋体" w:hAnsi="宋体" w:eastAsia="宋体" w:cs="宋体"/>
                <w:bCs/>
                <w:kern w:val="2"/>
                <w:sz w:val="21"/>
                <w:szCs w:val="21"/>
                <w:lang w:val="zh-CN" w:eastAsia="zh-CN"/>
              </w:rPr>
              <w:t>2.具有信息安全保障人员认证证书（即CISAW证书），</w:t>
            </w:r>
            <w:r>
              <w:rPr>
                <w:rFonts w:hint="eastAsia" w:ascii="宋体" w:hAnsi="宋体" w:eastAsia="宋体" w:cs="宋体"/>
                <w:bCs/>
                <w:kern w:val="2"/>
                <w:sz w:val="21"/>
                <w:szCs w:val="21"/>
                <w:lang w:eastAsia="zh-CN"/>
              </w:rPr>
              <w:t>得20分</w:t>
            </w:r>
            <w:r>
              <w:rPr>
                <w:rFonts w:hint="eastAsia" w:ascii="宋体" w:hAnsi="宋体" w:eastAsia="宋体" w:cs="宋体"/>
                <w:bCs/>
                <w:kern w:val="2"/>
                <w:sz w:val="21"/>
                <w:szCs w:val="21"/>
                <w:lang w:val="zh-CN" w:eastAsia="zh-CN"/>
              </w:rPr>
              <w:t>；</w:t>
            </w:r>
            <w:r>
              <w:rPr>
                <w:rFonts w:hint="eastAsia" w:ascii="宋体" w:hAnsi="宋体" w:eastAsia="宋体" w:cs="宋体"/>
                <w:bCs/>
                <w:kern w:val="2"/>
                <w:sz w:val="21"/>
                <w:szCs w:val="21"/>
                <w:lang w:val="zh-CN" w:eastAsia="zh-CN"/>
              </w:rPr>
              <w:br w:type="textWrapping"/>
            </w:r>
            <w:r>
              <w:rPr>
                <w:rFonts w:hint="eastAsia" w:ascii="宋体" w:hAnsi="宋体" w:eastAsia="宋体" w:cs="宋体"/>
                <w:bCs/>
                <w:kern w:val="2"/>
                <w:sz w:val="21"/>
                <w:szCs w:val="21"/>
                <w:lang w:eastAsia="zh-CN"/>
              </w:rPr>
              <w:t>3</w:t>
            </w:r>
            <w:r>
              <w:rPr>
                <w:rFonts w:hint="eastAsia" w:ascii="宋体" w:hAnsi="宋体" w:eastAsia="宋体" w:cs="宋体"/>
                <w:bCs/>
                <w:kern w:val="2"/>
                <w:sz w:val="21"/>
                <w:szCs w:val="21"/>
                <w:lang w:val="zh-CN" w:eastAsia="zh-CN"/>
              </w:rPr>
              <w:t>.</w:t>
            </w:r>
            <w:r>
              <w:rPr>
                <w:rFonts w:hint="eastAsia" w:eastAsia="宋体"/>
                <w:kern w:val="2"/>
                <w:sz w:val="21"/>
                <w:lang w:eastAsia="zh-CN"/>
              </w:rPr>
              <w:t>具有人社部门（或其他具备职称评定资格的单位或机构）颁发的</w:t>
            </w:r>
            <w:r>
              <w:rPr>
                <w:rFonts w:hint="eastAsia" w:ascii="宋体" w:hAnsi="宋体" w:eastAsia="宋体" w:cs="宋体"/>
                <w:bCs/>
                <w:kern w:val="2"/>
                <w:sz w:val="21"/>
                <w:szCs w:val="21"/>
                <w:lang w:val="zh-CN" w:eastAsia="zh-CN"/>
              </w:rPr>
              <w:t>副高级</w:t>
            </w:r>
            <w:r>
              <w:rPr>
                <w:rFonts w:hint="eastAsia" w:ascii="宋体" w:hAnsi="宋体" w:eastAsia="宋体" w:cs="宋体"/>
                <w:kern w:val="2"/>
                <w:sz w:val="21"/>
                <w:szCs w:val="21"/>
                <w:lang w:eastAsia="zh-CN"/>
              </w:rPr>
              <w:t>或以上</w:t>
            </w:r>
            <w:r>
              <w:rPr>
                <w:rFonts w:hint="eastAsia" w:ascii="宋体" w:hAnsi="宋体" w:eastAsia="宋体" w:cs="宋体"/>
                <w:bCs/>
                <w:kern w:val="2"/>
                <w:sz w:val="21"/>
                <w:szCs w:val="21"/>
                <w:lang w:val="zh-CN" w:eastAsia="zh-CN"/>
              </w:rPr>
              <w:t>职称（专业方向：电子技术类或电子信息类或计算机类或网络空间安全系统评测类），</w:t>
            </w:r>
            <w:r>
              <w:rPr>
                <w:rFonts w:hint="eastAsia" w:ascii="宋体" w:hAnsi="宋体" w:eastAsia="宋体" w:cs="宋体"/>
                <w:bCs/>
                <w:kern w:val="2"/>
                <w:sz w:val="21"/>
                <w:szCs w:val="21"/>
                <w:lang w:eastAsia="zh-CN"/>
              </w:rPr>
              <w:t>得40分</w:t>
            </w:r>
            <w:r>
              <w:rPr>
                <w:rFonts w:hint="eastAsia" w:ascii="宋体" w:hAnsi="宋体" w:eastAsia="宋体" w:cs="宋体"/>
                <w:bCs/>
                <w:kern w:val="2"/>
                <w:sz w:val="21"/>
                <w:szCs w:val="21"/>
                <w:lang w:val="zh-CN" w:eastAsia="zh-CN"/>
              </w:rPr>
              <w:t>。</w:t>
            </w:r>
          </w:p>
          <w:p w14:paraId="19824F08">
            <w:pPr>
              <w:keepNext w:val="0"/>
              <w:keepLines w:val="0"/>
              <w:pageBreakBefore w:val="0"/>
              <w:widowControl/>
              <w:kinsoku/>
              <w:overflowPunct/>
              <w:topLinePunct w:val="0"/>
              <w:bidi w:val="0"/>
              <w:adjustRightInd/>
              <w:spacing w:line="276" w:lineRule="auto"/>
              <w:ind w:left="-72" w:leftChars="-30" w:right="-101" w:rightChars="-42"/>
              <w:jc w:val="left"/>
              <w:textAlignment w:val="auto"/>
              <w:rPr>
                <w:rFonts w:hint="eastAsia" w:ascii="宋体" w:hAnsi="宋体" w:eastAsia="宋体" w:cs="宋体"/>
                <w:bCs/>
                <w:kern w:val="2"/>
                <w:sz w:val="21"/>
                <w:szCs w:val="21"/>
                <w:lang w:val="zh-CN" w:eastAsia="zh-CN"/>
              </w:rPr>
            </w:pPr>
            <w:r>
              <w:rPr>
                <w:rFonts w:hint="eastAsia" w:ascii="宋体" w:hAnsi="宋体" w:eastAsia="宋体" w:cs="宋体"/>
                <w:kern w:val="2"/>
                <w:sz w:val="21"/>
                <w:szCs w:val="21"/>
                <w:lang w:eastAsia="zh-CN" w:bidi="ar"/>
              </w:rPr>
              <w:t>以上合计最高得70分。</w:t>
            </w:r>
          </w:p>
          <w:p w14:paraId="491417E7">
            <w:pPr>
              <w:keepNext w:val="0"/>
              <w:keepLines w:val="0"/>
              <w:pageBreakBefore w:val="0"/>
              <w:widowControl w:val="0"/>
              <w:kinsoku/>
              <w:overflowPunct/>
              <w:topLinePunct w:val="0"/>
              <w:bidi w:val="0"/>
              <w:adjustRightInd/>
              <w:spacing w:line="276" w:lineRule="auto"/>
              <w:jc w:val="both"/>
              <w:textAlignment w:val="auto"/>
              <w:rPr>
                <w:rFonts w:hint="eastAsia" w:ascii="宋体" w:hAnsi="宋体" w:eastAsia="宋体" w:cs="宋体"/>
                <w:bCs/>
                <w:kern w:val="2"/>
                <w:sz w:val="21"/>
                <w:szCs w:val="21"/>
                <w:lang w:val="zh-CN" w:eastAsia="zh-CN"/>
              </w:rPr>
            </w:pPr>
            <w:r>
              <w:rPr>
                <w:rFonts w:hint="eastAsia" w:ascii="宋体" w:hAnsi="宋体" w:eastAsia="宋体" w:cs="宋体"/>
                <w:bCs/>
                <w:kern w:val="2"/>
                <w:sz w:val="21"/>
                <w:szCs w:val="21"/>
                <w:lang w:val="zh-CN" w:eastAsia="zh-CN"/>
              </w:rPr>
              <w:t>（</w:t>
            </w:r>
            <w:r>
              <w:rPr>
                <w:rFonts w:hint="eastAsia" w:ascii="宋体" w:hAnsi="宋体" w:eastAsia="宋体" w:cs="宋体"/>
                <w:bCs/>
                <w:kern w:val="2"/>
                <w:sz w:val="21"/>
                <w:szCs w:val="21"/>
                <w:lang w:eastAsia="zh-CN"/>
              </w:rPr>
              <w:t>2</w:t>
            </w:r>
            <w:r>
              <w:rPr>
                <w:rFonts w:hint="eastAsia" w:ascii="宋体" w:hAnsi="宋体" w:eastAsia="宋体" w:cs="宋体"/>
                <w:bCs/>
                <w:kern w:val="2"/>
                <w:sz w:val="21"/>
                <w:szCs w:val="21"/>
                <w:lang w:val="zh-CN" w:eastAsia="zh-CN"/>
              </w:rPr>
              <w:t>）拟投入项目测评技术服务工程师资质情况（项目负责人及项目技术负责人外）：</w:t>
            </w:r>
          </w:p>
          <w:p w14:paraId="373F1525">
            <w:pPr>
              <w:keepNext w:val="0"/>
              <w:keepLines w:val="0"/>
              <w:pageBreakBefore w:val="0"/>
              <w:widowControl w:val="0"/>
              <w:kinsoku/>
              <w:overflowPunct/>
              <w:topLinePunct w:val="0"/>
              <w:bidi w:val="0"/>
              <w:adjustRightInd/>
              <w:spacing w:line="276" w:lineRule="auto"/>
              <w:jc w:val="both"/>
              <w:textAlignment w:val="auto"/>
              <w:rPr>
                <w:rFonts w:hint="eastAsia" w:ascii="宋体" w:hAnsi="宋体" w:eastAsia="宋体" w:cs="宋体"/>
                <w:bCs/>
                <w:kern w:val="2"/>
                <w:sz w:val="21"/>
                <w:szCs w:val="21"/>
                <w:lang w:val="zh-CN" w:eastAsia="zh-CN"/>
              </w:rPr>
            </w:pPr>
            <w:r>
              <w:rPr>
                <w:rFonts w:hint="eastAsia" w:ascii="宋体" w:hAnsi="宋体" w:eastAsia="宋体" w:cs="宋体"/>
                <w:bCs/>
                <w:kern w:val="2"/>
                <w:sz w:val="21"/>
                <w:szCs w:val="21"/>
                <w:lang w:val="zh-CN" w:eastAsia="zh-CN"/>
              </w:rPr>
              <w:t>1.具有注册信息安全专业人员（CISP）证书或信息安全保障人员认证证书（CISAW），每具有1人得</w:t>
            </w:r>
            <w:r>
              <w:rPr>
                <w:rFonts w:hint="eastAsia" w:ascii="宋体" w:hAnsi="宋体" w:eastAsia="宋体" w:cs="宋体"/>
                <w:bCs/>
                <w:kern w:val="2"/>
                <w:sz w:val="21"/>
                <w:szCs w:val="21"/>
                <w:lang w:eastAsia="zh-CN"/>
              </w:rPr>
              <w:t>10</w:t>
            </w:r>
            <w:r>
              <w:rPr>
                <w:rFonts w:hint="eastAsia" w:ascii="宋体" w:hAnsi="宋体" w:eastAsia="宋体" w:cs="宋体"/>
                <w:bCs/>
                <w:kern w:val="2"/>
                <w:sz w:val="21"/>
                <w:szCs w:val="21"/>
                <w:lang w:val="zh-CN" w:eastAsia="zh-CN"/>
              </w:rPr>
              <w:t>分，此项最高得</w:t>
            </w:r>
            <w:r>
              <w:rPr>
                <w:rFonts w:hint="eastAsia" w:ascii="宋体" w:hAnsi="宋体" w:eastAsia="宋体" w:cs="宋体"/>
                <w:bCs/>
                <w:kern w:val="2"/>
                <w:sz w:val="21"/>
                <w:szCs w:val="21"/>
                <w:lang w:eastAsia="zh-CN"/>
              </w:rPr>
              <w:t>30</w:t>
            </w:r>
            <w:r>
              <w:rPr>
                <w:rFonts w:hint="eastAsia" w:ascii="宋体" w:hAnsi="宋体" w:eastAsia="宋体" w:cs="宋体"/>
                <w:bCs/>
                <w:kern w:val="2"/>
                <w:sz w:val="21"/>
                <w:szCs w:val="21"/>
                <w:lang w:val="zh-CN" w:eastAsia="zh-CN"/>
              </w:rPr>
              <w:t>分。</w:t>
            </w:r>
          </w:p>
          <w:p w14:paraId="28140826">
            <w:pPr>
              <w:keepNext w:val="0"/>
              <w:keepLines w:val="0"/>
              <w:pageBreakBefore w:val="0"/>
              <w:widowControl w:val="0"/>
              <w:kinsoku/>
              <w:overflowPunct/>
              <w:topLinePunct w:val="0"/>
              <w:bidi w:val="0"/>
              <w:adjustRightInd/>
              <w:spacing w:line="276" w:lineRule="auto"/>
              <w:jc w:val="both"/>
              <w:textAlignment w:val="auto"/>
              <w:rPr>
                <w:rFonts w:hint="eastAsia" w:ascii="宋体" w:hAnsi="宋体" w:eastAsia="宋体" w:cs="宋体"/>
                <w:bCs/>
                <w:kern w:val="2"/>
                <w:sz w:val="21"/>
                <w:szCs w:val="21"/>
                <w:lang w:val="zh-CN" w:eastAsia="zh-CN"/>
              </w:rPr>
            </w:pPr>
            <w:r>
              <w:rPr>
                <w:rFonts w:hint="eastAsia" w:ascii="宋体" w:hAnsi="宋体" w:eastAsia="宋体" w:cs="宋体"/>
                <w:bCs/>
                <w:kern w:val="2"/>
                <w:sz w:val="21"/>
                <w:szCs w:val="21"/>
                <w:lang w:val="zh-CN" w:eastAsia="zh-CN"/>
              </w:rPr>
              <w:t>同一人员具备多个证书的不累计得分。</w:t>
            </w:r>
          </w:p>
          <w:p w14:paraId="2B621904">
            <w:pPr>
              <w:keepNext w:val="0"/>
              <w:keepLines w:val="0"/>
              <w:pageBreakBefore w:val="0"/>
              <w:widowControl w:val="0"/>
              <w:kinsoku/>
              <w:overflowPunct/>
              <w:topLinePunct w:val="0"/>
              <w:bidi w:val="0"/>
              <w:adjustRightInd/>
              <w:spacing w:line="276" w:lineRule="auto"/>
              <w:jc w:val="both"/>
              <w:textAlignment w:val="auto"/>
              <w:rPr>
                <w:rFonts w:hint="eastAsia" w:ascii="宋体" w:hAnsi="宋体" w:eastAsia="宋体" w:cs="宋体"/>
                <w:bCs/>
                <w:kern w:val="2"/>
                <w:sz w:val="21"/>
                <w:szCs w:val="21"/>
                <w:lang w:val="zh-CN" w:eastAsia="zh-CN"/>
              </w:rPr>
            </w:pPr>
            <w:r>
              <w:rPr>
                <w:rFonts w:hint="eastAsia" w:ascii="宋体" w:hAnsi="宋体" w:eastAsia="宋体" w:cs="宋体"/>
                <w:bCs/>
                <w:kern w:val="2"/>
                <w:sz w:val="21"/>
                <w:szCs w:val="21"/>
                <w:lang w:val="zh-CN" w:eastAsia="zh-CN"/>
              </w:rPr>
              <w:t>（二）评分依据：</w:t>
            </w:r>
          </w:p>
          <w:p w14:paraId="5C270388">
            <w:pPr>
              <w:keepNext w:val="0"/>
              <w:keepLines w:val="0"/>
              <w:pageBreakBefore w:val="0"/>
              <w:widowControl w:val="0"/>
              <w:kinsoku/>
              <w:overflowPunct/>
              <w:topLinePunct w:val="0"/>
              <w:autoSpaceDE w:val="0"/>
              <w:autoSpaceDN w:val="0"/>
              <w:bidi w:val="0"/>
              <w:adjustRightInd/>
              <w:spacing w:line="276" w:lineRule="auto"/>
              <w:jc w:val="left"/>
              <w:textAlignment w:val="auto"/>
              <w:rPr>
                <w:rFonts w:hint="eastAsia" w:ascii="宋体" w:hAnsi="宋体" w:eastAsia="宋体" w:cs="宋体"/>
                <w:bCs/>
                <w:kern w:val="2"/>
                <w:sz w:val="21"/>
                <w:szCs w:val="21"/>
                <w:lang w:val="zh-CN" w:eastAsia="zh-CN"/>
              </w:rPr>
            </w:pPr>
            <w:r>
              <w:rPr>
                <w:rFonts w:hint="eastAsia" w:ascii="宋体" w:hAnsi="宋体" w:eastAsia="宋体" w:cs="宋体"/>
                <w:bCs/>
                <w:kern w:val="2"/>
                <w:sz w:val="21"/>
                <w:szCs w:val="21"/>
                <w:lang w:val="zh-CN" w:eastAsia="zh-CN"/>
              </w:rPr>
              <w:t>（1）要求提供通过投标人缴纳的近三个月(含开标当月)的任意一个月的社保证明作为本单位员工的证明依据，如供应商成立不足一个月的，提供情况说明函(格式自拟)，无需提供相关人员社保，亦可得分。</w:t>
            </w:r>
          </w:p>
          <w:p w14:paraId="51B85E21">
            <w:pPr>
              <w:keepNext w:val="0"/>
              <w:keepLines w:val="0"/>
              <w:pageBreakBefore w:val="0"/>
              <w:widowControl w:val="0"/>
              <w:kinsoku/>
              <w:overflowPunct/>
              <w:topLinePunct w:val="0"/>
              <w:bidi w:val="0"/>
              <w:adjustRightInd/>
              <w:spacing w:line="276" w:lineRule="auto"/>
              <w:jc w:val="both"/>
              <w:textAlignment w:val="auto"/>
              <w:rPr>
                <w:rFonts w:hint="eastAsia" w:ascii="宋体" w:hAnsi="宋体" w:eastAsia="宋体" w:cs="宋体"/>
                <w:bCs/>
                <w:kern w:val="2"/>
                <w:sz w:val="21"/>
                <w:szCs w:val="21"/>
                <w:lang w:val="zh-CN" w:eastAsia="zh-CN"/>
              </w:rPr>
            </w:pPr>
            <w:r>
              <w:rPr>
                <w:rFonts w:hint="eastAsia" w:ascii="宋体" w:hAnsi="宋体" w:eastAsia="宋体" w:cs="宋体"/>
                <w:bCs/>
                <w:kern w:val="2"/>
                <w:sz w:val="21"/>
                <w:szCs w:val="21"/>
                <w:lang w:val="zh-CN" w:eastAsia="zh-CN"/>
              </w:rPr>
              <w:t>（2）要求提供项目主要团队成员相关证明资料作为得分依据。涉及学历（学位）的，要求提供证书扫描件以及学信网查询记录。对于较早颁发的学历学位证书，学信网无法查询的，要求提供证书扫描件和其他佐证材料（如毕业院校、人社部门等颁发机构或监管机构等单位出具的证明）作为得分的依据。留学归国人员如无法提供学信网查询记录截图，提供国（境）外学历证书扫描件和教育部留学服务中心出具的国外学历学位认证书扫描件【或教育部留学服务中心网站</w:t>
            </w:r>
          </w:p>
          <w:p w14:paraId="24DAB71C">
            <w:pPr>
              <w:keepNext w:val="0"/>
              <w:keepLines w:val="0"/>
              <w:pageBreakBefore w:val="0"/>
              <w:widowControl w:val="0"/>
              <w:kinsoku/>
              <w:overflowPunct/>
              <w:topLinePunct w:val="0"/>
              <w:bidi w:val="0"/>
              <w:adjustRightInd/>
              <w:spacing w:line="276" w:lineRule="auto"/>
              <w:jc w:val="both"/>
              <w:textAlignment w:val="auto"/>
              <w:rPr>
                <w:rFonts w:hint="eastAsia" w:ascii="宋体" w:hAnsi="宋体" w:eastAsia="宋体" w:cs="宋体"/>
                <w:bCs/>
                <w:kern w:val="2"/>
                <w:sz w:val="21"/>
                <w:szCs w:val="21"/>
                <w:lang w:val="zh-CN" w:eastAsia="zh-CN"/>
              </w:rPr>
            </w:pPr>
            <w:r>
              <w:rPr>
                <w:rFonts w:hint="eastAsia" w:ascii="宋体" w:hAnsi="宋体" w:eastAsia="宋体" w:cs="宋体"/>
                <w:bCs/>
                <w:kern w:val="2"/>
                <w:sz w:val="21"/>
                <w:szCs w:val="21"/>
                <w:lang w:val="zh-CN" w:eastAsia="zh-CN"/>
              </w:rPr>
              <w:t>（http://zwfw.cscse.edu.cn/）在线查询截图】也可得分。</w:t>
            </w:r>
          </w:p>
          <w:p w14:paraId="10C910EB">
            <w:pPr>
              <w:keepNext w:val="0"/>
              <w:keepLines w:val="0"/>
              <w:pageBreakBefore w:val="0"/>
              <w:widowControl w:val="0"/>
              <w:kinsoku/>
              <w:overflowPunct/>
              <w:topLinePunct w:val="0"/>
              <w:bidi w:val="0"/>
              <w:spacing w:line="276" w:lineRule="auto"/>
              <w:ind w:firstLine="0"/>
              <w:jc w:val="both"/>
              <w:textAlignment w:val="auto"/>
              <w:rPr>
                <w:rFonts w:hint="eastAsia" w:ascii="宋体" w:hAnsi="宋体" w:eastAsia="宋体" w:cs="宋体"/>
                <w:bCs/>
                <w:kern w:val="2"/>
                <w:sz w:val="21"/>
                <w:szCs w:val="21"/>
                <w:lang w:val="zh-CN" w:eastAsia="zh-CN"/>
              </w:rPr>
            </w:pPr>
            <w:r>
              <w:rPr>
                <w:rFonts w:hint="eastAsia" w:ascii="宋体" w:hAnsi="宋体" w:eastAsia="宋体" w:cs="宋体"/>
                <w:bCs/>
                <w:kern w:val="2"/>
                <w:sz w:val="21"/>
                <w:szCs w:val="21"/>
                <w:lang w:val="zh-CN" w:eastAsia="zh-CN"/>
              </w:rPr>
              <w:t>（</w:t>
            </w:r>
            <w:r>
              <w:rPr>
                <w:rFonts w:hint="eastAsia" w:ascii="宋体" w:hAnsi="宋体" w:eastAsia="宋体" w:cs="宋体"/>
                <w:bCs/>
                <w:kern w:val="2"/>
                <w:sz w:val="21"/>
                <w:szCs w:val="21"/>
                <w:lang w:eastAsia="zh-CN"/>
              </w:rPr>
              <w:t>3</w:t>
            </w:r>
            <w:r>
              <w:rPr>
                <w:rFonts w:hint="eastAsia" w:ascii="宋体" w:hAnsi="宋体" w:eastAsia="宋体" w:cs="宋体"/>
                <w:bCs/>
                <w:kern w:val="2"/>
                <w:sz w:val="21"/>
                <w:szCs w:val="21"/>
                <w:lang w:val="zh-CN" w:eastAsia="zh-CN"/>
              </w:rPr>
              <w:t>）</w:t>
            </w:r>
            <w:r>
              <w:rPr>
                <w:rFonts w:hint="eastAsia" w:ascii="宋体" w:hAnsi="宋体" w:eastAsia="宋体"/>
                <w:kern w:val="2"/>
                <w:sz w:val="21"/>
                <w:szCs w:val="21"/>
                <w:lang w:eastAsia="zh-CN"/>
              </w:rPr>
              <w:t>职称证书需同时提供证书在全国人力资源和社会保障政务服务平台（https://12333.gov.cn/）查询截图或人社部门(或职称评审管理部门)出具的证明材料（或官网查询截图）</w:t>
            </w:r>
          </w:p>
          <w:p w14:paraId="753CFAE8">
            <w:pPr>
              <w:keepNext w:val="0"/>
              <w:keepLines w:val="0"/>
              <w:pageBreakBefore w:val="0"/>
              <w:widowControl w:val="0"/>
              <w:kinsoku/>
              <w:overflowPunct/>
              <w:topLinePunct w:val="0"/>
              <w:bidi w:val="0"/>
              <w:spacing w:line="276" w:lineRule="auto"/>
              <w:jc w:val="left"/>
              <w:textAlignment w:val="auto"/>
              <w:rPr>
                <w:rFonts w:ascii="宋体" w:hAnsi="宋体" w:eastAsia="宋体"/>
                <w:kern w:val="2"/>
                <w:sz w:val="21"/>
                <w:szCs w:val="21"/>
                <w:lang w:eastAsia="zh-CN"/>
              </w:rPr>
            </w:pPr>
            <w:r>
              <w:rPr>
                <w:rFonts w:hint="eastAsia" w:ascii="宋体" w:hAnsi="宋体" w:eastAsia="宋体" w:cs="宋体"/>
                <w:bCs/>
                <w:kern w:val="2"/>
                <w:sz w:val="21"/>
                <w:szCs w:val="21"/>
                <w:lang w:val="zh-CN" w:eastAsia="zh-CN"/>
              </w:rPr>
              <w:t>（</w:t>
            </w:r>
            <w:r>
              <w:rPr>
                <w:rFonts w:hint="eastAsia" w:ascii="宋体" w:hAnsi="宋体" w:eastAsia="宋体" w:cs="宋体"/>
                <w:bCs/>
                <w:kern w:val="2"/>
                <w:sz w:val="21"/>
                <w:szCs w:val="21"/>
                <w:lang w:eastAsia="zh-CN"/>
              </w:rPr>
              <w:t>4</w:t>
            </w:r>
            <w:r>
              <w:rPr>
                <w:rFonts w:hint="eastAsia" w:ascii="宋体" w:hAnsi="宋体" w:eastAsia="宋体" w:cs="宋体"/>
                <w:bCs/>
                <w:kern w:val="2"/>
                <w:sz w:val="21"/>
                <w:szCs w:val="21"/>
                <w:lang w:val="zh-CN" w:eastAsia="zh-CN"/>
              </w:rPr>
              <w:t>）以上资料均要求提供</w:t>
            </w:r>
            <w:r>
              <w:rPr>
                <w:rFonts w:hint="eastAsia" w:ascii="宋体" w:hAnsi="宋体" w:eastAsia="宋体" w:cs="宋体"/>
                <w:bCs/>
                <w:kern w:val="2"/>
                <w:sz w:val="21"/>
                <w:szCs w:val="21"/>
                <w:lang w:eastAsia="zh-CN"/>
              </w:rPr>
              <w:t>扫描件</w:t>
            </w:r>
            <w:r>
              <w:rPr>
                <w:rFonts w:hint="eastAsia" w:ascii="宋体" w:hAnsi="宋体" w:eastAsia="宋体" w:cs="宋体"/>
                <w:bCs/>
                <w:kern w:val="2"/>
                <w:sz w:val="21"/>
                <w:szCs w:val="21"/>
                <w:lang w:val="zh-CN" w:eastAsia="zh-CN"/>
              </w:rPr>
              <w:t>（或官方网站截图）。评分中出现无证明资料或专家无法凭所提供资料判断是否得分的情况，一律作不得分处理。</w:t>
            </w:r>
          </w:p>
        </w:tc>
      </w:tr>
      <w:tr w14:paraId="1D6F4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676" w:type="dxa"/>
            <w:vMerge w:val="restart"/>
            <w:noWrap w:val="0"/>
            <w:vAlign w:val="top"/>
          </w:tcPr>
          <w:p w14:paraId="33FDEF7D">
            <w:pPr>
              <w:keepNext w:val="0"/>
              <w:keepLines w:val="0"/>
              <w:pageBreakBefore w:val="0"/>
              <w:widowControl w:val="0"/>
              <w:kinsoku/>
              <w:wordWrap w:val="0"/>
              <w:overflowPunct/>
              <w:topLinePunct w:val="0"/>
              <w:bidi w:val="0"/>
              <w:spacing w:line="276" w:lineRule="auto"/>
              <w:jc w:val="center"/>
              <w:textAlignment w:val="auto"/>
              <w:rPr>
                <w:rFonts w:ascii="宋体" w:hAnsi="宋体" w:eastAsia="宋体" w:cs="宋体"/>
                <w:b/>
                <w:bCs/>
                <w:color w:val="0000FF"/>
                <w:kern w:val="2"/>
                <w:lang w:eastAsia="zh-CN"/>
              </w:rPr>
            </w:pPr>
            <w:r>
              <w:rPr>
                <w:rFonts w:eastAsia="宋体"/>
                <w:b/>
                <w:bCs/>
                <w:color w:val="0000FF"/>
                <w:kern w:val="2"/>
                <w:sz w:val="21"/>
                <w:lang w:eastAsia="zh-CN"/>
              </w:rPr>
              <w:t>3</w:t>
            </w:r>
          </w:p>
        </w:tc>
        <w:tc>
          <w:tcPr>
            <w:tcW w:w="3315" w:type="dxa"/>
            <w:gridSpan w:val="3"/>
            <w:noWrap w:val="0"/>
            <w:vAlign w:val="top"/>
          </w:tcPr>
          <w:p w14:paraId="43BFC6EB">
            <w:pPr>
              <w:keepNext w:val="0"/>
              <w:keepLines w:val="0"/>
              <w:pageBreakBefore w:val="0"/>
              <w:widowControl w:val="0"/>
              <w:kinsoku/>
              <w:wordWrap w:val="0"/>
              <w:overflowPunct/>
              <w:topLinePunct w:val="0"/>
              <w:bidi w:val="0"/>
              <w:spacing w:line="276" w:lineRule="auto"/>
              <w:jc w:val="center"/>
              <w:textAlignment w:val="auto"/>
              <w:rPr>
                <w:rFonts w:ascii="宋体" w:hAnsi="宋体" w:eastAsia="宋体" w:cs="宋体"/>
                <w:b/>
                <w:bCs/>
                <w:color w:val="0000FF"/>
                <w:kern w:val="2"/>
                <w:lang w:eastAsia="zh-CN"/>
              </w:rPr>
            </w:pPr>
            <w:r>
              <w:rPr>
                <w:rFonts w:hint="eastAsia" w:eastAsia="宋体"/>
                <w:b/>
                <w:bCs/>
                <w:color w:val="0000FF"/>
                <w:kern w:val="2"/>
                <w:sz w:val="21"/>
                <w:lang w:eastAsia="zh-CN"/>
              </w:rPr>
              <w:t>商务部分</w:t>
            </w:r>
          </w:p>
        </w:tc>
        <w:tc>
          <w:tcPr>
            <w:tcW w:w="5081" w:type="dxa"/>
            <w:noWrap w:val="0"/>
            <w:vAlign w:val="top"/>
          </w:tcPr>
          <w:p w14:paraId="312FF7D4">
            <w:pPr>
              <w:keepNext w:val="0"/>
              <w:keepLines w:val="0"/>
              <w:pageBreakBefore w:val="0"/>
              <w:widowControl w:val="0"/>
              <w:kinsoku/>
              <w:wordWrap w:val="0"/>
              <w:overflowPunct/>
              <w:topLinePunct w:val="0"/>
              <w:bidi w:val="0"/>
              <w:spacing w:line="276" w:lineRule="auto"/>
              <w:jc w:val="center"/>
              <w:textAlignment w:val="auto"/>
              <w:rPr>
                <w:rFonts w:hint="eastAsia" w:ascii="宋体" w:hAnsi="宋体" w:eastAsia="宋体" w:cs="宋体"/>
                <w:b/>
                <w:bCs/>
                <w:color w:val="0000FF"/>
                <w:kern w:val="2"/>
                <w:lang w:eastAsia="zh-CN"/>
              </w:rPr>
            </w:pPr>
            <w:r>
              <w:rPr>
                <w:rFonts w:hint="eastAsia" w:ascii="宋体" w:hAnsi="宋体" w:eastAsia="宋体" w:cs="宋体"/>
                <w:b/>
                <w:bCs/>
                <w:color w:val="0000FF"/>
                <w:kern w:val="2"/>
                <w:lang w:eastAsia="zh-CN"/>
              </w:rPr>
              <w:t>31</w:t>
            </w:r>
          </w:p>
        </w:tc>
      </w:tr>
      <w:tr w14:paraId="7B592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676" w:type="dxa"/>
            <w:vMerge w:val="continue"/>
            <w:noWrap w:val="0"/>
            <w:vAlign w:val="center"/>
          </w:tcPr>
          <w:p w14:paraId="4613FA99">
            <w:pPr>
              <w:keepNext w:val="0"/>
              <w:keepLines w:val="0"/>
              <w:pageBreakBefore w:val="0"/>
              <w:widowControl w:val="0"/>
              <w:kinsoku/>
              <w:overflowPunct/>
              <w:topLinePunct w:val="0"/>
              <w:bidi w:val="0"/>
              <w:spacing w:line="276" w:lineRule="auto"/>
              <w:jc w:val="both"/>
              <w:textAlignment w:val="auto"/>
              <w:rPr>
                <w:rFonts w:ascii="宋体" w:hAnsi="宋体" w:eastAsia="宋体" w:cs="宋体"/>
                <w:b/>
                <w:bCs/>
                <w:color w:val="0000FF"/>
                <w:kern w:val="2"/>
                <w:lang w:eastAsia="zh-CN"/>
              </w:rPr>
            </w:pPr>
          </w:p>
        </w:tc>
        <w:tc>
          <w:tcPr>
            <w:tcW w:w="8396" w:type="dxa"/>
            <w:gridSpan w:val="4"/>
            <w:noWrap w:val="0"/>
            <w:vAlign w:val="top"/>
          </w:tcPr>
          <w:p w14:paraId="6BBE536F">
            <w:pPr>
              <w:keepNext w:val="0"/>
              <w:keepLines w:val="0"/>
              <w:pageBreakBefore w:val="0"/>
              <w:widowControl w:val="0"/>
              <w:kinsoku/>
              <w:wordWrap w:val="0"/>
              <w:overflowPunct/>
              <w:topLinePunct w:val="0"/>
              <w:bidi w:val="0"/>
              <w:spacing w:line="276" w:lineRule="auto"/>
              <w:jc w:val="both"/>
              <w:textAlignment w:val="auto"/>
              <w:rPr>
                <w:rFonts w:ascii="宋体" w:hAnsi="宋体" w:eastAsia="宋体" w:cs="宋体"/>
                <w:kern w:val="2"/>
                <w:sz w:val="21"/>
                <w:szCs w:val="21"/>
                <w:lang w:eastAsia="zh-CN"/>
              </w:rPr>
            </w:pPr>
          </w:p>
        </w:tc>
      </w:tr>
      <w:tr w14:paraId="51030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676" w:type="dxa"/>
            <w:vMerge w:val="continue"/>
            <w:shd w:val="clear" w:color="auto" w:fill="E6EFFA"/>
            <w:noWrap w:val="0"/>
            <w:vAlign w:val="center"/>
          </w:tcPr>
          <w:p w14:paraId="181AB77C">
            <w:pPr>
              <w:keepNext w:val="0"/>
              <w:keepLines w:val="0"/>
              <w:pageBreakBefore w:val="0"/>
              <w:widowControl w:val="0"/>
              <w:kinsoku/>
              <w:overflowPunct/>
              <w:topLinePunct w:val="0"/>
              <w:bidi w:val="0"/>
              <w:spacing w:line="276" w:lineRule="auto"/>
              <w:jc w:val="both"/>
              <w:textAlignment w:val="auto"/>
              <w:rPr>
                <w:rFonts w:ascii="宋体" w:hAnsi="宋体" w:eastAsia="宋体" w:cs="宋体"/>
                <w:b/>
                <w:bCs/>
                <w:color w:val="0000FF"/>
                <w:kern w:val="2"/>
                <w:lang w:eastAsia="zh-CN"/>
              </w:rPr>
            </w:pPr>
          </w:p>
        </w:tc>
        <w:tc>
          <w:tcPr>
            <w:tcW w:w="675" w:type="dxa"/>
            <w:shd w:val="clear" w:color="auto" w:fill="E6EFFA"/>
            <w:noWrap w:val="0"/>
            <w:vAlign w:val="center"/>
          </w:tcPr>
          <w:p w14:paraId="079B3106">
            <w:pPr>
              <w:keepNext w:val="0"/>
              <w:keepLines w:val="0"/>
              <w:pageBreakBefore w:val="0"/>
              <w:widowControl w:val="0"/>
              <w:kinsoku/>
              <w:wordWrap w:val="0"/>
              <w:overflowPunct/>
              <w:topLinePunct w:val="0"/>
              <w:bidi w:val="0"/>
              <w:spacing w:line="276" w:lineRule="auto"/>
              <w:jc w:val="center"/>
              <w:textAlignment w:val="auto"/>
              <w:rPr>
                <w:rFonts w:ascii="宋体" w:hAnsi="宋体" w:eastAsia="宋体" w:cs="宋体"/>
                <w:kern w:val="2"/>
                <w:sz w:val="21"/>
                <w:szCs w:val="21"/>
                <w:lang w:eastAsia="zh-CN"/>
              </w:rPr>
            </w:pPr>
            <w:r>
              <w:rPr>
                <w:rFonts w:eastAsia="宋体"/>
                <w:kern w:val="2"/>
                <w:sz w:val="21"/>
                <w:szCs w:val="21"/>
                <w:lang w:eastAsia="zh-CN"/>
              </w:rPr>
              <w:t>序号</w:t>
            </w:r>
          </w:p>
        </w:tc>
        <w:tc>
          <w:tcPr>
            <w:tcW w:w="1628" w:type="dxa"/>
            <w:shd w:val="clear" w:color="auto" w:fill="E6EFFA"/>
            <w:noWrap w:val="0"/>
            <w:vAlign w:val="center"/>
          </w:tcPr>
          <w:p w14:paraId="1C00D56F">
            <w:pPr>
              <w:keepNext w:val="0"/>
              <w:keepLines w:val="0"/>
              <w:pageBreakBefore w:val="0"/>
              <w:widowControl w:val="0"/>
              <w:kinsoku/>
              <w:wordWrap w:val="0"/>
              <w:overflowPunct/>
              <w:topLinePunct w:val="0"/>
              <w:bidi w:val="0"/>
              <w:spacing w:line="276" w:lineRule="auto"/>
              <w:jc w:val="center"/>
              <w:textAlignment w:val="auto"/>
              <w:rPr>
                <w:rFonts w:ascii="宋体" w:hAnsi="宋体" w:eastAsia="宋体" w:cs="宋体"/>
                <w:kern w:val="2"/>
                <w:sz w:val="21"/>
                <w:szCs w:val="21"/>
                <w:lang w:eastAsia="zh-CN"/>
              </w:rPr>
            </w:pPr>
            <w:r>
              <w:rPr>
                <w:rFonts w:hint="eastAsia" w:eastAsia="宋体"/>
                <w:kern w:val="2"/>
                <w:sz w:val="21"/>
                <w:szCs w:val="21"/>
                <w:lang w:eastAsia="zh-CN"/>
              </w:rPr>
              <w:t>评审因素</w:t>
            </w:r>
          </w:p>
        </w:tc>
        <w:tc>
          <w:tcPr>
            <w:tcW w:w="1012" w:type="dxa"/>
            <w:shd w:val="clear" w:color="auto" w:fill="E6EFFA"/>
            <w:noWrap w:val="0"/>
            <w:vAlign w:val="center"/>
          </w:tcPr>
          <w:p w14:paraId="2B06851D">
            <w:pPr>
              <w:keepNext w:val="0"/>
              <w:keepLines w:val="0"/>
              <w:pageBreakBefore w:val="0"/>
              <w:widowControl w:val="0"/>
              <w:kinsoku/>
              <w:wordWrap w:val="0"/>
              <w:overflowPunct/>
              <w:topLinePunct w:val="0"/>
              <w:bidi w:val="0"/>
              <w:spacing w:line="276" w:lineRule="auto"/>
              <w:jc w:val="center"/>
              <w:textAlignment w:val="auto"/>
              <w:rPr>
                <w:rFonts w:ascii="宋体" w:hAnsi="宋体" w:eastAsia="宋体" w:cs="宋体"/>
                <w:kern w:val="2"/>
                <w:sz w:val="21"/>
                <w:szCs w:val="21"/>
                <w:lang w:eastAsia="zh-CN"/>
              </w:rPr>
            </w:pPr>
            <w:r>
              <w:rPr>
                <w:rFonts w:eastAsia="宋体"/>
                <w:kern w:val="2"/>
                <w:sz w:val="21"/>
                <w:szCs w:val="21"/>
                <w:lang w:eastAsia="zh-CN"/>
              </w:rPr>
              <w:t>权重(%)</w:t>
            </w:r>
          </w:p>
        </w:tc>
        <w:tc>
          <w:tcPr>
            <w:tcW w:w="5081" w:type="dxa"/>
            <w:shd w:val="clear" w:color="auto" w:fill="E6EFFA"/>
            <w:noWrap w:val="0"/>
            <w:vAlign w:val="center"/>
          </w:tcPr>
          <w:p w14:paraId="28246567">
            <w:pPr>
              <w:keepNext w:val="0"/>
              <w:keepLines w:val="0"/>
              <w:pageBreakBefore w:val="0"/>
              <w:widowControl w:val="0"/>
              <w:kinsoku/>
              <w:wordWrap w:val="0"/>
              <w:overflowPunct/>
              <w:topLinePunct w:val="0"/>
              <w:bidi w:val="0"/>
              <w:spacing w:line="276" w:lineRule="auto"/>
              <w:jc w:val="center"/>
              <w:textAlignment w:val="auto"/>
              <w:rPr>
                <w:rFonts w:ascii="宋体" w:hAnsi="宋体" w:eastAsia="宋体" w:cs="宋体"/>
                <w:kern w:val="2"/>
                <w:sz w:val="21"/>
                <w:szCs w:val="21"/>
                <w:lang w:eastAsia="zh-CN"/>
              </w:rPr>
            </w:pPr>
            <w:r>
              <w:rPr>
                <w:rFonts w:eastAsia="宋体"/>
                <w:kern w:val="2"/>
                <w:sz w:val="21"/>
                <w:szCs w:val="21"/>
                <w:lang w:eastAsia="zh-CN"/>
              </w:rPr>
              <w:t>评分准则</w:t>
            </w:r>
          </w:p>
        </w:tc>
      </w:tr>
      <w:tr w14:paraId="64CB1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676" w:type="dxa"/>
            <w:vMerge w:val="continue"/>
            <w:noWrap w:val="0"/>
            <w:vAlign w:val="center"/>
          </w:tcPr>
          <w:p w14:paraId="5C8A7472">
            <w:pPr>
              <w:keepNext w:val="0"/>
              <w:keepLines w:val="0"/>
              <w:pageBreakBefore w:val="0"/>
              <w:widowControl w:val="0"/>
              <w:kinsoku/>
              <w:overflowPunct/>
              <w:topLinePunct w:val="0"/>
              <w:bidi w:val="0"/>
              <w:spacing w:line="276" w:lineRule="auto"/>
              <w:jc w:val="both"/>
              <w:textAlignment w:val="auto"/>
              <w:rPr>
                <w:rFonts w:ascii="宋体" w:hAnsi="宋体" w:eastAsia="宋体" w:cs="宋体"/>
                <w:b/>
                <w:bCs/>
                <w:color w:val="0000FF"/>
                <w:kern w:val="2"/>
                <w:lang w:eastAsia="zh-CN"/>
              </w:rPr>
            </w:pPr>
          </w:p>
        </w:tc>
        <w:tc>
          <w:tcPr>
            <w:tcW w:w="675" w:type="dxa"/>
            <w:noWrap w:val="0"/>
            <w:vAlign w:val="center"/>
          </w:tcPr>
          <w:p w14:paraId="2A257229">
            <w:pPr>
              <w:keepNext w:val="0"/>
              <w:keepLines w:val="0"/>
              <w:pageBreakBefore w:val="0"/>
              <w:widowControl w:val="0"/>
              <w:kinsoku/>
              <w:wordWrap w:val="0"/>
              <w:overflowPunct/>
              <w:topLinePunct w:val="0"/>
              <w:bidi w:val="0"/>
              <w:spacing w:line="276" w:lineRule="auto"/>
              <w:jc w:val="center"/>
              <w:textAlignment w:val="auto"/>
              <w:rPr>
                <w:rFonts w:ascii="宋体" w:hAnsi="宋体" w:eastAsia="宋体" w:cs="宋体"/>
                <w:kern w:val="2"/>
                <w:sz w:val="21"/>
                <w:szCs w:val="21"/>
                <w:lang w:eastAsia="zh-CN"/>
              </w:rPr>
            </w:pPr>
            <w:r>
              <w:rPr>
                <w:rFonts w:ascii="宋体" w:hAnsi="宋体" w:eastAsia="宋体"/>
                <w:kern w:val="2"/>
                <w:sz w:val="21"/>
                <w:szCs w:val="21"/>
                <w:lang w:eastAsia="zh-CN"/>
              </w:rPr>
              <w:t>1</w:t>
            </w:r>
          </w:p>
        </w:tc>
        <w:tc>
          <w:tcPr>
            <w:tcW w:w="1628" w:type="dxa"/>
            <w:noWrap w:val="0"/>
            <w:vAlign w:val="center"/>
          </w:tcPr>
          <w:p w14:paraId="210E7C6E">
            <w:pPr>
              <w:keepNext w:val="0"/>
              <w:keepLines w:val="0"/>
              <w:pageBreakBefore w:val="0"/>
              <w:widowControl w:val="0"/>
              <w:kinsoku/>
              <w:wordWrap w:val="0"/>
              <w:overflowPunct/>
              <w:topLinePunct w:val="0"/>
              <w:bidi w:val="0"/>
              <w:spacing w:line="276" w:lineRule="auto"/>
              <w:jc w:val="center"/>
              <w:textAlignment w:val="auto"/>
              <w:rPr>
                <w:rFonts w:ascii="宋体" w:hAnsi="宋体" w:eastAsia="宋体" w:cs="宋体"/>
                <w:kern w:val="2"/>
                <w:sz w:val="21"/>
                <w:szCs w:val="21"/>
                <w:lang w:eastAsia="zh-CN"/>
              </w:rPr>
            </w:pPr>
            <w:r>
              <w:rPr>
                <w:rFonts w:hint="eastAsia" w:ascii="宋体" w:hAnsi="宋体" w:eastAsia="宋体"/>
                <w:kern w:val="2"/>
                <w:sz w:val="21"/>
                <w:szCs w:val="21"/>
                <w:lang w:eastAsia="zh-CN"/>
              </w:rPr>
              <w:t>供应商认证情况</w:t>
            </w:r>
          </w:p>
        </w:tc>
        <w:tc>
          <w:tcPr>
            <w:tcW w:w="1012" w:type="dxa"/>
            <w:noWrap w:val="0"/>
            <w:vAlign w:val="center"/>
          </w:tcPr>
          <w:p w14:paraId="3F668632">
            <w:pPr>
              <w:keepNext w:val="0"/>
              <w:keepLines w:val="0"/>
              <w:pageBreakBefore w:val="0"/>
              <w:widowControl w:val="0"/>
              <w:kinsoku/>
              <w:wordWrap w:val="0"/>
              <w:overflowPunct/>
              <w:topLinePunct w:val="0"/>
              <w:bidi w:val="0"/>
              <w:spacing w:line="276" w:lineRule="auto"/>
              <w:jc w:val="center"/>
              <w:textAlignment w:val="auto"/>
              <w:rPr>
                <w:rFonts w:ascii="宋体" w:hAnsi="宋体" w:eastAsia="宋体" w:cs="宋体"/>
                <w:kern w:val="2"/>
                <w:sz w:val="21"/>
                <w:szCs w:val="21"/>
                <w:lang w:eastAsia="zh-CN"/>
              </w:rPr>
            </w:pPr>
            <w:r>
              <w:rPr>
                <w:rFonts w:ascii="宋体" w:hAnsi="宋体" w:eastAsia="宋体"/>
                <w:kern w:val="2"/>
                <w:sz w:val="21"/>
                <w:szCs w:val="21"/>
                <w:lang w:eastAsia="zh-CN"/>
              </w:rPr>
              <w:t>10</w:t>
            </w:r>
          </w:p>
        </w:tc>
        <w:tc>
          <w:tcPr>
            <w:tcW w:w="5081" w:type="dxa"/>
            <w:noWrap w:val="0"/>
            <w:vAlign w:val="top"/>
          </w:tcPr>
          <w:p w14:paraId="27CF798A">
            <w:pPr>
              <w:keepNext w:val="0"/>
              <w:keepLines w:val="0"/>
              <w:pageBreakBefore w:val="0"/>
              <w:widowControl w:val="0"/>
              <w:kinsoku/>
              <w:wordWrap/>
              <w:overflowPunct/>
              <w:topLinePunct w:val="0"/>
              <w:autoSpaceDE/>
              <w:autoSpaceDN/>
              <w:bidi w:val="0"/>
              <w:adjustRightInd/>
              <w:snapToGrid/>
              <w:spacing w:line="276" w:lineRule="auto"/>
              <w:jc w:val="left"/>
              <w:textAlignment w:val="auto"/>
              <w:rPr>
                <w:rFonts w:ascii="宋体" w:hAnsi="宋体" w:eastAsia="宋体" w:cs="宋体"/>
                <w:kern w:val="2"/>
                <w:sz w:val="21"/>
                <w:szCs w:val="21"/>
                <w:lang w:eastAsia="zh-CN"/>
              </w:rPr>
            </w:pPr>
            <w:r>
              <w:rPr>
                <w:rFonts w:hint="eastAsia" w:ascii="宋体" w:hAnsi="宋体" w:eastAsia="宋体" w:cs="宋体"/>
                <w:kern w:val="2"/>
                <w:sz w:val="21"/>
                <w:szCs w:val="21"/>
                <w:lang w:eastAsia="zh-CN"/>
              </w:rPr>
              <w:t>（一）评分内容：</w:t>
            </w:r>
          </w:p>
          <w:p w14:paraId="46DC81FD">
            <w:pPr>
              <w:keepNext w:val="0"/>
              <w:keepLines w:val="0"/>
              <w:pageBreakBefore w:val="0"/>
              <w:widowControl w:val="0"/>
              <w:kinsoku/>
              <w:wordWrap/>
              <w:overflowPunct/>
              <w:topLinePunct w:val="0"/>
              <w:autoSpaceDE/>
              <w:autoSpaceDN/>
              <w:bidi w:val="0"/>
              <w:adjustRightInd/>
              <w:snapToGrid/>
              <w:spacing w:line="276" w:lineRule="auto"/>
              <w:jc w:val="left"/>
              <w:textAlignment w:val="auto"/>
              <w:rPr>
                <w:rFonts w:eastAsia="宋体"/>
                <w:kern w:val="2"/>
                <w:sz w:val="21"/>
                <w:lang w:eastAsia="zh-CN"/>
              </w:rPr>
            </w:pPr>
            <w:r>
              <w:rPr>
                <w:rFonts w:hint="eastAsia" w:ascii="宋体" w:hAnsi="宋体" w:eastAsia="宋体" w:cs="宋体"/>
                <w:kern w:val="2"/>
                <w:sz w:val="21"/>
                <w:szCs w:val="21"/>
                <w:lang w:eastAsia="zh-CN"/>
              </w:rPr>
              <w:t>1.具有工业和信息化领域数据安全风险评估服务认证证书，得100分</w:t>
            </w:r>
            <w:r>
              <w:rPr>
                <w:rFonts w:hint="eastAsia" w:eastAsia="宋体"/>
                <w:kern w:val="2"/>
                <w:sz w:val="21"/>
                <w:lang w:eastAsia="zh-CN"/>
              </w:rPr>
              <w:t>。</w:t>
            </w:r>
          </w:p>
          <w:p w14:paraId="0D7A292D">
            <w:pPr>
              <w:keepNext w:val="0"/>
              <w:keepLines w:val="0"/>
              <w:pageBreakBefore w:val="0"/>
              <w:widowControl w:val="0"/>
              <w:kinsoku/>
              <w:overflowPunct/>
              <w:topLinePunct w:val="0"/>
              <w:bidi w:val="0"/>
              <w:adjustRightInd/>
              <w:snapToGrid/>
              <w:spacing w:line="276" w:lineRule="auto"/>
              <w:jc w:val="left"/>
              <w:textAlignment w:val="auto"/>
              <w:rPr>
                <w:rFonts w:ascii="宋体" w:hAnsi="宋体" w:eastAsia="宋体" w:cs="宋体"/>
                <w:b/>
                <w:bCs/>
                <w:kern w:val="2"/>
                <w:sz w:val="21"/>
                <w:szCs w:val="21"/>
                <w:lang w:eastAsia="zh-CN"/>
              </w:rPr>
            </w:pPr>
            <w:r>
              <w:rPr>
                <w:rFonts w:hint="eastAsia" w:ascii="宋体" w:hAnsi="宋体" w:eastAsia="宋体" w:cs="宋体"/>
                <w:b/>
                <w:bCs/>
                <w:kern w:val="2"/>
                <w:sz w:val="21"/>
                <w:szCs w:val="21"/>
                <w:lang w:eastAsia="zh-CN"/>
              </w:rPr>
              <w:t>（二）评分依据：</w:t>
            </w:r>
          </w:p>
          <w:p w14:paraId="56C803F8">
            <w:pPr>
              <w:keepNext w:val="0"/>
              <w:keepLines w:val="0"/>
              <w:pageBreakBefore w:val="0"/>
              <w:widowControl w:val="0"/>
              <w:kinsoku/>
              <w:wordWrap/>
              <w:overflowPunct/>
              <w:topLinePunct w:val="0"/>
              <w:autoSpaceDE/>
              <w:autoSpaceDN/>
              <w:bidi w:val="0"/>
              <w:adjustRightInd/>
              <w:snapToGrid/>
              <w:spacing w:line="276" w:lineRule="auto"/>
              <w:jc w:val="left"/>
              <w:textAlignment w:val="auto"/>
              <w:rPr>
                <w:rFonts w:eastAsia="宋体"/>
                <w:kern w:val="2"/>
                <w:sz w:val="21"/>
                <w:lang w:eastAsia="zh-CN"/>
              </w:rPr>
            </w:pPr>
            <w:r>
              <w:rPr>
                <w:rFonts w:hint="eastAsia" w:eastAsia="宋体"/>
                <w:kern w:val="2"/>
                <w:sz w:val="21"/>
                <w:lang w:eastAsia="zh-CN"/>
              </w:rPr>
              <w:t>要求提有有效的认证证书扫描件，及出具证书官网或全国认证认可信息公共服务平台（http://cx.cnca.cn/）的证书查询记录。认证证书在公开渠道无法查询的，需提供颁发机构的证明材料，证明证书真实有效。评分中出现无证明资料或专家无法凭所提供资料判断是否得分的情况，一律作不得分处理。</w:t>
            </w:r>
          </w:p>
        </w:tc>
      </w:tr>
      <w:tr w14:paraId="152D7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676" w:type="dxa"/>
            <w:vMerge w:val="continue"/>
            <w:noWrap w:val="0"/>
            <w:vAlign w:val="center"/>
          </w:tcPr>
          <w:p w14:paraId="795EC314">
            <w:pPr>
              <w:keepNext w:val="0"/>
              <w:keepLines w:val="0"/>
              <w:pageBreakBefore w:val="0"/>
              <w:widowControl w:val="0"/>
              <w:kinsoku/>
              <w:overflowPunct/>
              <w:topLinePunct w:val="0"/>
              <w:bidi w:val="0"/>
              <w:spacing w:line="276" w:lineRule="auto"/>
              <w:jc w:val="both"/>
              <w:textAlignment w:val="auto"/>
              <w:rPr>
                <w:rFonts w:ascii="宋体" w:hAnsi="宋体" w:eastAsia="宋体" w:cs="宋体"/>
                <w:b/>
                <w:bCs/>
                <w:color w:val="0000FF"/>
                <w:kern w:val="2"/>
                <w:lang w:eastAsia="zh-CN"/>
              </w:rPr>
            </w:pPr>
          </w:p>
        </w:tc>
        <w:tc>
          <w:tcPr>
            <w:tcW w:w="675" w:type="dxa"/>
            <w:noWrap w:val="0"/>
            <w:vAlign w:val="center"/>
          </w:tcPr>
          <w:p w14:paraId="3605F5C0">
            <w:pPr>
              <w:keepNext w:val="0"/>
              <w:keepLines w:val="0"/>
              <w:pageBreakBefore w:val="0"/>
              <w:widowControl w:val="0"/>
              <w:kinsoku/>
              <w:wordWrap w:val="0"/>
              <w:overflowPunct/>
              <w:topLinePunct w:val="0"/>
              <w:bidi w:val="0"/>
              <w:spacing w:line="276" w:lineRule="auto"/>
              <w:jc w:val="center"/>
              <w:textAlignment w:val="auto"/>
              <w:rPr>
                <w:rFonts w:ascii="宋体" w:hAnsi="宋体" w:eastAsia="宋体" w:cs="宋体"/>
                <w:kern w:val="2"/>
                <w:sz w:val="21"/>
                <w:szCs w:val="21"/>
                <w:lang w:eastAsia="zh-CN"/>
              </w:rPr>
            </w:pPr>
            <w:r>
              <w:rPr>
                <w:rFonts w:hint="eastAsia" w:ascii="宋体" w:hAnsi="宋体" w:eastAsia="宋体"/>
                <w:kern w:val="2"/>
                <w:sz w:val="21"/>
                <w:szCs w:val="21"/>
                <w:lang w:eastAsia="zh-CN"/>
              </w:rPr>
              <w:t>2</w:t>
            </w:r>
          </w:p>
        </w:tc>
        <w:tc>
          <w:tcPr>
            <w:tcW w:w="1628" w:type="dxa"/>
            <w:noWrap w:val="0"/>
            <w:vAlign w:val="center"/>
          </w:tcPr>
          <w:p w14:paraId="27D79FC3">
            <w:pPr>
              <w:keepNext w:val="0"/>
              <w:keepLines w:val="0"/>
              <w:pageBreakBefore w:val="0"/>
              <w:widowControl w:val="0"/>
              <w:kinsoku/>
              <w:wordWrap w:val="0"/>
              <w:overflowPunct/>
              <w:topLinePunct w:val="0"/>
              <w:bidi w:val="0"/>
              <w:spacing w:line="276" w:lineRule="auto"/>
              <w:jc w:val="center"/>
              <w:textAlignment w:val="auto"/>
              <w:rPr>
                <w:rFonts w:ascii="宋体" w:hAnsi="宋体" w:eastAsia="宋体" w:cs="宋体"/>
                <w:kern w:val="2"/>
                <w:sz w:val="21"/>
                <w:szCs w:val="21"/>
                <w:lang w:eastAsia="zh-CN"/>
              </w:rPr>
            </w:pPr>
            <w:r>
              <w:rPr>
                <w:rFonts w:hint="eastAsia" w:ascii="宋体" w:hAnsi="宋体" w:eastAsia="宋体"/>
                <w:kern w:val="2"/>
                <w:sz w:val="21"/>
                <w:szCs w:val="21"/>
                <w:lang w:eastAsia="zh-CN"/>
              </w:rPr>
              <w:t>供应商同类项目业绩情况</w:t>
            </w:r>
          </w:p>
        </w:tc>
        <w:tc>
          <w:tcPr>
            <w:tcW w:w="1012" w:type="dxa"/>
            <w:noWrap w:val="0"/>
            <w:vAlign w:val="center"/>
          </w:tcPr>
          <w:p w14:paraId="6D9B7D49">
            <w:pPr>
              <w:keepNext w:val="0"/>
              <w:keepLines w:val="0"/>
              <w:pageBreakBefore w:val="0"/>
              <w:widowControl w:val="0"/>
              <w:kinsoku/>
              <w:wordWrap w:val="0"/>
              <w:overflowPunct/>
              <w:topLinePunct w:val="0"/>
              <w:bidi w:val="0"/>
              <w:spacing w:line="276" w:lineRule="auto"/>
              <w:jc w:val="center"/>
              <w:textAlignment w:val="auto"/>
              <w:rPr>
                <w:rFonts w:ascii="宋体" w:hAnsi="宋体" w:eastAsia="宋体" w:cs="宋体"/>
                <w:kern w:val="2"/>
                <w:sz w:val="21"/>
                <w:szCs w:val="21"/>
                <w:lang w:eastAsia="zh-CN"/>
              </w:rPr>
            </w:pPr>
            <w:r>
              <w:rPr>
                <w:rFonts w:hint="eastAsia" w:ascii="宋体" w:hAnsi="宋体" w:eastAsia="宋体"/>
                <w:kern w:val="2"/>
                <w:sz w:val="21"/>
                <w:szCs w:val="21"/>
                <w:lang w:eastAsia="zh-CN"/>
              </w:rPr>
              <w:t>5</w:t>
            </w:r>
          </w:p>
        </w:tc>
        <w:tc>
          <w:tcPr>
            <w:tcW w:w="5081" w:type="dxa"/>
            <w:noWrap w:val="0"/>
            <w:vAlign w:val="top"/>
          </w:tcPr>
          <w:p w14:paraId="3370FF5D">
            <w:pPr>
              <w:keepNext w:val="0"/>
              <w:keepLines w:val="0"/>
              <w:pageBreakBefore w:val="0"/>
              <w:widowControl w:val="0"/>
              <w:kinsoku/>
              <w:wordWrap/>
              <w:overflowPunct/>
              <w:topLinePunct w:val="0"/>
              <w:autoSpaceDE/>
              <w:autoSpaceDN/>
              <w:bidi w:val="0"/>
              <w:adjustRightInd/>
              <w:snapToGrid/>
              <w:spacing w:line="276" w:lineRule="auto"/>
              <w:jc w:val="left"/>
              <w:textAlignment w:val="auto"/>
              <w:rPr>
                <w:rFonts w:hint="eastAsia" w:ascii="宋体" w:hAnsi="宋体" w:eastAsia="宋体" w:cs="宋体"/>
                <w:bCs/>
                <w:kern w:val="2"/>
                <w:sz w:val="21"/>
                <w:szCs w:val="21"/>
                <w:lang w:val="zh-CN" w:eastAsia="zh-CN"/>
              </w:rPr>
            </w:pPr>
            <w:r>
              <w:rPr>
                <w:rFonts w:hint="eastAsia" w:ascii="宋体" w:hAnsi="宋体" w:eastAsia="宋体" w:cs="宋体"/>
                <w:bCs/>
                <w:kern w:val="2"/>
                <w:sz w:val="21"/>
                <w:szCs w:val="21"/>
                <w:lang w:val="zh-CN" w:eastAsia="zh-CN"/>
              </w:rPr>
              <w:t>（一）评分内容：</w:t>
            </w:r>
          </w:p>
          <w:p w14:paraId="775301C3">
            <w:pPr>
              <w:keepNext w:val="0"/>
              <w:keepLines w:val="0"/>
              <w:pageBreakBefore w:val="0"/>
              <w:widowControl w:val="0"/>
              <w:kinsoku/>
              <w:wordWrap/>
              <w:overflowPunct/>
              <w:topLinePunct w:val="0"/>
              <w:autoSpaceDE/>
              <w:autoSpaceDN/>
              <w:bidi w:val="0"/>
              <w:adjustRightInd/>
              <w:snapToGrid/>
              <w:spacing w:line="276" w:lineRule="auto"/>
              <w:jc w:val="left"/>
              <w:textAlignment w:val="auto"/>
              <w:rPr>
                <w:rFonts w:eastAsia="宋体"/>
                <w:kern w:val="2"/>
                <w:sz w:val="21"/>
                <w:lang w:eastAsia="zh-CN"/>
              </w:rPr>
            </w:pPr>
            <w:r>
              <w:rPr>
                <w:rFonts w:hint="eastAsia" w:ascii="宋体" w:hAnsi="宋体" w:eastAsia="宋体" w:cs="宋体"/>
                <w:bCs/>
                <w:kern w:val="2"/>
                <w:sz w:val="21"/>
                <w:szCs w:val="21"/>
                <w:lang w:eastAsia="zh-CN"/>
              </w:rPr>
              <w:t>1.</w:t>
            </w:r>
            <w:r>
              <w:rPr>
                <w:rFonts w:hint="eastAsia" w:ascii="宋体" w:hAnsi="宋体" w:eastAsia="宋体" w:cs="宋体"/>
                <w:kern w:val="2"/>
                <w:sz w:val="21"/>
                <w:szCs w:val="21"/>
                <w:lang w:eastAsia="zh-CN"/>
              </w:rPr>
              <w:t>投标人提供2022年11月1日至本项目截标日止（以合同签订时间为准），第三方验收测评或商用密码应用安全性测评服务或</w:t>
            </w:r>
            <w:r>
              <w:rPr>
                <w:rFonts w:ascii="宋体" w:hAnsi="宋体" w:eastAsia="宋体" w:cs="宋体"/>
                <w:kern w:val="2"/>
                <w:sz w:val="21"/>
                <w:szCs w:val="21"/>
                <w:lang w:eastAsia="zh-CN"/>
              </w:rPr>
              <w:t>网络安全等级保护测评服务</w:t>
            </w:r>
            <w:r>
              <w:rPr>
                <w:rFonts w:hint="eastAsia" w:ascii="宋体" w:hAnsi="宋体" w:eastAsia="宋体" w:cs="宋体"/>
                <w:kern w:val="2"/>
                <w:sz w:val="21"/>
                <w:szCs w:val="21"/>
                <w:lang w:eastAsia="zh-CN"/>
              </w:rPr>
              <w:t>相关项目业绩，每提供1个得10分，本项最高得100分。</w:t>
            </w:r>
          </w:p>
          <w:p w14:paraId="33D09A3F">
            <w:pPr>
              <w:keepNext w:val="0"/>
              <w:keepLines w:val="0"/>
              <w:pageBreakBefore w:val="0"/>
              <w:widowControl w:val="0"/>
              <w:kinsoku/>
              <w:wordWrap/>
              <w:overflowPunct/>
              <w:topLinePunct w:val="0"/>
              <w:autoSpaceDE/>
              <w:autoSpaceDN/>
              <w:bidi w:val="0"/>
              <w:adjustRightInd/>
              <w:snapToGrid/>
              <w:spacing w:line="276" w:lineRule="auto"/>
              <w:jc w:val="left"/>
              <w:textAlignment w:val="auto"/>
              <w:rPr>
                <w:rFonts w:hint="eastAsia" w:ascii="宋体" w:hAnsi="宋体" w:eastAsia="宋体" w:cs="宋体"/>
                <w:bCs/>
                <w:kern w:val="2"/>
                <w:sz w:val="21"/>
                <w:szCs w:val="21"/>
                <w:lang w:val="zh-CN" w:eastAsia="zh-CN"/>
              </w:rPr>
            </w:pPr>
            <w:r>
              <w:rPr>
                <w:rFonts w:hint="eastAsia" w:ascii="宋体" w:hAnsi="宋体" w:eastAsia="宋体" w:cs="宋体"/>
                <w:bCs/>
                <w:kern w:val="2"/>
                <w:sz w:val="21"/>
                <w:szCs w:val="21"/>
                <w:lang w:val="zh-CN" w:eastAsia="zh-CN"/>
              </w:rPr>
              <w:t>（二）评分依据：</w:t>
            </w:r>
          </w:p>
          <w:p w14:paraId="254A966D">
            <w:pPr>
              <w:keepNext w:val="0"/>
              <w:keepLines w:val="0"/>
              <w:pageBreakBefore w:val="0"/>
              <w:widowControl w:val="0"/>
              <w:kinsoku/>
              <w:wordWrap/>
              <w:overflowPunct/>
              <w:topLinePunct w:val="0"/>
              <w:autoSpaceDE/>
              <w:autoSpaceDN/>
              <w:bidi w:val="0"/>
              <w:adjustRightInd/>
              <w:snapToGrid/>
              <w:spacing w:line="276" w:lineRule="auto"/>
              <w:jc w:val="left"/>
              <w:textAlignment w:val="auto"/>
              <w:rPr>
                <w:rFonts w:hint="eastAsia" w:ascii="宋体" w:hAnsi="宋体" w:eastAsia="宋体" w:cs="宋体"/>
                <w:bCs/>
                <w:kern w:val="2"/>
                <w:sz w:val="21"/>
                <w:szCs w:val="21"/>
                <w:lang w:val="zh-CN" w:eastAsia="zh-CN"/>
              </w:rPr>
            </w:pPr>
            <w:r>
              <w:rPr>
                <w:rFonts w:hint="eastAsia" w:ascii="宋体" w:hAnsi="宋体" w:eastAsia="宋体" w:cs="宋体"/>
                <w:bCs/>
                <w:kern w:val="2"/>
                <w:sz w:val="21"/>
                <w:szCs w:val="21"/>
                <w:lang w:val="zh-CN" w:eastAsia="zh-CN"/>
              </w:rPr>
              <w:t>1.</w:t>
            </w:r>
            <w:r>
              <w:rPr>
                <w:rFonts w:hint="eastAsia" w:ascii="宋体" w:hAnsi="宋体" w:eastAsia="宋体" w:cs="宋体"/>
                <w:kern w:val="2"/>
                <w:sz w:val="21"/>
                <w:szCs w:val="21"/>
                <w:lang w:eastAsia="zh-CN"/>
              </w:rPr>
              <w:t>要求投标人提供合同关键信息证明文件扫描件（合同关键信息指合同首页、体现项目采购内容页、合同签订日期页、签字或盖章页）作为得分依据。</w:t>
            </w:r>
          </w:p>
          <w:p w14:paraId="66772AC4">
            <w:pPr>
              <w:keepNext w:val="0"/>
              <w:keepLines w:val="0"/>
              <w:pageBreakBefore w:val="0"/>
              <w:widowControl w:val="0"/>
              <w:kinsoku/>
              <w:wordWrap/>
              <w:overflowPunct/>
              <w:topLinePunct w:val="0"/>
              <w:autoSpaceDE/>
              <w:autoSpaceDN/>
              <w:bidi w:val="0"/>
              <w:adjustRightInd/>
              <w:snapToGrid/>
              <w:spacing w:line="276" w:lineRule="auto"/>
              <w:jc w:val="left"/>
              <w:textAlignment w:val="auto"/>
              <w:rPr>
                <w:rFonts w:eastAsia="宋体"/>
                <w:kern w:val="2"/>
                <w:sz w:val="21"/>
                <w:szCs w:val="21"/>
                <w:lang w:eastAsia="zh-CN"/>
              </w:rPr>
            </w:pPr>
            <w:r>
              <w:rPr>
                <w:rFonts w:hint="eastAsia" w:ascii="宋体" w:hAnsi="宋体" w:eastAsia="宋体" w:cs="宋体"/>
                <w:bCs/>
                <w:kern w:val="2"/>
                <w:sz w:val="21"/>
                <w:szCs w:val="21"/>
                <w:lang w:val="zh-CN" w:eastAsia="zh-CN"/>
              </w:rPr>
              <w:t>2.以上资料均要求提供</w:t>
            </w:r>
            <w:r>
              <w:rPr>
                <w:rFonts w:hint="eastAsia" w:ascii="宋体" w:hAnsi="宋体" w:eastAsia="宋体" w:cs="宋体"/>
                <w:bCs/>
                <w:kern w:val="2"/>
                <w:sz w:val="21"/>
                <w:szCs w:val="21"/>
                <w:lang w:eastAsia="zh-CN"/>
              </w:rPr>
              <w:t>扫描件</w:t>
            </w:r>
            <w:r>
              <w:rPr>
                <w:rFonts w:hint="eastAsia" w:ascii="宋体" w:hAnsi="宋体" w:eastAsia="宋体" w:cs="宋体"/>
                <w:bCs/>
                <w:kern w:val="2"/>
                <w:sz w:val="21"/>
                <w:szCs w:val="21"/>
                <w:lang w:val="zh-CN" w:eastAsia="zh-CN"/>
              </w:rPr>
              <w:t>。评分中出现无证明资料或专家无法凭所提供资料判断是否得分的情况，一律作不得分处理。</w:t>
            </w:r>
          </w:p>
        </w:tc>
      </w:tr>
      <w:tr w14:paraId="04510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rHeight w:val="2364" w:hRule="atLeast"/>
          <w:tblCellSpacing w:w="0" w:type="dxa"/>
          <w:jc w:val="center"/>
        </w:trPr>
        <w:tc>
          <w:tcPr>
            <w:tcW w:w="676" w:type="dxa"/>
            <w:vMerge w:val="continue"/>
            <w:noWrap w:val="0"/>
            <w:vAlign w:val="center"/>
          </w:tcPr>
          <w:p w14:paraId="323A5383">
            <w:pPr>
              <w:keepNext w:val="0"/>
              <w:keepLines w:val="0"/>
              <w:pageBreakBefore w:val="0"/>
              <w:widowControl w:val="0"/>
              <w:kinsoku/>
              <w:overflowPunct/>
              <w:topLinePunct w:val="0"/>
              <w:bidi w:val="0"/>
              <w:spacing w:line="276" w:lineRule="auto"/>
              <w:jc w:val="both"/>
              <w:textAlignment w:val="auto"/>
              <w:rPr>
                <w:rFonts w:ascii="宋体" w:hAnsi="宋体" w:eastAsia="宋体" w:cs="宋体"/>
                <w:b/>
                <w:bCs/>
                <w:color w:val="0000FF"/>
                <w:kern w:val="2"/>
                <w:lang w:eastAsia="zh-CN"/>
              </w:rPr>
            </w:pPr>
          </w:p>
        </w:tc>
        <w:tc>
          <w:tcPr>
            <w:tcW w:w="675" w:type="dxa"/>
            <w:noWrap w:val="0"/>
            <w:vAlign w:val="center"/>
          </w:tcPr>
          <w:p w14:paraId="75D29A47">
            <w:pPr>
              <w:keepNext w:val="0"/>
              <w:keepLines w:val="0"/>
              <w:pageBreakBefore w:val="0"/>
              <w:widowControl w:val="0"/>
              <w:kinsoku/>
              <w:wordWrap w:val="0"/>
              <w:overflowPunct/>
              <w:topLinePunct w:val="0"/>
              <w:bidi w:val="0"/>
              <w:spacing w:line="276" w:lineRule="auto"/>
              <w:jc w:val="center"/>
              <w:textAlignment w:val="auto"/>
              <w:rPr>
                <w:rFonts w:ascii="宋体" w:hAnsi="宋体" w:eastAsia="宋体" w:cs="宋体"/>
                <w:kern w:val="2"/>
                <w:sz w:val="21"/>
                <w:szCs w:val="21"/>
                <w:lang w:eastAsia="zh-CN"/>
              </w:rPr>
            </w:pPr>
            <w:r>
              <w:rPr>
                <w:rFonts w:hint="eastAsia" w:ascii="宋体" w:hAnsi="宋体" w:eastAsia="宋体"/>
                <w:kern w:val="2"/>
                <w:sz w:val="21"/>
                <w:szCs w:val="21"/>
                <w:lang w:eastAsia="zh-CN"/>
              </w:rPr>
              <w:t>3</w:t>
            </w:r>
          </w:p>
        </w:tc>
        <w:tc>
          <w:tcPr>
            <w:tcW w:w="1628" w:type="dxa"/>
            <w:noWrap w:val="0"/>
            <w:vAlign w:val="center"/>
          </w:tcPr>
          <w:p w14:paraId="0354188D">
            <w:pPr>
              <w:keepNext w:val="0"/>
              <w:keepLines w:val="0"/>
              <w:pageBreakBefore w:val="0"/>
              <w:widowControl w:val="0"/>
              <w:kinsoku/>
              <w:wordWrap w:val="0"/>
              <w:overflowPunct/>
              <w:topLinePunct w:val="0"/>
              <w:bidi w:val="0"/>
              <w:spacing w:line="276" w:lineRule="auto"/>
              <w:jc w:val="center"/>
              <w:textAlignment w:val="auto"/>
              <w:rPr>
                <w:rFonts w:ascii="宋体" w:hAnsi="宋体" w:eastAsia="宋体" w:cs="宋体"/>
                <w:kern w:val="2"/>
                <w:sz w:val="21"/>
                <w:szCs w:val="21"/>
                <w:lang w:eastAsia="zh-CN"/>
              </w:rPr>
            </w:pPr>
            <w:r>
              <w:rPr>
                <w:rFonts w:hint="eastAsia" w:ascii="宋体" w:hAnsi="宋体" w:eastAsia="宋体"/>
                <w:kern w:val="2"/>
                <w:sz w:val="21"/>
                <w:szCs w:val="21"/>
                <w:lang w:eastAsia="zh-CN"/>
              </w:rPr>
              <w:t>供应商获奖情况</w:t>
            </w:r>
          </w:p>
        </w:tc>
        <w:tc>
          <w:tcPr>
            <w:tcW w:w="1012" w:type="dxa"/>
            <w:noWrap w:val="0"/>
            <w:vAlign w:val="center"/>
          </w:tcPr>
          <w:p w14:paraId="2750DD33">
            <w:pPr>
              <w:keepNext w:val="0"/>
              <w:keepLines w:val="0"/>
              <w:pageBreakBefore w:val="0"/>
              <w:widowControl w:val="0"/>
              <w:kinsoku/>
              <w:wordWrap w:val="0"/>
              <w:overflowPunct/>
              <w:topLinePunct w:val="0"/>
              <w:bidi w:val="0"/>
              <w:spacing w:line="276" w:lineRule="auto"/>
              <w:jc w:val="center"/>
              <w:textAlignment w:val="auto"/>
              <w:rPr>
                <w:rFonts w:ascii="宋体" w:hAnsi="宋体" w:eastAsia="宋体" w:cs="宋体"/>
                <w:kern w:val="2"/>
                <w:sz w:val="21"/>
                <w:szCs w:val="21"/>
                <w:lang w:eastAsia="zh-CN"/>
              </w:rPr>
            </w:pPr>
            <w:r>
              <w:rPr>
                <w:rFonts w:hint="eastAsia" w:ascii="宋体" w:hAnsi="宋体" w:eastAsia="宋体"/>
                <w:kern w:val="2"/>
                <w:sz w:val="21"/>
                <w:szCs w:val="21"/>
                <w:lang w:eastAsia="zh-CN"/>
              </w:rPr>
              <w:t>6</w:t>
            </w:r>
          </w:p>
        </w:tc>
        <w:tc>
          <w:tcPr>
            <w:tcW w:w="5081" w:type="dxa"/>
            <w:noWrap w:val="0"/>
            <w:vAlign w:val="top"/>
          </w:tcPr>
          <w:p w14:paraId="25CFEA7A">
            <w:pPr>
              <w:keepNext w:val="0"/>
              <w:keepLines w:val="0"/>
              <w:pageBreakBefore w:val="0"/>
              <w:widowControl w:val="0"/>
              <w:kinsoku/>
              <w:overflowPunct/>
              <w:topLinePunct w:val="0"/>
              <w:bidi w:val="0"/>
              <w:adjustRightInd w:val="0"/>
              <w:snapToGrid w:val="0"/>
              <w:spacing w:line="276" w:lineRule="auto"/>
              <w:jc w:val="both"/>
              <w:textAlignment w:val="auto"/>
              <w:rPr>
                <w:rFonts w:ascii="宋体" w:hAnsi="宋体" w:eastAsia="宋体" w:cs="宋体"/>
                <w:b/>
                <w:bCs/>
                <w:kern w:val="2"/>
                <w:sz w:val="21"/>
                <w:szCs w:val="21"/>
                <w:lang w:eastAsia="zh-CN"/>
              </w:rPr>
            </w:pPr>
            <w:r>
              <w:rPr>
                <w:rFonts w:hint="eastAsia" w:ascii="宋体" w:hAnsi="宋体" w:eastAsia="宋体" w:cs="宋体"/>
                <w:b/>
                <w:bCs/>
                <w:kern w:val="2"/>
                <w:sz w:val="21"/>
                <w:szCs w:val="21"/>
                <w:lang w:eastAsia="zh-CN"/>
              </w:rPr>
              <w:t>（一）评分内容：</w:t>
            </w:r>
          </w:p>
          <w:p w14:paraId="08EB13C8">
            <w:pPr>
              <w:keepNext w:val="0"/>
              <w:keepLines w:val="0"/>
              <w:pageBreakBefore w:val="0"/>
              <w:widowControl w:val="0"/>
              <w:kinsoku/>
              <w:wordWrap w:val="0"/>
              <w:overflowPunct/>
              <w:topLinePunct w:val="0"/>
              <w:bidi w:val="0"/>
              <w:spacing w:line="276" w:lineRule="auto"/>
              <w:jc w:val="both"/>
              <w:textAlignment w:val="auto"/>
              <w:rPr>
                <w:rFonts w:ascii="宋体" w:hAnsi="宋体" w:eastAsia="宋体" w:cs="宋体"/>
                <w:kern w:val="2"/>
                <w:sz w:val="21"/>
                <w:szCs w:val="21"/>
                <w:lang w:eastAsia="zh-CN"/>
              </w:rPr>
            </w:pPr>
            <w:r>
              <w:rPr>
                <w:rFonts w:hint="eastAsia" w:ascii="宋体" w:hAnsi="宋体" w:eastAsia="宋体" w:cs="宋体"/>
                <w:kern w:val="2"/>
                <w:sz w:val="21"/>
                <w:szCs w:val="21"/>
                <w:lang w:eastAsia="zh-CN"/>
              </w:rPr>
              <w:t>投标人</w:t>
            </w:r>
            <w:r>
              <w:rPr>
                <w:rFonts w:hint="eastAsia" w:ascii="宋体" w:hAnsi="宋体" w:eastAsia="宋体" w:cs="宋体"/>
                <w:color w:val="000000"/>
                <w:sz w:val="20"/>
                <w:szCs w:val="20"/>
                <w:lang w:eastAsia="zh-CN" w:bidi="ar"/>
              </w:rPr>
              <w:t>作为牵头单位起草信息系统安全应用相关的国家标准的</w:t>
            </w:r>
            <w:r>
              <w:rPr>
                <w:rFonts w:hint="eastAsia" w:ascii="宋体" w:hAnsi="宋体" w:eastAsia="宋体" w:cs="宋体"/>
                <w:kern w:val="2"/>
                <w:sz w:val="21"/>
                <w:szCs w:val="21"/>
                <w:lang w:eastAsia="zh-CN"/>
              </w:rPr>
              <w:t>，得100分；否则，得0分。</w:t>
            </w:r>
          </w:p>
          <w:p w14:paraId="30368FE7">
            <w:pPr>
              <w:keepNext w:val="0"/>
              <w:keepLines w:val="0"/>
              <w:pageBreakBefore w:val="0"/>
              <w:widowControl w:val="0"/>
              <w:kinsoku/>
              <w:overflowPunct/>
              <w:topLinePunct w:val="0"/>
              <w:bidi w:val="0"/>
              <w:adjustRightInd w:val="0"/>
              <w:snapToGrid w:val="0"/>
              <w:spacing w:line="276" w:lineRule="auto"/>
              <w:jc w:val="both"/>
              <w:textAlignment w:val="auto"/>
              <w:rPr>
                <w:rFonts w:ascii="宋体" w:hAnsi="宋体" w:eastAsia="宋体" w:cs="宋体"/>
                <w:b/>
                <w:bCs/>
                <w:kern w:val="2"/>
                <w:sz w:val="21"/>
                <w:szCs w:val="21"/>
                <w:lang w:eastAsia="zh-CN"/>
              </w:rPr>
            </w:pPr>
            <w:r>
              <w:rPr>
                <w:rFonts w:hint="eastAsia" w:ascii="宋体" w:hAnsi="宋体" w:eastAsia="宋体" w:cs="宋体"/>
                <w:b/>
                <w:bCs/>
                <w:kern w:val="2"/>
                <w:sz w:val="21"/>
                <w:szCs w:val="21"/>
                <w:lang w:eastAsia="zh-CN"/>
              </w:rPr>
              <w:t>（二）评分依据：</w:t>
            </w:r>
          </w:p>
          <w:p w14:paraId="2ECB7D17">
            <w:pPr>
              <w:keepNext w:val="0"/>
              <w:keepLines w:val="0"/>
              <w:pageBreakBefore w:val="0"/>
              <w:widowControl w:val="0"/>
              <w:kinsoku/>
              <w:overflowPunct/>
              <w:topLinePunct w:val="0"/>
              <w:bidi w:val="0"/>
              <w:spacing w:line="276" w:lineRule="auto"/>
              <w:jc w:val="left"/>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1.要求提供全国标准信息公共服务平台截图等证明材料作为得分依据。</w:t>
            </w:r>
          </w:p>
          <w:p w14:paraId="6E949BC4">
            <w:pPr>
              <w:keepNext w:val="0"/>
              <w:keepLines w:val="0"/>
              <w:pageBreakBefore w:val="0"/>
              <w:widowControl w:val="0"/>
              <w:kinsoku/>
              <w:overflowPunct/>
              <w:topLinePunct w:val="0"/>
              <w:bidi w:val="0"/>
              <w:spacing w:line="276" w:lineRule="auto"/>
              <w:jc w:val="left"/>
              <w:textAlignment w:val="auto"/>
              <w:rPr>
                <w:rFonts w:eastAsia="宋体"/>
                <w:kern w:val="2"/>
                <w:sz w:val="21"/>
                <w:lang w:eastAsia="zh-CN"/>
              </w:rPr>
            </w:pPr>
            <w:r>
              <w:rPr>
                <w:rFonts w:hint="eastAsia" w:ascii="宋体" w:hAnsi="宋体" w:eastAsia="宋体" w:cs="宋体"/>
                <w:kern w:val="2"/>
                <w:sz w:val="21"/>
                <w:szCs w:val="21"/>
                <w:lang w:eastAsia="zh-CN"/>
              </w:rPr>
              <w:t>2.以上资料要求提供扫描件（或官方网站截图）。评分中出现无证明资料或专家无法凭所提供资料判断是否得分的情况，一律作不得分处理。</w:t>
            </w:r>
          </w:p>
        </w:tc>
      </w:tr>
      <w:tr w14:paraId="72230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rHeight w:val="172" w:hRule="atLeast"/>
          <w:tblCellSpacing w:w="0" w:type="dxa"/>
          <w:jc w:val="center"/>
        </w:trPr>
        <w:tc>
          <w:tcPr>
            <w:tcW w:w="676" w:type="dxa"/>
            <w:vMerge w:val="continue"/>
            <w:noWrap w:val="0"/>
            <w:vAlign w:val="center"/>
          </w:tcPr>
          <w:p w14:paraId="13300F50">
            <w:pPr>
              <w:keepNext w:val="0"/>
              <w:keepLines w:val="0"/>
              <w:pageBreakBefore w:val="0"/>
              <w:widowControl w:val="0"/>
              <w:kinsoku/>
              <w:overflowPunct/>
              <w:topLinePunct w:val="0"/>
              <w:bidi w:val="0"/>
              <w:spacing w:line="276" w:lineRule="auto"/>
              <w:jc w:val="both"/>
              <w:textAlignment w:val="auto"/>
              <w:rPr>
                <w:rFonts w:ascii="宋体" w:hAnsi="宋体" w:eastAsia="宋体" w:cs="宋体"/>
                <w:b/>
                <w:bCs/>
                <w:color w:val="0000FF"/>
                <w:kern w:val="2"/>
                <w:lang w:eastAsia="zh-CN"/>
              </w:rPr>
            </w:pPr>
          </w:p>
        </w:tc>
        <w:tc>
          <w:tcPr>
            <w:tcW w:w="675" w:type="dxa"/>
            <w:noWrap w:val="0"/>
            <w:vAlign w:val="center"/>
          </w:tcPr>
          <w:p w14:paraId="3BE2E62A">
            <w:pPr>
              <w:keepNext w:val="0"/>
              <w:keepLines w:val="0"/>
              <w:pageBreakBefore w:val="0"/>
              <w:widowControl w:val="0"/>
              <w:kinsoku/>
              <w:wordWrap w:val="0"/>
              <w:overflowPunct/>
              <w:topLinePunct w:val="0"/>
              <w:bidi w:val="0"/>
              <w:spacing w:line="276" w:lineRule="auto"/>
              <w:jc w:val="center"/>
              <w:textAlignment w:val="auto"/>
              <w:rPr>
                <w:rFonts w:ascii="宋体" w:hAnsi="宋体" w:eastAsia="宋体" w:cs="宋体"/>
                <w:kern w:val="2"/>
                <w:sz w:val="21"/>
                <w:szCs w:val="21"/>
                <w:lang w:eastAsia="zh-CN"/>
              </w:rPr>
            </w:pPr>
            <w:r>
              <w:rPr>
                <w:rFonts w:ascii="宋体" w:hAnsi="宋体" w:eastAsia="宋体"/>
                <w:kern w:val="2"/>
                <w:sz w:val="21"/>
                <w:szCs w:val="21"/>
                <w:lang w:eastAsia="zh-CN"/>
              </w:rPr>
              <w:t>4</w:t>
            </w:r>
          </w:p>
        </w:tc>
        <w:tc>
          <w:tcPr>
            <w:tcW w:w="1628" w:type="dxa"/>
            <w:noWrap w:val="0"/>
            <w:vAlign w:val="center"/>
          </w:tcPr>
          <w:p w14:paraId="7546DF36">
            <w:pPr>
              <w:keepNext w:val="0"/>
              <w:keepLines w:val="0"/>
              <w:pageBreakBefore w:val="0"/>
              <w:widowControl w:val="0"/>
              <w:kinsoku/>
              <w:wordWrap w:val="0"/>
              <w:overflowPunct/>
              <w:topLinePunct w:val="0"/>
              <w:bidi w:val="0"/>
              <w:spacing w:line="276" w:lineRule="auto"/>
              <w:jc w:val="center"/>
              <w:textAlignment w:val="auto"/>
              <w:rPr>
                <w:rFonts w:ascii="宋体" w:hAnsi="宋体" w:eastAsia="宋体" w:cs="宋体"/>
                <w:kern w:val="2"/>
                <w:sz w:val="21"/>
                <w:szCs w:val="21"/>
                <w:lang w:eastAsia="zh-CN"/>
              </w:rPr>
            </w:pPr>
            <w:r>
              <w:rPr>
                <w:rFonts w:hint="eastAsia" w:ascii="宋体" w:hAnsi="宋体" w:eastAsia="宋体"/>
                <w:kern w:val="2"/>
                <w:sz w:val="21"/>
                <w:szCs w:val="21"/>
                <w:lang w:eastAsia="zh-CN"/>
              </w:rPr>
              <w:t>项目相关计算机软件著作权使用权限情况</w:t>
            </w:r>
          </w:p>
        </w:tc>
        <w:tc>
          <w:tcPr>
            <w:tcW w:w="1012" w:type="dxa"/>
            <w:noWrap w:val="0"/>
            <w:vAlign w:val="center"/>
          </w:tcPr>
          <w:p w14:paraId="32658C8D">
            <w:pPr>
              <w:keepNext w:val="0"/>
              <w:keepLines w:val="0"/>
              <w:pageBreakBefore w:val="0"/>
              <w:widowControl w:val="0"/>
              <w:kinsoku/>
              <w:wordWrap w:val="0"/>
              <w:overflowPunct/>
              <w:topLinePunct w:val="0"/>
              <w:bidi w:val="0"/>
              <w:spacing w:line="276" w:lineRule="auto"/>
              <w:jc w:val="center"/>
              <w:textAlignment w:val="auto"/>
              <w:rPr>
                <w:rFonts w:ascii="宋体" w:hAnsi="宋体" w:eastAsia="宋体" w:cs="宋体"/>
                <w:kern w:val="2"/>
                <w:sz w:val="21"/>
                <w:szCs w:val="21"/>
                <w:lang w:eastAsia="zh-CN"/>
              </w:rPr>
            </w:pPr>
            <w:r>
              <w:rPr>
                <w:rFonts w:hint="eastAsia" w:ascii="宋体" w:hAnsi="宋体" w:eastAsia="宋体"/>
                <w:kern w:val="2"/>
                <w:sz w:val="21"/>
                <w:szCs w:val="21"/>
                <w:lang w:eastAsia="zh-CN"/>
              </w:rPr>
              <w:t>10</w:t>
            </w:r>
          </w:p>
        </w:tc>
        <w:tc>
          <w:tcPr>
            <w:tcW w:w="5081" w:type="dxa"/>
            <w:noWrap w:val="0"/>
            <w:vAlign w:val="top"/>
          </w:tcPr>
          <w:p w14:paraId="26C0D437">
            <w:pPr>
              <w:keepNext w:val="0"/>
              <w:keepLines w:val="0"/>
              <w:pageBreakBefore w:val="0"/>
              <w:widowControl/>
              <w:kinsoku/>
              <w:overflowPunct/>
              <w:topLinePunct w:val="0"/>
              <w:bidi w:val="0"/>
              <w:spacing w:line="276" w:lineRule="auto"/>
              <w:ind w:left="-72" w:leftChars="-30" w:right="-101" w:rightChars="-42"/>
              <w:jc w:val="left"/>
              <w:textAlignment w:val="auto"/>
              <w:rPr>
                <w:rFonts w:hint="eastAsia" w:ascii="宋体" w:hAnsi="宋体" w:eastAsia="宋体" w:cs="宋体"/>
                <w:kern w:val="2"/>
                <w:sz w:val="21"/>
                <w:szCs w:val="21"/>
                <w:lang w:eastAsia="zh-CN" w:bidi="ar"/>
              </w:rPr>
            </w:pPr>
            <w:r>
              <w:rPr>
                <w:rFonts w:hint="eastAsia" w:ascii="宋体" w:hAnsi="宋体" w:eastAsia="宋体" w:cs="宋体"/>
                <w:kern w:val="2"/>
                <w:sz w:val="21"/>
                <w:szCs w:val="21"/>
                <w:lang w:eastAsia="zh-CN" w:bidi="ar"/>
              </w:rPr>
              <w:t>（一）评分内容：</w:t>
            </w:r>
          </w:p>
          <w:p w14:paraId="420DBD27">
            <w:pPr>
              <w:keepNext w:val="0"/>
              <w:keepLines w:val="0"/>
              <w:pageBreakBefore w:val="0"/>
              <w:widowControl/>
              <w:kinsoku/>
              <w:wordWrap/>
              <w:overflowPunct/>
              <w:topLinePunct w:val="0"/>
              <w:autoSpaceDE/>
              <w:autoSpaceDN/>
              <w:bidi w:val="0"/>
              <w:adjustRightInd/>
              <w:snapToGrid/>
              <w:spacing w:line="276" w:lineRule="auto"/>
              <w:jc w:val="left"/>
              <w:textAlignment w:val="auto"/>
              <w:rPr>
                <w:rFonts w:hint="eastAsia" w:ascii="宋体" w:hAnsi="宋体" w:eastAsia="宋体" w:cs="宋体"/>
                <w:bCs/>
                <w:kern w:val="2"/>
                <w:sz w:val="21"/>
                <w:szCs w:val="21"/>
                <w:lang w:val="zh-CN" w:eastAsia="zh-CN"/>
              </w:rPr>
            </w:pPr>
            <w:r>
              <w:rPr>
                <w:rFonts w:hint="eastAsia" w:ascii="宋体" w:hAnsi="宋体" w:eastAsia="宋体" w:cs="宋体"/>
                <w:bCs/>
                <w:kern w:val="2"/>
                <w:sz w:val="21"/>
                <w:szCs w:val="21"/>
                <w:lang w:eastAsia="zh-CN"/>
              </w:rPr>
              <w:t>1</w:t>
            </w:r>
            <w:r>
              <w:rPr>
                <w:rFonts w:hint="eastAsia" w:ascii="宋体" w:hAnsi="宋体" w:eastAsia="宋体" w:cs="宋体"/>
                <w:bCs/>
                <w:kern w:val="2"/>
                <w:sz w:val="21"/>
                <w:szCs w:val="21"/>
                <w:lang w:val="zh-CN" w:eastAsia="zh-CN"/>
              </w:rPr>
              <w:t>.具有SSL VPN 商用码检测平台类相关计算机软件著作权登记证书，得</w:t>
            </w:r>
            <w:r>
              <w:rPr>
                <w:rFonts w:hint="eastAsia" w:ascii="宋体" w:hAnsi="宋体" w:eastAsia="宋体" w:cs="宋体"/>
                <w:bCs/>
                <w:kern w:val="2"/>
                <w:sz w:val="21"/>
                <w:szCs w:val="21"/>
                <w:lang w:eastAsia="zh-CN"/>
              </w:rPr>
              <w:t>40</w:t>
            </w:r>
            <w:r>
              <w:rPr>
                <w:rFonts w:hint="eastAsia" w:ascii="宋体" w:hAnsi="宋体" w:eastAsia="宋体" w:cs="宋体"/>
                <w:bCs/>
                <w:kern w:val="2"/>
                <w:sz w:val="21"/>
                <w:szCs w:val="21"/>
                <w:lang w:val="zh-CN" w:eastAsia="zh-CN"/>
              </w:rPr>
              <w:t>分；</w:t>
            </w:r>
          </w:p>
          <w:p w14:paraId="475CF2DA">
            <w:pPr>
              <w:keepNext w:val="0"/>
              <w:keepLines w:val="0"/>
              <w:pageBreakBefore w:val="0"/>
              <w:widowControl/>
              <w:kinsoku/>
              <w:wordWrap/>
              <w:overflowPunct/>
              <w:topLinePunct w:val="0"/>
              <w:autoSpaceDE/>
              <w:autoSpaceDN/>
              <w:bidi w:val="0"/>
              <w:adjustRightInd/>
              <w:snapToGrid/>
              <w:spacing w:line="276" w:lineRule="auto"/>
              <w:jc w:val="left"/>
              <w:textAlignment w:val="auto"/>
              <w:rPr>
                <w:rFonts w:hint="eastAsia" w:ascii="宋体" w:hAnsi="宋体" w:eastAsia="宋体" w:cs="宋体"/>
                <w:bCs/>
                <w:kern w:val="2"/>
                <w:sz w:val="21"/>
                <w:szCs w:val="21"/>
                <w:lang w:val="zh-CN" w:eastAsia="zh-CN"/>
              </w:rPr>
            </w:pPr>
            <w:r>
              <w:rPr>
                <w:rFonts w:hint="eastAsia" w:ascii="宋体" w:hAnsi="宋体" w:eastAsia="宋体" w:cs="宋体"/>
                <w:bCs/>
                <w:kern w:val="2"/>
                <w:sz w:val="21"/>
                <w:szCs w:val="21"/>
                <w:lang w:eastAsia="zh-CN"/>
              </w:rPr>
              <w:t>2</w:t>
            </w:r>
            <w:r>
              <w:rPr>
                <w:rFonts w:hint="eastAsia" w:ascii="宋体" w:hAnsi="宋体" w:eastAsia="宋体" w:cs="宋体"/>
                <w:bCs/>
                <w:kern w:val="2"/>
                <w:sz w:val="21"/>
                <w:szCs w:val="21"/>
                <w:lang w:val="zh-CN" w:eastAsia="zh-CN"/>
              </w:rPr>
              <w:t>.具有密评检测平台类相关计算机软件著作权登记证书，得</w:t>
            </w:r>
            <w:r>
              <w:rPr>
                <w:rFonts w:hint="eastAsia" w:ascii="宋体" w:hAnsi="宋体" w:eastAsia="宋体" w:cs="宋体"/>
                <w:bCs/>
                <w:kern w:val="2"/>
                <w:sz w:val="21"/>
                <w:szCs w:val="21"/>
                <w:lang w:eastAsia="zh-CN"/>
              </w:rPr>
              <w:t>30</w:t>
            </w:r>
            <w:r>
              <w:rPr>
                <w:rFonts w:hint="eastAsia" w:ascii="宋体" w:hAnsi="宋体" w:eastAsia="宋体" w:cs="宋体"/>
                <w:bCs/>
                <w:kern w:val="2"/>
                <w:sz w:val="21"/>
                <w:szCs w:val="21"/>
                <w:lang w:val="zh-CN" w:eastAsia="zh-CN"/>
              </w:rPr>
              <w:t>分；</w:t>
            </w:r>
          </w:p>
          <w:p w14:paraId="0AE8B0BA">
            <w:pPr>
              <w:keepNext w:val="0"/>
              <w:keepLines w:val="0"/>
              <w:pageBreakBefore w:val="0"/>
              <w:widowControl/>
              <w:kinsoku/>
              <w:wordWrap/>
              <w:overflowPunct/>
              <w:topLinePunct w:val="0"/>
              <w:autoSpaceDE/>
              <w:autoSpaceDN/>
              <w:bidi w:val="0"/>
              <w:adjustRightInd/>
              <w:snapToGrid/>
              <w:spacing w:line="276" w:lineRule="auto"/>
              <w:jc w:val="left"/>
              <w:textAlignment w:val="auto"/>
              <w:rPr>
                <w:rFonts w:hint="eastAsia" w:ascii="宋体" w:hAnsi="宋体" w:eastAsia="宋体" w:cs="宋体"/>
                <w:bCs/>
                <w:kern w:val="2"/>
                <w:sz w:val="21"/>
                <w:szCs w:val="21"/>
                <w:lang w:val="zh-CN" w:eastAsia="zh-CN"/>
              </w:rPr>
            </w:pPr>
            <w:r>
              <w:rPr>
                <w:rFonts w:hint="eastAsia" w:ascii="宋体" w:hAnsi="宋体" w:eastAsia="宋体" w:cs="宋体"/>
                <w:bCs/>
                <w:kern w:val="2"/>
                <w:sz w:val="21"/>
                <w:szCs w:val="21"/>
                <w:lang w:eastAsia="zh-CN"/>
              </w:rPr>
              <w:t>3</w:t>
            </w:r>
            <w:r>
              <w:rPr>
                <w:rFonts w:hint="eastAsia" w:ascii="宋体" w:hAnsi="宋体" w:eastAsia="宋体" w:cs="宋体"/>
                <w:bCs/>
                <w:kern w:val="2"/>
                <w:sz w:val="21"/>
                <w:szCs w:val="21"/>
                <w:lang w:val="zh-CN" w:eastAsia="zh-CN"/>
              </w:rPr>
              <w:t>.具有密码算法合规性验证平台类相关计算机软件著作权登记证书，得</w:t>
            </w:r>
            <w:r>
              <w:rPr>
                <w:rFonts w:hint="eastAsia" w:ascii="宋体" w:hAnsi="宋体" w:eastAsia="宋体" w:cs="宋体"/>
                <w:bCs/>
                <w:kern w:val="2"/>
                <w:sz w:val="21"/>
                <w:szCs w:val="21"/>
                <w:lang w:eastAsia="zh-CN"/>
              </w:rPr>
              <w:t>30</w:t>
            </w:r>
            <w:r>
              <w:rPr>
                <w:rFonts w:hint="eastAsia" w:ascii="宋体" w:hAnsi="宋体" w:eastAsia="宋体" w:cs="宋体"/>
                <w:bCs/>
                <w:kern w:val="2"/>
                <w:sz w:val="21"/>
                <w:szCs w:val="21"/>
                <w:lang w:val="zh-CN" w:eastAsia="zh-CN"/>
              </w:rPr>
              <w:t>分。</w:t>
            </w:r>
          </w:p>
          <w:p w14:paraId="60CBAC2F">
            <w:pPr>
              <w:keepNext w:val="0"/>
              <w:keepLines w:val="0"/>
              <w:pageBreakBefore w:val="0"/>
              <w:widowControl/>
              <w:kinsoku/>
              <w:overflowPunct/>
              <w:topLinePunct w:val="0"/>
              <w:bidi w:val="0"/>
              <w:spacing w:line="276" w:lineRule="auto"/>
              <w:ind w:left="-72" w:leftChars="-30" w:right="-101" w:rightChars="-42"/>
              <w:jc w:val="left"/>
              <w:textAlignment w:val="auto"/>
              <w:rPr>
                <w:rFonts w:hint="eastAsia" w:ascii="宋体" w:hAnsi="宋体" w:eastAsia="宋体" w:cs="宋体"/>
                <w:kern w:val="2"/>
                <w:sz w:val="21"/>
                <w:szCs w:val="21"/>
                <w:lang w:val="zh-CN" w:eastAsia="zh-CN"/>
              </w:rPr>
            </w:pPr>
            <w:r>
              <w:rPr>
                <w:rFonts w:hint="eastAsia" w:ascii="宋体" w:hAnsi="宋体" w:eastAsia="宋体" w:cs="宋体"/>
                <w:kern w:val="2"/>
                <w:sz w:val="21"/>
                <w:szCs w:val="21"/>
                <w:lang w:eastAsia="zh-CN" w:bidi="ar"/>
              </w:rPr>
              <w:t>以上合计最高得100分。</w:t>
            </w:r>
          </w:p>
          <w:p w14:paraId="37E98C2B">
            <w:pPr>
              <w:keepNext w:val="0"/>
              <w:keepLines w:val="0"/>
              <w:pageBreakBefore w:val="0"/>
              <w:widowControl w:val="0"/>
              <w:kinsoku/>
              <w:wordWrap/>
              <w:overflowPunct/>
              <w:topLinePunct w:val="0"/>
              <w:autoSpaceDE/>
              <w:autoSpaceDN/>
              <w:bidi w:val="0"/>
              <w:adjustRightInd/>
              <w:snapToGrid/>
              <w:spacing w:line="276" w:lineRule="auto"/>
              <w:jc w:val="left"/>
              <w:textAlignment w:val="auto"/>
              <w:rPr>
                <w:rFonts w:hint="eastAsia" w:ascii="宋体" w:hAnsi="宋体" w:eastAsia="宋体" w:cs="宋体"/>
                <w:bCs/>
                <w:kern w:val="2"/>
                <w:sz w:val="21"/>
                <w:szCs w:val="21"/>
                <w:lang w:val="zh-CN" w:eastAsia="zh-CN"/>
              </w:rPr>
            </w:pPr>
            <w:r>
              <w:rPr>
                <w:rFonts w:hint="eastAsia" w:ascii="宋体" w:hAnsi="宋体" w:eastAsia="宋体" w:cs="宋体"/>
                <w:bCs/>
                <w:kern w:val="2"/>
                <w:sz w:val="21"/>
                <w:szCs w:val="21"/>
                <w:lang w:val="zh-CN" w:eastAsia="zh-CN"/>
              </w:rPr>
              <w:t>（二）评分依据：</w:t>
            </w:r>
          </w:p>
          <w:p w14:paraId="243C7DBF">
            <w:pPr>
              <w:keepNext w:val="0"/>
              <w:keepLines w:val="0"/>
              <w:pageBreakBefore w:val="0"/>
              <w:widowControl w:val="0"/>
              <w:kinsoku/>
              <w:overflowPunct/>
              <w:topLinePunct w:val="0"/>
              <w:bidi w:val="0"/>
              <w:spacing w:line="276" w:lineRule="auto"/>
              <w:jc w:val="left"/>
              <w:textAlignment w:val="auto"/>
              <w:rPr>
                <w:rFonts w:hint="eastAsia" w:ascii="宋体" w:hAnsi="宋体" w:eastAsia="宋体"/>
                <w:kern w:val="2"/>
                <w:sz w:val="21"/>
                <w:szCs w:val="21"/>
                <w:lang w:eastAsia="zh-CN"/>
              </w:rPr>
            </w:pPr>
            <w:r>
              <w:rPr>
                <w:rFonts w:hint="eastAsia" w:ascii="宋体" w:hAnsi="宋体" w:eastAsia="宋体"/>
                <w:kern w:val="2"/>
                <w:sz w:val="21"/>
                <w:szCs w:val="21"/>
                <w:lang w:eastAsia="zh-CN"/>
              </w:rPr>
              <w:t>1.如为自有知识产权，提供计算机软件著作权登记证书（著作权人须为投标人）；</w:t>
            </w:r>
          </w:p>
          <w:p w14:paraId="5AB1A457">
            <w:pPr>
              <w:keepNext w:val="0"/>
              <w:keepLines w:val="0"/>
              <w:pageBreakBefore w:val="0"/>
              <w:widowControl w:val="0"/>
              <w:kinsoku/>
              <w:overflowPunct/>
              <w:topLinePunct w:val="0"/>
              <w:bidi w:val="0"/>
              <w:spacing w:line="276" w:lineRule="auto"/>
              <w:jc w:val="left"/>
              <w:textAlignment w:val="auto"/>
              <w:rPr>
                <w:rFonts w:hint="eastAsia" w:ascii="宋体" w:hAnsi="宋体" w:eastAsia="宋体"/>
                <w:kern w:val="2"/>
                <w:sz w:val="21"/>
                <w:szCs w:val="21"/>
                <w:lang w:eastAsia="zh-CN"/>
              </w:rPr>
            </w:pPr>
            <w:r>
              <w:rPr>
                <w:rFonts w:hint="eastAsia" w:ascii="宋体" w:hAnsi="宋体" w:eastAsia="宋体"/>
                <w:kern w:val="2"/>
                <w:sz w:val="21"/>
                <w:szCs w:val="21"/>
                <w:lang w:eastAsia="zh-CN"/>
              </w:rPr>
              <w:t>2.如非自有知识产权，提供许可使用合同和计算机软件著作权登记证书（著作权人为许可使用合同甲方或许可人）。</w:t>
            </w:r>
          </w:p>
          <w:p w14:paraId="105A8B08">
            <w:pPr>
              <w:keepNext w:val="0"/>
              <w:keepLines w:val="0"/>
              <w:pageBreakBefore w:val="0"/>
              <w:widowControl w:val="0"/>
              <w:kinsoku/>
              <w:overflowPunct/>
              <w:topLinePunct w:val="0"/>
              <w:bidi w:val="0"/>
              <w:spacing w:line="276" w:lineRule="auto"/>
              <w:jc w:val="left"/>
              <w:textAlignment w:val="auto"/>
              <w:rPr>
                <w:rFonts w:hint="eastAsia" w:ascii="宋体" w:hAnsi="宋体" w:eastAsia="宋体"/>
                <w:kern w:val="2"/>
                <w:sz w:val="21"/>
                <w:szCs w:val="21"/>
                <w:lang w:eastAsia="zh-CN"/>
              </w:rPr>
            </w:pPr>
            <w:r>
              <w:rPr>
                <w:rFonts w:hint="eastAsia" w:ascii="宋体" w:hAnsi="宋体" w:eastAsia="宋体"/>
                <w:kern w:val="2"/>
                <w:sz w:val="21"/>
                <w:szCs w:val="21"/>
                <w:lang w:eastAsia="zh-CN"/>
              </w:rPr>
              <w:t>3.相关证明材料的软件名称与招标文件要求的软件名称不完全一致的，需提供为同种软件的说明；若名称不完全一致又未提供说明的，由评审委员会判定是否符合文件要求。</w:t>
            </w:r>
          </w:p>
          <w:p w14:paraId="1B65C577">
            <w:pPr>
              <w:keepNext w:val="0"/>
              <w:keepLines w:val="0"/>
              <w:pageBreakBefore w:val="0"/>
              <w:widowControl w:val="0"/>
              <w:kinsoku/>
              <w:wordWrap/>
              <w:overflowPunct/>
              <w:topLinePunct w:val="0"/>
              <w:autoSpaceDE/>
              <w:autoSpaceDN/>
              <w:bidi w:val="0"/>
              <w:adjustRightInd/>
              <w:snapToGrid/>
              <w:spacing w:line="276" w:lineRule="auto"/>
              <w:jc w:val="left"/>
              <w:textAlignment w:val="auto"/>
              <w:rPr>
                <w:rFonts w:eastAsia="宋体"/>
                <w:kern w:val="2"/>
                <w:sz w:val="21"/>
                <w:szCs w:val="21"/>
                <w:lang w:eastAsia="zh-CN"/>
              </w:rPr>
            </w:pPr>
            <w:r>
              <w:rPr>
                <w:rFonts w:hint="eastAsia" w:ascii="宋体" w:hAnsi="宋体" w:eastAsia="宋体"/>
                <w:kern w:val="2"/>
                <w:sz w:val="21"/>
                <w:szCs w:val="21"/>
                <w:lang w:eastAsia="zh-CN"/>
              </w:rPr>
              <w:t>4.评分中出现无证明资料或评审委员会无法凭所提供资料判断是否得分的情况，一律作不得分处理。</w:t>
            </w:r>
          </w:p>
        </w:tc>
      </w:tr>
      <w:tr w14:paraId="7F38A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676" w:type="dxa"/>
            <w:noWrap w:val="0"/>
            <w:vAlign w:val="top"/>
          </w:tcPr>
          <w:p w14:paraId="524F93BB">
            <w:pPr>
              <w:keepNext w:val="0"/>
              <w:keepLines w:val="0"/>
              <w:pageBreakBefore w:val="0"/>
              <w:widowControl w:val="0"/>
              <w:kinsoku/>
              <w:wordWrap w:val="0"/>
              <w:overflowPunct/>
              <w:topLinePunct w:val="0"/>
              <w:bidi w:val="0"/>
              <w:spacing w:line="276" w:lineRule="auto"/>
              <w:jc w:val="center"/>
              <w:textAlignment w:val="auto"/>
              <w:rPr>
                <w:rFonts w:ascii="宋体" w:hAnsi="宋体" w:eastAsia="宋体" w:cs="宋体"/>
                <w:b/>
                <w:bCs/>
                <w:color w:val="0000FF"/>
                <w:kern w:val="2"/>
                <w:lang w:eastAsia="zh-CN"/>
              </w:rPr>
            </w:pPr>
            <w:r>
              <w:rPr>
                <w:rFonts w:eastAsia="宋体"/>
                <w:b/>
                <w:bCs/>
                <w:color w:val="0000FF"/>
                <w:kern w:val="2"/>
                <w:sz w:val="21"/>
                <w:lang w:eastAsia="zh-CN"/>
              </w:rPr>
              <w:t>4</w:t>
            </w:r>
          </w:p>
        </w:tc>
        <w:tc>
          <w:tcPr>
            <w:tcW w:w="3315" w:type="dxa"/>
            <w:gridSpan w:val="3"/>
            <w:noWrap w:val="0"/>
            <w:vAlign w:val="top"/>
          </w:tcPr>
          <w:p w14:paraId="2709EC5C">
            <w:pPr>
              <w:keepNext w:val="0"/>
              <w:keepLines w:val="0"/>
              <w:pageBreakBefore w:val="0"/>
              <w:widowControl w:val="0"/>
              <w:kinsoku/>
              <w:wordWrap w:val="0"/>
              <w:overflowPunct/>
              <w:topLinePunct w:val="0"/>
              <w:bidi w:val="0"/>
              <w:spacing w:line="276" w:lineRule="auto"/>
              <w:jc w:val="center"/>
              <w:textAlignment w:val="auto"/>
              <w:rPr>
                <w:rFonts w:ascii="宋体" w:hAnsi="宋体" w:eastAsia="宋体" w:cs="宋体"/>
                <w:b/>
                <w:bCs/>
                <w:color w:val="0000FF"/>
                <w:kern w:val="2"/>
                <w:lang w:eastAsia="zh-CN"/>
              </w:rPr>
            </w:pPr>
            <w:r>
              <w:rPr>
                <w:rFonts w:eastAsia="宋体"/>
                <w:b/>
                <w:bCs/>
                <w:color w:val="0000FF"/>
                <w:kern w:val="2"/>
                <w:sz w:val="21"/>
                <w:lang w:eastAsia="zh-CN"/>
              </w:rPr>
              <w:t>诚信情况</w:t>
            </w:r>
          </w:p>
        </w:tc>
        <w:tc>
          <w:tcPr>
            <w:tcW w:w="5081" w:type="dxa"/>
            <w:noWrap w:val="0"/>
            <w:vAlign w:val="top"/>
          </w:tcPr>
          <w:p w14:paraId="65664F6A">
            <w:pPr>
              <w:keepNext w:val="0"/>
              <w:keepLines w:val="0"/>
              <w:pageBreakBefore w:val="0"/>
              <w:widowControl w:val="0"/>
              <w:kinsoku/>
              <w:wordWrap w:val="0"/>
              <w:overflowPunct/>
              <w:topLinePunct w:val="0"/>
              <w:bidi w:val="0"/>
              <w:spacing w:line="276" w:lineRule="auto"/>
              <w:jc w:val="center"/>
              <w:textAlignment w:val="auto"/>
              <w:rPr>
                <w:rFonts w:ascii="宋体" w:hAnsi="宋体" w:eastAsia="宋体" w:cs="宋体"/>
                <w:b/>
                <w:bCs/>
                <w:color w:val="0000FF"/>
                <w:kern w:val="2"/>
                <w:lang w:eastAsia="zh-CN"/>
              </w:rPr>
            </w:pPr>
            <w:r>
              <w:rPr>
                <w:rFonts w:eastAsia="宋体"/>
                <w:b/>
                <w:bCs/>
                <w:color w:val="0000FF"/>
                <w:kern w:val="2"/>
                <w:sz w:val="21"/>
                <w:lang w:eastAsia="zh-CN"/>
              </w:rPr>
              <w:t>5</w:t>
            </w:r>
          </w:p>
        </w:tc>
      </w:tr>
      <w:tr w14:paraId="631C8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676" w:type="dxa"/>
            <w:vMerge w:val="restart"/>
            <w:shd w:val="clear" w:color="auto" w:fill="E6EFFA"/>
            <w:noWrap w:val="0"/>
            <w:vAlign w:val="center"/>
          </w:tcPr>
          <w:p w14:paraId="5E6127CB">
            <w:pPr>
              <w:keepNext w:val="0"/>
              <w:keepLines w:val="0"/>
              <w:pageBreakBefore w:val="0"/>
              <w:widowControl w:val="0"/>
              <w:kinsoku/>
              <w:overflowPunct/>
              <w:topLinePunct w:val="0"/>
              <w:bidi w:val="0"/>
              <w:spacing w:line="276" w:lineRule="auto"/>
              <w:jc w:val="both"/>
              <w:textAlignment w:val="auto"/>
              <w:rPr>
                <w:rFonts w:ascii="宋体" w:hAnsi="宋体" w:eastAsia="宋体" w:cs="宋体"/>
                <w:b/>
                <w:bCs/>
                <w:color w:val="0000FF"/>
                <w:kern w:val="2"/>
                <w:lang w:eastAsia="zh-CN"/>
              </w:rPr>
            </w:pPr>
          </w:p>
        </w:tc>
        <w:tc>
          <w:tcPr>
            <w:tcW w:w="675" w:type="dxa"/>
            <w:shd w:val="clear" w:color="auto" w:fill="E6EFFA"/>
            <w:noWrap w:val="0"/>
            <w:vAlign w:val="center"/>
          </w:tcPr>
          <w:p w14:paraId="30AFF121">
            <w:pPr>
              <w:keepNext w:val="0"/>
              <w:keepLines w:val="0"/>
              <w:pageBreakBefore w:val="0"/>
              <w:widowControl w:val="0"/>
              <w:kinsoku/>
              <w:wordWrap w:val="0"/>
              <w:overflowPunct/>
              <w:topLinePunct w:val="0"/>
              <w:bidi w:val="0"/>
              <w:spacing w:line="276" w:lineRule="auto"/>
              <w:jc w:val="center"/>
              <w:textAlignment w:val="auto"/>
              <w:rPr>
                <w:rFonts w:ascii="宋体" w:hAnsi="宋体" w:eastAsia="宋体" w:cs="宋体"/>
                <w:kern w:val="2"/>
                <w:sz w:val="21"/>
                <w:szCs w:val="21"/>
                <w:lang w:eastAsia="zh-CN"/>
              </w:rPr>
            </w:pPr>
            <w:r>
              <w:rPr>
                <w:rFonts w:eastAsia="宋体"/>
                <w:kern w:val="2"/>
                <w:sz w:val="21"/>
                <w:szCs w:val="21"/>
                <w:lang w:eastAsia="zh-CN"/>
              </w:rPr>
              <w:t>序号</w:t>
            </w:r>
          </w:p>
        </w:tc>
        <w:tc>
          <w:tcPr>
            <w:tcW w:w="1628" w:type="dxa"/>
            <w:shd w:val="clear" w:color="auto" w:fill="E6EFFA"/>
            <w:noWrap w:val="0"/>
            <w:vAlign w:val="center"/>
          </w:tcPr>
          <w:p w14:paraId="31BD6D04">
            <w:pPr>
              <w:keepNext w:val="0"/>
              <w:keepLines w:val="0"/>
              <w:pageBreakBefore w:val="0"/>
              <w:widowControl w:val="0"/>
              <w:kinsoku/>
              <w:wordWrap w:val="0"/>
              <w:overflowPunct/>
              <w:topLinePunct w:val="0"/>
              <w:bidi w:val="0"/>
              <w:spacing w:line="276" w:lineRule="auto"/>
              <w:jc w:val="center"/>
              <w:textAlignment w:val="auto"/>
              <w:rPr>
                <w:rFonts w:ascii="宋体" w:hAnsi="宋体" w:eastAsia="宋体" w:cs="宋体"/>
                <w:kern w:val="2"/>
                <w:sz w:val="21"/>
                <w:szCs w:val="21"/>
                <w:lang w:eastAsia="zh-CN"/>
              </w:rPr>
            </w:pPr>
            <w:r>
              <w:rPr>
                <w:rFonts w:hint="eastAsia" w:eastAsia="宋体"/>
                <w:kern w:val="2"/>
                <w:sz w:val="21"/>
                <w:szCs w:val="21"/>
                <w:lang w:eastAsia="zh-CN"/>
              </w:rPr>
              <w:t>评审因素</w:t>
            </w:r>
          </w:p>
        </w:tc>
        <w:tc>
          <w:tcPr>
            <w:tcW w:w="1012" w:type="dxa"/>
            <w:shd w:val="clear" w:color="auto" w:fill="E6EFFA"/>
            <w:noWrap w:val="0"/>
            <w:vAlign w:val="center"/>
          </w:tcPr>
          <w:p w14:paraId="2AACB8AD">
            <w:pPr>
              <w:keepNext w:val="0"/>
              <w:keepLines w:val="0"/>
              <w:pageBreakBefore w:val="0"/>
              <w:widowControl w:val="0"/>
              <w:kinsoku/>
              <w:wordWrap w:val="0"/>
              <w:overflowPunct/>
              <w:topLinePunct w:val="0"/>
              <w:bidi w:val="0"/>
              <w:spacing w:line="276" w:lineRule="auto"/>
              <w:jc w:val="center"/>
              <w:textAlignment w:val="auto"/>
              <w:rPr>
                <w:rFonts w:ascii="宋体" w:hAnsi="宋体" w:eastAsia="宋体" w:cs="宋体"/>
                <w:kern w:val="2"/>
                <w:sz w:val="21"/>
                <w:szCs w:val="21"/>
                <w:lang w:eastAsia="zh-CN"/>
              </w:rPr>
            </w:pPr>
            <w:r>
              <w:rPr>
                <w:rFonts w:eastAsia="宋体"/>
                <w:kern w:val="2"/>
                <w:sz w:val="21"/>
                <w:szCs w:val="21"/>
                <w:lang w:eastAsia="zh-CN"/>
              </w:rPr>
              <w:t>权重(%)</w:t>
            </w:r>
          </w:p>
        </w:tc>
        <w:tc>
          <w:tcPr>
            <w:tcW w:w="5081" w:type="dxa"/>
            <w:shd w:val="clear" w:color="auto" w:fill="E6EFFA"/>
            <w:noWrap w:val="0"/>
            <w:vAlign w:val="center"/>
          </w:tcPr>
          <w:p w14:paraId="04EAFB7A">
            <w:pPr>
              <w:keepNext w:val="0"/>
              <w:keepLines w:val="0"/>
              <w:pageBreakBefore w:val="0"/>
              <w:widowControl w:val="0"/>
              <w:kinsoku/>
              <w:wordWrap w:val="0"/>
              <w:overflowPunct/>
              <w:topLinePunct w:val="0"/>
              <w:bidi w:val="0"/>
              <w:spacing w:line="276" w:lineRule="auto"/>
              <w:jc w:val="center"/>
              <w:textAlignment w:val="auto"/>
              <w:rPr>
                <w:rFonts w:ascii="宋体" w:hAnsi="宋体" w:eastAsia="宋体" w:cs="宋体"/>
                <w:kern w:val="2"/>
                <w:sz w:val="21"/>
                <w:szCs w:val="21"/>
                <w:lang w:eastAsia="zh-CN"/>
              </w:rPr>
            </w:pPr>
            <w:r>
              <w:rPr>
                <w:rFonts w:eastAsia="宋体"/>
                <w:kern w:val="2"/>
                <w:sz w:val="21"/>
                <w:szCs w:val="21"/>
                <w:lang w:eastAsia="zh-CN"/>
              </w:rPr>
              <w:t>评分准则</w:t>
            </w:r>
          </w:p>
        </w:tc>
      </w:tr>
      <w:tr w14:paraId="6101B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676" w:type="dxa"/>
            <w:vMerge w:val="continue"/>
            <w:noWrap w:val="0"/>
            <w:vAlign w:val="center"/>
          </w:tcPr>
          <w:p w14:paraId="2F6BFED2">
            <w:pPr>
              <w:keepNext w:val="0"/>
              <w:keepLines w:val="0"/>
              <w:pageBreakBefore w:val="0"/>
              <w:widowControl w:val="0"/>
              <w:kinsoku/>
              <w:overflowPunct/>
              <w:topLinePunct w:val="0"/>
              <w:bidi w:val="0"/>
              <w:spacing w:line="276" w:lineRule="auto"/>
              <w:jc w:val="both"/>
              <w:textAlignment w:val="auto"/>
              <w:rPr>
                <w:rFonts w:ascii="宋体" w:hAnsi="宋体" w:eastAsia="宋体" w:cs="宋体"/>
                <w:b/>
                <w:bCs/>
                <w:color w:val="0000FF"/>
                <w:kern w:val="2"/>
                <w:lang w:eastAsia="zh-CN"/>
              </w:rPr>
            </w:pPr>
          </w:p>
        </w:tc>
        <w:tc>
          <w:tcPr>
            <w:tcW w:w="675" w:type="dxa"/>
            <w:noWrap w:val="0"/>
            <w:vAlign w:val="center"/>
          </w:tcPr>
          <w:p w14:paraId="0CC547FD">
            <w:pPr>
              <w:keepNext w:val="0"/>
              <w:keepLines w:val="0"/>
              <w:pageBreakBefore w:val="0"/>
              <w:widowControl w:val="0"/>
              <w:kinsoku/>
              <w:wordWrap w:val="0"/>
              <w:overflowPunct/>
              <w:topLinePunct w:val="0"/>
              <w:bidi w:val="0"/>
              <w:spacing w:line="276" w:lineRule="auto"/>
              <w:jc w:val="center"/>
              <w:textAlignment w:val="auto"/>
              <w:rPr>
                <w:rFonts w:ascii="宋体" w:hAnsi="宋体" w:eastAsia="宋体"/>
                <w:kern w:val="2"/>
                <w:sz w:val="21"/>
                <w:szCs w:val="21"/>
                <w:lang w:eastAsia="zh-CN"/>
              </w:rPr>
            </w:pPr>
            <w:r>
              <w:rPr>
                <w:rFonts w:ascii="宋体" w:hAnsi="宋体" w:eastAsia="宋体"/>
                <w:kern w:val="2"/>
                <w:sz w:val="21"/>
                <w:szCs w:val="21"/>
                <w:lang w:eastAsia="zh-CN"/>
              </w:rPr>
              <w:t>1</w:t>
            </w:r>
          </w:p>
        </w:tc>
        <w:tc>
          <w:tcPr>
            <w:tcW w:w="1628" w:type="dxa"/>
            <w:noWrap w:val="0"/>
            <w:vAlign w:val="center"/>
          </w:tcPr>
          <w:p w14:paraId="683D6931">
            <w:pPr>
              <w:keepNext w:val="0"/>
              <w:keepLines w:val="0"/>
              <w:pageBreakBefore w:val="0"/>
              <w:widowControl w:val="0"/>
              <w:kinsoku/>
              <w:wordWrap w:val="0"/>
              <w:overflowPunct/>
              <w:topLinePunct w:val="0"/>
              <w:bidi w:val="0"/>
              <w:spacing w:line="276" w:lineRule="auto"/>
              <w:jc w:val="center"/>
              <w:textAlignment w:val="auto"/>
              <w:rPr>
                <w:rFonts w:ascii="宋体" w:hAnsi="宋体" w:eastAsia="宋体"/>
                <w:kern w:val="2"/>
                <w:sz w:val="21"/>
                <w:szCs w:val="21"/>
                <w:lang w:eastAsia="zh-CN"/>
              </w:rPr>
            </w:pPr>
            <w:r>
              <w:rPr>
                <w:rFonts w:ascii="宋体" w:hAnsi="宋体" w:eastAsia="宋体"/>
                <w:kern w:val="2"/>
                <w:sz w:val="21"/>
                <w:szCs w:val="21"/>
                <w:lang w:eastAsia="zh-CN"/>
              </w:rPr>
              <w:t>诚信情况</w:t>
            </w:r>
          </w:p>
        </w:tc>
        <w:tc>
          <w:tcPr>
            <w:tcW w:w="1012" w:type="dxa"/>
            <w:noWrap w:val="0"/>
            <w:vAlign w:val="center"/>
          </w:tcPr>
          <w:p w14:paraId="2A7FCE57">
            <w:pPr>
              <w:keepNext w:val="0"/>
              <w:keepLines w:val="0"/>
              <w:pageBreakBefore w:val="0"/>
              <w:widowControl w:val="0"/>
              <w:kinsoku/>
              <w:wordWrap w:val="0"/>
              <w:overflowPunct/>
              <w:topLinePunct w:val="0"/>
              <w:bidi w:val="0"/>
              <w:spacing w:line="276" w:lineRule="auto"/>
              <w:jc w:val="center"/>
              <w:textAlignment w:val="auto"/>
              <w:rPr>
                <w:rFonts w:ascii="宋体" w:hAnsi="宋体" w:eastAsia="宋体" w:cs="宋体"/>
                <w:kern w:val="2"/>
                <w:sz w:val="21"/>
                <w:szCs w:val="21"/>
                <w:lang w:eastAsia="zh-CN"/>
              </w:rPr>
            </w:pPr>
            <w:r>
              <w:rPr>
                <w:rFonts w:eastAsia="宋体"/>
                <w:kern w:val="2"/>
                <w:sz w:val="21"/>
                <w:szCs w:val="21"/>
                <w:lang w:eastAsia="zh-CN"/>
              </w:rPr>
              <w:t>5</w:t>
            </w:r>
          </w:p>
        </w:tc>
        <w:tc>
          <w:tcPr>
            <w:tcW w:w="5081" w:type="dxa"/>
            <w:noWrap w:val="0"/>
            <w:vAlign w:val="top"/>
          </w:tcPr>
          <w:p w14:paraId="1439969B">
            <w:pPr>
              <w:keepNext w:val="0"/>
              <w:keepLines w:val="0"/>
              <w:pageBreakBefore w:val="0"/>
              <w:widowControl w:val="0"/>
              <w:kinsoku/>
              <w:overflowPunct/>
              <w:topLinePunct w:val="0"/>
              <w:bidi w:val="0"/>
              <w:spacing w:line="276" w:lineRule="auto"/>
              <w:jc w:val="both"/>
              <w:textAlignment w:val="auto"/>
              <w:rPr>
                <w:rFonts w:eastAsia="宋体"/>
                <w:kern w:val="2"/>
                <w:sz w:val="21"/>
                <w:szCs w:val="21"/>
                <w:lang w:eastAsia="zh-CN"/>
              </w:rPr>
            </w:pPr>
            <w:r>
              <w:rPr>
                <w:rFonts w:hint="eastAsia" w:eastAsia="宋体"/>
                <w:kern w:val="2"/>
                <w:sz w:val="21"/>
                <w:szCs w:val="21"/>
                <w:lang w:eastAsia="zh-CN"/>
              </w:rPr>
              <w:t>（一）评分内容：</w:t>
            </w:r>
          </w:p>
          <w:p w14:paraId="0AD2DFED">
            <w:pPr>
              <w:keepNext w:val="0"/>
              <w:keepLines w:val="0"/>
              <w:pageBreakBefore w:val="0"/>
              <w:widowControl w:val="0"/>
              <w:kinsoku/>
              <w:overflowPunct/>
              <w:topLinePunct w:val="0"/>
              <w:bidi w:val="0"/>
              <w:spacing w:line="276" w:lineRule="auto"/>
              <w:jc w:val="both"/>
              <w:textAlignment w:val="auto"/>
              <w:rPr>
                <w:rFonts w:eastAsia="宋体"/>
                <w:kern w:val="2"/>
                <w:sz w:val="21"/>
                <w:lang w:eastAsia="zh-CN"/>
              </w:rPr>
            </w:pPr>
            <w:r>
              <w:rPr>
                <w:rFonts w:hint="eastAsia" w:eastAsia="宋体"/>
                <w:kern w:val="2"/>
                <w:sz w:val="21"/>
                <w:lang w:eastAsia="zh-CN"/>
              </w:rPr>
              <w:t>供应商存在《深圳市财政局政府采购供应商信用信息管理办法》（深财规〔2023〕3号）列明的一般行政处罚信息、一般违法失信记录信息的，本项不得分，不存在上述情形的本项得100分。供应商无需提供任何证明材料，评标过程中由工作人员向评审委员会提供有关供应商诚信查询结果。</w:t>
            </w:r>
          </w:p>
          <w:p w14:paraId="7227248D">
            <w:pPr>
              <w:keepNext w:val="0"/>
              <w:keepLines w:val="0"/>
              <w:pageBreakBefore w:val="0"/>
              <w:widowControl w:val="0"/>
              <w:kinsoku/>
              <w:overflowPunct/>
              <w:topLinePunct w:val="0"/>
              <w:bidi w:val="0"/>
              <w:spacing w:line="276" w:lineRule="auto"/>
              <w:jc w:val="both"/>
              <w:textAlignment w:val="auto"/>
              <w:rPr>
                <w:rFonts w:eastAsia="宋体"/>
                <w:kern w:val="2"/>
                <w:sz w:val="21"/>
                <w:szCs w:val="21"/>
                <w:lang w:eastAsia="zh-CN"/>
              </w:rPr>
            </w:pPr>
            <w:r>
              <w:rPr>
                <w:rFonts w:hint="eastAsia" w:eastAsia="宋体"/>
                <w:kern w:val="2"/>
                <w:sz w:val="21"/>
                <w:szCs w:val="21"/>
                <w:lang w:eastAsia="zh-CN"/>
              </w:rPr>
              <w:t>（二）评分依据：</w:t>
            </w:r>
          </w:p>
          <w:p w14:paraId="728693F4">
            <w:pPr>
              <w:keepNext w:val="0"/>
              <w:keepLines w:val="0"/>
              <w:pageBreakBefore w:val="0"/>
              <w:widowControl w:val="0"/>
              <w:kinsoku/>
              <w:overflowPunct/>
              <w:topLinePunct w:val="0"/>
              <w:bidi w:val="0"/>
              <w:spacing w:line="276" w:lineRule="auto"/>
              <w:jc w:val="both"/>
              <w:textAlignment w:val="auto"/>
              <w:rPr>
                <w:rFonts w:eastAsia="宋体"/>
                <w:kern w:val="2"/>
                <w:sz w:val="21"/>
                <w:lang w:eastAsia="zh-CN"/>
              </w:rPr>
            </w:pPr>
            <w:r>
              <w:rPr>
                <w:rFonts w:hint="eastAsia" w:eastAsia="宋体"/>
                <w:kern w:val="2"/>
                <w:sz w:val="21"/>
                <w:lang w:eastAsia="zh-CN"/>
              </w:rPr>
              <w:t>查询渠道：通过“信用中国”（www.creditchina.gov.cn，下载信用信息报告）、“中国政府采购网”（www.ccgp.gov.cn）”、“深圳市政府采购监管网”（http://zfcg.sz.gov.cn）以及“深圳政府采购智慧平台信用库”为供应商信用信息的查询渠道，相关信息以开标当日的查询结果为准。</w:t>
            </w:r>
          </w:p>
          <w:p w14:paraId="14130FB9">
            <w:pPr>
              <w:keepNext w:val="0"/>
              <w:keepLines w:val="0"/>
              <w:pageBreakBefore w:val="0"/>
              <w:widowControl w:val="0"/>
              <w:kinsoku/>
              <w:wordWrap/>
              <w:overflowPunct/>
              <w:topLinePunct w:val="0"/>
              <w:autoSpaceDE/>
              <w:autoSpaceDN/>
              <w:bidi w:val="0"/>
              <w:adjustRightInd/>
              <w:snapToGrid/>
              <w:spacing w:line="276" w:lineRule="auto"/>
              <w:jc w:val="left"/>
              <w:textAlignment w:val="auto"/>
              <w:rPr>
                <w:rFonts w:ascii="宋体" w:hAnsi="宋体" w:eastAsia="宋体" w:cs="宋体"/>
                <w:kern w:val="2"/>
                <w:sz w:val="21"/>
                <w:szCs w:val="21"/>
                <w:lang w:eastAsia="zh-CN"/>
              </w:rPr>
            </w:pPr>
          </w:p>
        </w:tc>
      </w:tr>
    </w:tbl>
    <w:p w14:paraId="4DB4BD50">
      <w:pPr>
        <w:widowControl w:val="0"/>
        <w:jc w:val="both"/>
        <w:rPr>
          <w:rFonts w:hint="eastAsia" w:eastAsia="宋体"/>
          <w:kern w:val="2"/>
          <w:sz w:val="21"/>
          <w:lang w:eastAsia="zh-CN"/>
        </w:rPr>
      </w:pPr>
    </w:p>
    <w:p w14:paraId="0B64ED65">
      <w:pPr>
        <w:widowControl w:val="0"/>
        <w:jc w:val="both"/>
        <w:rPr>
          <w:rFonts w:hint="eastAsia" w:eastAsia="宋体"/>
          <w:kern w:val="2"/>
          <w:sz w:val="21"/>
          <w:lang w:eastAsia="zh-CN"/>
        </w:rPr>
      </w:pPr>
    </w:p>
    <w:p w14:paraId="2EC70A1F">
      <w:pPr>
        <w:widowControl w:val="0"/>
        <w:jc w:val="both"/>
        <w:rPr>
          <w:rFonts w:hint="eastAsia" w:eastAsia="宋体"/>
          <w:kern w:val="2"/>
          <w:sz w:val="21"/>
          <w:lang w:eastAsia="zh-CN"/>
        </w:rPr>
      </w:pPr>
    </w:p>
    <w:p w14:paraId="1B088AFD">
      <w:pPr>
        <w:widowControl w:val="0"/>
        <w:jc w:val="both"/>
        <w:rPr>
          <w:rFonts w:hint="eastAsia" w:eastAsia="宋体"/>
          <w:kern w:val="2"/>
          <w:sz w:val="21"/>
          <w:lang w:eastAsia="zh-CN"/>
        </w:rPr>
      </w:pPr>
    </w:p>
    <w:p w14:paraId="2A8C8491">
      <w:pPr>
        <w:widowControl w:val="0"/>
        <w:jc w:val="both"/>
        <w:rPr>
          <w:rFonts w:eastAsia="宋体"/>
          <w:kern w:val="2"/>
          <w:sz w:val="21"/>
          <w:lang w:eastAsia="zh-CN"/>
        </w:rPr>
      </w:pPr>
      <w:r>
        <w:rPr>
          <w:rFonts w:hint="eastAsia" w:eastAsia="宋体"/>
          <w:kern w:val="2"/>
          <w:sz w:val="21"/>
          <w:lang w:eastAsia="zh-CN"/>
        </w:rPr>
        <w:br w:type="page"/>
      </w:r>
    </w:p>
    <w:p w14:paraId="43A06650">
      <w:pPr>
        <w:widowControl w:val="0"/>
        <w:jc w:val="center"/>
        <w:rPr>
          <w:rFonts w:eastAsia="宋体"/>
          <w:b/>
          <w:kern w:val="2"/>
          <w:sz w:val="120"/>
          <w:szCs w:val="120"/>
          <w:lang w:eastAsia="zh-CN"/>
        </w:rPr>
      </w:pPr>
    </w:p>
    <w:p w14:paraId="27139B2A">
      <w:pPr>
        <w:widowControl w:val="0"/>
        <w:jc w:val="center"/>
        <w:rPr>
          <w:rFonts w:eastAsia="宋体"/>
          <w:b/>
          <w:kern w:val="2"/>
          <w:sz w:val="120"/>
          <w:szCs w:val="120"/>
          <w:lang w:eastAsia="zh-CN"/>
        </w:rPr>
      </w:pPr>
    </w:p>
    <w:p w14:paraId="1FB875AD">
      <w:pPr>
        <w:widowControl w:val="0"/>
        <w:jc w:val="center"/>
        <w:rPr>
          <w:rFonts w:eastAsia="宋体"/>
          <w:b/>
          <w:kern w:val="2"/>
          <w:sz w:val="120"/>
          <w:szCs w:val="120"/>
          <w:lang w:eastAsia="zh-CN"/>
        </w:rPr>
      </w:pPr>
      <w:r>
        <w:rPr>
          <w:rFonts w:hint="eastAsia" w:eastAsia="宋体"/>
          <w:b/>
          <w:kern w:val="2"/>
          <w:sz w:val="120"/>
          <w:szCs w:val="120"/>
          <w:lang w:eastAsia="zh-CN"/>
        </w:rPr>
        <w:t>自行采购</w:t>
      </w:r>
    </w:p>
    <w:p w14:paraId="2FA720C3">
      <w:pPr>
        <w:widowControl w:val="0"/>
        <w:jc w:val="center"/>
        <w:rPr>
          <w:rFonts w:eastAsia="宋体"/>
          <w:b/>
          <w:kern w:val="2"/>
          <w:sz w:val="120"/>
          <w:szCs w:val="120"/>
          <w:lang w:eastAsia="zh-CN"/>
        </w:rPr>
      </w:pPr>
      <w:r>
        <w:rPr>
          <w:rFonts w:hint="eastAsia" w:eastAsia="宋体"/>
          <w:b/>
          <w:kern w:val="2"/>
          <w:sz w:val="120"/>
          <w:szCs w:val="120"/>
          <w:lang w:eastAsia="zh-CN"/>
        </w:rPr>
        <w:t>招标文件</w:t>
      </w:r>
    </w:p>
    <w:p w14:paraId="7A4E9364">
      <w:pPr>
        <w:widowControl w:val="0"/>
        <w:jc w:val="center"/>
        <w:rPr>
          <w:rFonts w:eastAsia="宋体"/>
          <w:b/>
          <w:kern w:val="2"/>
          <w:sz w:val="52"/>
          <w:szCs w:val="52"/>
          <w:lang w:eastAsia="zh-CN"/>
        </w:rPr>
      </w:pPr>
      <w:r>
        <w:rPr>
          <w:rFonts w:hint="eastAsia" w:eastAsia="宋体"/>
          <w:b/>
          <w:kern w:val="2"/>
          <w:sz w:val="52"/>
          <w:szCs w:val="52"/>
          <w:lang w:eastAsia="zh-CN"/>
        </w:rPr>
        <w:t>（服务类）</w:t>
      </w:r>
    </w:p>
    <w:p w14:paraId="437763B0">
      <w:pPr>
        <w:widowControl w:val="0"/>
        <w:jc w:val="center"/>
        <w:rPr>
          <w:rFonts w:eastAsia="宋体"/>
          <w:kern w:val="2"/>
          <w:sz w:val="21"/>
          <w:lang w:eastAsia="zh-CN"/>
        </w:rPr>
      </w:pPr>
    </w:p>
    <w:p w14:paraId="2BC24CD1">
      <w:pPr>
        <w:widowControl w:val="0"/>
        <w:jc w:val="center"/>
        <w:rPr>
          <w:rFonts w:eastAsia="宋体"/>
          <w:kern w:val="2"/>
          <w:sz w:val="21"/>
          <w:lang w:eastAsia="zh-CN"/>
        </w:rPr>
      </w:pPr>
    </w:p>
    <w:p w14:paraId="78A51D4A">
      <w:pPr>
        <w:widowControl w:val="0"/>
        <w:jc w:val="center"/>
        <w:rPr>
          <w:rFonts w:eastAsia="宋体"/>
          <w:kern w:val="2"/>
          <w:sz w:val="21"/>
          <w:lang w:eastAsia="zh-CN"/>
        </w:rPr>
      </w:pPr>
    </w:p>
    <w:p w14:paraId="5055C198">
      <w:pPr>
        <w:widowControl w:val="0"/>
        <w:jc w:val="center"/>
        <w:rPr>
          <w:rFonts w:eastAsia="宋体"/>
          <w:kern w:val="2"/>
          <w:sz w:val="21"/>
          <w:lang w:eastAsia="zh-CN"/>
        </w:rPr>
      </w:pPr>
    </w:p>
    <w:p w14:paraId="7D284860">
      <w:pPr>
        <w:widowControl w:val="0"/>
        <w:jc w:val="center"/>
        <w:rPr>
          <w:rFonts w:eastAsia="宋体"/>
          <w:kern w:val="2"/>
          <w:sz w:val="21"/>
          <w:lang w:eastAsia="zh-CN"/>
        </w:rPr>
      </w:pPr>
    </w:p>
    <w:p w14:paraId="03A88779">
      <w:pPr>
        <w:widowControl w:val="0"/>
        <w:jc w:val="center"/>
        <w:rPr>
          <w:rFonts w:eastAsia="宋体"/>
          <w:b/>
          <w:kern w:val="2"/>
          <w:sz w:val="44"/>
          <w:szCs w:val="44"/>
          <w:lang w:eastAsia="zh-CN"/>
        </w:rPr>
      </w:pPr>
    </w:p>
    <w:p w14:paraId="1AC64441">
      <w:pPr>
        <w:widowControl w:val="0"/>
        <w:jc w:val="center"/>
        <w:rPr>
          <w:rFonts w:eastAsia="宋体"/>
          <w:b/>
          <w:kern w:val="2"/>
          <w:sz w:val="44"/>
          <w:szCs w:val="44"/>
          <w:lang w:eastAsia="zh-CN"/>
        </w:rPr>
      </w:pPr>
    </w:p>
    <w:p w14:paraId="769BE057">
      <w:pPr>
        <w:widowControl w:val="0"/>
        <w:jc w:val="center"/>
        <w:rPr>
          <w:rFonts w:eastAsia="宋体"/>
          <w:b/>
          <w:kern w:val="2"/>
          <w:sz w:val="44"/>
          <w:szCs w:val="44"/>
          <w:lang w:eastAsia="zh-CN"/>
        </w:rPr>
      </w:pPr>
    </w:p>
    <w:p w14:paraId="1DDB679E">
      <w:pPr>
        <w:widowControl w:val="0"/>
        <w:jc w:val="center"/>
        <w:rPr>
          <w:rFonts w:eastAsia="宋体"/>
          <w:b/>
          <w:kern w:val="2"/>
          <w:sz w:val="44"/>
          <w:szCs w:val="44"/>
          <w:lang w:eastAsia="zh-CN"/>
        </w:rPr>
      </w:pPr>
    </w:p>
    <w:p w14:paraId="1733D6A1">
      <w:pPr>
        <w:widowControl w:val="0"/>
        <w:jc w:val="center"/>
        <w:rPr>
          <w:rFonts w:eastAsia="宋体"/>
          <w:b/>
          <w:kern w:val="2"/>
          <w:sz w:val="44"/>
          <w:szCs w:val="44"/>
          <w:lang w:eastAsia="zh-CN"/>
        </w:rPr>
      </w:pPr>
    </w:p>
    <w:p w14:paraId="53785E17">
      <w:pPr>
        <w:widowControl w:val="0"/>
        <w:jc w:val="center"/>
        <w:rPr>
          <w:rFonts w:eastAsia="宋体"/>
          <w:b/>
          <w:kern w:val="2"/>
          <w:sz w:val="44"/>
          <w:szCs w:val="44"/>
          <w:lang w:eastAsia="zh-CN"/>
        </w:rPr>
      </w:pPr>
    </w:p>
    <w:p w14:paraId="2C76AFEF">
      <w:pPr>
        <w:widowControl w:val="0"/>
        <w:jc w:val="center"/>
        <w:rPr>
          <w:rFonts w:eastAsia="宋体"/>
          <w:b/>
          <w:kern w:val="2"/>
          <w:sz w:val="44"/>
          <w:szCs w:val="44"/>
          <w:lang w:eastAsia="zh-CN"/>
        </w:rPr>
      </w:pPr>
    </w:p>
    <w:p w14:paraId="21D26558">
      <w:pPr>
        <w:widowControl w:val="0"/>
        <w:jc w:val="center"/>
        <w:rPr>
          <w:rFonts w:eastAsia="宋体"/>
          <w:b/>
          <w:kern w:val="2"/>
          <w:sz w:val="44"/>
          <w:szCs w:val="44"/>
          <w:lang w:eastAsia="zh-CN"/>
        </w:rPr>
      </w:pPr>
    </w:p>
    <w:p w14:paraId="7DCDA079">
      <w:pPr>
        <w:widowControl w:val="0"/>
        <w:jc w:val="center"/>
        <w:rPr>
          <w:rFonts w:eastAsia="宋体"/>
          <w:b/>
          <w:kern w:val="2"/>
          <w:sz w:val="44"/>
          <w:szCs w:val="44"/>
          <w:lang w:eastAsia="zh-CN"/>
        </w:rPr>
      </w:pPr>
      <w:bookmarkStart w:id="0" w:name="_Hlk71465316"/>
      <w:r>
        <w:rPr>
          <w:rFonts w:hint="eastAsia" w:eastAsia="宋体"/>
          <w:b/>
          <w:kern w:val="2"/>
          <w:sz w:val="44"/>
          <w:szCs w:val="44"/>
          <w:lang w:eastAsia="zh-CN"/>
        </w:rPr>
        <w:t>深圳公共资源交易中心</w:t>
      </w:r>
    </w:p>
    <w:p w14:paraId="35E882FD">
      <w:pPr>
        <w:widowControl w:val="0"/>
        <w:jc w:val="center"/>
        <w:rPr>
          <w:rFonts w:eastAsia="宋体"/>
          <w:kern w:val="2"/>
          <w:sz w:val="28"/>
          <w:szCs w:val="28"/>
          <w:lang w:eastAsia="zh-CN"/>
        </w:rPr>
      </w:pPr>
      <w:r>
        <w:rPr>
          <w:rFonts w:hint="eastAsia" w:eastAsia="宋体"/>
          <w:b/>
          <w:kern w:val="2"/>
          <w:sz w:val="28"/>
          <w:szCs w:val="28"/>
          <w:lang w:eastAsia="zh-CN"/>
        </w:rPr>
        <w:t>（</w:t>
      </w:r>
      <w:r>
        <w:rPr>
          <w:rFonts w:eastAsia="宋体"/>
          <w:b/>
          <w:kern w:val="2"/>
          <w:sz w:val="28"/>
          <w:szCs w:val="28"/>
          <w:lang w:eastAsia="zh-CN"/>
        </w:rPr>
        <w:t>20</w:t>
      </w:r>
      <w:r>
        <w:rPr>
          <w:rFonts w:hint="eastAsia" w:eastAsia="宋体"/>
          <w:b/>
          <w:kern w:val="2"/>
          <w:sz w:val="28"/>
          <w:szCs w:val="28"/>
          <w:lang w:eastAsia="zh-CN"/>
        </w:rPr>
        <w:t>25年）</w:t>
      </w:r>
      <w:bookmarkEnd w:id="0"/>
    </w:p>
    <w:p w14:paraId="3FEF7676">
      <w:pPr>
        <w:widowControl w:val="0"/>
        <w:jc w:val="center"/>
        <w:rPr>
          <w:rFonts w:hint="eastAsia" w:ascii="宋体" w:hAnsi="宋体" w:eastAsia="宋体"/>
          <w:color w:val="FF0000"/>
          <w:kern w:val="2"/>
          <w:sz w:val="21"/>
          <w:szCs w:val="21"/>
          <w:lang w:eastAsia="zh-CN"/>
        </w:rPr>
      </w:pPr>
      <w:r>
        <w:rPr>
          <w:rFonts w:hint="eastAsia" w:eastAsia="宋体"/>
          <w:kern w:val="2"/>
          <w:sz w:val="21"/>
          <w:lang w:eastAsia="zh-CN"/>
        </w:rPr>
        <w:br w:type="page"/>
      </w:r>
      <w:bookmarkStart w:id="1" w:name="_Hlk137453387"/>
      <w:r>
        <w:rPr>
          <w:rFonts w:hint="eastAsia" w:ascii="宋体" w:hAnsi="宋体" w:eastAsia="黑体"/>
          <w:b/>
          <w:bCs/>
          <w:color w:val="FF0000"/>
          <w:kern w:val="44"/>
          <w:sz w:val="28"/>
          <w:szCs w:val="44"/>
          <w:lang w:eastAsia="zh-CN"/>
        </w:rPr>
        <w:t>警示条款</w:t>
      </w:r>
    </w:p>
    <w:p w14:paraId="12A1CFAE">
      <w:pPr>
        <w:widowControl w:val="0"/>
        <w:ind w:firstLine="400" w:firstLineChars="200"/>
        <w:jc w:val="both"/>
        <w:rPr>
          <w:rFonts w:hint="eastAsia" w:ascii="宋体" w:hAnsi="宋体" w:eastAsia="宋体"/>
          <w:color w:val="FF0000"/>
          <w:kern w:val="2"/>
          <w:sz w:val="20"/>
          <w:szCs w:val="20"/>
          <w:lang w:eastAsia="zh-CN"/>
        </w:rPr>
      </w:pPr>
    </w:p>
    <w:p w14:paraId="02BB7873">
      <w:pPr>
        <w:widowControl w:val="0"/>
        <w:ind w:firstLine="400" w:firstLineChars="200"/>
        <w:jc w:val="both"/>
        <w:rPr>
          <w:rFonts w:hint="eastAsia" w:ascii="宋体" w:hAnsi="宋体" w:eastAsia="宋体"/>
          <w:color w:val="FF0000"/>
          <w:kern w:val="2"/>
          <w:sz w:val="20"/>
          <w:szCs w:val="20"/>
          <w:lang w:eastAsia="zh-CN"/>
        </w:rPr>
      </w:pPr>
      <w:r>
        <w:rPr>
          <w:rFonts w:hint="eastAsia" w:ascii="宋体" w:hAnsi="宋体" w:eastAsia="宋体"/>
          <w:color w:val="FF0000"/>
          <w:kern w:val="2"/>
          <w:sz w:val="20"/>
          <w:szCs w:val="20"/>
          <w:lang w:eastAsia="zh-CN"/>
        </w:rPr>
        <w:t>本项目为自行采购项目，参照《深圳经济特区政府采购条例》、《深圳经济特区政府采购条例实施细则》及政府采购其他法律法规，按照采购人内控制度，通过公开招标方式确定中标供应商。</w:t>
      </w:r>
    </w:p>
    <w:p w14:paraId="791CB18B">
      <w:pPr>
        <w:widowControl w:val="0"/>
        <w:ind w:firstLine="400" w:firstLineChars="200"/>
        <w:jc w:val="both"/>
        <w:rPr>
          <w:rFonts w:hint="eastAsia" w:ascii="宋体" w:hAnsi="宋体" w:eastAsia="宋体"/>
          <w:color w:val="FF0000"/>
          <w:kern w:val="2"/>
          <w:sz w:val="20"/>
          <w:szCs w:val="20"/>
          <w:lang w:eastAsia="zh-CN"/>
        </w:rPr>
      </w:pPr>
      <w:r>
        <w:rPr>
          <w:rFonts w:hint="eastAsia" w:ascii="宋体" w:hAnsi="宋体" w:eastAsia="宋体"/>
          <w:color w:val="FF0000"/>
          <w:kern w:val="2"/>
          <w:sz w:val="20"/>
          <w:szCs w:val="20"/>
          <w:lang w:eastAsia="zh-CN"/>
        </w:rPr>
        <w:t>一、</w:t>
      </w:r>
      <w:r>
        <w:rPr>
          <w:rFonts w:hint="eastAsia" w:ascii="宋体" w:hAnsi="宋体" w:eastAsia="宋体"/>
          <w:b/>
          <w:bCs/>
          <w:color w:val="FF0000"/>
          <w:kern w:val="2"/>
          <w:sz w:val="20"/>
          <w:szCs w:val="20"/>
          <w:lang w:eastAsia="zh-CN"/>
        </w:rPr>
        <w:t>《深圳经济特区政府采购条例》第五十七条</w:t>
      </w:r>
      <w:r>
        <w:rPr>
          <w:rFonts w:hint="eastAsia" w:ascii="宋体" w:hAnsi="宋体" w:eastAsia="宋体"/>
          <w:color w:val="FF0000"/>
          <w:kern w:val="2"/>
          <w:sz w:val="20"/>
          <w:szCs w:val="20"/>
          <w:lang w:eastAsia="zh-CN"/>
        </w:rPr>
        <w:t xml:space="preserve"> 供应商在政府采购中，有下列行为之一的，一至三年内禁止其参与本市政府采购，并由主管部门记入供应商诚信档案，处采购金额千分之十以上千分之二十以下罚款；情节严重的，取消其参与本市政府采购资格，处采购金额千分之二十以上千分之三十以下罚款，并由市场监管部门依法吊销其营业执照；给他人造成损失的，依法承担赔偿责任；构成犯罪的，依法追究刑事责任：</w:t>
      </w:r>
    </w:p>
    <w:p w14:paraId="1BE713B8">
      <w:pPr>
        <w:widowControl w:val="0"/>
        <w:ind w:firstLine="400" w:firstLineChars="200"/>
        <w:jc w:val="both"/>
        <w:rPr>
          <w:rFonts w:hint="eastAsia" w:ascii="宋体" w:hAnsi="宋体" w:eastAsia="宋体"/>
          <w:color w:val="FF0000"/>
          <w:kern w:val="2"/>
          <w:sz w:val="20"/>
          <w:szCs w:val="20"/>
          <w:lang w:eastAsia="zh-CN"/>
        </w:rPr>
      </w:pPr>
      <w:r>
        <w:rPr>
          <w:rFonts w:hint="eastAsia" w:ascii="宋体" w:hAnsi="宋体" w:eastAsia="宋体"/>
          <w:color w:val="FF0000"/>
          <w:kern w:val="2"/>
          <w:sz w:val="20"/>
          <w:szCs w:val="20"/>
          <w:lang w:eastAsia="zh-CN"/>
        </w:rPr>
        <w:t>（一）在采购活动中应当回避而未回避的；</w:t>
      </w:r>
    </w:p>
    <w:p w14:paraId="7273EFC3">
      <w:pPr>
        <w:widowControl w:val="0"/>
        <w:ind w:firstLine="400" w:firstLineChars="200"/>
        <w:jc w:val="both"/>
        <w:rPr>
          <w:rFonts w:hint="eastAsia" w:ascii="宋体" w:hAnsi="宋体" w:eastAsia="宋体"/>
          <w:color w:val="FF0000"/>
          <w:kern w:val="2"/>
          <w:sz w:val="20"/>
          <w:szCs w:val="20"/>
          <w:lang w:eastAsia="zh-CN"/>
        </w:rPr>
      </w:pPr>
      <w:r>
        <w:rPr>
          <w:rFonts w:hint="eastAsia" w:ascii="宋体" w:hAnsi="宋体" w:eastAsia="宋体"/>
          <w:color w:val="FF0000"/>
          <w:kern w:val="2"/>
          <w:sz w:val="20"/>
          <w:szCs w:val="20"/>
          <w:lang w:eastAsia="zh-CN"/>
        </w:rPr>
        <w:t>（二）未按本条例规定签订、履行采购合同，造成严重后果的；</w:t>
      </w:r>
    </w:p>
    <w:p w14:paraId="05FB0EEA">
      <w:pPr>
        <w:widowControl w:val="0"/>
        <w:ind w:firstLine="400" w:firstLineChars="200"/>
        <w:jc w:val="both"/>
        <w:rPr>
          <w:rFonts w:hint="eastAsia" w:ascii="宋体" w:hAnsi="宋体" w:eastAsia="宋体"/>
          <w:color w:val="FF0000"/>
          <w:kern w:val="2"/>
          <w:sz w:val="20"/>
          <w:szCs w:val="20"/>
          <w:lang w:eastAsia="zh-CN"/>
        </w:rPr>
      </w:pPr>
      <w:r>
        <w:rPr>
          <w:rFonts w:hint="eastAsia" w:ascii="宋体" w:hAnsi="宋体" w:eastAsia="宋体"/>
          <w:color w:val="FF0000"/>
          <w:kern w:val="2"/>
          <w:sz w:val="20"/>
          <w:szCs w:val="20"/>
          <w:lang w:eastAsia="zh-CN"/>
        </w:rPr>
        <w:t>（三）隐瞒真实情况，提供虚假资料的；</w:t>
      </w:r>
    </w:p>
    <w:p w14:paraId="2B99E112">
      <w:pPr>
        <w:widowControl w:val="0"/>
        <w:ind w:firstLine="400" w:firstLineChars="200"/>
        <w:jc w:val="both"/>
        <w:rPr>
          <w:rFonts w:hint="eastAsia" w:ascii="宋体" w:hAnsi="宋体" w:eastAsia="宋体"/>
          <w:color w:val="FF0000"/>
          <w:kern w:val="2"/>
          <w:sz w:val="20"/>
          <w:szCs w:val="20"/>
          <w:lang w:eastAsia="zh-CN"/>
        </w:rPr>
      </w:pPr>
      <w:r>
        <w:rPr>
          <w:rFonts w:hint="eastAsia" w:ascii="宋体" w:hAnsi="宋体" w:eastAsia="宋体"/>
          <w:color w:val="FF0000"/>
          <w:kern w:val="2"/>
          <w:sz w:val="20"/>
          <w:szCs w:val="20"/>
          <w:lang w:eastAsia="zh-CN"/>
        </w:rPr>
        <w:t>（四）以非法手段排斥其他供应商参与竞争的；</w:t>
      </w:r>
    </w:p>
    <w:p w14:paraId="6D211E11">
      <w:pPr>
        <w:widowControl w:val="0"/>
        <w:ind w:firstLine="400" w:firstLineChars="200"/>
        <w:jc w:val="both"/>
        <w:rPr>
          <w:rFonts w:hint="eastAsia" w:ascii="宋体" w:hAnsi="宋体" w:eastAsia="宋体"/>
          <w:color w:val="FF0000"/>
          <w:kern w:val="2"/>
          <w:sz w:val="20"/>
          <w:szCs w:val="20"/>
          <w:lang w:eastAsia="zh-CN"/>
        </w:rPr>
      </w:pPr>
      <w:r>
        <w:rPr>
          <w:rFonts w:hint="eastAsia" w:ascii="宋体" w:hAnsi="宋体" w:eastAsia="宋体"/>
          <w:color w:val="FF0000"/>
          <w:kern w:val="2"/>
          <w:sz w:val="20"/>
          <w:szCs w:val="20"/>
          <w:lang w:eastAsia="zh-CN"/>
        </w:rPr>
        <w:t>（五）与其他采购参加人串通投标的；</w:t>
      </w:r>
    </w:p>
    <w:p w14:paraId="7BB8B066">
      <w:pPr>
        <w:widowControl w:val="0"/>
        <w:ind w:firstLine="400" w:firstLineChars="200"/>
        <w:jc w:val="both"/>
        <w:rPr>
          <w:rFonts w:hint="eastAsia" w:ascii="宋体" w:hAnsi="宋体" w:eastAsia="宋体"/>
          <w:color w:val="FF0000"/>
          <w:kern w:val="2"/>
          <w:sz w:val="20"/>
          <w:szCs w:val="20"/>
          <w:lang w:eastAsia="zh-CN"/>
        </w:rPr>
      </w:pPr>
      <w:r>
        <w:rPr>
          <w:rFonts w:hint="eastAsia" w:ascii="宋体" w:hAnsi="宋体" w:eastAsia="宋体"/>
          <w:color w:val="FF0000"/>
          <w:kern w:val="2"/>
          <w:sz w:val="20"/>
          <w:szCs w:val="20"/>
          <w:lang w:eastAsia="zh-CN"/>
        </w:rPr>
        <w:t>（六）恶意投诉的；</w:t>
      </w:r>
    </w:p>
    <w:p w14:paraId="70BA5B7E">
      <w:pPr>
        <w:widowControl w:val="0"/>
        <w:ind w:firstLine="400" w:firstLineChars="200"/>
        <w:jc w:val="both"/>
        <w:rPr>
          <w:rFonts w:hint="eastAsia" w:ascii="宋体" w:hAnsi="宋体" w:eastAsia="宋体"/>
          <w:color w:val="FF0000"/>
          <w:kern w:val="2"/>
          <w:sz w:val="20"/>
          <w:szCs w:val="20"/>
          <w:lang w:eastAsia="zh-CN"/>
        </w:rPr>
      </w:pPr>
      <w:r>
        <w:rPr>
          <w:rFonts w:hint="eastAsia" w:ascii="宋体" w:hAnsi="宋体" w:eastAsia="宋体"/>
          <w:color w:val="FF0000"/>
          <w:kern w:val="2"/>
          <w:sz w:val="20"/>
          <w:szCs w:val="20"/>
          <w:lang w:eastAsia="zh-CN"/>
        </w:rPr>
        <w:t>（七）向采购项目相关人行贿或者提供其他不当利益的；</w:t>
      </w:r>
    </w:p>
    <w:p w14:paraId="1F6176DB">
      <w:pPr>
        <w:widowControl w:val="0"/>
        <w:ind w:firstLine="400" w:firstLineChars="200"/>
        <w:jc w:val="both"/>
        <w:rPr>
          <w:rFonts w:hint="eastAsia" w:ascii="宋体" w:hAnsi="宋体" w:eastAsia="宋体"/>
          <w:color w:val="FF0000"/>
          <w:kern w:val="2"/>
          <w:sz w:val="20"/>
          <w:szCs w:val="20"/>
          <w:lang w:eastAsia="zh-CN"/>
        </w:rPr>
      </w:pPr>
      <w:r>
        <w:rPr>
          <w:rFonts w:hint="eastAsia" w:ascii="宋体" w:hAnsi="宋体" w:eastAsia="宋体"/>
          <w:color w:val="FF0000"/>
          <w:kern w:val="2"/>
          <w:sz w:val="20"/>
          <w:szCs w:val="20"/>
          <w:lang w:eastAsia="zh-CN"/>
        </w:rPr>
        <w:t>（八）阻碍、抗拒主管部门监督检查的；</w:t>
      </w:r>
    </w:p>
    <w:p w14:paraId="5F2C15C8">
      <w:pPr>
        <w:widowControl w:val="0"/>
        <w:ind w:firstLine="400" w:firstLineChars="200"/>
        <w:jc w:val="both"/>
        <w:rPr>
          <w:rFonts w:hint="eastAsia" w:ascii="宋体" w:hAnsi="宋体" w:eastAsia="宋体"/>
          <w:color w:val="FF0000"/>
          <w:kern w:val="2"/>
          <w:sz w:val="20"/>
          <w:szCs w:val="20"/>
          <w:lang w:eastAsia="zh-CN"/>
        </w:rPr>
      </w:pPr>
      <w:r>
        <w:rPr>
          <w:rFonts w:hint="eastAsia" w:ascii="宋体" w:hAnsi="宋体" w:eastAsia="宋体"/>
          <w:color w:val="FF0000"/>
          <w:kern w:val="2"/>
          <w:sz w:val="20"/>
          <w:szCs w:val="20"/>
          <w:lang w:eastAsia="zh-CN"/>
        </w:rPr>
        <w:t>（九）其他违反本条例规定的行为。</w:t>
      </w:r>
    </w:p>
    <w:p w14:paraId="25A3C14F">
      <w:pPr>
        <w:widowControl w:val="0"/>
        <w:ind w:firstLine="402" w:firstLineChars="200"/>
        <w:jc w:val="both"/>
        <w:rPr>
          <w:rFonts w:hint="eastAsia" w:ascii="宋体" w:hAnsi="宋体" w:eastAsia="宋体"/>
          <w:color w:val="FF0000"/>
          <w:kern w:val="2"/>
          <w:sz w:val="20"/>
          <w:szCs w:val="20"/>
          <w:lang w:eastAsia="zh-CN"/>
        </w:rPr>
      </w:pPr>
      <w:r>
        <w:rPr>
          <w:rFonts w:hint="eastAsia" w:ascii="宋体" w:hAnsi="宋体" w:eastAsia="宋体"/>
          <w:b/>
          <w:bCs/>
          <w:color w:val="FF0000"/>
          <w:kern w:val="2"/>
          <w:sz w:val="20"/>
          <w:szCs w:val="20"/>
          <w:lang w:eastAsia="zh-CN"/>
        </w:rPr>
        <w:t>二、《深圳经济特区政府采购条例实施细则》第七十五条 </w:t>
      </w:r>
      <w:r>
        <w:rPr>
          <w:rFonts w:hint="eastAsia" w:ascii="宋体" w:hAnsi="宋体" w:eastAsia="宋体"/>
          <w:color w:val="FF0000"/>
          <w:kern w:val="2"/>
          <w:sz w:val="20"/>
          <w:szCs w:val="20"/>
          <w:lang w:eastAsia="zh-CN"/>
        </w:rPr>
        <w:t>供应商有下列情形的，属于采购条例所称的串通投标行为，按照采购条例第五十七条有关规定处理：（一）投标供应商之间相互约定给予未中标的供应商利益补偿；（二）不同投标供应商的法定代表人、主要经营负责人、项目投标授权代表人、项目负责人、主要技术人员为同一人、属同一单位或者在同一单位缴纳社会保险；（三）不同投标供应商的投标文件由同一单位或者同一人编制，或者由同一人分阶段参与编制的；（四）不同投标供应商的投标文件或部分投标文件相互混装；（五）不同投标供应商的投标文件内容存在非正常一致；（六）由同一单位工作人员为两家以上（含两家）供应商进行同一项投标活动的；（七）主管部门依照法律、法规认定的其他情形。</w:t>
      </w:r>
    </w:p>
    <w:p w14:paraId="57877F4E">
      <w:pPr>
        <w:widowControl w:val="0"/>
        <w:ind w:firstLine="402" w:firstLineChars="200"/>
        <w:jc w:val="both"/>
        <w:rPr>
          <w:rFonts w:hint="eastAsia" w:ascii="宋体" w:hAnsi="宋体" w:eastAsia="宋体"/>
          <w:color w:val="FF0000"/>
          <w:kern w:val="2"/>
          <w:sz w:val="20"/>
          <w:szCs w:val="20"/>
          <w:lang w:eastAsia="zh-CN"/>
        </w:rPr>
      </w:pPr>
      <w:r>
        <w:rPr>
          <w:rFonts w:hint="eastAsia" w:ascii="宋体" w:hAnsi="宋体" w:eastAsia="宋体"/>
          <w:b/>
          <w:bCs/>
          <w:color w:val="FF0000"/>
          <w:kern w:val="2"/>
          <w:sz w:val="20"/>
          <w:szCs w:val="20"/>
          <w:lang w:eastAsia="zh-CN"/>
        </w:rPr>
        <w:t>三、《深圳经济特区政府采购条例实施细则》第七十七条 </w:t>
      </w:r>
      <w:r>
        <w:rPr>
          <w:rFonts w:hint="eastAsia" w:ascii="宋体" w:hAnsi="宋体" w:eastAsia="宋体"/>
          <w:color w:val="FF0000"/>
          <w:kern w:val="2"/>
          <w:sz w:val="20"/>
          <w:szCs w:val="20"/>
          <w:lang w:eastAsia="zh-CN"/>
        </w:rPr>
        <w:t>供应商有下列情形之一的，属于隐瞒真实情况，提供虚假资料，按照采购条例第五十七条的有关规定处理：（一）通过转让或者租借等方式从其他单位获取资格或者资质证书投标的；（二）由其他单位或者其他单位负责人在投标供应商编制的投标文件上加盖印章或者签字的；（三）项目负责人或者主要技术人员不是本单位人员的；（四）投标保证金不是从投标供应商基本账户转出的；（五）其他隐瞒真实情况、提供虚假资料的行为。</w:t>
      </w:r>
    </w:p>
    <w:p w14:paraId="250B23D4">
      <w:pPr>
        <w:widowControl w:val="0"/>
        <w:ind w:firstLine="400" w:firstLineChars="200"/>
        <w:jc w:val="both"/>
        <w:rPr>
          <w:rFonts w:hint="eastAsia" w:ascii="宋体" w:hAnsi="宋体" w:eastAsia="宋体"/>
          <w:color w:val="FF0000"/>
          <w:kern w:val="2"/>
          <w:sz w:val="20"/>
          <w:szCs w:val="20"/>
          <w:lang w:eastAsia="zh-CN"/>
        </w:rPr>
      </w:pPr>
      <w:r>
        <w:rPr>
          <w:rFonts w:hint="eastAsia" w:ascii="宋体" w:hAnsi="宋体" w:eastAsia="宋体"/>
          <w:color w:val="FF0000"/>
          <w:kern w:val="2"/>
          <w:sz w:val="20"/>
          <w:szCs w:val="20"/>
          <w:lang w:eastAsia="zh-CN"/>
        </w:rPr>
        <w:t>投标供应商不能提供项目负责人或者主要技术人员的劳动合同、社会保险等劳动关系证明材料的，视为存在前款第（三）项规定的情形。</w:t>
      </w:r>
    </w:p>
    <w:p w14:paraId="0D55DBA9">
      <w:pPr>
        <w:widowControl w:val="0"/>
        <w:ind w:firstLine="422" w:firstLineChars="200"/>
        <w:jc w:val="both"/>
        <w:rPr>
          <w:rFonts w:eastAsia="宋体"/>
          <w:b/>
          <w:color w:val="FF0000"/>
          <w:kern w:val="2"/>
          <w:sz w:val="21"/>
          <w:lang w:eastAsia="zh-CN"/>
        </w:rPr>
      </w:pPr>
      <w:r>
        <w:rPr>
          <w:rFonts w:hint="eastAsia" w:eastAsia="宋体"/>
          <w:b/>
          <w:color w:val="FF0000"/>
          <w:kern w:val="2"/>
          <w:sz w:val="21"/>
          <w:lang w:eastAsia="zh-CN"/>
        </w:rPr>
        <w:t>四、请投标供应商阅读《自行采购违法行为风险知悉确认书》（内容详见“第四章 投标文件组成要求及格式”中节点“投标人认为需要加以说明的其他内容（格式自定）”），并经各投标供应商负责人或投标授权代表签字并加盖单位公章后，扫描上传至投标文件一并提交。注：该风险知悉确认书用于对供应商违法行为的警示，不作为供应商资格性审查及符合性审查条件。</w:t>
      </w:r>
    </w:p>
    <w:p w14:paraId="50309E12">
      <w:pPr>
        <w:widowControl w:val="0"/>
        <w:ind w:firstLine="400" w:firstLineChars="200"/>
        <w:jc w:val="both"/>
        <w:rPr>
          <w:rFonts w:eastAsia="宋体"/>
          <w:kern w:val="2"/>
          <w:sz w:val="21"/>
          <w:lang w:eastAsia="zh-CN"/>
        </w:rPr>
      </w:pPr>
      <w:r>
        <w:rPr>
          <w:rFonts w:hint="eastAsia" w:ascii="宋体" w:hAnsi="宋体" w:eastAsia="宋体"/>
          <w:color w:val="FF0000"/>
          <w:kern w:val="2"/>
          <w:sz w:val="20"/>
          <w:szCs w:val="20"/>
          <w:lang w:eastAsia="zh-CN"/>
        </w:rPr>
        <w:t>五、</w:t>
      </w:r>
      <w:r>
        <w:rPr>
          <w:rFonts w:ascii="宋体" w:hAnsi="宋体" w:eastAsia="宋体"/>
          <w:color w:val="FF0000"/>
          <w:kern w:val="2"/>
          <w:sz w:val="20"/>
          <w:szCs w:val="20"/>
          <w:lang w:eastAsia="zh-CN"/>
        </w:rPr>
        <w:t>根据《深圳经济特区政府采购条例实施细则》第七十五条规定，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的行政处罚，请各供应商独立编制、上传投标文件，妥善保管和使用电子秘钥。</w:t>
      </w:r>
      <w:r>
        <w:rPr>
          <w:rFonts w:eastAsia="宋体"/>
          <w:kern w:val="2"/>
          <w:sz w:val="21"/>
          <w:lang w:eastAsia="zh-CN"/>
        </w:rPr>
        <w:br w:type="textWrapping"/>
      </w:r>
    </w:p>
    <w:bookmarkEnd w:id="1"/>
    <w:p w14:paraId="4905786A">
      <w:pPr>
        <w:widowControl/>
        <w:jc w:val="left"/>
        <w:rPr>
          <w:rFonts w:hint="eastAsia" w:ascii="宋体" w:hAnsi="宋体" w:eastAsia="黑体"/>
          <w:b/>
          <w:bCs/>
          <w:kern w:val="44"/>
          <w:sz w:val="28"/>
          <w:szCs w:val="44"/>
          <w:lang w:eastAsia="zh-CN"/>
        </w:rPr>
      </w:pPr>
      <w:r>
        <w:rPr>
          <w:rFonts w:eastAsia="宋体"/>
          <w:kern w:val="2"/>
          <w:sz w:val="21"/>
          <w:lang w:eastAsia="zh-CN"/>
        </w:rPr>
        <w:br w:type="page"/>
      </w:r>
    </w:p>
    <w:p w14:paraId="51D6B581">
      <w:pPr>
        <w:widowControl w:val="0"/>
        <w:spacing w:before="340" w:after="330" w:line="360" w:lineRule="auto"/>
        <w:jc w:val="center"/>
        <w:outlineLvl w:val="0"/>
        <w:rPr>
          <w:rFonts w:hint="eastAsia" w:ascii="宋体" w:hAnsi="宋体" w:eastAsia="黑体"/>
          <w:kern w:val="44"/>
          <w:sz w:val="21"/>
          <w:szCs w:val="44"/>
          <w:lang w:eastAsia="zh-CN"/>
        </w:rPr>
      </w:pPr>
      <w:r>
        <w:rPr>
          <w:rFonts w:hint="eastAsia" w:ascii="宋体" w:hAnsi="宋体" w:eastAsia="黑体"/>
          <w:kern w:val="44"/>
          <w:sz w:val="21"/>
          <w:szCs w:val="44"/>
          <w:lang w:eastAsia="zh-CN"/>
        </w:rPr>
        <w:t>目   录</w:t>
      </w:r>
    </w:p>
    <w:p w14:paraId="14FE2C27">
      <w:pPr>
        <w:widowControl w:val="0"/>
        <w:jc w:val="both"/>
        <w:outlineLvl w:val="0"/>
        <w:rPr>
          <w:rFonts w:eastAsia="宋体"/>
          <w:b/>
          <w:kern w:val="2"/>
          <w:lang w:eastAsia="zh-CN"/>
        </w:rPr>
      </w:pPr>
      <w:r>
        <w:rPr>
          <w:rFonts w:hint="eastAsia" w:eastAsia="宋体"/>
          <w:b/>
          <w:kern w:val="2"/>
          <w:lang w:eastAsia="zh-CN"/>
        </w:rPr>
        <w:t>第一册  专用条款</w:t>
      </w:r>
    </w:p>
    <w:p w14:paraId="7359484D">
      <w:pPr>
        <w:widowControl w:val="0"/>
        <w:jc w:val="both"/>
        <w:rPr>
          <w:rFonts w:eastAsia="宋体"/>
          <w:kern w:val="2"/>
          <w:lang w:eastAsia="zh-CN"/>
        </w:rPr>
      </w:pPr>
      <w:r>
        <w:rPr>
          <w:rFonts w:hint="eastAsia" w:eastAsia="宋体"/>
          <w:kern w:val="2"/>
          <w:lang w:eastAsia="zh-CN"/>
        </w:rPr>
        <w:t xml:space="preserve">          关键信息</w:t>
      </w:r>
    </w:p>
    <w:p w14:paraId="19B098BA">
      <w:pPr>
        <w:widowControl w:val="0"/>
        <w:ind w:left="720" w:leftChars="300" w:firstLine="630" w:firstLineChars="3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第一章  招标公告</w:t>
      </w:r>
    </w:p>
    <w:p w14:paraId="7F0525D4">
      <w:pPr>
        <w:widowControl w:val="0"/>
        <w:ind w:left="720" w:leftChars="300" w:firstLine="630" w:firstLineChars="3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 xml:space="preserve">第二章  </w:t>
      </w:r>
      <w:bookmarkStart w:id="2" w:name="_Hlk71994379"/>
      <w:r>
        <w:rPr>
          <w:rFonts w:hint="eastAsia" w:ascii="宋体" w:hAnsi="宋体" w:eastAsia="宋体"/>
          <w:kern w:val="2"/>
          <w:sz w:val="21"/>
          <w:szCs w:val="21"/>
          <w:lang w:eastAsia="zh-CN"/>
        </w:rPr>
        <w:t>对通用条款的补充内容及其他关键信息</w:t>
      </w:r>
      <w:bookmarkEnd w:id="2"/>
    </w:p>
    <w:p w14:paraId="2FFB52D2">
      <w:pPr>
        <w:widowControl w:val="0"/>
        <w:ind w:left="720" w:leftChars="300" w:firstLine="630" w:firstLineChars="3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 xml:space="preserve">第三章 </w:t>
      </w:r>
      <w:r>
        <w:rPr>
          <w:rFonts w:ascii="宋体" w:hAnsi="宋体" w:eastAsia="宋体"/>
          <w:kern w:val="2"/>
          <w:sz w:val="21"/>
          <w:szCs w:val="21"/>
          <w:lang w:eastAsia="zh-CN"/>
        </w:rPr>
        <w:t xml:space="preserve"> </w:t>
      </w:r>
      <w:r>
        <w:rPr>
          <w:rFonts w:hint="eastAsia" w:ascii="宋体" w:hAnsi="宋体" w:eastAsia="宋体"/>
          <w:kern w:val="2"/>
          <w:sz w:val="21"/>
          <w:szCs w:val="21"/>
          <w:lang w:eastAsia="zh-CN"/>
        </w:rPr>
        <w:t>用户需求书</w:t>
      </w:r>
    </w:p>
    <w:p w14:paraId="2247C281">
      <w:pPr>
        <w:widowControl w:val="0"/>
        <w:ind w:left="720" w:leftChars="300" w:firstLine="630" w:firstLineChars="3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 xml:space="preserve">第四章 </w:t>
      </w:r>
      <w:r>
        <w:rPr>
          <w:rFonts w:ascii="宋体" w:hAnsi="宋体" w:eastAsia="宋体"/>
          <w:kern w:val="2"/>
          <w:sz w:val="21"/>
          <w:szCs w:val="21"/>
          <w:lang w:eastAsia="zh-CN"/>
        </w:rPr>
        <w:t xml:space="preserve"> </w:t>
      </w:r>
      <w:r>
        <w:rPr>
          <w:rFonts w:hint="eastAsia" w:ascii="宋体" w:hAnsi="宋体" w:eastAsia="宋体"/>
          <w:kern w:val="2"/>
          <w:sz w:val="21"/>
          <w:szCs w:val="21"/>
          <w:lang w:eastAsia="zh-CN"/>
        </w:rPr>
        <w:t>投标文件组成要求及格式</w:t>
      </w:r>
    </w:p>
    <w:p w14:paraId="24DFF21B">
      <w:pPr>
        <w:widowControl w:val="0"/>
        <w:ind w:left="720" w:leftChars="300" w:firstLine="630" w:firstLineChars="3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第五章  合同条款及格式</w:t>
      </w:r>
    </w:p>
    <w:p w14:paraId="44ECA8DA">
      <w:pPr>
        <w:widowControl w:val="0"/>
        <w:jc w:val="both"/>
        <w:rPr>
          <w:rFonts w:eastAsia="宋体"/>
          <w:b/>
          <w:kern w:val="2"/>
          <w:lang w:eastAsia="zh-CN"/>
        </w:rPr>
      </w:pPr>
    </w:p>
    <w:p w14:paraId="383E6F84">
      <w:pPr>
        <w:widowControl w:val="0"/>
        <w:jc w:val="both"/>
        <w:outlineLvl w:val="0"/>
        <w:rPr>
          <w:rFonts w:eastAsia="宋体"/>
          <w:b/>
          <w:kern w:val="2"/>
          <w:lang w:eastAsia="zh-CN"/>
        </w:rPr>
      </w:pPr>
      <w:r>
        <w:rPr>
          <w:rFonts w:hint="eastAsia" w:eastAsia="宋体"/>
          <w:b/>
          <w:kern w:val="2"/>
          <w:lang w:eastAsia="zh-CN"/>
        </w:rPr>
        <w:t>第二册  通用条款</w:t>
      </w:r>
    </w:p>
    <w:p w14:paraId="6D5918C9">
      <w:pPr>
        <w:widowControl w:val="0"/>
        <w:ind w:left="720" w:leftChars="300" w:firstLine="630" w:firstLineChars="3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第一章  总则</w:t>
      </w:r>
    </w:p>
    <w:p w14:paraId="5B5C8EC1">
      <w:pPr>
        <w:widowControl w:val="0"/>
        <w:ind w:left="720" w:leftChars="300" w:firstLine="630" w:firstLineChars="3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第二章  招标文件</w:t>
      </w:r>
    </w:p>
    <w:p w14:paraId="32372F9C">
      <w:pPr>
        <w:widowControl w:val="0"/>
        <w:ind w:left="720" w:leftChars="300" w:firstLine="630" w:firstLineChars="3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第三章  投标文件的编制</w:t>
      </w:r>
    </w:p>
    <w:p w14:paraId="3DF2DC7F">
      <w:pPr>
        <w:widowControl w:val="0"/>
        <w:ind w:left="720" w:leftChars="300" w:firstLine="630" w:firstLineChars="3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第四章  投标文件的递交</w:t>
      </w:r>
    </w:p>
    <w:p w14:paraId="725CADDF">
      <w:pPr>
        <w:widowControl w:val="0"/>
        <w:ind w:left="720" w:leftChars="300" w:firstLine="630" w:firstLineChars="3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第五章  开标</w:t>
      </w:r>
    </w:p>
    <w:p w14:paraId="6EEB657C">
      <w:pPr>
        <w:widowControl w:val="0"/>
        <w:ind w:left="720" w:leftChars="300" w:firstLine="630" w:firstLineChars="3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第六章  评审要求</w:t>
      </w:r>
    </w:p>
    <w:p w14:paraId="17B40B36">
      <w:pPr>
        <w:widowControl w:val="0"/>
        <w:ind w:left="720" w:leftChars="300" w:firstLine="630" w:firstLineChars="3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第七章  评审程序及评审方法</w:t>
      </w:r>
    </w:p>
    <w:p w14:paraId="6B5FA7A6">
      <w:pPr>
        <w:widowControl w:val="0"/>
        <w:ind w:left="720" w:leftChars="300" w:firstLine="630" w:firstLineChars="3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第八章  定标及公示</w:t>
      </w:r>
    </w:p>
    <w:p w14:paraId="43009C00">
      <w:pPr>
        <w:widowControl w:val="0"/>
        <w:ind w:left="720" w:leftChars="300" w:firstLine="630" w:firstLineChars="3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第九章  公开招标失败的后续处理</w:t>
      </w:r>
    </w:p>
    <w:p w14:paraId="2B557901">
      <w:pPr>
        <w:widowControl w:val="0"/>
        <w:ind w:left="720" w:leftChars="300" w:firstLine="630" w:firstLineChars="3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第十章  合同的授予与备案</w:t>
      </w:r>
    </w:p>
    <w:p w14:paraId="5DD2C5FF">
      <w:pPr>
        <w:widowControl w:val="0"/>
        <w:ind w:left="720" w:leftChars="300" w:firstLine="630" w:firstLineChars="3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第十一章  质疑处理</w:t>
      </w:r>
    </w:p>
    <w:p w14:paraId="464E9377">
      <w:pPr>
        <w:widowControl w:val="0"/>
        <w:spacing w:line="360" w:lineRule="auto"/>
        <w:ind w:firstLine="420" w:firstLineChars="200"/>
        <w:jc w:val="left"/>
        <w:rPr>
          <w:rFonts w:hint="eastAsia" w:ascii="宋体" w:hAnsi="宋体" w:eastAsia="宋体"/>
          <w:kern w:val="2"/>
          <w:sz w:val="21"/>
          <w:szCs w:val="21"/>
          <w:lang w:eastAsia="zh-CN"/>
        </w:rPr>
      </w:pPr>
    </w:p>
    <w:p w14:paraId="6B61F193">
      <w:pPr>
        <w:widowControl w:val="0"/>
        <w:spacing w:before="340" w:after="330" w:line="360" w:lineRule="auto"/>
        <w:jc w:val="center"/>
        <w:outlineLvl w:val="0"/>
        <w:rPr>
          <w:rFonts w:hint="eastAsia" w:ascii="宋体" w:hAnsi="宋体" w:eastAsia="黑体"/>
          <w:kern w:val="44"/>
          <w:szCs w:val="44"/>
          <w:lang w:eastAsia="zh-CN"/>
        </w:rPr>
      </w:pPr>
      <w:r>
        <w:rPr>
          <w:rFonts w:ascii="宋体" w:hAnsi="宋体" w:eastAsia="黑体"/>
          <w:kern w:val="44"/>
          <w:sz w:val="21"/>
          <w:szCs w:val="44"/>
          <w:lang w:eastAsia="zh-CN"/>
        </w:rPr>
        <w:br w:type="page"/>
      </w:r>
      <w:bookmarkStart w:id="3" w:name="bt投标人须知"/>
      <w:bookmarkEnd w:id="3"/>
      <w:bookmarkStart w:id="4" w:name="bt合同格式"/>
      <w:bookmarkEnd w:id="4"/>
      <w:bookmarkStart w:id="5" w:name="bt合同条款"/>
      <w:bookmarkEnd w:id="5"/>
      <w:bookmarkStart w:id="6" w:name="bt项目管理班子配备情况"/>
      <w:bookmarkEnd w:id="6"/>
      <w:bookmarkStart w:id="7" w:name="bt投标报价汇总表"/>
      <w:bookmarkEnd w:id="7"/>
      <w:bookmarkStart w:id="8" w:name="bt合同条款及格式"/>
      <w:bookmarkEnd w:id="8"/>
      <w:bookmarkStart w:id="9" w:name="bt说明"/>
      <w:bookmarkEnd w:id="9"/>
      <w:bookmarkStart w:id="10" w:name="bt投标人情况介绍"/>
      <w:bookmarkEnd w:id="10"/>
      <w:bookmarkStart w:id="11" w:name="bt其他资料2"/>
      <w:bookmarkEnd w:id="11"/>
      <w:bookmarkStart w:id="12" w:name="bt投标文件签署授权委托书"/>
      <w:bookmarkEnd w:id="12"/>
      <w:bookmarkStart w:id="13" w:name="bt本工程承诺书"/>
      <w:bookmarkEnd w:id="13"/>
      <w:bookmarkStart w:id="14" w:name="bt投标函"/>
      <w:bookmarkEnd w:id="14"/>
      <w:bookmarkStart w:id="15" w:name="合同格式"/>
      <w:bookmarkEnd w:id="15"/>
      <w:bookmarkStart w:id="16" w:name="bt其他资料由投标人自定"/>
      <w:bookmarkEnd w:id="16"/>
      <w:bookmarkStart w:id="17" w:name="bt商务标投标文件格式"/>
      <w:bookmarkEnd w:id="17"/>
      <w:bookmarkStart w:id="18" w:name="bt开标一览表"/>
      <w:bookmarkEnd w:id="18"/>
      <w:bookmarkStart w:id="19" w:name="bt技术标投标文件格式"/>
      <w:bookmarkEnd w:id="19"/>
      <w:r>
        <w:rPr>
          <w:rFonts w:hint="eastAsia" w:ascii="宋体" w:hAnsi="宋体" w:eastAsia="黑体"/>
          <w:kern w:val="44"/>
          <w:sz w:val="21"/>
          <w:szCs w:val="44"/>
          <w:lang w:eastAsia="zh-CN"/>
        </w:rPr>
        <w:t>第一册专用条款</w:t>
      </w:r>
    </w:p>
    <w:p w14:paraId="5583892F">
      <w:pPr>
        <w:widowControl w:val="0"/>
        <w:adjustRightInd w:val="0"/>
        <w:spacing w:before="260" w:after="260" w:line="240" w:lineRule="auto"/>
        <w:jc w:val="center"/>
        <w:textAlignment w:val="baseline"/>
        <w:outlineLvl w:val="1"/>
        <w:rPr>
          <w:rFonts w:hint="eastAsia" w:ascii="宋体" w:hAnsi="宋体" w:eastAsia="宋体"/>
          <w:sz w:val="28"/>
          <w:szCs w:val="28"/>
          <w:lang w:eastAsia="zh-CN"/>
        </w:rPr>
      </w:pPr>
      <w:r>
        <w:rPr>
          <w:rFonts w:hint="eastAsia" w:ascii="宋体" w:hAnsi="宋体" w:eastAsia="宋体"/>
          <w:sz w:val="28"/>
          <w:szCs w:val="28"/>
          <w:lang w:eastAsia="zh-CN"/>
        </w:rPr>
        <w:t>第一章  招标公告</w:t>
      </w:r>
    </w:p>
    <w:p w14:paraId="385FC74E">
      <w:pPr>
        <w:widowControl w:val="0"/>
        <w:jc w:val="both"/>
        <w:rPr>
          <w:rFonts w:eastAsia="宋体"/>
          <w:kern w:val="2"/>
          <w:sz w:val="21"/>
          <w:lang w:eastAsia="zh-CN"/>
        </w:rPr>
      </w:pPr>
    </w:p>
    <w:p w14:paraId="698FB5C3">
      <w:pPr>
        <w:widowControl w:val="0"/>
        <w:spacing w:line="360" w:lineRule="auto"/>
        <w:jc w:val="both"/>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投标人的资格要求：</w:t>
      </w:r>
    </w:p>
    <w:p w14:paraId="675D5A07">
      <w:pPr>
        <w:widowControl w:val="0"/>
        <w:ind w:firstLine="630" w:firstLineChars="3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1</w:t>
      </w:r>
      <w:r>
        <w:rPr>
          <w:rFonts w:ascii="宋体" w:hAnsi="宋体" w:eastAsia="宋体" w:cs="宋体"/>
          <w:sz w:val="21"/>
          <w:szCs w:val="21"/>
          <w:lang w:eastAsia="zh-CN"/>
        </w:rPr>
        <w:t>.</w:t>
      </w:r>
      <w:bookmarkStart w:id="20" w:name="_Hlk72162904"/>
      <w:r>
        <w:rPr>
          <w:rFonts w:hint="eastAsia" w:ascii="宋体" w:hAnsi="宋体" w:eastAsia="宋体" w:cs="宋体"/>
          <w:sz w:val="21"/>
          <w:szCs w:val="21"/>
          <w:lang w:eastAsia="zh-CN"/>
        </w:rPr>
        <w:t>具有独立法人资格或是具有独立承担民事责任能力的其他组织（提供营业执照或事业单位法人证书等证明资料扫描件；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bookmarkEnd w:id="20"/>
    </w:p>
    <w:p w14:paraId="44083268">
      <w:pPr>
        <w:widowControl w:val="0"/>
        <w:ind w:firstLine="630" w:firstLineChars="300"/>
        <w:jc w:val="both"/>
        <w:rPr>
          <w:rFonts w:hint="eastAsia" w:ascii="宋体" w:hAnsi="宋体" w:eastAsia="宋体" w:cs="宋体"/>
          <w:sz w:val="21"/>
          <w:szCs w:val="21"/>
          <w:lang w:eastAsia="zh-CN"/>
        </w:rPr>
      </w:pPr>
      <w:r>
        <w:rPr>
          <w:rFonts w:hint="eastAsia" w:ascii="宋体" w:hAnsi="宋体" w:eastAsia="宋体" w:cs="宋体"/>
          <w:color w:val="FF0000"/>
          <w:sz w:val="21"/>
          <w:szCs w:val="21"/>
          <w:lang w:eastAsia="zh-CN"/>
        </w:rPr>
        <w:t>2.本项目不接受联合体投标，不接受投标人选用进口产品参与投标（由供应商在《采购投标及履约承诺函》中作出声明）；</w:t>
      </w:r>
    </w:p>
    <w:p w14:paraId="583C1A9E">
      <w:pPr>
        <w:widowControl w:val="0"/>
        <w:ind w:firstLine="630" w:firstLineChars="3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3</w:t>
      </w:r>
      <w:r>
        <w:rPr>
          <w:rFonts w:ascii="宋体" w:hAnsi="宋体" w:eastAsia="宋体" w:cs="宋体"/>
          <w:sz w:val="21"/>
          <w:szCs w:val="21"/>
          <w:lang w:eastAsia="zh-CN"/>
        </w:rPr>
        <w:t>.</w:t>
      </w:r>
      <w:r>
        <w:rPr>
          <w:rFonts w:hint="eastAsia" w:ascii="宋体" w:hAnsi="宋体" w:eastAsia="宋体" w:cs="宋体"/>
          <w:sz w:val="21"/>
          <w:szCs w:val="21"/>
          <w:lang w:eastAsia="zh-CN"/>
        </w:rPr>
        <w:t>参与本项目采购活动时不存在被有关部门禁止参与政府采购活动且在有效期内的情况（由供应商在《采购投标及履约承诺函》中作出声明）；</w:t>
      </w:r>
    </w:p>
    <w:p w14:paraId="53577459">
      <w:pPr>
        <w:widowControl w:val="0"/>
        <w:ind w:firstLine="630" w:firstLineChars="3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4</w:t>
      </w:r>
      <w:r>
        <w:rPr>
          <w:rFonts w:ascii="宋体" w:hAnsi="宋体" w:eastAsia="宋体" w:cs="宋体"/>
          <w:sz w:val="21"/>
          <w:szCs w:val="21"/>
          <w:lang w:eastAsia="zh-CN"/>
        </w:rPr>
        <w:t>.</w:t>
      </w:r>
      <w:r>
        <w:rPr>
          <w:rFonts w:hint="eastAsia" w:ascii="宋体" w:hAnsi="宋体" w:eastAsia="宋体" w:cs="宋体"/>
          <w:sz w:val="21"/>
          <w:szCs w:val="21"/>
          <w:lang w:eastAsia="zh-CN"/>
        </w:rPr>
        <w:t>具备《中华人民共和国政府采购法》第二十二条第一款的条件（由供应商在《采购投标及履约承诺函》中作出声明）；</w:t>
      </w:r>
    </w:p>
    <w:p w14:paraId="4FB89F7A">
      <w:pPr>
        <w:widowControl w:val="0"/>
        <w:ind w:firstLine="630" w:firstLineChars="3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5</w:t>
      </w:r>
      <w:r>
        <w:rPr>
          <w:rFonts w:ascii="宋体" w:hAnsi="宋体" w:eastAsia="宋体" w:cs="宋体"/>
          <w:sz w:val="21"/>
          <w:szCs w:val="21"/>
          <w:lang w:eastAsia="zh-CN"/>
        </w:rPr>
        <w:t>.</w:t>
      </w:r>
      <w:r>
        <w:rPr>
          <w:rFonts w:hint="eastAsia" w:ascii="宋体" w:hAnsi="宋体" w:eastAsia="宋体" w:cs="宋体"/>
          <w:sz w:val="21"/>
          <w:szCs w:val="21"/>
          <w:lang w:eastAsia="zh-CN"/>
        </w:rPr>
        <w:t>未被列入失信被执行人、重大税收违法案件当事人名单、政府采购严重违法失信行为记录名单（由供应商在《采购投标及履约承诺函》中作出声明）；</w:t>
      </w:r>
    </w:p>
    <w:p w14:paraId="48CDA6D7">
      <w:pPr>
        <w:widowControl w:val="0"/>
        <w:ind w:firstLine="630" w:firstLineChars="300"/>
        <w:jc w:val="both"/>
        <w:rPr>
          <w:rFonts w:hint="eastAsia" w:ascii="宋体" w:hAnsi="宋体" w:eastAsia="宋体" w:cs="宋体"/>
          <w:color w:val="FF0000"/>
          <w:sz w:val="21"/>
          <w:szCs w:val="21"/>
          <w:lang w:eastAsia="zh-CN"/>
        </w:rPr>
      </w:pPr>
      <w:r>
        <w:rPr>
          <w:rFonts w:hint="eastAsia" w:ascii="宋体" w:hAnsi="宋体" w:eastAsia="宋体" w:cs="宋体"/>
          <w:color w:val="FF0000"/>
          <w:sz w:val="21"/>
          <w:szCs w:val="21"/>
          <w:lang w:eastAsia="zh-CN"/>
        </w:rPr>
        <w:t>6.不存在《深圳市财政局政府采购供应商信用信息管理办法》（深财规〔2023〕3号）列明的严重违法失信行为（由供应商在《采购投标及履约承诺函》中作出声明）；</w:t>
      </w:r>
    </w:p>
    <w:p w14:paraId="1D0A30B3">
      <w:pPr>
        <w:widowControl w:val="0"/>
        <w:ind w:firstLine="630" w:firstLineChars="3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7.单位负责人为同一人或者存在直接控股、管理关系的不同供应商，不得参加同一合同项下的采购活动；为采购项目提供整体设计、规范编制或者项目管理、监理、检测等服务的供应商，不得再参加该采购项目的其他采购活动（由供应商在《采购投标及履约承诺函》中作出声明）；</w:t>
      </w:r>
    </w:p>
    <w:p w14:paraId="5EAD6EC8">
      <w:pPr>
        <w:widowControl w:val="0"/>
        <w:ind w:firstLine="630" w:firstLineChars="3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8.本项目是（否）专门面向中小企业采购：否；</w:t>
      </w:r>
    </w:p>
    <w:p w14:paraId="3330D0AF">
      <w:pPr>
        <w:widowControl w:val="0"/>
        <w:ind w:firstLine="630" w:firstLineChars="3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9.不存在不同投标供应商法定代表人、投标授权代表人、项目负责人（如有）、主要技术人员（如有）、投标文件编制人员为同一人、属同一单位或者在同一单位缴纳社会保险的情形；不同投标供应商不存在直接控股、管理关系的情形（由供应商提供《供应商基本情况表》并加盖供应商公章，格式见第四章 投标文件组成要求及格式-三、投标人情况及资格证明文件-（三）《供应商基本情况表》，如供应商存在未提供《供应商基本情况表》或所提供《供应商基本情况表》不符合采购文件要求的情形，按资格审查不通过处理）。</w:t>
      </w:r>
    </w:p>
    <w:p w14:paraId="71791CC8">
      <w:pPr>
        <w:widowControl w:val="0"/>
        <w:wordWrap w:val="0"/>
        <w:ind w:firstLine="420" w:firstLineChars="200"/>
        <w:jc w:val="both"/>
        <w:rPr>
          <w:rFonts w:hint="eastAsia" w:ascii="宋体" w:hAnsi="宋体" w:eastAsia="宋体" w:cs="宋体"/>
          <w:sz w:val="21"/>
          <w:szCs w:val="21"/>
          <w:lang w:eastAsia="zh-CN"/>
        </w:rPr>
      </w:pPr>
    </w:p>
    <w:p w14:paraId="549AEB00">
      <w:pPr>
        <w:widowControl w:val="0"/>
        <w:wordWrap w:val="0"/>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注：（1）“信用中国”（www.creditchina.gov.cn，查询“信用服务”栏的“重大税收违法失信主体”“失信被执行人”或者下载信用信息报告），“中国政府采购网”（www.ccgp.gov.cn）中的“政府采购严重违法失信行为记录名单”，以及“深圳市政府采购监管网”（http://zfcg.sz.gov.cn）为供应商信用信息的查询渠道，相关信息以开标当日的查询结果为准；</w:t>
      </w:r>
    </w:p>
    <w:p w14:paraId="3DB57C6E">
      <w:pPr>
        <w:widowControl w:val="0"/>
        <w:ind w:firstLine="420" w:firstLineChars="200"/>
        <w:jc w:val="both"/>
        <w:rPr>
          <w:rFonts w:hint="eastAsia" w:ascii="宋体" w:hAnsi="宋体" w:eastAsia="宋体" w:cs="宋体"/>
          <w:sz w:val="21"/>
          <w:szCs w:val="21"/>
          <w:lang w:eastAsia="zh-CN"/>
        </w:rPr>
      </w:pPr>
      <w:r>
        <w:rPr>
          <w:rFonts w:hint="eastAsia" w:ascii="宋体" w:hAnsi="宋体" w:eastAsia="宋体"/>
          <w:kern w:val="2"/>
          <w:sz w:val="21"/>
          <w:lang w:eastAsia="zh-CN"/>
        </w:rPr>
        <w:t>（2）供应商投标（上传投标文件）必须先行办理注册手续，具体操作指引请按照深圳公共资源交易网/交易服务指南/资料下载/深圳政府采购自行采购系统用户操作指引（供应商）相关内容指引办理。</w:t>
      </w:r>
    </w:p>
    <w:p w14:paraId="15016D18">
      <w:pPr>
        <w:widowControl w:val="0"/>
        <w:ind w:firstLine="420" w:firstLineChars="200"/>
        <w:jc w:val="both"/>
        <w:rPr>
          <w:rFonts w:hint="eastAsia" w:ascii="宋体" w:hAnsi="宋体" w:eastAsia="宋体" w:cs="宋体"/>
          <w:color w:val="FF0000"/>
          <w:sz w:val="21"/>
          <w:szCs w:val="21"/>
          <w:lang w:eastAsia="zh-CN"/>
        </w:rPr>
      </w:pPr>
    </w:p>
    <w:p w14:paraId="147D5E7E">
      <w:pPr>
        <w:widowControl w:val="0"/>
        <w:jc w:val="left"/>
        <w:rPr>
          <w:rFonts w:eastAsia="宋体"/>
          <w:kern w:val="2"/>
          <w:sz w:val="22"/>
          <w:szCs w:val="18"/>
          <w:lang w:eastAsia="zh-CN"/>
        </w:rPr>
      </w:pPr>
      <w:r>
        <w:rPr>
          <w:rFonts w:hint="eastAsia" w:eastAsia="宋体"/>
          <w:kern w:val="2"/>
          <w:sz w:val="22"/>
          <w:szCs w:val="18"/>
          <w:lang w:eastAsia="zh-CN"/>
        </w:rPr>
        <w:t>完整公告内容详见：深圳交易集团（深圳公共资源交易中心）官网https://www.szexgrp.com/jyfw/zfcg-view.html?id=zfcg</w:t>
      </w:r>
    </w:p>
    <w:p w14:paraId="6A21D611">
      <w:pPr>
        <w:widowControl w:val="0"/>
        <w:jc w:val="both"/>
        <w:rPr>
          <w:rFonts w:eastAsia="宋体"/>
          <w:kern w:val="2"/>
          <w:sz w:val="21"/>
          <w:lang w:eastAsia="zh-CN"/>
        </w:rPr>
      </w:pPr>
      <w:r>
        <w:rPr>
          <w:rFonts w:hint="eastAsia" w:eastAsia="宋体"/>
          <w:kern w:val="2"/>
          <w:sz w:val="21"/>
          <w:lang w:eastAsia="zh-CN"/>
        </w:rPr>
        <w:br w:type="page"/>
      </w:r>
    </w:p>
    <w:p w14:paraId="4DF94DA1">
      <w:pPr>
        <w:widowControl w:val="0"/>
        <w:adjustRightInd w:val="0"/>
        <w:spacing w:before="260" w:after="260" w:line="240" w:lineRule="auto"/>
        <w:jc w:val="center"/>
        <w:textAlignment w:val="baseline"/>
        <w:outlineLvl w:val="1"/>
        <w:rPr>
          <w:rFonts w:hint="eastAsia" w:ascii="宋体" w:hAnsi="宋体" w:eastAsia="宋体"/>
          <w:sz w:val="28"/>
          <w:szCs w:val="28"/>
          <w:lang w:eastAsia="zh-CN"/>
        </w:rPr>
      </w:pPr>
      <w:r>
        <w:rPr>
          <w:rFonts w:hint="eastAsia" w:ascii="宋体" w:hAnsi="宋体" w:eastAsia="宋体"/>
          <w:sz w:val="28"/>
          <w:szCs w:val="28"/>
          <w:lang w:eastAsia="zh-CN"/>
        </w:rPr>
        <w:t>第二章 对通用条款的补充内容及其他关键信息</w:t>
      </w:r>
    </w:p>
    <w:p w14:paraId="2E528860">
      <w:pPr>
        <w:widowControl w:val="0"/>
        <w:adjustRightInd w:val="0"/>
        <w:spacing w:before="120" w:beforeLines="50" w:after="120" w:afterLines="50" w:line="240" w:lineRule="auto"/>
        <w:jc w:val="center"/>
        <w:textAlignment w:val="baseline"/>
        <w:outlineLvl w:val="1"/>
        <w:rPr>
          <w:rFonts w:hint="eastAsia" w:ascii="宋体" w:hAnsi="宋体" w:eastAsia="宋体"/>
          <w:sz w:val="28"/>
          <w:szCs w:val="28"/>
          <w:lang w:eastAsia="zh-CN"/>
        </w:rPr>
      </w:pPr>
      <w:bookmarkStart w:id="21" w:name="_Toc73521547"/>
      <w:bookmarkStart w:id="22" w:name="_Toc60631620"/>
      <w:bookmarkStart w:id="23" w:name="_Toc101074876"/>
      <w:bookmarkStart w:id="24" w:name="_Toc73517639"/>
      <w:bookmarkStart w:id="25" w:name="_Toc73521635"/>
      <w:bookmarkStart w:id="26" w:name="_Toc100052364"/>
      <w:bookmarkStart w:id="27" w:name="_Toc60560625"/>
      <w:bookmarkStart w:id="28" w:name="_Toc73518117"/>
      <w:r>
        <w:rPr>
          <w:rFonts w:hint="eastAsia" w:ascii="宋体" w:hAnsi="宋体" w:eastAsia="宋体"/>
          <w:lang w:eastAsia="zh-CN"/>
        </w:rPr>
        <w:t>一、对通用条款的补充内容</w:t>
      </w:r>
    </w:p>
    <w:bookmarkEnd w:id="21"/>
    <w:bookmarkEnd w:id="22"/>
    <w:bookmarkEnd w:id="23"/>
    <w:bookmarkEnd w:id="24"/>
    <w:bookmarkEnd w:id="25"/>
    <w:bookmarkEnd w:id="26"/>
    <w:bookmarkEnd w:id="27"/>
    <w:bookmarkEnd w:id="28"/>
    <w:tbl>
      <w:tblPr>
        <w:tblStyle w:val="13"/>
        <w:tblW w:w="5000" w:type="pct"/>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89"/>
        <w:gridCol w:w="2575"/>
        <w:gridCol w:w="4965"/>
      </w:tblGrid>
      <w:tr w14:paraId="61815A1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2F5B3506">
            <w:pPr>
              <w:widowControl w:val="0"/>
              <w:jc w:val="center"/>
              <w:rPr>
                <w:rFonts w:hint="eastAsia" w:ascii="宋体" w:hAnsi="宋体" w:eastAsia="宋体"/>
                <w:b/>
                <w:bCs/>
                <w:kern w:val="2"/>
                <w:sz w:val="21"/>
                <w:lang w:eastAsia="zh-CN"/>
              </w:rPr>
            </w:pPr>
            <w:r>
              <w:rPr>
                <w:rFonts w:hint="eastAsia" w:ascii="宋体" w:hAnsi="宋体" w:eastAsia="宋体"/>
                <w:b/>
                <w:bCs/>
                <w:kern w:val="2"/>
                <w:sz w:val="21"/>
                <w:lang w:eastAsia="zh-CN"/>
              </w:rPr>
              <w:t>通用条款序号</w:t>
            </w:r>
          </w:p>
        </w:tc>
        <w:tc>
          <w:tcPr>
            <w:tcW w:w="2526" w:type="dxa"/>
            <w:vAlign w:val="center"/>
          </w:tcPr>
          <w:p w14:paraId="284020DF">
            <w:pPr>
              <w:widowControl w:val="0"/>
              <w:jc w:val="center"/>
              <w:rPr>
                <w:rFonts w:hint="eastAsia" w:ascii="宋体" w:hAnsi="宋体" w:eastAsia="宋体"/>
                <w:b/>
                <w:bCs/>
                <w:kern w:val="2"/>
                <w:sz w:val="21"/>
                <w:lang w:eastAsia="zh-CN"/>
              </w:rPr>
            </w:pPr>
            <w:r>
              <w:rPr>
                <w:rFonts w:hint="eastAsia" w:ascii="宋体" w:hAnsi="宋体" w:eastAsia="宋体"/>
                <w:b/>
                <w:bCs/>
                <w:kern w:val="2"/>
                <w:sz w:val="21"/>
                <w:lang w:eastAsia="zh-CN"/>
              </w:rPr>
              <w:t>涉及事项</w:t>
            </w:r>
          </w:p>
        </w:tc>
        <w:tc>
          <w:tcPr>
            <w:tcW w:w="4871" w:type="dxa"/>
            <w:vAlign w:val="center"/>
          </w:tcPr>
          <w:p w14:paraId="77A7EA89">
            <w:pPr>
              <w:widowControl w:val="0"/>
              <w:jc w:val="center"/>
              <w:rPr>
                <w:rFonts w:hint="eastAsia" w:ascii="宋体" w:hAnsi="宋体" w:eastAsia="宋体"/>
                <w:b/>
                <w:bCs/>
                <w:kern w:val="2"/>
                <w:sz w:val="21"/>
                <w:lang w:eastAsia="zh-CN"/>
              </w:rPr>
            </w:pPr>
            <w:r>
              <w:rPr>
                <w:rFonts w:hint="eastAsia" w:ascii="宋体" w:hAnsi="宋体" w:eastAsia="宋体"/>
                <w:b/>
                <w:bCs/>
                <w:kern w:val="2"/>
                <w:sz w:val="21"/>
                <w:lang w:eastAsia="zh-CN"/>
              </w:rPr>
              <w:t xml:space="preserve">具 </w:t>
            </w:r>
            <w:r>
              <w:rPr>
                <w:rFonts w:ascii="宋体" w:hAnsi="宋体" w:eastAsia="宋体"/>
                <w:b/>
                <w:bCs/>
                <w:kern w:val="2"/>
                <w:sz w:val="21"/>
                <w:lang w:eastAsia="zh-CN"/>
              </w:rPr>
              <w:t xml:space="preserve"> </w:t>
            </w:r>
            <w:r>
              <w:rPr>
                <w:rFonts w:hint="eastAsia" w:ascii="宋体" w:hAnsi="宋体" w:eastAsia="宋体"/>
                <w:b/>
                <w:bCs/>
                <w:kern w:val="2"/>
                <w:sz w:val="21"/>
                <w:lang w:eastAsia="zh-CN"/>
              </w:rPr>
              <w:t xml:space="preserve">体 </w:t>
            </w:r>
            <w:r>
              <w:rPr>
                <w:rFonts w:ascii="宋体" w:hAnsi="宋体" w:eastAsia="宋体"/>
                <w:b/>
                <w:bCs/>
                <w:kern w:val="2"/>
                <w:sz w:val="21"/>
                <w:lang w:eastAsia="zh-CN"/>
              </w:rPr>
              <w:t xml:space="preserve"> </w:t>
            </w:r>
            <w:r>
              <w:rPr>
                <w:rFonts w:hint="eastAsia" w:ascii="宋体" w:hAnsi="宋体" w:eastAsia="宋体"/>
                <w:b/>
                <w:bCs/>
                <w:kern w:val="2"/>
                <w:sz w:val="21"/>
                <w:lang w:eastAsia="zh-CN"/>
              </w:rPr>
              <w:t xml:space="preserve">补 </w:t>
            </w:r>
            <w:r>
              <w:rPr>
                <w:rFonts w:ascii="宋体" w:hAnsi="宋体" w:eastAsia="宋体"/>
                <w:b/>
                <w:bCs/>
                <w:kern w:val="2"/>
                <w:sz w:val="21"/>
                <w:lang w:eastAsia="zh-CN"/>
              </w:rPr>
              <w:t xml:space="preserve"> </w:t>
            </w:r>
            <w:r>
              <w:rPr>
                <w:rFonts w:hint="eastAsia" w:ascii="宋体" w:hAnsi="宋体" w:eastAsia="宋体"/>
                <w:b/>
                <w:bCs/>
                <w:kern w:val="2"/>
                <w:sz w:val="21"/>
                <w:lang w:eastAsia="zh-CN"/>
              </w:rPr>
              <w:t xml:space="preserve">充 </w:t>
            </w:r>
            <w:r>
              <w:rPr>
                <w:rFonts w:ascii="宋体" w:hAnsi="宋体" w:eastAsia="宋体"/>
                <w:b/>
                <w:bCs/>
                <w:kern w:val="2"/>
                <w:sz w:val="21"/>
                <w:lang w:eastAsia="zh-CN"/>
              </w:rPr>
              <w:t xml:space="preserve"> </w:t>
            </w:r>
            <w:r>
              <w:rPr>
                <w:rFonts w:hint="eastAsia" w:ascii="宋体" w:hAnsi="宋体" w:eastAsia="宋体"/>
                <w:b/>
                <w:bCs/>
                <w:kern w:val="2"/>
                <w:sz w:val="21"/>
                <w:lang w:eastAsia="zh-CN"/>
              </w:rPr>
              <w:t xml:space="preserve">内 </w:t>
            </w:r>
            <w:r>
              <w:rPr>
                <w:rFonts w:ascii="宋体" w:hAnsi="宋体" w:eastAsia="宋体"/>
                <w:b/>
                <w:bCs/>
                <w:kern w:val="2"/>
                <w:sz w:val="21"/>
                <w:lang w:eastAsia="zh-CN"/>
              </w:rPr>
              <w:t xml:space="preserve"> </w:t>
            </w:r>
            <w:r>
              <w:rPr>
                <w:rFonts w:hint="eastAsia" w:ascii="宋体" w:hAnsi="宋体" w:eastAsia="宋体"/>
                <w:b/>
                <w:bCs/>
                <w:kern w:val="2"/>
                <w:sz w:val="21"/>
                <w:lang w:eastAsia="zh-CN"/>
              </w:rPr>
              <w:t>容</w:t>
            </w:r>
          </w:p>
        </w:tc>
      </w:tr>
      <w:tr w14:paraId="423E87E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8367" w:type="dxa"/>
            <w:gridSpan w:val="3"/>
            <w:vAlign w:val="center"/>
          </w:tcPr>
          <w:p w14:paraId="552BD717">
            <w:pPr>
              <w:widowControl w:val="0"/>
              <w:jc w:val="center"/>
              <w:rPr>
                <w:rFonts w:hint="eastAsia" w:ascii="宋体" w:hAnsi="宋体" w:eastAsia="宋体"/>
                <w:b/>
                <w:bCs/>
                <w:kern w:val="2"/>
                <w:sz w:val="21"/>
                <w:lang w:eastAsia="zh-CN"/>
              </w:rPr>
            </w:pPr>
            <w:r>
              <w:rPr>
                <w:rFonts w:hint="eastAsia" w:eastAsia="宋体"/>
                <w:kern w:val="2"/>
                <w:sz w:val="21"/>
                <w:lang w:eastAsia="zh-CN"/>
              </w:rPr>
              <w:t>本项目为自行采购项目，相关事宜按照招标文件要求及采购单位内控制度执行。</w:t>
            </w:r>
          </w:p>
        </w:tc>
      </w:tr>
      <w:tr w14:paraId="09B7500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43A873BA">
            <w:pPr>
              <w:widowControl w:val="0"/>
              <w:jc w:val="center"/>
              <w:rPr>
                <w:rFonts w:hint="eastAsia" w:ascii="宋体" w:hAnsi="宋体" w:eastAsia="宋体"/>
                <w:kern w:val="2"/>
                <w:sz w:val="21"/>
                <w:lang w:eastAsia="zh-CN"/>
              </w:rPr>
            </w:pPr>
            <w:r>
              <w:rPr>
                <w:rFonts w:hint="eastAsia" w:ascii="宋体" w:hAnsi="宋体" w:eastAsia="宋体"/>
                <w:kern w:val="2"/>
                <w:sz w:val="21"/>
                <w:lang w:eastAsia="zh-CN"/>
              </w:rPr>
              <w:t>3</w:t>
            </w:r>
            <w:r>
              <w:rPr>
                <w:rFonts w:ascii="宋体" w:hAnsi="宋体" w:eastAsia="宋体"/>
                <w:kern w:val="2"/>
                <w:sz w:val="21"/>
                <w:lang w:eastAsia="zh-CN"/>
              </w:rPr>
              <w:t>.1</w:t>
            </w:r>
          </w:p>
        </w:tc>
        <w:tc>
          <w:tcPr>
            <w:tcW w:w="2526" w:type="dxa"/>
            <w:vAlign w:val="center"/>
          </w:tcPr>
          <w:p w14:paraId="3A590780">
            <w:pPr>
              <w:widowControl w:val="0"/>
              <w:jc w:val="center"/>
              <w:rPr>
                <w:rFonts w:eastAsia="宋体"/>
                <w:kern w:val="2"/>
                <w:sz w:val="21"/>
                <w:lang w:eastAsia="zh-CN"/>
              </w:rPr>
            </w:pPr>
            <w:r>
              <w:rPr>
                <w:rFonts w:hint="eastAsia" w:eastAsia="宋体"/>
                <w:kern w:val="2"/>
                <w:sz w:val="21"/>
                <w:lang w:eastAsia="zh-CN"/>
              </w:rPr>
              <w:t>采购人</w:t>
            </w:r>
          </w:p>
        </w:tc>
        <w:tc>
          <w:tcPr>
            <w:tcW w:w="4871" w:type="dxa"/>
            <w:vAlign w:val="center"/>
          </w:tcPr>
          <w:p w14:paraId="5EAA9500">
            <w:pPr>
              <w:widowControl w:val="0"/>
              <w:jc w:val="center"/>
              <w:rPr>
                <w:rFonts w:ascii="宋体" w:hAnsi="宋体" w:eastAsia="宋体"/>
                <w:kern w:val="2"/>
                <w:sz w:val="21"/>
                <w:lang w:eastAsia="zh-CN"/>
              </w:rPr>
            </w:pPr>
            <w:r>
              <w:rPr>
                <w:rFonts w:hint="eastAsia" w:ascii="宋体" w:hAnsi="宋体" w:eastAsia="宋体"/>
                <w:kern w:val="2"/>
                <w:sz w:val="21"/>
                <w:lang w:eastAsia="zh-CN"/>
              </w:rPr>
              <w:t>深圳市医疗保障局</w:t>
            </w:r>
          </w:p>
        </w:tc>
      </w:tr>
      <w:tr w14:paraId="557AB0F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56F381E9">
            <w:pPr>
              <w:widowControl w:val="0"/>
              <w:jc w:val="center"/>
              <w:rPr>
                <w:rFonts w:hint="eastAsia" w:ascii="宋体" w:hAnsi="宋体" w:eastAsia="宋体"/>
                <w:kern w:val="2"/>
                <w:sz w:val="21"/>
                <w:lang w:eastAsia="zh-CN"/>
              </w:rPr>
            </w:pPr>
            <w:r>
              <w:rPr>
                <w:rFonts w:hint="eastAsia" w:ascii="宋体" w:hAnsi="宋体" w:eastAsia="宋体"/>
                <w:kern w:val="2"/>
                <w:sz w:val="21"/>
                <w:lang w:eastAsia="zh-CN"/>
              </w:rPr>
              <w:t>3</w:t>
            </w:r>
            <w:r>
              <w:rPr>
                <w:rFonts w:ascii="宋体" w:hAnsi="宋体" w:eastAsia="宋体"/>
                <w:kern w:val="2"/>
                <w:sz w:val="21"/>
                <w:lang w:eastAsia="zh-CN"/>
              </w:rPr>
              <w:t>.2</w:t>
            </w:r>
          </w:p>
        </w:tc>
        <w:tc>
          <w:tcPr>
            <w:tcW w:w="2526" w:type="dxa"/>
            <w:vAlign w:val="center"/>
          </w:tcPr>
          <w:p w14:paraId="31A00569">
            <w:pPr>
              <w:widowControl w:val="0"/>
              <w:jc w:val="center"/>
              <w:rPr>
                <w:rFonts w:hint="eastAsia" w:ascii="宋体" w:hAnsi="宋体" w:eastAsia="宋体"/>
                <w:kern w:val="2"/>
                <w:sz w:val="21"/>
                <w:lang w:eastAsia="zh-CN"/>
              </w:rPr>
            </w:pPr>
            <w:r>
              <w:rPr>
                <w:rFonts w:hint="eastAsia" w:ascii="宋体" w:hAnsi="宋体" w:eastAsia="宋体"/>
                <w:kern w:val="2"/>
                <w:sz w:val="21"/>
                <w:lang w:eastAsia="zh-CN"/>
              </w:rPr>
              <w:t>政府集中采购机构</w:t>
            </w:r>
          </w:p>
        </w:tc>
        <w:tc>
          <w:tcPr>
            <w:tcW w:w="4871" w:type="dxa"/>
            <w:vAlign w:val="center"/>
          </w:tcPr>
          <w:p w14:paraId="46179833">
            <w:pPr>
              <w:widowControl w:val="0"/>
              <w:jc w:val="center"/>
              <w:rPr>
                <w:rFonts w:hint="eastAsia" w:ascii="宋体" w:hAnsi="宋体" w:eastAsia="宋体"/>
                <w:kern w:val="2"/>
                <w:sz w:val="21"/>
                <w:lang w:eastAsia="zh-CN"/>
              </w:rPr>
            </w:pPr>
            <w:r>
              <w:rPr>
                <w:rFonts w:hint="eastAsia" w:ascii="宋体" w:hAnsi="宋体" w:eastAsia="宋体"/>
                <w:kern w:val="2"/>
                <w:sz w:val="21"/>
                <w:lang w:eastAsia="zh-CN"/>
              </w:rPr>
              <w:t>深圳公共资源交易中心</w:t>
            </w:r>
          </w:p>
          <w:p w14:paraId="29EC4501">
            <w:pPr>
              <w:widowControl w:val="0"/>
              <w:jc w:val="center"/>
              <w:rPr>
                <w:rFonts w:hint="eastAsia" w:ascii="宋体" w:hAnsi="宋体" w:eastAsia="宋体"/>
                <w:kern w:val="2"/>
                <w:sz w:val="21"/>
                <w:lang w:eastAsia="zh-CN"/>
              </w:rPr>
            </w:pPr>
            <w:r>
              <w:rPr>
                <w:rFonts w:hint="eastAsia" w:ascii="宋体" w:hAnsi="宋体" w:eastAsia="宋体"/>
                <w:kern w:val="2"/>
                <w:sz w:val="21"/>
                <w:lang w:eastAsia="zh-CN"/>
              </w:rPr>
              <w:t>（深圳交易集团有限公司政府采购业务分公司）</w:t>
            </w:r>
          </w:p>
        </w:tc>
      </w:tr>
      <w:tr w14:paraId="7BFA1D5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1534A548">
            <w:pPr>
              <w:widowControl w:val="0"/>
              <w:jc w:val="center"/>
              <w:rPr>
                <w:rFonts w:hint="eastAsia" w:ascii="宋体" w:hAnsi="宋体" w:eastAsia="宋体"/>
                <w:kern w:val="2"/>
                <w:sz w:val="21"/>
                <w:lang w:eastAsia="zh-CN"/>
              </w:rPr>
            </w:pPr>
            <w:r>
              <w:rPr>
                <w:rFonts w:hint="eastAsia" w:ascii="宋体" w:hAnsi="宋体" w:eastAsia="宋体"/>
                <w:kern w:val="2"/>
                <w:sz w:val="21"/>
                <w:lang w:eastAsia="zh-CN"/>
              </w:rPr>
              <w:t>9</w:t>
            </w:r>
          </w:p>
        </w:tc>
        <w:tc>
          <w:tcPr>
            <w:tcW w:w="2526" w:type="dxa"/>
            <w:vAlign w:val="center"/>
          </w:tcPr>
          <w:p w14:paraId="44E537D0">
            <w:pPr>
              <w:widowControl w:val="0"/>
              <w:jc w:val="center"/>
              <w:rPr>
                <w:rFonts w:hint="eastAsia" w:ascii="宋体" w:hAnsi="宋体" w:eastAsia="宋体"/>
                <w:kern w:val="2"/>
                <w:sz w:val="21"/>
                <w:lang w:eastAsia="zh-CN"/>
              </w:rPr>
            </w:pPr>
            <w:r>
              <w:rPr>
                <w:rFonts w:hint="eastAsia" w:ascii="宋体" w:hAnsi="宋体" w:eastAsia="宋体"/>
                <w:kern w:val="2"/>
                <w:sz w:val="21"/>
                <w:lang w:eastAsia="zh-CN"/>
              </w:rPr>
              <w:t>踏勘现场</w:t>
            </w:r>
          </w:p>
        </w:tc>
        <w:tc>
          <w:tcPr>
            <w:tcW w:w="4871" w:type="dxa"/>
            <w:vAlign w:val="center"/>
          </w:tcPr>
          <w:p w14:paraId="0FC2211C">
            <w:pPr>
              <w:widowControl w:val="0"/>
              <w:jc w:val="center"/>
              <w:rPr>
                <w:rFonts w:hint="eastAsia" w:ascii="宋体" w:hAnsi="宋体" w:eastAsia="宋体"/>
                <w:kern w:val="2"/>
                <w:sz w:val="21"/>
                <w:lang w:eastAsia="zh-CN"/>
              </w:rPr>
            </w:pPr>
            <w:r>
              <w:rPr>
                <w:rFonts w:hint="eastAsia" w:ascii="宋体" w:hAnsi="宋体" w:eastAsia="宋体"/>
                <w:kern w:val="2"/>
                <w:sz w:val="21"/>
                <w:lang w:eastAsia="zh-CN"/>
              </w:rPr>
              <w:t>不组织</w:t>
            </w:r>
          </w:p>
        </w:tc>
      </w:tr>
      <w:tr w14:paraId="7EC6B60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2B49DE03">
            <w:pPr>
              <w:widowControl w:val="0"/>
              <w:jc w:val="center"/>
              <w:rPr>
                <w:rFonts w:hint="eastAsia" w:ascii="宋体" w:hAnsi="宋体" w:eastAsia="宋体"/>
                <w:kern w:val="2"/>
                <w:sz w:val="21"/>
                <w:lang w:eastAsia="zh-CN"/>
              </w:rPr>
            </w:pPr>
            <w:r>
              <w:rPr>
                <w:rFonts w:hint="eastAsia" w:ascii="宋体" w:hAnsi="宋体" w:eastAsia="宋体"/>
                <w:kern w:val="2"/>
                <w:sz w:val="21"/>
                <w:lang w:eastAsia="zh-CN"/>
              </w:rPr>
              <w:t>1</w:t>
            </w:r>
            <w:r>
              <w:rPr>
                <w:rFonts w:ascii="宋体" w:hAnsi="宋体" w:eastAsia="宋体"/>
                <w:kern w:val="2"/>
                <w:sz w:val="21"/>
                <w:lang w:eastAsia="zh-CN"/>
              </w:rPr>
              <w:t>0</w:t>
            </w:r>
          </w:p>
        </w:tc>
        <w:tc>
          <w:tcPr>
            <w:tcW w:w="2526" w:type="dxa"/>
            <w:vAlign w:val="center"/>
          </w:tcPr>
          <w:p w14:paraId="51AC4F8A">
            <w:pPr>
              <w:widowControl w:val="0"/>
              <w:jc w:val="center"/>
              <w:rPr>
                <w:rFonts w:hint="eastAsia" w:ascii="宋体" w:hAnsi="宋体" w:eastAsia="宋体"/>
                <w:kern w:val="2"/>
                <w:sz w:val="21"/>
                <w:lang w:eastAsia="zh-CN"/>
              </w:rPr>
            </w:pPr>
            <w:r>
              <w:rPr>
                <w:rFonts w:hint="eastAsia" w:ascii="宋体" w:hAnsi="宋体" w:eastAsia="宋体"/>
                <w:kern w:val="2"/>
                <w:sz w:val="21"/>
                <w:lang w:eastAsia="zh-CN"/>
              </w:rPr>
              <w:t>标前会议</w:t>
            </w:r>
          </w:p>
        </w:tc>
        <w:tc>
          <w:tcPr>
            <w:tcW w:w="4871" w:type="dxa"/>
            <w:vAlign w:val="center"/>
          </w:tcPr>
          <w:p w14:paraId="7CDE5FE4">
            <w:pPr>
              <w:widowControl w:val="0"/>
              <w:jc w:val="center"/>
              <w:rPr>
                <w:rFonts w:hint="eastAsia" w:ascii="宋体" w:hAnsi="宋体" w:eastAsia="宋体"/>
                <w:kern w:val="2"/>
                <w:sz w:val="21"/>
                <w:lang w:eastAsia="zh-CN"/>
              </w:rPr>
            </w:pPr>
            <w:r>
              <w:rPr>
                <w:rFonts w:hint="eastAsia" w:ascii="宋体" w:hAnsi="宋体" w:eastAsia="宋体"/>
                <w:kern w:val="2"/>
                <w:sz w:val="21"/>
                <w:lang w:eastAsia="zh-CN"/>
              </w:rPr>
              <w:t>不组织</w:t>
            </w:r>
          </w:p>
        </w:tc>
      </w:tr>
      <w:tr w14:paraId="748DA09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02911636">
            <w:pPr>
              <w:widowControl w:val="0"/>
              <w:jc w:val="center"/>
              <w:rPr>
                <w:rFonts w:hint="eastAsia" w:ascii="宋体" w:hAnsi="宋体" w:eastAsia="宋体"/>
                <w:kern w:val="2"/>
                <w:sz w:val="21"/>
                <w:lang w:eastAsia="zh-CN"/>
              </w:rPr>
            </w:pPr>
            <w:r>
              <w:rPr>
                <w:rFonts w:hint="eastAsia" w:ascii="宋体" w:hAnsi="宋体" w:eastAsia="宋体"/>
                <w:kern w:val="2"/>
                <w:sz w:val="21"/>
                <w:lang w:eastAsia="zh-CN"/>
              </w:rPr>
              <w:t>1</w:t>
            </w:r>
            <w:r>
              <w:rPr>
                <w:rFonts w:ascii="宋体" w:hAnsi="宋体" w:eastAsia="宋体"/>
                <w:kern w:val="2"/>
                <w:sz w:val="21"/>
                <w:lang w:eastAsia="zh-CN"/>
              </w:rPr>
              <w:t>2</w:t>
            </w:r>
            <w:r>
              <w:rPr>
                <w:rFonts w:hint="eastAsia" w:ascii="宋体" w:hAnsi="宋体" w:eastAsia="宋体"/>
                <w:kern w:val="2"/>
                <w:sz w:val="21"/>
                <w:lang w:eastAsia="zh-CN"/>
              </w:rPr>
              <w:t>/1</w:t>
            </w:r>
            <w:r>
              <w:rPr>
                <w:rFonts w:ascii="宋体" w:hAnsi="宋体" w:eastAsia="宋体"/>
                <w:kern w:val="2"/>
                <w:sz w:val="21"/>
                <w:lang w:eastAsia="zh-CN"/>
              </w:rPr>
              <w:t>3</w:t>
            </w:r>
          </w:p>
        </w:tc>
        <w:tc>
          <w:tcPr>
            <w:tcW w:w="2526" w:type="dxa"/>
            <w:vAlign w:val="center"/>
          </w:tcPr>
          <w:p w14:paraId="6C2CEF18">
            <w:pPr>
              <w:widowControl w:val="0"/>
              <w:jc w:val="center"/>
              <w:rPr>
                <w:rFonts w:hint="eastAsia" w:ascii="宋体" w:hAnsi="宋体" w:eastAsia="宋体"/>
                <w:kern w:val="2"/>
                <w:sz w:val="21"/>
                <w:lang w:eastAsia="zh-CN"/>
              </w:rPr>
            </w:pPr>
            <w:r>
              <w:rPr>
                <w:rFonts w:hint="eastAsia" w:ascii="宋体" w:hAnsi="宋体" w:eastAsia="宋体"/>
                <w:kern w:val="2"/>
                <w:sz w:val="21"/>
                <w:lang w:eastAsia="zh-CN"/>
              </w:rPr>
              <w:t>招标文件的澄清和修改</w:t>
            </w:r>
          </w:p>
        </w:tc>
        <w:tc>
          <w:tcPr>
            <w:tcW w:w="4871" w:type="dxa"/>
            <w:vAlign w:val="center"/>
          </w:tcPr>
          <w:p w14:paraId="3540E8B6">
            <w:pPr>
              <w:widowControl w:val="0"/>
              <w:jc w:val="left"/>
              <w:rPr>
                <w:rFonts w:hint="eastAsia" w:ascii="宋体" w:hAnsi="宋体" w:eastAsia="宋体"/>
                <w:kern w:val="2"/>
                <w:sz w:val="21"/>
                <w:lang w:eastAsia="zh-CN"/>
              </w:rPr>
            </w:pPr>
            <w:r>
              <w:rPr>
                <w:rFonts w:hint="eastAsia" w:ascii="宋体" w:hAnsi="宋体" w:eastAsia="宋体"/>
                <w:kern w:val="2"/>
                <w:sz w:val="21"/>
                <w:lang w:eastAsia="zh-CN"/>
              </w:rPr>
              <w:t>投标截止日三日前，投标人有义务在招标期间在政府集中采购机构网站浏览与本项目有关的澄清和修改信息</w:t>
            </w:r>
          </w:p>
        </w:tc>
      </w:tr>
      <w:tr w14:paraId="57BEF74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31799F03">
            <w:pPr>
              <w:widowControl w:val="0"/>
              <w:jc w:val="center"/>
              <w:rPr>
                <w:rFonts w:hint="eastAsia" w:ascii="宋体" w:hAnsi="宋体" w:eastAsia="宋体"/>
                <w:kern w:val="2"/>
                <w:sz w:val="21"/>
                <w:lang w:eastAsia="zh-CN"/>
              </w:rPr>
            </w:pPr>
            <w:r>
              <w:rPr>
                <w:rFonts w:hint="eastAsia" w:ascii="宋体" w:hAnsi="宋体" w:eastAsia="宋体"/>
                <w:kern w:val="2"/>
                <w:sz w:val="21"/>
                <w:lang w:eastAsia="zh-CN"/>
              </w:rPr>
              <w:t>2</w:t>
            </w:r>
            <w:r>
              <w:rPr>
                <w:rFonts w:ascii="宋体" w:hAnsi="宋体" w:eastAsia="宋体"/>
                <w:kern w:val="2"/>
                <w:sz w:val="21"/>
                <w:lang w:eastAsia="zh-CN"/>
              </w:rPr>
              <w:t>0</w:t>
            </w:r>
          </w:p>
        </w:tc>
        <w:tc>
          <w:tcPr>
            <w:tcW w:w="2526" w:type="dxa"/>
            <w:vAlign w:val="center"/>
          </w:tcPr>
          <w:p w14:paraId="2FF0579E">
            <w:pPr>
              <w:widowControl w:val="0"/>
              <w:jc w:val="center"/>
              <w:rPr>
                <w:rFonts w:hint="eastAsia" w:ascii="宋体" w:hAnsi="宋体" w:eastAsia="宋体"/>
                <w:kern w:val="2"/>
                <w:sz w:val="21"/>
                <w:lang w:eastAsia="zh-CN"/>
              </w:rPr>
            </w:pPr>
            <w:r>
              <w:rPr>
                <w:rFonts w:hint="eastAsia" w:ascii="宋体" w:hAnsi="宋体" w:eastAsia="宋体"/>
                <w:kern w:val="2"/>
                <w:sz w:val="21"/>
                <w:lang w:eastAsia="zh-CN"/>
              </w:rPr>
              <w:t>投标有效期</w:t>
            </w:r>
          </w:p>
        </w:tc>
        <w:tc>
          <w:tcPr>
            <w:tcW w:w="4871" w:type="dxa"/>
            <w:vAlign w:val="center"/>
          </w:tcPr>
          <w:p w14:paraId="4B705852">
            <w:pPr>
              <w:widowControl w:val="0"/>
              <w:jc w:val="center"/>
              <w:rPr>
                <w:rFonts w:hint="eastAsia" w:ascii="宋体" w:hAnsi="宋体" w:eastAsia="宋体"/>
                <w:kern w:val="2"/>
                <w:sz w:val="21"/>
                <w:lang w:eastAsia="zh-CN"/>
              </w:rPr>
            </w:pPr>
            <w:r>
              <w:rPr>
                <w:rFonts w:hint="eastAsia" w:ascii="宋体" w:hAnsi="宋体" w:eastAsia="宋体"/>
                <w:kern w:val="2"/>
                <w:sz w:val="21"/>
                <w:lang w:eastAsia="zh-CN"/>
              </w:rPr>
              <w:t>120个日历日</w:t>
            </w:r>
          </w:p>
        </w:tc>
      </w:tr>
      <w:tr w14:paraId="67BADD7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2EB94106">
            <w:pPr>
              <w:widowControl w:val="0"/>
              <w:jc w:val="center"/>
              <w:rPr>
                <w:rFonts w:hint="eastAsia" w:ascii="宋体" w:hAnsi="宋体" w:eastAsia="宋体"/>
                <w:kern w:val="2"/>
                <w:sz w:val="21"/>
                <w:lang w:eastAsia="zh-CN"/>
              </w:rPr>
            </w:pPr>
            <w:r>
              <w:rPr>
                <w:rFonts w:hint="eastAsia" w:ascii="宋体" w:hAnsi="宋体" w:eastAsia="宋体"/>
                <w:kern w:val="2"/>
                <w:sz w:val="21"/>
                <w:lang w:eastAsia="zh-CN"/>
              </w:rPr>
              <w:t>2</w:t>
            </w:r>
            <w:r>
              <w:rPr>
                <w:rFonts w:ascii="宋体" w:hAnsi="宋体" w:eastAsia="宋体"/>
                <w:kern w:val="2"/>
                <w:sz w:val="21"/>
                <w:lang w:eastAsia="zh-CN"/>
              </w:rPr>
              <w:t>2</w:t>
            </w:r>
          </w:p>
        </w:tc>
        <w:tc>
          <w:tcPr>
            <w:tcW w:w="2526" w:type="dxa"/>
            <w:vAlign w:val="center"/>
          </w:tcPr>
          <w:p w14:paraId="16989622">
            <w:pPr>
              <w:widowControl w:val="0"/>
              <w:jc w:val="center"/>
              <w:rPr>
                <w:rFonts w:hint="eastAsia" w:ascii="宋体" w:hAnsi="宋体" w:eastAsia="宋体"/>
                <w:kern w:val="2"/>
                <w:sz w:val="21"/>
                <w:lang w:eastAsia="zh-CN"/>
              </w:rPr>
            </w:pPr>
            <w:r>
              <w:rPr>
                <w:rFonts w:hint="eastAsia" w:ascii="宋体" w:hAnsi="宋体" w:eastAsia="宋体"/>
                <w:kern w:val="2"/>
                <w:sz w:val="21"/>
                <w:lang w:eastAsia="zh-CN"/>
              </w:rPr>
              <w:t>投标人的替代方案</w:t>
            </w:r>
          </w:p>
        </w:tc>
        <w:tc>
          <w:tcPr>
            <w:tcW w:w="4871" w:type="dxa"/>
            <w:vAlign w:val="center"/>
          </w:tcPr>
          <w:p w14:paraId="2EF6D9D3">
            <w:pPr>
              <w:widowControl w:val="0"/>
              <w:jc w:val="center"/>
              <w:rPr>
                <w:rFonts w:hint="eastAsia" w:ascii="宋体" w:hAnsi="宋体" w:eastAsia="宋体"/>
                <w:kern w:val="2"/>
                <w:sz w:val="21"/>
                <w:lang w:eastAsia="zh-CN"/>
              </w:rPr>
            </w:pPr>
            <w:r>
              <w:rPr>
                <w:rFonts w:hint="eastAsia" w:ascii="宋体" w:hAnsi="宋体" w:eastAsia="宋体"/>
                <w:kern w:val="2"/>
                <w:sz w:val="21"/>
                <w:lang w:eastAsia="zh-CN"/>
              </w:rPr>
              <w:t>不接受</w:t>
            </w:r>
          </w:p>
        </w:tc>
      </w:tr>
      <w:tr w14:paraId="1337D4C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0B6F3F3A">
            <w:pPr>
              <w:widowControl w:val="0"/>
              <w:jc w:val="center"/>
              <w:rPr>
                <w:rFonts w:hint="eastAsia" w:ascii="宋体" w:hAnsi="宋体" w:eastAsia="宋体"/>
                <w:kern w:val="2"/>
                <w:sz w:val="21"/>
                <w:lang w:eastAsia="zh-CN"/>
              </w:rPr>
            </w:pPr>
            <w:r>
              <w:rPr>
                <w:rFonts w:hint="eastAsia" w:ascii="宋体" w:hAnsi="宋体" w:eastAsia="宋体"/>
                <w:kern w:val="2"/>
                <w:sz w:val="21"/>
                <w:lang w:eastAsia="zh-CN"/>
              </w:rPr>
              <w:t>2</w:t>
            </w:r>
            <w:r>
              <w:rPr>
                <w:rFonts w:ascii="宋体" w:hAnsi="宋体" w:eastAsia="宋体"/>
                <w:kern w:val="2"/>
                <w:sz w:val="21"/>
                <w:lang w:eastAsia="zh-CN"/>
              </w:rPr>
              <w:t>5</w:t>
            </w:r>
          </w:p>
        </w:tc>
        <w:tc>
          <w:tcPr>
            <w:tcW w:w="2526" w:type="dxa"/>
            <w:vAlign w:val="center"/>
          </w:tcPr>
          <w:p w14:paraId="631A6CCB">
            <w:pPr>
              <w:widowControl w:val="0"/>
              <w:jc w:val="center"/>
              <w:rPr>
                <w:rFonts w:hint="eastAsia" w:ascii="宋体" w:hAnsi="宋体" w:eastAsia="宋体"/>
                <w:kern w:val="2"/>
                <w:sz w:val="21"/>
                <w:lang w:eastAsia="zh-CN"/>
              </w:rPr>
            </w:pPr>
            <w:r>
              <w:rPr>
                <w:rFonts w:hint="eastAsia" w:ascii="宋体" w:hAnsi="宋体" w:eastAsia="宋体"/>
                <w:kern w:val="2"/>
                <w:sz w:val="21"/>
                <w:lang w:eastAsia="zh-CN"/>
              </w:rPr>
              <w:t>投标文件的大小</w:t>
            </w:r>
          </w:p>
        </w:tc>
        <w:tc>
          <w:tcPr>
            <w:tcW w:w="4871" w:type="dxa"/>
            <w:vAlign w:val="center"/>
          </w:tcPr>
          <w:p w14:paraId="65F09040">
            <w:pPr>
              <w:widowControl w:val="0"/>
              <w:jc w:val="center"/>
              <w:rPr>
                <w:rFonts w:hint="eastAsia" w:ascii="宋体" w:hAnsi="宋体" w:eastAsia="宋体"/>
                <w:kern w:val="2"/>
                <w:sz w:val="21"/>
                <w:lang w:eastAsia="zh-CN"/>
              </w:rPr>
            </w:pPr>
            <w:r>
              <w:rPr>
                <w:rFonts w:hint="eastAsia" w:ascii="宋体" w:hAnsi="宋体" w:eastAsia="宋体"/>
                <w:kern w:val="2"/>
                <w:sz w:val="21"/>
                <w:lang w:eastAsia="zh-CN"/>
              </w:rPr>
              <w:t>投标文件大小不得超过</w:t>
            </w:r>
            <w:r>
              <w:rPr>
                <w:rFonts w:ascii="宋体" w:hAnsi="宋体" w:eastAsia="宋体"/>
                <w:kern w:val="2"/>
                <w:sz w:val="21"/>
                <w:lang w:eastAsia="zh-CN"/>
              </w:rPr>
              <w:t>1</w:t>
            </w:r>
            <w:r>
              <w:rPr>
                <w:rFonts w:hint="eastAsia" w:ascii="宋体" w:hAnsi="宋体" w:eastAsia="宋体"/>
                <w:kern w:val="2"/>
                <w:sz w:val="21"/>
                <w:lang w:eastAsia="zh-CN"/>
              </w:rPr>
              <w:t>00MB</w:t>
            </w:r>
          </w:p>
        </w:tc>
      </w:tr>
      <w:tr w14:paraId="428C70F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07EEBB29">
            <w:pPr>
              <w:widowControl w:val="0"/>
              <w:jc w:val="center"/>
              <w:rPr>
                <w:rFonts w:hint="eastAsia" w:ascii="宋体" w:hAnsi="宋体" w:eastAsia="宋体"/>
                <w:kern w:val="2"/>
                <w:sz w:val="21"/>
                <w:lang w:eastAsia="zh-CN"/>
              </w:rPr>
            </w:pPr>
            <w:r>
              <w:rPr>
                <w:rFonts w:hint="eastAsia" w:ascii="宋体" w:hAnsi="宋体" w:eastAsia="宋体"/>
                <w:kern w:val="2"/>
                <w:sz w:val="21"/>
                <w:lang w:eastAsia="zh-CN"/>
              </w:rPr>
              <w:t>2</w:t>
            </w:r>
            <w:r>
              <w:rPr>
                <w:rFonts w:ascii="宋体" w:hAnsi="宋体" w:eastAsia="宋体"/>
                <w:kern w:val="2"/>
                <w:sz w:val="21"/>
                <w:lang w:eastAsia="zh-CN"/>
              </w:rPr>
              <w:t>6</w:t>
            </w:r>
          </w:p>
        </w:tc>
        <w:tc>
          <w:tcPr>
            <w:tcW w:w="2526" w:type="dxa"/>
            <w:vAlign w:val="center"/>
          </w:tcPr>
          <w:p w14:paraId="3A55F3F4">
            <w:pPr>
              <w:widowControl w:val="0"/>
              <w:jc w:val="center"/>
              <w:rPr>
                <w:rFonts w:hint="eastAsia" w:ascii="宋体" w:hAnsi="宋体" w:eastAsia="宋体"/>
                <w:kern w:val="2"/>
                <w:sz w:val="21"/>
                <w:lang w:eastAsia="zh-CN"/>
              </w:rPr>
            </w:pPr>
            <w:bookmarkStart w:id="29" w:name="_Hlk71664860"/>
            <w:r>
              <w:rPr>
                <w:rFonts w:hint="eastAsia" w:ascii="宋体" w:hAnsi="宋体" w:eastAsia="宋体"/>
                <w:kern w:val="2"/>
                <w:sz w:val="21"/>
                <w:lang w:eastAsia="zh-CN"/>
              </w:rPr>
              <w:t>样品、演示、方案讲解</w:t>
            </w:r>
            <w:bookmarkEnd w:id="29"/>
          </w:p>
        </w:tc>
        <w:tc>
          <w:tcPr>
            <w:tcW w:w="4871" w:type="dxa"/>
            <w:vAlign w:val="center"/>
          </w:tcPr>
          <w:p w14:paraId="75995DD1">
            <w:pPr>
              <w:widowControl w:val="0"/>
              <w:jc w:val="both"/>
              <w:rPr>
                <w:rFonts w:hint="eastAsia" w:ascii="宋体" w:hAnsi="宋体" w:eastAsia="宋体"/>
                <w:kern w:val="2"/>
                <w:sz w:val="21"/>
                <w:lang w:eastAsia="zh-CN"/>
              </w:rPr>
            </w:pPr>
            <w:r>
              <w:rPr>
                <w:rFonts w:hint="eastAsia" w:ascii="宋体" w:hAnsi="宋体" w:eastAsia="宋体"/>
                <w:kern w:val="2"/>
                <w:sz w:val="21"/>
                <w:lang w:eastAsia="zh-CN"/>
              </w:rPr>
              <w:t>如有样品、演示、方案讲解，具体安排见第三章 用户需求书相关要求</w:t>
            </w:r>
          </w:p>
        </w:tc>
      </w:tr>
      <w:tr w14:paraId="13D318B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67DC1B2F">
            <w:pPr>
              <w:widowControl w:val="0"/>
              <w:jc w:val="center"/>
              <w:rPr>
                <w:rFonts w:hint="eastAsia" w:ascii="宋体" w:hAnsi="宋体" w:eastAsia="宋体"/>
                <w:kern w:val="2"/>
                <w:sz w:val="21"/>
                <w:lang w:eastAsia="zh-CN"/>
              </w:rPr>
            </w:pPr>
            <w:r>
              <w:rPr>
                <w:rFonts w:hint="eastAsia" w:ascii="宋体" w:hAnsi="宋体" w:eastAsia="宋体"/>
                <w:kern w:val="2"/>
                <w:sz w:val="21"/>
                <w:lang w:eastAsia="zh-CN"/>
              </w:rPr>
              <w:t>3</w:t>
            </w:r>
            <w:r>
              <w:rPr>
                <w:rFonts w:ascii="宋体" w:hAnsi="宋体" w:eastAsia="宋体"/>
                <w:kern w:val="2"/>
                <w:sz w:val="21"/>
                <w:lang w:eastAsia="zh-CN"/>
              </w:rPr>
              <w:t>7</w:t>
            </w:r>
          </w:p>
        </w:tc>
        <w:tc>
          <w:tcPr>
            <w:tcW w:w="2526" w:type="dxa"/>
            <w:vAlign w:val="center"/>
          </w:tcPr>
          <w:p w14:paraId="0F4005BE">
            <w:pPr>
              <w:widowControl w:val="0"/>
              <w:jc w:val="center"/>
              <w:rPr>
                <w:rFonts w:hint="eastAsia" w:ascii="宋体" w:hAnsi="宋体" w:eastAsia="宋体"/>
                <w:kern w:val="2"/>
                <w:sz w:val="21"/>
                <w:lang w:eastAsia="zh-CN"/>
              </w:rPr>
            </w:pPr>
            <w:r>
              <w:rPr>
                <w:rFonts w:hint="eastAsia" w:ascii="宋体" w:hAnsi="宋体" w:eastAsia="宋体"/>
                <w:kern w:val="2"/>
                <w:sz w:val="21"/>
                <w:lang w:eastAsia="zh-CN"/>
              </w:rPr>
              <w:t>评审方法</w:t>
            </w:r>
          </w:p>
        </w:tc>
        <w:tc>
          <w:tcPr>
            <w:tcW w:w="4871" w:type="dxa"/>
            <w:vAlign w:val="center"/>
          </w:tcPr>
          <w:p w14:paraId="576435B7">
            <w:pPr>
              <w:widowControl w:val="0"/>
              <w:jc w:val="left"/>
              <w:rPr>
                <w:rFonts w:hint="eastAsia" w:ascii="宋体" w:hAnsi="宋体" w:eastAsia="宋体"/>
                <w:kern w:val="2"/>
                <w:sz w:val="21"/>
                <w:lang w:eastAsia="zh-CN"/>
              </w:rPr>
            </w:pPr>
            <w:r>
              <w:rPr>
                <w:rFonts w:hint="eastAsia" w:ascii="宋体" w:hAnsi="宋体" w:eastAsia="宋体"/>
                <w:kern w:val="2"/>
                <w:sz w:val="21"/>
                <w:lang w:eastAsia="zh-CN"/>
              </w:rPr>
              <w:t>综合评分法</w:t>
            </w:r>
          </w:p>
        </w:tc>
      </w:tr>
      <w:tr w14:paraId="61D8AE7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9" w:hRule="atLeast"/>
          <w:jc w:val="center"/>
        </w:trPr>
        <w:tc>
          <w:tcPr>
            <w:tcW w:w="970" w:type="dxa"/>
            <w:vAlign w:val="center"/>
          </w:tcPr>
          <w:p w14:paraId="0765B80E">
            <w:pPr>
              <w:widowControl w:val="0"/>
              <w:jc w:val="center"/>
              <w:rPr>
                <w:rFonts w:hint="eastAsia" w:ascii="宋体" w:hAnsi="宋体" w:eastAsia="宋体"/>
                <w:kern w:val="2"/>
                <w:sz w:val="21"/>
                <w:lang w:eastAsia="zh-CN"/>
              </w:rPr>
            </w:pPr>
            <w:r>
              <w:rPr>
                <w:rFonts w:hint="eastAsia" w:ascii="宋体" w:hAnsi="宋体" w:eastAsia="宋体"/>
                <w:kern w:val="2"/>
                <w:sz w:val="21"/>
                <w:lang w:eastAsia="zh-CN"/>
              </w:rPr>
              <w:t>3</w:t>
            </w:r>
            <w:r>
              <w:rPr>
                <w:rFonts w:ascii="宋体" w:hAnsi="宋体" w:eastAsia="宋体"/>
                <w:kern w:val="2"/>
                <w:sz w:val="21"/>
                <w:lang w:eastAsia="zh-CN"/>
              </w:rPr>
              <w:t>8</w:t>
            </w:r>
          </w:p>
        </w:tc>
        <w:tc>
          <w:tcPr>
            <w:tcW w:w="2526" w:type="dxa"/>
            <w:vAlign w:val="center"/>
          </w:tcPr>
          <w:p w14:paraId="4C5AB161">
            <w:pPr>
              <w:widowControl w:val="0"/>
              <w:jc w:val="center"/>
              <w:rPr>
                <w:rFonts w:hint="eastAsia" w:ascii="宋体" w:hAnsi="宋体" w:eastAsia="宋体"/>
                <w:kern w:val="2"/>
                <w:sz w:val="21"/>
                <w:lang w:eastAsia="zh-CN"/>
              </w:rPr>
            </w:pPr>
            <w:r>
              <w:rPr>
                <w:rFonts w:hint="eastAsia" w:ascii="宋体" w:hAnsi="宋体" w:eastAsia="宋体"/>
                <w:kern w:val="2"/>
                <w:sz w:val="21"/>
                <w:lang w:eastAsia="zh-CN"/>
              </w:rPr>
              <w:t>定标方法</w:t>
            </w:r>
          </w:p>
        </w:tc>
        <w:tc>
          <w:tcPr>
            <w:tcW w:w="4871" w:type="dxa"/>
            <w:vAlign w:val="center"/>
          </w:tcPr>
          <w:p w14:paraId="121C719F">
            <w:pPr>
              <w:widowControl w:val="0"/>
              <w:jc w:val="left"/>
              <w:rPr>
                <w:rFonts w:hint="eastAsia" w:ascii="宋体" w:hAnsi="宋体" w:eastAsia="宋体"/>
                <w:kern w:val="2"/>
                <w:sz w:val="21"/>
                <w:lang w:eastAsia="zh-CN"/>
              </w:rPr>
            </w:pPr>
            <w:r>
              <w:rPr>
                <w:rFonts w:hint="eastAsia" w:ascii="宋体" w:hAnsi="宋体" w:eastAsia="宋体"/>
                <w:kern w:val="2"/>
                <w:sz w:val="21"/>
                <w:lang w:eastAsia="zh-CN"/>
              </w:rPr>
              <w:t>非评定分离</w:t>
            </w:r>
          </w:p>
        </w:tc>
      </w:tr>
      <w:tr w14:paraId="576B2B1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010E5E35">
            <w:pPr>
              <w:widowControl w:val="0"/>
              <w:jc w:val="center"/>
              <w:rPr>
                <w:rFonts w:hint="eastAsia" w:ascii="宋体" w:hAnsi="宋体" w:eastAsia="宋体"/>
                <w:kern w:val="2"/>
                <w:sz w:val="21"/>
                <w:lang w:eastAsia="zh-CN"/>
              </w:rPr>
            </w:pPr>
            <w:r>
              <w:rPr>
                <w:rFonts w:hint="eastAsia" w:ascii="宋体" w:hAnsi="宋体" w:eastAsia="宋体"/>
                <w:kern w:val="2"/>
                <w:sz w:val="21"/>
                <w:lang w:eastAsia="zh-CN"/>
              </w:rPr>
              <w:t>4</w:t>
            </w:r>
            <w:r>
              <w:rPr>
                <w:rFonts w:ascii="宋体" w:hAnsi="宋体" w:eastAsia="宋体"/>
                <w:kern w:val="2"/>
                <w:sz w:val="21"/>
                <w:lang w:eastAsia="zh-CN"/>
              </w:rPr>
              <w:t>6</w:t>
            </w:r>
          </w:p>
        </w:tc>
        <w:tc>
          <w:tcPr>
            <w:tcW w:w="2526" w:type="dxa"/>
            <w:vAlign w:val="center"/>
          </w:tcPr>
          <w:p w14:paraId="52E31F79">
            <w:pPr>
              <w:widowControl w:val="0"/>
              <w:jc w:val="center"/>
              <w:rPr>
                <w:rFonts w:hint="eastAsia" w:ascii="宋体" w:hAnsi="宋体" w:eastAsia="宋体"/>
                <w:kern w:val="2"/>
                <w:sz w:val="21"/>
                <w:lang w:eastAsia="zh-CN"/>
              </w:rPr>
            </w:pPr>
            <w:r>
              <w:rPr>
                <w:rFonts w:hint="eastAsia" w:ascii="宋体" w:hAnsi="宋体" w:eastAsia="宋体"/>
                <w:kern w:val="2"/>
                <w:sz w:val="21"/>
                <w:lang w:eastAsia="zh-CN"/>
              </w:rPr>
              <w:t>履约担保</w:t>
            </w:r>
          </w:p>
        </w:tc>
        <w:tc>
          <w:tcPr>
            <w:tcW w:w="4871" w:type="dxa"/>
            <w:vAlign w:val="center"/>
          </w:tcPr>
          <w:p w14:paraId="7DF3D02E">
            <w:pPr>
              <w:widowControl w:val="0"/>
              <w:jc w:val="left"/>
              <w:rPr>
                <w:rFonts w:hint="eastAsia" w:ascii="宋体" w:hAnsi="宋体" w:eastAsia="宋体"/>
                <w:kern w:val="2"/>
                <w:sz w:val="21"/>
                <w:lang w:eastAsia="zh-CN"/>
              </w:rPr>
            </w:pPr>
            <w:r>
              <w:rPr>
                <w:rFonts w:hint="eastAsia" w:ascii="宋体" w:hAnsi="宋体" w:eastAsia="宋体"/>
                <w:kern w:val="2"/>
                <w:sz w:val="21"/>
                <w:lang w:eastAsia="zh-CN"/>
              </w:rPr>
              <w:t>不需要</w:t>
            </w:r>
          </w:p>
        </w:tc>
      </w:tr>
      <w:tr w14:paraId="62453D1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4567BDF7">
            <w:pPr>
              <w:widowControl w:val="0"/>
              <w:jc w:val="center"/>
              <w:rPr>
                <w:rFonts w:hint="eastAsia" w:ascii="宋体" w:hAnsi="宋体" w:eastAsia="宋体"/>
                <w:kern w:val="2"/>
                <w:sz w:val="21"/>
                <w:lang w:eastAsia="zh-CN"/>
              </w:rPr>
            </w:pPr>
            <w:r>
              <w:rPr>
                <w:rFonts w:hint="eastAsia" w:ascii="宋体" w:hAnsi="宋体" w:eastAsia="宋体"/>
                <w:kern w:val="2"/>
                <w:sz w:val="21"/>
                <w:lang w:eastAsia="zh-CN"/>
              </w:rPr>
              <w:t>52.8</w:t>
            </w:r>
          </w:p>
        </w:tc>
        <w:tc>
          <w:tcPr>
            <w:tcW w:w="2526" w:type="dxa"/>
            <w:vAlign w:val="center"/>
          </w:tcPr>
          <w:p w14:paraId="317C6ED3">
            <w:pPr>
              <w:widowControl w:val="0"/>
              <w:jc w:val="center"/>
              <w:rPr>
                <w:rFonts w:hint="eastAsia" w:ascii="宋体" w:hAnsi="宋体" w:eastAsia="宋体"/>
                <w:kern w:val="2"/>
                <w:sz w:val="21"/>
                <w:lang w:eastAsia="zh-CN"/>
              </w:rPr>
            </w:pPr>
            <w:r>
              <w:rPr>
                <w:rFonts w:hint="eastAsia" w:ascii="宋体" w:hAnsi="宋体" w:eastAsia="宋体"/>
                <w:kern w:val="2"/>
                <w:sz w:val="21"/>
                <w:lang w:eastAsia="zh-CN"/>
              </w:rPr>
              <w:t>争议（投诉）</w:t>
            </w:r>
          </w:p>
        </w:tc>
        <w:tc>
          <w:tcPr>
            <w:tcW w:w="4871" w:type="dxa"/>
            <w:vAlign w:val="center"/>
          </w:tcPr>
          <w:p w14:paraId="49308B2E">
            <w:pPr>
              <w:widowControl w:val="0"/>
              <w:jc w:val="left"/>
              <w:rPr>
                <w:rFonts w:hint="eastAsia" w:ascii="宋体" w:hAnsi="宋体" w:eastAsia="宋体"/>
                <w:b/>
                <w:kern w:val="2"/>
                <w:sz w:val="21"/>
                <w:lang w:eastAsia="zh-CN"/>
              </w:rPr>
            </w:pPr>
            <w:r>
              <w:rPr>
                <w:rFonts w:hint="eastAsia" w:ascii="宋体" w:hAnsi="宋体" w:eastAsia="宋体"/>
                <w:kern w:val="2"/>
                <w:sz w:val="21"/>
                <w:lang w:eastAsia="zh-CN"/>
              </w:rPr>
              <w:t>对被质疑人的答复不满意或者被质疑人未在规定时间内答复的，提出质疑的供应商可以在答复期满后十五个工作日内向本项目预算主管单位投诉。供应商投诉的事项应当是经过质疑的事项。</w:t>
            </w:r>
          </w:p>
        </w:tc>
      </w:tr>
    </w:tbl>
    <w:p w14:paraId="1C61682C">
      <w:pPr>
        <w:widowControl w:val="0"/>
        <w:jc w:val="both"/>
        <w:rPr>
          <w:rFonts w:eastAsia="宋体"/>
          <w:b/>
          <w:kern w:val="2"/>
          <w:sz w:val="21"/>
          <w:lang w:eastAsia="zh-CN"/>
        </w:rPr>
      </w:pPr>
      <w:r>
        <w:rPr>
          <w:rFonts w:hint="eastAsia" w:eastAsia="宋体"/>
          <w:kern w:val="2"/>
          <w:sz w:val="21"/>
          <w:szCs w:val="21"/>
          <w:lang w:eastAsia="zh-CN"/>
        </w:rPr>
        <w:t>备注：本表是通用条款相关条款的补充和明确，如与通用条款内容相冲突的，以本表为准。</w:t>
      </w:r>
    </w:p>
    <w:p w14:paraId="42F16F8C">
      <w:pPr>
        <w:widowControl w:val="0"/>
        <w:jc w:val="both"/>
        <w:rPr>
          <w:rFonts w:eastAsia="宋体"/>
          <w:b/>
          <w:kern w:val="2"/>
          <w:sz w:val="21"/>
          <w:lang w:eastAsia="zh-CN"/>
        </w:rPr>
      </w:pPr>
    </w:p>
    <w:p w14:paraId="1B014948">
      <w:pPr>
        <w:widowControl w:val="0"/>
        <w:adjustRightInd w:val="0"/>
        <w:spacing w:before="120" w:beforeLines="50" w:after="120" w:afterLines="50" w:line="240" w:lineRule="auto"/>
        <w:jc w:val="center"/>
        <w:textAlignment w:val="baseline"/>
        <w:outlineLvl w:val="1"/>
        <w:rPr>
          <w:rFonts w:hint="eastAsia" w:ascii="宋体" w:hAnsi="宋体" w:eastAsia="宋体"/>
          <w:lang w:eastAsia="zh-CN"/>
        </w:rPr>
      </w:pPr>
      <w:r>
        <w:rPr>
          <w:rFonts w:hint="eastAsia" w:ascii="宋体" w:hAnsi="宋体" w:eastAsia="宋体"/>
          <w:lang w:eastAsia="zh-CN"/>
        </w:rPr>
        <w:t>二、其他关键信息</w:t>
      </w:r>
    </w:p>
    <w:p w14:paraId="09274803">
      <w:pPr>
        <w:widowControl w:val="0"/>
        <w:ind w:firstLine="422" w:firstLineChars="200"/>
        <w:jc w:val="both"/>
        <w:rPr>
          <w:rFonts w:eastAsia="宋体"/>
          <w:b/>
          <w:bCs/>
          <w:kern w:val="2"/>
          <w:sz w:val="21"/>
          <w:lang w:eastAsia="zh-CN"/>
        </w:rPr>
      </w:pPr>
      <w:r>
        <w:rPr>
          <w:rFonts w:hint="eastAsia" w:eastAsia="宋体"/>
          <w:b/>
          <w:bCs/>
          <w:kern w:val="2"/>
          <w:sz w:val="21"/>
          <w:lang w:eastAsia="zh-CN"/>
        </w:rPr>
        <w:t>（一）与“对通用条款的补充内容”章节相关的事项</w:t>
      </w:r>
    </w:p>
    <w:p w14:paraId="73B08DF9">
      <w:pPr>
        <w:widowControl w:val="0"/>
        <w:spacing w:line="276" w:lineRule="auto"/>
        <w:ind w:firstLine="422" w:firstLineChars="200"/>
        <w:jc w:val="left"/>
        <w:rPr>
          <w:rFonts w:hint="eastAsia" w:ascii="宋体" w:hAnsi="宋体" w:eastAsia="宋体"/>
          <w:b/>
          <w:sz w:val="21"/>
          <w:szCs w:val="20"/>
          <w:lang w:eastAsia="zh-CN"/>
        </w:rPr>
      </w:pPr>
      <w:bookmarkStart w:id="30" w:name="_Hlk72579465"/>
      <w:r>
        <w:rPr>
          <w:rFonts w:hint="eastAsia" w:ascii="宋体" w:hAnsi="宋体" w:eastAsia="宋体"/>
          <w:b/>
          <w:sz w:val="21"/>
          <w:szCs w:val="20"/>
          <w:lang w:eastAsia="zh-CN"/>
        </w:rPr>
        <w:t>1、评标定标信息</w:t>
      </w:r>
    </w:p>
    <w:p w14:paraId="68848627">
      <w:pPr>
        <w:widowControl w:val="0"/>
        <w:jc w:val="center"/>
        <w:rPr>
          <w:rFonts w:eastAsia="宋体"/>
          <w:kern w:val="2"/>
          <w:sz w:val="21"/>
          <w:lang w:eastAsia="zh-CN"/>
        </w:rPr>
      </w:pPr>
      <w:r>
        <w:rPr>
          <w:rFonts w:hint="eastAsia" w:eastAsia="宋体"/>
          <w:b/>
          <w:kern w:val="2"/>
          <w:sz w:val="21"/>
          <w:lang w:eastAsia="zh-CN"/>
        </w:rPr>
        <w:t>非评定分离项目</w:t>
      </w: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90"/>
        <w:gridCol w:w="4539"/>
      </w:tblGrid>
      <w:tr w14:paraId="777B3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0" w:hRule="atLeast"/>
        </w:trPr>
        <w:tc>
          <w:tcPr>
            <w:tcW w:w="3939" w:type="dxa"/>
          </w:tcPr>
          <w:p w14:paraId="1D8966A6">
            <w:pPr>
              <w:widowControl w:val="0"/>
              <w:jc w:val="center"/>
              <w:rPr>
                <w:rFonts w:eastAsia="宋体"/>
                <w:kern w:val="2"/>
                <w:sz w:val="21"/>
                <w:lang w:eastAsia="zh-CN"/>
              </w:rPr>
            </w:pPr>
            <w:r>
              <w:rPr>
                <w:rFonts w:hint="eastAsia" w:eastAsia="宋体"/>
                <w:kern w:val="2"/>
                <w:sz w:val="21"/>
                <w:lang w:eastAsia="zh-CN"/>
              </w:rPr>
              <w:t>评标方法</w:t>
            </w:r>
          </w:p>
        </w:tc>
        <w:tc>
          <w:tcPr>
            <w:tcW w:w="4480" w:type="dxa"/>
          </w:tcPr>
          <w:p w14:paraId="6F07CFF9">
            <w:pPr>
              <w:widowControl w:val="0"/>
              <w:jc w:val="center"/>
              <w:rPr>
                <w:rFonts w:eastAsia="宋体"/>
                <w:kern w:val="2"/>
                <w:sz w:val="21"/>
                <w:lang w:eastAsia="zh-CN"/>
              </w:rPr>
            </w:pPr>
            <w:r>
              <w:rPr>
                <w:rFonts w:ascii="Wingdings" w:hAnsi="Wingdings" w:eastAsia="宋体"/>
                <w:kern w:val="2"/>
                <w:sz w:val="21"/>
                <w:lang w:eastAsia="zh-CN"/>
              </w:rPr>
              <w:sym w:font="Wingdings" w:char="F0FE"/>
            </w:r>
            <w:r>
              <w:rPr>
                <w:rFonts w:hint="eastAsia" w:eastAsia="宋体"/>
                <w:kern w:val="2"/>
                <w:sz w:val="21"/>
                <w:lang w:eastAsia="zh-CN"/>
              </w:rPr>
              <w:t>综合评分法</w:t>
            </w:r>
          </w:p>
        </w:tc>
      </w:tr>
      <w:tr w14:paraId="3C76D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939" w:type="dxa"/>
          </w:tcPr>
          <w:p w14:paraId="42E9FC3A">
            <w:pPr>
              <w:widowControl w:val="0"/>
              <w:jc w:val="center"/>
              <w:rPr>
                <w:rFonts w:eastAsia="宋体"/>
                <w:kern w:val="2"/>
                <w:sz w:val="21"/>
                <w:lang w:eastAsia="zh-CN"/>
              </w:rPr>
            </w:pPr>
            <w:r>
              <w:rPr>
                <w:rFonts w:hint="eastAsia" w:eastAsia="宋体"/>
                <w:kern w:val="2"/>
                <w:sz w:val="21"/>
                <w:lang w:eastAsia="zh-CN"/>
              </w:rPr>
              <w:t>候选中标供应商家数</w:t>
            </w:r>
          </w:p>
        </w:tc>
        <w:tc>
          <w:tcPr>
            <w:tcW w:w="4480" w:type="dxa"/>
          </w:tcPr>
          <w:p w14:paraId="75CF1C6F">
            <w:pPr>
              <w:widowControl w:val="0"/>
              <w:jc w:val="center"/>
              <w:rPr>
                <w:rFonts w:eastAsia="宋体"/>
                <w:kern w:val="2"/>
                <w:sz w:val="21"/>
                <w:lang w:eastAsia="zh-CN"/>
              </w:rPr>
            </w:pPr>
            <w:r>
              <w:rPr>
                <w:rFonts w:hint="eastAsia" w:eastAsia="宋体"/>
                <w:kern w:val="2"/>
                <w:sz w:val="21"/>
                <w:lang w:eastAsia="zh-CN"/>
              </w:rPr>
              <w:t>3</w:t>
            </w:r>
          </w:p>
        </w:tc>
      </w:tr>
      <w:tr w14:paraId="1C854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3939" w:type="dxa"/>
          </w:tcPr>
          <w:p w14:paraId="406380D8">
            <w:pPr>
              <w:widowControl w:val="0"/>
              <w:jc w:val="center"/>
              <w:rPr>
                <w:rFonts w:eastAsia="宋体"/>
                <w:kern w:val="2"/>
                <w:sz w:val="21"/>
                <w:lang w:eastAsia="zh-CN"/>
              </w:rPr>
            </w:pPr>
            <w:r>
              <w:rPr>
                <w:rFonts w:hint="eastAsia" w:eastAsia="宋体"/>
                <w:kern w:val="2"/>
                <w:sz w:val="21"/>
                <w:lang w:eastAsia="zh-CN"/>
              </w:rPr>
              <w:t>中标供应商家数</w:t>
            </w:r>
          </w:p>
        </w:tc>
        <w:tc>
          <w:tcPr>
            <w:tcW w:w="4480" w:type="dxa"/>
          </w:tcPr>
          <w:p w14:paraId="5B7E316F">
            <w:pPr>
              <w:widowControl w:val="0"/>
              <w:jc w:val="center"/>
              <w:rPr>
                <w:rFonts w:eastAsia="宋体"/>
                <w:kern w:val="2"/>
                <w:sz w:val="21"/>
                <w:lang w:eastAsia="zh-CN"/>
              </w:rPr>
            </w:pPr>
            <w:r>
              <w:rPr>
                <w:rFonts w:hint="eastAsia" w:eastAsia="宋体"/>
                <w:kern w:val="2"/>
                <w:sz w:val="21"/>
                <w:lang w:eastAsia="zh-CN"/>
              </w:rPr>
              <w:t>1</w:t>
            </w:r>
          </w:p>
        </w:tc>
      </w:tr>
    </w:tbl>
    <w:p w14:paraId="7C491930">
      <w:pPr>
        <w:widowControl w:val="0"/>
        <w:ind w:firstLine="422" w:firstLineChars="200"/>
        <w:jc w:val="both"/>
        <w:rPr>
          <w:rFonts w:hint="eastAsia" w:ascii="宋体" w:hAnsi="宋体" w:eastAsia="宋体"/>
          <w:b/>
          <w:kern w:val="2"/>
          <w:sz w:val="21"/>
          <w:lang w:eastAsia="zh-CN"/>
        </w:rPr>
      </w:pPr>
    </w:p>
    <w:bookmarkEnd w:id="30"/>
    <w:p w14:paraId="2B35425B">
      <w:pPr>
        <w:widowControl w:val="0"/>
        <w:ind w:firstLine="422" w:firstLineChars="200"/>
        <w:jc w:val="both"/>
        <w:rPr>
          <w:rFonts w:eastAsia="宋体"/>
          <w:b/>
          <w:kern w:val="2"/>
          <w:sz w:val="21"/>
          <w:lang w:eastAsia="zh-CN"/>
        </w:rPr>
      </w:pPr>
      <w:r>
        <w:rPr>
          <w:rFonts w:hint="eastAsia" w:eastAsia="宋体"/>
          <w:b/>
          <w:kern w:val="2"/>
          <w:sz w:val="21"/>
          <w:lang w:eastAsia="zh-CN"/>
        </w:rPr>
        <w:t>（二）其他事项</w:t>
      </w:r>
    </w:p>
    <w:p w14:paraId="367E64C0">
      <w:pPr>
        <w:widowControl w:val="0"/>
        <w:ind w:firstLine="420" w:firstLineChars="200"/>
        <w:jc w:val="both"/>
        <w:rPr>
          <w:rFonts w:eastAsia="宋体"/>
          <w:kern w:val="2"/>
          <w:sz w:val="21"/>
          <w:lang w:eastAsia="zh-CN"/>
        </w:rPr>
      </w:pPr>
      <w:r>
        <w:rPr>
          <w:rFonts w:eastAsia="宋体"/>
          <w:kern w:val="2"/>
          <w:sz w:val="21"/>
          <w:lang w:eastAsia="zh-CN"/>
        </w:rPr>
        <w:t>1</w:t>
      </w:r>
      <w:r>
        <w:rPr>
          <w:rFonts w:hint="eastAsia" w:eastAsia="宋体"/>
          <w:kern w:val="2"/>
          <w:sz w:val="21"/>
          <w:lang w:eastAsia="zh-CN"/>
        </w:rPr>
        <w:t>、关于享受优惠政策的主体及价格扣除比例</w:t>
      </w:r>
    </w:p>
    <w:p w14:paraId="4EC17A79">
      <w:pPr>
        <w:widowControl w:val="0"/>
        <w:ind w:firstLine="420" w:firstLineChars="200"/>
        <w:jc w:val="both"/>
        <w:rPr>
          <w:rFonts w:eastAsia="宋体"/>
          <w:kern w:val="2"/>
          <w:sz w:val="21"/>
          <w:lang w:eastAsia="zh-CN"/>
        </w:rPr>
      </w:pPr>
      <w:r>
        <w:rPr>
          <w:rFonts w:hint="eastAsia" w:eastAsia="宋体"/>
          <w:kern w:val="2"/>
          <w:sz w:val="21"/>
          <w:lang w:eastAsia="zh-CN"/>
        </w:rPr>
        <w:t>（1）专门面向中小企业采购的项目，不再执行价格扣除比例。</w:t>
      </w:r>
    </w:p>
    <w:p w14:paraId="524EF272">
      <w:pPr>
        <w:widowControl w:val="0"/>
        <w:ind w:firstLine="420" w:firstLineChars="200"/>
        <w:jc w:val="both"/>
        <w:rPr>
          <w:rFonts w:eastAsia="宋体"/>
          <w:kern w:val="2"/>
          <w:sz w:val="21"/>
          <w:lang w:eastAsia="zh-CN"/>
        </w:rPr>
      </w:pPr>
      <w:r>
        <w:rPr>
          <w:rFonts w:hint="eastAsia" w:eastAsia="宋体"/>
          <w:kern w:val="2"/>
          <w:sz w:val="21"/>
          <w:lang w:eastAsia="zh-CN"/>
        </w:rPr>
        <w:t>（2）非专门面向中小企业采购的项目，应执行价格扣除比例：供应商提供的服务全部由优惠主体承接，则对其投标总价给予</w:t>
      </w:r>
      <w:r>
        <w:rPr>
          <w:rFonts w:eastAsia="宋体"/>
          <w:b/>
          <w:bCs/>
          <w:color w:val="FF0000"/>
          <w:kern w:val="2"/>
          <w:sz w:val="21"/>
          <w:u w:val="single"/>
          <w:lang w:eastAsia="zh-CN"/>
        </w:rPr>
        <w:t xml:space="preserve"> </w:t>
      </w:r>
      <w:r>
        <w:rPr>
          <w:rFonts w:hint="eastAsia" w:eastAsia="宋体"/>
          <w:b/>
          <w:bCs/>
          <w:color w:val="FF0000"/>
          <w:kern w:val="2"/>
          <w:sz w:val="21"/>
          <w:u w:val="single"/>
          <w:lang w:eastAsia="zh-CN"/>
        </w:rPr>
        <w:t>10</w:t>
      </w:r>
      <w:r>
        <w:rPr>
          <w:rFonts w:eastAsia="宋体"/>
          <w:b/>
          <w:bCs/>
          <w:color w:val="FF0000"/>
          <w:kern w:val="2"/>
          <w:sz w:val="21"/>
          <w:u w:val="single"/>
          <w:lang w:eastAsia="zh-CN"/>
        </w:rPr>
        <w:t xml:space="preserve"> %</w:t>
      </w:r>
      <w:r>
        <w:rPr>
          <w:rFonts w:hint="eastAsia" w:eastAsia="宋体"/>
          <w:color w:val="000000"/>
          <w:kern w:val="2"/>
          <w:sz w:val="21"/>
          <w:lang w:eastAsia="zh-CN"/>
        </w:rPr>
        <w:t>（10%~20%）</w:t>
      </w:r>
      <w:r>
        <w:rPr>
          <w:rFonts w:hint="eastAsia" w:eastAsia="宋体"/>
          <w:kern w:val="2"/>
          <w:sz w:val="21"/>
          <w:lang w:eastAsia="zh-CN"/>
        </w:rPr>
        <w:t>的扣除，用扣除后的价格参与评审。满足多项优惠政策的企业，不重复享受多项价格扣除政策。</w:t>
      </w:r>
    </w:p>
    <w:p w14:paraId="40FE4E95">
      <w:pPr>
        <w:widowControl w:val="0"/>
        <w:ind w:firstLine="420" w:firstLineChars="200"/>
        <w:jc w:val="both"/>
        <w:rPr>
          <w:rFonts w:eastAsia="宋体"/>
          <w:kern w:val="2"/>
          <w:sz w:val="21"/>
          <w:lang w:eastAsia="zh-CN"/>
        </w:rPr>
      </w:pPr>
      <w:r>
        <w:rPr>
          <w:rFonts w:hint="eastAsia" w:eastAsia="宋体"/>
          <w:kern w:val="2"/>
          <w:sz w:val="21"/>
          <w:lang w:eastAsia="zh-CN"/>
        </w:rPr>
        <w:t>备注：（a）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采购活动中视同中小企业；(</w:t>
      </w:r>
      <w:r>
        <w:rPr>
          <w:rFonts w:eastAsia="宋体"/>
          <w:kern w:val="2"/>
          <w:sz w:val="21"/>
          <w:lang w:eastAsia="zh-CN"/>
        </w:rPr>
        <w:t>b)</w:t>
      </w:r>
      <w:r>
        <w:rPr>
          <w:rFonts w:hint="eastAsia" w:eastAsia="宋体"/>
          <w:kern w:val="2"/>
          <w:sz w:val="21"/>
          <w:lang w:eastAsia="zh-CN"/>
        </w:rPr>
        <w:t>优惠主体承接是指提供服务的人员为中小企业依照《中华人民共和国劳动合同法》订立劳动合同的从业人员。</w:t>
      </w:r>
    </w:p>
    <w:p w14:paraId="1F8650AB">
      <w:pPr>
        <w:widowControl w:val="0"/>
        <w:numPr>
          <w:ilvl w:val="0"/>
          <w:numId w:val="1"/>
        </w:numPr>
        <w:ind w:firstLine="420" w:firstLineChars="200"/>
        <w:jc w:val="both"/>
        <w:rPr>
          <w:rFonts w:eastAsia="宋体"/>
          <w:kern w:val="2"/>
          <w:sz w:val="21"/>
          <w:szCs w:val="21"/>
          <w:lang w:eastAsia="zh-CN"/>
        </w:rPr>
      </w:pPr>
      <w:r>
        <w:rPr>
          <w:rFonts w:ascii="宋体" w:hAnsi="宋体" w:eastAsia="宋体" w:cs="宋体"/>
          <w:kern w:val="2"/>
          <w:sz w:val="21"/>
          <w:szCs w:val="21"/>
          <w:lang w:eastAsia="zh-CN"/>
        </w:rPr>
        <w:t>中小企业参加</w:t>
      </w:r>
      <w:r>
        <w:rPr>
          <w:rFonts w:hint="eastAsia" w:ascii="宋体" w:hAnsi="宋体" w:eastAsia="宋体" w:cs="宋体"/>
          <w:kern w:val="2"/>
          <w:sz w:val="21"/>
          <w:szCs w:val="21"/>
          <w:lang w:eastAsia="zh-CN"/>
        </w:rPr>
        <w:t>政府采购、自行采购</w:t>
      </w:r>
      <w:r>
        <w:rPr>
          <w:rFonts w:ascii="宋体" w:hAnsi="宋体" w:eastAsia="宋体" w:cs="宋体"/>
          <w:kern w:val="2"/>
          <w:sz w:val="21"/>
          <w:szCs w:val="21"/>
          <w:lang w:eastAsia="zh-CN"/>
        </w:rPr>
        <w:t>活动，应当按照国务院批准的《中小企业划型标准规定》（工信部联企 业〔2011〕300号）、《金融业企业划型标准规定》（银发〔2015〕309号）和《财政部 工业和信息化部关于印发〈政府采购促进中小企业发展管理办法〉的通知》（财库〔2020〕46 号）的规定，出具《中小企业声明函》，</w:t>
      </w:r>
      <w:r>
        <w:rPr>
          <w:rFonts w:ascii="宋体" w:hAnsi="宋体" w:eastAsia="宋体" w:cs="宋体"/>
          <w:b/>
          <w:bCs/>
          <w:color w:val="FF0000"/>
          <w:kern w:val="2"/>
          <w:sz w:val="21"/>
          <w:szCs w:val="21"/>
          <w:lang w:eastAsia="zh-CN"/>
        </w:rPr>
        <w:t>《中小企业声明函》中相关企业所属行业应当与采购标的所属行业相一致。</w:t>
      </w:r>
      <w:r>
        <w:rPr>
          <w:rFonts w:hint="eastAsia" w:eastAsia="宋体"/>
          <w:kern w:val="2"/>
          <w:sz w:val="21"/>
          <w:szCs w:val="21"/>
          <w:lang w:eastAsia="zh-CN"/>
        </w:rPr>
        <w:t>本项目采购标的（服务需求）对应的中小企业划分标准所属行业为</w:t>
      </w:r>
      <w:r>
        <w:rPr>
          <w:rFonts w:eastAsia="宋体"/>
          <w:b/>
          <w:bCs/>
          <w:color w:val="FF0000"/>
          <w:kern w:val="2"/>
          <w:sz w:val="21"/>
          <w:szCs w:val="21"/>
          <w:u w:val="single"/>
          <w:lang w:eastAsia="zh-CN"/>
        </w:rPr>
        <w:t xml:space="preserve"> </w:t>
      </w:r>
      <w:r>
        <w:rPr>
          <w:rFonts w:hint="eastAsia" w:eastAsia="宋体"/>
          <w:b/>
          <w:bCs/>
          <w:color w:val="FF0000"/>
          <w:kern w:val="2"/>
          <w:sz w:val="21"/>
          <w:u w:val="single"/>
          <w:lang w:eastAsia="zh-CN"/>
        </w:rPr>
        <w:t>软件和信息技术服务业</w:t>
      </w:r>
      <w:r>
        <w:rPr>
          <w:rFonts w:hint="eastAsia" w:eastAsia="宋体"/>
          <w:kern w:val="2"/>
          <w:sz w:val="21"/>
          <w:szCs w:val="21"/>
          <w:lang w:eastAsia="zh-CN"/>
        </w:rPr>
        <w:t>。</w:t>
      </w:r>
    </w:p>
    <w:p w14:paraId="74CED6FE">
      <w:pPr>
        <w:widowControl w:val="0"/>
        <w:numPr>
          <w:ilvl w:val="0"/>
          <w:numId w:val="1"/>
        </w:numPr>
        <w:ind w:firstLine="420" w:firstLineChars="200"/>
        <w:jc w:val="both"/>
        <w:rPr>
          <w:rFonts w:eastAsia="宋体"/>
          <w:kern w:val="2"/>
          <w:sz w:val="21"/>
          <w:lang w:eastAsia="zh-CN"/>
        </w:rPr>
      </w:pPr>
      <w:r>
        <w:rPr>
          <w:rFonts w:hint="eastAsia" w:eastAsia="宋体"/>
          <w:kern w:val="2"/>
          <w:sz w:val="21"/>
          <w:szCs w:val="21"/>
          <w:lang w:eastAsia="zh-CN"/>
        </w:rPr>
        <w:t>小型企业、微</w:t>
      </w:r>
      <w:r>
        <w:rPr>
          <w:rFonts w:hint="eastAsia" w:eastAsia="宋体"/>
          <w:kern w:val="2"/>
          <w:sz w:val="21"/>
          <w:lang w:eastAsia="zh-CN"/>
        </w:rPr>
        <w:t>型企业、残疾人福利性单位作为优惠主体的认定资料为《中小企业声明函》、《残疾人福利性单位声明函》；监狱企业作为优惠主体的认定资料为省级以上监狱管理局、戒毒管理局出具的监狱企业证明文件。声明函样式见本招标文件第一册专用条款第四章“投标文件组成要求及格式”中“三、投标人情况介绍及资格证明文件”章节提供的格式）。</w:t>
      </w:r>
    </w:p>
    <w:p w14:paraId="22D34574">
      <w:pPr>
        <w:widowControl w:val="0"/>
        <w:ind w:firstLine="420" w:firstLineChars="200"/>
        <w:jc w:val="both"/>
        <w:rPr>
          <w:rFonts w:eastAsia="宋体"/>
          <w:kern w:val="2"/>
          <w:sz w:val="21"/>
          <w:lang w:eastAsia="zh-CN"/>
        </w:rPr>
      </w:pPr>
      <w:r>
        <w:rPr>
          <w:rFonts w:hint="eastAsia" w:eastAsia="宋体"/>
          <w:kern w:val="2"/>
          <w:sz w:val="21"/>
          <w:lang w:eastAsia="zh-CN"/>
        </w:rPr>
        <w:t>（5）享受价格扣除获得采购合同的，小微企业不得将合同分包给大中型企业。</w:t>
      </w:r>
    </w:p>
    <w:p w14:paraId="32C6AF8B">
      <w:pPr>
        <w:widowControl w:val="0"/>
        <w:spacing w:line="360" w:lineRule="auto"/>
        <w:ind w:firstLine="422" w:firstLineChars="200"/>
        <w:jc w:val="both"/>
        <w:rPr>
          <w:rFonts w:hint="eastAsia" w:ascii="宋体" w:hAnsi="宋体" w:eastAsia="宋体" w:cs="宋体"/>
          <w:b/>
          <w:bCs/>
          <w:kern w:val="2"/>
          <w:sz w:val="21"/>
          <w:lang w:eastAsia="zh-CN"/>
        </w:rPr>
      </w:pPr>
    </w:p>
    <w:p w14:paraId="6C5A533D">
      <w:pPr>
        <w:widowControl w:val="0"/>
        <w:ind w:firstLine="422" w:firstLineChars="200"/>
        <w:jc w:val="both"/>
        <w:rPr>
          <w:rFonts w:hint="eastAsia" w:ascii="宋体" w:hAnsi="宋体" w:eastAsia="宋体" w:cs="宋体"/>
          <w:b/>
          <w:bCs/>
          <w:kern w:val="2"/>
          <w:sz w:val="21"/>
          <w:lang w:eastAsia="zh-CN"/>
        </w:rPr>
      </w:pPr>
      <w:r>
        <w:rPr>
          <w:rFonts w:hint="eastAsia" w:ascii="宋体" w:hAnsi="宋体" w:eastAsia="宋体" w:cs="宋体"/>
          <w:b/>
          <w:bCs/>
          <w:kern w:val="2"/>
          <w:sz w:val="21"/>
          <w:lang w:eastAsia="zh-CN"/>
        </w:rPr>
        <w:t>2、关于采购订单融资政策</w:t>
      </w:r>
    </w:p>
    <w:p w14:paraId="3544F754">
      <w:pPr>
        <w:widowControl w:val="0"/>
        <w:wordWrap w:val="0"/>
        <w:ind w:firstLine="420" w:firstLineChars="200"/>
        <w:jc w:val="both"/>
        <w:rPr>
          <w:rFonts w:hint="eastAsia" w:ascii="宋体" w:hAnsi="宋体" w:eastAsia="宋体"/>
          <w:b/>
          <w:kern w:val="2"/>
          <w:sz w:val="21"/>
          <w:lang w:eastAsia="zh-CN"/>
        </w:rPr>
      </w:pPr>
      <w:r>
        <w:rPr>
          <w:rFonts w:hint="eastAsia" w:eastAsia="宋体"/>
          <w:color w:val="FF0000"/>
          <w:kern w:val="2"/>
          <w:sz w:val="21"/>
          <w:lang w:eastAsia="zh-CN"/>
        </w:rPr>
        <w:t>为深入贯彻落实国家深化政府采购制度改革精神，充分发挥政府采购扶持中小企业发展的政策功能，缓解中小微企业融资难、融资贵的问题，根据《深圳市财政局关于加大力度运用采购订单融资政策支持企业发展的通知》要求，参与深圳市政府采购活动供应商可凭借所获取的深圳市政府采购中标通知书与采购合同，向参与订单融资业务的金融机构提出融资申请，金融机构以各自信贷政策为基础，为中标（成交）供应商提供融资授信，订单融资具体流程可登录深圳要素交易金融服务平台(https://finance.szexgrp.com/gtm/web/guarantee/#/)，相关政策法规参阅深圳市政府采购监管网（http://zfcg.sz.gov.cn/）信息公开栏目。</w:t>
      </w:r>
    </w:p>
    <w:p w14:paraId="76D14479">
      <w:pPr>
        <w:widowControl w:val="0"/>
        <w:ind w:firstLine="640" w:firstLineChars="200"/>
        <w:jc w:val="both"/>
        <w:rPr>
          <w:rFonts w:eastAsia="宋体"/>
          <w:kern w:val="2"/>
          <w:sz w:val="32"/>
          <w:szCs w:val="40"/>
          <w:lang w:eastAsia="zh-CN"/>
        </w:rPr>
      </w:pPr>
    </w:p>
    <w:p w14:paraId="77E36762">
      <w:pPr>
        <w:widowControl w:val="0"/>
        <w:ind w:firstLine="422" w:firstLineChars="200"/>
        <w:jc w:val="both"/>
        <w:rPr>
          <w:rFonts w:eastAsia="宋体"/>
          <w:b/>
          <w:kern w:val="2"/>
          <w:sz w:val="21"/>
          <w:lang w:eastAsia="zh-CN"/>
        </w:rPr>
      </w:pPr>
      <w:r>
        <w:rPr>
          <w:rFonts w:hint="eastAsia" w:eastAsia="宋体"/>
          <w:b/>
          <w:kern w:val="2"/>
          <w:sz w:val="21"/>
          <w:lang w:eastAsia="zh-CN"/>
        </w:rPr>
        <w:t>3、</w:t>
      </w:r>
      <w:bookmarkStart w:id="31" w:name="_Hlk72594729"/>
      <w:bookmarkStart w:id="32" w:name="_Hlk76855768"/>
      <w:r>
        <w:rPr>
          <w:rFonts w:hint="eastAsia" w:eastAsia="宋体"/>
          <w:b/>
          <w:kern w:val="2"/>
          <w:sz w:val="21"/>
          <w:lang w:eastAsia="zh-CN"/>
        </w:rPr>
        <w:t>本项目为代理服务项目，将向中标（成交）供应商收取代理服务费。</w:t>
      </w:r>
    </w:p>
    <w:bookmarkEnd w:id="31"/>
    <w:bookmarkEnd w:id="32"/>
    <w:p w14:paraId="74183931">
      <w:pPr>
        <w:widowControl w:val="0"/>
        <w:ind w:firstLine="420" w:firstLineChars="200"/>
        <w:jc w:val="both"/>
        <w:rPr>
          <w:rFonts w:eastAsia="宋体"/>
          <w:kern w:val="2"/>
          <w:sz w:val="21"/>
          <w:lang w:eastAsia="zh-CN"/>
        </w:rPr>
      </w:pPr>
      <w:r>
        <w:rPr>
          <w:rFonts w:hint="eastAsia" w:eastAsia="宋体"/>
          <w:kern w:val="2"/>
          <w:sz w:val="21"/>
          <w:lang w:eastAsia="zh-CN"/>
        </w:rPr>
        <w:t>中标（成交）供应商在领取《中标（成交）通知书》之前须向深圳公共资源交易中心（深圳交易集团有限公司政府采购业务分公司）交纳代理服务费。若因中标（成交）供应商交纳代理服务费所产生的时间影响到合同签订的，由中标（成交）供应商自行承担责任。代理服务费标准参照下列标准收取。</w:t>
      </w:r>
      <w:r>
        <w:rPr>
          <w:rFonts w:hint="eastAsia" w:eastAsia="宋体"/>
          <w:b/>
          <w:color w:val="FF0000"/>
          <w:kern w:val="2"/>
          <w:sz w:val="21"/>
          <w:lang w:eastAsia="zh-CN"/>
        </w:rPr>
        <w:t>本项目类型为服务采购：</w:t>
      </w:r>
    </w:p>
    <w:p w14:paraId="60C17285">
      <w:pPr>
        <w:widowControl w:val="0"/>
        <w:ind w:firstLine="420" w:firstLineChars="200"/>
        <w:jc w:val="both"/>
        <w:rPr>
          <w:rFonts w:eastAsia="宋体"/>
          <w:kern w:val="2"/>
          <w:sz w:val="21"/>
          <w:lang w:eastAsia="zh-CN"/>
        </w:rPr>
      </w:pPr>
      <w:r>
        <w:rPr>
          <w:rFonts w:hint="eastAsia" w:eastAsia="宋体"/>
          <w:kern w:val="2"/>
          <w:sz w:val="21"/>
          <w:lang w:eastAsia="zh-CN"/>
        </w:rPr>
        <w:t>（1）代理服务费以《中标（成交）通知书》确定的中标（成交）金额作为计算基数，按差额定率累进法计算。</w:t>
      </w:r>
    </w:p>
    <w:p w14:paraId="72FD5947">
      <w:pPr>
        <w:widowControl w:val="0"/>
        <w:ind w:firstLine="420" w:firstLineChars="200"/>
        <w:jc w:val="both"/>
        <w:rPr>
          <w:rFonts w:eastAsia="宋体"/>
          <w:kern w:val="2"/>
          <w:sz w:val="21"/>
          <w:lang w:eastAsia="zh-CN"/>
        </w:rPr>
      </w:pPr>
      <w:r>
        <w:rPr>
          <w:rFonts w:hint="eastAsia" w:eastAsia="宋体"/>
          <w:kern w:val="2"/>
          <w:sz w:val="21"/>
          <w:lang w:eastAsia="zh-CN"/>
        </w:rPr>
        <w:t>（2）中标（成交）金额的各部分费率如下表：</w:t>
      </w:r>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29"/>
        <w:gridCol w:w="1800"/>
        <w:gridCol w:w="1800"/>
        <w:gridCol w:w="1800"/>
      </w:tblGrid>
      <w:tr w14:paraId="23DE4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3125" w:type="dxa"/>
            <w:vAlign w:val="center"/>
          </w:tcPr>
          <w:p w14:paraId="1DF5EB1C">
            <w:pPr>
              <w:widowControl/>
              <w:spacing w:line="360" w:lineRule="auto"/>
              <w:jc w:val="center"/>
              <w:rPr>
                <w:rFonts w:eastAsia="宋体"/>
                <w:kern w:val="2"/>
                <w:sz w:val="21"/>
                <w:lang w:eastAsia="zh-CN"/>
              </w:rPr>
            </w:pPr>
            <w:r>
              <w:rPr>
                <w:rFonts w:hint="eastAsia" w:eastAsia="宋体"/>
                <w:kern w:val="2"/>
                <w:sz w:val="21"/>
                <w:lang w:eastAsia="zh-CN"/>
              </w:rPr>
              <w:t>中标（成交）金额</w:t>
            </w:r>
          </w:p>
        </w:tc>
        <w:tc>
          <w:tcPr>
            <w:tcW w:w="1799" w:type="dxa"/>
            <w:vAlign w:val="center"/>
          </w:tcPr>
          <w:p w14:paraId="6853E8ED">
            <w:pPr>
              <w:widowControl/>
              <w:spacing w:line="360" w:lineRule="auto"/>
              <w:jc w:val="center"/>
              <w:rPr>
                <w:rFonts w:eastAsia="宋体"/>
                <w:kern w:val="2"/>
                <w:sz w:val="21"/>
                <w:lang w:eastAsia="zh-CN"/>
              </w:rPr>
            </w:pPr>
            <w:r>
              <w:rPr>
                <w:rFonts w:hint="eastAsia" w:eastAsia="宋体"/>
                <w:kern w:val="2"/>
                <w:sz w:val="21"/>
                <w:lang w:eastAsia="zh-CN"/>
              </w:rPr>
              <w:t>货物采购</w:t>
            </w:r>
          </w:p>
        </w:tc>
        <w:tc>
          <w:tcPr>
            <w:tcW w:w="1799" w:type="dxa"/>
            <w:vAlign w:val="center"/>
          </w:tcPr>
          <w:p w14:paraId="4940A2D4">
            <w:pPr>
              <w:widowControl/>
              <w:spacing w:line="360" w:lineRule="auto"/>
              <w:jc w:val="center"/>
              <w:rPr>
                <w:rFonts w:eastAsia="宋体"/>
                <w:kern w:val="2"/>
                <w:sz w:val="21"/>
                <w:lang w:eastAsia="zh-CN"/>
              </w:rPr>
            </w:pPr>
            <w:r>
              <w:rPr>
                <w:rFonts w:hint="eastAsia" w:eastAsia="宋体"/>
                <w:kern w:val="2"/>
                <w:sz w:val="21"/>
                <w:lang w:eastAsia="zh-CN"/>
              </w:rPr>
              <w:t>服务采购</w:t>
            </w:r>
          </w:p>
        </w:tc>
        <w:tc>
          <w:tcPr>
            <w:tcW w:w="1799" w:type="dxa"/>
            <w:vAlign w:val="center"/>
          </w:tcPr>
          <w:p w14:paraId="25CE7698">
            <w:pPr>
              <w:widowControl/>
              <w:spacing w:line="360" w:lineRule="auto"/>
              <w:jc w:val="center"/>
              <w:rPr>
                <w:rFonts w:eastAsia="宋体"/>
                <w:kern w:val="2"/>
                <w:sz w:val="21"/>
                <w:lang w:eastAsia="zh-CN"/>
              </w:rPr>
            </w:pPr>
            <w:r>
              <w:rPr>
                <w:rFonts w:hint="eastAsia" w:eastAsia="宋体"/>
                <w:kern w:val="2"/>
                <w:sz w:val="21"/>
                <w:lang w:eastAsia="zh-CN"/>
              </w:rPr>
              <w:t>工程采购</w:t>
            </w:r>
          </w:p>
        </w:tc>
      </w:tr>
      <w:tr w14:paraId="36C8C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463A16A4">
            <w:pPr>
              <w:widowControl/>
              <w:spacing w:line="360" w:lineRule="auto"/>
              <w:jc w:val="center"/>
              <w:rPr>
                <w:rFonts w:eastAsia="宋体"/>
                <w:kern w:val="2"/>
                <w:sz w:val="21"/>
                <w:lang w:eastAsia="zh-CN"/>
              </w:rPr>
            </w:pPr>
            <w:r>
              <w:rPr>
                <w:rFonts w:hint="eastAsia" w:eastAsia="宋体"/>
                <w:kern w:val="2"/>
                <w:sz w:val="21"/>
                <w:lang w:eastAsia="zh-CN"/>
              </w:rPr>
              <w:t>100万元以下</w:t>
            </w:r>
          </w:p>
        </w:tc>
        <w:tc>
          <w:tcPr>
            <w:tcW w:w="1799" w:type="dxa"/>
            <w:vAlign w:val="center"/>
          </w:tcPr>
          <w:p w14:paraId="7973393D">
            <w:pPr>
              <w:widowControl/>
              <w:spacing w:line="360" w:lineRule="auto"/>
              <w:jc w:val="center"/>
              <w:rPr>
                <w:rFonts w:eastAsia="宋体"/>
                <w:kern w:val="2"/>
                <w:sz w:val="21"/>
                <w:lang w:eastAsia="zh-CN"/>
              </w:rPr>
            </w:pPr>
            <w:r>
              <w:rPr>
                <w:rFonts w:hint="eastAsia" w:eastAsia="宋体"/>
                <w:kern w:val="2"/>
                <w:sz w:val="21"/>
                <w:lang w:eastAsia="zh-CN"/>
              </w:rPr>
              <w:t>1.5%</w:t>
            </w:r>
          </w:p>
        </w:tc>
        <w:tc>
          <w:tcPr>
            <w:tcW w:w="1799" w:type="dxa"/>
            <w:vAlign w:val="center"/>
          </w:tcPr>
          <w:p w14:paraId="2F10BF09">
            <w:pPr>
              <w:widowControl/>
              <w:spacing w:line="360" w:lineRule="auto"/>
              <w:jc w:val="center"/>
              <w:rPr>
                <w:rFonts w:eastAsia="宋体"/>
                <w:kern w:val="2"/>
                <w:sz w:val="21"/>
                <w:lang w:eastAsia="zh-CN"/>
              </w:rPr>
            </w:pPr>
            <w:r>
              <w:rPr>
                <w:rFonts w:hint="eastAsia" w:eastAsia="宋体"/>
                <w:kern w:val="2"/>
                <w:sz w:val="21"/>
                <w:lang w:eastAsia="zh-CN"/>
              </w:rPr>
              <w:t>1.5%</w:t>
            </w:r>
          </w:p>
        </w:tc>
        <w:tc>
          <w:tcPr>
            <w:tcW w:w="1799" w:type="dxa"/>
            <w:vAlign w:val="center"/>
          </w:tcPr>
          <w:p w14:paraId="5C175C6A">
            <w:pPr>
              <w:widowControl/>
              <w:spacing w:line="360" w:lineRule="auto"/>
              <w:jc w:val="center"/>
              <w:rPr>
                <w:rFonts w:eastAsia="宋体"/>
                <w:kern w:val="2"/>
                <w:sz w:val="21"/>
                <w:lang w:eastAsia="zh-CN"/>
              </w:rPr>
            </w:pPr>
            <w:r>
              <w:rPr>
                <w:rFonts w:hint="eastAsia" w:eastAsia="宋体"/>
                <w:kern w:val="2"/>
                <w:sz w:val="21"/>
                <w:lang w:eastAsia="zh-CN"/>
              </w:rPr>
              <w:t>1.0%</w:t>
            </w:r>
          </w:p>
        </w:tc>
      </w:tr>
      <w:tr w14:paraId="059FC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3633F768">
            <w:pPr>
              <w:widowControl/>
              <w:spacing w:line="360" w:lineRule="auto"/>
              <w:jc w:val="center"/>
              <w:rPr>
                <w:rFonts w:eastAsia="宋体"/>
                <w:kern w:val="2"/>
                <w:sz w:val="21"/>
                <w:lang w:eastAsia="zh-CN"/>
              </w:rPr>
            </w:pPr>
            <w:r>
              <w:rPr>
                <w:rFonts w:hint="eastAsia" w:eastAsia="宋体"/>
                <w:kern w:val="2"/>
                <w:sz w:val="21"/>
                <w:lang w:eastAsia="zh-CN"/>
              </w:rPr>
              <w:t>100万元（含）-500万元</w:t>
            </w:r>
          </w:p>
        </w:tc>
        <w:tc>
          <w:tcPr>
            <w:tcW w:w="1799" w:type="dxa"/>
            <w:vAlign w:val="center"/>
          </w:tcPr>
          <w:p w14:paraId="114FAB0D">
            <w:pPr>
              <w:widowControl/>
              <w:spacing w:line="360" w:lineRule="auto"/>
              <w:jc w:val="center"/>
              <w:rPr>
                <w:rFonts w:eastAsia="宋体"/>
                <w:kern w:val="2"/>
                <w:sz w:val="21"/>
                <w:lang w:eastAsia="zh-CN"/>
              </w:rPr>
            </w:pPr>
            <w:r>
              <w:rPr>
                <w:rFonts w:hint="eastAsia" w:eastAsia="宋体"/>
                <w:kern w:val="2"/>
                <w:sz w:val="21"/>
                <w:lang w:eastAsia="zh-CN"/>
              </w:rPr>
              <w:t>1.1%</w:t>
            </w:r>
          </w:p>
        </w:tc>
        <w:tc>
          <w:tcPr>
            <w:tcW w:w="1799" w:type="dxa"/>
            <w:vAlign w:val="center"/>
          </w:tcPr>
          <w:p w14:paraId="0C48C4D1">
            <w:pPr>
              <w:widowControl/>
              <w:spacing w:line="360" w:lineRule="auto"/>
              <w:jc w:val="center"/>
              <w:rPr>
                <w:rFonts w:eastAsia="宋体"/>
                <w:kern w:val="2"/>
                <w:sz w:val="21"/>
                <w:lang w:eastAsia="zh-CN"/>
              </w:rPr>
            </w:pPr>
            <w:r>
              <w:rPr>
                <w:rFonts w:hint="eastAsia" w:eastAsia="宋体"/>
                <w:kern w:val="2"/>
                <w:sz w:val="21"/>
                <w:lang w:eastAsia="zh-CN"/>
              </w:rPr>
              <w:t>0.8%</w:t>
            </w:r>
          </w:p>
        </w:tc>
        <w:tc>
          <w:tcPr>
            <w:tcW w:w="1799" w:type="dxa"/>
            <w:vAlign w:val="center"/>
          </w:tcPr>
          <w:p w14:paraId="7AA00160">
            <w:pPr>
              <w:widowControl/>
              <w:spacing w:line="360" w:lineRule="auto"/>
              <w:jc w:val="center"/>
              <w:rPr>
                <w:rFonts w:eastAsia="宋体"/>
                <w:kern w:val="2"/>
                <w:sz w:val="21"/>
                <w:lang w:eastAsia="zh-CN"/>
              </w:rPr>
            </w:pPr>
            <w:r>
              <w:rPr>
                <w:rFonts w:hint="eastAsia" w:eastAsia="宋体"/>
                <w:kern w:val="2"/>
                <w:sz w:val="21"/>
                <w:lang w:eastAsia="zh-CN"/>
              </w:rPr>
              <w:t>0.7%</w:t>
            </w:r>
          </w:p>
        </w:tc>
      </w:tr>
      <w:tr w14:paraId="44C1E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1FAF2536">
            <w:pPr>
              <w:widowControl/>
              <w:spacing w:line="360" w:lineRule="auto"/>
              <w:jc w:val="center"/>
              <w:rPr>
                <w:rFonts w:eastAsia="宋体"/>
                <w:kern w:val="2"/>
                <w:sz w:val="21"/>
                <w:lang w:eastAsia="zh-CN"/>
              </w:rPr>
            </w:pPr>
            <w:r>
              <w:rPr>
                <w:rFonts w:hint="eastAsia" w:eastAsia="宋体"/>
                <w:kern w:val="2"/>
                <w:sz w:val="21"/>
                <w:lang w:eastAsia="zh-CN"/>
              </w:rPr>
              <w:t>500万元（含）-1000万元</w:t>
            </w:r>
          </w:p>
        </w:tc>
        <w:tc>
          <w:tcPr>
            <w:tcW w:w="1799" w:type="dxa"/>
            <w:vAlign w:val="center"/>
          </w:tcPr>
          <w:p w14:paraId="1AC8E71F">
            <w:pPr>
              <w:widowControl/>
              <w:spacing w:line="360" w:lineRule="auto"/>
              <w:jc w:val="center"/>
              <w:rPr>
                <w:rFonts w:eastAsia="宋体"/>
                <w:kern w:val="2"/>
                <w:sz w:val="21"/>
                <w:lang w:eastAsia="zh-CN"/>
              </w:rPr>
            </w:pPr>
            <w:r>
              <w:rPr>
                <w:rFonts w:hint="eastAsia" w:eastAsia="宋体"/>
                <w:kern w:val="2"/>
                <w:sz w:val="21"/>
                <w:lang w:eastAsia="zh-CN"/>
              </w:rPr>
              <w:t>0.8%</w:t>
            </w:r>
          </w:p>
        </w:tc>
        <w:tc>
          <w:tcPr>
            <w:tcW w:w="1799" w:type="dxa"/>
            <w:vAlign w:val="center"/>
          </w:tcPr>
          <w:p w14:paraId="626B9444">
            <w:pPr>
              <w:widowControl/>
              <w:spacing w:line="360" w:lineRule="auto"/>
              <w:jc w:val="center"/>
              <w:rPr>
                <w:rFonts w:eastAsia="宋体"/>
                <w:kern w:val="2"/>
                <w:sz w:val="21"/>
                <w:lang w:eastAsia="zh-CN"/>
              </w:rPr>
            </w:pPr>
            <w:r>
              <w:rPr>
                <w:rFonts w:hint="eastAsia" w:eastAsia="宋体"/>
                <w:kern w:val="2"/>
                <w:sz w:val="21"/>
                <w:lang w:eastAsia="zh-CN"/>
              </w:rPr>
              <w:t>0.45%</w:t>
            </w:r>
          </w:p>
        </w:tc>
        <w:tc>
          <w:tcPr>
            <w:tcW w:w="1799" w:type="dxa"/>
            <w:vAlign w:val="center"/>
          </w:tcPr>
          <w:p w14:paraId="7C1D60BD">
            <w:pPr>
              <w:widowControl/>
              <w:spacing w:line="360" w:lineRule="auto"/>
              <w:jc w:val="center"/>
              <w:rPr>
                <w:rFonts w:eastAsia="宋体"/>
                <w:kern w:val="2"/>
                <w:sz w:val="21"/>
                <w:lang w:eastAsia="zh-CN"/>
              </w:rPr>
            </w:pPr>
            <w:r>
              <w:rPr>
                <w:rFonts w:hint="eastAsia" w:eastAsia="宋体"/>
                <w:kern w:val="2"/>
                <w:sz w:val="21"/>
                <w:lang w:eastAsia="zh-CN"/>
              </w:rPr>
              <w:t>0.55%</w:t>
            </w:r>
          </w:p>
        </w:tc>
      </w:tr>
      <w:tr w14:paraId="359D9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3FEC455C">
            <w:pPr>
              <w:widowControl/>
              <w:spacing w:line="360" w:lineRule="auto"/>
              <w:jc w:val="center"/>
              <w:rPr>
                <w:rFonts w:eastAsia="宋体"/>
                <w:kern w:val="2"/>
                <w:sz w:val="21"/>
                <w:lang w:eastAsia="zh-CN"/>
              </w:rPr>
            </w:pPr>
            <w:r>
              <w:rPr>
                <w:rFonts w:hint="eastAsia" w:eastAsia="宋体"/>
                <w:kern w:val="2"/>
                <w:sz w:val="21"/>
                <w:lang w:eastAsia="zh-CN"/>
              </w:rPr>
              <w:t>1000万元（含）-5000万元</w:t>
            </w:r>
          </w:p>
        </w:tc>
        <w:tc>
          <w:tcPr>
            <w:tcW w:w="1799" w:type="dxa"/>
            <w:vAlign w:val="center"/>
          </w:tcPr>
          <w:p w14:paraId="11E45657">
            <w:pPr>
              <w:widowControl/>
              <w:spacing w:line="360" w:lineRule="auto"/>
              <w:jc w:val="center"/>
              <w:rPr>
                <w:rFonts w:eastAsia="宋体"/>
                <w:kern w:val="2"/>
                <w:sz w:val="21"/>
                <w:lang w:eastAsia="zh-CN"/>
              </w:rPr>
            </w:pPr>
            <w:r>
              <w:rPr>
                <w:rFonts w:hint="eastAsia" w:eastAsia="宋体"/>
                <w:kern w:val="2"/>
                <w:sz w:val="21"/>
                <w:lang w:eastAsia="zh-CN"/>
              </w:rPr>
              <w:t>0.5%</w:t>
            </w:r>
          </w:p>
        </w:tc>
        <w:tc>
          <w:tcPr>
            <w:tcW w:w="1799" w:type="dxa"/>
            <w:vAlign w:val="center"/>
          </w:tcPr>
          <w:p w14:paraId="65BE202D">
            <w:pPr>
              <w:widowControl/>
              <w:spacing w:line="360" w:lineRule="auto"/>
              <w:jc w:val="center"/>
              <w:rPr>
                <w:rFonts w:eastAsia="宋体"/>
                <w:kern w:val="2"/>
                <w:sz w:val="21"/>
                <w:lang w:eastAsia="zh-CN"/>
              </w:rPr>
            </w:pPr>
            <w:r>
              <w:rPr>
                <w:rFonts w:hint="eastAsia" w:eastAsia="宋体"/>
                <w:kern w:val="2"/>
                <w:sz w:val="21"/>
                <w:lang w:eastAsia="zh-CN"/>
              </w:rPr>
              <w:t>0.25%</w:t>
            </w:r>
          </w:p>
        </w:tc>
        <w:tc>
          <w:tcPr>
            <w:tcW w:w="1799" w:type="dxa"/>
            <w:vAlign w:val="center"/>
          </w:tcPr>
          <w:p w14:paraId="6AE42199">
            <w:pPr>
              <w:widowControl/>
              <w:spacing w:line="360" w:lineRule="auto"/>
              <w:jc w:val="center"/>
              <w:rPr>
                <w:rFonts w:eastAsia="宋体"/>
                <w:kern w:val="2"/>
                <w:sz w:val="21"/>
                <w:lang w:eastAsia="zh-CN"/>
              </w:rPr>
            </w:pPr>
            <w:r>
              <w:rPr>
                <w:rFonts w:hint="eastAsia" w:eastAsia="宋体"/>
                <w:kern w:val="2"/>
                <w:sz w:val="21"/>
                <w:lang w:eastAsia="zh-CN"/>
              </w:rPr>
              <w:t>0.35%</w:t>
            </w:r>
          </w:p>
        </w:tc>
      </w:tr>
      <w:tr w14:paraId="03EB4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23CC308D">
            <w:pPr>
              <w:widowControl/>
              <w:spacing w:line="360" w:lineRule="auto"/>
              <w:jc w:val="center"/>
              <w:rPr>
                <w:rFonts w:eastAsia="宋体"/>
                <w:kern w:val="2"/>
                <w:sz w:val="21"/>
                <w:lang w:eastAsia="zh-CN"/>
              </w:rPr>
            </w:pPr>
            <w:r>
              <w:rPr>
                <w:rFonts w:hint="eastAsia" w:eastAsia="宋体"/>
                <w:kern w:val="2"/>
                <w:sz w:val="21"/>
                <w:lang w:eastAsia="zh-CN"/>
              </w:rPr>
              <w:t>5000万元（含）-1亿元</w:t>
            </w:r>
          </w:p>
        </w:tc>
        <w:tc>
          <w:tcPr>
            <w:tcW w:w="1799" w:type="dxa"/>
            <w:vAlign w:val="center"/>
          </w:tcPr>
          <w:p w14:paraId="6C7D7DA8">
            <w:pPr>
              <w:widowControl/>
              <w:spacing w:line="360" w:lineRule="auto"/>
              <w:jc w:val="center"/>
              <w:rPr>
                <w:rFonts w:eastAsia="宋体"/>
                <w:kern w:val="2"/>
                <w:sz w:val="21"/>
                <w:lang w:eastAsia="zh-CN"/>
              </w:rPr>
            </w:pPr>
            <w:r>
              <w:rPr>
                <w:rFonts w:hint="eastAsia" w:eastAsia="宋体"/>
                <w:kern w:val="2"/>
                <w:sz w:val="21"/>
                <w:lang w:eastAsia="zh-CN"/>
              </w:rPr>
              <w:t>0.25%</w:t>
            </w:r>
          </w:p>
        </w:tc>
        <w:tc>
          <w:tcPr>
            <w:tcW w:w="1799" w:type="dxa"/>
            <w:vAlign w:val="center"/>
          </w:tcPr>
          <w:p w14:paraId="198F67D2">
            <w:pPr>
              <w:widowControl/>
              <w:spacing w:line="360" w:lineRule="auto"/>
              <w:jc w:val="center"/>
              <w:rPr>
                <w:rFonts w:eastAsia="宋体"/>
                <w:kern w:val="2"/>
                <w:sz w:val="21"/>
                <w:lang w:eastAsia="zh-CN"/>
              </w:rPr>
            </w:pPr>
            <w:r>
              <w:rPr>
                <w:rFonts w:hint="eastAsia" w:eastAsia="宋体"/>
                <w:kern w:val="2"/>
                <w:sz w:val="21"/>
                <w:lang w:eastAsia="zh-CN"/>
              </w:rPr>
              <w:t>0.1%</w:t>
            </w:r>
          </w:p>
        </w:tc>
        <w:tc>
          <w:tcPr>
            <w:tcW w:w="1799" w:type="dxa"/>
            <w:vAlign w:val="center"/>
          </w:tcPr>
          <w:p w14:paraId="1BF7BB4B">
            <w:pPr>
              <w:widowControl/>
              <w:spacing w:line="360" w:lineRule="auto"/>
              <w:jc w:val="center"/>
              <w:rPr>
                <w:rFonts w:eastAsia="宋体"/>
                <w:kern w:val="2"/>
                <w:sz w:val="21"/>
                <w:lang w:eastAsia="zh-CN"/>
              </w:rPr>
            </w:pPr>
            <w:r>
              <w:rPr>
                <w:rFonts w:hint="eastAsia" w:eastAsia="宋体"/>
                <w:kern w:val="2"/>
                <w:sz w:val="21"/>
                <w:lang w:eastAsia="zh-CN"/>
              </w:rPr>
              <w:t>0.2%</w:t>
            </w:r>
          </w:p>
        </w:tc>
      </w:tr>
      <w:tr w14:paraId="13876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23996380">
            <w:pPr>
              <w:widowControl/>
              <w:spacing w:line="360" w:lineRule="auto"/>
              <w:jc w:val="center"/>
              <w:rPr>
                <w:rFonts w:eastAsia="宋体"/>
                <w:kern w:val="2"/>
                <w:sz w:val="21"/>
                <w:lang w:eastAsia="zh-CN"/>
              </w:rPr>
            </w:pPr>
            <w:r>
              <w:rPr>
                <w:rFonts w:hint="eastAsia" w:eastAsia="宋体"/>
                <w:kern w:val="2"/>
                <w:sz w:val="21"/>
                <w:lang w:eastAsia="zh-CN"/>
              </w:rPr>
              <w:t>1亿元（含）-5亿元</w:t>
            </w:r>
          </w:p>
        </w:tc>
        <w:tc>
          <w:tcPr>
            <w:tcW w:w="1799" w:type="dxa"/>
            <w:vAlign w:val="center"/>
          </w:tcPr>
          <w:p w14:paraId="3454DBAA">
            <w:pPr>
              <w:widowControl/>
              <w:spacing w:line="360" w:lineRule="auto"/>
              <w:jc w:val="center"/>
              <w:rPr>
                <w:rFonts w:eastAsia="宋体"/>
                <w:kern w:val="2"/>
                <w:sz w:val="21"/>
                <w:lang w:eastAsia="zh-CN"/>
              </w:rPr>
            </w:pPr>
            <w:r>
              <w:rPr>
                <w:rFonts w:hint="eastAsia" w:eastAsia="宋体"/>
                <w:kern w:val="2"/>
                <w:sz w:val="21"/>
                <w:lang w:eastAsia="zh-CN"/>
              </w:rPr>
              <w:t>0.05%</w:t>
            </w:r>
          </w:p>
        </w:tc>
        <w:tc>
          <w:tcPr>
            <w:tcW w:w="1799" w:type="dxa"/>
            <w:vAlign w:val="center"/>
          </w:tcPr>
          <w:p w14:paraId="07487176">
            <w:pPr>
              <w:widowControl/>
              <w:spacing w:line="360" w:lineRule="auto"/>
              <w:jc w:val="center"/>
              <w:rPr>
                <w:rFonts w:eastAsia="宋体"/>
                <w:kern w:val="2"/>
                <w:sz w:val="21"/>
                <w:lang w:eastAsia="zh-CN"/>
              </w:rPr>
            </w:pPr>
            <w:r>
              <w:rPr>
                <w:rFonts w:hint="eastAsia" w:eastAsia="宋体"/>
                <w:kern w:val="2"/>
                <w:sz w:val="21"/>
                <w:lang w:eastAsia="zh-CN"/>
              </w:rPr>
              <w:t>0.05%</w:t>
            </w:r>
          </w:p>
        </w:tc>
        <w:tc>
          <w:tcPr>
            <w:tcW w:w="1799" w:type="dxa"/>
            <w:vAlign w:val="center"/>
          </w:tcPr>
          <w:p w14:paraId="5FF7C6FE">
            <w:pPr>
              <w:widowControl/>
              <w:spacing w:line="360" w:lineRule="auto"/>
              <w:jc w:val="center"/>
              <w:rPr>
                <w:rFonts w:eastAsia="宋体"/>
                <w:kern w:val="2"/>
                <w:sz w:val="21"/>
                <w:lang w:eastAsia="zh-CN"/>
              </w:rPr>
            </w:pPr>
            <w:r>
              <w:rPr>
                <w:rFonts w:hint="eastAsia" w:eastAsia="宋体"/>
                <w:kern w:val="2"/>
                <w:sz w:val="21"/>
                <w:lang w:eastAsia="zh-CN"/>
              </w:rPr>
              <w:t>0.05%</w:t>
            </w:r>
          </w:p>
        </w:tc>
      </w:tr>
      <w:tr w14:paraId="6D2A9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76A484B1">
            <w:pPr>
              <w:widowControl/>
              <w:spacing w:line="360" w:lineRule="auto"/>
              <w:jc w:val="center"/>
              <w:rPr>
                <w:rFonts w:eastAsia="宋体"/>
                <w:kern w:val="2"/>
                <w:sz w:val="21"/>
                <w:lang w:eastAsia="zh-CN"/>
              </w:rPr>
            </w:pPr>
            <w:r>
              <w:rPr>
                <w:rFonts w:hint="eastAsia" w:eastAsia="宋体"/>
                <w:kern w:val="2"/>
                <w:sz w:val="21"/>
                <w:lang w:eastAsia="zh-CN"/>
              </w:rPr>
              <w:t>5亿元（含）-10亿元</w:t>
            </w:r>
          </w:p>
        </w:tc>
        <w:tc>
          <w:tcPr>
            <w:tcW w:w="1799" w:type="dxa"/>
            <w:vAlign w:val="center"/>
          </w:tcPr>
          <w:p w14:paraId="326BB810">
            <w:pPr>
              <w:widowControl/>
              <w:spacing w:line="360" w:lineRule="auto"/>
              <w:jc w:val="center"/>
              <w:rPr>
                <w:rFonts w:eastAsia="宋体"/>
                <w:kern w:val="2"/>
                <w:sz w:val="21"/>
                <w:lang w:eastAsia="zh-CN"/>
              </w:rPr>
            </w:pPr>
            <w:r>
              <w:rPr>
                <w:rFonts w:hint="eastAsia" w:eastAsia="宋体"/>
                <w:kern w:val="2"/>
                <w:sz w:val="21"/>
                <w:lang w:eastAsia="zh-CN"/>
              </w:rPr>
              <w:t>0.035%</w:t>
            </w:r>
          </w:p>
        </w:tc>
        <w:tc>
          <w:tcPr>
            <w:tcW w:w="1799" w:type="dxa"/>
            <w:vAlign w:val="center"/>
          </w:tcPr>
          <w:p w14:paraId="7EA89230">
            <w:pPr>
              <w:widowControl/>
              <w:spacing w:line="360" w:lineRule="auto"/>
              <w:jc w:val="center"/>
              <w:rPr>
                <w:rFonts w:eastAsia="宋体"/>
                <w:kern w:val="2"/>
                <w:sz w:val="21"/>
                <w:lang w:eastAsia="zh-CN"/>
              </w:rPr>
            </w:pPr>
            <w:r>
              <w:rPr>
                <w:rFonts w:hint="eastAsia" w:eastAsia="宋体"/>
                <w:kern w:val="2"/>
                <w:sz w:val="21"/>
                <w:lang w:eastAsia="zh-CN"/>
              </w:rPr>
              <w:t>0.035%</w:t>
            </w:r>
          </w:p>
        </w:tc>
        <w:tc>
          <w:tcPr>
            <w:tcW w:w="1799" w:type="dxa"/>
            <w:vAlign w:val="center"/>
          </w:tcPr>
          <w:p w14:paraId="4FA35894">
            <w:pPr>
              <w:widowControl/>
              <w:spacing w:line="360" w:lineRule="auto"/>
              <w:jc w:val="center"/>
              <w:rPr>
                <w:rFonts w:eastAsia="宋体"/>
                <w:kern w:val="2"/>
                <w:sz w:val="21"/>
                <w:lang w:eastAsia="zh-CN"/>
              </w:rPr>
            </w:pPr>
            <w:r>
              <w:rPr>
                <w:rFonts w:hint="eastAsia" w:eastAsia="宋体"/>
                <w:kern w:val="2"/>
                <w:sz w:val="21"/>
                <w:lang w:eastAsia="zh-CN"/>
              </w:rPr>
              <w:t>0.035%</w:t>
            </w:r>
          </w:p>
        </w:tc>
      </w:tr>
      <w:tr w14:paraId="79F77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25" w:type="dxa"/>
            <w:vAlign w:val="center"/>
          </w:tcPr>
          <w:p w14:paraId="0B00A493">
            <w:pPr>
              <w:widowControl/>
              <w:spacing w:line="360" w:lineRule="auto"/>
              <w:jc w:val="center"/>
              <w:rPr>
                <w:rFonts w:eastAsia="宋体"/>
                <w:kern w:val="2"/>
                <w:sz w:val="21"/>
                <w:lang w:eastAsia="zh-CN"/>
              </w:rPr>
            </w:pPr>
            <w:r>
              <w:rPr>
                <w:rFonts w:hint="eastAsia" w:eastAsia="宋体"/>
                <w:kern w:val="2"/>
                <w:sz w:val="21"/>
                <w:lang w:eastAsia="zh-CN"/>
              </w:rPr>
              <w:t>10亿元（含）-50亿元</w:t>
            </w:r>
          </w:p>
        </w:tc>
        <w:tc>
          <w:tcPr>
            <w:tcW w:w="1799" w:type="dxa"/>
            <w:vAlign w:val="center"/>
          </w:tcPr>
          <w:p w14:paraId="42322E7B">
            <w:pPr>
              <w:widowControl/>
              <w:spacing w:line="360" w:lineRule="auto"/>
              <w:jc w:val="center"/>
              <w:rPr>
                <w:rFonts w:eastAsia="宋体"/>
                <w:kern w:val="2"/>
                <w:sz w:val="21"/>
                <w:lang w:eastAsia="zh-CN"/>
              </w:rPr>
            </w:pPr>
            <w:r>
              <w:rPr>
                <w:rFonts w:hint="eastAsia" w:eastAsia="宋体"/>
                <w:kern w:val="2"/>
                <w:sz w:val="21"/>
                <w:lang w:eastAsia="zh-CN"/>
              </w:rPr>
              <w:t>0.008%</w:t>
            </w:r>
          </w:p>
        </w:tc>
        <w:tc>
          <w:tcPr>
            <w:tcW w:w="1799" w:type="dxa"/>
            <w:vAlign w:val="center"/>
          </w:tcPr>
          <w:p w14:paraId="57B03986">
            <w:pPr>
              <w:widowControl/>
              <w:spacing w:line="360" w:lineRule="auto"/>
              <w:jc w:val="center"/>
              <w:rPr>
                <w:rFonts w:eastAsia="宋体"/>
                <w:kern w:val="2"/>
                <w:sz w:val="21"/>
                <w:lang w:eastAsia="zh-CN"/>
              </w:rPr>
            </w:pPr>
            <w:r>
              <w:rPr>
                <w:rFonts w:hint="eastAsia" w:eastAsia="宋体"/>
                <w:kern w:val="2"/>
                <w:sz w:val="21"/>
                <w:lang w:eastAsia="zh-CN"/>
              </w:rPr>
              <w:t>0.008%</w:t>
            </w:r>
          </w:p>
        </w:tc>
        <w:tc>
          <w:tcPr>
            <w:tcW w:w="1799" w:type="dxa"/>
            <w:vAlign w:val="center"/>
          </w:tcPr>
          <w:p w14:paraId="2F3C7D40">
            <w:pPr>
              <w:widowControl/>
              <w:spacing w:line="360" w:lineRule="auto"/>
              <w:jc w:val="center"/>
              <w:rPr>
                <w:rFonts w:eastAsia="宋体"/>
                <w:kern w:val="2"/>
                <w:sz w:val="21"/>
                <w:lang w:eastAsia="zh-CN"/>
              </w:rPr>
            </w:pPr>
            <w:r>
              <w:rPr>
                <w:rFonts w:hint="eastAsia" w:eastAsia="宋体"/>
                <w:kern w:val="2"/>
                <w:sz w:val="21"/>
                <w:lang w:eastAsia="zh-CN"/>
              </w:rPr>
              <w:t>0.008%</w:t>
            </w:r>
          </w:p>
        </w:tc>
      </w:tr>
      <w:tr w14:paraId="4B3AE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50449952">
            <w:pPr>
              <w:widowControl/>
              <w:spacing w:line="360" w:lineRule="auto"/>
              <w:jc w:val="center"/>
              <w:rPr>
                <w:rFonts w:eastAsia="宋体"/>
                <w:kern w:val="2"/>
                <w:sz w:val="21"/>
                <w:lang w:eastAsia="zh-CN"/>
              </w:rPr>
            </w:pPr>
            <w:r>
              <w:rPr>
                <w:rFonts w:hint="eastAsia" w:eastAsia="宋体"/>
                <w:kern w:val="2"/>
                <w:sz w:val="21"/>
                <w:lang w:eastAsia="zh-CN"/>
              </w:rPr>
              <w:t>50亿元（含）-100亿元</w:t>
            </w:r>
          </w:p>
        </w:tc>
        <w:tc>
          <w:tcPr>
            <w:tcW w:w="1799" w:type="dxa"/>
            <w:vAlign w:val="center"/>
          </w:tcPr>
          <w:p w14:paraId="3462720D">
            <w:pPr>
              <w:widowControl/>
              <w:spacing w:line="360" w:lineRule="auto"/>
              <w:jc w:val="center"/>
              <w:rPr>
                <w:rFonts w:eastAsia="宋体"/>
                <w:kern w:val="2"/>
                <w:sz w:val="21"/>
                <w:lang w:eastAsia="zh-CN"/>
              </w:rPr>
            </w:pPr>
            <w:r>
              <w:rPr>
                <w:rFonts w:hint="eastAsia" w:eastAsia="宋体"/>
                <w:kern w:val="2"/>
                <w:sz w:val="21"/>
                <w:lang w:eastAsia="zh-CN"/>
              </w:rPr>
              <w:t>0.006%</w:t>
            </w:r>
          </w:p>
        </w:tc>
        <w:tc>
          <w:tcPr>
            <w:tcW w:w="1799" w:type="dxa"/>
            <w:vAlign w:val="center"/>
          </w:tcPr>
          <w:p w14:paraId="040DA6C3">
            <w:pPr>
              <w:widowControl/>
              <w:spacing w:line="360" w:lineRule="auto"/>
              <w:jc w:val="center"/>
              <w:rPr>
                <w:rFonts w:eastAsia="宋体"/>
                <w:kern w:val="2"/>
                <w:sz w:val="21"/>
                <w:lang w:eastAsia="zh-CN"/>
              </w:rPr>
            </w:pPr>
            <w:r>
              <w:rPr>
                <w:rFonts w:hint="eastAsia" w:eastAsia="宋体"/>
                <w:kern w:val="2"/>
                <w:sz w:val="21"/>
                <w:lang w:eastAsia="zh-CN"/>
              </w:rPr>
              <w:t>0.006%</w:t>
            </w:r>
          </w:p>
        </w:tc>
        <w:tc>
          <w:tcPr>
            <w:tcW w:w="1799" w:type="dxa"/>
            <w:vAlign w:val="center"/>
          </w:tcPr>
          <w:p w14:paraId="1753D7E6">
            <w:pPr>
              <w:widowControl/>
              <w:spacing w:line="360" w:lineRule="auto"/>
              <w:jc w:val="center"/>
              <w:rPr>
                <w:rFonts w:eastAsia="宋体"/>
                <w:kern w:val="2"/>
                <w:sz w:val="21"/>
                <w:lang w:eastAsia="zh-CN"/>
              </w:rPr>
            </w:pPr>
            <w:r>
              <w:rPr>
                <w:rFonts w:hint="eastAsia" w:eastAsia="宋体"/>
                <w:kern w:val="2"/>
                <w:sz w:val="21"/>
                <w:lang w:eastAsia="zh-CN"/>
              </w:rPr>
              <w:t>0.006%</w:t>
            </w:r>
          </w:p>
        </w:tc>
      </w:tr>
      <w:tr w14:paraId="52F6A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4127C960">
            <w:pPr>
              <w:widowControl/>
              <w:spacing w:line="360" w:lineRule="auto"/>
              <w:jc w:val="center"/>
              <w:rPr>
                <w:rFonts w:eastAsia="宋体"/>
                <w:kern w:val="2"/>
                <w:sz w:val="21"/>
                <w:lang w:eastAsia="zh-CN"/>
              </w:rPr>
            </w:pPr>
            <w:r>
              <w:rPr>
                <w:rFonts w:hint="eastAsia" w:eastAsia="宋体"/>
                <w:kern w:val="2"/>
                <w:sz w:val="21"/>
                <w:lang w:eastAsia="zh-CN"/>
              </w:rPr>
              <w:t>100亿元（含）以上</w:t>
            </w:r>
          </w:p>
        </w:tc>
        <w:tc>
          <w:tcPr>
            <w:tcW w:w="1799" w:type="dxa"/>
            <w:vAlign w:val="center"/>
          </w:tcPr>
          <w:p w14:paraId="411A03B3">
            <w:pPr>
              <w:widowControl/>
              <w:spacing w:line="360" w:lineRule="auto"/>
              <w:jc w:val="center"/>
              <w:rPr>
                <w:rFonts w:eastAsia="宋体"/>
                <w:kern w:val="2"/>
                <w:sz w:val="21"/>
                <w:lang w:eastAsia="zh-CN"/>
              </w:rPr>
            </w:pPr>
            <w:r>
              <w:rPr>
                <w:rFonts w:hint="eastAsia" w:eastAsia="宋体"/>
                <w:kern w:val="2"/>
                <w:sz w:val="21"/>
                <w:lang w:eastAsia="zh-CN"/>
              </w:rPr>
              <w:t>0.004%</w:t>
            </w:r>
          </w:p>
        </w:tc>
        <w:tc>
          <w:tcPr>
            <w:tcW w:w="1799" w:type="dxa"/>
            <w:vAlign w:val="center"/>
          </w:tcPr>
          <w:p w14:paraId="125CE4CE">
            <w:pPr>
              <w:widowControl/>
              <w:spacing w:line="360" w:lineRule="auto"/>
              <w:jc w:val="center"/>
              <w:rPr>
                <w:rFonts w:eastAsia="宋体"/>
                <w:kern w:val="2"/>
                <w:sz w:val="21"/>
                <w:lang w:eastAsia="zh-CN"/>
              </w:rPr>
            </w:pPr>
            <w:r>
              <w:rPr>
                <w:rFonts w:hint="eastAsia" w:eastAsia="宋体"/>
                <w:kern w:val="2"/>
                <w:sz w:val="21"/>
                <w:lang w:eastAsia="zh-CN"/>
              </w:rPr>
              <w:t>0.004%</w:t>
            </w:r>
          </w:p>
        </w:tc>
        <w:tc>
          <w:tcPr>
            <w:tcW w:w="1799" w:type="dxa"/>
            <w:vAlign w:val="center"/>
          </w:tcPr>
          <w:p w14:paraId="4113FA80">
            <w:pPr>
              <w:widowControl/>
              <w:spacing w:line="360" w:lineRule="auto"/>
              <w:jc w:val="center"/>
              <w:rPr>
                <w:rFonts w:eastAsia="宋体"/>
                <w:kern w:val="2"/>
                <w:sz w:val="21"/>
                <w:lang w:eastAsia="zh-CN"/>
              </w:rPr>
            </w:pPr>
            <w:r>
              <w:rPr>
                <w:rFonts w:hint="eastAsia" w:eastAsia="宋体"/>
                <w:kern w:val="2"/>
                <w:sz w:val="21"/>
                <w:lang w:eastAsia="zh-CN"/>
              </w:rPr>
              <w:t>0.004%</w:t>
            </w:r>
          </w:p>
        </w:tc>
      </w:tr>
    </w:tbl>
    <w:p w14:paraId="13B628F6">
      <w:pPr>
        <w:widowControl w:val="0"/>
        <w:ind w:firstLine="420" w:firstLineChars="200"/>
        <w:jc w:val="both"/>
        <w:rPr>
          <w:rFonts w:eastAsia="宋体"/>
          <w:kern w:val="2"/>
          <w:sz w:val="21"/>
          <w:lang w:eastAsia="zh-CN"/>
        </w:rPr>
      </w:pPr>
      <w:r>
        <w:rPr>
          <w:rFonts w:hint="eastAsia" w:eastAsia="宋体"/>
          <w:kern w:val="2"/>
          <w:sz w:val="21"/>
          <w:lang w:eastAsia="zh-CN"/>
        </w:rPr>
        <w:t xml:space="preserve">备注：1.每宗交易代理服务费不低于 </w:t>
      </w:r>
      <w:r>
        <w:rPr>
          <w:rFonts w:eastAsia="宋体"/>
          <w:kern w:val="2"/>
          <w:sz w:val="21"/>
          <w:lang w:eastAsia="zh-CN"/>
        </w:rPr>
        <w:t>5</w:t>
      </w:r>
      <w:r>
        <w:rPr>
          <w:rFonts w:hint="eastAsia" w:eastAsia="宋体"/>
          <w:kern w:val="2"/>
          <w:sz w:val="21"/>
          <w:lang w:eastAsia="zh-CN"/>
        </w:rPr>
        <w:t>000 元；</w:t>
      </w:r>
    </w:p>
    <w:p w14:paraId="51375729">
      <w:pPr>
        <w:widowControl w:val="0"/>
        <w:ind w:firstLine="420" w:firstLineChars="200"/>
        <w:jc w:val="both"/>
        <w:rPr>
          <w:rFonts w:eastAsia="宋体"/>
          <w:kern w:val="2"/>
          <w:sz w:val="21"/>
          <w:lang w:eastAsia="zh-CN"/>
        </w:rPr>
      </w:pPr>
      <w:r>
        <w:rPr>
          <w:rFonts w:hint="eastAsia" w:eastAsia="宋体"/>
          <w:kern w:val="2"/>
          <w:sz w:val="21"/>
          <w:lang w:eastAsia="zh-CN"/>
        </w:rPr>
        <w:t>2.对于报总价的采购类项目，中标（成交）价为中标（成交）金额；对于报单价、折扣或费率的采购类项目，中标（成交）价为预算上限金额或经委托方与代理方确定的支付上限金额；</w:t>
      </w:r>
    </w:p>
    <w:p w14:paraId="5AE9DAA0">
      <w:pPr>
        <w:widowControl w:val="0"/>
        <w:ind w:firstLine="420" w:firstLineChars="200"/>
        <w:jc w:val="both"/>
        <w:rPr>
          <w:rFonts w:eastAsia="宋体"/>
          <w:kern w:val="2"/>
          <w:sz w:val="21"/>
          <w:lang w:eastAsia="zh-CN"/>
        </w:rPr>
      </w:pPr>
      <w:r>
        <w:rPr>
          <w:rFonts w:hint="eastAsia" w:eastAsia="宋体"/>
          <w:kern w:val="2"/>
          <w:sz w:val="21"/>
          <w:lang w:eastAsia="zh-CN"/>
        </w:rPr>
        <w:t>如某货物采购项目，中标（成交）金额为600万元，总共交纳的代理服务费的具体计算过程如下：</w:t>
      </w:r>
    </w:p>
    <w:p w14:paraId="40A74985">
      <w:pPr>
        <w:widowControl w:val="0"/>
        <w:ind w:firstLine="420" w:firstLineChars="200"/>
        <w:jc w:val="both"/>
        <w:rPr>
          <w:rFonts w:eastAsia="宋体"/>
          <w:kern w:val="2"/>
          <w:sz w:val="21"/>
          <w:lang w:eastAsia="zh-CN"/>
        </w:rPr>
      </w:pPr>
      <w:r>
        <w:rPr>
          <w:rFonts w:hint="eastAsia" w:eastAsia="宋体"/>
          <w:kern w:val="2"/>
          <w:sz w:val="21"/>
          <w:lang w:eastAsia="zh-CN"/>
        </w:rPr>
        <w:t>标准代理服务费＝（100万以下部分的代理服务费）+（100万～500万部分的代理服务费）+（500万～600万部分的代理服务费）＝100万元×1.5%+（500-100）万元×1.1%+（600-500）万元×0.8%=1.5万元+4.4万元+0.8万元＝6.7万元</w:t>
      </w:r>
    </w:p>
    <w:p w14:paraId="4C9AE3CE">
      <w:pPr>
        <w:widowControl w:val="0"/>
        <w:ind w:firstLine="420" w:firstLineChars="200"/>
        <w:jc w:val="both"/>
        <w:rPr>
          <w:rFonts w:hint="eastAsia" w:ascii="宋体" w:hAnsi="宋体" w:eastAsia="宋体" w:cs="宋体"/>
          <w:bCs/>
          <w:color w:val="FF0000"/>
          <w:kern w:val="2"/>
          <w:sz w:val="21"/>
          <w:szCs w:val="21"/>
          <w:lang w:eastAsia="zh-CN"/>
        </w:rPr>
      </w:pPr>
      <w:r>
        <w:rPr>
          <w:rFonts w:hint="eastAsia" w:eastAsia="宋体"/>
          <w:kern w:val="2"/>
          <w:sz w:val="21"/>
          <w:lang w:eastAsia="zh-CN"/>
        </w:rPr>
        <w:t>（3）中标（成交）供应商中标（成交）后，必须按规定采用银行对公转账方式向深圳交易集团有限公司直接交纳代理服务费，具体交纳信息以</w:t>
      </w:r>
      <w:bookmarkStart w:id="33" w:name="OLE_LINK1"/>
      <w:r>
        <w:rPr>
          <w:rFonts w:hint="eastAsia" w:eastAsia="宋体"/>
          <w:kern w:val="2"/>
          <w:sz w:val="21"/>
          <w:lang w:eastAsia="zh-CN"/>
        </w:rPr>
        <w:t>《付款（缴款）通知书》</w:t>
      </w:r>
      <w:bookmarkEnd w:id="33"/>
      <w:r>
        <w:rPr>
          <w:rFonts w:hint="eastAsia" w:eastAsia="宋体"/>
          <w:kern w:val="2"/>
          <w:sz w:val="21"/>
          <w:lang w:eastAsia="zh-CN"/>
        </w:rPr>
        <w:t>内容为准。</w:t>
      </w:r>
    </w:p>
    <w:p w14:paraId="6BC71120">
      <w:pPr>
        <w:widowControl w:val="0"/>
        <w:spacing w:line="360" w:lineRule="auto"/>
        <w:jc w:val="both"/>
        <w:rPr>
          <w:rFonts w:eastAsia="宋体"/>
          <w:b/>
          <w:bCs/>
          <w:kern w:val="2"/>
          <w:lang w:eastAsia="zh-CN"/>
        </w:rPr>
      </w:pPr>
      <w:r>
        <w:rPr>
          <w:rFonts w:hint="eastAsia" w:eastAsia="宋体"/>
          <w:b/>
          <w:bCs/>
          <w:kern w:val="2"/>
          <w:lang w:eastAsia="zh-CN"/>
        </w:rPr>
        <w:br w:type="page"/>
      </w:r>
    </w:p>
    <w:p w14:paraId="45C556E3">
      <w:pPr>
        <w:widowControl w:val="0"/>
        <w:adjustRightInd w:val="0"/>
        <w:spacing w:before="260" w:after="260" w:line="240" w:lineRule="auto"/>
        <w:jc w:val="center"/>
        <w:textAlignment w:val="baseline"/>
        <w:outlineLvl w:val="1"/>
        <w:rPr>
          <w:rFonts w:hint="eastAsia" w:ascii="宋体" w:hAnsi="宋体" w:eastAsia="宋体"/>
          <w:sz w:val="28"/>
          <w:szCs w:val="28"/>
          <w:lang w:eastAsia="zh-CN"/>
        </w:rPr>
      </w:pPr>
      <w:bookmarkStart w:id="34" w:name="_Toc128884461"/>
      <w:r>
        <w:rPr>
          <w:rFonts w:hint="eastAsia" w:ascii="宋体" w:hAnsi="宋体" w:eastAsia="宋体"/>
          <w:sz w:val="28"/>
          <w:szCs w:val="28"/>
          <w:lang w:eastAsia="zh-CN"/>
        </w:rPr>
        <w:t>第三章 用户需求书</w:t>
      </w:r>
    </w:p>
    <w:p w14:paraId="441D7CCA">
      <w:pPr>
        <w:widowControl w:val="0"/>
        <w:adjustRightInd w:val="0"/>
        <w:spacing w:before="120" w:beforeLines="50" w:after="120" w:afterLines="50" w:line="240" w:lineRule="auto"/>
        <w:jc w:val="center"/>
        <w:textAlignment w:val="baseline"/>
        <w:outlineLvl w:val="1"/>
        <w:rPr>
          <w:rFonts w:hint="eastAsia" w:ascii="宋体" w:hAnsi="宋体" w:eastAsia="宋体"/>
          <w:lang w:eastAsia="zh-CN"/>
        </w:rPr>
      </w:pPr>
      <w:r>
        <w:rPr>
          <w:rFonts w:hint="eastAsia" w:ascii="宋体" w:hAnsi="宋体" w:eastAsia="宋体"/>
          <w:lang w:eastAsia="zh-CN"/>
        </w:rPr>
        <w:t>一、项目基本信息</w:t>
      </w:r>
    </w:p>
    <w:tbl>
      <w:tblPr>
        <w:tblStyle w:val="1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0"/>
        <w:gridCol w:w="3224"/>
        <w:gridCol w:w="4735"/>
      </w:tblGrid>
      <w:tr w14:paraId="5FCC7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334" w:type="pct"/>
            <w:vAlign w:val="center"/>
          </w:tcPr>
          <w:p w14:paraId="56C1C52E">
            <w:pPr>
              <w:widowControl w:val="0"/>
              <w:jc w:val="center"/>
              <w:rPr>
                <w:rFonts w:eastAsia="宋体"/>
                <w:bCs/>
                <w:kern w:val="2"/>
                <w:sz w:val="21"/>
                <w:szCs w:val="21"/>
                <w:lang w:eastAsia="zh-CN"/>
              </w:rPr>
            </w:pPr>
            <w:r>
              <w:rPr>
                <w:rFonts w:hint="eastAsia" w:eastAsia="宋体"/>
                <w:bCs/>
                <w:kern w:val="2"/>
                <w:sz w:val="21"/>
                <w:szCs w:val="21"/>
                <w:lang w:eastAsia="zh-CN"/>
              </w:rPr>
              <w:t>序号</w:t>
            </w:r>
          </w:p>
        </w:tc>
        <w:tc>
          <w:tcPr>
            <w:tcW w:w="1890" w:type="pct"/>
            <w:vAlign w:val="center"/>
          </w:tcPr>
          <w:p w14:paraId="359C46B5">
            <w:pPr>
              <w:widowControl w:val="0"/>
              <w:jc w:val="center"/>
              <w:rPr>
                <w:rFonts w:eastAsia="宋体"/>
                <w:bCs/>
                <w:kern w:val="2"/>
                <w:sz w:val="21"/>
                <w:szCs w:val="21"/>
                <w:lang w:eastAsia="zh-CN"/>
              </w:rPr>
            </w:pPr>
            <w:r>
              <w:rPr>
                <w:rFonts w:hint="eastAsia" w:eastAsia="宋体"/>
                <w:bCs/>
                <w:kern w:val="2"/>
                <w:sz w:val="21"/>
                <w:szCs w:val="21"/>
                <w:lang w:eastAsia="zh-CN"/>
              </w:rPr>
              <w:t>采购项目名称</w:t>
            </w:r>
          </w:p>
        </w:tc>
        <w:tc>
          <w:tcPr>
            <w:tcW w:w="2775" w:type="pct"/>
            <w:vAlign w:val="center"/>
          </w:tcPr>
          <w:p w14:paraId="2559A574">
            <w:pPr>
              <w:widowControl w:val="0"/>
              <w:jc w:val="center"/>
              <w:rPr>
                <w:rFonts w:eastAsia="宋体"/>
                <w:b/>
                <w:bCs/>
                <w:color w:val="FF0000"/>
                <w:kern w:val="2"/>
                <w:sz w:val="21"/>
                <w:szCs w:val="21"/>
                <w:lang w:eastAsia="zh-CN"/>
              </w:rPr>
            </w:pPr>
            <w:r>
              <w:rPr>
                <w:rFonts w:hint="eastAsia" w:eastAsia="宋体"/>
                <w:b/>
                <w:bCs/>
                <w:color w:val="FF0000"/>
                <w:kern w:val="2"/>
                <w:sz w:val="21"/>
                <w:szCs w:val="21"/>
                <w:lang w:eastAsia="zh-CN"/>
              </w:rPr>
              <w:t>预算金额（元）</w:t>
            </w:r>
          </w:p>
        </w:tc>
      </w:tr>
      <w:tr w14:paraId="7211E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334" w:type="pct"/>
            <w:vAlign w:val="center"/>
          </w:tcPr>
          <w:p w14:paraId="6C0AA0D4">
            <w:pPr>
              <w:widowControl w:val="0"/>
              <w:jc w:val="center"/>
              <w:rPr>
                <w:rFonts w:eastAsia="宋体"/>
                <w:bCs/>
                <w:color w:val="FF0000"/>
                <w:kern w:val="2"/>
                <w:sz w:val="21"/>
                <w:szCs w:val="21"/>
                <w:lang w:eastAsia="zh-CN"/>
              </w:rPr>
            </w:pPr>
            <w:r>
              <w:rPr>
                <w:rFonts w:hint="eastAsia" w:eastAsia="宋体"/>
                <w:bCs/>
                <w:color w:val="FF0000"/>
                <w:kern w:val="2"/>
                <w:sz w:val="21"/>
                <w:szCs w:val="21"/>
                <w:lang w:eastAsia="zh-CN"/>
              </w:rPr>
              <w:t>1</w:t>
            </w:r>
          </w:p>
        </w:tc>
        <w:tc>
          <w:tcPr>
            <w:tcW w:w="1890" w:type="pct"/>
            <w:vAlign w:val="center"/>
          </w:tcPr>
          <w:p w14:paraId="2A2E25D9">
            <w:pPr>
              <w:widowControl w:val="0"/>
              <w:jc w:val="center"/>
              <w:rPr>
                <w:rFonts w:eastAsia="宋体"/>
                <w:b/>
                <w:bCs/>
                <w:color w:val="FF0000"/>
                <w:kern w:val="2"/>
                <w:sz w:val="21"/>
                <w:szCs w:val="21"/>
                <w:lang w:eastAsia="zh-CN"/>
              </w:rPr>
            </w:pPr>
            <w:r>
              <w:rPr>
                <w:rFonts w:hint="eastAsia" w:ascii="宋体" w:hAnsi="宋体" w:eastAsia="宋体" w:cs="宋体"/>
                <w:kern w:val="2"/>
                <w:sz w:val="21"/>
                <w:szCs w:val="21"/>
                <w:lang w:eastAsia="zh-CN"/>
              </w:rPr>
              <w:t>深圳市医疗保障局医保基金预警监测和监管协同处置平台项目、医保数据融合应用项目第三方测评</w:t>
            </w:r>
          </w:p>
        </w:tc>
        <w:tc>
          <w:tcPr>
            <w:tcW w:w="2775" w:type="pct"/>
            <w:vAlign w:val="center"/>
          </w:tcPr>
          <w:p w14:paraId="41995952">
            <w:pPr>
              <w:widowControl w:val="0"/>
              <w:jc w:val="center"/>
              <w:rPr>
                <w:rFonts w:eastAsia="宋体"/>
                <w:bCs/>
                <w:color w:val="FF0000"/>
                <w:kern w:val="2"/>
                <w:sz w:val="21"/>
                <w:szCs w:val="21"/>
                <w:lang w:eastAsia="zh-CN"/>
              </w:rPr>
            </w:pPr>
            <w:r>
              <w:rPr>
                <w:rFonts w:hint="eastAsia" w:ascii="宋体" w:hAnsi="宋体" w:eastAsia="宋体" w:cs="宋体"/>
                <w:b/>
                <w:bCs/>
                <w:kern w:val="2"/>
                <w:sz w:val="21"/>
                <w:szCs w:val="21"/>
                <w:u w:val="single"/>
                <w:lang w:eastAsia="zh-CN"/>
              </w:rPr>
              <w:t>720,400.00</w:t>
            </w:r>
          </w:p>
        </w:tc>
      </w:tr>
    </w:tbl>
    <w:p w14:paraId="7DA56A3D">
      <w:pPr>
        <w:widowControl w:val="0"/>
        <w:adjustRightInd w:val="0"/>
        <w:spacing w:before="120" w:beforeLines="50" w:after="120" w:afterLines="50" w:line="240" w:lineRule="auto"/>
        <w:jc w:val="center"/>
        <w:textAlignment w:val="baseline"/>
        <w:outlineLvl w:val="1"/>
        <w:rPr>
          <w:rFonts w:hint="eastAsia" w:ascii="宋体" w:hAnsi="宋体" w:eastAsia="宋体"/>
          <w:lang w:eastAsia="zh-CN"/>
        </w:rPr>
      </w:pPr>
      <w:r>
        <w:rPr>
          <w:rFonts w:hint="eastAsia" w:ascii="宋体" w:hAnsi="宋体" w:eastAsia="宋体"/>
          <w:lang w:eastAsia="zh-CN"/>
        </w:rPr>
        <w:t>二、项目概况</w:t>
      </w:r>
    </w:p>
    <w:p w14:paraId="7C21A3F8">
      <w:pPr>
        <w:widowControl w:val="0"/>
        <w:ind w:firstLine="480" w:firstLineChars="200"/>
        <w:jc w:val="both"/>
        <w:rPr>
          <w:rFonts w:eastAsia="宋体"/>
          <w:kern w:val="2"/>
          <w:lang w:eastAsia="zh-CN"/>
        </w:rPr>
      </w:pPr>
    </w:p>
    <w:p w14:paraId="189D7A40">
      <w:pPr>
        <w:widowControl w:val="0"/>
        <w:jc w:val="both"/>
        <w:rPr>
          <w:rFonts w:hint="eastAsia" w:ascii="宋体" w:hAnsi="宋体" w:eastAsia="宋体"/>
          <w:b/>
          <w:color w:val="FF0000"/>
          <w:kern w:val="2"/>
          <w:sz w:val="21"/>
          <w:szCs w:val="21"/>
          <w:lang w:eastAsia="zh-CN"/>
        </w:rPr>
      </w:pPr>
      <w:r>
        <w:rPr>
          <w:rFonts w:hint="eastAsia" w:ascii="宋体" w:hAnsi="宋体" w:eastAsia="宋体" w:cs="宋体"/>
          <w:kern w:val="2"/>
          <w:sz w:val="21"/>
          <w:shd w:val="clear" w:color="auto" w:fill="FFFFFF"/>
          <w:lang w:eastAsia="zh-CN"/>
        </w:rPr>
        <w:t>按照《深圳市政务信息化项目检测与验收管理办法》要求，依次开展本项目网络安全等级保护测评服务、商用密码应用安全性评估服务以及第三方验收测评服务工作，并出具相应的报告，推进深圳市医疗保障局医保基金预警监测和监管协同处置平台项目、深圳市医疗保障局医保数据融合应用项目完成验收</w:t>
      </w:r>
      <w:r>
        <w:rPr>
          <w:rFonts w:hint="eastAsia" w:ascii="宋体" w:hAnsi="宋体" w:eastAsia="宋体" w:cs="宋体"/>
          <w:kern w:val="2"/>
          <w:sz w:val="21"/>
          <w:lang w:eastAsia="zh-CN"/>
        </w:rPr>
        <w:t>。</w:t>
      </w:r>
    </w:p>
    <w:p w14:paraId="69DD9B44">
      <w:pPr>
        <w:widowControl w:val="0"/>
        <w:adjustRightInd w:val="0"/>
        <w:spacing w:before="120" w:beforeLines="50" w:after="120" w:afterLines="50" w:line="240" w:lineRule="auto"/>
        <w:jc w:val="center"/>
        <w:textAlignment w:val="baseline"/>
        <w:outlineLvl w:val="1"/>
        <w:rPr>
          <w:rFonts w:hint="eastAsia" w:ascii="宋体" w:hAnsi="宋体" w:eastAsia="宋体"/>
          <w:lang w:eastAsia="zh-CN"/>
        </w:rPr>
      </w:pPr>
      <w:r>
        <w:rPr>
          <w:rFonts w:hint="eastAsia" w:ascii="宋体" w:hAnsi="宋体" w:eastAsia="宋体"/>
          <w:lang w:eastAsia="zh-CN"/>
        </w:rPr>
        <w:t>三、</w:t>
      </w:r>
      <w:bookmarkStart w:id="35" w:name="_Hlk72073432"/>
      <w:r>
        <w:rPr>
          <w:rFonts w:hint="eastAsia" w:ascii="宋体" w:hAnsi="宋体" w:eastAsia="宋体"/>
          <w:lang w:eastAsia="zh-CN"/>
        </w:rPr>
        <w:t>服务需求明细</w:t>
      </w:r>
      <w:bookmarkEnd w:id="35"/>
    </w:p>
    <w:tbl>
      <w:tblPr>
        <w:tblStyle w:val="13"/>
        <w:tblpPr w:leftFromText="180" w:rightFromText="180" w:vertAnchor="text" w:horzAnchor="margin" w:tblpY="17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6083"/>
        <w:gridCol w:w="842"/>
        <w:gridCol w:w="841"/>
      </w:tblGrid>
      <w:tr w14:paraId="1A16F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6" w:hRule="atLeast"/>
        </w:trPr>
        <w:tc>
          <w:tcPr>
            <w:tcW w:w="771" w:type="dxa"/>
            <w:vAlign w:val="center"/>
          </w:tcPr>
          <w:p w14:paraId="53F5B598">
            <w:pPr>
              <w:widowControl w:val="0"/>
              <w:jc w:val="center"/>
              <w:rPr>
                <w:rFonts w:eastAsia="宋体"/>
                <w:bCs/>
                <w:kern w:val="2"/>
                <w:sz w:val="21"/>
                <w:szCs w:val="21"/>
                <w:lang w:eastAsia="zh-CN"/>
              </w:rPr>
            </w:pPr>
            <w:r>
              <w:rPr>
                <w:rFonts w:hint="eastAsia" w:eastAsia="宋体"/>
                <w:bCs/>
                <w:kern w:val="2"/>
                <w:sz w:val="21"/>
                <w:szCs w:val="21"/>
                <w:lang w:eastAsia="zh-CN"/>
              </w:rPr>
              <w:t>序号</w:t>
            </w:r>
          </w:p>
        </w:tc>
        <w:tc>
          <w:tcPr>
            <w:tcW w:w="6170" w:type="dxa"/>
            <w:vAlign w:val="center"/>
          </w:tcPr>
          <w:p w14:paraId="4128ED1B">
            <w:pPr>
              <w:widowControl w:val="0"/>
              <w:jc w:val="center"/>
              <w:rPr>
                <w:rFonts w:eastAsia="宋体"/>
                <w:bCs/>
                <w:kern w:val="2"/>
                <w:sz w:val="21"/>
                <w:szCs w:val="21"/>
                <w:lang w:eastAsia="zh-CN"/>
              </w:rPr>
            </w:pPr>
            <w:r>
              <w:rPr>
                <w:rFonts w:hint="eastAsia" w:eastAsia="宋体"/>
                <w:bCs/>
                <w:kern w:val="2"/>
                <w:sz w:val="21"/>
                <w:szCs w:val="21"/>
                <w:lang w:eastAsia="zh-CN"/>
              </w:rPr>
              <w:t>服务需求名称（标的名称）</w:t>
            </w:r>
          </w:p>
        </w:tc>
        <w:tc>
          <w:tcPr>
            <w:tcW w:w="851" w:type="dxa"/>
            <w:vAlign w:val="center"/>
          </w:tcPr>
          <w:p w14:paraId="35C75776">
            <w:pPr>
              <w:widowControl w:val="0"/>
              <w:jc w:val="center"/>
              <w:rPr>
                <w:rFonts w:eastAsia="宋体"/>
                <w:bCs/>
                <w:kern w:val="2"/>
                <w:sz w:val="21"/>
                <w:szCs w:val="21"/>
                <w:lang w:eastAsia="zh-CN"/>
              </w:rPr>
            </w:pPr>
            <w:r>
              <w:rPr>
                <w:rFonts w:hint="eastAsia" w:eastAsia="宋体"/>
                <w:bCs/>
                <w:kern w:val="2"/>
                <w:sz w:val="21"/>
                <w:szCs w:val="21"/>
                <w:lang w:eastAsia="zh-CN"/>
              </w:rPr>
              <w:t>数量</w:t>
            </w:r>
          </w:p>
        </w:tc>
        <w:tc>
          <w:tcPr>
            <w:tcW w:w="850" w:type="dxa"/>
            <w:vAlign w:val="center"/>
          </w:tcPr>
          <w:p w14:paraId="58C213BF">
            <w:pPr>
              <w:widowControl w:val="0"/>
              <w:jc w:val="center"/>
              <w:rPr>
                <w:rFonts w:eastAsia="宋体"/>
                <w:bCs/>
                <w:kern w:val="2"/>
                <w:sz w:val="21"/>
                <w:szCs w:val="21"/>
                <w:lang w:eastAsia="zh-CN"/>
              </w:rPr>
            </w:pPr>
            <w:r>
              <w:rPr>
                <w:rFonts w:hint="eastAsia" w:eastAsia="宋体"/>
                <w:bCs/>
                <w:kern w:val="2"/>
                <w:sz w:val="21"/>
                <w:szCs w:val="21"/>
                <w:lang w:eastAsia="zh-CN"/>
              </w:rPr>
              <w:t>单位</w:t>
            </w:r>
          </w:p>
        </w:tc>
      </w:tr>
      <w:tr w14:paraId="71A6B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771" w:type="dxa"/>
            <w:vAlign w:val="center"/>
          </w:tcPr>
          <w:p w14:paraId="2DE6E810">
            <w:pPr>
              <w:widowControl w:val="0"/>
              <w:jc w:val="center"/>
              <w:rPr>
                <w:rFonts w:eastAsia="宋体"/>
                <w:bCs/>
                <w:kern w:val="2"/>
                <w:sz w:val="21"/>
                <w:szCs w:val="21"/>
                <w:lang w:eastAsia="zh-CN"/>
              </w:rPr>
            </w:pPr>
            <w:r>
              <w:rPr>
                <w:rFonts w:hint="eastAsia" w:eastAsia="宋体"/>
                <w:bCs/>
                <w:kern w:val="2"/>
                <w:sz w:val="21"/>
                <w:szCs w:val="21"/>
                <w:lang w:eastAsia="zh-CN"/>
              </w:rPr>
              <w:t>1</w:t>
            </w:r>
          </w:p>
        </w:tc>
        <w:tc>
          <w:tcPr>
            <w:tcW w:w="6170" w:type="dxa"/>
            <w:vAlign w:val="center"/>
          </w:tcPr>
          <w:p w14:paraId="4F49476F">
            <w:pPr>
              <w:widowControl w:val="0"/>
              <w:jc w:val="center"/>
              <w:rPr>
                <w:rFonts w:eastAsia="宋体"/>
                <w:bCs/>
                <w:kern w:val="2"/>
                <w:sz w:val="21"/>
                <w:szCs w:val="21"/>
                <w:lang w:eastAsia="zh-CN"/>
              </w:rPr>
            </w:pPr>
            <w:r>
              <w:rPr>
                <w:rFonts w:hint="eastAsia" w:ascii="宋体" w:hAnsi="宋体" w:eastAsia="宋体" w:cs="宋体"/>
                <w:kern w:val="2"/>
                <w:sz w:val="21"/>
                <w:szCs w:val="21"/>
                <w:lang w:eastAsia="zh-CN"/>
              </w:rPr>
              <w:t>深圳市医疗保障局医保基金预警监测和监管协同处置平台项目、医保数据融合应用项目第三方测评</w:t>
            </w:r>
          </w:p>
        </w:tc>
        <w:tc>
          <w:tcPr>
            <w:tcW w:w="851" w:type="dxa"/>
            <w:vAlign w:val="center"/>
          </w:tcPr>
          <w:p w14:paraId="508EC249">
            <w:pPr>
              <w:widowControl w:val="0"/>
              <w:jc w:val="center"/>
              <w:rPr>
                <w:rFonts w:hint="eastAsia" w:eastAsia="宋体"/>
                <w:bCs/>
                <w:kern w:val="2"/>
                <w:sz w:val="21"/>
                <w:szCs w:val="21"/>
                <w:lang w:eastAsia="zh-CN"/>
              </w:rPr>
            </w:pPr>
            <w:r>
              <w:rPr>
                <w:rFonts w:hint="eastAsia" w:eastAsia="宋体"/>
                <w:bCs/>
                <w:kern w:val="2"/>
                <w:sz w:val="21"/>
                <w:szCs w:val="21"/>
                <w:lang w:eastAsia="zh-CN"/>
              </w:rPr>
              <w:t>1</w:t>
            </w:r>
          </w:p>
        </w:tc>
        <w:tc>
          <w:tcPr>
            <w:tcW w:w="850" w:type="dxa"/>
            <w:vAlign w:val="center"/>
          </w:tcPr>
          <w:p w14:paraId="0918E472">
            <w:pPr>
              <w:widowControl w:val="0"/>
              <w:jc w:val="center"/>
              <w:rPr>
                <w:rFonts w:hint="eastAsia" w:eastAsia="宋体"/>
                <w:bCs/>
                <w:kern w:val="2"/>
                <w:sz w:val="21"/>
                <w:szCs w:val="21"/>
                <w:lang w:eastAsia="zh-CN"/>
              </w:rPr>
            </w:pPr>
            <w:r>
              <w:rPr>
                <w:rFonts w:hint="eastAsia" w:eastAsia="宋体"/>
                <w:bCs/>
                <w:kern w:val="2"/>
                <w:sz w:val="21"/>
                <w:szCs w:val="21"/>
                <w:lang w:eastAsia="zh-CN"/>
              </w:rPr>
              <w:t>项</w:t>
            </w:r>
          </w:p>
        </w:tc>
      </w:tr>
    </w:tbl>
    <w:p w14:paraId="5E4894A1">
      <w:pPr>
        <w:widowControl w:val="0"/>
        <w:jc w:val="both"/>
        <w:rPr>
          <w:rFonts w:hint="eastAsia" w:ascii="宋体" w:hAnsi="宋体" w:eastAsia="宋体"/>
          <w:b/>
          <w:color w:val="FF0000"/>
          <w:kern w:val="2"/>
          <w:sz w:val="21"/>
          <w:szCs w:val="21"/>
          <w:lang w:eastAsia="zh-CN"/>
        </w:rPr>
      </w:pPr>
    </w:p>
    <w:p w14:paraId="1A1787B3">
      <w:pPr>
        <w:widowControl w:val="0"/>
        <w:numPr>
          <w:ilvl w:val="0"/>
          <w:numId w:val="2"/>
        </w:numPr>
        <w:spacing w:line="360" w:lineRule="auto"/>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根据深圳市政务服务和数据管理局关于批复市医疗保障局医保基金预警监测和监管协同处置平台项目、市医疗保障局医保数据融合应用项目立项方案的函，《深圳市医疗保障局医保基金预警监测和监管协同处置平台项目、医保数据融合应用项目第三方测评》招标控制金额为</w:t>
      </w:r>
      <w:r>
        <w:rPr>
          <w:rFonts w:hint="eastAsia" w:ascii="宋体" w:hAnsi="宋体" w:eastAsia="宋体" w:cs="宋体"/>
          <w:b/>
          <w:bCs/>
          <w:kern w:val="2"/>
          <w:sz w:val="21"/>
          <w:szCs w:val="21"/>
          <w:u w:val="single"/>
          <w:lang w:eastAsia="zh-CN"/>
        </w:rPr>
        <w:t xml:space="preserve"> 720,400.00 元</w:t>
      </w:r>
      <w:r>
        <w:rPr>
          <w:rFonts w:hint="eastAsia" w:ascii="宋体" w:hAnsi="宋体" w:eastAsia="宋体" w:cs="宋体"/>
          <w:kern w:val="2"/>
          <w:sz w:val="21"/>
          <w:szCs w:val="21"/>
          <w:lang w:eastAsia="zh-CN"/>
        </w:rPr>
        <w:t>，此价格为投标报价上限，投标报价超过此金额将会导致废标。本项目服务费采用包干制，应包括服务成本、法定税费和企业的利润。</w:t>
      </w:r>
    </w:p>
    <w:p w14:paraId="2E598F2F">
      <w:pPr>
        <w:widowControl w:val="0"/>
        <w:spacing w:line="360" w:lineRule="auto"/>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注：本项目</w:t>
      </w:r>
      <w:r>
        <w:rPr>
          <w:rFonts w:ascii="宋体" w:hAnsi="宋体" w:eastAsia="宋体" w:cs="宋体"/>
          <w:kern w:val="2"/>
          <w:sz w:val="21"/>
          <w:szCs w:val="21"/>
          <w:lang w:eastAsia="zh-CN"/>
        </w:rPr>
        <w:t>测评服务</w:t>
      </w:r>
      <w:r>
        <w:rPr>
          <w:rFonts w:hint="eastAsia" w:ascii="宋体" w:hAnsi="宋体" w:eastAsia="宋体" w:cs="宋体"/>
          <w:kern w:val="2"/>
          <w:sz w:val="21"/>
          <w:szCs w:val="21"/>
          <w:lang w:eastAsia="zh-CN"/>
        </w:rPr>
        <w:t>（含网络安全等级保护测评服务、商用密码应用安全性评估服务、第三方验收测评服务、安全专项测评服务、信创符合性审查服务）的合同总金额以项目预算批复金额为准。</w:t>
      </w:r>
    </w:p>
    <w:p w14:paraId="0204C8E3">
      <w:pPr>
        <w:widowControl w:val="0"/>
        <w:jc w:val="both"/>
        <w:rPr>
          <w:rFonts w:hint="eastAsia" w:ascii="宋体" w:hAnsi="宋体" w:eastAsia="宋体"/>
          <w:b/>
          <w:color w:val="FF0000"/>
          <w:kern w:val="2"/>
          <w:sz w:val="21"/>
          <w:szCs w:val="21"/>
          <w:lang w:eastAsia="zh-CN"/>
        </w:rPr>
      </w:pPr>
    </w:p>
    <w:p w14:paraId="647F5631">
      <w:pPr>
        <w:widowControl w:val="0"/>
        <w:adjustRightInd w:val="0"/>
        <w:spacing w:before="120" w:beforeLines="50" w:after="120" w:afterLines="50" w:line="240" w:lineRule="auto"/>
        <w:jc w:val="center"/>
        <w:textAlignment w:val="baseline"/>
        <w:outlineLvl w:val="1"/>
        <w:rPr>
          <w:rFonts w:hint="eastAsia" w:ascii="宋体" w:hAnsi="宋体" w:eastAsia="宋体"/>
          <w:lang w:eastAsia="zh-CN"/>
        </w:rPr>
      </w:pPr>
      <w:r>
        <w:rPr>
          <w:rFonts w:hint="eastAsia" w:ascii="宋体" w:hAnsi="宋体" w:eastAsia="宋体"/>
          <w:lang w:eastAsia="zh-CN"/>
        </w:rPr>
        <w:t>四、实质性条款</w:t>
      </w:r>
    </w:p>
    <w:tbl>
      <w:tblPr>
        <w:tblStyle w:val="1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8"/>
        <w:gridCol w:w="7831"/>
      </w:tblGrid>
      <w:tr w14:paraId="3AE0F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14:paraId="62C8B0A3">
            <w:pPr>
              <w:widowControl w:val="0"/>
              <w:adjustRightInd w:val="0"/>
              <w:snapToGrid w:val="0"/>
              <w:spacing w:line="360" w:lineRule="auto"/>
              <w:jc w:val="center"/>
              <w:rPr>
                <w:rFonts w:hint="eastAsia" w:ascii="宋体" w:hAnsi="宋体" w:eastAsia="宋体"/>
                <w:sz w:val="21"/>
                <w:szCs w:val="21"/>
                <w:lang w:eastAsia="zh-CN"/>
              </w:rPr>
            </w:pPr>
            <w:r>
              <w:rPr>
                <w:rFonts w:hint="eastAsia" w:ascii="宋体" w:hAnsi="宋体" w:eastAsia="宋体"/>
                <w:sz w:val="21"/>
                <w:szCs w:val="21"/>
                <w:lang w:eastAsia="zh-CN"/>
              </w:rPr>
              <w:t>序号</w:t>
            </w:r>
          </w:p>
        </w:tc>
        <w:tc>
          <w:tcPr>
            <w:tcW w:w="7951" w:type="dxa"/>
          </w:tcPr>
          <w:p w14:paraId="7BBE04CA">
            <w:pPr>
              <w:widowControl w:val="0"/>
              <w:adjustRightInd w:val="0"/>
              <w:snapToGrid w:val="0"/>
              <w:spacing w:line="360" w:lineRule="auto"/>
              <w:jc w:val="center"/>
              <w:rPr>
                <w:rFonts w:hint="eastAsia" w:ascii="宋体" w:hAnsi="宋体" w:eastAsia="宋体"/>
                <w:sz w:val="21"/>
                <w:szCs w:val="21"/>
                <w:lang w:eastAsia="zh-CN"/>
              </w:rPr>
            </w:pPr>
            <w:r>
              <w:rPr>
                <w:rFonts w:hint="eastAsia" w:ascii="宋体" w:hAnsi="宋体" w:eastAsia="宋体"/>
                <w:sz w:val="21"/>
                <w:szCs w:val="21"/>
                <w:lang w:eastAsia="zh-CN"/>
              </w:rPr>
              <w:t>实质性条款具体内容</w:t>
            </w:r>
          </w:p>
        </w:tc>
      </w:tr>
      <w:tr w14:paraId="77B86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shd w:val="clear" w:color="auto" w:fill="auto"/>
            <w:vAlign w:val="top"/>
          </w:tcPr>
          <w:p w14:paraId="02A41B58">
            <w:pPr>
              <w:widowControl w:val="0"/>
              <w:adjustRightInd w:val="0"/>
              <w:snapToGrid w:val="0"/>
              <w:spacing w:line="360" w:lineRule="auto"/>
              <w:jc w:val="center"/>
              <w:rPr>
                <w:rFonts w:hint="eastAsia" w:ascii="宋体" w:hAnsi="宋体" w:eastAsia="宋体"/>
                <w:sz w:val="21"/>
                <w:szCs w:val="21"/>
                <w:lang w:eastAsia="zh-CN"/>
              </w:rPr>
            </w:pPr>
            <w:r>
              <w:rPr>
                <w:rFonts w:hint="eastAsia" w:ascii="宋体" w:hAnsi="宋体" w:eastAsia="宋体"/>
                <w:sz w:val="21"/>
                <w:szCs w:val="21"/>
                <w:lang w:eastAsia="zh-CN"/>
              </w:rPr>
              <w:t>1</w:t>
            </w:r>
          </w:p>
        </w:tc>
        <w:tc>
          <w:tcPr>
            <w:tcW w:w="7951" w:type="dxa"/>
            <w:shd w:val="clear" w:color="auto" w:fill="auto"/>
            <w:vAlign w:val="top"/>
          </w:tcPr>
          <w:p w14:paraId="047AB248">
            <w:pPr>
              <w:widowControl w:val="0"/>
              <w:jc w:val="both"/>
              <w:rPr>
                <w:rFonts w:hAnsi="宋体" w:eastAsia="宋体"/>
                <w:sz w:val="21"/>
                <w:szCs w:val="21"/>
                <w:lang w:eastAsia="zh-CN"/>
              </w:rPr>
            </w:pPr>
            <w:r>
              <w:rPr>
                <w:rFonts w:hint="eastAsia" w:hAnsi="宋体" w:eastAsia="宋体"/>
                <w:b/>
                <w:bCs/>
                <w:color w:val="FF0000"/>
                <w:sz w:val="21"/>
                <w:szCs w:val="21"/>
                <w:lang w:eastAsia="zh-CN"/>
              </w:rPr>
              <w:t>投标人</w:t>
            </w:r>
            <w:r>
              <w:rPr>
                <w:rFonts w:hint="eastAsia" w:ascii="宋体" w:hAnsi="宋体" w:eastAsia="宋体" w:cs="宋体"/>
                <w:b/>
                <w:bCs/>
                <w:color w:val="FF0000"/>
                <w:kern w:val="2"/>
                <w:sz w:val="21"/>
                <w:szCs w:val="21"/>
                <w:lang w:eastAsia="zh-CN"/>
              </w:rPr>
              <w:t>具有商用密码检测机构资质证书（</w:t>
            </w:r>
            <w:r>
              <w:rPr>
                <w:rFonts w:hint="eastAsia" w:eastAsia="宋体"/>
                <w:b/>
                <w:bCs/>
                <w:color w:val="FF0000"/>
                <w:kern w:val="2"/>
                <w:sz w:val="21"/>
                <w:lang w:eastAsia="zh-CN"/>
              </w:rPr>
              <w:t>提供有效期内的证书扫描件</w:t>
            </w:r>
            <w:r>
              <w:rPr>
                <w:rFonts w:hint="eastAsia" w:ascii="宋体" w:hAnsi="宋体" w:eastAsia="宋体" w:cs="宋体"/>
                <w:b/>
                <w:bCs/>
                <w:color w:val="FF0000"/>
                <w:kern w:val="2"/>
                <w:sz w:val="21"/>
                <w:szCs w:val="21"/>
                <w:lang w:eastAsia="zh-CN"/>
              </w:rPr>
              <w:t>作为证明资料），</w:t>
            </w:r>
            <w:r>
              <w:rPr>
                <w:rFonts w:hint="eastAsia" w:eastAsia="宋体"/>
                <w:b/>
                <w:bCs/>
                <w:color w:val="FF0000"/>
                <w:kern w:val="2"/>
                <w:sz w:val="21"/>
                <w:lang w:eastAsia="zh-CN"/>
              </w:rPr>
              <w:t>未提供或提供的证明资料不符合要求的作投标无效处理。</w:t>
            </w:r>
          </w:p>
        </w:tc>
      </w:tr>
      <w:tr w14:paraId="079DE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shd w:val="clear" w:color="auto" w:fill="auto"/>
            <w:vAlign w:val="top"/>
          </w:tcPr>
          <w:p w14:paraId="30DE3971">
            <w:pPr>
              <w:widowControl w:val="0"/>
              <w:adjustRightInd w:val="0"/>
              <w:snapToGrid w:val="0"/>
              <w:spacing w:line="360" w:lineRule="auto"/>
              <w:jc w:val="center"/>
              <w:rPr>
                <w:rFonts w:ascii="宋体" w:hAnsi="宋体" w:eastAsia="宋体"/>
                <w:sz w:val="21"/>
                <w:szCs w:val="21"/>
                <w:lang w:eastAsia="zh-CN"/>
              </w:rPr>
            </w:pPr>
            <w:r>
              <w:rPr>
                <w:rFonts w:hint="eastAsia" w:ascii="宋体" w:hAnsi="宋体" w:eastAsia="宋体"/>
                <w:sz w:val="21"/>
                <w:szCs w:val="21"/>
                <w:lang w:eastAsia="zh-CN"/>
              </w:rPr>
              <w:t>2</w:t>
            </w:r>
          </w:p>
        </w:tc>
        <w:tc>
          <w:tcPr>
            <w:tcW w:w="7951" w:type="dxa"/>
            <w:shd w:val="clear" w:color="auto" w:fill="auto"/>
            <w:vAlign w:val="top"/>
          </w:tcPr>
          <w:p w14:paraId="58C2B175">
            <w:pPr>
              <w:widowControl w:val="0"/>
              <w:jc w:val="both"/>
              <w:rPr>
                <w:rFonts w:hint="eastAsia" w:eastAsia="宋体"/>
                <w:kern w:val="2"/>
                <w:sz w:val="21"/>
                <w:lang w:eastAsia="zh-CN"/>
              </w:rPr>
            </w:pPr>
            <w:r>
              <w:rPr>
                <w:rFonts w:hint="eastAsia" w:hAnsi="宋体" w:eastAsia="宋体"/>
                <w:b/>
                <w:bCs/>
                <w:color w:val="FF0000"/>
                <w:sz w:val="21"/>
                <w:szCs w:val="21"/>
                <w:lang w:eastAsia="zh-CN"/>
              </w:rPr>
              <w:t>投标人具有质量监督管理部门颁发的检验检测机构资质认定证书(CMA)(检验检测能力含软件检测领域)，提供有效期内的证书扫描件。</w:t>
            </w:r>
          </w:p>
        </w:tc>
      </w:tr>
      <w:tr w14:paraId="6DCD2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shd w:val="clear" w:color="auto" w:fill="auto"/>
            <w:vAlign w:val="top"/>
          </w:tcPr>
          <w:p w14:paraId="5CA4EF05">
            <w:pPr>
              <w:widowControl w:val="0"/>
              <w:adjustRightInd w:val="0"/>
              <w:snapToGrid w:val="0"/>
              <w:spacing w:line="360" w:lineRule="auto"/>
              <w:jc w:val="center"/>
              <w:rPr>
                <w:rFonts w:hint="eastAsia" w:ascii="宋体" w:hAnsi="宋体" w:eastAsia="宋体"/>
                <w:sz w:val="21"/>
                <w:szCs w:val="21"/>
                <w:lang w:eastAsia="zh-CN"/>
              </w:rPr>
            </w:pPr>
            <w:r>
              <w:rPr>
                <w:rFonts w:hint="eastAsia" w:ascii="宋体" w:hAnsi="宋体" w:eastAsia="宋体"/>
                <w:sz w:val="21"/>
                <w:szCs w:val="21"/>
                <w:lang w:eastAsia="zh-CN"/>
              </w:rPr>
              <w:t>3</w:t>
            </w:r>
          </w:p>
        </w:tc>
        <w:tc>
          <w:tcPr>
            <w:tcW w:w="7951" w:type="dxa"/>
            <w:shd w:val="clear" w:color="auto" w:fill="auto"/>
            <w:vAlign w:val="top"/>
          </w:tcPr>
          <w:p w14:paraId="151ED73C">
            <w:pPr>
              <w:widowControl w:val="0"/>
              <w:tabs>
                <w:tab w:val="left" w:pos="3262"/>
              </w:tabs>
              <w:jc w:val="both"/>
              <w:rPr>
                <w:rFonts w:hint="eastAsia" w:hAnsi="宋体" w:eastAsia="宋体"/>
                <w:sz w:val="21"/>
                <w:szCs w:val="21"/>
                <w:lang w:eastAsia="zh-CN"/>
              </w:rPr>
            </w:pPr>
            <w:r>
              <w:rPr>
                <w:rFonts w:hint="eastAsia" w:eastAsia="宋体"/>
                <w:kern w:val="2"/>
                <w:sz w:val="21"/>
                <w:lang w:eastAsia="zh-CN"/>
              </w:rPr>
              <w:t>满足本项目标★的条款要求</w:t>
            </w:r>
          </w:p>
        </w:tc>
      </w:tr>
      <w:bookmarkEnd w:id="34"/>
    </w:tbl>
    <w:p w14:paraId="54FEA3F8">
      <w:pPr>
        <w:widowControl w:val="0"/>
        <w:jc w:val="both"/>
        <w:rPr>
          <w:rFonts w:ascii="宋体" w:eastAsia="宋体"/>
          <w:b/>
          <w:szCs w:val="20"/>
          <w:lang w:eastAsia="zh-CN"/>
        </w:rPr>
      </w:pPr>
      <w:r>
        <w:rPr>
          <w:rFonts w:ascii="宋体" w:eastAsia="宋体"/>
          <w:b/>
          <w:szCs w:val="20"/>
          <w:lang w:eastAsia="zh-CN"/>
        </w:rPr>
        <w:t>注：上表所列内容为不可负偏离条款，负偏离将视为未实质性满足</w:t>
      </w:r>
      <w:r>
        <w:rPr>
          <w:rFonts w:hint="eastAsia" w:ascii="宋体" w:eastAsia="宋体"/>
          <w:b/>
          <w:szCs w:val="20"/>
          <w:lang w:eastAsia="zh-CN"/>
        </w:rPr>
        <w:t>招标</w:t>
      </w:r>
      <w:r>
        <w:rPr>
          <w:rFonts w:ascii="宋体" w:eastAsia="宋体"/>
          <w:b/>
          <w:szCs w:val="20"/>
          <w:lang w:eastAsia="zh-CN"/>
        </w:rPr>
        <w:t>文件要求和条件作投标无效处理。</w:t>
      </w:r>
    </w:p>
    <w:p w14:paraId="28DCFF42">
      <w:pPr>
        <w:widowControl w:val="0"/>
        <w:spacing w:line="360" w:lineRule="auto"/>
        <w:jc w:val="both"/>
        <w:rPr>
          <w:rFonts w:eastAsia="宋体"/>
          <w:b/>
          <w:bCs/>
          <w:kern w:val="2"/>
          <w:lang w:eastAsia="zh-CN"/>
        </w:rPr>
      </w:pPr>
    </w:p>
    <w:p w14:paraId="68C1E100">
      <w:pPr>
        <w:widowControl w:val="0"/>
        <w:adjustRightInd w:val="0"/>
        <w:spacing w:before="120" w:beforeLines="50" w:after="120" w:afterLines="50" w:line="240" w:lineRule="auto"/>
        <w:jc w:val="center"/>
        <w:textAlignment w:val="baseline"/>
        <w:outlineLvl w:val="1"/>
        <w:rPr>
          <w:rFonts w:hint="eastAsia" w:ascii="宋体" w:hAnsi="宋体" w:eastAsia="宋体"/>
          <w:lang w:eastAsia="zh-CN"/>
        </w:rPr>
      </w:pPr>
      <w:r>
        <w:rPr>
          <w:rFonts w:hint="eastAsia" w:ascii="宋体" w:hAnsi="宋体" w:eastAsia="宋体"/>
          <w:lang w:eastAsia="zh-CN"/>
        </w:rPr>
        <w:t>五、技术要求</w:t>
      </w:r>
    </w:p>
    <w:p w14:paraId="13963517">
      <w:pPr>
        <w:widowControl w:val="0"/>
        <w:jc w:val="both"/>
        <w:rPr>
          <w:rFonts w:hint="eastAsia" w:ascii="宋体" w:hAnsi="宋体" w:eastAsia="宋体"/>
          <w:b/>
          <w:kern w:val="2"/>
          <w:sz w:val="21"/>
          <w:szCs w:val="21"/>
          <w:lang w:eastAsia="zh-CN"/>
        </w:rPr>
      </w:pPr>
    </w:p>
    <w:p w14:paraId="497AEC8A">
      <w:pPr>
        <w:widowControl w:val="0"/>
        <w:spacing w:line="360" w:lineRule="auto"/>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（一）第三方验收测评服务内容</w:t>
      </w:r>
    </w:p>
    <w:p w14:paraId="2B5261FF">
      <w:pPr>
        <w:widowControl w:val="0"/>
        <w:spacing w:line="360" w:lineRule="auto"/>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1.测评依据</w:t>
      </w:r>
    </w:p>
    <w:p w14:paraId="3A9B867A">
      <w:pPr>
        <w:widowControl w:val="0"/>
        <w:spacing w:line="360" w:lineRule="auto"/>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《系统与软件工程 系统与软件质量要求和评价（SQuaRE） 第51部分：就绪可用软件产品（RUSP）的质量要求和测试细则》（GB/T25000.51-2016）</w:t>
      </w:r>
    </w:p>
    <w:p w14:paraId="61BC1ED7">
      <w:pPr>
        <w:widowControl w:val="0"/>
        <w:spacing w:line="360" w:lineRule="auto"/>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《关于印发深圳市政务信息化项目检测与验收管理办法的通知》（深政数〔2022〕136号）</w:t>
      </w:r>
    </w:p>
    <w:p w14:paraId="33D35CB3">
      <w:pPr>
        <w:widowControl w:val="0"/>
        <w:spacing w:line="360" w:lineRule="auto"/>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2.总体服务要求</w:t>
      </w:r>
    </w:p>
    <w:p w14:paraId="6B10E487">
      <w:pPr>
        <w:widowControl w:val="0"/>
        <w:spacing w:line="360" w:lineRule="auto"/>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按照《系统与软件工程 系统与软件质量要求和评价（SQuaRE）第51部分：就绪可用软件产品（RUSP）的质量要求和测试细则》GB/T 25000.51-2016相关标准，对信息系统开展系统检测服务、安全专项测评服务、系统源代码安全审查等工作，出具相应的测评报告，推进整体项目验收。具体包括：</w:t>
      </w:r>
    </w:p>
    <w:p w14:paraId="1887FF97">
      <w:pPr>
        <w:widowControl w:val="0"/>
        <w:spacing w:line="360" w:lineRule="auto"/>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（1）系统检测：包括功能和性能检测，主要依据项目设计文件、招投标文件以及合同，功能检测范围包括定制开发实现的各项软件功能以及系统集成要求实现的联调功能、接口功能等。</w:t>
      </w:r>
    </w:p>
    <w:p w14:paraId="1663A0E7">
      <w:pPr>
        <w:widowControl w:val="0"/>
        <w:spacing w:line="360" w:lineRule="auto"/>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（2）功能检测：按照合同对其功能实现进行检测，确认其是否已正常实现，且能否满足建设合同中约定的建设需求。</w:t>
      </w:r>
    </w:p>
    <w:p w14:paraId="5144B8C5">
      <w:pPr>
        <w:widowControl w:val="0"/>
        <w:spacing w:line="360" w:lineRule="auto"/>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中标人需依据采购需求中的技术标准，结合用户对系统建设的整体功能方向的要求，对系统涉及到的所有业务逻辑、功能项、功能逻辑进行检测包含但不限于：</w:t>
      </w:r>
    </w:p>
    <w:p w14:paraId="6D7F7822">
      <w:pPr>
        <w:widowControl w:val="0"/>
        <w:spacing w:line="360" w:lineRule="auto"/>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测试评估系统提供的应用功能满足既定业务和用户目标的达成情况；</w:t>
      </w:r>
    </w:p>
    <w:p w14:paraId="6CDFDC62">
      <w:pPr>
        <w:widowControl w:val="0"/>
        <w:spacing w:line="360" w:lineRule="auto"/>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测试评估系统提供具有所需正确或相符的结果或效果的能力；</w:t>
      </w:r>
    </w:p>
    <w:p w14:paraId="45712CDE">
      <w:pPr>
        <w:widowControl w:val="0"/>
        <w:spacing w:line="360" w:lineRule="auto"/>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测试评估系统与一个或多个系统进行交互的能力；测试评估系统功能及数据实现与用户文档相互符合的能力。</w:t>
      </w:r>
    </w:p>
    <w:p w14:paraId="58F6DC3A">
      <w:pPr>
        <w:widowControl w:val="0"/>
        <w:spacing w:line="360" w:lineRule="auto"/>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（3）性能检测：按照相关检测标准对项目的性能指标进行检测，检测性能指标是否满足建设合同以及已确定的需求文件的要求，以验证所测试的系统的性能效率是否在正常情况下满足建设及使用要求。</w:t>
      </w:r>
    </w:p>
    <w:p w14:paraId="14123B80">
      <w:pPr>
        <w:widowControl w:val="0"/>
        <w:spacing w:line="360" w:lineRule="auto"/>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要求中标人站在用户体验的角度，使用专业的负载生成设备，在性能模型的基础上验证系统是否能够达到用户确定的性能指标，是否符合系统设计阶段各项文档对系统性能的要求。对系统正常交互量及峰值交互量进行预估，并基于预估的交互量，对系统性能进行全方位的测试，测试指标包含但不限于以下内容：</w:t>
      </w:r>
    </w:p>
    <w:p w14:paraId="5DB97362">
      <w:pPr>
        <w:widowControl w:val="0"/>
        <w:spacing w:line="360" w:lineRule="auto"/>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并发数：对系统中发生的各项业务，预测正常并发数量和峰值并发数量，对系统进行并发测试。若承建单位交付的系统无法完全满足用户并发量的需求，中标人需提供现有系统目前支持的并发量数目，为优化系统提供参照和依据。</w:t>
      </w:r>
    </w:p>
    <w:p w14:paraId="346E5C0D">
      <w:pPr>
        <w:widowControl w:val="0"/>
        <w:spacing w:line="360" w:lineRule="auto"/>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响应时间：测试系统是否能够及时响应最终用户的指令，能够满足最终用户的及时性要求。</w:t>
      </w:r>
    </w:p>
    <w:p w14:paraId="2809785E">
      <w:pPr>
        <w:widowControl w:val="0"/>
        <w:spacing w:line="360" w:lineRule="auto"/>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3.文档测试</w:t>
      </w:r>
    </w:p>
    <w:p w14:paraId="20ECD3F6">
      <w:pPr>
        <w:widowControl w:val="0"/>
        <w:spacing w:line="360" w:lineRule="auto"/>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对软件产品的用户文档进行测试，根据标准要求包括以下5个方面：</w:t>
      </w:r>
    </w:p>
    <w:p w14:paraId="6D32C7D3">
      <w:pPr>
        <w:widowControl w:val="0"/>
        <w:spacing w:line="360" w:lineRule="auto"/>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（1）完整性</w:t>
      </w:r>
    </w:p>
    <w:p w14:paraId="04AB9C8C">
      <w:pPr>
        <w:widowControl w:val="0"/>
        <w:spacing w:line="360" w:lineRule="auto"/>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确认用户文档是否包含了使用产品所需的信息，系统的所有功能以及在程序中用户可调用的所有功能是否进行了完整描述，对于系统存在的边界值是否都具体列出，需要用户进行安装时是否说明了具体的安装过程。</w:t>
      </w:r>
    </w:p>
    <w:p w14:paraId="0FDD702C">
      <w:pPr>
        <w:widowControl w:val="0"/>
        <w:spacing w:line="360" w:lineRule="auto"/>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（2）正确性</w:t>
      </w:r>
    </w:p>
    <w:p w14:paraId="61EFCB7B">
      <w:pPr>
        <w:widowControl w:val="0"/>
        <w:spacing w:line="360" w:lineRule="auto"/>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确认用户文档的所有信息是否正确，有无歧义和错误的表达。</w:t>
      </w:r>
    </w:p>
    <w:p w14:paraId="350EB5F2">
      <w:pPr>
        <w:widowControl w:val="0"/>
        <w:spacing w:line="360" w:lineRule="auto"/>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（3）一致性</w:t>
      </w:r>
    </w:p>
    <w:p w14:paraId="5B5CCA93">
      <w:pPr>
        <w:widowControl w:val="0"/>
        <w:spacing w:line="360" w:lineRule="auto"/>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确认用户文档自身内容间、用户文档与产品实际运行结果间是否无相互矛盾之处，每个术语的含义是否处处一致。</w:t>
      </w:r>
    </w:p>
    <w:p w14:paraId="5BAE7754">
      <w:pPr>
        <w:widowControl w:val="0"/>
        <w:spacing w:line="360" w:lineRule="auto"/>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（4）易理解性</w:t>
      </w:r>
    </w:p>
    <w:p w14:paraId="29EFAFBB">
      <w:pPr>
        <w:widowControl w:val="0"/>
        <w:spacing w:line="360" w:lineRule="auto"/>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确认用户文档对于正常执行其工作任务的一般用户是否易理解，例如，通过适当的术语、图形表示、详细的解释以及引用有用的信息源来表示。</w:t>
      </w:r>
    </w:p>
    <w:p w14:paraId="5C0B16A0">
      <w:pPr>
        <w:widowControl w:val="0"/>
        <w:spacing w:line="360" w:lineRule="auto"/>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（5）易浏览性</w:t>
      </w:r>
    </w:p>
    <w:p w14:paraId="0520C61D">
      <w:pPr>
        <w:widowControl w:val="0"/>
        <w:spacing w:line="360" w:lineRule="auto"/>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确认用户文档是否易于浏览，包括是否具有目录或索引、文档各部分相互关系是否明确。</w:t>
      </w:r>
    </w:p>
    <w:p w14:paraId="7FAE4E49">
      <w:pPr>
        <w:widowControl w:val="0"/>
        <w:spacing w:line="360" w:lineRule="auto"/>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4.系统源代码安全审查</w:t>
      </w:r>
    </w:p>
    <w:p w14:paraId="1FE55D4C">
      <w:pPr>
        <w:widowControl w:val="0"/>
        <w:spacing w:line="360" w:lineRule="auto"/>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根据被测系统的特点，使用源代码扫描工具对系统的源代码进行安全审计，出具源代码安全审查报告，针对报告的问题和甲方沟通协助修复，直到所有高危问题完全修复后出具最终的安全审查报告。</w:t>
      </w:r>
    </w:p>
    <w:p w14:paraId="2480A143">
      <w:pPr>
        <w:widowControl w:val="0"/>
        <w:spacing w:line="360" w:lineRule="auto"/>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测评单位需具备源代码安全管理能力、甲方提供的源代码，测评单位需要专人专用电脑保存仅用作安全扫描使用，需要管控违规上网行为、禁止源代码文件分发/U盘拷贝/文件打印等行为，在采购单位未授权的情况下，禁止获取、复制、传播，实现源代码防泄密，源代码扫描完成后应立即销毁甲方提供的源代码，禁止留存归档等行为。</w:t>
      </w:r>
    </w:p>
    <w:p w14:paraId="7CFD3C0E">
      <w:pPr>
        <w:widowControl w:val="0"/>
        <w:spacing w:line="360" w:lineRule="auto"/>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（二）网络安全等级保护测评（非关键性服务内容）</w:t>
      </w:r>
    </w:p>
    <w:p w14:paraId="3A8683EB">
      <w:pPr>
        <w:widowControl w:val="0"/>
        <w:spacing w:line="360" w:lineRule="auto"/>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深圳市医疗保障局医保基金预警监测和监管协同处置平台项目需按照2级等保要求进行测评，医保数据融合应用项目需按照3级等保要求进行测评。等级测评内容包括安全技术和安全管理两大类，其中技术层面应包括物理安全、网络安全、主机安全、应用安全和数据安全及备份恢复等方面的测评，管理层面应包括安全管理机构、人员安全管理、安全管理制度、系统建设管理和系统运维管理等方面的测评。具体如下：</w:t>
      </w:r>
    </w:p>
    <w:p w14:paraId="531F3BC9">
      <w:pPr>
        <w:widowControl w:val="0"/>
        <w:spacing w:line="360" w:lineRule="auto"/>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1.指导采购方完成系统的定级备案材料编制和递交。</w:t>
      </w:r>
    </w:p>
    <w:p w14:paraId="5155AECC">
      <w:pPr>
        <w:widowControl w:val="0"/>
        <w:spacing w:line="360" w:lineRule="auto"/>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协助采购单位完成系统的定级（含专家评审）与备案工作，最终取得公安部门下发的备案证明。</w:t>
      </w:r>
    </w:p>
    <w:p w14:paraId="155C7A5A">
      <w:pPr>
        <w:widowControl w:val="0"/>
        <w:spacing w:line="360" w:lineRule="auto"/>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2.差距分析</w:t>
      </w:r>
    </w:p>
    <w:p w14:paraId="475E6DCC">
      <w:pPr>
        <w:widowControl w:val="0"/>
        <w:spacing w:line="360" w:lineRule="auto"/>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依据国家有关信息系统安全等级保护要求，依据《信息安全技术网络安全等级保护测评过程指南》（GB/T 28449-2018）等级测评工作要求，利用专业的安全测评设备和软件实施测评，从技术上的安全物理环境、安全通信网络、安全区域边界、安全计算环境、安全管理中心等五个层面和管理上的安全管理制度、安全管理机构、安全管理人员、安全建设管理、安全运维管理等五个层面对目标信息系统进行安全测评分析，确定信息系统安全建设整改需求，出具《差距分析报告》。</w:t>
      </w:r>
    </w:p>
    <w:p w14:paraId="70A67690">
      <w:pPr>
        <w:widowControl w:val="0"/>
        <w:spacing w:line="360" w:lineRule="auto"/>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3.渗透测试</w:t>
      </w:r>
    </w:p>
    <w:p w14:paraId="170142CC">
      <w:pPr>
        <w:widowControl w:val="0"/>
        <w:spacing w:line="360" w:lineRule="auto"/>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模拟黑客可能使用的攻击技术和漏洞发现技术，对信息系统进行验证性渗透测试。</w:t>
      </w:r>
    </w:p>
    <w:p w14:paraId="183F2E43">
      <w:pPr>
        <w:widowControl w:val="0"/>
        <w:spacing w:line="360" w:lineRule="auto"/>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4.指导完成信息系统安全整改</w:t>
      </w:r>
    </w:p>
    <w:p w14:paraId="231D7781">
      <w:pPr>
        <w:widowControl w:val="0"/>
        <w:spacing w:line="360" w:lineRule="auto"/>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提供必要的咨询服务，指导被测单位进行信息系统安全整改。</w:t>
      </w:r>
    </w:p>
    <w:p w14:paraId="6F480C3D">
      <w:pPr>
        <w:widowControl w:val="0"/>
        <w:spacing w:line="360" w:lineRule="auto"/>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5.等级保护测评</w:t>
      </w:r>
    </w:p>
    <w:p w14:paraId="2886B8C2">
      <w:pPr>
        <w:widowControl w:val="0"/>
        <w:spacing w:line="360" w:lineRule="auto"/>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对信息系统进行最终等级测评，依据《信息安全技术 网络安全等级保护基本要求》（GB/T 22239-2019）、《信息安全技术 网络安全等级保护测评要求》（GB/T 28448-2019）等国家等级保护相关标准，参照《信息安全技术 信息系统安全等级保护定级指南》（GB/T 22240）、《信息安全技术 网络安全等级保护测评过程指南》（GB/T 28449-2018），完成安全技术层面包括安全物理环境、安全通信网络、安全区域边界、安全计算环境和安全管理中心五个方面的安全测评；安全管理层面包括安全管理机构、安全管理制度、安全管理人员、安全建设管理和安全运维管理五个方面的安全测评。完成上述测评工作和整改加固实施后，按照公安部制定的信息安全等级测评报告格式编制等级测评报告，最后出具符合公安机关要求的信息系统网络安全等级保护测评报告，出具《网络安全等级保护测评报告》。</w:t>
      </w:r>
    </w:p>
    <w:p w14:paraId="6B256A2B">
      <w:pPr>
        <w:widowControl w:val="0"/>
        <w:spacing w:line="360" w:lineRule="auto"/>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（三）商用密码应用安全性评估服务（非关键性服务内容）</w:t>
      </w:r>
    </w:p>
    <w:p w14:paraId="479457E3">
      <w:pPr>
        <w:widowControl w:val="0"/>
        <w:spacing w:line="360" w:lineRule="auto"/>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1.测评依据</w:t>
      </w:r>
    </w:p>
    <w:p w14:paraId="1249D659">
      <w:pPr>
        <w:widowControl w:val="0"/>
        <w:spacing w:line="360" w:lineRule="auto"/>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（1）《GB/T 39786-2021 信息安全技术 信息系统密码应用基本要求》</w:t>
      </w:r>
    </w:p>
    <w:p w14:paraId="325CE74F">
      <w:pPr>
        <w:widowControl w:val="0"/>
        <w:spacing w:line="360" w:lineRule="auto"/>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（2）《信息系统密码应用测评过程指南》</w:t>
      </w:r>
    </w:p>
    <w:p w14:paraId="4174CAA4">
      <w:pPr>
        <w:widowControl w:val="0"/>
        <w:spacing w:line="360" w:lineRule="auto"/>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（3）《信息系统密码应用高风险判定指引》</w:t>
      </w:r>
    </w:p>
    <w:p w14:paraId="2FD7406C">
      <w:pPr>
        <w:widowControl w:val="0"/>
        <w:spacing w:line="360" w:lineRule="auto"/>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（4）《商用密码应用安全性评估量化评估规则》</w:t>
      </w:r>
    </w:p>
    <w:p w14:paraId="2160BED1">
      <w:pPr>
        <w:widowControl w:val="0"/>
        <w:spacing w:line="360" w:lineRule="auto"/>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（5）《商用密码应用安全性评估FAQ（第三版）》</w:t>
      </w:r>
    </w:p>
    <w:p w14:paraId="1BF21D46">
      <w:pPr>
        <w:widowControl w:val="0"/>
        <w:spacing w:line="360" w:lineRule="auto"/>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2.提供商用密码应用安全性评估服务</w:t>
      </w:r>
    </w:p>
    <w:p w14:paraId="7CB098AD">
      <w:pPr>
        <w:widowControl w:val="0"/>
        <w:spacing w:line="360" w:lineRule="auto"/>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对市医保局医保基金预警监测和监管协同处置平台项目、医保数据融合应用项目开展商用密码应用安全性测评，包含物理和环境、网络和通信、设备和计算、应用和数据、安全管理、密钥管理等。包括但不限于以下技术要求：</w:t>
      </w:r>
    </w:p>
    <w:p w14:paraId="0ABD6ECF">
      <w:pPr>
        <w:widowControl w:val="0"/>
        <w:spacing w:line="360" w:lineRule="auto"/>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（1）通用要求评估</w:t>
      </w:r>
    </w:p>
    <w:p w14:paraId="16E2E215">
      <w:pPr>
        <w:widowControl w:val="0"/>
        <w:spacing w:line="360" w:lineRule="auto"/>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具体要求如下：</w:t>
      </w:r>
    </w:p>
    <w:p w14:paraId="21B52BC4">
      <w:pPr>
        <w:widowControl w:val="0"/>
        <w:spacing w:line="360" w:lineRule="auto"/>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密码算法合规性评估：信息系统中使用的密码算法是否符合法律、法规的规定和密码相关国家标准、行业标准的有关要求。</w:t>
      </w:r>
    </w:p>
    <w:p w14:paraId="3B849D5B">
      <w:pPr>
        <w:widowControl w:val="0"/>
        <w:spacing w:line="360" w:lineRule="auto"/>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密码技术合规性评估：信息系统中使用的密码技术是否遵循密码相关国家标准和行业标准。</w:t>
      </w:r>
    </w:p>
    <w:p w14:paraId="354BA8E3">
      <w:pPr>
        <w:widowControl w:val="0"/>
        <w:spacing w:line="360" w:lineRule="auto"/>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密码产品合规性评估：信息系统中使用的密码产品与密码模块是否通过国家密码管理部门核准。</w:t>
      </w:r>
    </w:p>
    <w:p w14:paraId="698C206B">
      <w:pPr>
        <w:widowControl w:val="0"/>
        <w:spacing w:line="360" w:lineRule="auto"/>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密码服务合规性评估：信息系统中使用的密码服务是否通过国家密码管理部门许可。</w:t>
      </w:r>
    </w:p>
    <w:p w14:paraId="552C9EA6">
      <w:pPr>
        <w:widowControl w:val="0"/>
        <w:spacing w:line="360" w:lineRule="auto"/>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（2）密码技术应用安全评估</w:t>
      </w:r>
    </w:p>
    <w:p w14:paraId="111B9129">
      <w:pPr>
        <w:widowControl w:val="0"/>
        <w:spacing w:line="360" w:lineRule="auto"/>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密码技术应用安全主要从物理和环境、网络和通信、设备和计算、应用和数据4个层面对信息系统中应用的密码技术进行分析与评估。具体要求如下：</w:t>
      </w:r>
    </w:p>
    <w:p w14:paraId="127A16FC">
      <w:pPr>
        <w:widowControl w:val="0"/>
        <w:spacing w:line="360" w:lineRule="auto"/>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物理和环境评估：分析评估信息系统是否合理、合规的利用商用密码完整性、真实性功能，对影响信息系统安全防护效能的物理和环境层面因素进行保护。包括但不限于以下内容：重要区域的物理访问控制，监控设备的物理访问控制，物理访问记录、监控信息等记录数据的存储完整性。</w:t>
      </w:r>
    </w:p>
    <w:p w14:paraId="201773D1">
      <w:pPr>
        <w:widowControl w:val="0"/>
        <w:spacing w:line="360" w:lineRule="auto"/>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网络和通信评估：分析评估信息系统是否合理、合规的利用商用密码机密性、完整性、真实性功能，对影响信息系统安全防护效能的网络和通信层面因素进行保护。包括但不限于以下内容：通信实体身份的真实性，通信过程中数据的完整性，重要数据的机密性，网络边界访问控制信息完整性，安全认证连接到内部网络的设备，通信双方的身份认证过程。</w:t>
      </w:r>
    </w:p>
    <w:p w14:paraId="5665B879">
      <w:pPr>
        <w:widowControl w:val="0"/>
        <w:spacing w:line="360" w:lineRule="auto"/>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设备和计算评估：分析评估信息系统是否合理、合规的利用商用密码机密性、完整性、真实性功能，对影响信息系统安全防护效能的设备和计算层面因素进行保护。包括但不限于以下内容：登录信息系统设备和计算环境的用户身份鉴别过程，系统设备和计算环境资源访问控制信息完整性，重要信息资源敏感标记完整性，重要程序或文件完整性，信息系统设备和计算环境的日志记录完整性。</w:t>
      </w:r>
    </w:p>
    <w:p w14:paraId="3A9BBB7F">
      <w:pPr>
        <w:widowControl w:val="0"/>
        <w:spacing w:line="360" w:lineRule="auto"/>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应用和数据评估：分析评估信息系统是否合理、合规的利用商用密码机密性、完整性、真实性以及不可否认性功能，对影响信息系统安全防护效能的应用和数据层面因素进行保护。包括但不限于下列典型因素：登录信息系统应用和数据操作环境的用户身份鉴别过程，系统应用和数据操作环境资源访问控制信息完整性，重要信息资源敏感标记完整性，重要数据传输过程的机密性、完整性，重要信息存储过程的机密性、完整性，重要程序的加载和卸载过程，信息系统应用原发和数据接收行为的不可否认性。</w:t>
      </w:r>
    </w:p>
    <w:p w14:paraId="04AE8463">
      <w:pPr>
        <w:widowControl w:val="0"/>
        <w:spacing w:line="360" w:lineRule="auto"/>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（3）安全管理评估</w:t>
      </w:r>
    </w:p>
    <w:p w14:paraId="3603153A">
      <w:pPr>
        <w:widowControl w:val="0"/>
        <w:spacing w:line="360" w:lineRule="auto"/>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安全管理评估是对影响商用密码防护效能的管理制度与措施进行分析与评估。主要内容包括：管理制度，人员管理，建设运行，应急处置。具体要求如下：</w:t>
      </w:r>
    </w:p>
    <w:p w14:paraId="0FEA3B03">
      <w:pPr>
        <w:widowControl w:val="0"/>
        <w:spacing w:line="360" w:lineRule="auto"/>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管理制度评估：包括但不限于下列内容与措施：密码应用安全管理制度、密钥管理规则、密码相关操作规范、安全管理制度和操作规范的合理性和适用性论证与审定，安全管理制度的改进和修订，安全管理制度和操作规范的发布流程，安全管理制度和操作规范的执行。</w:t>
      </w:r>
    </w:p>
    <w:p w14:paraId="320240F8">
      <w:pPr>
        <w:widowControl w:val="0"/>
        <w:spacing w:line="360" w:lineRule="auto"/>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人员管理评估：包括但不限于下列内容与措施：相关人员是否了解并遵守密码相关法律法规及安全管理制度，关键岗位划分情况，相关人员职责与权限划分情况，岗位责任制与人员制约、监督机制，管理和使用账号，人员培训、人员选拔，人员考核、奖惩与调离，人员保密措施。</w:t>
      </w:r>
    </w:p>
    <w:p w14:paraId="3F468DA9">
      <w:pPr>
        <w:widowControl w:val="0"/>
        <w:spacing w:line="360" w:lineRule="auto"/>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建设运行评估：包括但不限于下列内容与措施：具备系统密码应用方案，并按照密码应用方案确定密钥种类、体系以及生存周期，按照密码应用方案实施建设，信息系统正式运行前评估与整改。</w:t>
      </w:r>
    </w:p>
    <w:p w14:paraId="0C64BF2D">
      <w:pPr>
        <w:widowControl w:val="0"/>
        <w:spacing w:line="360" w:lineRule="auto"/>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应急处置评估：包括但不限于下列内容与措施：应急预案，应急资源准备，应急情况与处置，上级主管部门应急报告，同级密码主管部门应急报告。</w:t>
      </w:r>
    </w:p>
    <w:p w14:paraId="75E9735E">
      <w:pPr>
        <w:widowControl w:val="0"/>
        <w:spacing w:line="360" w:lineRule="auto"/>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（4）密钥管理评估</w:t>
      </w:r>
    </w:p>
    <w:p w14:paraId="5A5F3694">
      <w:pPr>
        <w:widowControl w:val="0"/>
        <w:spacing w:line="360" w:lineRule="auto"/>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测评密钥管理评估是对影响商用密码防护效能的密钥生命周期相关环节，以及相关环节管理和策略制定的全过程进行分析与评估。密钥生命周期相关环节主要包括：密钥生成、密钥分发、密钥存储、密钥使用、密钥更新、密钥归档、密钥撤档、密钥备份，密钥恢复、密钥销毁。</w:t>
      </w:r>
    </w:p>
    <w:p w14:paraId="4AA482FF">
      <w:pPr>
        <w:widowControl w:val="0"/>
        <w:spacing w:line="360" w:lineRule="auto"/>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（5）咨询服务</w:t>
      </w:r>
    </w:p>
    <w:p w14:paraId="24E10D20">
      <w:pPr>
        <w:widowControl w:val="0"/>
        <w:spacing w:line="360" w:lineRule="auto"/>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为保障采购人在市医保局医保基金预警监测和监管协同处置平台项目、医保数据融合应用项目密码改造过程中顺利进行，提供商用密码应用安全性评估咨询服务。</w:t>
      </w:r>
    </w:p>
    <w:p w14:paraId="2AE04CE8">
      <w:pPr>
        <w:widowControl w:val="0"/>
        <w:spacing w:line="360" w:lineRule="auto"/>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（6）成果</w:t>
      </w:r>
    </w:p>
    <w:p w14:paraId="58CBC00B">
      <w:pPr>
        <w:widowControl w:val="0"/>
        <w:spacing w:line="360" w:lineRule="auto"/>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交付商用密码应用安全性测评（商用密码应用安全性评估）通过成果报告（纸质版3份、电子版1份），完成向深圳市密码管理局备案并获得备案回执。</w:t>
      </w:r>
    </w:p>
    <w:p w14:paraId="41E7F742">
      <w:pPr>
        <w:widowControl w:val="0"/>
        <w:spacing w:line="360" w:lineRule="auto"/>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（四）安全专项测评服务内容</w:t>
      </w:r>
    </w:p>
    <w:p w14:paraId="05F5CCC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按照相关工程技术文件及规范检测信息安全性是否满足建设合同以及已确定的需求文件的要求，对项目</w:t>
      </w:r>
      <w:r>
        <w:rPr>
          <w:rFonts w:hint="eastAsia" w:eastAsia="宋体"/>
          <w:bCs/>
          <w:kern w:val="2"/>
          <w:sz w:val="21"/>
          <w:szCs w:val="21"/>
          <w:lang w:eastAsia="zh-CN"/>
        </w:rPr>
        <w:t>上线</w:t>
      </w:r>
      <w:r>
        <w:rPr>
          <w:rFonts w:hint="eastAsia" w:ascii="宋体" w:hAnsi="宋体" w:eastAsia="宋体" w:cs="宋体"/>
          <w:kern w:val="2"/>
          <w:sz w:val="21"/>
          <w:szCs w:val="21"/>
          <w:lang w:eastAsia="zh-CN"/>
        </w:rPr>
        <w:t>运行的应用系统及主机进行安全漏洞扫描检测，以验证所测试系统的信息安全性是否满足建设及使用要求。具体如下：</w:t>
      </w:r>
    </w:p>
    <w:p w14:paraId="514F381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漏洞扫描，</w:t>
      </w:r>
      <w:r>
        <w:rPr>
          <w:rFonts w:hint="eastAsia" w:eastAsia="宋体"/>
          <w:bCs/>
          <w:kern w:val="2"/>
          <w:sz w:val="21"/>
          <w:szCs w:val="21"/>
          <w:lang w:eastAsia="zh-CN"/>
        </w:rPr>
        <w:t>供应商</w:t>
      </w:r>
      <w:r>
        <w:rPr>
          <w:rFonts w:hint="eastAsia" w:ascii="宋体" w:hAnsi="宋体" w:eastAsia="宋体" w:cs="宋体"/>
          <w:kern w:val="2"/>
          <w:sz w:val="21"/>
          <w:szCs w:val="21"/>
          <w:lang w:eastAsia="zh-CN"/>
        </w:rPr>
        <w:t>需针对服务器，应用系统等进行漏洞扫描，检测是否存在信息安全隐患；</w:t>
      </w:r>
    </w:p>
    <w:p w14:paraId="3941CBB0">
      <w:pPr>
        <w:widowControl w:val="0"/>
        <w:spacing w:line="360" w:lineRule="auto"/>
        <w:ind w:firstLine="420" w:firstLineChars="200"/>
        <w:jc w:val="both"/>
        <w:rPr>
          <w:rFonts w:hint="eastAsia" w:eastAsia="宋体"/>
          <w:kern w:val="2"/>
          <w:sz w:val="21"/>
          <w:lang w:eastAsia="zh-CN"/>
        </w:rPr>
      </w:pPr>
      <w:r>
        <w:rPr>
          <w:rFonts w:hint="eastAsia" w:ascii="宋体" w:hAnsi="宋体" w:eastAsia="宋体" w:cs="宋体"/>
          <w:kern w:val="2"/>
          <w:sz w:val="21"/>
          <w:szCs w:val="21"/>
          <w:lang w:eastAsia="zh-CN"/>
        </w:rPr>
        <w:t>基线核查，验证应用系统的安全功能（如身份鉴别、访问控制、安全审计等）是否符合项目合同与相关规范要求，是否能支撑应用系统稳定安全运行。</w:t>
      </w:r>
    </w:p>
    <w:p w14:paraId="10E34706">
      <w:pPr>
        <w:widowControl w:val="0"/>
        <w:spacing w:line="360" w:lineRule="auto"/>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（五）信创符合性审查服务内容（非关键性服务内容）</w:t>
      </w:r>
    </w:p>
    <w:p w14:paraId="00F80477">
      <w:pPr>
        <w:widowControl w:val="0"/>
        <w:spacing w:line="360" w:lineRule="auto"/>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依据国家及相关部门制定的技术标准与规范，对信息系统或软硬件产品是否满足信息技术应用创新要求所进行的系统性评估与测试。主要包括：</w:t>
      </w:r>
    </w:p>
    <w:p w14:paraId="0E20A637">
      <w:pPr>
        <w:widowControl w:val="0"/>
        <w:spacing w:line="360" w:lineRule="auto"/>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1.合规性审查。对特定软硬件产品的技术路线符合性进行审查；</w:t>
      </w:r>
    </w:p>
    <w:p w14:paraId="376D79F9">
      <w:pPr>
        <w:widowControl w:val="0"/>
        <w:spacing w:line="360" w:lineRule="auto"/>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2.兼容性审查。重点验证产品在国产CPU、操作系统、数据库等基础软硬件环境下的适配能力、可移植性及整体兼容性；</w:t>
      </w:r>
    </w:p>
    <w:p w14:paraId="309CD448">
      <w:pPr>
        <w:widowControl w:val="0"/>
        <w:spacing w:line="360" w:lineRule="auto"/>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3.质量特性验证。依据GB/T 25000.51-2016等国家标准，对产品的功能性、性能效率、信息安全性、可靠性、易用性、维护性等质量特性进行测试；</w:t>
      </w:r>
    </w:p>
    <w:p w14:paraId="32C497E7">
      <w:pPr>
        <w:widowControl w:val="0"/>
        <w:spacing w:line="360" w:lineRule="auto"/>
        <w:ind w:firstLine="420" w:firstLineChars="200"/>
        <w:jc w:val="both"/>
        <w:rPr>
          <w:rFonts w:hint="eastAsia" w:ascii="宋体" w:hAnsi="宋体" w:eastAsia="宋体" w:cs="宋体"/>
          <w:kern w:val="2"/>
          <w:lang w:eastAsia="zh-CN"/>
        </w:rPr>
      </w:pPr>
      <w:r>
        <w:rPr>
          <w:rFonts w:hint="eastAsia" w:ascii="宋体" w:hAnsi="宋体" w:eastAsia="宋体" w:cs="宋体"/>
          <w:kern w:val="2"/>
          <w:sz w:val="21"/>
          <w:szCs w:val="21"/>
          <w:lang w:eastAsia="zh-CN"/>
        </w:rPr>
        <w:t>4.供应链安全评估。对产品所涉及的商业组件、开源组件及其许可协议等进行安全性分析，评估其供应链的可靠性与可控性。</w:t>
      </w:r>
    </w:p>
    <w:p w14:paraId="00DCD486">
      <w:pPr>
        <w:widowControl w:val="0"/>
        <w:jc w:val="both"/>
        <w:rPr>
          <w:rFonts w:eastAsia="宋体"/>
          <w:b/>
          <w:kern w:val="2"/>
          <w:lang w:eastAsia="zh-CN"/>
        </w:rPr>
      </w:pPr>
    </w:p>
    <w:p w14:paraId="3C79A321">
      <w:pPr>
        <w:widowControl w:val="0"/>
        <w:adjustRightInd w:val="0"/>
        <w:spacing w:before="120" w:beforeLines="50" w:after="120" w:afterLines="50" w:line="240" w:lineRule="auto"/>
        <w:jc w:val="center"/>
        <w:textAlignment w:val="baseline"/>
        <w:outlineLvl w:val="1"/>
        <w:rPr>
          <w:rFonts w:hint="eastAsia" w:ascii="宋体" w:hAnsi="宋体" w:eastAsia="宋体"/>
          <w:lang w:eastAsia="zh-CN"/>
        </w:rPr>
      </w:pPr>
      <w:r>
        <w:rPr>
          <w:rFonts w:hint="eastAsia" w:ascii="宋体" w:hAnsi="宋体" w:eastAsia="宋体" w:cs="宋体"/>
          <w:szCs w:val="21"/>
          <w:lang w:eastAsia="zh-CN"/>
        </w:rPr>
        <w:t>★</w:t>
      </w:r>
      <w:r>
        <w:rPr>
          <w:rFonts w:hint="eastAsia" w:ascii="宋体" w:hAnsi="宋体" w:eastAsia="宋体"/>
          <w:lang w:eastAsia="zh-CN"/>
        </w:rPr>
        <w:t>六、商务要求</w:t>
      </w:r>
    </w:p>
    <w:p w14:paraId="3C0E1A80">
      <w:pPr>
        <w:widowControl w:val="0"/>
        <w:ind w:firstLine="482" w:firstLineChars="200"/>
        <w:jc w:val="both"/>
        <w:rPr>
          <w:rFonts w:hint="eastAsia" w:ascii="宋体" w:hAnsi="宋体" w:eastAsia="宋体"/>
          <w:b/>
          <w:bCs/>
          <w:lang w:eastAsia="zh-CN"/>
        </w:rPr>
      </w:pPr>
    </w:p>
    <w:p w14:paraId="3CCC6EE9">
      <w:pPr>
        <w:widowControl w:val="0"/>
        <w:spacing w:line="360" w:lineRule="auto"/>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1.服务期限</w:t>
      </w:r>
    </w:p>
    <w:p w14:paraId="6CA2F5F5">
      <w:pPr>
        <w:widowControl w:val="0"/>
        <w:spacing w:line="360" w:lineRule="auto"/>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本项目服务期自合同签订且项目初验完成后开展项目网络安全等级保护测评服务、商用密码应用安全性评估服务以及第三方验收测评服务工作，提交相关测评服务报告，至完成项目终验为止。预计本项目服务期自合同签订之日起12个月内</w:t>
      </w:r>
      <w:r>
        <w:rPr>
          <w:rFonts w:hint="eastAsia" w:ascii="宋体" w:hAnsi="宋体" w:eastAsia="宋体"/>
          <w:kern w:val="2"/>
          <w:sz w:val="21"/>
          <w:szCs w:val="21"/>
          <w:lang w:eastAsia="zh-CN"/>
        </w:rPr>
        <w:t>。</w:t>
      </w:r>
    </w:p>
    <w:p w14:paraId="4FB4488C">
      <w:pPr>
        <w:widowControl w:val="0"/>
        <w:numPr>
          <w:ilvl w:val="0"/>
          <w:numId w:val="0"/>
        </w:numPr>
        <w:spacing w:line="360" w:lineRule="auto"/>
        <w:ind w:left="0"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2.项目团队要求</w:t>
      </w:r>
    </w:p>
    <w:p w14:paraId="6B8967A6">
      <w:pPr>
        <w:widowControl w:val="0"/>
        <w:spacing w:line="360" w:lineRule="auto"/>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1）投标人须承诺在拟投入人员中指定1名项目负责人，负责项目管理及协调工作。</w:t>
      </w:r>
    </w:p>
    <w:p w14:paraId="28E9D85F">
      <w:pPr>
        <w:widowControl w:val="0"/>
        <w:spacing w:line="360" w:lineRule="auto"/>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 xml:space="preserve">2）投标人须承诺在本项目投入至少5名项目团队成员，其中包含检测报告授权签字人（不包含项目负责人）作为测评团队人员为采购人提供服务。 </w:t>
      </w:r>
    </w:p>
    <w:p w14:paraId="12A1DA2F">
      <w:pPr>
        <w:widowControl w:val="0"/>
        <w:spacing w:line="360" w:lineRule="auto"/>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3）投标人应选派与待测评的项目领域相关的专业技术人员，参加现场测评准备和测评工作。测评人员应熟悉深圳市政务信息化项目建设、管理方面的政策法规，熟悉待测评项目的招投标文件、合同、实施资料等相关材料,并严格执行该项目相关法律法规以及技术文件。</w:t>
      </w:r>
    </w:p>
    <w:p w14:paraId="235FD05C">
      <w:pPr>
        <w:widowControl w:val="0"/>
        <w:spacing w:line="360" w:lineRule="auto"/>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4.项目保密及安全要求</w:t>
      </w:r>
    </w:p>
    <w:p w14:paraId="261D019E">
      <w:pPr>
        <w:widowControl w:val="0"/>
        <w:spacing w:line="360" w:lineRule="auto"/>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严格遵守有关法规和政府内部规章制度，不得擅自翻阅、复制、传播所接触的用户资料或数据。所有参与项目的人员与深圳市医疗保障局依据国家相关法律法规的保密要求协商签订保密协议，保证不向外泄露本项目所有资料及用作其他用途。如项目服务人员发生泄密事件，一切后果由中标公司承担。</w:t>
      </w:r>
    </w:p>
    <w:p w14:paraId="1113E628">
      <w:pPr>
        <w:widowControl w:val="0"/>
        <w:spacing w:line="360" w:lineRule="auto"/>
        <w:ind w:firstLine="420" w:firstLineChars="200"/>
        <w:jc w:val="both"/>
        <w:rPr>
          <w:rFonts w:hint="eastAsia" w:ascii="宋体" w:hAnsi="宋体" w:eastAsia="宋体" w:cs="宋体"/>
          <w:b/>
          <w:bCs/>
          <w:kern w:val="2"/>
          <w:sz w:val="21"/>
          <w:szCs w:val="21"/>
          <w:lang w:eastAsia="zh-CN"/>
        </w:rPr>
      </w:pPr>
      <w:r>
        <w:rPr>
          <w:rFonts w:hint="eastAsia" w:ascii="宋体" w:hAnsi="宋体" w:eastAsia="宋体" w:cs="宋体"/>
          <w:kern w:val="2"/>
          <w:sz w:val="21"/>
          <w:szCs w:val="21"/>
          <w:lang w:eastAsia="zh-CN"/>
        </w:rPr>
        <w:t>5.项目验收要求</w:t>
      </w:r>
    </w:p>
    <w:p w14:paraId="091C40B2">
      <w:pPr>
        <w:widowControl w:val="0"/>
        <w:spacing w:line="360" w:lineRule="auto"/>
        <w:ind w:firstLine="422" w:firstLineChars="200"/>
        <w:jc w:val="both"/>
        <w:rPr>
          <w:rFonts w:ascii="宋体" w:hAnsi="宋体" w:eastAsia="宋体" w:cs="宋体"/>
          <w:b/>
          <w:bCs/>
          <w:kern w:val="2"/>
          <w:sz w:val="21"/>
          <w:szCs w:val="21"/>
          <w:lang w:eastAsia="zh-CN"/>
        </w:rPr>
      </w:pPr>
      <w:r>
        <w:rPr>
          <w:rFonts w:hint="eastAsia" w:ascii="宋体" w:hAnsi="宋体" w:eastAsia="宋体" w:cs="宋体"/>
          <w:b/>
          <w:bCs/>
          <w:kern w:val="2"/>
          <w:sz w:val="21"/>
          <w:szCs w:val="21"/>
          <w:lang w:eastAsia="zh-CN"/>
        </w:rPr>
        <w:t>1）验收标准。</w:t>
      </w:r>
    </w:p>
    <w:p w14:paraId="63B9AF1C">
      <w:pPr>
        <w:widowControl w:val="0"/>
        <w:spacing w:line="360" w:lineRule="auto"/>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（1）项目成果严格依照国家颁布的有关法律、法规及政策要求，符合相关的技术规范和标准。</w:t>
      </w:r>
    </w:p>
    <w:p w14:paraId="2C5A3F7B">
      <w:pPr>
        <w:widowControl w:val="0"/>
        <w:spacing w:line="360" w:lineRule="auto"/>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（2）项目成果符合合同约定的成果内容，实现项目目标。</w:t>
      </w:r>
    </w:p>
    <w:p w14:paraId="60F22BE7">
      <w:pPr>
        <w:widowControl w:val="0"/>
        <w:spacing w:line="360" w:lineRule="auto"/>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（3）项目成果应做到文字流畅、思路清晰、逻辑性强、数据详实可靠、图表规范清晰。</w:t>
      </w:r>
    </w:p>
    <w:p w14:paraId="2E638769">
      <w:pPr>
        <w:widowControl w:val="0"/>
        <w:spacing w:line="360" w:lineRule="auto"/>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4）项目成果有下列情况之一者无效：提交的成果不符合合同约定的成果内容和格式；未经采购人同意而逾期送达；有关经济技术指标严重不实；图纸和文字辨认不清、内容不全、粗制滥造；未盖有中标人公章等。</w:t>
      </w:r>
    </w:p>
    <w:p w14:paraId="5192419F">
      <w:pPr>
        <w:widowControl w:val="0"/>
        <w:spacing w:line="360" w:lineRule="auto"/>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2）验收要求。</w:t>
      </w:r>
    </w:p>
    <w:p w14:paraId="150B3847">
      <w:pPr>
        <w:widowControl w:val="0"/>
        <w:spacing w:line="360" w:lineRule="auto"/>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（1）完成项目网络安全等级保护测评服务，出具通过的《网络安全等级保护测评报告》（纸质版2份、电子版1份）；</w:t>
      </w:r>
    </w:p>
    <w:p w14:paraId="76E0494F">
      <w:pPr>
        <w:widowControl w:val="0"/>
        <w:spacing w:line="360" w:lineRule="auto"/>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（2）完成项目专项安全测评服务，并提交通过的成果报告（纸质版2份、电子版1份）；</w:t>
      </w:r>
    </w:p>
    <w:p w14:paraId="3447E7F9">
      <w:pPr>
        <w:widowControl w:val="0"/>
        <w:spacing w:line="360" w:lineRule="auto"/>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（3）完成商用密码应用安全性测评（商用密码应用安全性评估）服务，并提交通过的成果报告（纸质版2份、电子版1份）；完成向深圳市密码管理局备案并获得备案回执；</w:t>
      </w:r>
    </w:p>
    <w:p w14:paraId="37C2A0A5">
      <w:pPr>
        <w:widowControl w:val="0"/>
        <w:spacing w:line="360" w:lineRule="auto"/>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（4）完成第三方验收测评服务，并提供通过的项目检测报告（纸质版2份，电子版1份）。</w:t>
      </w:r>
    </w:p>
    <w:p w14:paraId="4F3410CD">
      <w:pPr>
        <w:widowControl w:val="0"/>
        <w:spacing w:line="360" w:lineRule="auto"/>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（5）完成信创符合性审查服务，并提供通过的项目检测报告（纸质版2份，电子版1份）。</w:t>
      </w:r>
    </w:p>
    <w:p w14:paraId="1806A4AB">
      <w:pPr>
        <w:widowControl w:val="0"/>
        <w:spacing w:line="360" w:lineRule="auto"/>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3）验收方法。</w:t>
      </w:r>
    </w:p>
    <w:p w14:paraId="67810C86">
      <w:pPr>
        <w:widowControl w:val="0"/>
        <w:spacing w:line="360" w:lineRule="auto"/>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当满足以下条件时，采购人向中标人签发验收报告：</w:t>
      </w:r>
    </w:p>
    <w:p w14:paraId="421252FF">
      <w:pPr>
        <w:widowControl w:val="0"/>
        <w:spacing w:line="360" w:lineRule="auto"/>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（1）中标人已按合同约定提供了全部技术资料。</w:t>
      </w:r>
    </w:p>
    <w:p w14:paraId="3E6AD467">
      <w:pPr>
        <w:widowControl w:val="0"/>
        <w:spacing w:line="360" w:lineRule="auto"/>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（2）服务过程符合合同约定的服务要求。</w:t>
      </w:r>
    </w:p>
    <w:p w14:paraId="33D0BA2E">
      <w:pPr>
        <w:widowControl w:val="0"/>
        <w:spacing w:line="360" w:lineRule="auto"/>
        <w:ind w:firstLine="420" w:firstLineChars="200"/>
        <w:jc w:val="both"/>
        <w:rPr>
          <w:rFonts w:hint="eastAsia" w:ascii="宋体" w:hAnsi="宋体" w:eastAsia="宋体" w:cs="宋体"/>
          <w:kern w:val="2"/>
          <w:sz w:val="21"/>
          <w:lang w:eastAsia="zh-CN"/>
        </w:rPr>
      </w:pPr>
      <w:r>
        <w:rPr>
          <w:rFonts w:hint="eastAsia" w:ascii="宋体" w:hAnsi="宋体" w:eastAsia="宋体" w:cs="宋体"/>
          <w:kern w:val="2"/>
          <w:sz w:val="21"/>
          <w:szCs w:val="21"/>
          <w:lang w:eastAsia="zh-CN"/>
        </w:rPr>
        <w:t>（3）项目成果通过采购人组织的验收评审会。</w:t>
      </w:r>
    </w:p>
    <w:p w14:paraId="21EAD0CC">
      <w:pPr>
        <w:widowControl w:val="0"/>
        <w:spacing w:line="360" w:lineRule="auto"/>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5.投标报价要求</w:t>
      </w:r>
    </w:p>
    <w:p w14:paraId="5B210F36">
      <w:pPr>
        <w:widowControl w:val="0"/>
        <w:spacing w:line="360" w:lineRule="auto"/>
        <w:ind w:firstLine="420" w:firstLineChars="200"/>
        <w:jc w:val="both"/>
        <w:rPr>
          <w:rFonts w:hint="eastAsia" w:ascii="宋体" w:hAnsi="宋体" w:eastAsia="宋体" w:cs="宋体"/>
          <w:bCs/>
          <w:kern w:val="2"/>
          <w:sz w:val="21"/>
          <w:szCs w:val="21"/>
          <w:lang w:eastAsia="zh-CN"/>
        </w:rPr>
      </w:pPr>
      <w:r>
        <w:rPr>
          <w:rFonts w:hint="eastAsia" w:ascii="宋体" w:hAnsi="宋体" w:eastAsia="宋体" w:cs="宋体"/>
          <w:bCs/>
          <w:kern w:val="2"/>
          <w:sz w:val="21"/>
          <w:szCs w:val="21"/>
          <w:lang w:eastAsia="zh-CN"/>
        </w:rPr>
        <w:t>本项目预算金额（最高限价）为：人民币720400.00元，超过最高限价的投标人视为投标无效。投标人的投标报价，应是本项目招标范围和招标文件及合同条款上所列的各项内容中所述的全部，不得以任何理由予以重复，并以投标人在投标文件中提出的综合单价或总价为依据。</w:t>
      </w:r>
    </w:p>
    <w:p w14:paraId="43ECDB6B">
      <w:pPr>
        <w:widowControl w:val="0"/>
        <w:spacing w:line="360" w:lineRule="auto"/>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 xml:space="preserve">6.付款方式 </w:t>
      </w:r>
    </w:p>
    <w:p w14:paraId="583F47C4">
      <w:pPr>
        <w:widowControl w:val="0"/>
        <w:spacing w:line="360" w:lineRule="auto"/>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（1）首期款：在本项目合同生效后10个工作日内，甲方支付首期款，付款金额为合同总金额的60%；</w:t>
      </w:r>
    </w:p>
    <w:p w14:paraId="0FCEB670">
      <w:pPr>
        <w:widowControl w:val="0"/>
        <w:spacing w:line="360" w:lineRule="auto"/>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（2）二期款：乙方出具报告初稿后，甲方支付二期款，付款金额为合同总金额的30%；</w:t>
      </w:r>
    </w:p>
    <w:p w14:paraId="73D34950">
      <w:pPr>
        <w:widowControl w:val="0"/>
        <w:spacing w:line="360" w:lineRule="auto"/>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（3）尾款：项目验收通过后，甲方支付尾款，付款金额为合同总金额的10%。</w:t>
      </w:r>
    </w:p>
    <w:p w14:paraId="3F2D0115">
      <w:pPr>
        <w:widowControl w:val="0"/>
        <w:spacing w:line="360" w:lineRule="auto"/>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7.知识产权要求</w:t>
      </w:r>
    </w:p>
    <w:p w14:paraId="30DA1F9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Cs/>
          <w:kern w:val="2"/>
          <w:sz w:val="21"/>
          <w:szCs w:val="21"/>
          <w:lang w:eastAsia="zh-CN"/>
        </w:rPr>
      </w:pPr>
      <w:r>
        <w:rPr>
          <w:rFonts w:hint="eastAsia" w:ascii="宋体" w:hAnsi="宋体" w:eastAsia="宋体" w:cs="宋体"/>
          <w:bCs/>
          <w:kern w:val="2"/>
          <w:sz w:val="21"/>
          <w:szCs w:val="21"/>
          <w:lang w:eastAsia="zh-CN"/>
        </w:rPr>
        <w:t xml:space="preserve">1）投标人提供技术资料及项目文档齐全。 </w:t>
      </w:r>
    </w:p>
    <w:p w14:paraId="05E63DA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Cs/>
          <w:kern w:val="2"/>
          <w:sz w:val="21"/>
          <w:szCs w:val="21"/>
          <w:lang w:eastAsia="zh-CN"/>
        </w:rPr>
      </w:pPr>
      <w:r>
        <w:rPr>
          <w:rFonts w:hint="eastAsia" w:ascii="宋体" w:hAnsi="宋体" w:eastAsia="宋体" w:cs="宋体"/>
          <w:bCs/>
          <w:kern w:val="2"/>
          <w:sz w:val="21"/>
          <w:szCs w:val="21"/>
          <w:lang w:eastAsia="zh-CN"/>
        </w:rPr>
        <w:t xml:space="preserve">2）投标人应保证本项目的投标技术、服务或其他任何一部分不会产生因第三方提出侵犯其专利权、商标权或其他知识产权而引起的法律或经济纠纷；如因第三方提出其专利权、商标权或其他知识产权的侵权之诉，则一切法律责任由投标人承担。 </w:t>
      </w:r>
    </w:p>
    <w:p w14:paraId="4523FE88">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3）投标人因提供本合同服务所产生的所有成果的知识产权归属采购人所有。</w:t>
      </w:r>
    </w:p>
    <w:p w14:paraId="4544D3C9">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ascii="宋体" w:hAnsi="宋体" w:eastAsia="宋体" w:cs="宋体"/>
          <w:kern w:val="2"/>
          <w:sz w:val="21"/>
          <w:szCs w:val="21"/>
          <w:lang w:eastAsia="zh-CN"/>
        </w:rPr>
      </w:pPr>
      <w:r>
        <w:rPr>
          <w:rFonts w:hint="eastAsia" w:ascii="宋体" w:hAnsi="宋体" w:eastAsia="宋体" w:cs="宋体"/>
          <w:kern w:val="2"/>
          <w:sz w:val="21"/>
          <w:szCs w:val="21"/>
          <w:lang w:eastAsia="zh-CN"/>
        </w:rPr>
        <w:t>8</w:t>
      </w:r>
      <w:r>
        <w:rPr>
          <w:rFonts w:ascii="宋体" w:hAnsi="宋体" w:eastAsia="宋体" w:cs="宋体"/>
          <w:kern w:val="2"/>
          <w:sz w:val="21"/>
          <w:szCs w:val="21"/>
          <w:lang w:eastAsia="zh-CN"/>
        </w:rPr>
        <w:t>.其他要求</w:t>
      </w:r>
    </w:p>
    <w:p w14:paraId="4C2CEF52">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ascii="宋体" w:hAnsi="宋体" w:eastAsia="宋体" w:cs="宋体"/>
          <w:kern w:val="2"/>
          <w:sz w:val="21"/>
          <w:szCs w:val="21"/>
          <w:lang w:eastAsia="zh-CN"/>
        </w:rPr>
      </w:pPr>
      <w:r>
        <w:rPr>
          <w:rFonts w:ascii="宋体" w:hAnsi="宋体" w:eastAsia="宋体" w:cs="宋体"/>
          <w:kern w:val="2"/>
          <w:sz w:val="21"/>
          <w:szCs w:val="21"/>
          <w:lang w:eastAsia="zh-CN"/>
        </w:rPr>
        <w:t>（1）中标人不得将本项目全部转包给他人，非关键性工作可以分包给具备相应资质的单位，分包方不得再次分包。</w:t>
      </w:r>
    </w:p>
    <w:p w14:paraId="1C9ECA61">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ascii="宋体" w:hAnsi="宋体" w:eastAsia="宋体" w:cs="宋体"/>
          <w:kern w:val="2"/>
          <w:sz w:val="21"/>
          <w:szCs w:val="21"/>
          <w:lang w:eastAsia="zh-CN"/>
        </w:rPr>
      </w:pPr>
      <w:r>
        <w:rPr>
          <w:rFonts w:ascii="宋体" w:hAnsi="宋体" w:eastAsia="宋体" w:cs="宋体"/>
          <w:kern w:val="2"/>
          <w:sz w:val="21"/>
          <w:szCs w:val="21"/>
          <w:lang w:eastAsia="zh-CN"/>
        </w:rPr>
        <w:t>（2）本项目技术架构复杂，专业性强。为确保成功交付，要求投标人需具备承接此类复杂项目的专业实力与成功经验，并在此技术领域内拥有良好的实践积累，包括但不限于参与相关标准制定、持有相关软件著作权、专利或商业检测工具等。投标人须提供相应证明材料。</w:t>
      </w:r>
    </w:p>
    <w:p w14:paraId="59AFA169">
      <w:pPr>
        <w:widowControl w:val="0"/>
        <w:jc w:val="both"/>
        <w:rPr>
          <w:rFonts w:eastAsia="宋体"/>
          <w:kern w:val="2"/>
          <w:sz w:val="21"/>
          <w:lang w:eastAsia="zh-CN"/>
        </w:rPr>
      </w:pPr>
    </w:p>
    <w:p w14:paraId="5573B578">
      <w:pPr>
        <w:widowControl w:val="0"/>
        <w:adjustRightInd w:val="0"/>
        <w:spacing w:before="120" w:beforeLines="50" w:after="120" w:afterLines="50" w:line="240" w:lineRule="auto"/>
        <w:jc w:val="center"/>
        <w:textAlignment w:val="baseline"/>
        <w:outlineLvl w:val="1"/>
        <w:rPr>
          <w:rFonts w:hint="eastAsia" w:ascii="宋体" w:hAnsi="宋体" w:eastAsia="宋体"/>
          <w:lang w:eastAsia="zh-CN"/>
        </w:rPr>
      </w:pPr>
      <w:r>
        <w:rPr>
          <w:rFonts w:hint="eastAsia" w:ascii="宋体" w:hAnsi="宋体" w:eastAsia="宋体"/>
          <w:lang w:eastAsia="zh-CN"/>
        </w:rPr>
        <w:t>七、其他重要条款</w:t>
      </w:r>
    </w:p>
    <w:p w14:paraId="3B64DF7F">
      <w:pPr>
        <w:widowControl w:val="0"/>
        <w:ind w:firstLine="420" w:firstLineChars="200"/>
        <w:jc w:val="both"/>
        <w:rPr>
          <w:rFonts w:eastAsia="宋体"/>
          <w:bCs/>
          <w:kern w:val="2"/>
          <w:sz w:val="21"/>
          <w:szCs w:val="21"/>
          <w:lang w:eastAsia="zh-CN"/>
        </w:rPr>
      </w:pPr>
      <w:bookmarkStart w:id="36" w:name="_Hlk72257111"/>
      <w:r>
        <w:rPr>
          <w:rFonts w:hint="eastAsia" w:eastAsia="宋体"/>
          <w:bCs/>
          <w:kern w:val="2"/>
          <w:sz w:val="21"/>
          <w:szCs w:val="21"/>
          <w:lang w:eastAsia="zh-CN"/>
        </w:rPr>
        <w:t>1、本项目投标报价采用包干制，应包括成本、法定税费和相应的利润，应涵盖本项目招标范围和招标文件所列的各项内容中所述的全部。由投标人根据招标需求自行测算投标报价；一经中标，投标报价即作为中标单位与采购人签订的合同金额。</w:t>
      </w:r>
    </w:p>
    <w:p w14:paraId="5AC682D8">
      <w:pPr>
        <w:widowControl w:val="0"/>
        <w:spacing w:before="60" w:beforeLines="25" w:after="60" w:afterLines="25"/>
        <w:ind w:firstLine="392" w:firstLineChars="187"/>
        <w:jc w:val="both"/>
        <w:rPr>
          <w:rFonts w:hint="eastAsia" w:ascii="宋体" w:hAnsi="宋体" w:eastAsia="宋体"/>
          <w:kern w:val="2"/>
          <w:sz w:val="21"/>
          <w:szCs w:val="21"/>
          <w:lang w:eastAsia="zh-CN"/>
        </w:rPr>
      </w:pPr>
      <w:r>
        <w:rPr>
          <w:rFonts w:eastAsia="宋体"/>
          <w:bCs/>
          <w:kern w:val="2"/>
          <w:sz w:val="21"/>
          <w:szCs w:val="21"/>
          <w:lang w:eastAsia="zh-CN"/>
        </w:rPr>
        <w:t>2</w:t>
      </w:r>
      <w:r>
        <w:rPr>
          <w:rFonts w:hint="eastAsia" w:eastAsia="宋体"/>
          <w:bCs/>
          <w:kern w:val="2"/>
          <w:sz w:val="21"/>
          <w:szCs w:val="21"/>
          <w:lang w:eastAsia="zh-CN"/>
        </w:rPr>
        <w:t>、投标人应充分了解项目的位置、情况、道路及任何其他足以影响投标报价的情况，任何因忽视或误解项目情况而导致的索赔或服务期限延长申请将不获批准。</w:t>
      </w:r>
    </w:p>
    <w:p w14:paraId="13137930">
      <w:pPr>
        <w:widowControl w:val="0"/>
        <w:ind w:firstLine="420" w:firstLineChars="200"/>
        <w:jc w:val="both"/>
        <w:rPr>
          <w:rFonts w:eastAsia="宋体"/>
          <w:bCs/>
          <w:kern w:val="2"/>
          <w:sz w:val="21"/>
          <w:szCs w:val="21"/>
          <w:lang w:eastAsia="zh-CN"/>
        </w:rPr>
      </w:pPr>
      <w:r>
        <w:rPr>
          <w:rFonts w:eastAsia="宋体"/>
          <w:bCs/>
          <w:kern w:val="2"/>
          <w:sz w:val="21"/>
          <w:szCs w:val="21"/>
          <w:lang w:eastAsia="zh-CN"/>
        </w:rPr>
        <w:t>3</w:t>
      </w:r>
      <w:r>
        <w:rPr>
          <w:rFonts w:hint="eastAsia" w:eastAsia="宋体"/>
          <w:bCs/>
          <w:kern w:val="2"/>
          <w:sz w:val="21"/>
          <w:szCs w:val="21"/>
          <w:lang w:eastAsia="zh-CN"/>
        </w:rPr>
        <w:t>、投标人不得期望通过索赔等方式获取补偿，否则，除可能遭到拒绝外，还可能将被作为不良行为记录在案，并可能影响其以后参加政府采购的项目投标。各投标人在投标报价时，应充分考虑投标报价的风险。</w:t>
      </w:r>
    </w:p>
    <w:p w14:paraId="0A4EC004">
      <w:pPr>
        <w:widowControl w:val="0"/>
        <w:ind w:firstLine="420" w:firstLineChars="200"/>
        <w:jc w:val="both"/>
        <w:rPr>
          <w:rFonts w:eastAsia="宋体"/>
          <w:bCs/>
          <w:kern w:val="2"/>
          <w:sz w:val="21"/>
          <w:szCs w:val="21"/>
          <w:lang w:eastAsia="zh-CN"/>
        </w:rPr>
      </w:pPr>
      <w:r>
        <w:rPr>
          <w:rFonts w:eastAsia="宋体"/>
          <w:bCs/>
          <w:kern w:val="2"/>
          <w:sz w:val="21"/>
          <w:szCs w:val="21"/>
          <w:lang w:eastAsia="zh-CN"/>
        </w:rPr>
        <w:t>4</w:t>
      </w:r>
      <w:r>
        <w:rPr>
          <w:rFonts w:hint="eastAsia" w:eastAsia="宋体"/>
          <w:bCs/>
          <w:kern w:val="2"/>
          <w:sz w:val="21"/>
          <w:szCs w:val="21"/>
          <w:lang w:eastAsia="zh-CN"/>
        </w:rPr>
        <w:t>、鼓励采购人积极运用公共信用信息，明确对信用记录良好的供应商（特别是中小微企业）免收履约保证金，确需收取履约保证金的，列明通过保函等非现金方式收取。在采购合同中明确对上述企业加大首付款或预付款比例，具体由采购人根据项目实际情况确定。</w:t>
      </w:r>
    </w:p>
    <w:p w14:paraId="07648DBF">
      <w:pPr>
        <w:widowControl/>
        <w:ind w:firstLine="420" w:firstLineChars="200"/>
        <w:jc w:val="left"/>
        <w:rPr>
          <w:rFonts w:hint="eastAsia" w:ascii="宋体" w:hAnsi="宋体" w:eastAsia="宋体"/>
          <w:b/>
          <w:bCs/>
          <w:kern w:val="2"/>
          <w:szCs w:val="20"/>
          <w:lang w:eastAsia="zh-CN"/>
        </w:rPr>
      </w:pPr>
      <w:r>
        <w:rPr>
          <w:rFonts w:eastAsia="宋体"/>
          <w:bCs/>
          <w:kern w:val="2"/>
          <w:sz w:val="21"/>
          <w:szCs w:val="21"/>
          <w:lang w:eastAsia="zh-CN"/>
        </w:rPr>
        <w:t>5</w:t>
      </w:r>
      <w:r>
        <w:rPr>
          <w:rFonts w:hint="eastAsia" w:eastAsia="宋体"/>
          <w:bCs/>
          <w:kern w:val="2"/>
          <w:sz w:val="21"/>
          <w:szCs w:val="21"/>
          <w:lang w:eastAsia="zh-CN"/>
        </w:rPr>
        <w:t>、除采购合同继续履行将损害国家利益和社会公共利益外，双方当事人不得擅自变更、中止或者终止合同。</w:t>
      </w:r>
      <w:bookmarkEnd w:id="36"/>
      <w:r>
        <w:rPr>
          <w:rFonts w:eastAsia="宋体"/>
          <w:kern w:val="2"/>
          <w:sz w:val="21"/>
          <w:lang w:eastAsia="zh-CN"/>
        </w:rPr>
        <w:br w:type="page"/>
      </w:r>
    </w:p>
    <w:p w14:paraId="1AD0C621">
      <w:pPr>
        <w:widowControl w:val="0"/>
        <w:adjustRightInd w:val="0"/>
        <w:spacing w:before="260" w:after="260" w:line="240" w:lineRule="auto"/>
        <w:jc w:val="center"/>
        <w:textAlignment w:val="baseline"/>
        <w:outlineLvl w:val="1"/>
        <w:rPr>
          <w:rFonts w:hint="eastAsia" w:ascii="宋体" w:hAnsi="宋体" w:eastAsia="宋体"/>
          <w:sz w:val="28"/>
          <w:szCs w:val="28"/>
          <w:lang w:eastAsia="zh-CN"/>
        </w:rPr>
      </w:pPr>
      <w:r>
        <w:rPr>
          <w:rFonts w:hint="eastAsia" w:ascii="宋体" w:hAnsi="宋体" w:eastAsia="宋体"/>
          <w:sz w:val="28"/>
          <w:szCs w:val="28"/>
          <w:lang w:eastAsia="zh-CN"/>
        </w:rPr>
        <w:t>第四章 投标文件组成要求及格式</w:t>
      </w:r>
    </w:p>
    <w:p w14:paraId="5C4A3B1E">
      <w:pPr>
        <w:widowControl/>
        <w:jc w:val="left"/>
        <w:rPr>
          <w:rFonts w:hint="eastAsia" w:ascii="宋体" w:hAnsi="宋体" w:eastAsia="宋体"/>
          <w:kern w:val="2"/>
          <w:lang w:eastAsia="zh-CN"/>
        </w:rPr>
      </w:pPr>
    </w:p>
    <w:p w14:paraId="4F677A0C">
      <w:pPr>
        <w:widowControl w:val="0"/>
        <w:jc w:val="both"/>
        <w:rPr>
          <w:rFonts w:hint="eastAsia" w:ascii="宋体" w:hAnsi="宋体" w:eastAsia="宋体"/>
          <w:b/>
          <w:bCs/>
          <w:kern w:val="2"/>
          <w:lang w:eastAsia="zh-CN"/>
        </w:rPr>
      </w:pPr>
      <w:r>
        <w:rPr>
          <w:rFonts w:hint="eastAsia" w:ascii="宋体" w:hAnsi="宋体" w:eastAsia="宋体"/>
          <w:b/>
          <w:bCs/>
          <w:kern w:val="2"/>
          <w:lang w:eastAsia="zh-CN"/>
        </w:rPr>
        <w:t>投标文件组成主要包括以下内容：</w:t>
      </w:r>
    </w:p>
    <w:p w14:paraId="1A68C52A">
      <w:pPr>
        <w:widowControl w:val="0"/>
        <w:ind w:firstLine="420" w:firstLineChars="200"/>
        <w:jc w:val="both"/>
        <w:rPr>
          <w:rFonts w:eastAsia="宋体"/>
          <w:kern w:val="2"/>
          <w:sz w:val="21"/>
          <w:szCs w:val="21"/>
          <w:lang w:eastAsia="zh-CN"/>
        </w:rPr>
      </w:pPr>
    </w:p>
    <w:p w14:paraId="41C46CCF">
      <w:pPr>
        <w:widowControl w:val="0"/>
        <w:ind w:firstLine="420" w:firstLineChars="200"/>
        <w:jc w:val="both"/>
        <w:rPr>
          <w:rFonts w:eastAsia="宋体"/>
          <w:kern w:val="2"/>
          <w:sz w:val="21"/>
          <w:szCs w:val="21"/>
          <w:lang w:eastAsia="zh-CN"/>
        </w:rPr>
      </w:pPr>
      <w:r>
        <w:rPr>
          <w:rFonts w:hint="eastAsia" w:eastAsia="宋体"/>
          <w:kern w:val="2"/>
          <w:sz w:val="21"/>
          <w:szCs w:val="21"/>
          <w:lang w:eastAsia="zh-CN"/>
        </w:rPr>
        <w:t>（1）投标函</w:t>
      </w:r>
    </w:p>
    <w:p w14:paraId="1CEAF7BB">
      <w:pPr>
        <w:widowControl w:val="0"/>
        <w:ind w:firstLine="420" w:firstLineChars="200"/>
        <w:jc w:val="both"/>
        <w:rPr>
          <w:rFonts w:eastAsia="宋体"/>
          <w:kern w:val="2"/>
          <w:sz w:val="21"/>
          <w:szCs w:val="21"/>
          <w:lang w:eastAsia="zh-CN"/>
        </w:rPr>
      </w:pPr>
      <w:r>
        <w:rPr>
          <w:rFonts w:hint="eastAsia" w:eastAsia="宋体"/>
          <w:kern w:val="2"/>
          <w:sz w:val="21"/>
          <w:szCs w:val="21"/>
          <w:lang w:eastAsia="zh-CN"/>
        </w:rPr>
        <w:t>（2）采购投标及履约承诺函</w:t>
      </w:r>
    </w:p>
    <w:p w14:paraId="1BB18BDC">
      <w:pPr>
        <w:widowControl w:val="0"/>
        <w:ind w:firstLine="420" w:firstLineChars="200"/>
        <w:jc w:val="both"/>
        <w:rPr>
          <w:rFonts w:eastAsia="宋体"/>
          <w:kern w:val="2"/>
          <w:sz w:val="21"/>
          <w:szCs w:val="21"/>
          <w:lang w:eastAsia="zh-CN"/>
        </w:rPr>
      </w:pPr>
      <w:r>
        <w:rPr>
          <w:rFonts w:hint="eastAsia" w:eastAsia="宋体"/>
          <w:kern w:val="2"/>
          <w:sz w:val="21"/>
          <w:szCs w:val="21"/>
          <w:lang w:eastAsia="zh-CN"/>
        </w:rPr>
        <w:t>（</w:t>
      </w:r>
      <w:r>
        <w:rPr>
          <w:rFonts w:eastAsia="宋体"/>
          <w:kern w:val="2"/>
          <w:sz w:val="21"/>
          <w:szCs w:val="21"/>
          <w:lang w:eastAsia="zh-CN"/>
        </w:rPr>
        <w:t>3</w:t>
      </w:r>
      <w:r>
        <w:rPr>
          <w:rFonts w:hint="eastAsia" w:eastAsia="宋体"/>
          <w:kern w:val="2"/>
          <w:sz w:val="21"/>
          <w:szCs w:val="21"/>
          <w:lang w:eastAsia="zh-CN"/>
        </w:rPr>
        <w:t>）投标人情况及资格证明文件</w:t>
      </w:r>
    </w:p>
    <w:p w14:paraId="585D3A21">
      <w:pPr>
        <w:widowControl w:val="0"/>
        <w:ind w:firstLine="420" w:firstLineChars="200"/>
        <w:jc w:val="both"/>
        <w:rPr>
          <w:rFonts w:eastAsia="宋体"/>
          <w:kern w:val="2"/>
          <w:sz w:val="21"/>
          <w:szCs w:val="21"/>
          <w:lang w:eastAsia="zh-CN"/>
        </w:rPr>
      </w:pPr>
      <w:r>
        <w:rPr>
          <w:rFonts w:hint="eastAsia" w:eastAsia="宋体"/>
          <w:kern w:val="2"/>
          <w:sz w:val="21"/>
          <w:szCs w:val="21"/>
          <w:lang w:eastAsia="zh-CN"/>
        </w:rPr>
        <w:t>（</w:t>
      </w:r>
      <w:r>
        <w:rPr>
          <w:rFonts w:eastAsia="宋体"/>
          <w:kern w:val="2"/>
          <w:sz w:val="21"/>
          <w:szCs w:val="21"/>
          <w:lang w:eastAsia="zh-CN"/>
        </w:rPr>
        <w:t>4</w:t>
      </w:r>
      <w:r>
        <w:rPr>
          <w:rFonts w:hint="eastAsia" w:eastAsia="宋体"/>
          <w:kern w:val="2"/>
          <w:sz w:val="21"/>
          <w:szCs w:val="21"/>
          <w:lang w:eastAsia="zh-CN"/>
        </w:rPr>
        <w:t>）项目详细报价</w:t>
      </w:r>
    </w:p>
    <w:p w14:paraId="13AB9D76">
      <w:pPr>
        <w:widowControl w:val="0"/>
        <w:ind w:firstLine="420" w:firstLineChars="200"/>
        <w:jc w:val="both"/>
        <w:rPr>
          <w:rFonts w:eastAsia="宋体"/>
          <w:kern w:val="2"/>
          <w:sz w:val="21"/>
          <w:szCs w:val="21"/>
          <w:lang w:eastAsia="zh-CN"/>
        </w:rPr>
      </w:pPr>
      <w:r>
        <w:rPr>
          <w:rFonts w:hint="eastAsia" w:eastAsia="宋体"/>
          <w:kern w:val="2"/>
          <w:sz w:val="21"/>
          <w:szCs w:val="21"/>
          <w:lang w:eastAsia="zh-CN"/>
        </w:rPr>
        <w:t>（5）法定代表人（负责人）证明书</w:t>
      </w:r>
    </w:p>
    <w:p w14:paraId="55C70C59">
      <w:pPr>
        <w:widowControl w:val="0"/>
        <w:ind w:firstLine="420" w:firstLineChars="200"/>
        <w:jc w:val="both"/>
        <w:rPr>
          <w:rFonts w:eastAsia="宋体"/>
          <w:kern w:val="2"/>
          <w:sz w:val="21"/>
          <w:szCs w:val="21"/>
          <w:lang w:eastAsia="zh-CN"/>
        </w:rPr>
      </w:pPr>
      <w:r>
        <w:rPr>
          <w:rFonts w:hint="eastAsia" w:eastAsia="宋体"/>
          <w:kern w:val="2"/>
          <w:sz w:val="21"/>
          <w:szCs w:val="21"/>
          <w:lang w:eastAsia="zh-CN"/>
        </w:rPr>
        <w:t>（6）投标文件签署授权委托书</w:t>
      </w:r>
    </w:p>
    <w:p w14:paraId="3B0E8F9E">
      <w:pPr>
        <w:widowControl w:val="0"/>
        <w:ind w:firstLine="420" w:firstLineChars="200"/>
        <w:jc w:val="both"/>
        <w:rPr>
          <w:rFonts w:eastAsia="宋体"/>
          <w:kern w:val="2"/>
          <w:sz w:val="21"/>
          <w:szCs w:val="21"/>
          <w:lang w:eastAsia="zh-CN"/>
        </w:rPr>
      </w:pPr>
      <w:r>
        <w:rPr>
          <w:rFonts w:hint="eastAsia" w:eastAsia="宋体"/>
          <w:kern w:val="2"/>
          <w:sz w:val="21"/>
          <w:szCs w:val="21"/>
          <w:lang w:eastAsia="zh-CN"/>
        </w:rPr>
        <w:t>（7）实质性条款响应情况表</w:t>
      </w:r>
    </w:p>
    <w:p w14:paraId="6501D594">
      <w:pPr>
        <w:widowControl w:val="0"/>
        <w:ind w:firstLine="420" w:firstLineChars="200"/>
        <w:jc w:val="both"/>
        <w:rPr>
          <w:rFonts w:eastAsia="宋体"/>
          <w:kern w:val="2"/>
          <w:sz w:val="21"/>
          <w:szCs w:val="21"/>
          <w:lang w:eastAsia="zh-CN"/>
        </w:rPr>
      </w:pPr>
      <w:r>
        <w:rPr>
          <w:rFonts w:hint="eastAsia" w:eastAsia="宋体"/>
          <w:kern w:val="2"/>
          <w:sz w:val="21"/>
          <w:szCs w:val="21"/>
          <w:lang w:eastAsia="zh-CN"/>
        </w:rPr>
        <w:t>（8）实施方案（格式自定）</w:t>
      </w:r>
    </w:p>
    <w:p w14:paraId="5455DE24">
      <w:pPr>
        <w:widowControl w:val="0"/>
        <w:ind w:firstLine="420" w:firstLineChars="200"/>
        <w:jc w:val="both"/>
        <w:rPr>
          <w:rFonts w:eastAsia="宋体"/>
          <w:kern w:val="2"/>
          <w:sz w:val="21"/>
          <w:szCs w:val="21"/>
          <w:lang w:eastAsia="zh-CN"/>
        </w:rPr>
      </w:pPr>
      <w:r>
        <w:rPr>
          <w:rFonts w:hint="eastAsia" w:eastAsia="宋体"/>
          <w:kern w:val="2"/>
          <w:sz w:val="21"/>
          <w:szCs w:val="21"/>
          <w:lang w:eastAsia="zh-CN"/>
        </w:rPr>
        <w:t>（9）项目重点难点分析、应对措施及相关的合理化建议（格式自定）</w:t>
      </w:r>
    </w:p>
    <w:p w14:paraId="40935200">
      <w:pPr>
        <w:widowControl w:val="0"/>
        <w:ind w:firstLine="420" w:firstLineChars="200"/>
        <w:jc w:val="both"/>
        <w:rPr>
          <w:rFonts w:eastAsia="宋体"/>
          <w:kern w:val="2"/>
          <w:sz w:val="21"/>
          <w:szCs w:val="21"/>
          <w:lang w:eastAsia="zh-CN"/>
        </w:rPr>
      </w:pPr>
      <w:r>
        <w:rPr>
          <w:rFonts w:hint="eastAsia" w:eastAsia="宋体"/>
          <w:kern w:val="2"/>
          <w:sz w:val="21"/>
          <w:szCs w:val="21"/>
          <w:lang w:eastAsia="zh-CN"/>
        </w:rPr>
        <w:t>（10）质量（完成时间、安全、环保）保障措施及方案（格式自定）</w:t>
      </w:r>
    </w:p>
    <w:p w14:paraId="304BCC54">
      <w:pPr>
        <w:widowControl w:val="0"/>
        <w:ind w:firstLine="420" w:firstLineChars="200"/>
        <w:jc w:val="both"/>
        <w:rPr>
          <w:rFonts w:eastAsia="宋体"/>
          <w:kern w:val="2"/>
          <w:sz w:val="21"/>
          <w:szCs w:val="21"/>
          <w:lang w:eastAsia="zh-CN"/>
        </w:rPr>
      </w:pPr>
      <w:r>
        <w:rPr>
          <w:rFonts w:hint="eastAsia" w:eastAsia="宋体"/>
          <w:kern w:val="2"/>
          <w:sz w:val="21"/>
          <w:szCs w:val="21"/>
          <w:lang w:eastAsia="zh-CN"/>
        </w:rPr>
        <w:t>（11）项目完成（服务期满）后的服务承诺（格式自定）</w:t>
      </w:r>
    </w:p>
    <w:p w14:paraId="6E390CB1">
      <w:pPr>
        <w:widowControl w:val="0"/>
        <w:ind w:firstLine="420" w:firstLineChars="200"/>
        <w:jc w:val="both"/>
        <w:rPr>
          <w:rFonts w:eastAsia="宋体"/>
          <w:kern w:val="2"/>
          <w:sz w:val="21"/>
          <w:szCs w:val="21"/>
          <w:lang w:eastAsia="zh-CN"/>
        </w:rPr>
      </w:pPr>
      <w:r>
        <w:rPr>
          <w:rFonts w:hint="eastAsia" w:eastAsia="宋体"/>
          <w:kern w:val="2"/>
          <w:sz w:val="21"/>
          <w:szCs w:val="21"/>
          <w:lang w:eastAsia="zh-CN"/>
        </w:rPr>
        <w:t>（12）违约承诺（格式自定）</w:t>
      </w:r>
    </w:p>
    <w:p w14:paraId="35DD5A07">
      <w:pPr>
        <w:widowControl w:val="0"/>
        <w:ind w:firstLine="420" w:firstLineChars="200"/>
        <w:jc w:val="both"/>
        <w:rPr>
          <w:rFonts w:eastAsia="宋体"/>
          <w:kern w:val="2"/>
          <w:sz w:val="21"/>
          <w:szCs w:val="21"/>
          <w:lang w:eastAsia="zh-CN"/>
        </w:rPr>
      </w:pPr>
      <w:r>
        <w:rPr>
          <w:rFonts w:hint="eastAsia" w:eastAsia="宋体"/>
          <w:kern w:val="2"/>
          <w:sz w:val="21"/>
          <w:szCs w:val="21"/>
          <w:lang w:eastAsia="zh-CN"/>
        </w:rPr>
        <w:t>（13）拟安排的项目负责人情况（仅限一人）（格式自定）</w:t>
      </w:r>
    </w:p>
    <w:p w14:paraId="7F703328">
      <w:pPr>
        <w:widowControl w:val="0"/>
        <w:ind w:firstLine="420" w:firstLineChars="200"/>
        <w:jc w:val="both"/>
        <w:rPr>
          <w:rFonts w:eastAsia="宋体"/>
          <w:kern w:val="2"/>
          <w:sz w:val="21"/>
          <w:szCs w:val="21"/>
          <w:lang w:eastAsia="zh-CN"/>
        </w:rPr>
      </w:pPr>
      <w:r>
        <w:rPr>
          <w:rFonts w:hint="eastAsia" w:eastAsia="宋体"/>
          <w:kern w:val="2"/>
          <w:sz w:val="21"/>
          <w:szCs w:val="21"/>
          <w:lang w:eastAsia="zh-CN"/>
        </w:rPr>
        <w:t>（14）拟安排的项目主要团队成员（主要技术人员）情况（项目负责人除外）（格式自定）</w:t>
      </w:r>
    </w:p>
    <w:p w14:paraId="62E68F18">
      <w:pPr>
        <w:widowControl w:val="0"/>
        <w:ind w:firstLine="420" w:firstLineChars="200"/>
        <w:jc w:val="both"/>
        <w:rPr>
          <w:rFonts w:eastAsia="宋体"/>
          <w:kern w:val="2"/>
          <w:sz w:val="21"/>
          <w:szCs w:val="21"/>
          <w:lang w:eastAsia="zh-CN"/>
        </w:rPr>
      </w:pPr>
      <w:r>
        <w:rPr>
          <w:rFonts w:hint="eastAsia" w:eastAsia="宋体"/>
          <w:kern w:val="2"/>
          <w:sz w:val="21"/>
          <w:szCs w:val="21"/>
          <w:lang w:eastAsia="zh-CN"/>
        </w:rPr>
        <w:t>（15）供应商认证情况（格式自定）</w:t>
      </w:r>
    </w:p>
    <w:p w14:paraId="53498D05">
      <w:pPr>
        <w:widowControl w:val="0"/>
        <w:ind w:firstLine="420" w:firstLineChars="200"/>
        <w:jc w:val="both"/>
        <w:rPr>
          <w:rFonts w:eastAsia="宋体"/>
          <w:kern w:val="2"/>
          <w:sz w:val="21"/>
          <w:szCs w:val="21"/>
          <w:lang w:eastAsia="zh-CN"/>
        </w:rPr>
      </w:pPr>
      <w:r>
        <w:rPr>
          <w:rFonts w:hint="eastAsia" w:eastAsia="宋体"/>
          <w:kern w:val="2"/>
          <w:sz w:val="21"/>
          <w:szCs w:val="21"/>
          <w:lang w:eastAsia="zh-CN"/>
        </w:rPr>
        <w:t>（16）供应商同类项目业绩情况（格式自定）</w:t>
      </w:r>
    </w:p>
    <w:p w14:paraId="2E6AA706">
      <w:pPr>
        <w:widowControl w:val="0"/>
        <w:ind w:firstLine="420" w:firstLineChars="200"/>
        <w:jc w:val="both"/>
        <w:rPr>
          <w:rFonts w:eastAsia="宋体"/>
          <w:kern w:val="2"/>
          <w:sz w:val="21"/>
          <w:szCs w:val="21"/>
          <w:lang w:eastAsia="zh-CN"/>
        </w:rPr>
      </w:pPr>
      <w:r>
        <w:rPr>
          <w:rFonts w:hint="eastAsia" w:eastAsia="宋体"/>
          <w:kern w:val="2"/>
          <w:sz w:val="21"/>
          <w:szCs w:val="21"/>
          <w:lang w:eastAsia="zh-CN"/>
        </w:rPr>
        <w:t>（17）供应商获奖情况（格式自定）</w:t>
      </w:r>
    </w:p>
    <w:p w14:paraId="22B2AF5B">
      <w:pPr>
        <w:widowControl w:val="0"/>
        <w:ind w:firstLine="420" w:firstLineChars="200"/>
        <w:jc w:val="both"/>
        <w:rPr>
          <w:rFonts w:eastAsia="宋体"/>
          <w:kern w:val="2"/>
          <w:sz w:val="21"/>
          <w:szCs w:val="21"/>
          <w:lang w:eastAsia="zh-CN"/>
        </w:rPr>
      </w:pPr>
      <w:r>
        <w:rPr>
          <w:rFonts w:hint="eastAsia" w:eastAsia="宋体"/>
          <w:kern w:val="2"/>
          <w:sz w:val="21"/>
          <w:szCs w:val="21"/>
          <w:lang w:eastAsia="zh-CN"/>
        </w:rPr>
        <w:t>（18）</w:t>
      </w:r>
      <w:r>
        <w:rPr>
          <w:rFonts w:hint="eastAsia" w:eastAsia="宋体"/>
          <w:kern w:val="2"/>
          <w:sz w:val="21"/>
          <w:lang w:eastAsia="zh-CN"/>
        </w:rPr>
        <w:t>项目相关计算机软件著作权使用权限情况（</w:t>
      </w:r>
      <w:r>
        <w:rPr>
          <w:rFonts w:hint="eastAsia" w:eastAsia="宋体"/>
          <w:kern w:val="2"/>
          <w:sz w:val="21"/>
          <w:szCs w:val="21"/>
          <w:lang w:eastAsia="zh-CN"/>
        </w:rPr>
        <w:t>格式自定）</w:t>
      </w:r>
    </w:p>
    <w:p w14:paraId="0D2BC7A7">
      <w:pPr>
        <w:widowControl w:val="0"/>
        <w:ind w:firstLine="420" w:firstLineChars="200"/>
        <w:jc w:val="both"/>
        <w:rPr>
          <w:rFonts w:eastAsia="宋体"/>
          <w:kern w:val="2"/>
          <w:sz w:val="21"/>
          <w:szCs w:val="21"/>
          <w:lang w:eastAsia="zh-CN"/>
        </w:rPr>
      </w:pPr>
      <w:r>
        <w:rPr>
          <w:rFonts w:hint="eastAsia" w:eastAsia="宋体"/>
          <w:kern w:val="2"/>
          <w:sz w:val="21"/>
          <w:szCs w:val="21"/>
          <w:lang w:eastAsia="zh-CN"/>
        </w:rPr>
        <w:t>（19）投标人认为需要加以说明的其他内容（格式自定）</w:t>
      </w:r>
    </w:p>
    <w:p w14:paraId="71C37803">
      <w:pPr>
        <w:widowControl w:val="0"/>
        <w:jc w:val="both"/>
        <w:rPr>
          <w:rFonts w:ascii="仿宋_GB2312" w:eastAsia="仿宋_GB2312"/>
          <w:kern w:val="2"/>
          <w:lang w:eastAsia="zh-CN"/>
        </w:rPr>
      </w:pPr>
    </w:p>
    <w:p w14:paraId="2D317649">
      <w:pPr>
        <w:widowControl w:val="0"/>
        <w:jc w:val="both"/>
        <w:rPr>
          <w:rFonts w:ascii="仿宋_GB2312" w:eastAsia="仿宋_GB2312"/>
          <w:kern w:val="2"/>
          <w:lang w:eastAsia="zh-CN"/>
        </w:rPr>
      </w:pPr>
    </w:p>
    <w:p w14:paraId="0432CCC6">
      <w:pPr>
        <w:widowControl w:val="0"/>
        <w:ind w:firstLine="426" w:firstLineChars="202"/>
        <w:jc w:val="both"/>
        <w:rPr>
          <w:rFonts w:hint="eastAsia" w:ascii="宋体" w:hAnsi="宋体" w:eastAsia="宋体"/>
          <w:b/>
          <w:kern w:val="2"/>
          <w:sz w:val="21"/>
          <w:szCs w:val="21"/>
          <w:lang w:eastAsia="zh-CN"/>
        </w:rPr>
      </w:pPr>
      <w:r>
        <w:rPr>
          <w:rFonts w:hint="eastAsia" w:ascii="宋体" w:hAnsi="宋体" w:eastAsia="宋体"/>
          <w:b/>
          <w:kern w:val="2"/>
          <w:sz w:val="21"/>
          <w:szCs w:val="21"/>
          <w:lang w:eastAsia="zh-CN"/>
        </w:rPr>
        <w:t>备注：</w:t>
      </w:r>
    </w:p>
    <w:p w14:paraId="09B4985B">
      <w:pPr>
        <w:widowControl w:val="0"/>
        <w:ind w:firstLine="426" w:firstLineChars="202"/>
        <w:jc w:val="both"/>
        <w:rPr>
          <w:rFonts w:hint="eastAsia" w:ascii="宋体" w:hAnsi="宋体" w:eastAsia="宋体"/>
          <w:b/>
          <w:kern w:val="2"/>
          <w:sz w:val="21"/>
          <w:szCs w:val="21"/>
          <w:lang w:eastAsia="zh-CN"/>
        </w:rPr>
      </w:pPr>
      <w:r>
        <w:rPr>
          <w:rFonts w:hint="eastAsia" w:ascii="宋体" w:hAnsi="宋体" w:eastAsia="宋体"/>
          <w:b/>
          <w:kern w:val="2"/>
          <w:sz w:val="21"/>
          <w:szCs w:val="21"/>
          <w:lang w:eastAsia="zh-CN"/>
        </w:rPr>
        <w:t>1.本项目为网上电子投标项目，投标文件不需法人或授权委托人另行签字，无需加盖单位公章，招标文件专用条款另有规定的除外。</w:t>
      </w:r>
    </w:p>
    <w:p w14:paraId="2C03D471">
      <w:pPr>
        <w:widowControl w:val="0"/>
        <w:ind w:firstLine="426" w:firstLineChars="202"/>
        <w:jc w:val="both"/>
        <w:rPr>
          <w:rFonts w:hint="eastAsia" w:ascii="宋体" w:hAnsi="宋体" w:eastAsia="宋体"/>
          <w:b/>
          <w:kern w:val="2"/>
          <w:sz w:val="21"/>
          <w:szCs w:val="21"/>
          <w:lang w:eastAsia="zh-CN"/>
        </w:rPr>
      </w:pPr>
      <w:r>
        <w:rPr>
          <w:rFonts w:hint="eastAsia" w:ascii="宋体" w:hAnsi="宋体" w:eastAsia="宋体"/>
          <w:b/>
          <w:kern w:val="2"/>
          <w:sz w:val="21"/>
          <w:szCs w:val="21"/>
          <w:lang w:eastAsia="zh-CN"/>
        </w:rPr>
        <w:t>2.关于填写“开标一览表”的说明：“开标一览表”中除“投标报价”外，其他信息不作评审依据。</w:t>
      </w:r>
    </w:p>
    <w:p w14:paraId="56AC01D1">
      <w:pPr>
        <w:widowControl w:val="0"/>
        <w:spacing w:line="360" w:lineRule="auto"/>
        <w:jc w:val="both"/>
        <w:rPr>
          <w:rFonts w:eastAsia="宋体"/>
          <w:b/>
          <w:bCs/>
          <w:kern w:val="2"/>
          <w:lang w:eastAsia="zh-CN"/>
        </w:rPr>
      </w:pPr>
      <w:r>
        <w:rPr>
          <w:rFonts w:hint="eastAsia" w:eastAsia="宋体"/>
          <w:b/>
          <w:bCs/>
          <w:kern w:val="2"/>
          <w:lang w:eastAsia="zh-CN"/>
        </w:rPr>
        <w:br w:type="page"/>
      </w:r>
    </w:p>
    <w:p w14:paraId="696DD8F7">
      <w:pPr>
        <w:widowControl w:val="0"/>
        <w:spacing w:before="260" w:after="260" w:line="240" w:lineRule="auto"/>
        <w:jc w:val="center"/>
        <w:outlineLvl w:val="2"/>
        <w:rPr>
          <w:rFonts w:hint="eastAsia" w:ascii="黑体" w:hAnsi="宋体" w:eastAsia="黑体"/>
          <w:szCs w:val="32"/>
          <w:lang w:eastAsia="zh-CN"/>
        </w:rPr>
      </w:pPr>
      <w:r>
        <w:rPr>
          <w:rFonts w:hint="eastAsia" w:ascii="黑体" w:hAnsi="宋体" w:eastAsia="黑体"/>
          <w:szCs w:val="32"/>
          <w:lang w:eastAsia="zh-CN"/>
        </w:rPr>
        <w:t>一、投标函</w:t>
      </w:r>
    </w:p>
    <w:p w14:paraId="0BB38B1E">
      <w:pPr>
        <w:widowControl w:val="0"/>
        <w:spacing w:line="360" w:lineRule="auto"/>
        <w:jc w:val="both"/>
        <w:rPr>
          <w:rFonts w:hint="eastAsia" w:ascii="宋体" w:hAnsi="宋体" w:eastAsia="宋体"/>
          <w:color w:val="000000"/>
          <w:kern w:val="2"/>
          <w:sz w:val="21"/>
          <w:szCs w:val="21"/>
          <w:lang w:eastAsia="zh-CN"/>
        </w:rPr>
      </w:pPr>
      <w:r>
        <w:rPr>
          <w:rFonts w:hint="eastAsia" w:ascii="宋体" w:hAnsi="宋体" w:eastAsia="宋体"/>
          <w:kern w:val="2"/>
          <w:sz w:val="21"/>
          <w:szCs w:val="21"/>
          <w:lang w:eastAsia="zh-CN"/>
        </w:rPr>
        <w:t>致：</w:t>
      </w:r>
      <w:r>
        <w:rPr>
          <w:rFonts w:hint="eastAsia" w:ascii="宋体" w:hAnsi="宋体" w:eastAsia="宋体"/>
          <w:kern w:val="2"/>
          <w:sz w:val="21"/>
          <w:szCs w:val="21"/>
          <w:u w:val="single"/>
          <w:lang w:eastAsia="zh-CN"/>
        </w:rPr>
        <w:t xml:space="preserve"> </w:t>
      </w:r>
      <w:r>
        <w:rPr>
          <w:rFonts w:hint="eastAsia" w:ascii="宋体" w:hAnsi="宋体" w:eastAsia="宋体"/>
          <w:color w:val="000000"/>
          <w:kern w:val="2"/>
          <w:sz w:val="21"/>
          <w:szCs w:val="21"/>
          <w:u w:val="single"/>
          <w:lang w:eastAsia="zh-CN"/>
        </w:rPr>
        <w:t xml:space="preserve"> 深圳公共资源交易中心  </w:t>
      </w:r>
    </w:p>
    <w:p w14:paraId="5C5598C7">
      <w:pPr>
        <w:widowControl w:val="0"/>
        <w:ind w:firstLine="420" w:firstLineChars="200"/>
        <w:jc w:val="both"/>
        <w:rPr>
          <w:rFonts w:hint="eastAsia" w:ascii="宋体" w:hAnsi="宋体" w:eastAsia="宋体"/>
          <w:kern w:val="2"/>
          <w:sz w:val="21"/>
          <w:szCs w:val="21"/>
          <w:lang w:eastAsia="zh-CN"/>
        </w:rPr>
      </w:pPr>
      <w:bookmarkStart w:id="37" w:name="_Hlk73818812"/>
      <w:r>
        <w:rPr>
          <w:rFonts w:hint="eastAsia" w:eastAsia="宋体"/>
          <w:kern w:val="2"/>
          <w:sz w:val="21"/>
          <w:szCs w:val="21"/>
          <w:lang w:eastAsia="zh-CN"/>
        </w:rPr>
        <w:t>1、根据已收到贵单位的项目编号为</w:t>
      </w:r>
      <w:r>
        <w:rPr>
          <w:rFonts w:eastAsia="宋体"/>
          <w:kern w:val="2"/>
          <w:sz w:val="21"/>
          <w:szCs w:val="21"/>
          <w:u w:val="single"/>
          <w:lang w:eastAsia="zh-CN"/>
        </w:rPr>
        <w:t xml:space="preserve">   </w:t>
      </w:r>
      <w:r>
        <w:rPr>
          <w:rFonts w:hint="eastAsia" w:eastAsia="宋体"/>
          <w:kern w:val="2"/>
          <w:sz w:val="21"/>
          <w:szCs w:val="21"/>
          <w:u w:val="single"/>
          <w:lang w:eastAsia="zh-CN"/>
        </w:rPr>
        <w:t xml:space="preserve">     </w:t>
      </w:r>
      <w:r>
        <w:rPr>
          <w:rFonts w:hint="eastAsia" w:eastAsia="宋体"/>
          <w:kern w:val="2"/>
          <w:sz w:val="21"/>
          <w:szCs w:val="21"/>
          <w:lang w:eastAsia="zh-CN"/>
        </w:rPr>
        <w:t>的</w:t>
      </w:r>
      <w:r>
        <w:rPr>
          <w:rFonts w:hint="eastAsia" w:eastAsia="宋体"/>
          <w:kern w:val="2"/>
          <w:sz w:val="21"/>
          <w:szCs w:val="21"/>
          <w:u w:val="single"/>
          <w:lang w:eastAsia="zh-CN"/>
        </w:rPr>
        <w:t xml:space="preserve">               </w:t>
      </w:r>
      <w:r>
        <w:rPr>
          <w:rFonts w:hint="eastAsia" w:eastAsia="宋体"/>
          <w:kern w:val="2"/>
          <w:sz w:val="21"/>
          <w:szCs w:val="21"/>
          <w:lang w:eastAsia="zh-CN"/>
        </w:rPr>
        <w:t>项目的招标文件，遵照《深圳经济特区政府采购条例》和《深圳网上政府采购管理暂行办法》等有关规定，我单位经研究上述招标文件的专用条款及通用条款后，</w:t>
      </w:r>
      <w:bookmarkStart w:id="38" w:name="_Hlk72263588"/>
      <w:r>
        <w:rPr>
          <w:rFonts w:hint="eastAsia" w:eastAsia="宋体"/>
          <w:kern w:val="2"/>
          <w:sz w:val="21"/>
          <w:szCs w:val="21"/>
          <w:lang w:eastAsia="zh-CN"/>
        </w:rPr>
        <w:t>愿意按照招标文件要求承包上述项目并修补其任何缺陷。</w:t>
      </w:r>
      <w:bookmarkEnd w:id="38"/>
    </w:p>
    <w:p w14:paraId="21A89FF4">
      <w:pPr>
        <w:widowControl w:val="0"/>
        <w:ind w:firstLine="420" w:firstLineChars="200"/>
        <w:jc w:val="both"/>
        <w:rPr>
          <w:rFonts w:hint="eastAsia" w:ascii="宋体" w:hAnsi="宋体" w:eastAsia="宋体"/>
          <w:kern w:val="2"/>
          <w:sz w:val="21"/>
          <w:szCs w:val="21"/>
          <w:lang w:eastAsia="zh-CN"/>
        </w:rPr>
      </w:pPr>
      <w:r>
        <w:rPr>
          <w:rFonts w:ascii="宋体" w:hAnsi="宋体" w:eastAsia="宋体"/>
          <w:kern w:val="2"/>
          <w:sz w:val="21"/>
          <w:szCs w:val="21"/>
          <w:lang w:eastAsia="zh-CN"/>
        </w:rPr>
        <w:t>2</w:t>
      </w:r>
      <w:r>
        <w:rPr>
          <w:rFonts w:hint="eastAsia" w:ascii="宋体" w:hAnsi="宋体" w:eastAsia="宋体"/>
          <w:kern w:val="2"/>
          <w:sz w:val="21"/>
          <w:szCs w:val="21"/>
          <w:lang w:eastAsia="zh-CN"/>
        </w:rPr>
        <w:t>、投标价格见</w:t>
      </w:r>
      <w:r>
        <w:rPr>
          <w:rFonts w:hint="eastAsia" w:eastAsia="宋体"/>
          <w:kern w:val="2"/>
          <w:sz w:val="21"/>
          <w:szCs w:val="21"/>
          <w:lang w:eastAsia="zh-CN"/>
        </w:rPr>
        <w:t>投标书编制软件中《开标一览表》中填写的投标报价。</w:t>
      </w:r>
    </w:p>
    <w:p w14:paraId="13ADD901">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3、如果我单位中标，我单位将按照招标文件的要求提交履约担保。</w:t>
      </w:r>
    </w:p>
    <w:p w14:paraId="20EDB2D3">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4、我单位同意所递交的投标文件在“对通用条款的补充内容”中明确的投标有效期内有效，在此期间内我单位的投标有可能中标，我方将受此约束。</w:t>
      </w:r>
    </w:p>
    <w:p w14:paraId="0DF1BE36">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5、除非另外达成协议并生效，贵单位的中标通知书和本投标文件将构成合同的重要内容。</w:t>
      </w:r>
    </w:p>
    <w:p w14:paraId="5970F675">
      <w:pPr>
        <w:widowControl w:val="0"/>
        <w:ind w:left="585" w:leftChars="200" w:hanging="105" w:hangingChars="5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6、我单位理解贵单位将不受必须接受所收到的最低报价或其他任何投标文件的约束。</w:t>
      </w:r>
      <w:bookmarkEnd w:id="37"/>
    </w:p>
    <w:p w14:paraId="69726411">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7、如我单位按项目要求提供样品，且未在规定时间内取回样品的，视同放弃取回，同意深圳公共资源交易中心对样品进行清理。</w:t>
      </w:r>
    </w:p>
    <w:p w14:paraId="6BF40F6D">
      <w:pPr>
        <w:widowControl w:val="0"/>
        <w:ind w:left="617" w:leftChars="257"/>
        <w:jc w:val="both"/>
        <w:rPr>
          <w:rFonts w:eastAsia="宋体"/>
          <w:kern w:val="2"/>
          <w:sz w:val="21"/>
          <w:szCs w:val="21"/>
          <w:u w:val="single"/>
          <w:lang w:eastAsia="zh-CN"/>
        </w:rPr>
      </w:pPr>
      <w:r>
        <w:rPr>
          <w:rFonts w:hint="eastAsia" w:eastAsia="宋体"/>
          <w:kern w:val="2"/>
          <w:sz w:val="21"/>
          <w:szCs w:val="21"/>
          <w:lang w:eastAsia="zh-CN"/>
        </w:rPr>
        <w:t>投标人：</w:t>
      </w:r>
      <w:r>
        <w:rPr>
          <w:rFonts w:hint="eastAsia" w:eastAsia="宋体"/>
          <w:kern w:val="2"/>
          <w:sz w:val="21"/>
          <w:szCs w:val="21"/>
          <w:u w:val="single"/>
          <w:lang w:eastAsia="zh-CN"/>
        </w:rPr>
        <w:t xml:space="preserve">                   </w:t>
      </w:r>
      <w:r>
        <w:rPr>
          <w:rFonts w:hint="eastAsia" w:eastAsia="宋体"/>
          <w:kern w:val="2"/>
          <w:sz w:val="21"/>
          <w:szCs w:val="21"/>
          <w:lang w:eastAsia="zh-CN"/>
        </w:rPr>
        <w:t xml:space="preserve">    单位地址：</w:t>
      </w:r>
      <w:r>
        <w:rPr>
          <w:rFonts w:hint="eastAsia" w:eastAsia="宋体"/>
          <w:kern w:val="2"/>
          <w:sz w:val="21"/>
          <w:szCs w:val="21"/>
          <w:u w:val="single"/>
          <w:lang w:eastAsia="zh-CN"/>
        </w:rPr>
        <w:t xml:space="preserve">               </w:t>
      </w:r>
    </w:p>
    <w:p w14:paraId="2077DBAF">
      <w:pPr>
        <w:widowControl w:val="0"/>
        <w:ind w:left="617" w:leftChars="257"/>
        <w:jc w:val="both"/>
        <w:rPr>
          <w:rFonts w:eastAsia="宋体"/>
          <w:kern w:val="2"/>
          <w:sz w:val="21"/>
          <w:szCs w:val="21"/>
          <w:u w:val="single"/>
          <w:lang w:eastAsia="zh-CN"/>
        </w:rPr>
      </w:pPr>
      <w:r>
        <w:rPr>
          <w:rFonts w:hint="eastAsia" w:eastAsia="宋体"/>
          <w:kern w:val="2"/>
          <w:sz w:val="21"/>
          <w:szCs w:val="21"/>
          <w:lang w:eastAsia="zh-CN"/>
        </w:rPr>
        <w:t>法定代表人（负责人）或其委托代理人：</w:t>
      </w:r>
      <w:r>
        <w:rPr>
          <w:rFonts w:hint="eastAsia" w:eastAsia="宋体"/>
          <w:kern w:val="2"/>
          <w:sz w:val="21"/>
          <w:szCs w:val="21"/>
          <w:u w:val="single"/>
          <w:lang w:eastAsia="zh-CN"/>
        </w:rPr>
        <w:t xml:space="preserve">                   </w:t>
      </w:r>
    </w:p>
    <w:p w14:paraId="68B3A497">
      <w:pPr>
        <w:widowControl w:val="0"/>
        <w:ind w:left="617" w:leftChars="257"/>
        <w:jc w:val="both"/>
        <w:rPr>
          <w:rFonts w:eastAsia="宋体"/>
          <w:kern w:val="2"/>
          <w:sz w:val="21"/>
          <w:szCs w:val="21"/>
          <w:u w:val="single"/>
          <w:lang w:eastAsia="zh-CN"/>
        </w:rPr>
      </w:pPr>
      <w:r>
        <w:rPr>
          <w:rFonts w:hint="eastAsia" w:eastAsia="宋体"/>
          <w:kern w:val="2"/>
          <w:sz w:val="21"/>
          <w:szCs w:val="21"/>
          <w:lang w:eastAsia="zh-CN"/>
        </w:rPr>
        <w:t>邮政编码：</w:t>
      </w:r>
      <w:r>
        <w:rPr>
          <w:rFonts w:hint="eastAsia" w:eastAsia="宋体"/>
          <w:kern w:val="2"/>
          <w:sz w:val="21"/>
          <w:szCs w:val="21"/>
          <w:u w:val="single"/>
          <w:lang w:eastAsia="zh-CN"/>
        </w:rPr>
        <w:t xml:space="preserve">          </w:t>
      </w:r>
      <w:r>
        <w:rPr>
          <w:rFonts w:hint="eastAsia" w:eastAsia="宋体"/>
          <w:kern w:val="2"/>
          <w:sz w:val="21"/>
          <w:szCs w:val="21"/>
          <w:lang w:eastAsia="zh-CN"/>
        </w:rPr>
        <w:t xml:space="preserve">  电话：</w:t>
      </w:r>
      <w:r>
        <w:rPr>
          <w:rFonts w:hint="eastAsia" w:eastAsia="宋体"/>
          <w:kern w:val="2"/>
          <w:sz w:val="21"/>
          <w:szCs w:val="21"/>
          <w:u w:val="single"/>
          <w:lang w:eastAsia="zh-CN"/>
        </w:rPr>
        <w:t xml:space="preserve">          </w:t>
      </w:r>
      <w:r>
        <w:rPr>
          <w:rFonts w:hint="eastAsia" w:eastAsia="宋体"/>
          <w:kern w:val="2"/>
          <w:sz w:val="21"/>
          <w:szCs w:val="21"/>
          <w:lang w:eastAsia="zh-CN"/>
        </w:rPr>
        <w:t xml:space="preserve">  邮箱：</w:t>
      </w:r>
      <w:r>
        <w:rPr>
          <w:rFonts w:hint="eastAsia" w:eastAsia="宋体"/>
          <w:kern w:val="2"/>
          <w:sz w:val="21"/>
          <w:szCs w:val="21"/>
          <w:u w:val="single"/>
          <w:lang w:eastAsia="zh-CN"/>
        </w:rPr>
        <w:t xml:space="preserve">            </w:t>
      </w:r>
    </w:p>
    <w:p w14:paraId="511BE374">
      <w:pPr>
        <w:widowControl w:val="0"/>
        <w:ind w:left="617" w:leftChars="257"/>
        <w:jc w:val="both"/>
        <w:rPr>
          <w:rFonts w:eastAsia="宋体"/>
          <w:kern w:val="2"/>
          <w:sz w:val="21"/>
          <w:szCs w:val="21"/>
          <w:lang w:eastAsia="zh-CN"/>
        </w:rPr>
      </w:pPr>
      <w:r>
        <w:rPr>
          <w:rFonts w:hint="eastAsia" w:eastAsia="宋体"/>
          <w:kern w:val="2"/>
          <w:sz w:val="21"/>
          <w:szCs w:val="21"/>
          <w:lang w:eastAsia="zh-CN"/>
        </w:rPr>
        <w:t>开户银行名称：</w:t>
      </w:r>
      <w:r>
        <w:rPr>
          <w:rFonts w:hint="eastAsia" w:eastAsia="宋体"/>
          <w:kern w:val="2"/>
          <w:sz w:val="21"/>
          <w:szCs w:val="21"/>
          <w:u w:val="single"/>
          <w:lang w:eastAsia="zh-CN"/>
        </w:rPr>
        <w:tab/>
      </w:r>
      <w:r>
        <w:rPr>
          <w:rFonts w:hint="eastAsia" w:eastAsia="宋体"/>
          <w:kern w:val="2"/>
          <w:sz w:val="21"/>
          <w:szCs w:val="21"/>
          <w:u w:val="single"/>
          <w:lang w:eastAsia="zh-CN"/>
        </w:rPr>
        <w:tab/>
      </w:r>
      <w:r>
        <w:rPr>
          <w:rFonts w:hint="eastAsia" w:eastAsia="宋体"/>
          <w:kern w:val="2"/>
          <w:sz w:val="21"/>
          <w:szCs w:val="21"/>
          <w:u w:val="single"/>
          <w:lang w:eastAsia="zh-CN"/>
        </w:rPr>
        <w:tab/>
      </w:r>
      <w:r>
        <w:rPr>
          <w:rFonts w:hint="eastAsia" w:eastAsia="宋体"/>
          <w:kern w:val="2"/>
          <w:sz w:val="21"/>
          <w:szCs w:val="21"/>
          <w:u w:val="single"/>
          <w:lang w:eastAsia="zh-CN"/>
        </w:rPr>
        <w:tab/>
      </w:r>
      <w:r>
        <w:rPr>
          <w:rFonts w:hint="eastAsia" w:eastAsia="宋体"/>
          <w:kern w:val="2"/>
          <w:sz w:val="21"/>
          <w:szCs w:val="21"/>
          <w:lang w:eastAsia="zh-CN"/>
        </w:rPr>
        <w:tab/>
      </w:r>
      <w:r>
        <w:rPr>
          <w:rFonts w:hint="eastAsia" w:eastAsia="宋体"/>
          <w:kern w:val="2"/>
          <w:sz w:val="21"/>
          <w:szCs w:val="21"/>
          <w:lang w:eastAsia="zh-CN"/>
        </w:rPr>
        <w:t>开户银行账号：</w:t>
      </w:r>
      <w:r>
        <w:rPr>
          <w:rFonts w:hint="eastAsia" w:eastAsia="宋体"/>
          <w:kern w:val="2"/>
          <w:sz w:val="21"/>
          <w:szCs w:val="21"/>
          <w:u w:val="single"/>
          <w:lang w:eastAsia="zh-CN"/>
        </w:rPr>
        <w:tab/>
      </w:r>
      <w:r>
        <w:rPr>
          <w:rFonts w:hint="eastAsia" w:eastAsia="宋体"/>
          <w:kern w:val="2"/>
          <w:sz w:val="21"/>
          <w:szCs w:val="21"/>
          <w:u w:val="single"/>
          <w:lang w:eastAsia="zh-CN"/>
        </w:rPr>
        <w:tab/>
      </w:r>
      <w:r>
        <w:rPr>
          <w:rFonts w:hint="eastAsia" w:eastAsia="宋体"/>
          <w:kern w:val="2"/>
          <w:sz w:val="21"/>
          <w:szCs w:val="21"/>
          <w:u w:val="single"/>
          <w:lang w:eastAsia="zh-CN"/>
        </w:rPr>
        <w:tab/>
      </w:r>
      <w:r>
        <w:rPr>
          <w:rFonts w:hint="eastAsia" w:eastAsia="宋体"/>
          <w:kern w:val="2"/>
          <w:sz w:val="21"/>
          <w:szCs w:val="21"/>
          <w:u w:val="single"/>
          <w:lang w:eastAsia="zh-CN"/>
        </w:rPr>
        <w:tab/>
      </w:r>
    </w:p>
    <w:p w14:paraId="626FF884">
      <w:pPr>
        <w:widowControl w:val="0"/>
        <w:ind w:left="617" w:leftChars="257"/>
        <w:jc w:val="both"/>
        <w:rPr>
          <w:rFonts w:eastAsia="宋体"/>
          <w:kern w:val="2"/>
          <w:sz w:val="21"/>
          <w:szCs w:val="21"/>
          <w:lang w:eastAsia="zh-CN"/>
        </w:rPr>
      </w:pPr>
      <w:r>
        <w:rPr>
          <w:rFonts w:hint="eastAsia" w:eastAsia="宋体"/>
          <w:kern w:val="2"/>
          <w:sz w:val="21"/>
          <w:szCs w:val="21"/>
          <w:lang w:eastAsia="zh-CN"/>
        </w:rPr>
        <w:t>开户银行地址：</w:t>
      </w:r>
      <w:r>
        <w:rPr>
          <w:rFonts w:hint="eastAsia" w:eastAsia="宋体"/>
          <w:kern w:val="2"/>
          <w:sz w:val="21"/>
          <w:szCs w:val="21"/>
          <w:u w:val="single"/>
          <w:lang w:eastAsia="zh-CN"/>
        </w:rPr>
        <w:tab/>
      </w:r>
      <w:r>
        <w:rPr>
          <w:rFonts w:hint="eastAsia" w:eastAsia="宋体"/>
          <w:kern w:val="2"/>
          <w:sz w:val="21"/>
          <w:szCs w:val="21"/>
          <w:u w:val="single"/>
          <w:lang w:eastAsia="zh-CN"/>
        </w:rPr>
        <w:tab/>
      </w:r>
      <w:r>
        <w:rPr>
          <w:rFonts w:hint="eastAsia" w:eastAsia="宋体"/>
          <w:kern w:val="2"/>
          <w:sz w:val="21"/>
          <w:szCs w:val="21"/>
          <w:u w:val="single"/>
          <w:lang w:eastAsia="zh-CN"/>
        </w:rPr>
        <w:tab/>
      </w:r>
      <w:r>
        <w:rPr>
          <w:rFonts w:hint="eastAsia" w:eastAsia="宋体"/>
          <w:kern w:val="2"/>
          <w:sz w:val="21"/>
          <w:szCs w:val="21"/>
          <w:u w:val="single"/>
          <w:lang w:eastAsia="zh-CN"/>
        </w:rPr>
        <w:tab/>
      </w:r>
      <w:r>
        <w:rPr>
          <w:rFonts w:hint="eastAsia" w:eastAsia="宋体"/>
          <w:kern w:val="2"/>
          <w:sz w:val="21"/>
          <w:szCs w:val="21"/>
          <w:lang w:eastAsia="zh-CN"/>
        </w:rPr>
        <w:tab/>
      </w:r>
      <w:r>
        <w:rPr>
          <w:rFonts w:hint="eastAsia" w:eastAsia="宋体"/>
          <w:kern w:val="2"/>
          <w:sz w:val="21"/>
          <w:szCs w:val="21"/>
          <w:lang w:eastAsia="zh-CN"/>
        </w:rPr>
        <w:t>开户银行电话：</w:t>
      </w:r>
      <w:r>
        <w:rPr>
          <w:rFonts w:hint="eastAsia" w:eastAsia="宋体"/>
          <w:kern w:val="2"/>
          <w:sz w:val="21"/>
          <w:szCs w:val="21"/>
          <w:u w:val="single"/>
          <w:lang w:eastAsia="zh-CN"/>
        </w:rPr>
        <w:tab/>
      </w:r>
      <w:r>
        <w:rPr>
          <w:rFonts w:hint="eastAsia" w:eastAsia="宋体"/>
          <w:kern w:val="2"/>
          <w:sz w:val="21"/>
          <w:szCs w:val="21"/>
          <w:u w:val="single"/>
          <w:lang w:eastAsia="zh-CN"/>
        </w:rPr>
        <w:tab/>
      </w:r>
      <w:r>
        <w:rPr>
          <w:rFonts w:hint="eastAsia" w:eastAsia="宋体"/>
          <w:kern w:val="2"/>
          <w:sz w:val="21"/>
          <w:szCs w:val="21"/>
          <w:u w:val="single"/>
          <w:lang w:eastAsia="zh-CN"/>
        </w:rPr>
        <w:tab/>
      </w:r>
      <w:r>
        <w:rPr>
          <w:rFonts w:hint="eastAsia" w:eastAsia="宋体"/>
          <w:kern w:val="2"/>
          <w:sz w:val="21"/>
          <w:szCs w:val="21"/>
          <w:u w:val="single"/>
          <w:lang w:eastAsia="zh-CN"/>
        </w:rPr>
        <w:tab/>
      </w:r>
    </w:p>
    <w:p w14:paraId="3BE1FA74">
      <w:pPr>
        <w:widowControl w:val="0"/>
        <w:ind w:firstLine="539" w:firstLineChars="257"/>
        <w:jc w:val="both"/>
        <w:rPr>
          <w:rFonts w:eastAsia="宋体"/>
          <w:kern w:val="2"/>
          <w:lang w:eastAsia="zh-CN"/>
        </w:rPr>
      </w:pPr>
      <w:r>
        <w:rPr>
          <w:rFonts w:hint="eastAsia" w:ascii="宋体" w:hAnsi="宋体" w:eastAsia="宋体"/>
          <w:kern w:val="2"/>
          <w:sz w:val="21"/>
          <w:szCs w:val="21"/>
          <w:lang w:eastAsia="zh-CN"/>
        </w:rPr>
        <w:t>日期：</w:t>
      </w:r>
      <w:r>
        <w:rPr>
          <w:rFonts w:hint="eastAsia" w:ascii="宋体" w:hAnsi="宋体" w:eastAsia="宋体"/>
          <w:kern w:val="2"/>
          <w:sz w:val="21"/>
          <w:szCs w:val="21"/>
          <w:u w:val="single"/>
          <w:lang w:eastAsia="zh-CN"/>
        </w:rPr>
        <w:t xml:space="preserve">       </w:t>
      </w:r>
      <w:r>
        <w:rPr>
          <w:rFonts w:hint="eastAsia" w:ascii="宋体" w:hAnsi="宋体" w:eastAsia="宋体"/>
          <w:kern w:val="2"/>
          <w:sz w:val="21"/>
          <w:szCs w:val="21"/>
          <w:lang w:eastAsia="zh-CN"/>
        </w:rPr>
        <w:t>年</w:t>
      </w:r>
      <w:r>
        <w:rPr>
          <w:rFonts w:hint="eastAsia" w:ascii="宋体" w:hAnsi="宋体" w:eastAsia="宋体"/>
          <w:kern w:val="2"/>
          <w:sz w:val="21"/>
          <w:szCs w:val="21"/>
          <w:u w:val="single"/>
          <w:lang w:eastAsia="zh-CN"/>
        </w:rPr>
        <w:t xml:space="preserve">     </w:t>
      </w:r>
      <w:r>
        <w:rPr>
          <w:rFonts w:hint="eastAsia" w:ascii="宋体" w:hAnsi="宋体" w:eastAsia="宋体"/>
          <w:kern w:val="2"/>
          <w:sz w:val="21"/>
          <w:szCs w:val="21"/>
          <w:lang w:eastAsia="zh-CN"/>
        </w:rPr>
        <w:t>月</w:t>
      </w:r>
      <w:r>
        <w:rPr>
          <w:rFonts w:hint="eastAsia" w:ascii="宋体" w:hAnsi="宋体" w:eastAsia="宋体"/>
          <w:kern w:val="2"/>
          <w:sz w:val="21"/>
          <w:szCs w:val="21"/>
          <w:u w:val="single"/>
          <w:lang w:eastAsia="zh-CN"/>
        </w:rPr>
        <w:t xml:space="preserve">    </w:t>
      </w:r>
      <w:r>
        <w:rPr>
          <w:rFonts w:hint="eastAsia" w:ascii="宋体" w:hAnsi="宋体" w:eastAsia="宋体"/>
          <w:kern w:val="2"/>
          <w:sz w:val="21"/>
          <w:szCs w:val="21"/>
          <w:lang w:eastAsia="zh-CN"/>
        </w:rPr>
        <w:t>日</w:t>
      </w:r>
      <w:r>
        <w:rPr>
          <w:rFonts w:hint="eastAsia" w:eastAsia="宋体"/>
          <w:kern w:val="2"/>
          <w:lang w:eastAsia="zh-CN"/>
        </w:rPr>
        <w:t xml:space="preserve">                                </w:t>
      </w:r>
    </w:p>
    <w:p w14:paraId="71A5E4AC">
      <w:pPr>
        <w:widowControl w:val="0"/>
        <w:jc w:val="both"/>
        <w:rPr>
          <w:rFonts w:hint="eastAsia" w:ascii="黑体" w:hAnsi="宋体" w:eastAsia="黑体"/>
          <w:kern w:val="2"/>
          <w:sz w:val="21"/>
          <w:lang w:eastAsia="zh-CN"/>
        </w:rPr>
      </w:pPr>
    </w:p>
    <w:p w14:paraId="4787A8A3">
      <w:pPr>
        <w:widowControl w:val="0"/>
        <w:jc w:val="both"/>
        <w:rPr>
          <w:rFonts w:hint="eastAsia" w:ascii="黑体" w:hAnsi="宋体" w:eastAsia="黑体"/>
          <w:kern w:val="2"/>
          <w:sz w:val="21"/>
          <w:lang w:eastAsia="zh-CN"/>
        </w:rPr>
      </w:pPr>
    </w:p>
    <w:p w14:paraId="73C2B9C0">
      <w:pPr>
        <w:widowControl w:val="0"/>
        <w:spacing w:before="260" w:after="260" w:line="240" w:lineRule="auto"/>
        <w:jc w:val="center"/>
        <w:outlineLvl w:val="2"/>
        <w:rPr>
          <w:rFonts w:hint="eastAsia" w:ascii="黑体" w:hAnsi="宋体" w:eastAsia="黑体"/>
          <w:szCs w:val="32"/>
          <w:lang w:eastAsia="zh-CN"/>
        </w:rPr>
      </w:pPr>
      <w:r>
        <w:rPr>
          <w:rFonts w:hint="eastAsia" w:ascii="黑体" w:hAnsi="宋体" w:eastAsia="黑体"/>
          <w:szCs w:val="32"/>
          <w:lang w:eastAsia="zh-CN"/>
        </w:rPr>
        <w:t>二、采购投标及履约承诺函</w:t>
      </w:r>
    </w:p>
    <w:p w14:paraId="3BBC7A39">
      <w:pPr>
        <w:widowControl w:val="0"/>
        <w:jc w:val="both"/>
        <w:rPr>
          <w:rFonts w:hint="eastAsia" w:ascii="宋体" w:hAnsi="宋体" w:eastAsia="宋体"/>
          <w:kern w:val="2"/>
          <w:lang w:eastAsia="zh-CN"/>
        </w:rPr>
      </w:pPr>
    </w:p>
    <w:p w14:paraId="5EB0F5E9">
      <w:pPr>
        <w:widowControl w:val="0"/>
        <w:jc w:val="both"/>
        <w:rPr>
          <w:rFonts w:hint="eastAsia" w:ascii="宋体" w:hAnsi="宋体" w:eastAsia="宋体"/>
          <w:color w:val="000000"/>
          <w:kern w:val="2"/>
          <w:sz w:val="21"/>
          <w:szCs w:val="21"/>
          <w:lang w:eastAsia="zh-CN"/>
        </w:rPr>
      </w:pPr>
      <w:r>
        <w:rPr>
          <w:rFonts w:hint="eastAsia" w:ascii="宋体" w:hAnsi="宋体" w:eastAsia="宋体"/>
          <w:color w:val="000000"/>
          <w:kern w:val="2"/>
          <w:sz w:val="21"/>
          <w:szCs w:val="21"/>
          <w:lang w:eastAsia="zh-CN"/>
        </w:rPr>
        <w:t>致：</w:t>
      </w:r>
      <w:r>
        <w:rPr>
          <w:rFonts w:hint="eastAsia" w:ascii="宋体" w:hAnsi="宋体" w:eastAsia="宋体"/>
          <w:color w:val="000000"/>
          <w:kern w:val="2"/>
          <w:sz w:val="21"/>
          <w:szCs w:val="21"/>
          <w:u w:val="single"/>
          <w:lang w:eastAsia="zh-CN"/>
        </w:rPr>
        <w:t>深圳公共资源交易中心</w:t>
      </w:r>
    </w:p>
    <w:p w14:paraId="60A010E0">
      <w:pPr>
        <w:widowControl w:val="0"/>
        <w:ind w:right="-815"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我单位承诺：</w:t>
      </w:r>
    </w:p>
    <w:p w14:paraId="4446FC91">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1.我单位参与本项目</w:t>
      </w:r>
      <w:r>
        <w:rPr>
          <w:rFonts w:hint="eastAsia" w:ascii="宋体" w:hAnsi="宋体" w:eastAsia="宋体"/>
          <w:kern w:val="2"/>
          <w:sz w:val="21"/>
          <w:lang w:eastAsia="zh-CN"/>
        </w:rPr>
        <w:t>所投标（响应）的货物、工程或服务，不存在侵犯知识产权的情况。</w:t>
      </w:r>
    </w:p>
    <w:p w14:paraId="7F248E02">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2.我单位参与本项目</w:t>
      </w:r>
      <w:r>
        <w:rPr>
          <w:rFonts w:hint="eastAsia" w:eastAsia="宋体"/>
          <w:kern w:val="2"/>
          <w:sz w:val="21"/>
          <w:lang w:eastAsia="zh-CN"/>
        </w:rPr>
        <w:t>采购活动时不存在被有关部门禁止参与政府采购活动且在有效期内的情况。符合招标文件关于联合体及进口产品的相关资格要求。</w:t>
      </w:r>
    </w:p>
    <w:p w14:paraId="15E4328D">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3.我单位具备《中华人民共和国政府采购法》第二十二条第一款的条件。</w:t>
      </w:r>
    </w:p>
    <w:p w14:paraId="452BBD01">
      <w:pPr>
        <w:widowControl w:val="0"/>
        <w:ind w:firstLine="420" w:firstLineChars="200"/>
        <w:jc w:val="both"/>
        <w:rPr>
          <w:rFonts w:eastAsia="宋体"/>
          <w:kern w:val="2"/>
          <w:sz w:val="21"/>
          <w:lang w:eastAsia="zh-CN"/>
        </w:rPr>
      </w:pPr>
      <w:r>
        <w:rPr>
          <w:rFonts w:hint="eastAsia" w:ascii="宋体" w:hAnsi="宋体" w:eastAsia="宋体"/>
          <w:kern w:val="2"/>
          <w:sz w:val="21"/>
          <w:szCs w:val="21"/>
          <w:lang w:eastAsia="zh-CN"/>
        </w:rPr>
        <w:t>4.我单位</w:t>
      </w:r>
      <w:r>
        <w:rPr>
          <w:rFonts w:hint="eastAsia" w:eastAsia="宋体"/>
          <w:kern w:val="2"/>
          <w:sz w:val="21"/>
          <w:lang w:eastAsia="zh-CN"/>
        </w:rPr>
        <w:t>未被列入失信被执行人、重大税收违法案件当事人名单、政府采购严重违法失信行为记录名单。</w:t>
      </w:r>
    </w:p>
    <w:p w14:paraId="0E4077EC">
      <w:pPr>
        <w:widowControl w:val="0"/>
        <w:ind w:firstLine="420" w:firstLineChars="200"/>
        <w:jc w:val="both"/>
        <w:rPr>
          <w:rFonts w:eastAsia="宋体"/>
          <w:kern w:val="2"/>
          <w:sz w:val="21"/>
          <w:lang w:eastAsia="zh-CN"/>
        </w:rPr>
      </w:pPr>
      <w:r>
        <w:rPr>
          <w:rFonts w:hint="eastAsia" w:eastAsia="宋体"/>
          <w:color w:val="FF0000"/>
          <w:kern w:val="2"/>
          <w:sz w:val="21"/>
          <w:lang w:eastAsia="zh-CN"/>
        </w:rPr>
        <w:t>5.我单位不存在《深圳市财政局政府采购供应商信用信息管理办法》（深财规〔2023〕3号）列明的严重违法失信行为。</w:t>
      </w:r>
    </w:p>
    <w:p w14:paraId="2952CBCE">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6.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14:paraId="263A6DB6">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14:paraId="75FF6B35">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78F627C0">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8.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71B70D78">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9.我单位承诺中标后项目不转包，未经采购人同意不进行分包。</w:t>
      </w:r>
    </w:p>
    <w:p w14:paraId="0AF12E27">
      <w:pPr>
        <w:widowControl w:val="0"/>
        <w:ind w:firstLine="420" w:firstLineChars="200"/>
        <w:jc w:val="both"/>
        <w:rPr>
          <w:rFonts w:hint="eastAsia" w:ascii="宋体" w:hAnsi="宋体" w:eastAsia="宋体"/>
          <w:kern w:val="2"/>
          <w:sz w:val="21"/>
          <w:lang w:eastAsia="zh-CN"/>
        </w:rPr>
      </w:pPr>
      <w:r>
        <w:rPr>
          <w:rFonts w:hint="eastAsia" w:ascii="宋体" w:hAnsi="宋体" w:eastAsia="宋体"/>
          <w:kern w:val="2"/>
          <w:sz w:val="21"/>
          <w:szCs w:val="21"/>
          <w:lang w:eastAsia="zh-CN"/>
        </w:rPr>
        <w:t>10</w:t>
      </w:r>
      <w:r>
        <w:rPr>
          <w:rFonts w:ascii="宋体" w:hAnsi="宋体" w:eastAsia="宋体"/>
          <w:kern w:val="2"/>
          <w:sz w:val="21"/>
          <w:szCs w:val="21"/>
          <w:lang w:eastAsia="zh-CN"/>
        </w:rPr>
        <w:t>.</w:t>
      </w:r>
      <w:r>
        <w:rPr>
          <w:rFonts w:hint="eastAsia" w:ascii="宋体" w:hAnsi="宋体" w:eastAsia="宋体"/>
          <w:kern w:val="2"/>
          <w:sz w:val="21"/>
          <w:lang w:eastAsia="zh-CN"/>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14:paraId="0C35C04C">
      <w:pPr>
        <w:widowControl w:val="0"/>
        <w:ind w:firstLine="420" w:firstLineChars="200"/>
        <w:jc w:val="both"/>
        <w:rPr>
          <w:rFonts w:hint="eastAsia" w:ascii="宋体" w:hAnsi="宋体" w:eastAsia="宋体" w:cs="宋体"/>
          <w:b/>
          <w:sz w:val="21"/>
          <w:szCs w:val="21"/>
          <w:lang w:eastAsia="zh-CN"/>
        </w:rPr>
      </w:pPr>
      <w:r>
        <w:rPr>
          <w:rFonts w:hint="eastAsia" w:ascii="宋体" w:hAnsi="宋体" w:eastAsia="宋体"/>
          <w:kern w:val="2"/>
          <w:sz w:val="21"/>
          <w:lang w:eastAsia="zh-CN"/>
        </w:rPr>
        <w:t>11</w:t>
      </w:r>
      <w:r>
        <w:rPr>
          <w:rFonts w:ascii="宋体" w:hAnsi="宋体" w:eastAsia="宋体"/>
          <w:kern w:val="2"/>
          <w:sz w:val="21"/>
          <w:lang w:eastAsia="zh-CN"/>
        </w:rPr>
        <w:t>.</w:t>
      </w:r>
      <w:r>
        <w:rPr>
          <w:rFonts w:hint="eastAsia" w:ascii="宋体" w:hAnsi="宋体" w:eastAsia="宋体"/>
          <w:kern w:val="2"/>
          <w:sz w:val="21"/>
          <w:lang w:eastAsia="zh-CN"/>
        </w:rPr>
        <w:t>我单位保证，若所投货物涉及</w:t>
      </w:r>
      <w:r>
        <w:rPr>
          <w:rFonts w:ascii="宋体" w:hAnsi="宋体" w:eastAsia="宋体"/>
          <w:kern w:val="2"/>
          <w:sz w:val="21"/>
          <w:lang w:eastAsia="zh-CN"/>
        </w:rPr>
        <w:t>《</w:t>
      </w:r>
      <w:r>
        <w:rPr>
          <w:rFonts w:hint="eastAsia" w:ascii="宋体" w:hAnsi="宋体" w:eastAsia="宋体"/>
          <w:kern w:val="2"/>
          <w:sz w:val="21"/>
          <w:lang w:eastAsia="zh-CN"/>
        </w:rPr>
        <w:t>财政部 发展改革委 关于印发节能产品政府采购品目清单的通知》（财库〔20</w:t>
      </w:r>
      <w:r>
        <w:rPr>
          <w:rFonts w:ascii="宋体" w:hAnsi="宋体" w:eastAsia="宋体"/>
          <w:kern w:val="2"/>
          <w:sz w:val="21"/>
          <w:lang w:eastAsia="zh-CN"/>
        </w:rPr>
        <w:t>19</w:t>
      </w:r>
      <w:r>
        <w:rPr>
          <w:rFonts w:hint="eastAsia" w:ascii="宋体" w:hAnsi="宋体" w:eastAsia="宋体"/>
          <w:kern w:val="2"/>
          <w:sz w:val="21"/>
          <w:lang w:eastAsia="zh-CN"/>
        </w:rPr>
        <w:t>〕</w:t>
      </w:r>
      <w:r>
        <w:rPr>
          <w:rFonts w:ascii="宋体" w:hAnsi="宋体" w:eastAsia="宋体"/>
          <w:kern w:val="2"/>
          <w:sz w:val="21"/>
          <w:lang w:eastAsia="zh-CN"/>
        </w:rPr>
        <w:t>19</w:t>
      </w:r>
      <w:r>
        <w:rPr>
          <w:rFonts w:hint="eastAsia" w:ascii="宋体" w:hAnsi="宋体" w:eastAsia="宋体"/>
          <w:kern w:val="2"/>
          <w:sz w:val="21"/>
          <w:lang w:eastAsia="zh-CN"/>
        </w:rPr>
        <w:t>号）列明的政府采购强制产品，则所投该产品符合节能产品的认证要求。若所投产品包括数据中心相关设备的，应满足</w:t>
      </w:r>
      <w:r>
        <w:rPr>
          <w:rFonts w:hint="eastAsia" w:eastAsia="宋体"/>
          <w:kern w:val="2"/>
          <w:sz w:val="21"/>
          <w:lang w:eastAsia="zh-CN"/>
        </w:rPr>
        <w:t>《财政部 生态环境部 工业和信息化部关于印发&lt;绿色数据中心政府采购需求标准（试行）&gt;的通知》（财库〔2023〕7号）要求。若所投产品涉及国家强制性标准的，所投产品应符合国家强制性标准相关要求。</w:t>
      </w:r>
    </w:p>
    <w:p w14:paraId="506FC18D">
      <w:pPr>
        <w:widowControl w:val="0"/>
        <w:ind w:firstLine="420" w:firstLineChars="200"/>
        <w:jc w:val="both"/>
        <w:rPr>
          <w:rFonts w:hint="eastAsia" w:ascii="宋体" w:hAnsi="宋体" w:eastAsia="宋体"/>
          <w:bCs/>
          <w:kern w:val="2"/>
          <w:sz w:val="21"/>
          <w:lang w:eastAsia="zh-CN"/>
        </w:rPr>
      </w:pPr>
      <w:r>
        <w:rPr>
          <w:rFonts w:hint="eastAsia" w:ascii="宋体" w:hAnsi="宋体" w:eastAsia="宋体" w:cs="宋体"/>
          <w:bCs/>
          <w:sz w:val="21"/>
          <w:szCs w:val="21"/>
          <w:lang w:eastAsia="zh-CN"/>
        </w:rPr>
        <w:t>12.</w:t>
      </w:r>
      <w:r>
        <w:rPr>
          <w:rFonts w:hint="eastAsia" w:ascii="宋体" w:hAnsi="宋体" w:eastAsia="宋体"/>
          <w:bCs/>
          <w:kern w:val="2"/>
          <w:sz w:val="21"/>
          <w:lang w:eastAsia="zh-CN"/>
        </w:rPr>
        <w:t>我单位已知悉并同意中标（成交）结果信息公示的内容。</w:t>
      </w:r>
    </w:p>
    <w:p w14:paraId="77F5ABA3">
      <w:pPr>
        <w:widowControl w:val="0"/>
        <w:ind w:firstLine="420" w:firstLineChars="200"/>
        <w:jc w:val="both"/>
        <w:rPr>
          <w:rFonts w:hint="eastAsia" w:ascii="宋体" w:hAnsi="宋体" w:eastAsia="宋体"/>
          <w:bCs/>
          <w:kern w:val="2"/>
          <w:sz w:val="21"/>
          <w:lang w:eastAsia="zh-CN"/>
        </w:rPr>
      </w:pPr>
      <w:r>
        <w:rPr>
          <w:rFonts w:hint="eastAsia" w:ascii="宋体" w:hAnsi="宋体" w:eastAsia="宋体"/>
          <w:bCs/>
          <w:kern w:val="2"/>
          <w:sz w:val="21"/>
          <w:lang w:eastAsia="zh-CN"/>
        </w:rPr>
        <w:t>13.我单位保证，符合《中华人民共和国政府采购法实施条例》第十八条规定，与其他投标供应商不存在单位负责人为同一人或者存在直接控股、管理关系；未对本次采购项目提供整体设计、规范编制或者项目管理、监理、检测等服务的情形。</w:t>
      </w:r>
      <w:r>
        <w:rPr>
          <w:rFonts w:hint="eastAsia" w:ascii="宋体" w:hAnsi="宋体" w:eastAsia="宋体"/>
          <w:bCs/>
          <w:color w:val="FF0000"/>
          <w:kern w:val="2"/>
          <w:sz w:val="21"/>
          <w:lang w:eastAsia="zh-CN"/>
        </w:rPr>
        <w:t>若存在“不同供应商的董事、股东或其他高级管理人员为同一人的”情形的，我单位保证不存在串通投标、恶意串通或者视为串通投标的情形。</w:t>
      </w:r>
    </w:p>
    <w:p w14:paraId="131847FE">
      <w:pPr>
        <w:widowControl w:val="0"/>
        <w:ind w:firstLine="422" w:firstLineChars="200"/>
        <w:jc w:val="both"/>
        <w:rPr>
          <w:rFonts w:hint="eastAsia" w:ascii="宋体" w:hAnsi="宋体" w:eastAsia="宋体"/>
          <w:b/>
          <w:kern w:val="2"/>
          <w:sz w:val="21"/>
          <w:lang w:eastAsia="zh-CN"/>
        </w:rPr>
      </w:pPr>
      <w:r>
        <w:rPr>
          <w:rFonts w:hint="eastAsia" w:ascii="宋体" w:hAnsi="宋体" w:eastAsia="宋体"/>
          <w:b/>
          <w:kern w:val="2"/>
          <w:sz w:val="21"/>
          <w:lang w:eastAsia="zh-CN"/>
        </w:rPr>
        <w:t>14.我单位清楚，如存在违反投标承诺行为情节严重的，将根据《深圳市财政局关于印发&lt;深圳市财政局政府采购供应商信用信息管理办法&gt;的通知》，依法被列入失信信息。</w:t>
      </w:r>
    </w:p>
    <w:p w14:paraId="424B79E0">
      <w:pPr>
        <w:widowControl w:val="0"/>
        <w:ind w:firstLine="420" w:firstLineChars="200"/>
        <w:jc w:val="both"/>
        <w:rPr>
          <w:rFonts w:hint="eastAsia" w:ascii="宋体" w:hAnsi="宋体" w:eastAsia="宋体"/>
          <w:bCs/>
          <w:kern w:val="2"/>
          <w:sz w:val="21"/>
          <w:lang w:eastAsia="zh-CN"/>
        </w:rPr>
      </w:pPr>
      <w:r>
        <w:rPr>
          <w:rFonts w:hint="eastAsia" w:ascii="宋体" w:hAnsi="宋体" w:eastAsia="宋体"/>
          <w:bCs/>
          <w:kern w:val="2"/>
          <w:sz w:val="21"/>
          <w:lang w:eastAsia="zh-CN"/>
        </w:rPr>
        <w:t>15.我单位保证，若所投产品列入强制性产品认证目录的，则所投该产品须获得强制性产品认证证书（即CCC认证）；其中适用自我声明评价方式的产品，则所投该产品须具有“强制性认证产品符合性自我声明”；若所投产品列入工业产品生产许可证管理的产品目录的，则所投该产品生产者（制造商）须获得《全国工业产品生产许可证》。</w:t>
      </w:r>
    </w:p>
    <w:p w14:paraId="4B4930E6">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以上承诺，如有违反，愿依照国家相关法律法规处理，并承担由此给采购人带来的损失。</w:t>
      </w:r>
    </w:p>
    <w:p w14:paraId="0094A460">
      <w:pPr>
        <w:widowControl w:val="0"/>
        <w:ind w:firstLine="420" w:firstLineChars="200"/>
        <w:jc w:val="both"/>
        <w:rPr>
          <w:rFonts w:hint="eastAsia" w:ascii="宋体" w:hAnsi="宋体" w:eastAsia="宋体"/>
          <w:kern w:val="2"/>
          <w:sz w:val="21"/>
          <w:szCs w:val="21"/>
          <w:lang w:eastAsia="zh-CN"/>
        </w:rPr>
      </w:pPr>
    </w:p>
    <w:p w14:paraId="22B34A22">
      <w:pPr>
        <w:widowControl w:val="0"/>
        <w:spacing w:before="60" w:beforeLines="25" w:after="60" w:afterLines="25"/>
        <w:ind w:firstLine="5460" w:firstLineChars="26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 xml:space="preserve">                                    </w:t>
      </w:r>
    </w:p>
    <w:p w14:paraId="6F69D65B">
      <w:pPr>
        <w:widowControl w:val="0"/>
        <w:spacing w:before="60" w:beforeLines="25" w:after="60" w:afterLines="25"/>
        <w:ind w:firstLine="5460" w:firstLineChars="2600"/>
        <w:jc w:val="both"/>
        <w:rPr>
          <w:rFonts w:eastAsia="宋体"/>
          <w:color w:val="000000"/>
          <w:kern w:val="2"/>
          <w:sz w:val="21"/>
          <w:lang w:eastAsia="zh-CN"/>
        </w:rPr>
      </w:pPr>
      <w:r>
        <w:rPr>
          <w:rFonts w:hint="eastAsia" w:eastAsia="宋体"/>
          <w:color w:val="000000"/>
          <w:kern w:val="2"/>
          <w:sz w:val="21"/>
          <w:szCs w:val="21"/>
          <w:lang w:eastAsia="zh-CN"/>
        </w:rPr>
        <w:t>投标人：</w:t>
      </w:r>
      <w:r>
        <w:rPr>
          <w:rFonts w:hint="eastAsia" w:eastAsia="宋体"/>
          <w:color w:val="000000"/>
          <w:kern w:val="2"/>
          <w:sz w:val="21"/>
          <w:szCs w:val="21"/>
          <w:u w:val="single"/>
          <w:lang w:eastAsia="zh-CN"/>
        </w:rPr>
        <w:t xml:space="preserve">              </w:t>
      </w:r>
    </w:p>
    <w:p w14:paraId="08D3A225">
      <w:pPr>
        <w:widowControl w:val="0"/>
        <w:ind w:firstLine="645"/>
        <w:jc w:val="both"/>
        <w:rPr>
          <w:rFonts w:hint="eastAsia" w:ascii="宋体" w:hAnsi="宋体" w:eastAsia="宋体"/>
          <w:color w:val="000000"/>
          <w:kern w:val="2"/>
          <w:sz w:val="21"/>
          <w:szCs w:val="21"/>
          <w:lang w:eastAsia="zh-CN"/>
        </w:rPr>
      </w:pPr>
      <w:r>
        <w:rPr>
          <w:rFonts w:hint="eastAsia" w:ascii="宋体" w:hAnsi="宋体" w:eastAsia="宋体"/>
          <w:color w:val="000000"/>
          <w:kern w:val="2"/>
          <w:sz w:val="21"/>
          <w:szCs w:val="21"/>
          <w:lang w:eastAsia="zh-CN"/>
        </w:rPr>
        <w:t xml:space="preserve">                                              日期：</w:t>
      </w:r>
      <w:r>
        <w:rPr>
          <w:rFonts w:hint="eastAsia" w:ascii="宋体" w:hAnsi="宋体" w:eastAsia="宋体"/>
          <w:color w:val="000000"/>
          <w:kern w:val="2"/>
          <w:sz w:val="21"/>
          <w:szCs w:val="21"/>
          <w:u w:val="single"/>
          <w:lang w:eastAsia="zh-CN"/>
        </w:rPr>
        <w:t xml:space="preserve">    </w:t>
      </w:r>
      <w:r>
        <w:rPr>
          <w:rFonts w:hint="eastAsia" w:ascii="宋体" w:hAnsi="宋体" w:eastAsia="宋体"/>
          <w:color w:val="000000"/>
          <w:kern w:val="2"/>
          <w:sz w:val="21"/>
          <w:szCs w:val="21"/>
          <w:lang w:eastAsia="zh-CN"/>
        </w:rPr>
        <w:t>年</w:t>
      </w:r>
      <w:r>
        <w:rPr>
          <w:rFonts w:hint="eastAsia" w:ascii="宋体" w:hAnsi="宋体" w:eastAsia="宋体"/>
          <w:color w:val="000000"/>
          <w:kern w:val="2"/>
          <w:sz w:val="21"/>
          <w:szCs w:val="21"/>
          <w:u w:val="single"/>
          <w:lang w:eastAsia="zh-CN"/>
        </w:rPr>
        <w:t xml:space="preserve">   </w:t>
      </w:r>
      <w:r>
        <w:rPr>
          <w:rFonts w:hint="eastAsia" w:ascii="宋体" w:hAnsi="宋体" w:eastAsia="宋体"/>
          <w:color w:val="000000"/>
          <w:kern w:val="2"/>
          <w:sz w:val="21"/>
          <w:szCs w:val="21"/>
          <w:lang w:eastAsia="zh-CN"/>
        </w:rPr>
        <w:t>月</w:t>
      </w:r>
      <w:r>
        <w:rPr>
          <w:rFonts w:hint="eastAsia" w:ascii="宋体" w:hAnsi="宋体" w:eastAsia="宋体"/>
          <w:color w:val="000000"/>
          <w:kern w:val="2"/>
          <w:sz w:val="21"/>
          <w:szCs w:val="21"/>
          <w:u w:val="single"/>
          <w:lang w:eastAsia="zh-CN"/>
        </w:rPr>
        <w:t xml:space="preserve">   </w:t>
      </w:r>
      <w:r>
        <w:rPr>
          <w:rFonts w:hint="eastAsia" w:ascii="宋体" w:hAnsi="宋体" w:eastAsia="宋体"/>
          <w:color w:val="000000"/>
          <w:kern w:val="2"/>
          <w:sz w:val="21"/>
          <w:szCs w:val="21"/>
          <w:lang w:eastAsia="zh-CN"/>
        </w:rPr>
        <w:t>日</w:t>
      </w:r>
    </w:p>
    <w:p w14:paraId="2E22D7CA">
      <w:pPr>
        <w:widowControl w:val="0"/>
        <w:jc w:val="both"/>
        <w:rPr>
          <w:rFonts w:eastAsia="宋体"/>
          <w:kern w:val="2"/>
          <w:sz w:val="21"/>
          <w:lang w:eastAsia="zh-CN"/>
        </w:rPr>
      </w:pPr>
    </w:p>
    <w:p w14:paraId="4A533A96">
      <w:pPr>
        <w:widowControl w:val="0"/>
        <w:jc w:val="both"/>
        <w:rPr>
          <w:rFonts w:eastAsia="宋体"/>
          <w:kern w:val="2"/>
          <w:sz w:val="21"/>
          <w:lang w:eastAsia="zh-CN"/>
        </w:rPr>
      </w:pPr>
    </w:p>
    <w:p w14:paraId="1E6B7273">
      <w:pPr>
        <w:widowControl w:val="0"/>
        <w:spacing w:before="120" w:after="120" w:line="240" w:lineRule="auto"/>
        <w:jc w:val="center"/>
        <w:outlineLvl w:val="2"/>
        <w:rPr>
          <w:rFonts w:hint="eastAsia" w:ascii="黑体" w:hAnsi="宋体" w:eastAsia="黑体"/>
          <w:szCs w:val="32"/>
          <w:lang w:eastAsia="zh-CN"/>
        </w:rPr>
      </w:pPr>
      <w:r>
        <w:rPr>
          <w:rFonts w:hint="eastAsia" w:ascii="黑体" w:hAnsi="宋体" w:eastAsia="黑体"/>
          <w:szCs w:val="32"/>
          <w:lang w:eastAsia="zh-CN"/>
        </w:rPr>
        <w:t>三、投标人情况及资格证明文件</w:t>
      </w:r>
    </w:p>
    <w:p w14:paraId="32750AE7">
      <w:pPr>
        <w:widowControl w:val="0"/>
        <w:jc w:val="both"/>
        <w:outlineLvl w:val="3"/>
        <w:rPr>
          <w:rFonts w:hint="eastAsia" w:ascii="黑体" w:hAnsi="宋体" w:eastAsia="黑体"/>
          <w:bCs/>
          <w:szCs w:val="32"/>
          <w:lang w:eastAsia="zh-CN"/>
        </w:rPr>
      </w:pPr>
      <w:r>
        <w:rPr>
          <w:rFonts w:hint="eastAsia" w:ascii="黑体" w:hAnsi="宋体" w:eastAsia="黑体"/>
          <w:bCs/>
          <w:szCs w:val="32"/>
          <w:lang w:eastAsia="zh-CN"/>
        </w:rPr>
        <w:t>（一）投标人资格证明文件</w:t>
      </w:r>
    </w:p>
    <w:p w14:paraId="06D05CB0">
      <w:pPr>
        <w:widowControl w:val="0"/>
        <w:spacing w:before="120" w:beforeLines="50"/>
        <w:ind w:firstLine="422" w:firstLineChars="200"/>
        <w:jc w:val="both"/>
        <w:rPr>
          <w:rFonts w:eastAsia="宋体"/>
          <w:b/>
          <w:bCs/>
          <w:color w:val="FF0000"/>
          <w:kern w:val="2"/>
          <w:sz w:val="21"/>
          <w:lang w:eastAsia="zh-CN"/>
        </w:rPr>
      </w:pPr>
      <w:r>
        <w:rPr>
          <w:rFonts w:hint="eastAsia" w:eastAsia="宋体"/>
          <w:b/>
          <w:bCs/>
          <w:color w:val="FF0000"/>
          <w:kern w:val="2"/>
          <w:sz w:val="21"/>
          <w:lang w:eastAsia="zh-CN"/>
        </w:rPr>
        <w:t>（特别提示：投标人须按本招标文件第一册第一章招标公告 “投标人的资格要求”（即投标人资格要求）提供相关的资格证明资料，未提供或提供不完整、不符合要求的，将作投标无效处理，其中要求提供《采购投标及履约承诺函》且已在“二、采购投标及履约承诺函”章节中提供了，此处可不重复提供。）</w:t>
      </w:r>
    </w:p>
    <w:p w14:paraId="7A783F4C">
      <w:pPr>
        <w:widowControl w:val="0"/>
        <w:jc w:val="both"/>
        <w:rPr>
          <w:rFonts w:eastAsia="宋体"/>
          <w:kern w:val="2"/>
          <w:sz w:val="21"/>
          <w:lang w:eastAsia="zh-CN"/>
        </w:rPr>
      </w:pPr>
    </w:p>
    <w:p w14:paraId="1FBEE2EC">
      <w:pPr>
        <w:widowControl w:val="0"/>
        <w:jc w:val="both"/>
        <w:outlineLvl w:val="3"/>
        <w:rPr>
          <w:rFonts w:hint="eastAsia" w:ascii="黑体" w:hAnsi="宋体" w:eastAsia="黑体"/>
          <w:bCs/>
          <w:szCs w:val="32"/>
          <w:lang w:eastAsia="zh-CN"/>
        </w:rPr>
      </w:pPr>
      <w:r>
        <w:rPr>
          <w:rFonts w:hint="eastAsia" w:ascii="黑体" w:hAnsi="宋体" w:eastAsia="黑体"/>
          <w:bCs/>
          <w:szCs w:val="32"/>
          <w:lang w:eastAsia="zh-CN"/>
        </w:rPr>
        <w:t>（二）中小企业声明函、残疾人福利性单位声明函及监狱企业声明函</w:t>
      </w:r>
    </w:p>
    <w:p w14:paraId="63C66CCA">
      <w:pPr>
        <w:widowControl w:val="0"/>
        <w:ind w:firstLine="420" w:firstLineChars="200"/>
        <w:jc w:val="both"/>
        <w:rPr>
          <w:rFonts w:hint="eastAsia" w:ascii="黑体" w:hAnsi="黑体" w:eastAsia="黑体" w:cs="黑体"/>
          <w:color w:val="FF0000"/>
          <w:kern w:val="2"/>
          <w:sz w:val="21"/>
          <w:lang w:eastAsia="zh-CN"/>
        </w:rPr>
      </w:pPr>
      <w:r>
        <w:rPr>
          <w:rFonts w:hint="eastAsia" w:ascii="黑体" w:hAnsi="黑体" w:eastAsia="黑体" w:cs="黑体"/>
          <w:color w:val="FF0000"/>
          <w:kern w:val="2"/>
          <w:sz w:val="21"/>
          <w:lang w:eastAsia="zh-CN"/>
        </w:rPr>
        <w:t>填写指引：</w:t>
      </w:r>
    </w:p>
    <w:p w14:paraId="311FBC4E">
      <w:pPr>
        <w:widowControl w:val="0"/>
        <w:ind w:firstLine="420" w:firstLineChars="200"/>
        <w:jc w:val="both"/>
        <w:outlineLvl w:val="3"/>
        <w:rPr>
          <w:rFonts w:hint="eastAsia" w:ascii="黑体" w:hAnsi="黑体" w:eastAsia="黑体"/>
          <w:color w:val="FF0000"/>
          <w:kern w:val="2"/>
          <w:sz w:val="21"/>
          <w:szCs w:val="21"/>
          <w:lang w:eastAsia="zh-CN"/>
        </w:rPr>
      </w:pPr>
      <w:r>
        <w:rPr>
          <w:rFonts w:hint="eastAsia" w:ascii="黑体" w:hAnsi="宋体" w:eastAsia="黑体"/>
          <w:bCs/>
          <w:color w:val="FF0000"/>
          <w:sz w:val="21"/>
          <w:szCs w:val="21"/>
          <w:lang w:eastAsia="zh-CN"/>
        </w:rPr>
        <w:t>1、该部分内容由供应商根据自身实际情况填写，</w:t>
      </w:r>
      <w:r>
        <w:rPr>
          <w:rFonts w:hint="eastAsia" w:ascii="黑体" w:hAnsi="黑体" w:eastAsia="黑体"/>
          <w:color w:val="FF0000"/>
          <w:kern w:val="2"/>
          <w:sz w:val="21"/>
          <w:szCs w:val="21"/>
          <w:lang w:eastAsia="zh-CN"/>
        </w:rPr>
        <w:t>投标（响应）供应商对《中小企业声明函》的真实性负责。投标（响应）供应商应当核实投标（响应）的服务承接商的相关信息，如对相关信息了解不充分，或者不能确定相关信息真实、准确的，不建议出具《中小企业声明函》；如供应商提供的《中小企业声明函》存在所属行业或划型不实的，属于提供虚假材料谋取中标、成交，依照《中华人民共和国政府采购法》第七十七条的规定，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5EF94890">
      <w:pPr>
        <w:widowControl w:val="0"/>
        <w:ind w:firstLine="420" w:firstLineChars="200"/>
        <w:jc w:val="both"/>
        <w:outlineLvl w:val="3"/>
        <w:rPr>
          <w:rFonts w:hint="eastAsia" w:ascii="黑体" w:hAnsi="黑体" w:eastAsia="黑体"/>
          <w:color w:val="FF0000"/>
          <w:kern w:val="2"/>
          <w:sz w:val="21"/>
          <w:szCs w:val="21"/>
          <w:lang w:eastAsia="zh-CN"/>
        </w:rPr>
      </w:pPr>
      <w:r>
        <w:rPr>
          <w:rFonts w:hint="eastAsia" w:ascii="黑体" w:hAnsi="黑体" w:eastAsia="黑体"/>
          <w:color w:val="FF0000"/>
          <w:kern w:val="2"/>
          <w:sz w:val="21"/>
          <w:szCs w:val="21"/>
          <w:lang w:eastAsia="zh-CN"/>
        </w:rPr>
        <w:t>2、该部分内容填写需要参考的相关文件：</w:t>
      </w:r>
    </w:p>
    <w:p w14:paraId="4582853F">
      <w:pPr>
        <w:widowControl w:val="0"/>
        <w:ind w:firstLine="420" w:firstLineChars="200"/>
        <w:jc w:val="both"/>
        <w:outlineLvl w:val="3"/>
        <w:rPr>
          <w:rFonts w:hint="eastAsia" w:ascii="黑体" w:hAnsi="黑体" w:eastAsia="黑体"/>
          <w:color w:val="FF0000"/>
          <w:kern w:val="2"/>
          <w:sz w:val="21"/>
          <w:szCs w:val="21"/>
          <w:lang w:eastAsia="zh-CN"/>
        </w:rPr>
      </w:pPr>
      <w:r>
        <w:rPr>
          <w:rFonts w:hint="eastAsia" w:ascii="黑体" w:hAnsi="黑体" w:eastAsia="黑体"/>
          <w:color w:val="FF0000"/>
          <w:kern w:val="2"/>
          <w:sz w:val="21"/>
          <w:szCs w:val="21"/>
          <w:lang w:eastAsia="zh-CN"/>
        </w:rPr>
        <w:t>(</w:t>
      </w:r>
      <w:r>
        <w:rPr>
          <w:rFonts w:ascii="黑体" w:hAnsi="黑体" w:eastAsia="黑体"/>
          <w:color w:val="FF0000"/>
          <w:kern w:val="2"/>
          <w:sz w:val="21"/>
          <w:szCs w:val="21"/>
          <w:lang w:eastAsia="zh-CN"/>
        </w:rPr>
        <w:t>1</w:t>
      </w:r>
      <w:r>
        <w:rPr>
          <w:rFonts w:hint="eastAsia" w:ascii="黑体" w:hAnsi="黑体" w:eastAsia="黑体"/>
          <w:color w:val="FF0000"/>
          <w:kern w:val="2"/>
          <w:sz w:val="21"/>
          <w:szCs w:val="21"/>
          <w:lang w:eastAsia="zh-CN"/>
        </w:rPr>
        <w:t>)财政部《政府采购促进中小企业发展管理办法》（财库〔2020〕46号）</w:t>
      </w:r>
    </w:p>
    <w:p w14:paraId="04D14650">
      <w:pPr>
        <w:widowControl w:val="0"/>
        <w:ind w:firstLine="420" w:firstLineChars="200"/>
        <w:jc w:val="both"/>
        <w:outlineLvl w:val="3"/>
        <w:rPr>
          <w:rFonts w:hint="eastAsia" w:ascii="黑体" w:hAnsi="黑体" w:eastAsia="黑体"/>
          <w:color w:val="FF0000"/>
          <w:kern w:val="2"/>
          <w:sz w:val="21"/>
          <w:szCs w:val="21"/>
          <w:lang w:eastAsia="zh-CN"/>
        </w:rPr>
      </w:pPr>
      <w:r>
        <w:rPr>
          <w:rFonts w:hint="eastAsia" w:ascii="黑体" w:hAnsi="黑体" w:eastAsia="黑体"/>
          <w:color w:val="FF0000"/>
          <w:kern w:val="2"/>
          <w:sz w:val="21"/>
          <w:szCs w:val="21"/>
          <w:lang w:eastAsia="zh-CN"/>
        </w:rPr>
        <w:t>(</w:t>
      </w:r>
      <w:r>
        <w:rPr>
          <w:rFonts w:ascii="黑体" w:hAnsi="黑体" w:eastAsia="黑体"/>
          <w:color w:val="FF0000"/>
          <w:kern w:val="2"/>
          <w:sz w:val="21"/>
          <w:szCs w:val="21"/>
          <w:lang w:eastAsia="zh-CN"/>
        </w:rPr>
        <w:t>2</w:t>
      </w:r>
      <w:r>
        <w:rPr>
          <w:rFonts w:hint="eastAsia" w:ascii="黑体" w:hAnsi="黑体" w:eastAsia="黑体"/>
          <w:color w:val="FF0000"/>
          <w:kern w:val="2"/>
          <w:sz w:val="21"/>
          <w:szCs w:val="21"/>
          <w:lang w:eastAsia="zh-CN"/>
        </w:rPr>
        <w:t>)</w:t>
      </w:r>
      <w:bookmarkStart w:id="39" w:name="_Hlk71925120"/>
      <w:r>
        <w:rPr>
          <w:rFonts w:hint="eastAsia" w:ascii="黑体" w:hAnsi="黑体" w:eastAsia="黑体"/>
          <w:color w:val="FF0000"/>
          <w:kern w:val="2"/>
          <w:sz w:val="21"/>
          <w:szCs w:val="21"/>
          <w:lang w:eastAsia="zh-CN"/>
        </w:rPr>
        <w:t>《工业和信息化部、国家统计局、国家发展和改革委员会、财政部关于印发中小企业划型标准规定的通知》（工信部联企业〔2011〕300 号</w:t>
      </w:r>
      <w:bookmarkEnd w:id="39"/>
      <w:r>
        <w:rPr>
          <w:rFonts w:hint="eastAsia" w:ascii="黑体" w:hAnsi="黑体" w:eastAsia="黑体"/>
          <w:color w:val="FF0000"/>
          <w:kern w:val="2"/>
          <w:sz w:val="21"/>
          <w:szCs w:val="21"/>
          <w:lang w:eastAsia="zh-CN"/>
        </w:rPr>
        <w:t>，以下简称3</w:t>
      </w:r>
      <w:r>
        <w:rPr>
          <w:rFonts w:ascii="黑体" w:hAnsi="黑体" w:eastAsia="黑体"/>
          <w:color w:val="FF0000"/>
          <w:kern w:val="2"/>
          <w:sz w:val="21"/>
          <w:szCs w:val="21"/>
          <w:lang w:eastAsia="zh-CN"/>
        </w:rPr>
        <w:t>00</w:t>
      </w:r>
      <w:r>
        <w:rPr>
          <w:rFonts w:hint="eastAsia" w:ascii="黑体" w:hAnsi="黑体" w:eastAsia="黑体"/>
          <w:color w:val="FF0000"/>
          <w:kern w:val="2"/>
          <w:sz w:val="21"/>
          <w:szCs w:val="21"/>
          <w:lang w:eastAsia="zh-CN"/>
        </w:rPr>
        <w:t>号文）</w:t>
      </w:r>
    </w:p>
    <w:p w14:paraId="637479B6">
      <w:pPr>
        <w:widowControl w:val="0"/>
        <w:ind w:firstLine="420" w:firstLineChars="200"/>
        <w:jc w:val="both"/>
        <w:outlineLvl w:val="3"/>
        <w:rPr>
          <w:rFonts w:hint="eastAsia" w:ascii="黑体" w:hAnsi="黑体" w:eastAsia="黑体"/>
          <w:color w:val="FF0000"/>
          <w:kern w:val="2"/>
          <w:sz w:val="21"/>
          <w:szCs w:val="21"/>
          <w:lang w:eastAsia="zh-CN"/>
        </w:rPr>
      </w:pPr>
      <w:r>
        <w:rPr>
          <w:rFonts w:hint="eastAsia" w:ascii="黑体" w:hAnsi="黑体" w:eastAsia="黑体"/>
          <w:color w:val="FF0000"/>
          <w:kern w:val="2"/>
          <w:sz w:val="21"/>
          <w:szCs w:val="21"/>
          <w:lang w:eastAsia="zh-CN"/>
        </w:rPr>
        <w:t>(3)《统计上大中小微型企业划分办法(2017)》（国统字〔2017〕213 号）</w:t>
      </w:r>
    </w:p>
    <w:p w14:paraId="01198358">
      <w:pPr>
        <w:widowControl w:val="0"/>
        <w:ind w:firstLine="420" w:firstLineChars="200"/>
        <w:jc w:val="both"/>
        <w:outlineLvl w:val="3"/>
        <w:rPr>
          <w:rFonts w:hint="eastAsia" w:ascii="黑体" w:hAnsi="黑体" w:eastAsia="黑体"/>
          <w:color w:val="FF0000"/>
          <w:kern w:val="2"/>
          <w:sz w:val="21"/>
          <w:szCs w:val="21"/>
          <w:lang w:eastAsia="zh-CN"/>
        </w:rPr>
      </w:pPr>
      <w:r>
        <w:rPr>
          <w:rFonts w:hint="eastAsia" w:ascii="黑体" w:hAnsi="黑体" w:eastAsia="黑体"/>
          <w:color w:val="FF0000"/>
          <w:kern w:val="2"/>
          <w:sz w:val="21"/>
          <w:szCs w:val="21"/>
          <w:lang w:eastAsia="zh-CN"/>
        </w:rPr>
        <w:t>(4)《关于促进残疾人就业政府采购政策的通知》（财库〔2017〕141号）</w:t>
      </w:r>
    </w:p>
    <w:p w14:paraId="101FB379">
      <w:pPr>
        <w:widowControl w:val="0"/>
        <w:ind w:firstLine="420" w:firstLineChars="200"/>
        <w:jc w:val="both"/>
        <w:outlineLvl w:val="3"/>
        <w:rPr>
          <w:rFonts w:hint="eastAsia" w:ascii="黑体" w:hAnsi="黑体" w:eastAsia="黑体"/>
          <w:color w:val="FF0000"/>
          <w:kern w:val="2"/>
          <w:sz w:val="21"/>
          <w:szCs w:val="21"/>
          <w:lang w:eastAsia="zh-CN"/>
        </w:rPr>
      </w:pPr>
      <w:r>
        <w:rPr>
          <w:rFonts w:hint="eastAsia" w:ascii="黑体" w:hAnsi="黑体" w:eastAsia="黑体"/>
          <w:color w:val="FF0000"/>
          <w:kern w:val="2"/>
          <w:sz w:val="21"/>
          <w:szCs w:val="21"/>
          <w:lang w:eastAsia="zh-CN"/>
        </w:rPr>
        <w:t>(5)《关于政府采购支持监狱企业发展有关问题的通知》（财库〔2014〕68号）</w:t>
      </w:r>
    </w:p>
    <w:p w14:paraId="6E6AA388">
      <w:pPr>
        <w:widowControl w:val="0"/>
        <w:ind w:firstLine="420" w:firstLineChars="200"/>
        <w:jc w:val="both"/>
        <w:outlineLvl w:val="3"/>
        <w:rPr>
          <w:rFonts w:hint="eastAsia" w:ascii="黑体" w:hAnsi="宋体" w:eastAsia="黑体"/>
          <w:bCs/>
          <w:color w:val="FF0000"/>
          <w:sz w:val="21"/>
          <w:szCs w:val="21"/>
          <w:lang w:eastAsia="zh-CN"/>
        </w:rPr>
      </w:pPr>
      <w:r>
        <w:rPr>
          <w:rFonts w:hint="eastAsia" w:ascii="黑体" w:hAnsi="宋体" w:eastAsia="黑体"/>
          <w:bCs/>
          <w:color w:val="FF0000"/>
          <w:sz w:val="21"/>
          <w:szCs w:val="21"/>
          <w:lang w:eastAsia="zh-CN"/>
        </w:rPr>
        <w:t>3、请依照提供的格式和内容填写声明函，不要随意变更格式；声明函不需要盖章或签字；</w:t>
      </w:r>
      <w:r>
        <w:rPr>
          <w:rFonts w:hint="eastAsia" w:ascii="黑体" w:hAnsi="黑体" w:eastAsia="黑体"/>
          <w:color w:val="FF0000"/>
          <w:kern w:val="2"/>
          <w:sz w:val="21"/>
          <w:szCs w:val="21"/>
          <w:lang w:eastAsia="zh-CN"/>
        </w:rPr>
        <w:t>满足多项优惠政策的投标人，不重复享受多项价格扣除政策。</w:t>
      </w:r>
    </w:p>
    <w:p w14:paraId="1D2606CA">
      <w:pPr>
        <w:widowControl w:val="0"/>
        <w:ind w:firstLine="420" w:firstLineChars="200"/>
        <w:jc w:val="both"/>
        <w:outlineLvl w:val="3"/>
        <w:rPr>
          <w:rFonts w:hint="eastAsia" w:ascii="黑体" w:hAnsi="宋体" w:eastAsia="黑体"/>
          <w:bCs/>
          <w:color w:val="FF0000"/>
          <w:sz w:val="21"/>
          <w:szCs w:val="21"/>
          <w:lang w:eastAsia="zh-CN"/>
        </w:rPr>
      </w:pPr>
      <w:r>
        <w:rPr>
          <w:rFonts w:hint="eastAsia" w:ascii="黑体" w:hAnsi="宋体" w:eastAsia="黑体"/>
          <w:bCs/>
          <w:color w:val="FF0000"/>
          <w:sz w:val="21"/>
          <w:szCs w:val="21"/>
          <w:lang w:eastAsia="zh-CN"/>
        </w:rPr>
        <w:t>4、声明函具体填写要求：</w:t>
      </w:r>
    </w:p>
    <w:p w14:paraId="6AF474BF">
      <w:pPr>
        <w:widowControl w:val="0"/>
        <w:ind w:firstLine="420" w:firstLineChars="200"/>
        <w:jc w:val="both"/>
        <w:outlineLvl w:val="3"/>
        <w:rPr>
          <w:rFonts w:hint="eastAsia" w:ascii="黑体" w:hAnsi="宋体" w:eastAsia="黑体"/>
          <w:bCs/>
          <w:color w:val="FF0000"/>
          <w:sz w:val="21"/>
          <w:szCs w:val="21"/>
          <w:lang w:eastAsia="zh-CN"/>
        </w:rPr>
      </w:pPr>
      <w:r>
        <w:rPr>
          <w:rFonts w:hint="eastAsia" w:ascii="黑体" w:hAnsi="宋体" w:eastAsia="黑体"/>
          <w:bCs/>
          <w:color w:val="FF0000"/>
          <w:sz w:val="21"/>
          <w:szCs w:val="21"/>
          <w:lang w:eastAsia="zh-CN"/>
        </w:rPr>
        <w:t>（1）声明是中小企业须填写《中小企业声明函》的以下内容：</w:t>
      </w:r>
    </w:p>
    <w:p w14:paraId="7DF5E4D3">
      <w:pPr>
        <w:widowControl w:val="0"/>
        <w:ind w:firstLine="420" w:firstLineChars="200"/>
        <w:jc w:val="both"/>
        <w:outlineLvl w:val="3"/>
        <w:rPr>
          <w:rFonts w:hint="eastAsia" w:ascii="黑体" w:hAnsi="宋体" w:eastAsia="黑体"/>
          <w:bCs/>
          <w:color w:val="FF0000"/>
          <w:sz w:val="21"/>
          <w:szCs w:val="21"/>
          <w:lang w:eastAsia="zh-CN"/>
        </w:rPr>
      </w:pPr>
      <w:r>
        <w:rPr>
          <w:rFonts w:hint="eastAsia" w:ascii="黑体" w:hAnsi="宋体" w:eastAsia="黑体"/>
          <w:bCs/>
          <w:color w:val="FF0000"/>
          <w:sz w:val="21"/>
          <w:szCs w:val="21"/>
          <w:lang w:eastAsia="zh-CN"/>
        </w:rPr>
        <w:t>第一处，在“单位名称”下划线处应填写采购人名称（深圳公共资源交易中心不是本项目的采购人，而是组织实施机构）；</w:t>
      </w:r>
    </w:p>
    <w:p w14:paraId="0C21CC85">
      <w:pPr>
        <w:widowControl w:val="0"/>
        <w:ind w:firstLine="420" w:firstLineChars="200"/>
        <w:jc w:val="both"/>
        <w:outlineLvl w:val="3"/>
        <w:rPr>
          <w:rFonts w:hint="eastAsia" w:ascii="黑体" w:hAnsi="宋体" w:eastAsia="黑体"/>
          <w:bCs/>
          <w:color w:val="FF0000"/>
          <w:sz w:val="21"/>
          <w:szCs w:val="21"/>
          <w:lang w:eastAsia="zh-CN"/>
        </w:rPr>
      </w:pPr>
      <w:r>
        <w:rPr>
          <w:rFonts w:hint="eastAsia" w:ascii="黑体" w:hAnsi="宋体" w:eastAsia="黑体"/>
          <w:bCs/>
          <w:color w:val="FF0000"/>
          <w:sz w:val="21"/>
          <w:szCs w:val="21"/>
          <w:lang w:eastAsia="zh-CN"/>
        </w:rPr>
        <w:t>第二处，在“项目名称”下划线处应按照采购文件中确定的项目名称填写。对于分包方式面向中小企业采购的项目，应标明中小企业的具体分包内容；对于以联合体方式面向中小企业采购的项目，应标明联合体中中小企业所承担的具体内容；</w:t>
      </w:r>
    </w:p>
    <w:p w14:paraId="2585D9EF">
      <w:pPr>
        <w:widowControl w:val="0"/>
        <w:ind w:firstLine="420" w:firstLineChars="200"/>
        <w:jc w:val="both"/>
        <w:outlineLvl w:val="3"/>
        <w:rPr>
          <w:rFonts w:hint="eastAsia" w:ascii="黑体" w:hAnsi="宋体" w:eastAsia="黑体"/>
          <w:bCs/>
          <w:color w:val="FF0000"/>
          <w:sz w:val="21"/>
          <w:szCs w:val="21"/>
          <w:lang w:eastAsia="zh-CN"/>
        </w:rPr>
      </w:pPr>
      <w:r>
        <w:rPr>
          <w:rFonts w:hint="eastAsia" w:ascii="黑体" w:hAnsi="宋体" w:eastAsia="黑体"/>
          <w:bCs/>
          <w:color w:val="FF0000"/>
          <w:sz w:val="21"/>
          <w:szCs w:val="21"/>
          <w:lang w:eastAsia="zh-CN"/>
        </w:rPr>
        <w:t>第三处，在“标的名称”下划线处应填写采购文件中细化载明的采购标的名称。对于分包方式面向中小企业采购的项目，“标的名称”应填写采购文件中注明的分包给中小企业的采购标的名称；对于以联合体方式面向中小企业采购的项目，“标的名称”应填写采购文件中注明的联合体中中小企业承担的采购标的名称；</w:t>
      </w:r>
    </w:p>
    <w:p w14:paraId="5283BB01">
      <w:pPr>
        <w:widowControl w:val="0"/>
        <w:ind w:firstLine="420" w:firstLineChars="200"/>
        <w:jc w:val="both"/>
        <w:outlineLvl w:val="3"/>
        <w:rPr>
          <w:rFonts w:hint="eastAsia" w:ascii="黑体" w:hAnsi="宋体" w:eastAsia="黑体"/>
          <w:bCs/>
          <w:color w:val="FF0000"/>
          <w:sz w:val="21"/>
          <w:szCs w:val="21"/>
          <w:lang w:eastAsia="zh-CN"/>
        </w:rPr>
      </w:pPr>
      <w:r>
        <w:rPr>
          <w:rFonts w:hint="eastAsia" w:ascii="黑体" w:hAnsi="宋体" w:eastAsia="黑体"/>
          <w:bCs/>
          <w:color w:val="FF0000"/>
          <w:sz w:val="21"/>
          <w:szCs w:val="21"/>
          <w:lang w:eastAsia="zh-CN"/>
        </w:rPr>
        <w:t>第四处，在“采购文件中明确的所属行业”下划线处应填写采购文件中明确的采购标的所属行业，并应确保与采购标的涉及的服务承接商本身的所属行业保持一致。对于分包方式面向中小企业采购的项目，“采购文件中明确的所属行业”应按照采购文件中注明的分包给中小企业的采购标的所属行业填写，并应确保与该分包部分采购标的涉及的服务承接商本身的所属行业保持一致。对于以联合体方式面向中小企业采购的项目，“采购文件中明确的所属行业”应按照采购文件中注明的联合体中中小企业承担的采购标的所属行业填写，并应确保与该承担部分采购标的涉及的服务承接商本身的所属行业保持一致；</w:t>
      </w:r>
    </w:p>
    <w:p w14:paraId="7880A512">
      <w:pPr>
        <w:widowControl w:val="0"/>
        <w:ind w:firstLine="420" w:firstLineChars="200"/>
        <w:jc w:val="both"/>
        <w:outlineLvl w:val="3"/>
        <w:rPr>
          <w:rFonts w:hint="eastAsia" w:ascii="黑体" w:hAnsi="宋体" w:eastAsia="黑体"/>
          <w:bCs/>
          <w:color w:val="FF0000"/>
          <w:sz w:val="21"/>
          <w:szCs w:val="21"/>
          <w:lang w:eastAsia="zh-CN"/>
        </w:rPr>
      </w:pPr>
      <w:r>
        <w:rPr>
          <w:rFonts w:hint="eastAsia" w:ascii="黑体" w:hAnsi="宋体" w:eastAsia="黑体"/>
          <w:bCs/>
          <w:color w:val="FF0000"/>
          <w:sz w:val="21"/>
          <w:szCs w:val="21"/>
          <w:lang w:eastAsia="zh-CN"/>
        </w:rPr>
        <w:t>第五处，在“企业名称”下划线处应填写投标（响应）的服务承接商。对于分包方式面向中小企业采购的项目，“企业名称”应填写分包部分采购标的对应的服务承接商。对于以联合体方式面向中小企业采购的项目，“企业名称”应填写联合体中中小企业承担采购标的对应的服务承接商。</w:t>
      </w:r>
    </w:p>
    <w:p w14:paraId="60772DE3">
      <w:pPr>
        <w:widowControl w:val="0"/>
        <w:ind w:firstLine="420" w:firstLineChars="200"/>
        <w:jc w:val="both"/>
        <w:outlineLvl w:val="3"/>
        <w:rPr>
          <w:rFonts w:hint="eastAsia" w:ascii="黑体" w:hAnsi="宋体" w:eastAsia="黑体"/>
          <w:bCs/>
          <w:color w:val="FF0000"/>
          <w:sz w:val="21"/>
          <w:szCs w:val="21"/>
          <w:lang w:eastAsia="zh-CN"/>
        </w:rPr>
      </w:pPr>
      <w:r>
        <w:rPr>
          <w:rFonts w:hint="eastAsia" w:ascii="黑体" w:hAnsi="宋体" w:eastAsia="黑体"/>
          <w:bCs/>
          <w:color w:val="FF0000"/>
          <w:sz w:val="21"/>
          <w:szCs w:val="21"/>
          <w:lang w:eastAsia="zh-CN"/>
        </w:rPr>
        <w:t xml:space="preserve">（2）从业人员、资产总额指标以上年度末数据为依据，营业收入指标以上年度累计数据为依据。无上年度数据的新成立企业可不填报。 </w:t>
      </w:r>
    </w:p>
    <w:p w14:paraId="5A12AF32">
      <w:pPr>
        <w:widowControl w:val="0"/>
        <w:ind w:firstLine="420" w:firstLineChars="200"/>
        <w:jc w:val="both"/>
        <w:outlineLvl w:val="3"/>
        <w:rPr>
          <w:rFonts w:hint="eastAsia" w:ascii="黑体" w:hAnsi="宋体" w:eastAsia="黑体"/>
          <w:bCs/>
          <w:color w:val="FF0000"/>
          <w:sz w:val="21"/>
          <w:szCs w:val="21"/>
          <w:lang w:eastAsia="zh-CN"/>
        </w:rPr>
      </w:pPr>
      <w:r>
        <w:rPr>
          <w:rFonts w:hint="eastAsia" w:ascii="黑体" w:hAnsi="宋体" w:eastAsia="黑体"/>
          <w:bCs/>
          <w:color w:val="FF0000"/>
          <w:sz w:val="21"/>
          <w:szCs w:val="21"/>
          <w:lang w:eastAsia="zh-CN"/>
        </w:rPr>
        <w:t>（3）“中型企业/小型企业/微型企业”部分，供应商应依据企业上年度从业人员、营业收入、资产总额等指标，按照《中小企业划型标准规定》（工信部联企业〔2011〕300 号）、《金融业企业划型标准规定》（银发〔2015〕309 号），判断《中小企业声明函》载明的服务承接商是否属于采购文件所属行业的中型企业/小型企业/微型企业。</w:t>
      </w:r>
    </w:p>
    <w:p w14:paraId="18A1B1D4">
      <w:pPr>
        <w:widowControl w:val="0"/>
        <w:ind w:firstLine="420" w:firstLineChars="200"/>
        <w:jc w:val="both"/>
        <w:outlineLvl w:val="3"/>
        <w:rPr>
          <w:rFonts w:hint="eastAsia" w:ascii="黑体" w:hAnsi="宋体" w:eastAsia="黑体"/>
          <w:bCs/>
          <w:color w:val="FF0000"/>
          <w:sz w:val="21"/>
          <w:szCs w:val="21"/>
          <w:lang w:eastAsia="zh-CN"/>
        </w:rPr>
      </w:pPr>
      <w:r>
        <w:rPr>
          <w:rFonts w:hint="eastAsia" w:ascii="黑体" w:hAnsi="宋体" w:eastAsia="黑体"/>
          <w:bCs/>
          <w:color w:val="FF0000"/>
          <w:sz w:val="21"/>
          <w:szCs w:val="21"/>
          <w:lang w:eastAsia="zh-CN"/>
        </w:rPr>
        <w:t>（4）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14:paraId="5684BD2D">
      <w:pPr>
        <w:widowControl w:val="0"/>
        <w:ind w:firstLine="420" w:firstLineChars="200"/>
        <w:jc w:val="both"/>
        <w:outlineLvl w:val="3"/>
        <w:rPr>
          <w:rFonts w:hint="eastAsia" w:ascii="黑体" w:hAnsi="宋体" w:eastAsia="黑体"/>
          <w:bCs/>
          <w:color w:val="FF0000"/>
          <w:sz w:val="21"/>
          <w:szCs w:val="21"/>
          <w:lang w:eastAsia="zh-CN"/>
        </w:rPr>
      </w:pPr>
      <w:r>
        <w:rPr>
          <w:rFonts w:hint="eastAsia" w:ascii="黑体" w:hAnsi="宋体" w:eastAsia="黑体"/>
          <w:bCs/>
          <w:color w:val="FF0000"/>
          <w:sz w:val="21"/>
          <w:szCs w:val="21"/>
          <w:lang w:eastAsia="zh-CN"/>
        </w:rPr>
        <w:t>（5）声明是残疾人福利性单位须填写《残疾人福利性单位声明函》的相关内容，具体参照以上《中小企业声明函》填写要求执行。</w:t>
      </w:r>
    </w:p>
    <w:p w14:paraId="7342866D">
      <w:pPr>
        <w:widowControl w:val="0"/>
        <w:ind w:firstLine="420" w:firstLineChars="200"/>
        <w:jc w:val="both"/>
        <w:rPr>
          <w:rFonts w:hint="eastAsia" w:ascii="黑体" w:hAnsi="宋体" w:eastAsia="黑体"/>
          <w:bCs/>
          <w:color w:val="FF0000"/>
          <w:sz w:val="21"/>
          <w:szCs w:val="21"/>
          <w:lang w:eastAsia="zh-CN"/>
        </w:rPr>
      </w:pPr>
      <w:r>
        <w:rPr>
          <w:rFonts w:hint="eastAsia" w:ascii="黑体" w:hAnsi="宋体" w:eastAsia="黑体"/>
          <w:bCs/>
          <w:color w:val="FF0000"/>
          <w:sz w:val="21"/>
          <w:szCs w:val="21"/>
          <w:lang w:eastAsia="zh-CN"/>
        </w:rPr>
        <w:t>（6）声明是监狱企业须填写《监狱企业声明函》的三项内容（填写位置的字体已加粗），具体参照以上《中小企业声明函》填写要求执行。</w:t>
      </w:r>
    </w:p>
    <w:p w14:paraId="74BF82FB">
      <w:pPr>
        <w:widowControl w:val="0"/>
        <w:ind w:firstLine="420" w:firstLineChars="200"/>
        <w:jc w:val="both"/>
        <w:rPr>
          <w:rFonts w:eastAsia="宋体"/>
          <w:kern w:val="2"/>
          <w:sz w:val="21"/>
          <w:lang w:eastAsia="zh-CN"/>
        </w:rPr>
      </w:pPr>
      <w:r>
        <w:rPr>
          <w:rFonts w:hint="eastAsia" w:ascii="黑体" w:hAnsi="宋体" w:eastAsia="黑体"/>
          <w:bCs/>
          <w:color w:val="FF0000"/>
          <w:sz w:val="21"/>
          <w:szCs w:val="21"/>
          <w:lang w:eastAsia="zh-CN"/>
        </w:rPr>
        <w:t>5、若本项目属于专门面向中小企业、残疾人福利性单位或监狱企业，则声明函有效性由采购人或代理机构判定，如判定声明函无效的，相关供应商将作资格审查不通过处理；若本项目非专门面向中小企业、残疾人福利性单位或监狱企业，声明函的有效性由评审委员会判定，如评审委员会判定声明函无效，相关供应商不享受价格扣除（但不作投标无效处理）。</w:t>
      </w:r>
    </w:p>
    <w:p w14:paraId="2E5C41AD">
      <w:pPr>
        <w:widowControl w:val="0"/>
        <w:ind w:firstLine="420" w:firstLineChars="200"/>
        <w:jc w:val="both"/>
        <w:rPr>
          <w:rFonts w:hint="eastAsia" w:ascii="黑体" w:hAnsi="黑体" w:eastAsia="黑体" w:cs="黑体"/>
          <w:color w:val="FF0000"/>
          <w:kern w:val="2"/>
          <w:sz w:val="21"/>
          <w:lang w:eastAsia="zh-CN"/>
        </w:rPr>
      </w:pPr>
    </w:p>
    <w:p w14:paraId="798222E6">
      <w:pPr>
        <w:widowControl w:val="0"/>
        <w:ind w:firstLine="420" w:firstLineChars="200"/>
        <w:jc w:val="both"/>
        <w:rPr>
          <w:rFonts w:hint="eastAsia" w:ascii="黑体" w:hAnsi="黑体" w:eastAsia="黑体" w:cs="黑体"/>
          <w:color w:val="FF0000"/>
          <w:kern w:val="2"/>
          <w:sz w:val="21"/>
          <w:lang w:eastAsia="zh-CN"/>
        </w:rPr>
      </w:pPr>
    </w:p>
    <w:p w14:paraId="69850DD0">
      <w:pPr>
        <w:widowControl w:val="0"/>
        <w:ind w:firstLine="420" w:firstLineChars="200"/>
        <w:jc w:val="both"/>
        <w:rPr>
          <w:rFonts w:eastAsia="宋体"/>
          <w:kern w:val="2"/>
          <w:sz w:val="21"/>
          <w:lang w:eastAsia="zh-CN"/>
        </w:rPr>
      </w:pPr>
    </w:p>
    <w:p w14:paraId="6ECA090C">
      <w:pPr>
        <w:widowControl w:val="0"/>
        <w:jc w:val="center"/>
        <w:outlineLvl w:val="3"/>
        <w:rPr>
          <w:rFonts w:eastAsia="宋体"/>
          <w:b/>
          <w:kern w:val="2"/>
          <w:lang w:eastAsia="zh-CN"/>
        </w:rPr>
      </w:pPr>
      <w:r>
        <w:rPr>
          <w:rFonts w:hint="eastAsia" w:eastAsia="宋体"/>
          <w:b/>
          <w:kern w:val="2"/>
          <w:lang w:eastAsia="zh-CN"/>
        </w:rPr>
        <w:t>1、</w:t>
      </w:r>
      <w:r>
        <w:rPr>
          <w:rFonts w:eastAsia="宋体"/>
          <w:b/>
          <w:kern w:val="2"/>
          <w:lang w:eastAsia="zh-CN"/>
        </w:rPr>
        <w:t>中小企业声明函（</w:t>
      </w:r>
      <w:r>
        <w:rPr>
          <w:rFonts w:hint="eastAsia" w:eastAsia="宋体"/>
          <w:b/>
          <w:kern w:val="2"/>
          <w:lang w:eastAsia="zh-CN"/>
        </w:rPr>
        <w:t>服务</w:t>
      </w:r>
      <w:r>
        <w:rPr>
          <w:rFonts w:eastAsia="宋体"/>
          <w:b/>
          <w:kern w:val="2"/>
          <w:lang w:eastAsia="zh-CN"/>
        </w:rPr>
        <w:t>）</w:t>
      </w:r>
    </w:p>
    <w:p w14:paraId="5BA3C0F6">
      <w:pPr>
        <w:widowControl w:val="0"/>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本公司（联合体）郑重声明，根据《政府采购促进中小企业发展管理办法》（财库﹝2020﹞46号）的规定，本公司（联合体）参加</w:t>
      </w:r>
      <w:r>
        <w:rPr>
          <w:rFonts w:hint="eastAsia" w:ascii="宋体" w:hAnsi="宋体" w:eastAsia="宋体" w:cs="宋体"/>
          <w:b/>
          <w:bCs/>
          <w:i/>
          <w:iCs/>
          <w:kern w:val="2"/>
          <w:sz w:val="21"/>
          <w:szCs w:val="21"/>
          <w:u w:val="single"/>
          <w:lang w:eastAsia="zh-CN"/>
        </w:rPr>
        <w:t xml:space="preserve">    （单位名称）    </w:t>
      </w:r>
      <w:r>
        <w:rPr>
          <w:rFonts w:hint="eastAsia" w:ascii="宋体" w:hAnsi="宋体" w:eastAsia="宋体" w:cs="宋体"/>
          <w:kern w:val="2"/>
          <w:sz w:val="21"/>
          <w:szCs w:val="21"/>
          <w:lang w:eastAsia="zh-CN"/>
        </w:rPr>
        <w:t>的</w:t>
      </w:r>
      <w:r>
        <w:rPr>
          <w:rFonts w:hint="eastAsia" w:ascii="宋体" w:hAnsi="宋体" w:eastAsia="宋体" w:cs="宋体"/>
          <w:b/>
          <w:bCs/>
          <w:i/>
          <w:iCs/>
          <w:kern w:val="2"/>
          <w:sz w:val="21"/>
          <w:szCs w:val="21"/>
          <w:u w:val="single"/>
          <w:lang w:eastAsia="zh-CN"/>
        </w:rPr>
        <w:t xml:space="preserve">    （项目名称）    </w:t>
      </w:r>
      <w:r>
        <w:rPr>
          <w:rFonts w:hint="eastAsia" w:ascii="宋体" w:hAnsi="宋体" w:eastAsia="宋体" w:cs="宋体"/>
          <w:kern w:val="2"/>
          <w:sz w:val="21"/>
          <w:szCs w:val="21"/>
          <w:lang w:eastAsia="zh-CN"/>
        </w:rPr>
        <w:t>采购活动，服务全部由符合政策要求的中小企业承接。相关企业（含联合体中的中小企业、签订分包意向协议的中小企业）的具体情况如下：</w:t>
      </w:r>
    </w:p>
    <w:p w14:paraId="3D0D4936">
      <w:pPr>
        <w:widowControl w:val="0"/>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1.</w:t>
      </w:r>
      <w:r>
        <w:rPr>
          <w:rFonts w:hint="eastAsia" w:ascii="宋体" w:hAnsi="宋体" w:eastAsia="宋体" w:cs="宋体"/>
          <w:b/>
          <w:bCs/>
          <w:i/>
          <w:iCs/>
          <w:kern w:val="2"/>
          <w:sz w:val="21"/>
          <w:szCs w:val="21"/>
          <w:u w:val="single"/>
          <w:lang w:eastAsia="zh-CN"/>
        </w:rPr>
        <w:t xml:space="preserve">    （标的名称）     </w:t>
      </w:r>
      <w:r>
        <w:rPr>
          <w:rFonts w:hint="eastAsia" w:ascii="宋体" w:hAnsi="宋体" w:eastAsia="宋体" w:cs="宋体"/>
          <w:kern w:val="2"/>
          <w:sz w:val="21"/>
          <w:szCs w:val="21"/>
          <w:lang w:eastAsia="zh-CN"/>
        </w:rPr>
        <w:t>，属于</w:t>
      </w:r>
      <w:r>
        <w:rPr>
          <w:rFonts w:hint="eastAsia" w:ascii="宋体" w:hAnsi="宋体" w:eastAsia="宋体" w:cs="宋体"/>
          <w:b/>
          <w:bCs/>
          <w:i/>
          <w:iCs/>
          <w:kern w:val="2"/>
          <w:sz w:val="21"/>
          <w:szCs w:val="21"/>
          <w:u w:val="single"/>
          <w:lang w:eastAsia="zh-CN"/>
        </w:rPr>
        <w:t xml:space="preserve">    （采购文件中明确的所属行业）    </w:t>
      </w:r>
      <w:r>
        <w:rPr>
          <w:rFonts w:hint="eastAsia" w:ascii="宋体" w:hAnsi="宋体" w:eastAsia="宋体" w:cs="宋体"/>
          <w:kern w:val="2"/>
          <w:sz w:val="21"/>
          <w:szCs w:val="21"/>
          <w:lang w:eastAsia="zh-CN"/>
        </w:rPr>
        <w:t>行业；承接企业为</w:t>
      </w:r>
      <w:r>
        <w:rPr>
          <w:rFonts w:hint="eastAsia" w:ascii="宋体" w:hAnsi="宋体" w:eastAsia="宋体" w:cs="宋体"/>
          <w:b/>
          <w:bCs/>
          <w:i/>
          <w:iCs/>
          <w:kern w:val="2"/>
          <w:sz w:val="21"/>
          <w:szCs w:val="21"/>
          <w:u w:val="single"/>
          <w:lang w:eastAsia="zh-CN"/>
        </w:rPr>
        <w:t xml:space="preserve">    （企业名称，要求承接企业本身所属行业应当与招标文件要求的行业相一致）    </w:t>
      </w:r>
      <w:r>
        <w:rPr>
          <w:rFonts w:hint="eastAsia" w:ascii="宋体" w:hAnsi="宋体" w:eastAsia="宋体" w:cs="宋体"/>
          <w:kern w:val="2"/>
          <w:sz w:val="21"/>
          <w:szCs w:val="21"/>
          <w:lang w:eastAsia="zh-CN"/>
        </w:rPr>
        <w:t>，从业人员</w:t>
      </w:r>
      <w:r>
        <w:rPr>
          <w:rFonts w:hint="eastAsia" w:ascii="宋体" w:hAnsi="宋体" w:eastAsia="宋体" w:cs="宋体"/>
          <w:b/>
          <w:bCs/>
          <w:i/>
          <w:iCs/>
          <w:kern w:val="2"/>
          <w:sz w:val="21"/>
          <w:szCs w:val="21"/>
          <w:u w:val="single"/>
          <w:lang w:eastAsia="zh-CN"/>
        </w:rPr>
        <w:t xml:space="preserve">        </w:t>
      </w:r>
      <w:r>
        <w:rPr>
          <w:rFonts w:hint="eastAsia" w:ascii="宋体" w:hAnsi="宋体" w:eastAsia="宋体" w:cs="宋体"/>
          <w:kern w:val="2"/>
          <w:sz w:val="21"/>
          <w:szCs w:val="21"/>
          <w:lang w:eastAsia="zh-CN"/>
        </w:rPr>
        <w:t>人，营业收入为</w:t>
      </w:r>
      <w:r>
        <w:rPr>
          <w:rFonts w:hint="eastAsia" w:ascii="宋体" w:hAnsi="宋体" w:eastAsia="宋体" w:cs="宋体"/>
          <w:b/>
          <w:bCs/>
          <w:i/>
          <w:iCs/>
          <w:kern w:val="2"/>
          <w:sz w:val="21"/>
          <w:szCs w:val="21"/>
          <w:u w:val="single"/>
          <w:lang w:eastAsia="zh-CN"/>
        </w:rPr>
        <w:t xml:space="preserve">        </w:t>
      </w:r>
      <w:r>
        <w:rPr>
          <w:rFonts w:hint="eastAsia" w:ascii="宋体" w:hAnsi="宋体" w:eastAsia="宋体" w:cs="宋体"/>
          <w:kern w:val="2"/>
          <w:sz w:val="21"/>
          <w:szCs w:val="21"/>
          <w:lang w:eastAsia="zh-CN"/>
        </w:rPr>
        <w:t>万元，资产总额为</w:t>
      </w:r>
      <w:r>
        <w:rPr>
          <w:rFonts w:hint="eastAsia" w:ascii="宋体" w:hAnsi="宋体" w:eastAsia="宋体" w:cs="宋体"/>
          <w:b/>
          <w:bCs/>
          <w:i/>
          <w:iCs/>
          <w:kern w:val="2"/>
          <w:sz w:val="21"/>
          <w:szCs w:val="21"/>
          <w:u w:val="single"/>
          <w:lang w:eastAsia="zh-CN"/>
        </w:rPr>
        <w:t xml:space="preserve">        </w:t>
      </w:r>
      <w:r>
        <w:rPr>
          <w:rFonts w:hint="eastAsia" w:ascii="宋体" w:hAnsi="宋体" w:eastAsia="宋体" w:cs="宋体"/>
          <w:kern w:val="2"/>
          <w:sz w:val="21"/>
          <w:szCs w:val="21"/>
          <w:lang w:eastAsia="zh-CN"/>
        </w:rPr>
        <w:t>万元，属于</w:t>
      </w:r>
      <w:r>
        <w:rPr>
          <w:rFonts w:hint="eastAsia" w:ascii="宋体" w:hAnsi="宋体" w:eastAsia="宋体" w:cs="宋体"/>
          <w:b/>
          <w:bCs/>
          <w:i/>
          <w:iCs/>
          <w:kern w:val="2"/>
          <w:sz w:val="21"/>
          <w:szCs w:val="21"/>
          <w:u w:val="single"/>
          <w:lang w:eastAsia="zh-CN"/>
        </w:rPr>
        <w:t xml:space="preserve">    （中型企业、小型企业、微型企业）    </w:t>
      </w:r>
      <w:r>
        <w:rPr>
          <w:rFonts w:hint="eastAsia" w:ascii="宋体" w:hAnsi="宋体" w:eastAsia="宋体" w:cs="宋体"/>
          <w:kern w:val="2"/>
          <w:sz w:val="21"/>
          <w:szCs w:val="21"/>
          <w:lang w:eastAsia="zh-CN"/>
        </w:rPr>
        <w:t>；</w:t>
      </w:r>
    </w:p>
    <w:p w14:paraId="79321A6B">
      <w:pPr>
        <w:widowControl w:val="0"/>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2.</w:t>
      </w:r>
      <w:r>
        <w:rPr>
          <w:rFonts w:hint="eastAsia" w:ascii="宋体" w:hAnsi="宋体" w:eastAsia="宋体" w:cs="宋体"/>
          <w:b/>
          <w:bCs/>
          <w:i/>
          <w:iCs/>
          <w:kern w:val="2"/>
          <w:sz w:val="21"/>
          <w:szCs w:val="21"/>
          <w:u w:val="single"/>
          <w:lang w:eastAsia="zh-CN"/>
        </w:rPr>
        <w:t xml:space="preserve">    （标的名称）     </w:t>
      </w:r>
      <w:r>
        <w:rPr>
          <w:rFonts w:hint="eastAsia" w:ascii="宋体" w:hAnsi="宋体" w:eastAsia="宋体" w:cs="宋体"/>
          <w:kern w:val="2"/>
          <w:sz w:val="21"/>
          <w:szCs w:val="21"/>
          <w:lang w:eastAsia="zh-CN"/>
        </w:rPr>
        <w:t>，属于</w:t>
      </w:r>
      <w:r>
        <w:rPr>
          <w:rFonts w:hint="eastAsia" w:ascii="宋体" w:hAnsi="宋体" w:eastAsia="宋体" w:cs="宋体"/>
          <w:b/>
          <w:bCs/>
          <w:i/>
          <w:iCs/>
          <w:kern w:val="2"/>
          <w:sz w:val="21"/>
          <w:szCs w:val="21"/>
          <w:u w:val="single"/>
          <w:lang w:eastAsia="zh-CN"/>
        </w:rPr>
        <w:t xml:space="preserve">    （采购文件中明确的所属行业）    </w:t>
      </w:r>
      <w:r>
        <w:rPr>
          <w:rFonts w:hint="eastAsia" w:ascii="宋体" w:hAnsi="宋体" w:eastAsia="宋体" w:cs="宋体"/>
          <w:kern w:val="2"/>
          <w:sz w:val="21"/>
          <w:szCs w:val="21"/>
          <w:lang w:eastAsia="zh-CN"/>
        </w:rPr>
        <w:t>行业；承接企业为</w:t>
      </w:r>
      <w:r>
        <w:rPr>
          <w:rFonts w:hint="eastAsia" w:ascii="宋体" w:hAnsi="宋体" w:eastAsia="宋体" w:cs="宋体"/>
          <w:b/>
          <w:bCs/>
          <w:i/>
          <w:iCs/>
          <w:kern w:val="2"/>
          <w:sz w:val="21"/>
          <w:szCs w:val="21"/>
          <w:u w:val="single"/>
          <w:lang w:eastAsia="zh-CN"/>
        </w:rPr>
        <w:t xml:space="preserve">    （企业名称，要求承接企业本身所属行业应当与招标文件要求的行业相一致）    </w:t>
      </w:r>
      <w:r>
        <w:rPr>
          <w:rFonts w:hint="eastAsia" w:ascii="宋体" w:hAnsi="宋体" w:eastAsia="宋体" w:cs="宋体"/>
          <w:kern w:val="2"/>
          <w:sz w:val="21"/>
          <w:szCs w:val="21"/>
          <w:lang w:eastAsia="zh-CN"/>
        </w:rPr>
        <w:t>，从业人员</w:t>
      </w:r>
      <w:r>
        <w:rPr>
          <w:rFonts w:hint="eastAsia" w:ascii="宋体" w:hAnsi="宋体" w:eastAsia="宋体" w:cs="宋体"/>
          <w:b/>
          <w:bCs/>
          <w:i/>
          <w:iCs/>
          <w:kern w:val="2"/>
          <w:sz w:val="21"/>
          <w:szCs w:val="21"/>
          <w:u w:val="single"/>
          <w:lang w:eastAsia="zh-CN"/>
        </w:rPr>
        <w:t xml:space="preserve">        </w:t>
      </w:r>
      <w:r>
        <w:rPr>
          <w:rFonts w:hint="eastAsia" w:ascii="宋体" w:hAnsi="宋体" w:eastAsia="宋体" w:cs="宋体"/>
          <w:kern w:val="2"/>
          <w:sz w:val="21"/>
          <w:szCs w:val="21"/>
          <w:lang w:eastAsia="zh-CN"/>
        </w:rPr>
        <w:t>人，营业收入为</w:t>
      </w:r>
      <w:r>
        <w:rPr>
          <w:rFonts w:hint="eastAsia" w:ascii="宋体" w:hAnsi="宋体" w:eastAsia="宋体" w:cs="宋体"/>
          <w:b/>
          <w:bCs/>
          <w:i/>
          <w:iCs/>
          <w:kern w:val="2"/>
          <w:sz w:val="21"/>
          <w:szCs w:val="21"/>
          <w:u w:val="single"/>
          <w:lang w:eastAsia="zh-CN"/>
        </w:rPr>
        <w:t xml:space="preserve">        </w:t>
      </w:r>
      <w:r>
        <w:rPr>
          <w:rFonts w:hint="eastAsia" w:ascii="宋体" w:hAnsi="宋体" w:eastAsia="宋体" w:cs="宋体"/>
          <w:kern w:val="2"/>
          <w:sz w:val="21"/>
          <w:szCs w:val="21"/>
          <w:lang w:eastAsia="zh-CN"/>
        </w:rPr>
        <w:t>万元，资产总额为</w:t>
      </w:r>
      <w:r>
        <w:rPr>
          <w:rFonts w:hint="eastAsia" w:ascii="宋体" w:hAnsi="宋体" w:eastAsia="宋体" w:cs="宋体"/>
          <w:b/>
          <w:bCs/>
          <w:i/>
          <w:iCs/>
          <w:kern w:val="2"/>
          <w:sz w:val="21"/>
          <w:szCs w:val="21"/>
          <w:u w:val="single"/>
          <w:lang w:eastAsia="zh-CN"/>
        </w:rPr>
        <w:t xml:space="preserve">        </w:t>
      </w:r>
      <w:r>
        <w:rPr>
          <w:rFonts w:hint="eastAsia" w:ascii="宋体" w:hAnsi="宋体" w:eastAsia="宋体" w:cs="宋体"/>
          <w:kern w:val="2"/>
          <w:sz w:val="21"/>
          <w:szCs w:val="21"/>
          <w:lang w:eastAsia="zh-CN"/>
        </w:rPr>
        <w:t>万元，属于</w:t>
      </w:r>
      <w:r>
        <w:rPr>
          <w:rFonts w:hint="eastAsia" w:ascii="宋体" w:hAnsi="宋体" w:eastAsia="宋体" w:cs="宋体"/>
          <w:b/>
          <w:bCs/>
          <w:i/>
          <w:iCs/>
          <w:kern w:val="2"/>
          <w:sz w:val="21"/>
          <w:szCs w:val="21"/>
          <w:u w:val="single"/>
          <w:lang w:eastAsia="zh-CN"/>
        </w:rPr>
        <w:t xml:space="preserve">    （中型企业、小型企业、微型企业）    </w:t>
      </w:r>
      <w:r>
        <w:rPr>
          <w:rFonts w:hint="eastAsia" w:ascii="宋体" w:hAnsi="宋体" w:eastAsia="宋体" w:cs="宋体"/>
          <w:kern w:val="2"/>
          <w:sz w:val="21"/>
          <w:szCs w:val="21"/>
          <w:lang w:eastAsia="zh-CN"/>
        </w:rPr>
        <w:t>；</w:t>
      </w:r>
    </w:p>
    <w:p w14:paraId="76AE2D40">
      <w:pPr>
        <w:widowControl w:val="0"/>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w:t>
      </w:r>
    </w:p>
    <w:p w14:paraId="12A58A3D">
      <w:pPr>
        <w:widowControl w:val="0"/>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以上企业，不属于大企业的分支机构，不存在控股股东为大企业的情形，也不存在与大企业的负责人为同一人的情形。</w:t>
      </w:r>
    </w:p>
    <w:p w14:paraId="747905FC">
      <w:pPr>
        <w:widowControl w:val="0"/>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本企业对上述声明内容的真实性负责。如有虚假，将依法承担相应责任。</w:t>
      </w:r>
    </w:p>
    <w:p w14:paraId="7CE6E8E1">
      <w:pPr>
        <w:widowControl w:val="0"/>
        <w:ind w:firstLine="420" w:firstLineChars="200"/>
        <w:jc w:val="both"/>
        <w:rPr>
          <w:rFonts w:hint="eastAsia" w:ascii="宋体" w:hAnsi="宋体" w:eastAsia="宋体" w:cs="宋体"/>
          <w:kern w:val="2"/>
          <w:sz w:val="21"/>
          <w:szCs w:val="21"/>
          <w:lang w:eastAsia="zh-CN"/>
        </w:rPr>
      </w:pPr>
      <w:bookmarkStart w:id="40" w:name="_Hlk73562275"/>
      <w:r>
        <w:rPr>
          <w:rFonts w:hint="eastAsia" w:ascii="宋体" w:hAnsi="宋体" w:eastAsia="宋体" w:cs="宋体"/>
          <w:kern w:val="2"/>
          <w:sz w:val="21"/>
          <w:szCs w:val="21"/>
          <w:lang w:eastAsia="zh-CN"/>
        </w:rPr>
        <w:t>本投标人已知悉《政府采购促进中小企业发展管理办法》（财库〔2020〕 46 号）、《中小企业划型标准规定》（工信部联企〔2011〕 300 号）、《统计上大中小微型企业划分办法（2017）》等规定，承诺提供的声明函内容是真实的，并知悉根据《政府采购促进中小企业发展管理办法》（财库〔2020〕46 号）第二十条规定，投标人按照本办法规定提供声明函内容不实的，属于提供虚假材料谋取中标，依照《政府采购法》等政府采购有关法律法规规定追究相应责任。</w:t>
      </w:r>
      <w:bookmarkEnd w:id="40"/>
    </w:p>
    <w:p w14:paraId="6E338328">
      <w:pPr>
        <w:widowControl w:val="0"/>
        <w:ind w:firstLine="420" w:firstLineChars="200"/>
        <w:jc w:val="both"/>
        <w:rPr>
          <w:rFonts w:eastAsia="宋体"/>
          <w:kern w:val="2"/>
          <w:sz w:val="21"/>
          <w:lang w:eastAsia="zh-CN"/>
        </w:rPr>
      </w:pPr>
    </w:p>
    <w:p w14:paraId="5D0DBAB4">
      <w:pPr>
        <w:widowControl w:val="0"/>
        <w:jc w:val="center"/>
        <w:outlineLvl w:val="3"/>
        <w:rPr>
          <w:rFonts w:eastAsia="宋体"/>
          <w:b/>
          <w:kern w:val="2"/>
          <w:lang w:eastAsia="zh-CN"/>
        </w:rPr>
      </w:pPr>
      <w:r>
        <w:rPr>
          <w:rFonts w:hint="eastAsia" w:eastAsia="宋体"/>
          <w:b/>
          <w:kern w:val="2"/>
          <w:lang w:eastAsia="zh-CN"/>
        </w:rPr>
        <w:t>2、残疾人福利性单位声明函（服务类）</w:t>
      </w:r>
    </w:p>
    <w:p w14:paraId="40111712">
      <w:pPr>
        <w:widowControl w:val="0"/>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b/>
          <w:bCs/>
          <w:i/>
          <w:iCs/>
          <w:kern w:val="2"/>
          <w:sz w:val="21"/>
          <w:szCs w:val="21"/>
          <w:u w:val="single"/>
          <w:lang w:eastAsia="zh-CN"/>
        </w:rPr>
        <w:t xml:space="preserve">    （单位名称）    </w:t>
      </w:r>
      <w:r>
        <w:rPr>
          <w:rFonts w:hint="eastAsia" w:ascii="宋体" w:hAnsi="宋体" w:eastAsia="宋体" w:cs="宋体"/>
          <w:kern w:val="2"/>
          <w:sz w:val="21"/>
          <w:szCs w:val="21"/>
          <w:lang w:eastAsia="zh-CN"/>
        </w:rPr>
        <w:t>单位的</w:t>
      </w:r>
      <w:r>
        <w:rPr>
          <w:rFonts w:hint="eastAsia" w:ascii="宋体" w:hAnsi="宋体" w:eastAsia="宋体" w:cs="宋体"/>
          <w:b/>
          <w:bCs/>
          <w:i/>
          <w:iCs/>
          <w:kern w:val="2"/>
          <w:sz w:val="21"/>
          <w:szCs w:val="21"/>
          <w:u w:val="single"/>
          <w:lang w:eastAsia="zh-CN"/>
        </w:rPr>
        <w:t xml:space="preserve">    （项目名称）    </w:t>
      </w:r>
      <w:r>
        <w:rPr>
          <w:rFonts w:hint="eastAsia" w:ascii="宋体" w:hAnsi="宋体" w:eastAsia="宋体" w:cs="宋体"/>
          <w:kern w:val="2"/>
          <w:sz w:val="21"/>
          <w:szCs w:val="21"/>
          <w:lang w:eastAsia="zh-CN"/>
        </w:rPr>
        <w:t>项目采购活动由本单位提供服务。</w:t>
      </w:r>
    </w:p>
    <w:p w14:paraId="0E94193D">
      <w:pPr>
        <w:widowControl w:val="0"/>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本单位对上述声明的真实性负责。如有虚假，将依法承担相应责任。</w:t>
      </w:r>
    </w:p>
    <w:p w14:paraId="5011B28D">
      <w:pPr>
        <w:widowControl w:val="0"/>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本投标人已知悉《财政部民政部中国残疾人联合会关于促进残疾人就业政府采购政策的通知》（财库〔2017〕141号）的规定，承诺提供的声明函内容是真实的，如提供声明函内容不实，则依法追究相关法律责任。</w:t>
      </w:r>
    </w:p>
    <w:p w14:paraId="21BB9BE9">
      <w:pPr>
        <w:widowControl w:val="0"/>
        <w:ind w:firstLine="420" w:firstLineChars="200"/>
        <w:jc w:val="both"/>
        <w:rPr>
          <w:rFonts w:hint="eastAsia" w:ascii="宋体" w:hAnsi="宋体" w:eastAsia="宋体"/>
          <w:kern w:val="2"/>
          <w:sz w:val="21"/>
          <w:szCs w:val="21"/>
          <w:lang w:eastAsia="zh-CN"/>
        </w:rPr>
      </w:pPr>
    </w:p>
    <w:p w14:paraId="2936100E">
      <w:pPr>
        <w:widowControl w:val="0"/>
        <w:ind w:firstLine="420" w:firstLineChars="200"/>
        <w:jc w:val="both"/>
        <w:rPr>
          <w:rFonts w:hint="eastAsia" w:ascii="宋体" w:hAnsi="宋体" w:eastAsia="宋体"/>
          <w:kern w:val="2"/>
          <w:sz w:val="21"/>
          <w:szCs w:val="21"/>
          <w:lang w:eastAsia="zh-CN"/>
        </w:rPr>
      </w:pPr>
    </w:p>
    <w:p w14:paraId="397BC7F6">
      <w:pPr>
        <w:widowControl w:val="0"/>
        <w:ind w:firstLine="420" w:firstLineChars="200"/>
        <w:jc w:val="both"/>
        <w:rPr>
          <w:rFonts w:hint="eastAsia" w:ascii="宋体" w:hAnsi="宋体" w:eastAsia="宋体"/>
          <w:kern w:val="2"/>
          <w:sz w:val="21"/>
          <w:szCs w:val="21"/>
          <w:lang w:eastAsia="zh-CN"/>
        </w:rPr>
      </w:pPr>
    </w:p>
    <w:p w14:paraId="563F9FDC">
      <w:pPr>
        <w:widowControl w:val="0"/>
        <w:jc w:val="center"/>
        <w:outlineLvl w:val="3"/>
        <w:rPr>
          <w:rFonts w:eastAsia="宋体"/>
          <w:b/>
          <w:kern w:val="2"/>
          <w:lang w:eastAsia="zh-CN"/>
        </w:rPr>
      </w:pPr>
      <w:r>
        <w:rPr>
          <w:rFonts w:hint="eastAsia" w:eastAsia="宋体"/>
          <w:b/>
          <w:kern w:val="2"/>
          <w:lang w:eastAsia="zh-CN"/>
        </w:rPr>
        <w:t>3、监狱企业声明函【服务类，监狱企业如需享受优惠政策，还须另行提供省级以上监狱管理局、戒毒管理局（含新疆生产建设兵团）出具的监狱企业证明文件】</w:t>
      </w:r>
    </w:p>
    <w:p w14:paraId="65D78EC3">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本投标人郑重声明，根据《财政部司法部关于政府采购支持监狱企业发展有关问题的通知》（财库〔</w:t>
      </w:r>
      <w:r>
        <w:rPr>
          <w:rFonts w:ascii="宋体" w:hAnsi="宋体" w:eastAsia="宋体"/>
          <w:kern w:val="2"/>
          <w:sz w:val="21"/>
          <w:szCs w:val="21"/>
          <w:lang w:eastAsia="zh-CN"/>
        </w:rPr>
        <w:t>2014</w:t>
      </w:r>
      <w:r>
        <w:rPr>
          <w:rFonts w:hint="eastAsia" w:ascii="宋体" w:hAnsi="宋体" w:eastAsia="宋体"/>
          <w:kern w:val="2"/>
          <w:sz w:val="21"/>
          <w:szCs w:val="21"/>
          <w:lang w:eastAsia="zh-CN"/>
        </w:rPr>
        <w:t>〕</w:t>
      </w:r>
      <w:r>
        <w:rPr>
          <w:rFonts w:ascii="宋体" w:hAnsi="宋体" w:eastAsia="宋体"/>
          <w:kern w:val="2"/>
          <w:sz w:val="21"/>
          <w:szCs w:val="21"/>
          <w:lang w:eastAsia="zh-CN"/>
        </w:rPr>
        <w:t>68</w:t>
      </w:r>
      <w:r>
        <w:rPr>
          <w:rFonts w:hint="eastAsia" w:ascii="宋体" w:hAnsi="宋体" w:eastAsia="宋体"/>
          <w:kern w:val="2"/>
          <w:sz w:val="21"/>
          <w:szCs w:val="21"/>
          <w:lang w:eastAsia="zh-CN"/>
        </w:rPr>
        <w:t>号）的规定，本投标人</w:t>
      </w:r>
      <w:r>
        <w:rPr>
          <w:rFonts w:ascii="宋体" w:hAnsi="宋体" w:eastAsia="宋体" w:cstheme="minorBidi"/>
          <w:kern w:val="2"/>
          <w:sz w:val="21"/>
          <w:szCs w:val="21"/>
          <w:lang w:eastAsia="zh-CN"/>
        </w:rPr>
        <w:t>参加</w:t>
      </w:r>
      <w:r>
        <w:rPr>
          <w:rFonts w:ascii="宋体" w:hAnsi="宋体" w:eastAsia="宋体"/>
          <w:b/>
          <w:bCs/>
          <w:kern w:val="2"/>
          <w:sz w:val="21"/>
          <w:szCs w:val="21"/>
          <w:u w:val="single"/>
          <w:lang w:eastAsia="zh-CN"/>
        </w:rPr>
        <w:t>（</w:t>
      </w:r>
      <w:r>
        <w:rPr>
          <w:rFonts w:hint="eastAsia" w:ascii="宋体" w:hAnsi="宋体" w:eastAsia="宋体"/>
          <w:b/>
          <w:bCs/>
          <w:kern w:val="2"/>
          <w:sz w:val="21"/>
          <w:szCs w:val="21"/>
          <w:u w:val="single"/>
          <w:lang w:eastAsia="zh-CN"/>
        </w:rPr>
        <w:t>采购人</w:t>
      </w:r>
      <w:r>
        <w:rPr>
          <w:rFonts w:ascii="宋体" w:hAnsi="宋体" w:eastAsia="宋体"/>
          <w:b/>
          <w:bCs/>
          <w:kern w:val="2"/>
          <w:sz w:val="21"/>
          <w:szCs w:val="21"/>
          <w:u w:val="single"/>
          <w:lang w:eastAsia="zh-CN"/>
        </w:rPr>
        <w:t>名称）</w:t>
      </w:r>
      <w:r>
        <w:rPr>
          <w:rFonts w:ascii="宋体" w:hAnsi="宋体" w:eastAsia="宋体"/>
          <w:kern w:val="2"/>
          <w:sz w:val="21"/>
          <w:szCs w:val="21"/>
          <w:lang w:eastAsia="zh-CN"/>
        </w:rPr>
        <w:t>的</w:t>
      </w:r>
      <w:r>
        <w:rPr>
          <w:rFonts w:ascii="宋体" w:hAnsi="宋体" w:eastAsia="宋体"/>
          <w:b/>
          <w:bCs/>
          <w:kern w:val="2"/>
          <w:sz w:val="21"/>
          <w:szCs w:val="21"/>
          <w:u w:val="single"/>
          <w:lang w:eastAsia="zh-CN"/>
        </w:rPr>
        <w:t>（项目名称）</w:t>
      </w:r>
      <w:r>
        <w:rPr>
          <w:rFonts w:ascii="宋体" w:hAnsi="宋体" w:eastAsia="宋体"/>
          <w:kern w:val="2"/>
          <w:sz w:val="21"/>
          <w:szCs w:val="21"/>
          <w:lang w:eastAsia="zh-CN"/>
        </w:rPr>
        <w:t>采购活动，</w:t>
      </w:r>
      <w:r>
        <w:rPr>
          <w:rFonts w:hint="eastAsia" w:ascii="宋体" w:hAnsi="宋体" w:eastAsia="宋体"/>
          <w:kern w:val="2"/>
          <w:sz w:val="21"/>
          <w:szCs w:val="21"/>
          <w:lang w:eastAsia="zh-CN"/>
        </w:rPr>
        <w:t>服务</w:t>
      </w:r>
      <w:r>
        <w:rPr>
          <w:rFonts w:ascii="宋体" w:hAnsi="宋体" w:eastAsia="宋体"/>
          <w:kern w:val="2"/>
          <w:sz w:val="21"/>
          <w:szCs w:val="21"/>
          <w:lang w:eastAsia="zh-CN"/>
        </w:rPr>
        <w:t>全部由符合政策要求的</w:t>
      </w:r>
      <w:r>
        <w:rPr>
          <w:rFonts w:hint="eastAsia" w:ascii="宋体" w:hAnsi="宋体" w:eastAsia="宋体"/>
          <w:kern w:val="2"/>
          <w:sz w:val="21"/>
          <w:szCs w:val="21"/>
          <w:lang w:eastAsia="zh-CN"/>
        </w:rPr>
        <w:t>监狱企业承接</w:t>
      </w:r>
      <w:r>
        <w:rPr>
          <w:rFonts w:ascii="宋体" w:hAnsi="宋体" w:eastAsia="宋体"/>
          <w:kern w:val="2"/>
          <w:sz w:val="21"/>
          <w:szCs w:val="21"/>
          <w:lang w:eastAsia="zh-CN"/>
        </w:rPr>
        <w:t>。相关</w:t>
      </w:r>
      <w:r>
        <w:rPr>
          <w:rFonts w:hint="eastAsia" w:ascii="宋体" w:hAnsi="宋体" w:eastAsia="宋体"/>
          <w:kern w:val="2"/>
          <w:sz w:val="21"/>
          <w:szCs w:val="21"/>
          <w:lang w:eastAsia="zh-CN"/>
        </w:rPr>
        <w:t>监狱企业</w:t>
      </w:r>
      <w:r>
        <w:rPr>
          <w:rFonts w:ascii="宋体" w:hAnsi="宋体" w:eastAsia="宋体"/>
          <w:kern w:val="2"/>
          <w:sz w:val="21"/>
          <w:szCs w:val="21"/>
          <w:lang w:eastAsia="zh-CN"/>
        </w:rPr>
        <w:t>的具体情况如下：</w:t>
      </w:r>
    </w:p>
    <w:p w14:paraId="337A86D9">
      <w:pPr>
        <w:widowControl w:val="0"/>
        <w:ind w:firstLine="420" w:firstLineChars="200"/>
        <w:jc w:val="both"/>
        <w:rPr>
          <w:rFonts w:hint="eastAsia" w:ascii="宋体" w:hAnsi="宋体" w:eastAsia="宋体"/>
          <w:kern w:val="2"/>
          <w:sz w:val="21"/>
          <w:szCs w:val="21"/>
          <w:lang w:eastAsia="zh-CN"/>
        </w:rPr>
      </w:pPr>
      <w:r>
        <w:rPr>
          <w:rFonts w:ascii="宋体" w:hAnsi="宋体" w:eastAsia="宋体"/>
          <w:kern w:val="2"/>
          <w:sz w:val="21"/>
          <w:szCs w:val="21"/>
          <w:lang w:eastAsia="zh-CN"/>
        </w:rPr>
        <w:t>1.</w:t>
      </w:r>
      <w:r>
        <w:rPr>
          <w:rFonts w:ascii="宋体" w:hAnsi="宋体" w:eastAsia="宋体"/>
          <w:b/>
          <w:bCs/>
          <w:kern w:val="2"/>
          <w:sz w:val="21"/>
          <w:szCs w:val="21"/>
          <w:u w:val="single"/>
          <w:lang w:eastAsia="zh-CN"/>
        </w:rPr>
        <w:t xml:space="preserve"> </w:t>
      </w:r>
      <w:r>
        <w:rPr>
          <w:rFonts w:ascii="宋体" w:hAnsi="宋体" w:eastAsia="宋体"/>
          <w:b/>
          <w:bCs/>
          <w:i/>
          <w:iCs/>
          <w:kern w:val="2"/>
          <w:sz w:val="21"/>
          <w:szCs w:val="21"/>
          <w:u w:val="single"/>
          <w:lang w:eastAsia="zh-CN"/>
        </w:rPr>
        <w:t>（标的名称</w:t>
      </w:r>
      <w:r>
        <w:rPr>
          <w:rFonts w:ascii="宋体" w:hAnsi="宋体" w:eastAsia="宋体"/>
          <w:b/>
          <w:bCs/>
          <w:kern w:val="2"/>
          <w:sz w:val="21"/>
          <w:szCs w:val="21"/>
          <w:u w:val="single"/>
          <w:lang w:eastAsia="zh-CN"/>
        </w:rPr>
        <w:t>）</w:t>
      </w:r>
      <w:r>
        <w:rPr>
          <w:rFonts w:ascii="宋体" w:hAnsi="宋体" w:eastAsia="宋体"/>
          <w:kern w:val="2"/>
          <w:sz w:val="21"/>
          <w:szCs w:val="21"/>
          <w:lang w:eastAsia="zh-CN"/>
        </w:rPr>
        <w:t xml:space="preserve"> </w:t>
      </w:r>
      <w:r>
        <w:rPr>
          <w:rFonts w:hint="eastAsia" w:ascii="宋体" w:hAnsi="宋体" w:eastAsia="宋体"/>
          <w:kern w:val="2"/>
          <w:sz w:val="21"/>
          <w:szCs w:val="21"/>
          <w:lang w:eastAsia="zh-CN"/>
        </w:rPr>
        <w:t>，承接单位</w:t>
      </w:r>
      <w:r>
        <w:rPr>
          <w:rFonts w:ascii="宋体" w:hAnsi="宋体" w:eastAsia="宋体"/>
          <w:kern w:val="2"/>
          <w:sz w:val="21"/>
          <w:szCs w:val="21"/>
          <w:lang w:eastAsia="zh-CN"/>
        </w:rPr>
        <w:t>为</w:t>
      </w:r>
      <w:r>
        <w:rPr>
          <w:rFonts w:ascii="宋体" w:hAnsi="宋体" w:eastAsia="宋体"/>
          <w:b/>
          <w:bCs/>
          <w:i/>
          <w:iCs/>
          <w:kern w:val="2"/>
          <w:sz w:val="21"/>
          <w:szCs w:val="21"/>
          <w:u w:val="single"/>
          <w:lang w:eastAsia="zh-CN"/>
        </w:rPr>
        <w:t>（</w:t>
      </w:r>
      <w:r>
        <w:rPr>
          <w:rFonts w:hint="eastAsia" w:ascii="宋体" w:hAnsi="宋体" w:eastAsia="宋体"/>
          <w:b/>
          <w:bCs/>
          <w:i/>
          <w:iCs/>
          <w:kern w:val="2"/>
          <w:sz w:val="21"/>
          <w:szCs w:val="21"/>
          <w:u w:val="single"/>
          <w:lang w:eastAsia="zh-CN"/>
        </w:rPr>
        <w:t>企业</w:t>
      </w:r>
      <w:r>
        <w:rPr>
          <w:rFonts w:ascii="宋体" w:hAnsi="宋体" w:eastAsia="宋体"/>
          <w:b/>
          <w:bCs/>
          <w:i/>
          <w:iCs/>
          <w:kern w:val="2"/>
          <w:sz w:val="21"/>
          <w:szCs w:val="21"/>
          <w:u w:val="single"/>
          <w:lang w:eastAsia="zh-CN"/>
        </w:rPr>
        <w:t>名称）</w:t>
      </w:r>
      <w:r>
        <w:rPr>
          <w:rFonts w:ascii="宋体" w:hAnsi="宋体" w:eastAsia="宋体"/>
          <w:kern w:val="2"/>
          <w:sz w:val="21"/>
          <w:szCs w:val="21"/>
          <w:lang w:eastAsia="zh-CN"/>
        </w:rPr>
        <w:t>，属于</w:t>
      </w:r>
      <w:r>
        <w:rPr>
          <w:rFonts w:hint="eastAsia" w:ascii="宋体" w:hAnsi="宋体" w:eastAsia="宋体"/>
          <w:b/>
          <w:bCs/>
          <w:i/>
          <w:iCs/>
          <w:kern w:val="2"/>
          <w:sz w:val="21"/>
          <w:szCs w:val="21"/>
          <w:u w:val="single"/>
          <w:lang w:eastAsia="zh-CN"/>
        </w:rPr>
        <w:t>监狱企业</w:t>
      </w:r>
      <w:r>
        <w:rPr>
          <w:rFonts w:ascii="宋体" w:hAnsi="宋体" w:eastAsia="宋体"/>
          <w:kern w:val="2"/>
          <w:sz w:val="21"/>
          <w:szCs w:val="21"/>
          <w:lang w:eastAsia="zh-CN"/>
        </w:rPr>
        <w:t>；</w:t>
      </w:r>
    </w:p>
    <w:p w14:paraId="59151C75">
      <w:pPr>
        <w:widowControl w:val="0"/>
        <w:ind w:firstLine="420" w:firstLineChars="200"/>
        <w:jc w:val="both"/>
        <w:rPr>
          <w:rFonts w:hint="eastAsia" w:ascii="宋体" w:hAnsi="宋体" w:eastAsia="宋体"/>
          <w:kern w:val="2"/>
          <w:sz w:val="21"/>
          <w:szCs w:val="21"/>
          <w:lang w:eastAsia="zh-CN"/>
        </w:rPr>
      </w:pPr>
      <w:r>
        <w:rPr>
          <w:rFonts w:ascii="宋体" w:hAnsi="宋体" w:eastAsia="宋体"/>
          <w:kern w:val="2"/>
          <w:sz w:val="21"/>
          <w:szCs w:val="21"/>
          <w:lang w:eastAsia="zh-CN"/>
        </w:rPr>
        <w:t>2.</w:t>
      </w:r>
      <w:r>
        <w:rPr>
          <w:rFonts w:ascii="宋体" w:hAnsi="宋体" w:eastAsia="宋体"/>
          <w:b/>
          <w:bCs/>
          <w:kern w:val="2"/>
          <w:sz w:val="21"/>
          <w:szCs w:val="21"/>
          <w:u w:val="single"/>
          <w:lang w:eastAsia="zh-CN"/>
        </w:rPr>
        <w:t xml:space="preserve"> </w:t>
      </w:r>
      <w:r>
        <w:rPr>
          <w:rFonts w:ascii="宋体" w:hAnsi="宋体" w:eastAsia="宋体"/>
          <w:b/>
          <w:bCs/>
          <w:i/>
          <w:iCs/>
          <w:kern w:val="2"/>
          <w:sz w:val="21"/>
          <w:szCs w:val="21"/>
          <w:u w:val="single"/>
          <w:lang w:eastAsia="zh-CN"/>
        </w:rPr>
        <w:t>（标的名称）</w:t>
      </w:r>
      <w:r>
        <w:rPr>
          <w:rFonts w:ascii="宋体" w:hAnsi="宋体" w:eastAsia="宋体"/>
          <w:i/>
          <w:iCs/>
          <w:kern w:val="2"/>
          <w:sz w:val="21"/>
          <w:szCs w:val="21"/>
          <w:lang w:eastAsia="zh-CN"/>
        </w:rPr>
        <w:t xml:space="preserve"> </w:t>
      </w:r>
      <w:r>
        <w:rPr>
          <w:rFonts w:hint="eastAsia" w:ascii="宋体" w:hAnsi="宋体" w:eastAsia="宋体"/>
          <w:kern w:val="2"/>
          <w:sz w:val="21"/>
          <w:szCs w:val="21"/>
          <w:lang w:eastAsia="zh-CN"/>
        </w:rPr>
        <w:t>，承接单位</w:t>
      </w:r>
      <w:r>
        <w:rPr>
          <w:rFonts w:ascii="宋体" w:hAnsi="宋体" w:eastAsia="宋体"/>
          <w:kern w:val="2"/>
          <w:sz w:val="21"/>
          <w:szCs w:val="21"/>
          <w:lang w:eastAsia="zh-CN"/>
        </w:rPr>
        <w:t>为</w:t>
      </w:r>
      <w:r>
        <w:rPr>
          <w:rFonts w:ascii="宋体" w:hAnsi="宋体" w:eastAsia="宋体"/>
          <w:b/>
          <w:bCs/>
          <w:i/>
          <w:iCs/>
          <w:kern w:val="2"/>
          <w:sz w:val="21"/>
          <w:szCs w:val="21"/>
          <w:u w:val="single"/>
          <w:lang w:eastAsia="zh-CN"/>
        </w:rPr>
        <w:t>（</w:t>
      </w:r>
      <w:r>
        <w:rPr>
          <w:rFonts w:hint="eastAsia" w:ascii="宋体" w:hAnsi="宋体" w:eastAsia="宋体"/>
          <w:b/>
          <w:bCs/>
          <w:i/>
          <w:iCs/>
          <w:kern w:val="2"/>
          <w:sz w:val="21"/>
          <w:szCs w:val="21"/>
          <w:u w:val="single"/>
          <w:lang w:eastAsia="zh-CN"/>
        </w:rPr>
        <w:t>企业</w:t>
      </w:r>
      <w:r>
        <w:rPr>
          <w:rFonts w:ascii="宋体" w:hAnsi="宋体" w:eastAsia="宋体"/>
          <w:b/>
          <w:bCs/>
          <w:i/>
          <w:iCs/>
          <w:kern w:val="2"/>
          <w:sz w:val="21"/>
          <w:szCs w:val="21"/>
          <w:u w:val="single"/>
          <w:lang w:eastAsia="zh-CN"/>
        </w:rPr>
        <w:t>名称）</w:t>
      </w:r>
      <w:r>
        <w:rPr>
          <w:rFonts w:ascii="宋体" w:hAnsi="宋体" w:eastAsia="宋体"/>
          <w:kern w:val="2"/>
          <w:sz w:val="21"/>
          <w:szCs w:val="21"/>
          <w:lang w:eastAsia="zh-CN"/>
        </w:rPr>
        <w:t>，属于</w:t>
      </w:r>
      <w:r>
        <w:rPr>
          <w:rFonts w:hint="eastAsia" w:ascii="宋体" w:hAnsi="宋体" w:eastAsia="宋体"/>
          <w:b/>
          <w:bCs/>
          <w:i/>
          <w:iCs/>
          <w:kern w:val="2"/>
          <w:sz w:val="21"/>
          <w:szCs w:val="21"/>
          <w:u w:val="single"/>
          <w:lang w:eastAsia="zh-CN"/>
        </w:rPr>
        <w:t>监狱企业</w:t>
      </w:r>
      <w:r>
        <w:rPr>
          <w:rFonts w:hint="eastAsia" w:ascii="宋体" w:hAnsi="宋体" w:eastAsia="宋体"/>
          <w:kern w:val="2"/>
          <w:sz w:val="21"/>
          <w:szCs w:val="21"/>
          <w:lang w:eastAsia="zh-CN"/>
        </w:rPr>
        <w:t>。</w:t>
      </w:r>
    </w:p>
    <w:p w14:paraId="61445CC0">
      <w:pPr>
        <w:widowControl w:val="0"/>
        <w:ind w:firstLine="420" w:firstLineChars="200"/>
        <w:jc w:val="both"/>
        <w:rPr>
          <w:rFonts w:hint="eastAsia" w:ascii="宋体" w:hAnsi="宋体" w:eastAsia="宋体"/>
          <w:kern w:val="2"/>
          <w:sz w:val="21"/>
          <w:szCs w:val="21"/>
          <w:lang w:eastAsia="zh-CN"/>
        </w:rPr>
      </w:pPr>
      <w:r>
        <w:rPr>
          <w:rFonts w:ascii="宋体" w:hAnsi="宋体" w:eastAsia="宋体"/>
          <w:kern w:val="2"/>
          <w:sz w:val="21"/>
          <w:szCs w:val="21"/>
          <w:lang w:eastAsia="zh-CN"/>
        </w:rPr>
        <w:t xml:space="preserve">…… </w:t>
      </w:r>
    </w:p>
    <w:p w14:paraId="385FA750">
      <w:pPr>
        <w:widowControl w:val="0"/>
        <w:ind w:firstLine="420" w:firstLineChars="200"/>
        <w:jc w:val="both"/>
        <w:rPr>
          <w:rFonts w:hint="eastAsia" w:ascii="宋体" w:hAnsi="宋体" w:eastAsia="宋体"/>
          <w:kern w:val="2"/>
          <w:sz w:val="21"/>
          <w:szCs w:val="21"/>
          <w:lang w:eastAsia="zh-CN"/>
        </w:rPr>
      </w:pPr>
      <w:r>
        <w:rPr>
          <w:rFonts w:ascii="宋体" w:hAnsi="宋体" w:eastAsia="宋体" w:cstheme="minorBidi"/>
          <w:kern w:val="2"/>
          <w:sz w:val="21"/>
          <w:szCs w:val="21"/>
          <w:lang w:eastAsia="zh-CN"/>
        </w:rPr>
        <w:t>本</w:t>
      </w:r>
      <w:r>
        <w:rPr>
          <w:rFonts w:hint="eastAsia" w:ascii="宋体" w:hAnsi="宋体" w:eastAsia="宋体" w:cstheme="minorBidi"/>
          <w:kern w:val="2"/>
          <w:sz w:val="21"/>
          <w:szCs w:val="21"/>
          <w:lang w:eastAsia="zh-CN"/>
        </w:rPr>
        <w:t>投标人</w:t>
      </w:r>
      <w:r>
        <w:rPr>
          <w:rFonts w:ascii="宋体" w:hAnsi="宋体" w:eastAsia="宋体"/>
          <w:kern w:val="2"/>
          <w:sz w:val="21"/>
          <w:szCs w:val="21"/>
          <w:lang w:eastAsia="zh-CN"/>
        </w:rPr>
        <w:t>对上述声明内容的真实性负责。如有虚假，将依法承担相应责任。</w:t>
      </w:r>
    </w:p>
    <w:p w14:paraId="06E86EE1">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附：省级以上监狱管理局、戒毒管理局（含新疆生产建设兵团）出具的监狱企业证明文件。</w:t>
      </w:r>
    </w:p>
    <w:p w14:paraId="0E534279">
      <w:pPr>
        <w:widowControl w:val="0"/>
        <w:jc w:val="both"/>
        <w:outlineLvl w:val="3"/>
        <w:rPr>
          <w:rFonts w:hint="eastAsia" w:ascii="黑体" w:hAnsi="宋体" w:eastAsia="黑体"/>
          <w:bCs/>
          <w:szCs w:val="32"/>
          <w:lang w:eastAsia="zh-CN"/>
        </w:rPr>
      </w:pPr>
      <w:r>
        <w:rPr>
          <w:rFonts w:hint="eastAsia" w:ascii="黑体" w:hAnsi="宋体" w:eastAsia="黑体"/>
          <w:bCs/>
          <w:szCs w:val="32"/>
          <w:lang w:eastAsia="zh-CN"/>
        </w:rPr>
        <w:t>（三）《供应商基本情况表》</w:t>
      </w:r>
    </w:p>
    <w:p w14:paraId="4B2D9273">
      <w:pPr>
        <w:widowControl w:val="0"/>
        <w:jc w:val="left"/>
        <w:rPr>
          <w:rFonts w:eastAsia="宋体"/>
          <w:kern w:val="2"/>
          <w:sz w:val="21"/>
          <w:szCs w:val="21"/>
          <w:lang w:eastAsia="zh-CN"/>
        </w:rPr>
      </w:pPr>
    </w:p>
    <w:p w14:paraId="63D38EEC">
      <w:pPr>
        <w:widowControl w:val="0"/>
        <w:jc w:val="left"/>
        <w:rPr>
          <w:rFonts w:hint="eastAsia" w:eastAsia="宋体"/>
          <w:kern w:val="2"/>
          <w:sz w:val="21"/>
          <w:szCs w:val="21"/>
          <w:lang w:eastAsia="zh-CN"/>
        </w:rPr>
      </w:pPr>
    </w:p>
    <w:p w14:paraId="0478175D">
      <w:pPr>
        <w:widowControl w:val="0"/>
        <w:jc w:val="left"/>
        <w:rPr>
          <w:rFonts w:eastAsia="宋体"/>
          <w:kern w:val="2"/>
          <w:sz w:val="21"/>
          <w:szCs w:val="21"/>
          <w:lang w:eastAsia="zh-CN"/>
        </w:rPr>
      </w:pPr>
      <w:r>
        <w:rPr>
          <w:rFonts w:hint="eastAsia" w:eastAsia="宋体"/>
          <w:kern w:val="2"/>
          <w:sz w:val="21"/>
          <w:szCs w:val="21"/>
          <w:lang w:eastAsia="zh-CN"/>
        </w:rPr>
        <w:t>填表日期：        年     月      日</w:t>
      </w:r>
    </w:p>
    <w:p w14:paraId="47A3EB16">
      <w:pPr>
        <w:widowControl w:val="0"/>
        <w:spacing w:line="75" w:lineRule="exact"/>
        <w:jc w:val="both"/>
        <w:rPr>
          <w:rFonts w:hint="eastAsia" w:ascii="宋体" w:hAnsi="宋体" w:eastAsia="宋体" w:cs="宋体"/>
          <w:kern w:val="2"/>
          <w:sz w:val="21"/>
          <w:szCs w:val="21"/>
          <w:lang w:eastAsia="zh-CN"/>
        </w:rPr>
      </w:pPr>
    </w:p>
    <w:tbl>
      <w:tblPr>
        <w:tblStyle w:val="28"/>
        <w:tblW w:w="5000"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4"/>
        <w:gridCol w:w="629"/>
        <w:gridCol w:w="1487"/>
        <w:gridCol w:w="878"/>
        <w:gridCol w:w="735"/>
        <w:gridCol w:w="1110"/>
        <w:gridCol w:w="1393"/>
        <w:gridCol w:w="1403"/>
      </w:tblGrid>
      <w:tr w14:paraId="12F5D9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789" w:type="pct"/>
            <w:gridSpan w:val="2"/>
            <w:vAlign w:val="center"/>
          </w:tcPr>
          <w:p w14:paraId="27F1E7EE">
            <w:pPr>
              <w:widowControl w:val="0"/>
              <w:spacing w:line="203" w:lineRule="auto"/>
              <w:jc w:val="center"/>
              <w:rPr>
                <w:rFonts w:hint="eastAsia" w:ascii="宋体" w:hAnsi="宋体" w:eastAsia="宋体" w:cs="宋体"/>
                <w:b/>
                <w:bCs/>
                <w:color w:val="000000"/>
                <w:spacing w:val="-4"/>
                <w:kern w:val="2"/>
                <w:sz w:val="21"/>
                <w:szCs w:val="21"/>
                <w:lang w:eastAsia="zh-CN"/>
              </w:rPr>
            </w:pPr>
            <w:r>
              <w:rPr>
                <w:rFonts w:hint="eastAsia" w:ascii="宋体" w:hAnsi="宋体" w:eastAsia="宋体" w:cs="宋体"/>
                <w:b/>
                <w:bCs/>
                <w:color w:val="000000"/>
                <w:spacing w:val="-4"/>
                <w:kern w:val="2"/>
                <w:sz w:val="21"/>
                <w:szCs w:val="21"/>
              </w:rPr>
              <w:t>采购人</w:t>
            </w:r>
          </w:p>
        </w:tc>
        <w:tc>
          <w:tcPr>
            <w:tcW w:w="1422" w:type="pct"/>
            <w:gridSpan w:val="2"/>
            <w:vAlign w:val="center"/>
          </w:tcPr>
          <w:p w14:paraId="408C4735">
            <w:pPr>
              <w:widowControl w:val="0"/>
              <w:jc w:val="both"/>
              <w:rPr>
                <w:rFonts w:hint="eastAsia" w:ascii="宋体" w:hAnsi="宋体" w:eastAsia="宋体" w:cs="宋体"/>
                <w:color w:val="000000"/>
                <w:kern w:val="2"/>
                <w:sz w:val="21"/>
                <w:szCs w:val="21"/>
                <w:lang w:eastAsia="zh-CN"/>
              </w:rPr>
            </w:pPr>
          </w:p>
        </w:tc>
        <w:tc>
          <w:tcPr>
            <w:tcW w:w="1109" w:type="pct"/>
            <w:gridSpan w:val="2"/>
            <w:vAlign w:val="center"/>
          </w:tcPr>
          <w:p w14:paraId="12FB295B">
            <w:pPr>
              <w:widowControl w:val="0"/>
              <w:spacing w:line="203" w:lineRule="auto"/>
              <w:jc w:val="center"/>
              <w:rPr>
                <w:rFonts w:hint="eastAsia" w:ascii="宋体" w:hAnsi="宋体" w:eastAsia="宋体" w:cs="宋体"/>
                <w:b/>
                <w:bCs/>
                <w:color w:val="000000"/>
                <w:spacing w:val="-4"/>
                <w:kern w:val="2"/>
                <w:sz w:val="21"/>
                <w:szCs w:val="21"/>
                <w:lang w:eastAsia="zh-CN"/>
              </w:rPr>
            </w:pPr>
            <w:r>
              <w:rPr>
                <w:rFonts w:hint="eastAsia" w:ascii="宋体" w:hAnsi="宋体" w:eastAsia="宋体" w:cs="宋体"/>
                <w:b/>
                <w:bCs/>
                <w:color w:val="000000"/>
                <w:spacing w:val="-4"/>
                <w:kern w:val="2"/>
                <w:sz w:val="21"/>
                <w:szCs w:val="21"/>
              </w:rPr>
              <w:t>项目名称</w:t>
            </w:r>
          </w:p>
        </w:tc>
        <w:tc>
          <w:tcPr>
            <w:tcW w:w="1678" w:type="pct"/>
            <w:gridSpan w:val="2"/>
            <w:vAlign w:val="center"/>
          </w:tcPr>
          <w:p w14:paraId="0CE526A7">
            <w:pPr>
              <w:widowControl w:val="0"/>
              <w:jc w:val="both"/>
              <w:rPr>
                <w:rFonts w:hint="eastAsia" w:ascii="宋体" w:hAnsi="宋体" w:eastAsia="宋体" w:cs="宋体"/>
                <w:kern w:val="2"/>
                <w:sz w:val="21"/>
                <w:szCs w:val="21"/>
                <w:lang w:eastAsia="zh-CN"/>
              </w:rPr>
            </w:pPr>
          </w:p>
        </w:tc>
      </w:tr>
      <w:tr w14:paraId="56C3C7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789" w:type="pct"/>
            <w:gridSpan w:val="2"/>
            <w:vAlign w:val="center"/>
          </w:tcPr>
          <w:p w14:paraId="5A6EF97D">
            <w:pPr>
              <w:widowControl w:val="0"/>
              <w:spacing w:line="203" w:lineRule="auto"/>
              <w:jc w:val="center"/>
              <w:rPr>
                <w:rFonts w:hint="eastAsia" w:ascii="宋体" w:hAnsi="宋体" w:eastAsia="宋体" w:cs="宋体"/>
                <w:b/>
                <w:bCs/>
                <w:color w:val="000000"/>
                <w:spacing w:val="-4"/>
                <w:kern w:val="2"/>
                <w:sz w:val="21"/>
                <w:szCs w:val="21"/>
                <w:lang w:eastAsia="zh-CN"/>
              </w:rPr>
            </w:pPr>
            <w:r>
              <w:rPr>
                <w:rFonts w:hint="eastAsia" w:ascii="宋体" w:hAnsi="宋体" w:eastAsia="宋体" w:cs="宋体"/>
                <w:b/>
                <w:bCs/>
                <w:color w:val="000000"/>
                <w:spacing w:val="-4"/>
                <w:kern w:val="2"/>
                <w:sz w:val="21"/>
                <w:szCs w:val="21"/>
                <w:lang w:eastAsia="zh-CN"/>
              </w:rPr>
              <w:t>投标（响应）供应商</w:t>
            </w:r>
          </w:p>
        </w:tc>
        <w:tc>
          <w:tcPr>
            <w:tcW w:w="1422" w:type="pct"/>
            <w:gridSpan w:val="2"/>
            <w:vAlign w:val="center"/>
          </w:tcPr>
          <w:p w14:paraId="3DAB1F6C">
            <w:pPr>
              <w:widowControl w:val="0"/>
              <w:jc w:val="both"/>
              <w:rPr>
                <w:rFonts w:hint="eastAsia" w:ascii="宋体" w:hAnsi="宋体" w:eastAsia="宋体" w:cs="宋体"/>
                <w:color w:val="000000"/>
                <w:kern w:val="2"/>
                <w:sz w:val="21"/>
                <w:szCs w:val="21"/>
                <w:lang w:eastAsia="zh-CN"/>
              </w:rPr>
            </w:pPr>
          </w:p>
        </w:tc>
        <w:tc>
          <w:tcPr>
            <w:tcW w:w="1109" w:type="pct"/>
            <w:gridSpan w:val="2"/>
            <w:vAlign w:val="center"/>
          </w:tcPr>
          <w:p w14:paraId="5C7365BB">
            <w:pPr>
              <w:widowControl w:val="0"/>
              <w:spacing w:line="203" w:lineRule="auto"/>
              <w:jc w:val="center"/>
              <w:rPr>
                <w:rFonts w:hint="eastAsia" w:ascii="宋体" w:hAnsi="宋体" w:eastAsia="宋体" w:cs="宋体"/>
                <w:b/>
                <w:bCs/>
                <w:color w:val="000000"/>
                <w:spacing w:val="-4"/>
                <w:kern w:val="2"/>
                <w:sz w:val="21"/>
                <w:szCs w:val="21"/>
                <w:lang w:eastAsia="zh-CN"/>
              </w:rPr>
            </w:pPr>
            <w:r>
              <w:rPr>
                <w:rFonts w:hint="eastAsia" w:ascii="宋体" w:hAnsi="宋体" w:eastAsia="宋体" w:cs="宋体"/>
                <w:b/>
                <w:bCs/>
                <w:color w:val="000000"/>
                <w:spacing w:val="-4"/>
                <w:kern w:val="2"/>
                <w:sz w:val="21"/>
                <w:szCs w:val="21"/>
                <w:lang w:eastAsia="zh-CN"/>
              </w:rPr>
              <w:t>供应商统一社会信用代码</w:t>
            </w:r>
          </w:p>
        </w:tc>
        <w:tc>
          <w:tcPr>
            <w:tcW w:w="1678" w:type="pct"/>
            <w:gridSpan w:val="2"/>
            <w:vAlign w:val="center"/>
          </w:tcPr>
          <w:p w14:paraId="4F73B872">
            <w:pPr>
              <w:widowControl w:val="0"/>
              <w:jc w:val="both"/>
              <w:rPr>
                <w:rFonts w:hint="eastAsia" w:ascii="宋体" w:hAnsi="宋体" w:eastAsia="宋体" w:cs="宋体"/>
                <w:kern w:val="2"/>
                <w:sz w:val="21"/>
                <w:szCs w:val="21"/>
                <w:lang w:eastAsia="zh-CN"/>
              </w:rPr>
            </w:pPr>
          </w:p>
        </w:tc>
      </w:tr>
      <w:tr w14:paraId="60E0D7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000" w:type="pct"/>
            <w:gridSpan w:val="8"/>
            <w:vAlign w:val="center"/>
          </w:tcPr>
          <w:p w14:paraId="53B862F3">
            <w:pPr>
              <w:widowControl w:val="0"/>
              <w:spacing w:line="198" w:lineRule="auto"/>
              <w:ind w:left="2683"/>
              <w:jc w:val="both"/>
              <w:rPr>
                <w:rFonts w:hint="eastAsia" w:ascii="宋体" w:hAnsi="宋体" w:eastAsia="宋体" w:cs="宋体"/>
                <w:kern w:val="2"/>
                <w:sz w:val="21"/>
                <w:szCs w:val="21"/>
                <w:lang w:eastAsia="zh-CN"/>
              </w:rPr>
            </w:pPr>
            <w:r>
              <w:rPr>
                <w:rFonts w:hint="eastAsia" w:ascii="宋体" w:hAnsi="宋体" w:eastAsia="宋体" w:cs="宋体"/>
                <w:b/>
                <w:bCs/>
                <w:kern w:val="2"/>
                <w:sz w:val="21"/>
                <w:szCs w:val="21"/>
                <w:lang w:eastAsia="zh-CN"/>
              </w:rPr>
              <w:t>投标（响应）供应商相关人员情况</w:t>
            </w:r>
          </w:p>
        </w:tc>
      </w:tr>
      <w:tr w14:paraId="07DC18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411" w:type="pct"/>
            <w:vAlign w:val="center"/>
          </w:tcPr>
          <w:p w14:paraId="7BDACFBF">
            <w:pPr>
              <w:widowControl w:val="0"/>
              <w:spacing w:line="202" w:lineRule="auto"/>
              <w:ind w:left="145"/>
              <w:jc w:val="both"/>
              <w:rPr>
                <w:rFonts w:hint="eastAsia" w:ascii="宋体" w:hAnsi="宋体" w:eastAsia="宋体" w:cs="宋体"/>
                <w:spacing w:val="-5"/>
                <w:kern w:val="2"/>
                <w:sz w:val="21"/>
                <w:szCs w:val="21"/>
                <w:lang w:eastAsia="zh-CN"/>
              </w:rPr>
            </w:pPr>
            <w:r>
              <w:rPr>
                <w:rFonts w:hint="eastAsia" w:ascii="宋体" w:hAnsi="宋体" w:eastAsia="宋体" w:cs="宋体"/>
                <w:spacing w:val="-5"/>
                <w:kern w:val="2"/>
                <w:sz w:val="21"/>
                <w:szCs w:val="21"/>
                <w:lang w:eastAsia="zh-CN"/>
              </w:rPr>
              <w:t>序号</w:t>
            </w:r>
          </w:p>
        </w:tc>
        <w:tc>
          <w:tcPr>
            <w:tcW w:w="1272" w:type="pct"/>
            <w:gridSpan w:val="2"/>
            <w:vAlign w:val="center"/>
          </w:tcPr>
          <w:p w14:paraId="6B236F5F">
            <w:pPr>
              <w:widowControl w:val="0"/>
              <w:spacing w:line="202" w:lineRule="auto"/>
              <w:ind w:left="916"/>
              <w:jc w:val="both"/>
              <w:rPr>
                <w:rFonts w:hint="eastAsia" w:ascii="宋体" w:hAnsi="宋体" w:eastAsia="宋体" w:cs="宋体"/>
                <w:spacing w:val="-6"/>
                <w:kern w:val="2"/>
                <w:sz w:val="21"/>
                <w:szCs w:val="21"/>
                <w:lang w:eastAsia="zh-CN"/>
              </w:rPr>
            </w:pPr>
            <w:r>
              <w:rPr>
                <w:rFonts w:hint="eastAsia" w:ascii="宋体" w:hAnsi="宋体" w:eastAsia="宋体" w:cs="宋体"/>
                <w:spacing w:val="-6"/>
                <w:kern w:val="2"/>
                <w:sz w:val="21"/>
                <w:szCs w:val="21"/>
                <w:lang w:eastAsia="zh-CN"/>
              </w:rPr>
              <w:t>职务</w:t>
            </w:r>
          </w:p>
        </w:tc>
        <w:tc>
          <w:tcPr>
            <w:tcW w:w="528" w:type="pct"/>
            <w:vAlign w:val="center"/>
          </w:tcPr>
          <w:p w14:paraId="26E0E3E7">
            <w:pPr>
              <w:widowControl w:val="0"/>
              <w:spacing w:line="203" w:lineRule="auto"/>
              <w:ind w:left="245"/>
              <w:jc w:val="both"/>
              <w:rPr>
                <w:rFonts w:hint="eastAsia" w:ascii="宋体" w:hAnsi="宋体" w:eastAsia="宋体" w:cs="宋体"/>
                <w:spacing w:val="-4"/>
                <w:kern w:val="2"/>
                <w:sz w:val="21"/>
                <w:szCs w:val="21"/>
                <w:lang w:eastAsia="zh-CN"/>
              </w:rPr>
            </w:pPr>
            <w:r>
              <w:rPr>
                <w:rFonts w:hint="eastAsia" w:ascii="宋体" w:hAnsi="宋体" w:eastAsia="宋体" w:cs="宋体"/>
                <w:spacing w:val="-4"/>
                <w:kern w:val="2"/>
                <w:sz w:val="21"/>
                <w:szCs w:val="21"/>
                <w:lang w:eastAsia="zh-CN"/>
              </w:rPr>
              <w:t>姓名</w:t>
            </w:r>
          </w:p>
        </w:tc>
        <w:tc>
          <w:tcPr>
            <w:tcW w:w="1109" w:type="pct"/>
            <w:gridSpan w:val="2"/>
            <w:vAlign w:val="center"/>
          </w:tcPr>
          <w:p w14:paraId="735E1296">
            <w:pPr>
              <w:widowControl w:val="0"/>
              <w:spacing w:line="203" w:lineRule="auto"/>
              <w:ind w:left="410"/>
              <w:jc w:val="both"/>
              <w:rPr>
                <w:rFonts w:hint="eastAsia" w:ascii="宋体" w:hAnsi="宋体" w:eastAsia="宋体" w:cs="宋体"/>
                <w:spacing w:val="-3"/>
                <w:kern w:val="2"/>
                <w:sz w:val="21"/>
                <w:szCs w:val="21"/>
                <w:lang w:eastAsia="zh-CN"/>
              </w:rPr>
            </w:pPr>
            <w:r>
              <w:rPr>
                <w:rFonts w:hint="eastAsia" w:ascii="宋体" w:hAnsi="宋体" w:eastAsia="宋体" w:cs="宋体"/>
                <w:spacing w:val="-3"/>
                <w:kern w:val="2"/>
                <w:sz w:val="21"/>
                <w:szCs w:val="21"/>
                <w:lang w:eastAsia="zh-CN"/>
              </w:rPr>
              <w:t>身份证号码</w:t>
            </w:r>
          </w:p>
        </w:tc>
        <w:tc>
          <w:tcPr>
            <w:tcW w:w="837" w:type="pct"/>
            <w:vAlign w:val="center"/>
          </w:tcPr>
          <w:p w14:paraId="05EA1B55">
            <w:pPr>
              <w:widowControl w:val="0"/>
              <w:spacing w:line="191" w:lineRule="auto"/>
              <w:ind w:left="288" w:right="266" w:firstLine="5"/>
              <w:jc w:val="both"/>
              <w:rPr>
                <w:rFonts w:hint="eastAsia" w:ascii="宋体" w:hAnsi="宋体" w:eastAsia="宋体" w:cs="宋体"/>
                <w:spacing w:val="-7"/>
                <w:kern w:val="2"/>
                <w:sz w:val="21"/>
                <w:szCs w:val="21"/>
                <w:lang w:eastAsia="zh-CN"/>
              </w:rPr>
            </w:pPr>
            <w:r>
              <w:rPr>
                <w:rFonts w:hint="eastAsia" w:ascii="宋体" w:hAnsi="宋体" w:eastAsia="宋体" w:cs="宋体"/>
                <w:spacing w:val="-7"/>
                <w:kern w:val="2"/>
                <w:sz w:val="21"/>
                <w:szCs w:val="21"/>
                <w:lang w:eastAsia="zh-CN"/>
              </w:rPr>
              <w:t>劳动合同</w:t>
            </w:r>
          </w:p>
          <w:p w14:paraId="6C70E0C4">
            <w:pPr>
              <w:widowControl w:val="0"/>
              <w:spacing w:line="191" w:lineRule="auto"/>
              <w:ind w:left="288" w:right="266" w:firstLine="5"/>
              <w:jc w:val="both"/>
              <w:rPr>
                <w:rFonts w:hint="eastAsia" w:ascii="宋体" w:hAnsi="宋体" w:eastAsia="宋体" w:cs="宋体"/>
                <w:spacing w:val="-7"/>
                <w:kern w:val="2"/>
                <w:sz w:val="21"/>
                <w:szCs w:val="21"/>
                <w:lang w:eastAsia="zh-CN"/>
              </w:rPr>
            </w:pPr>
            <w:r>
              <w:rPr>
                <w:rFonts w:hint="eastAsia" w:ascii="宋体" w:hAnsi="宋体" w:eastAsia="宋体" w:cs="宋体"/>
                <w:spacing w:val="-7"/>
                <w:kern w:val="2"/>
                <w:sz w:val="21"/>
                <w:szCs w:val="21"/>
                <w:lang w:eastAsia="zh-CN"/>
              </w:rPr>
              <w:t>关系单位</w:t>
            </w:r>
          </w:p>
        </w:tc>
        <w:tc>
          <w:tcPr>
            <w:tcW w:w="840" w:type="pct"/>
            <w:vAlign w:val="center"/>
          </w:tcPr>
          <w:p w14:paraId="5A73CFF0">
            <w:pPr>
              <w:widowControl w:val="0"/>
              <w:spacing w:line="191" w:lineRule="auto"/>
              <w:ind w:left="271" w:right="262" w:firstLine="8"/>
              <w:jc w:val="both"/>
              <w:rPr>
                <w:rFonts w:hint="eastAsia" w:ascii="宋体" w:hAnsi="宋体" w:eastAsia="宋体" w:cs="宋体"/>
                <w:spacing w:val="-5"/>
                <w:kern w:val="2"/>
                <w:sz w:val="21"/>
                <w:szCs w:val="21"/>
                <w:lang w:eastAsia="zh-CN"/>
              </w:rPr>
            </w:pPr>
            <w:r>
              <w:rPr>
                <w:rFonts w:hint="eastAsia" w:ascii="宋体" w:hAnsi="宋体" w:eastAsia="宋体" w:cs="宋体"/>
                <w:spacing w:val="-7"/>
                <w:kern w:val="2"/>
                <w:sz w:val="21"/>
                <w:szCs w:val="21"/>
                <w:lang w:eastAsia="zh-CN"/>
              </w:rPr>
              <w:t>缴纳社会保险单位</w:t>
            </w:r>
          </w:p>
        </w:tc>
      </w:tr>
      <w:tr w14:paraId="68B249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trPr>
        <w:tc>
          <w:tcPr>
            <w:tcW w:w="411" w:type="pct"/>
            <w:vAlign w:val="center"/>
          </w:tcPr>
          <w:p w14:paraId="4FD424B1">
            <w:pPr>
              <w:widowControl w:val="0"/>
              <w:spacing w:line="169" w:lineRule="auto"/>
              <w:ind w:left="321"/>
              <w:jc w:val="both"/>
              <w:rPr>
                <w:rFonts w:hint="eastAsia" w:ascii="宋体" w:hAnsi="宋体" w:eastAsia="宋体" w:cs="宋体"/>
                <w:kern w:val="2"/>
                <w:sz w:val="21"/>
                <w:szCs w:val="21"/>
              </w:rPr>
            </w:pPr>
            <w:r>
              <w:rPr>
                <w:rFonts w:hint="eastAsia" w:ascii="宋体" w:hAnsi="宋体" w:eastAsia="宋体" w:cs="宋体"/>
                <w:kern w:val="2"/>
                <w:sz w:val="21"/>
                <w:szCs w:val="21"/>
              </w:rPr>
              <w:t>1</w:t>
            </w:r>
          </w:p>
        </w:tc>
        <w:tc>
          <w:tcPr>
            <w:tcW w:w="1272" w:type="pct"/>
            <w:gridSpan w:val="2"/>
            <w:vAlign w:val="center"/>
          </w:tcPr>
          <w:p w14:paraId="4B10FF38">
            <w:pPr>
              <w:widowControl w:val="0"/>
              <w:spacing w:line="203" w:lineRule="auto"/>
              <w:jc w:val="center"/>
              <w:rPr>
                <w:rFonts w:hint="eastAsia" w:ascii="宋体" w:hAnsi="宋体" w:eastAsia="宋体" w:cs="宋体"/>
                <w:color w:val="000000"/>
                <w:spacing w:val="-4"/>
                <w:kern w:val="2"/>
                <w:sz w:val="21"/>
                <w:szCs w:val="21"/>
                <w:lang w:eastAsia="zh-CN"/>
              </w:rPr>
            </w:pPr>
            <w:r>
              <w:rPr>
                <w:rFonts w:hint="eastAsia" w:ascii="宋体" w:hAnsi="宋体" w:eastAsia="宋体" w:cs="宋体"/>
                <w:color w:val="000000"/>
                <w:spacing w:val="-4"/>
                <w:kern w:val="2"/>
                <w:sz w:val="21"/>
                <w:szCs w:val="21"/>
                <w:lang w:eastAsia="zh-CN"/>
              </w:rPr>
              <w:t>法定代表人/单位负责人/主要经营负责人</w:t>
            </w:r>
          </w:p>
        </w:tc>
        <w:tc>
          <w:tcPr>
            <w:tcW w:w="528" w:type="pct"/>
            <w:vAlign w:val="center"/>
          </w:tcPr>
          <w:p w14:paraId="36CAF374">
            <w:pPr>
              <w:widowControl w:val="0"/>
              <w:jc w:val="both"/>
              <w:rPr>
                <w:rFonts w:hint="eastAsia" w:ascii="宋体" w:hAnsi="宋体" w:eastAsia="宋体" w:cs="宋体"/>
                <w:kern w:val="2"/>
                <w:sz w:val="21"/>
                <w:szCs w:val="21"/>
                <w:lang w:eastAsia="zh-CN"/>
              </w:rPr>
            </w:pPr>
          </w:p>
        </w:tc>
        <w:tc>
          <w:tcPr>
            <w:tcW w:w="1109" w:type="pct"/>
            <w:gridSpan w:val="2"/>
            <w:vAlign w:val="center"/>
          </w:tcPr>
          <w:p w14:paraId="4BDC4B15">
            <w:pPr>
              <w:widowControl w:val="0"/>
              <w:jc w:val="both"/>
              <w:rPr>
                <w:rFonts w:hint="eastAsia" w:ascii="宋体" w:hAnsi="宋体" w:eastAsia="宋体" w:cs="宋体"/>
                <w:kern w:val="2"/>
                <w:sz w:val="21"/>
                <w:szCs w:val="21"/>
                <w:lang w:eastAsia="zh-CN"/>
              </w:rPr>
            </w:pPr>
          </w:p>
        </w:tc>
        <w:tc>
          <w:tcPr>
            <w:tcW w:w="837" w:type="pct"/>
            <w:vAlign w:val="center"/>
          </w:tcPr>
          <w:p w14:paraId="09B87704">
            <w:pPr>
              <w:widowControl w:val="0"/>
              <w:jc w:val="both"/>
              <w:rPr>
                <w:rFonts w:hint="eastAsia" w:ascii="宋体" w:hAnsi="宋体" w:eastAsia="宋体" w:cs="宋体"/>
                <w:kern w:val="2"/>
                <w:sz w:val="21"/>
                <w:szCs w:val="21"/>
                <w:lang w:eastAsia="zh-CN"/>
              </w:rPr>
            </w:pPr>
          </w:p>
        </w:tc>
        <w:tc>
          <w:tcPr>
            <w:tcW w:w="840" w:type="pct"/>
            <w:vAlign w:val="center"/>
          </w:tcPr>
          <w:p w14:paraId="337A5B5D">
            <w:pPr>
              <w:widowControl w:val="0"/>
              <w:jc w:val="both"/>
              <w:rPr>
                <w:rFonts w:hint="eastAsia" w:ascii="宋体" w:hAnsi="宋体" w:eastAsia="宋体" w:cs="宋体"/>
                <w:kern w:val="2"/>
                <w:sz w:val="21"/>
                <w:szCs w:val="21"/>
                <w:lang w:eastAsia="zh-CN"/>
              </w:rPr>
            </w:pPr>
          </w:p>
        </w:tc>
      </w:tr>
      <w:tr w14:paraId="2F16C6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vAlign w:val="center"/>
          </w:tcPr>
          <w:p w14:paraId="4B04D1E7">
            <w:pPr>
              <w:widowControl w:val="0"/>
              <w:spacing w:line="168" w:lineRule="auto"/>
              <w:ind w:left="322"/>
              <w:jc w:val="both"/>
              <w:rPr>
                <w:rFonts w:hint="eastAsia" w:ascii="宋体" w:hAnsi="宋体" w:eastAsia="宋体" w:cs="宋体"/>
                <w:kern w:val="2"/>
                <w:sz w:val="21"/>
                <w:szCs w:val="21"/>
              </w:rPr>
            </w:pPr>
            <w:r>
              <w:rPr>
                <w:rFonts w:hint="eastAsia" w:ascii="宋体" w:hAnsi="宋体" w:eastAsia="宋体" w:cs="宋体"/>
                <w:kern w:val="2"/>
                <w:sz w:val="21"/>
                <w:szCs w:val="21"/>
              </w:rPr>
              <w:t>2</w:t>
            </w:r>
          </w:p>
        </w:tc>
        <w:tc>
          <w:tcPr>
            <w:tcW w:w="1272" w:type="pct"/>
            <w:gridSpan w:val="2"/>
            <w:vAlign w:val="center"/>
          </w:tcPr>
          <w:p w14:paraId="050FEE3D">
            <w:pPr>
              <w:widowControl w:val="0"/>
              <w:spacing w:line="203" w:lineRule="auto"/>
              <w:jc w:val="center"/>
              <w:rPr>
                <w:rFonts w:hint="eastAsia" w:ascii="宋体" w:hAnsi="宋体" w:eastAsia="宋体" w:cs="宋体"/>
                <w:color w:val="000000"/>
                <w:spacing w:val="-4"/>
                <w:kern w:val="2"/>
                <w:sz w:val="21"/>
                <w:szCs w:val="21"/>
                <w:lang w:eastAsia="zh-CN"/>
              </w:rPr>
            </w:pPr>
            <w:r>
              <w:rPr>
                <w:rFonts w:hint="eastAsia" w:ascii="宋体" w:hAnsi="宋体" w:eastAsia="宋体" w:cs="宋体"/>
                <w:color w:val="000000"/>
                <w:spacing w:val="-4"/>
                <w:kern w:val="2"/>
                <w:sz w:val="21"/>
                <w:szCs w:val="21"/>
                <w:lang w:eastAsia="zh-CN"/>
              </w:rPr>
              <w:t>项目投标授权代表人</w:t>
            </w:r>
          </w:p>
        </w:tc>
        <w:tc>
          <w:tcPr>
            <w:tcW w:w="528" w:type="pct"/>
            <w:vAlign w:val="center"/>
          </w:tcPr>
          <w:p w14:paraId="6341C6B5">
            <w:pPr>
              <w:widowControl w:val="0"/>
              <w:jc w:val="both"/>
              <w:rPr>
                <w:rFonts w:hint="eastAsia" w:ascii="宋体" w:hAnsi="宋体" w:eastAsia="宋体" w:cs="宋体"/>
                <w:kern w:val="2"/>
                <w:sz w:val="21"/>
                <w:szCs w:val="21"/>
                <w:lang w:eastAsia="zh-CN"/>
              </w:rPr>
            </w:pPr>
          </w:p>
        </w:tc>
        <w:tc>
          <w:tcPr>
            <w:tcW w:w="1109" w:type="pct"/>
            <w:gridSpan w:val="2"/>
            <w:vAlign w:val="center"/>
          </w:tcPr>
          <w:p w14:paraId="005AE234">
            <w:pPr>
              <w:widowControl w:val="0"/>
              <w:jc w:val="both"/>
              <w:rPr>
                <w:rFonts w:hint="eastAsia" w:ascii="宋体" w:hAnsi="宋体" w:eastAsia="宋体" w:cs="宋体"/>
                <w:kern w:val="2"/>
                <w:sz w:val="21"/>
                <w:szCs w:val="21"/>
                <w:lang w:eastAsia="zh-CN"/>
              </w:rPr>
            </w:pPr>
          </w:p>
        </w:tc>
        <w:tc>
          <w:tcPr>
            <w:tcW w:w="837" w:type="pct"/>
            <w:vAlign w:val="center"/>
          </w:tcPr>
          <w:p w14:paraId="5CD227FD">
            <w:pPr>
              <w:widowControl w:val="0"/>
              <w:jc w:val="both"/>
              <w:rPr>
                <w:rFonts w:hint="eastAsia" w:ascii="宋体" w:hAnsi="宋体" w:eastAsia="宋体" w:cs="宋体"/>
                <w:kern w:val="2"/>
                <w:sz w:val="21"/>
                <w:szCs w:val="21"/>
                <w:lang w:eastAsia="zh-CN"/>
              </w:rPr>
            </w:pPr>
          </w:p>
        </w:tc>
        <w:tc>
          <w:tcPr>
            <w:tcW w:w="840" w:type="pct"/>
            <w:vAlign w:val="center"/>
          </w:tcPr>
          <w:p w14:paraId="1D3C0302">
            <w:pPr>
              <w:widowControl w:val="0"/>
              <w:jc w:val="both"/>
              <w:rPr>
                <w:rFonts w:hint="eastAsia" w:ascii="宋体" w:hAnsi="宋体" w:eastAsia="宋体" w:cs="宋体"/>
                <w:kern w:val="2"/>
                <w:sz w:val="21"/>
                <w:szCs w:val="21"/>
                <w:lang w:eastAsia="zh-CN"/>
              </w:rPr>
            </w:pPr>
          </w:p>
        </w:tc>
      </w:tr>
      <w:tr w14:paraId="78174B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vAlign w:val="center"/>
          </w:tcPr>
          <w:p w14:paraId="3657ABDA">
            <w:pPr>
              <w:widowControl w:val="0"/>
              <w:spacing w:line="167" w:lineRule="auto"/>
              <w:ind w:left="321"/>
              <w:jc w:val="both"/>
              <w:rPr>
                <w:rFonts w:hint="eastAsia" w:ascii="宋体" w:hAnsi="宋体" w:eastAsia="宋体" w:cs="宋体"/>
                <w:kern w:val="2"/>
                <w:sz w:val="21"/>
                <w:szCs w:val="21"/>
              </w:rPr>
            </w:pPr>
            <w:r>
              <w:rPr>
                <w:rFonts w:hint="eastAsia" w:ascii="宋体" w:hAnsi="宋体" w:eastAsia="宋体" w:cs="宋体"/>
                <w:kern w:val="2"/>
                <w:sz w:val="21"/>
                <w:szCs w:val="21"/>
              </w:rPr>
              <w:t>3</w:t>
            </w:r>
          </w:p>
        </w:tc>
        <w:tc>
          <w:tcPr>
            <w:tcW w:w="1272" w:type="pct"/>
            <w:gridSpan w:val="2"/>
            <w:vAlign w:val="center"/>
          </w:tcPr>
          <w:p w14:paraId="5208FE84">
            <w:pPr>
              <w:widowControl w:val="0"/>
              <w:spacing w:line="201" w:lineRule="auto"/>
              <w:jc w:val="center"/>
              <w:rPr>
                <w:rFonts w:hint="eastAsia" w:ascii="宋体" w:hAnsi="宋体" w:eastAsia="宋体" w:cs="宋体"/>
                <w:color w:val="000000"/>
                <w:kern w:val="2"/>
                <w:sz w:val="21"/>
                <w:szCs w:val="21"/>
                <w:lang w:eastAsia="zh-CN"/>
              </w:rPr>
            </w:pPr>
            <w:r>
              <w:rPr>
                <w:rFonts w:hint="eastAsia" w:ascii="宋体" w:hAnsi="宋体" w:eastAsia="宋体" w:cs="宋体"/>
                <w:color w:val="000000"/>
                <w:spacing w:val="-3"/>
                <w:kern w:val="2"/>
                <w:sz w:val="21"/>
                <w:szCs w:val="21"/>
                <w:lang w:eastAsia="zh-CN"/>
              </w:rPr>
              <w:t>项目负责人</w:t>
            </w:r>
          </w:p>
        </w:tc>
        <w:tc>
          <w:tcPr>
            <w:tcW w:w="528" w:type="pct"/>
            <w:vAlign w:val="center"/>
          </w:tcPr>
          <w:p w14:paraId="6A3DF115">
            <w:pPr>
              <w:widowControl w:val="0"/>
              <w:jc w:val="both"/>
              <w:rPr>
                <w:rFonts w:hint="eastAsia" w:ascii="宋体" w:hAnsi="宋体" w:eastAsia="宋体" w:cs="宋体"/>
                <w:kern w:val="2"/>
                <w:sz w:val="21"/>
                <w:szCs w:val="21"/>
                <w:lang w:eastAsia="zh-CN"/>
              </w:rPr>
            </w:pPr>
          </w:p>
        </w:tc>
        <w:tc>
          <w:tcPr>
            <w:tcW w:w="1109" w:type="pct"/>
            <w:gridSpan w:val="2"/>
            <w:vAlign w:val="center"/>
          </w:tcPr>
          <w:p w14:paraId="7DC75508">
            <w:pPr>
              <w:widowControl w:val="0"/>
              <w:jc w:val="both"/>
              <w:rPr>
                <w:rFonts w:hint="eastAsia" w:ascii="宋体" w:hAnsi="宋体" w:eastAsia="宋体" w:cs="宋体"/>
                <w:kern w:val="2"/>
                <w:sz w:val="21"/>
                <w:szCs w:val="21"/>
                <w:lang w:eastAsia="zh-CN"/>
              </w:rPr>
            </w:pPr>
          </w:p>
        </w:tc>
        <w:tc>
          <w:tcPr>
            <w:tcW w:w="837" w:type="pct"/>
            <w:vAlign w:val="center"/>
          </w:tcPr>
          <w:p w14:paraId="4F22B24E">
            <w:pPr>
              <w:widowControl w:val="0"/>
              <w:jc w:val="both"/>
              <w:rPr>
                <w:rFonts w:hint="eastAsia" w:ascii="宋体" w:hAnsi="宋体" w:eastAsia="宋体" w:cs="宋体"/>
                <w:kern w:val="2"/>
                <w:sz w:val="21"/>
                <w:szCs w:val="21"/>
                <w:lang w:eastAsia="zh-CN"/>
              </w:rPr>
            </w:pPr>
          </w:p>
        </w:tc>
        <w:tc>
          <w:tcPr>
            <w:tcW w:w="840" w:type="pct"/>
            <w:vAlign w:val="center"/>
          </w:tcPr>
          <w:p w14:paraId="0CAECF19">
            <w:pPr>
              <w:widowControl w:val="0"/>
              <w:jc w:val="both"/>
              <w:rPr>
                <w:rFonts w:hint="eastAsia" w:ascii="宋体" w:hAnsi="宋体" w:eastAsia="宋体" w:cs="宋体"/>
                <w:kern w:val="2"/>
                <w:sz w:val="21"/>
                <w:szCs w:val="21"/>
                <w:lang w:eastAsia="zh-CN"/>
              </w:rPr>
            </w:pPr>
          </w:p>
        </w:tc>
      </w:tr>
      <w:tr w14:paraId="64426A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vAlign w:val="center"/>
          </w:tcPr>
          <w:p w14:paraId="2EB85E20">
            <w:pPr>
              <w:widowControl w:val="0"/>
              <w:spacing w:line="168" w:lineRule="auto"/>
              <w:ind w:left="314"/>
              <w:jc w:val="both"/>
              <w:rPr>
                <w:rFonts w:hint="eastAsia" w:ascii="宋体" w:hAnsi="宋体" w:eastAsia="宋体" w:cs="宋体"/>
                <w:kern w:val="2"/>
                <w:sz w:val="21"/>
                <w:szCs w:val="21"/>
              </w:rPr>
            </w:pPr>
            <w:r>
              <w:rPr>
                <w:rFonts w:hint="eastAsia" w:ascii="宋体" w:hAnsi="宋体" w:eastAsia="宋体" w:cs="宋体"/>
                <w:kern w:val="2"/>
                <w:sz w:val="21"/>
                <w:szCs w:val="21"/>
              </w:rPr>
              <w:t>4</w:t>
            </w:r>
          </w:p>
        </w:tc>
        <w:tc>
          <w:tcPr>
            <w:tcW w:w="1272" w:type="pct"/>
            <w:gridSpan w:val="2"/>
            <w:vAlign w:val="center"/>
          </w:tcPr>
          <w:p w14:paraId="52FD3773">
            <w:pPr>
              <w:widowControl w:val="0"/>
              <w:spacing w:line="202" w:lineRule="auto"/>
              <w:jc w:val="center"/>
              <w:rPr>
                <w:rFonts w:hint="eastAsia" w:ascii="宋体" w:hAnsi="宋体" w:eastAsia="宋体" w:cs="宋体"/>
                <w:color w:val="000000"/>
                <w:kern w:val="2"/>
                <w:sz w:val="21"/>
                <w:szCs w:val="21"/>
                <w:lang w:eastAsia="zh-CN"/>
              </w:rPr>
            </w:pPr>
            <w:r>
              <w:rPr>
                <w:rFonts w:hint="eastAsia" w:ascii="宋体" w:hAnsi="宋体" w:eastAsia="宋体" w:cs="宋体"/>
                <w:color w:val="000000"/>
                <w:spacing w:val="-4"/>
                <w:kern w:val="2"/>
                <w:sz w:val="21"/>
                <w:szCs w:val="21"/>
                <w:lang w:eastAsia="zh-CN"/>
              </w:rPr>
              <w:t>主要技术人员</w:t>
            </w:r>
          </w:p>
        </w:tc>
        <w:tc>
          <w:tcPr>
            <w:tcW w:w="528" w:type="pct"/>
            <w:vAlign w:val="center"/>
          </w:tcPr>
          <w:p w14:paraId="275D7570">
            <w:pPr>
              <w:widowControl w:val="0"/>
              <w:jc w:val="both"/>
              <w:rPr>
                <w:rFonts w:hint="eastAsia" w:ascii="宋体" w:hAnsi="宋体" w:eastAsia="宋体" w:cs="宋体"/>
                <w:kern w:val="2"/>
                <w:sz w:val="21"/>
                <w:szCs w:val="21"/>
                <w:lang w:eastAsia="zh-CN"/>
              </w:rPr>
            </w:pPr>
          </w:p>
        </w:tc>
        <w:tc>
          <w:tcPr>
            <w:tcW w:w="1109" w:type="pct"/>
            <w:gridSpan w:val="2"/>
            <w:vAlign w:val="center"/>
          </w:tcPr>
          <w:p w14:paraId="1C0A970E">
            <w:pPr>
              <w:widowControl w:val="0"/>
              <w:jc w:val="both"/>
              <w:rPr>
                <w:rFonts w:hint="eastAsia" w:ascii="宋体" w:hAnsi="宋体" w:eastAsia="宋体" w:cs="宋体"/>
                <w:kern w:val="2"/>
                <w:sz w:val="21"/>
                <w:szCs w:val="21"/>
                <w:lang w:eastAsia="zh-CN"/>
              </w:rPr>
            </w:pPr>
          </w:p>
        </w:tc>
        <w:tc>
          <w:tcPr>
            <w:tcW w:w="837" w:type="pct"/>
            <w:vAlign w:val="center"/>
          </w:tcPr>
          <w:p w14:paraId="52D4B072">
            <w:pPr>
              <w:widowControl w:val="0"/>
              <w:jc w:val="both"/>
              <w:rPr>
                <w:rFonts w:hint="eastAsia" w:ascii="宋体" w:hAnsi="宋体" w:eastAsia="宋体" w:cs="宋体"/>
                <w:kern w:val="2"/>
                <w:sz w:val="21"/>
                <w:szCs w:val="21"/>
                <w:lang w:eastAsia="zh-CN"/>
              </w:rPr>
            </w:pPr>
          </w:p>
        </w:tc>
        <w:tc>
          <w:tcPr>
            <w:tcW w:w="840" w:type="pct"/>
            <w:vAlign w:val="center"/>
          </w:tcPr>
          <w:p w14:paraId="38C91A67">
            <w:pPr>
              <w:widowControl w:val="0"/>
              <w:jc w:val="both"/>
              <w:rPr>
                <w:rFonts w:hint="eastAsia" w:ascii="宋体" w:hAnsi="宋体" w:eastAsia="宋体" w:cs="宋体"/>
                <w:kern w:val="2"/>
                <w:sz w:val="21"/>
                <w:szCs w:val="21"/>
                <w:lang w:eastAsia="zh-CN"/>
              </w:rPr>
            </w:pPr>
          </w:p>
        </w:tc>
      </w:tr>
      <w:tr w14:paraId="583406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vAlign w:val="center"/>
          </w:tcPr>
          <w:p w14:paraId="4E85F0A7">
            <w:pPr>
              <w:widowControl w:val="0"/>
              <w:spacing w:line="165" w:lineRule="auto"/>
              <w:ind w:left="325"/>
              <w:jc w:val="both"/>
              <w:rPr>
                <w:rFonts w:hint="eastAsia" w:ascii="宋体" w:hAnsi="宋体" w:eastAsia="宋体" w:cs="宋体"/>
                <w:kern w:val="2"/>
                <w:sz w:val="21"/>
                <w:szCs w:val="21"/>
              </w:rPr>
            </w:pPr>
            <w:r>
              <w:rPr>
                <w:rFonts w:hint="eastAsia" w:ascii="宋体" w:hAnsi="宋体" w:eastAsia="宋体" w:cs="宋体"/>
                <w:kern w:val="2"/>
                <w:sz w:val="21"/>
                <w:szCs w:val="21"/>
              </w:rPr>
              <w:t>5</w:t>
            </w:r>
          </w:p>
        </w:tc>
        <w:tc>
          <w:tcPr>
            <w:tcW w:w="1272" w:type="pct"/>
            <w:gridSpan w:val="2"/>
            <w:vAlign w:val="center"/>
          </w:tcPr>
          <w:p w14:paraId="0E7066BA">
            <w:pPr>
              <w:widowControl w:val="0"/>
              <w:spacing w:line="202" w:lineRule="auto"/>
              <w:jc w:val="center"/>
              <w:rPr>
                <w:rFonts w:hint="eastAsia" w:ascii="宋体" w:hAnsi="宋体" w:eastAsia="宋体" w:cs="宋体"/>
                <w:color w:val="000000"/>
                <w:kern w:val="2"/>
                <w:sz w:val="21"/>
                <w:szCs w:val="21"/>
                <w:lang w:eastAsia="zh-CN"/>
              </w:rPr>
            </w:pPr>
            <w:r>
              <w:rPr>
                <w:rFonts w:hint="eastAsia" w:ascii="宋体" w:hAnsi="宋体" w:eastAsia="宋体" w:cs="宋体"/>
                <w:color w:val="000000"/>
                <w:spacing w:val="-4"/>
                <w:kern w:val="2"/>
                <w:sz w:val="21"/>
                <w:szCs w:val="21"/>
                <w:lang w:eastAsia="zh-CN"/>
              </w:rPr>
              <w:t>投标文件编制人员</w:t>
            </w:r>
          </w:p>
        </w:tc>
        <w:tc>
          <w:tcPr>
            <w:tcW w:w="528" w:type="pct"/>
            <w:vAlign w:val="center"/>
          </w:tcPr>
          <w:p w14:paraId="06464C4B">
            <w:pPr>
              <w:widowControl w:val="0"/>
              <w:jc w:val="both"/>
              <w:rPr>
                <w:rFonts w:hint="eastAsia" w:ascii="宋体" w:hAnsi="宋体" w:eastAsia="宋体" w:cs="宋体"/>
                <w:kern w:val="2"/>
                <w:sz w:val="21"/>
                <w:szCs w:val="21"/>
                <w:lang w:eastAsia="zh-CN"/>
              </w:rPr>
            </w:pPr>
          </w:p>
        </w:tc>
        <w:tc>
          <w:tcPr>
            <w:tcW w:w="1109" w:type="pct"/>
            <w:gridSpan w:val="2"/>
            <w:vAlign w:val="center"/>
          </w:tcPr>
          <w:p w14:paraId="00517A9D">
            <w:pPr>
              <w:widowControl w:val="0"/>
              <w:jc w:val="both"/>
              <w:rPr>
                <w:rFonts w:hint="eastAsia" w:ascii="宋体" w:hAnsi="宋体" w:eastAsia="宋体" w:cs="宋体"/>
                <w:kern w:val="2"/>
                <w:sz w:val="21"/>
                <w:szCs w:val="21"/>
                <w:lang w:eastAsia="zh-CN"/>
              </w:rPr>
            </w:pPr>
          </w:p>
        </w:tc>
        <w:tc>
          <w:tcPr>
            <w:tcW w:w="837" w:type="pct"/>
            <w:vAlign w:val="center"/>
          </w:tcPr>
          <w:p w14:paraId="3D89D35B">
            <w:pPr>
              <w:widowControl w:val="0"/>
              <w:jc w:val="both"/>
              <w:rPr>
                <w:rFonts w:hint="eastAsia" w:ascii="宋体" w:hAnsi="宋体" w:eastAsia="宋体" w:cs="宋体"/>
                <w:kern w:val="2"/>
                <w:sz w:val="21"/>
                <w:szCs w:val="21"/>
                <w:lang w:eastAsia="zh-CN"/>
              </w:rPr>
            </w:pPr>
          </w:p>
        </w:tc>
        <w:tc>
          <w:tcPr>
            <w:tcW w:w="840" w:type="pct"/>
            <w:vAlign w:val="center"/>
          </w:tcPr>
          <w:p w14:paraId="1FB63D74">
            <w:pPr>
              <w:widowControl w:val="0"/>
              <w:jc w:val="both"/>
              <w:rPr>
                <w:rFonts w:hint="eastAsia" w:ascii="宋体" w:hAnsi="宋体" w:eastAsia="宋体" w:cs="宋体"/>
                <w:kern w:val="2"/>
                <w:sz w:val="21"/>
                <w:szCs w:val="21"/>
                <w:lang w:eastAsia="zh-CN"/>
              </w:rPr>
            </w:pPr>
          </w:p>
        </w:tc>
      </w:tr>
      <w:tr w14:paraId="7C7B8D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000" w:type="pct"/>
            <w:gridSpan w:val="8"/>
            <w:vAlign w:val="center"/>
          </w:tcPr>
          <w:p w14:paraId="65104536">
            <w:pPr>
              <w:widowControl w:val="0"/>
              <w:spacing w:line="198" w:lineRule="auto"/>
              <w:ind w:left="120"/>
              <w:jc w:val="both"/>
              <w:rPr>
                <w:rFonts w:hint="eastAsia" w:ascii="宋体" w:hAnsi="宋体" w:eastAsia="宋体" w:cs="宋体"/>
                <w:b/>
                <w:bCs/>
                <w:spacing w:val="-1"/>
                <w:kern w:val="2"/>
                <w:sz w:val="21"/>
                <w:szCs w:val="21"/>
                <w:lang w:eastAsia="zh-CN"/>
              </w:rPr>
            </w:pPr>
            <w:r>
              <w:rPr>
                <w:rFonts w:hint="eastAsia" w:ascii="宋体" w:hAnsi="宋体" w:eastAsia="宋体" w:cs="宋体"/>
                <w:b/>
                <w:bCs/>
                <w:spacing w:val="-1"/>
                <w:kern w:val="2"/>
                <w:sz w:val="21"/>
                <w:szCs w:val="21"/>
                <w:lang w:eastAsia="zh-CN"/>
              </w:rPr>
              <w:t>说明：</w:t>
            </w:r>
          </w:p>
          <w:p w14:paraId="668BB18A">
            <w:pPr>
              <w:widowControl w:val="0"/>
              <w:spacing w:line="198" w:lineRule="auto"/>
              <w:ind w:left="120"/>
              <w:jc w:val="both"/>
              <w:rPr>
                <w:rFonts w:hint="eastAsia" w:ascii="宋体" w:hAnsi="宋体" w:eastAsia="宋体" w:cs="宋体"/>
                <w:kern w:val="2"/>
                <w:sz w:val="21"/>
                <w:szCs w:val="21"/>
                <w:lang w:eastAsia="zh-CN"/>
              </w:rPr>
            </w:pPr>
            <w:r>
              <w:rPr>
                <w:rFonts w:hint="eastAsia" w:ascii="宋体" w:hAnsi="宋体" w:eastAsia="宋体" w:cs="宋体"/>
                <w:b/>
                <w:bCs/>
                <w:spacing w:val="-1"/>
                <w:kern w:val="2"/>
                <w:sz w:val="21"/>
                <w:szCs w:val="21"/>
                <w:lang w:eastAsia="zh-CN"/>
              </w:rPr>
              <w:t>1.同一职务有多人担任（如主要技术人员</w:t>
            </w:r>
            <w:r>
              <w:rPr>
                <w:rFonts w:hint="eastAsia" w:ascii="宋体" w:hAnsi="宋体" w:eastAsia="宋体" w:cs="宋体"/>
                <w:b/>
                <w:bCs/>
                <w:spacing w:val="-42"/>
                <w:w w:val="95"/>
                <w:kern w:val="2"/>
                <w:sz w:val="21"/>
                <w:szCs w:val="21"/>
                <w:lang w:eastAsia="zh-CN"/>
              </w:rPr>
              <w:t>），</w:t>
            </w:r>
            <w:r>
              <w:rPr>
                <w:rFonts w:hint="eastAsia" w:ascii="宋体" w:hAnsi="宋体" w:eastAsia="宋体" w:cs="宋体"/>
                <w:b/>
                <w:bCs/>
                <w:spacing w:val="-1"/>
                <w:kern w:val="2"/>
                <w:sz w:val="21"/>
                <w:szCs w:val="21"/>
                <w:lang w:eastAsia="zh-CN"/>
              </w:rPr>
              <w:t>应分行填写。</w:t>
            </w:r>
          </w:p>
        </w:tc>
      </w:tr>
      <w:tr w14:paraId="1AAA1D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000" w:type="pct"/>
            <w:gridSpan w:val="8"/>
            <w:vAlign w:val="center"/>
          </w:tcPr>
          <w:p w14:paraId="74CCACCD">
            <w:pPr>
              <w:widowControl w:val="0"/>
              <w:spacing w:line="198" w:lineRule="auto"/>
              <w:ind w:left="2683"/>
              <w:jc w:val="both"/>
              <w:rPr>
                <w:rFonts w:hint="eastAsia" w:ascii="宋体" w:hAnsi="宋体" w:eastAsia="宋体" w:cs="宋体"/>
                <w:kern w:val="2"/>
                <w:sz w:val="21"/>
                <w:szCs w:val="21"/>
                <w:lang w:eastAsia="zh-CN"/>
              </w:rPr>
            </w:pPr>
            <w:r>
              <w:rPr>
                <w:rFonts w:hint="eastAsia" w:ascii="宋体" w:hAnsi="宋体" w:eastAsia="宋体" w:cs="宋体"/>
                <w:b/>
                <w:bCs/>
                <w:kern w:val="2"/>
                <w:sz w:val="21"/>
                <w:szCs w:val="21"/>
                <w:lang w:eastAsia="zh-CN"/>
              </w:rPr>
              <w:t>投标（响应）供应商关联关系情况</w:t>
            </w:r>
          </w:p>
        </w:tc>
      </w:tr>
      <w:tr w14:paraId="02303A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vAlign w:val="center"/>
          </w:tcPr>
          <w:p w14:paraId="6A945C17">
            <w:pPr>
              <w:widowControl w:val="0"/>
              <w:spacing w:line="202" w:lineRule="auto"/>
              <w:ind w:left="145"/>
              <w:jc w:val="both"/>
              <w:rPr>
                <w:rFonts w:hint="eastAsia" w:ascii="宋体" w:hAnsi="宋体" w:eastAsia="宋体" w:cs="宋体"/>
                <w:kern w:val="2"/>
                <w:sz w:val="21"/>
                <w:szCs w:val="21"/>
              </w:rPr>
            </w:pPr>
            <w:r>
              <w:rPr>
                <w:rFonts w:hint="eastAsia" w:ascii="宋体" w:hAnsi="宋体" w:eastAsia="宋体" w:cs="宋体"/>
                <w:spacing w:val="-5"/>
                <w:kern w:val="2"/>
                <w:sz w:val="21"/>
                <w:szCs w:val="21"/>
              </w:rPr>
              <w:t>序号</w:t>
            </w:r>
          </w:p>
        </w:tc>
        <w:tc>
          <w:tcPr>
            <w:tcW w:w="1272" w:type="pct"/>
            <w:gridSpan w:val="2"/>
            <w:vAlign w:val="center"/>
          </w:tcPr>
          <w:p w14:paraId="626B2072">
            <w:pPr>
              <w:widowControl w:val="0"/>
              <w:spacing w:line="202" w:lineRule="auto"/>
              <w:ind w:left="436"/>
              <w:jc w:val="both"/>
              <w:rPr>
                <w:rFonts w:hint="eastAsia" w:ascii="宋体" w:hAnsi="宋体" w:eastAsia="宋体" w:cs="宋体"/>
                <w:kern w:val="2"/>
                <w:sz w:val="21"/>
                <w:szCs w:val="21"/>
              </w:rPr>
            </w:pPr>
            <w:r>
              <w:rPr>
                <w:rFonts w:hint="eastAsia" w:ascii="宋体" w:hAnsi="宋体" w:eastAsia="宋体" w:cs="宋体"/>
                <w:spacing w:val="-3"/>
                <w:kern w:val="2"/>
                <w:sz w:val="21"/>
                <w:szCs w:val="21"/>
              </w:rPr>
              <w:t>关联关系类型</w:t>
            </w:r>
          </w:p>
        </w:tc>
        <w:tc>
          <w:tcPr>
            <w:tcW w:w="970" w:type="pct"/>
            <w:gridSpan w:val="2"/>
            <w:vAlign w:val="center"/>
          </w:tcPr>
          <w:p w14:paraId="51F986B8">
            <w:pPr>
              <w:widowControl w:val="0"/>
              <w:spacing w:line="203" w:lineRule="auto"/>
              <w:ind w:left="166"/>
              <w:jc w:val="both"/>
              <w:rPr>
                <w:rFonts w:hint="eastAsia" w:ascii="宋体" w:hAnsi="宋体" w:eastAsia="宋体" w:cs="宋体"/>
                <w:kern w:val="2"/>
                <w:sz w:val="21"/>
                <w:szCs w:val="21"/>
              </w:rPr>
            </w:pPr>
            <w:r>
              <w:rPr>
                <w:rFonts w:hint="eastAsia" w:ascii="宋体" w:hAnsi="宋体" w:eastAsia="宋体" w:cs="宋体"/>
                <w:spacing w:val="-3"/>
                <w:kern w:val="2"/>
                <w:sz w:val="21"/>
                <w:szCs w:val="21"/>
              </w:rPr>
              <w:t>关联主体名称</w:t>
            </w:r>
          </w:p>
        </w:tc>
        <w:tc>
          <w:tcPr>
            <w:tcW w:w="2346" w:type="pct"/>
            <w:gridSpan w:val="3"/>
            <w:vAlign w:val="center"/>
          </w:tcPr>
          <w:p w14:paraId="72D7500C">
            <w:pPr>
              <w:widowControl w:val="0"/>
              <w:spacing w:line="204" w:lineRule="auto"/>
              <w:ind w:left="1862"/>
              <w:jc w:val="both"/>
              <w:rPr>
                <w:rFonts w:hint="eastAsia" w:ascii="宋体" w:hAnsi="宋体" w:eastAsia="宋体" w:cs="宋体"/>
                <w:kern w:val="2"/>
                <w:sz w:val="21"/>
                <w:szCs w:val="21"/>
              </w:rPr>
            </w:pPr>
            <w:r>
              <w:rPr>
                <w:rFonts w:hint="eastAsia" w:ascii="宋体" w:hAnsi="宋体" w:eastAsia="宋体" w:cs="宋体"/>
                <w:spacing w:val="-4"/>
                <w:kern w:val="2"/>
                <w:sz w:val="21"/>
                <w:szCs w:val="21"/>
              </w:rPr>
              <w:t>备注</w:t>
            </w:r>
          </w:p>
        </w:tc>
      </w:tr>
      <w:tr w14:paraId="149764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2" w:hRule="atLeast"/>
        </w:trPr>
        <w:tc>
          <w:tcPr>
            <w:tcW w:w="411" w:type="pct"/>
            <w:vAlign w:val="center"/>
          </w:tcPr>
          <w:p w14:paraId="7CBA62F8">
            <w:pPr>
              <w:widowControl w:val="0"/>
              <w:spacing w:line="169" w:lineRule="auto"/>
              <w:ind w:left="321"/>
              <w:jc w:val="both"/>
              <w:rPr>
                <w:rFonts w:hint="eastAsia" w:ascii="宋体" w:hAnsi="宋体" w:eastAsia="宋体" w:cs="宋体"/>
                <w:kern w:val="2"/>
                <w:sz w:val="21"/>
                <w:szCs w:val="21"/>
              </w:rPr>
            </w:pPr>
            <w:r>
              <w:rPr>
                <w:rFonts w:hint="eastAsia" w:ascii="宋体" w:hAnsi="宋体" w:eastAsia="宋体" w:cs="宋体"/>
                <w:kern w:val="2"/>
                <w:sz w:val="21"/>
                <w:szCs w:val="21"/>
              </w:rPr>
              <w:t>1</w:t>
            </w:r>
          </w:p>
        </w:tc>
        <w:tc>
          <w:tcPr>
            <w:tcW w:w="1272" w:type="pct"/>
            <w:gridSpan w:val="2"/>
            <w:vAlign w:val="center"/>
          </w:tcPr>
          <w:p w14:paraId="25F7A224">
            <w:pPr>
              <w:widowControl w:val="0"/>
              <w:spacing w:line="203" w:lineRule="auto"/>
              <w:jc w:val="center"/>
              <w:rPr>
                <w:rFonts w:hint="eastAsia" w:ascii="宋体" w:hAnsi="宋体" w:eastAsia="宋体" w:cs="宋体"/>
                <w:kern w:val="2"/>
                <w:sz w:val="21"/>
                <w:szCs w:val="21"/>
              </w:rPr>
            </w:pPr>
            <w:r>
              <w:rPr>
                <w:rFonts w:hint="eastAsia" w:ascii="宋体" w:hAnsi="宋体" w:eastAsia="宋体" w:cs="宋体"/>
                <w:spacing w:val="-5"/>
                <w:kern w:val="2"/>
                <w:sz w:val="21"/>
                <w:szCs w:val="21"/>
                <w:lang w:eastAsia="zh-CN"/>
              </w:rPr>
              <w:t>控股股东</w:t>
            </w:r>
          </w:p>
        </w:tc>
        <w:tc>
          <w:tcPr>
            <w:tcW w:w="970" w:type="pct"/>
            <w:gridSpan w:val="2"/>
            <w:vAlign w:val="center"/>
          </w:tcPr>
          <w:p w14:paraId="2240B7A1">
            <w:pPr>
              <w:widowControl w:val="0"/>
              <w:jc w:val="both"/>
              <w:rPr>
                <w:rFonts w:hint="eastAsia" w:ascii="宋体" w:hAnsi="宋体" w:eastAsia="宋体" w:cs="宋体"/>
                <w:kern w:val="2"/>
                <w:sz w:val="21"/>
                <w:szCs w:val="21"/>
                <w:lang w:eastAsia="zh-CN"/>
              </w:rPr>
            </w:pPr>
          </w:p>
        </w:tc>
        <w:tc>
          <w:tcPr>
            <w:tcW w:w="2346" w:type="pct"/>
            <w:gridSpan w:val="3"/>
            <w:vAlign w:val="center"/>
          </w:tcPr>
          <w:p w14:paraId="3417987B">
            <w:pPr>
              <w:widowControl w:val="0"/>
              <w:jc w:val="both"/>
              <w:rPr>
                <w:rFonts w:hint="eastAsia" w:ascii="宋体" w:hAnsi="宋体" w:eastAsia="宋体" w:cs="宋体"/>
                <w:kern w:val="2"/>
                <w:sz w:val="21"/>
                <w:szCs w:val="21"/>
                <w:lang w:eastAsia="zh-CN"/>
              </w:rPr>
            </w:pPr>
            <w:r>
              <w:rPr>
                <w:rFonts w:hint="eastAsia" w:ascii="宋体" w:hAnsi="宋体" w:eastAsia="宋体" w:cs="宋体"/>
                <w:spacing w:val="-1"/>
                <w:kern w:val="2"/>
                <w:sz w:val="21"/>
                <w:szCs w:val="21"/>
                <w:lang w:eastAsia="zh-CN"/>
              </w:rPr>
              <w:t>指出资额（或持有股份）占投标（响应）供应商资</w:t>
            </w:r>
            <w:r>
              <w:rPr>
                <w:rFonts w:hint="eastAsia" w:ascii="宋体" w:hAnsi="宋体" w:eastAsia="宋体" w:cs="宋体"/>
                <w:spacing w:val="-8"/>
                <w:kern w:val="2"/>
                <w:sz w:val="21"/>
                <w:szCs w:val="21"/>
                <w:lang w:eastAsia="zh-CN"/>
              </w:rPr>
              <w:t>本总额（或股本总额）50%以上的股东，以及出资额</w:t>
            </w:r>
            <w:r>
              <w:rPr>
                <w:rFonts w:hint="eastAsia" w:ascii="宋体" w:hAnsi="宋体" w:eastAsia="宋体" w:cs="宋体"/>
                <w:spacing w:val="-5"/>
                <w:kern w:val="2"/>
                <w:sz w:val="21"/>
                <w:szCs w:val="21"/>
                <w:lang w:eastAsia="zh-CN"/>
              </w:rPr>
              <w:t>（或持有股份）的比例虽然不足50%，但依</w:t>
            </w:r>
            <w:r>
              <w:rPr>
                <w:rFonts w:hint="eastAsia" w:ascii="宋体" w:hAnsi="宋体" w:eastAsia="宋体" w:cs="宋体"/>
                <w:spacing w:val="-6"/>
                <w:kern w:val="2"/>
                <w:sz w:val="21"/>
                <w:szCs w:val="21"/>
                <w:lang w:eastAsia="zh-CN"/>
              </w:rPr>
              <w:t>其出资</w:t>
            </w:r>
            <w:r>
              <w:rPr>
                <w:rFonts w:hint="eastAsia" w:ascii="宋体" w:hAnsi="宋体" w:eastAsia="宋体" w:cs="宋体"/>
                <w:spacing w:val="-9"/>
                <w:kern w:val="2"/>
                <w:sz w:val="21"/>
                <w:szCs w:val="21"/>
                <w:lang w:eastAsia="zh-CN"/>
              </w:rPr>
              <w:t>额（或持有股份）所享有的表决权已足以对投标（响</w:t>
            </w:r>
            <w:r>
              <w:rPr>
                <w:rFonts w:hint="eastAsia" w:ascii="宋体" w:hAnsi="宋体" w:eastAsia="宋体" w:cs="宋体"/>
                <w:kern w:val="2"/>
                <w:sz w:val="21"/>
                <w:szCs w:val="21"/>
                <w:lang w:eastAsia="zh-CN"/>
              </w:rPr>
              <w:t>应）供应商股东会（或股东大会）的决议产生重要</w:t>
            </w:r>
            <w:r>
              <w:rPr>
                <w:rFonts w:hint="eastAsia" w:ascii="宋体" w:hAnsi="宋体" w:eastAsia="宋体" w:cs="宋体"/>
                <w:spacing w:val="6"/>
                <w:kern w:val="2"/>
                <w:sz w:val="21"/>
                <w:szCs w:val="21"/>
                <w:lang w:eastAsia="zh-CN"/>
              </w:rPr>
              <w:t xml:space="preserve"> </w:t>
            </w:r>
            <w:r>
              <w:rPr>
                <w:rFonts w:hint="eastAsia" w:ascii="宋体" w:hAnsi="宋体" w:eastAsia="宋体" w:cs="宋体"/>
                <w:spacing w:val="-2"/>
                <w:kern w:val="2"/>
                <w:sz w:val="21"/>
                <w:szCs w:val="21"/>
                <w:lang w:eastAsia="zh-CN"/>
              </w:rPr>
              <w:t>影响的股东。</w:t>
            </w:r>
          </w:p>
        </w:tc>
      </w:tr>
      <w:tr w14:paraId="3F7BF3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411" w:type="pct"/>
            <w:vAlign w:val="center"/>
          </w:tcPr>
          <w:p w14:paraId="01809D11">
            <w:pPr>
              <w:widowControl w:val="0"/>
              <w:spacing w:line="168" w:lineRule="auto"/>
              <w:ind w:left="322"/>
              <w:jc w:val="both"/>
              <w:rPr>
                <w:rFonts w:hint="eastAsia" w:ascii="宋体" w:hAnsi="宋体" w:eastAsia="宋体" w:cs="宋体"/>
                <w:kern w:val="2"/>
                <w:sz w:val="21"/>
                <w:szCs w:val="21"/>
              </w:rPr>
            </w:pPr>
            <w:r>
              <w:rPr>
                <w:rFonts w:hint="eastAsia" w:ascii="宋体" w:hAnsi="宋体" w:eastAsia="宋体" w:cs="宋体"/>
                <w:kern w:val="2"/>
                <w:sz w:val="21"/>
                <w:szCs w:val="21"/>
              </w:rPr>
              <w:t>2</w:t>
            </w:r>
          </w:p>
        </w:tc>
        <w:tc>
          <w:tcPr>
            <w:tcW w:w="1272" w:type="pct"/>
            <w:gridSpan w:val="2"/>
            <w:vAlign w:val="center"/>
          </w:tcPr>
          <w:p w14:paraId="71CFEC77">
            <w:pPr>
              <w:widowControl w:val="0"/>
              <w:spacing w:line="203" w:lineRule="auto"/>
              <w:jc w:val="center"/>
              <w:rPr>
                <w:rFonts w:hint="eastAsia" w:ascii="宋体" w:hAnsi="宋体" w:eastAsia="宋体" w:cs="宋体"/>
                <w:kern w:val="2"/>
                <w:sz w:val="21"/>
                <w:szCs w:val="21"/>
                <w:lang w:eastAsia="zh-CN"/>
              </w:rPr>
            </w:pPr>
            <w:r>
              <w:rPr>
                <w:rFonts w:hint="eastAsia" w:ascii="宋体" w:hAnsi="宋体" w:eastAsia="宋体" w:cs="宋体"/>
                <w:spacing w:val="-5"/>
                <w:kern w:val="2"/>
                <w:sz w:val="21"/>
                <w:szCs w:val="21"/>
                <w:lang w:eastAsia="zh-CN"/>
              </w:rPr>
              <w:t>管理关系</w:t>
            </w:r>
          </w:p>
        </w:tc>
        <w:tc>
          <w:tcPr>
            <w:tcW w:w="970" w:type="pct"/>
            <w:gridSpan w:val="2"/>
            <w:vAlign w:val="center"/>
          </w:tcPr>
          <w:p w14:paraId="3EDF32F6">
            <w:pPr>
              <w:widowControl w:val="0"/>
              <w:jc w:val="both"/>
              <w:rPr>
                <w:rFonts w:hint="eastAsia" w:ascii="宋体" w:hAnsi="宋体" w:eastAsia="宋体" w:cs="宋体"/>
                <w:kern w:val="2"/>
                <w:sz w:val="21"/>
                <w:szCs w:val="21"/>
                <w:lang w:eastAsia="zh-CN"/>
              </w:rPr>
            </w:pPr>
          </w:p>
        </w:tc>
        <w:tc>
          <w:tcPr>
            <w:tcW w:w="2346" w:type="pct"/>
            <w:gridSpan w:val="3"/>
            <w:vAlign w:val="center"/>
          </w:tcPr>
          <w:p w14:paraId="79FB5DBB">
            <w:pPr>
              <w:widowControl w:val="0"/>
              <w:spacing w:line="190" w:lineRule="auto"/>
              <w:ind w:left="120" w:right="24"/>
              <w:jc w:val="both"/>
              <w:rPr>
                <w:rFonts w:hint="eastAsia" w:ascii="宋体" w:hAnsi="宋体" w:eastAsia="宋体" w:cs="宋体"/>
                <w:kern w:val="2"/>
                <w:sz w:val="21"/>
                <w:szCs w:val="21"/>
                <w:lang w:eastAsia="zh-CN"/>
              </w:rPr>
            </w:pPr>
            <w:r>
              <w:rPr>
                <w:rFonts w:hint="eastAsia" w:ascii="宋体" w:hAnsi="宋体" w:eastAsia="宋体" w:cs="宋体"/>
                <w:spacing w:val="-8"/>
                <w:kern w:val="2"/>
                <w:sz w:val="21"/>
                <w:szCs w:val="21"/>
                <w:lang w:eastAsia="zh-CN"/>
              </w:rPr>
              <w:t>指对投标（响应）供应商不具有出资持</w:t>
            </w:r>
            <w:r>
              <w:rPr>
                <w:rFonts w:hint="eastAsia" w:ascii="宋体" w:hAnsi="宋体" w:eastAsia="宋体" w:cs="宋体"/>
                <w:spacing w:val="-3"/>
                <w:kern w:val="2"/>
                <w:sz w:val="21"/>
                <w:szCs w:val="21"/>
                <w:lang w:eastAsia="zh-CN"/>
              </w:rPr>
              <w:t>股关系，但对其存在管理关系的主体。</w:t>
            </w:r>
          </w:p>
        </w:tc>
      </w:tr>
      <w:tr w14:paraId="1AA6F9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5000" w:type="pct"/>
            <w:gridSpan w:val="8"/>
            <w:vAlign w:val="center"/>
          </w:tcPr>
          <w:p w14:paraId="6EAA38BC">
            <w:pPr>
              <w:widowControl w:val="0"/>
              <w:spacing w:line="180" w:lineRule="auto"/>
              <w:ind w:left="120"/>
              <w:jc w:val="both"/>
              <w:rPr>
                <w:rFonts w:hint="eastAsia" w:ascii="宋体" w:hAnsi="宋体" w:eastAsia="宋体" w:cs="宋体"/>
                <w:kern w:val="2"/>
                <w:sz w:val="21"/>
                <w:szCs w:val="21"/>
                <w:lang w:eastAsia="zh-CN"/>
              </w:rPr>
            </w:pPr>
            <w:r>
              <w:rPr>
                <w:rFonts w:hint="eastAsia" w:ascii="宋体" w:hAnsi="宋体" w:eastAsia="宋体" w:cs="宋体"/>
                <w:b/>
                <w:bCs/>
                <w:spacing w:val="-1"/>
                <w:kern w:val="2"/>
                <w:sz w:val="21"/>
                <w:szCs w:val="21"/>
                <w:lang w:eastAsia="zh-CN"/>
              </w:rPr>
              <w:t>说明：同一关联关系类型有多个主体的，应分行填写。</w:t>
            </w:r>
          </w:p>
        </w:tc>
      </w:tr>
    </w:tbl>
    <w:p w14:paraId="495B1CE7">
      <w:pPr>
        <w:widowControl w:val="0"/>
        <w:ind w:left="720" w:hanging="723" w:hangingChars="300"/>
        <w:jc w:val="both"/>
        <w:rPr>
          <w:rFonts w:eastAsia="宋体"/>
          <w:b/>
          <w:kern w:val="2"/>
          <w:lang w:eastAsia="zh-CN"/>
        </w:rPr>
      </w:pPr>
    </w:p>
    <w:p w14:paraId="02F5E2B8">
      <w:pPr>
        <w:widowControl w:val="0"/>
        <w:spacing w:before="260" w:after="260" w:line="240" w:lineRule="auto"/>
        <w:jc w:val="center"/>
        <w:outlineLvl w:val="2"/>
        <w:rPr>
          <w:rFonts w:hint="eastAsia" w:ascii="黑体" w:hAnsi="宋体" w:eastAsia="黑体"/>
          <w:kern w:val="2"/>
          <w:lang w:eastAsia="zh-CN"/>
        </w:rPr>
      </w:pPr>
      <w:r>
        <w:rPr>
          <w:rFonts w:hint="eastAsia" w:ascii="黑体" w:hAnsi="宋体" w:eastAsia="黑体"/>
          <w:kern w:val="2"/>
          <w:lang w:eastAsia="zh-CN"/>
        </w:rPr>
        <w:t>四、项目详细报价</w:t>
      </w:r>
    </w:p>
    <w:p w14:paraId="797C06B3">
      <w:pPr>
        <w:widowControl w:val="0"/>
        <w:spacing w:line="360" w:lineRule="auto"/>
        <w:jc w:val="both"/>
        <w:rPr>
          <w:rFonts w:eastAsia="宋体"/>
          <w:kern w:val="2"/>
          <w:lang w:eastAsia="zh-CN"/>
        </w:rPr>
      </w:pPr>
    </w:p>
    <w:p w14:paraId="3B69D822">
      <w:pPr>
        <w:widowControl w:val="0"/>
        <w:tabs>
          <w:tab w:val="left" w:pos="720"/>
        </w:tabs>
        <w:ind w:firstLine="3132" w:firstLineChars="1300"/>
        <w:jc w:val="both"/>
        <w:rPr>
          <w:rFonts w:hint="eastAsia" w:ascii="宋体" w:hAnsi="宋体" w:eastAsia="宋体" w:cs="宋体"/>
          <w:b/>
          <w:kern w:val="2"/>
          <w:lang w:eastAsia="zh-CN"/>
        </w:rPr>
      </w:pPr>
      <w:r>
        <w:rPr>
          <w:rFonts w:hint="eastAsia" w:ascii="宋体" w:hAnsi="宋体" w:eastAsia="宋体" w:cs="宋体"/>
          <w:b/>
          <w:kern w:val="2"/>
          <w:lang w:eastAsia="zh-CN"/>
        </w:rPr>
        <w:t>（一）分项报价表</w:t>
      </w:r>
    </w:p>
    <w:p w14:paraId="45B797C5">
      <w:pPr>
        <w:widowControl w:val="0"/>
        <w:spacing w:line="360" w:lineRule="auto"/>
        <w:ind w:firstLine="482"/>
        <w:jc w:val="both"/>
        <w:rPr>
          <w:rFonts w:hint="eastAsia" w:ascii="宋体" w:hAnsi="宋体" w:eastAsia="宋体" w:cs="宋体"/>
          <w:b/>
          <w:bCs/>
          <w:kern w:val="2"/>
          <w:lang w:eastAsia="zh-CN"/>
        </w:rPr>
      </w:pPr>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2"/>
        <w:gridCol w:w="2699"/>
        <w:gridCol w:w="858"/>
        <w:gridCol w:w="1000"/>
        <w:gridCol w:w="1603"/>
        <w:gridCol w:w="1607"/>
      </w:tblGrid>
      <w:tr w14:paraId="074F1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9" w:hRule="atLeast"/>
          <w:jc w:val="center"/>
        </w:trPr>
        <w:tc>
          <w:tcPr>
            <w:tcW w:w="447" w:type="pct"/>
            <w:shd w:val="clear" w:color="auto" w:fill="auto"/>
            <w:noWrap w:val="0"/>
            <w:vAlign w:val="center"/>
          </w:tcPr>
          <w:p w14:paraId="6C9E69E0">
            <w:pPr>
              <w:keepLines w:val="0"/>
              <w:pageBreakBefore w:val="0"/>
              <w:widowControl w:val="0"/>
              <w:kinsoku/>
              <w:wordWrap/>
              <w:overflowPunct/>
              <w:topLinePunct w:val="0"/>
              <w:autoSpaceDE/>
              <w:autoSpaceDN/>
              <w:bidi w:val="0"/>
              <w:adjustRightInd w:val="0"/>
              <w:snapToGrid w:val="0"/>
              <w:spacing w:line="240" w:lineRule="auto"/>
              <w:jc w:val="center"/>
              <w:rPr>
                <w:rFonts w:ascii="宋体" w:hAnsi="宋体" w:eastAsia="宋体" w:cs="宋体"/>
                <w:bCs/>
                <w:kern w:val="2"/>
                <w:sz w:val="21"/>
                <w:szCs w:val="21"/>
                <w:lang w:eastAsia="zh-CN"/>
              </w:rPr>
            </w:pPr>
            <w:r>
              <w:rPr>
                <w:rFonts w:hint="eastAsia" w:ascii="宋体" w:hAnsi="宋体" w:eastAsia="宋体" w:cs="宋体"/>
                <w:bCs/>
                <w:kern w:val="2"/>
                <w:sz w:val="21"/>
                <w:szCs w:val="21"/>
                <w:lang w:eastAsia="zh-CN"/>
              </w:rPr>
              <w:t>序号</w:t>
            </w:r>
          </w:p>
        </w:tc>
        <w:tc>
          <w:tcPr>
            <w:tcW w:w="1582" w:type="pct"/>
            <w:shd w:val="clear" w:color="auto" w:fill="auto"/>
            <w:noWrap w:val="0"/>
            <w:vAlign w:val="center"/>
          </w:tcPr>
          <w:p w14:paraId="70BFB3A7">
            <w:pPr>
              <w:keepLines w:val="0"/>
              <w:pageBreakBefore w:val="0"/>
              <w:widowControl w:val="0"/>
              <w:kinsoku/>
              <w:wordWrap/>
              <w:overflowPunct/>
              <w:topLinePunct w:val="0"/>
              <w:autoSpaceDE/>
              <w:autoSpaceDN/>
              <w:bidi w:val="0"/>
              <w:adjustRightInd w:val="0"/>
              <w:snapToGrid w:val="0"/>
              <w:spacing w:line="240" w:lineRule="auto"/>
              <w:jc w:val="center"/>
              <w:rPr>
                <w:rFonts w:hint="eastAsia" w:ascii="宋体" w:hAnsi="宋体" w:eastAsia="宋体" w:cs="宋体"/>
                <w:bCs/>
                <w:kern w:val="2"/>
                <w:sz w:val="21"/>
                <w:szCs w:val="21"/>
                <w:lang w:eastAsia="zh-CN"/>
              </w:rPr>
            </w:pPr>
            <w:r>
              <w:rPr>
                <w:rFonts w:hint="eastAsia" w:ascii="宋体" w:hAnsi="宋体" w:eastAsia="宋体" w:cs="宋体"/>
                <w:bCs/>
                <w:kern w:val="2"/>
                <w:sz w:val="21"/>
                <w:szCs w:val="21"/>
                <w:lang w:eastAsia="zh-CN"/>
              </w:rPr>
              <w:t>采购内容</w:t>
            </w:r>
          </w:p>
        </w:tc>
        <w:tc>
          <w:tcPr>
            <w:tcW w:w="503" w:type="pct"/>
            <w:shd w:val="clear" w:color="auto" w:fill="auto"/>
            <w:noWrap w:val="0"/>
            <w:vAlign w:val="center"/>
          </w:tcPr>
          <w:p w14:paraId="7F2EBBAF">
            <w:pPr>
              <w:keepLines w:val="0"/>
              <w:pageBreakBefore w:val="0"/>
              <w:widowControl w:val="0"/>
              <w:kinsoku/>
              <w:wordWrap/>
              <w:overflowPunct/>
              <w:topLinePunct w:val="0"/>
              <w:autoSpaceDE/>
              <w:autoSpaceDN/>
              <w:bidi w:val="0"/>
              <w:adjustRightInd w:val="0"/>
              <w:snapToGrid w:val="0"/>
              <w:spacing w:line="240" w:lineRule="auto"/>
              <w:jc w:val="center"/>
              <w:rPr>
                <w:rFonts w:hint="eastAsia" w:ascii="宋体" w:hAnsi="宋体" w:eastAsia="宋体" w:cs="宋体"/>
                <w:bCs/>
                <w:kern w:val="2"/>
                <w:sz w:val="21"/>
                <w:szCs w:val="21"/>
                <w:lang w:eastAsia="zh-CN"/>
              </w:rPr>
            </w:pPr>
            <w:r>
              <w:rPr>
                <w:rFonts w:hint="eastAsia" w:ascii="宋体" w:hAnsi="宋体" w:eastAsia="宋体" w:cs="宋体"/>
                <w:bCs/>
                <w:kern w:val="2"/>
                <w:sz w:val="21"/>
                <w:szCs w:val="21"/>
                <w:lang w:eastAsia="zh-CN"/>
              </w:rPr>
              <w:t>数量</w:t>
            </w:r>
          </w:p>
        </w:tc>
        <w:tc>
          <w:tcPr>
            <w:tcW w:w="585" w:type="pct"/>
            <w:shd w:val="clear" w:color="auto" w:fill="auto"/>
            <w:noWrap w:val="0"/>
            <w:vAlign w:val="center"/>
          </w:tcPr>
          <w:p w14:paraId="2C1F156E">
            <w:pPr>
              <w:keepLines w:val="0"/>
              <w:pageBreakBefore w:val="0"/>
              <w:widowControl w:val="0"/>
              <w:kinsoku/>
              <w:wordWrap/>
              <w:overflowPunct/>
              <w:topLinePunct w:val="0"/>
              <w:autoSpaceDE/>
              <w:autoSpaceDN/>
              <w:bidi w:val="0"/>
              <w:adjustRightInd w:val="0"/>
              <w:snapToGrid w:val="0"/>
              <w:spacing w:line="240" w:lineRule="auto"/>
              <w:jc w:val="center"/>
              <w:rPr>
                <w:rFonts w:hint="eastAsia" w:ascii="宋体" w:hAnsi="宋体" w:eastAsia="宋体" w:cs="宋体"/>
                <w:bCs/>
                <w:kern w:val="2"/>
                <w:sz w:val="21"/>
                <w:szCs w:val="21"/>
                <w:lang w:eastAsia="zh-CN"/>
              </w:rPr>
            </w:pPr>
            <w:r>
              <w:rPr>
                <w:rFonts w:hint="eastAsia" w:ascii="宋体" w:hAnsi="宋体" w:eastAsia="宋体" w:cs="宋体"/>
                <w:bCs/>
                <w:kern w:val="2"/>
                <w:sz w:val="21"/>
                <w:szCs w:val="21"/>
                <w:lang w:eastAsia="zh-CN"/>
              </w:rPr>
              <w:t>单位</w:t>
            </w:r>
          </w:p>
        </w:tc>
        <w:tc>
          <w:tcPr>
            <w:tcW w:w="940" w:type="pct"/>
            <w:shd w:val="clear" w:color="auto" w:fill="auto"/>
            <w:noWrap w:val="0"/>
            <w:vAlign w:val="center"/>
          </w:tcPr>
          <w:p w14:paraId="6900AABC">
            <w:pPr>
              <w:keepLines w:val="0"/>
              <w:pageBreakBefore w:val="0"/>
              <w:widowControl w:val="0"/>
              <w:kinsoku/>
              <w:wordWrap/>
              <w:overflowPunct/>
              <w:topLinePunct w:val="0"/>
              <w:autoSpaceDE/>
              <w:autoSpaceDN/>
              <w:bidi w:val="0"/>
              <w:adjustRightInd w:val="0"/>
              <w:snapToGrid w:val="0"/>
              <w:spacing w:line="240" w:lineRule="auto"/>
              <w:jc w:val="center"/>
              <w:rPr>
                <w:rFonts w:hint="eastAsia" w:ascii="宋体" w:hAnsi="宋体" w:eastAsia="宋体" w:cs="宋体"/>
                <w:b/>
                <w:kern w:val="2"/>
                <w:sz w:val="21"/>
                <w:szCs w:val="21"/>
                <w:lang w:eastAsia="zh-CN"/>
              </w:rPr>
            </w:pPr>
            <w:r>
              <w:rPr>
                <w:rFonts w:hint="eastAsia" w:ascii="宋体" w:hAnsi="宋体" w:eastAsia="宋体" w:cs="宋体"/>
                <w:b/>
                <w:kern w:val="2"/>
                <w:sz w:val="21"/>
                <w:szCs w:val="21"/>
                <w:lang w:eastAsia="zh-CN"/>
              </w:rPr>
              <w:t>费用报价（元）</w:t>
            </w:r>
          </w:p>
        </w:tc>
        <w:tc>
          <w:tcPr>
            <w:tcW w:w="941" w:type="pct"/>
            <w:shd w:val="clear" w:color="auto" w:fill="auto"/>
            <w:noWrap w:val="0"/>
            <w:vAlign w:val="center"/>
          </w:tcPr>
          <w:p w14:paraId="58C5D7B3">
            <w:pPr>
              <w:keepLines w:val="0"/>
              <w:pageBreakBefore w:val="0"/>
              <w:widowControl w:val="0"/>
              <w:kinsoku/>
              <w:wordWrap/>
              <w:overflowPunct/>
              <w:topLinePunct w:val="0"/>
              <w:autoSpaceDE/>
              <w:autoSpaceDN/>
              <w:bidi w:val="0"/>
              <w:adjustRightInd w:val="0"/>
              <w:snapToGrid w:val="0"/>
              <w:spacing w:line="240" w:lineRule="auto"/>
              <w:jc w:val="center"/>
              <w:rPr>
                <w:rFonts w:hint="eastAsia" w:ascii="宋体" w:hAnsi="宋体" w:eastAsia="宋体" w:cs="宋体"/>
                <w:b/>
                <w:kern w:val="2"/>
                <w:sz w:val="21"/>
                <w:szCs w:val="21"/>
                <w:lang w:eastAsia="zh-CN"/>
              </w:rPr>
            </w:pPr>
            <w:r>
              <w:rPr>
                <w:rFonts w:hint="eastAsia" w:ascii="宋体" w:hAnsi="宋体" w:eastAsia="宋体" w:cs="宋体"/>
                <w:b/>
                <w:kern w:val="2"/>
                <w:sz w:val="21"/>
                <w:szCs w:val="21"/>
                <w:lang w:eastAsia="zh-CN"/>
              </w:rPr>
              <w:t>财政预算金额（元）</w:t>
            </w:r>
          </w:p>
        </w:tc>
      </w:tr>
      <w:tr w14:paraId="44CE3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6" w:hRule="atLeast"/>
          <w:jc w:val="center"/>
        </w:trPr>
        <w:tc>
          <w:tcPr>
            <w:tcW w:w="5000" w:type="pct"/>
            <w:gridSpan w:val="6"/>
            <w:shd w:val="clear" w:color="auto" w:fill="FFFFFF"/>
            <w:noWrap w:val="0"/>
            <w:vAlign w:val="center"/>
          </w:tcPr>
          <w:p w14:paraId="21C2D495">
            <w:pPr>
              <w:keepLines w:val="0"/>
              <w:pageBreakBefore w:val="0"/>
              <w:widowControl w:val="0"/>
              <w:kinsoku/>
              <w:wordWrap/>
              <w:overflowPunct/>
              <w:topLinePunct w:val="0"/>
              <w:autoSpaceDE/>
              <w:autoSpaceDN/>
              <w:bidi w:val="0"/>
              <w:adjustRightInd w:val="0"/>
              <w:snapToGrid w:val="0"/>
              <w:spacing w:line="240" w:lineRule="auto"/>
              <w:jc w:val="center"/>
              <w:rPr>
                <w:rFonts w:hint="eastAsia" w:ascii="宋体" w:hAnsi="宋体" w:eastAsia="宋体" w:cs="宋体"/>
                <w:b/>
                <w:kern w:val="2"/>
                <w:sz w:val="21"/>
                <w:szCs w:val="21"/>
                <w:lang w:eastAsia="zh-CN"/>
              </w:rPr>
            </w:pPr>
            <w:r>
              <w:rPr>
                <w:rFonts w:hint="eastAsia" w:ascii="宋体" w:hAnsi="宋体" w:eastAsia="宋体" w:cs="宋体"/>
                <w:b/>
                <w:kern w:val="2"/>
                <w:sz w:val="21"/>
                <w:szCs w:val="21"/>
                <w:lang w:eastAsia="zh-CN"/>
              </w:rPr>
              <w:t>一、深圳市医疗保障局医保基金预警监测和监管协同处置平台项目测评服务</w:t>
            </w:r>
          </w:p>
        </w:tc>
      </w:tr>
      <w:tr w14:paraId="0B959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6" w:hRule="atLeast"/>
          <w:jc w:val="center"/>
        </w:trPr>
        <w:tc>
          <w:tcPr>
            <w:tcW w:w="447" w:type="pct"/>
            <w:noWrap w:val="0"/>
            <w:vAlign w:val="center"/>
          </w:tcPr>
          <w:p w14:paraId="3F3DF6FC">
            <w:pPr>
              <w:keepLines w:val="0"/>
              <w:pageBreakBefore w:val="0"/>
              <w:widowControl w:val="0"/>
              <w:kinsoku/>
              <w:wordWrap/>
              <w:overflowPunct/>
              <w:topLinePunct w:val="0"/>
              <w:autoSpaceDE/>
              <w:autoSpaceDN/>
              <w:bidi w:val="0"/>
              <w:adjustRightInd w:val="0"/>
              <w:snapToGrid w:val="0"/>
              <w:spacing w:line="240" w:lineRule="auto"/>
              <w:jc w:val="center"/>
              <w:rPr>
                <w:rFonts w:ascii="宋体" w:hAnsi="宋体" w:eastAsia="宋体" w:cs="宋体"/>
                <w:bCs/>
                <w:kern w:val="2"/>
                <w:sz w:val="21"/>
                <w:szCs w:val="21"/>
                <w:lang w:eastAsia="zh-CN"/>
              </w:rPr>
            </w:pPr>
            <w:r>
              <w:rPr>
                <w:rFonts w:hint="eastAsia" w:ascii="宋体" w:hAnsi="宋体" w:eastAsia="宋体" w:cs="宋体"/>
                <w:bCs/>
                <w:kern w:val="2"/>
                <w:sz w:val="21"/>
                <w:szCs w:val="21"/>
                <w:lang w:eastAsia="zh-CN"/>
              </w:rPr>
              <w:t>1</w:t>
            </w:r>
          </w:p>
        </w:tc>
        <w:tc>
          <w:tcPr>
            <w:tcW w:w="1582" w:type="pct"/>
            <w:noWrap w:val="0"/>
            <w:vAlign w:val="center"/>
          </w:tcPr>
          <w:p w14:paraId="61AD1264">
            <w:pPr>
              <w:keepLines w:val="0"/>
              <w:pageBreakBefore w:val="0"/>
              <w:widowControl w:val="0"/>
              <w:kinsoku/>
              <w:wordWrap/>
              <w:overflowPunct/>
              <w:topLinePunct w:val="0"/>
              <w:autoSpaceDE/>
              <w:autoSpaceDN/>
              <w:bidi w:val="0"/>
              <w:adjustRightInd w:val="0"/>
              <w:snapToGrid w:val="0"/>
              <w:spacing w:line="240" w:lineRule="auto"/>
              <w:jc w:val="left"/>
              <w:rPr>
                <w:rFonts w:ascii="宋体" w:hAnsi="宋体" w:eastAsia="宋体" w:cs="宋体"/>
                <w:bCs/>
                <w:kern w:val="2"/>
                <w:sz w:val="21"/>
                <w:szCs w:val="21"/>
                <w:lang w:eastAsia="zh-CN"/>
              </w:rPr>
            </w:pPr>
            <w:r>
              <w:rPr>
                <w:rFonts w:ascii="宋体" w:hAnsi="宋体" w:eastAsia="宋体" w:cs="宋体"/>
                <w:kern w:val="2"/>
                <w:sz w:val="21"/>
                <w:szCs w:val="21"/>
                <w:lang w:eastAsia="zh-CN"/>
              </w:rPr>
              <w:t>网络安全等级保护测评服务</w:t>
            </w:r>
            <w:r>
              <w:rPr>
                <w:rFonts w:hint="eastAsia" w:ascii="宋体" w:hAnsi="宋体" w:eastAsia="宋体" w:cs="宋体"/>
                <w:kern w:val="2"/>
                <w:sz w:val="21"/>
                <w:szCs w:val="21"/>
                <w:lang w:eastAsia="zh-CN"/>
              </w:rPr>
              <w:t>和信创符合性审查</w:t>
            </w:r>
          </w:p>
        </w:tc>
        <w:tc>
          <w:tcPr>
            <w:tcW w:w="503" w:type="pct"/>
            <w:noWrap w:val="0"/>
            <w:vAlign w:val="center"/>
          </w:tcPr>
          <w:p w14:paraId="2BDF1E66">
            <w:pPr>
              <w:widowControl w:val="0"/>
              <w:jc w:val="center"/>
              <w:rPr>
                <w:rFonts w:hint="eastAsia" w:ascii="宋体" w:hAnsi="宋体" w:eastAsia="宋体" w:cs="宋体"/>
                <w:bCs/>
                <w:kern w:val="2"/>
                <w:sz w:val="21"/>
                <w:szCs w:val="21"/>
                <w:lang w:eastAsia="zh-CN"/>
              </w:rPr>
            </w:pPr>
            <w:r>
              <w:rPr>
                <w:rFonts w:hint="eastAsia" w:ascii="宋体" w:hAnsi="宋体" w:eastAsia="宋体" w:cs="宋体"/>
                <w:kern w:val="2"/>
                <w:sz w:val="21"/>
                <w:lang w:eastAsia="zh-CN"/>
              </w:rPr>
              <w:t>1</w:t>
            </w:r>
          </w:p>
        </w:tc>
        <w:tc>
          <w:tcPr>
            <w:tcW w:w="585" w:type="pct"/>
            <w:noWrap w:val="0"/>
            <w:vAlign w:val="center"/>
          </w:tcPr>
          <w:p w14:paraId="55B66316">
            <w:pPr>
              <w:widowControl w:val="0"/>
              <w:jc w:val="center"/>
              <w:rPr>
                <w:rFonts w:hint="eastAsia" w:ascii="宋体" w:hAnsi="宋体" w:eastAsia="宋体" w:cs="宋体"/>
                <w:bCs/>
                <w:kern w:val="2"/>
                <w:sz w:val="21"/>
                <w:szCs w:val="21"/>
                <w:lang w:eastAsia="zh-CN"/>
              </w:rPr>
            </w:pPr>
            <w:r>
              <w:rPr>
                <w:rFonts w:hint="eastAsia" w:ascii="宋体" w:hAnsi="宋体" w:eastAsia="宋体" w:cs="宋体"/>
                <w:bCs/>
                <w:kern w:val="2"/>
                <w:sz w:val="21"/>
                <w:szCs w:val="21"/>
                <w:lang w:eastAsia="zh-CN"/>
              </w:rPr>
              <w:t>项</w:t>
            </w:r>
          </w:p>
        </w:tc>
        <w:tc>
          <w:tcPr>
            <w:tcW w:w="940" w:type="pct"/>
            <w:noWrap w:val="0"/>
            <w:vAlign w:val="center"/>
          </w:tcPr>
          <w:p w14:paraId="2E00F113">
            <w:pPr>
              <w:keepNext/>
              <w:keepLines w:val="0"/>
              <w:pageBreakBefore w:val="0"/>
              <w:widowControl w:val="0"/>
              <w:kinsoku/>
              <w:wordWrap/>
              <w:overflowPunct/>
              <w:topLinePunct w:val="0"/>
              <w:autoSpaceDE/>
              <w:autoSpaceDN/>
              <w:bidi w:val="0"/>
              <w:adjustRightInd w:val="0"/>
              <w:snapToGrid w:val="0"/>
              <w:spacing w:before="0" w:after="0" w:line="240" w:lineRule="auto"/>
              <w:jc w:val="center"/>
              <w:rPr>
                <w:rFonts w:hint="eastAsia" w:ascii="宋体" w:hAnsi="宋体" w:eastAsia="宋体" w:cs="宋体"/>
                <w:color w:val="000000"/>
                <w:sz w:val="21"/>
                <w:szCs w:val="21"/>
                <w:lang w:eastAsia="zh-CN"/>
              </w:rPr>
            </w:pPr>
          </w:p>
        </w:tc>
        <w:tc>
          <w:tcPr>
            <w:tcW w:w="941" w:type="pct"/>
            <w:noWrap w:val="0"/>
            <w:vAlign w:val="center"/>
          </w:tcPr>
          <w:p w14:paraId="14977E99">
            <w:pPr>
              <w:keepNext/>
              <w:keepLines w:val="0"/>
              <w:pageBreakBefore w:val="0"/>
              <w:widowControl w:val="0"/>
              <w:kinsoku/>
              <w:wordWrap/>
              <w:overflowPunct/>
              <w:topLinePunct w:val="0"/>
              <w:autoSpaceDE/>
              <w:autoSpaceDN/>
              <w:bidi w:val="0"/>
              <w:adjustRightInd w:val="0"/>
              <w:snapToGrid w:val="0"/>
              <w:spacing w:before="0" w:after="0" w:line="240" w:lineRule="auto"/>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4</w:t>
            </w:r>
            <w:r>
              <w:rPr>
                <w:rFonts w:ascii="宋体" w:hAnsi="宋体" w:eastAsia="宋体" w:cs="宋体"/>
                <w:color w:val="000000"/>
                <w:sz w:val="21"/>
                <w:szCs w:val="21"/>
                <w:lang w:eastAsia="zh-CN"/>
              </w:rPr>
              <w:t>4</w:t>
            </w:r>
            <w:r>
              <w:rPr>
                <w:rFonts w:hint="eastAsia" w:ascii="宋体" w:hAnsi="宋体" w:eastAsia="宋体" w:cs="宋体"/>
                <w:color w:val="000000"/>
                <w:sz w:val="21"/>
                <w:szCs w:val="21"/>
                <w:lang w:eastAsia="zh-CN"/>
              </w:rPr>
              <w:t>,000</w:t>
            </w:r>
            <w:r>
              <w:rPr>
                <w:rFonts w:ascii="宋体" w:hAnsi="宋体" w:eastAsia="宋体" w:cs="宋体"/>
                <w:color w:val="000000"/>
                <w:sz w:val="21"/>
                <w:szCs w:val="21"/>
                <w:lang w:eastAsia="zh-CN"/>
              </w:rPr>
              <w:t>.00</w:t>
            </w:r>
          </w:p>
        </w:tc>
      </w:tr>
      <w:tr w14:paraId="2F402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6" w:hRule="atLeast"/>
          <w:jc w:val="center"/>
        </w:trPr>
        <w:tc>
          <w:tcPr>
            <w:tcW w:w="447" w:type="pct"/>
            <w:noWrap w:val="0"/>
            <w:vAlign w:val="center"/>
          </w:tcPr>
          <w:p w14:paraId="2818E536">
            <w:pPr>
              <w:keepLines w:val="0"/>
              <w:pageBreakBefore w:val="0"/>
              <w:widowControl w:val="0"/>
              <w:kinsoku/>
              <w:wordWrap/>
              <w:overflowPunct/>
              <w:topLinePunct w:val="0"/>
              <w:autoSpaceDE/>
              <w:autoSpaceDN/>
              <w:bidi w:val="0"/>
              <w:adjustRightInd w:val="0"/>
              <w:snapToGrid w:val="0"/>
              <w:spacing w:line="240" w:lineRule="auto"/>
              <w:jc w:val="center"/>
              <w:rPr>
                <w:rFonts w:ascii="宋体" w:hAnsi="宋体" w:eastAsia="宋体" w:cs="宋体"/>
                <w:bCs/>
                <w:kern w:val="2"/>
                <w:sz w:val="21"/>
                <w:szCs w:val="21"/>
                <w:lang w:eastAsia="zh-CN"/>
              </w:rPr>
            </w:pPr>
            <w:r>
              <w:rPr>
                <w:rFonts w:hint="eastAsia" w:ascii="宋体" w:hAnsi="宋体" w:eastAsia="宋体" w:cs="宋体"/>
                <w:bCs/>
                <w:kern w:val="2"/>
                <w:sz w:val="21"/>
                <w:szCs w:val="21"/>
                <w:lang w:eastAsia="zh-CN"/>
              </w:rPr>
              <w:t>2</w:t>
            </w:r>
          </w:p>
        </w:tc>
        <w:tc>
          <w:tcPr>
            <w:tcW w:w="1582" w:type="pct"/>
            <w:noWrap w:val="0"/>
            <w:vAlign w:val="center"/>
          </w:tcPr>
          <w:p w14:paraId="6B55D37A">
            <w:pPr>
              <w:keepLines w:val="0"/>
              <w:pageBreakBefore w:val="0"/>
              <w:widowControl w:val="0"/>
              <w:kinsoku/>
              <w:wordWrap/>
              <w:overflowPunct/>
              <w:topLinePunct w:val="0"/>
              <w:autoSpaceDE/>
              <w:autoSpaceDN/>
              <w:bidi w:val="0"/>
              <w:adjustRightInd w:val="0"/>
              <w:snapToGrid w:val="0"/>
              <w:spacing w:line="240" w:lineRule="auto"/>
              <w:jc w:val="left"/>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商用密码应用安全性评估服务</w:t>
            </w:r>
          </w:p>
        </w:tc>
        <w:tc>
          <w:tcPr>
            <w:tcW w:w="503" w:type="pct"/>
            <w:noWrap w:val="0"/>
            <w:vAlign w:val="center"/>
          </w:tcPr>
          <w:p w14:paraId="0EE05FCD">
            <w:pPr>
              <w:widowControl w:val="0"/>
              <w:jc w:val="center"/>
              <w:rPr>
                <w:rFonts w:hint="eastAsia" w:ascii="宋体" w:hAnsi="宋体" w:eastAsia="宋体" w:cs="宋体"/>
                <w:bCs/>
                <w:kern w:val="2"/>
                <w:sz w:val="21"/>
                <w:szCs w:val="21"/>
                <w:lang w:eastAsia="zh-CN"/>
              </w:rPr>
            </w:pPr>
            <w:r>
              <w:rPr>
                <w:rFonts w:hint="eastAsia" w:ascii="宋体" w:hAnsi="宋体" w:eastAsia="宋体" w:cs="宋体"/>
                <w:kern w:val="2"/>
                <w:sz w:val="21"/>
                <w:lang w:eastAsia="zh-CN"/>
              </w:rPr>
              <w:t>1</w:t>
            </w:r>
          </w:p>
        </w:tc>
        <w:tc>
          <w:tcPr>
            <w:tcW w:w="585" w:type="pct"/>
            <w:noWrap w:val="0"/>
            <w:vAlign w:val="center"/>
          </w:tcPr>
          <w:p w14:paraId="61EA2574">
            <w:pPr>
              <w:widowControl w:val="0"/>
              <w:jc w:val="center"/>
              <w:rPr>
                <w:rFonts w:hint="eastAsia" w:ascii="宋体" w:hAnsi="宋体" w:eastAsia="宋体" w:cs="宋体"/>
                <w:bCs/>
                <w:kern w:val="2"/>
                <w:sz w:val="21"/>
                <w:szCs w:val="21"/>
                <w:lang w:eastAsia="zh-CN"/>
              </w:rPr>
            </w:pPr>
            <w:r>
              <w:rPr>
                <w:rFonts w:hint="eastAsia" w:ascii="宋体" w:hAnsi="宋体" w:eastAsia="宋体" w:cs="宋体"/>
                <w:bCs/>
                <w:kern w:val="2"/>
                <w:sz w:val="21"/>
                <w:szCs w:val="21"/>
                <w:lang w:eastAsia="zh-CN"/>
              </w:rPr>
              <w:t>项</w:t>
            </w:r>
          </w:p>
        </w:tc>
        <w:tc>
          <w:tcPr>
            <w:tcW w:w="940" w:type="pct"/>
            <w:noWrap w:val="0"/>
            <w:vAlign w:val="center"/>
          </w:tcPr>
          <w:p w14:paraId="5F4D910F">
            <w:pPr>
              <w:keepNext/>
              <w:keepLines w:val="0"/>
              <w:pageBreakBefore w:val="0"/>
              <w:widowControl w:val="0"/>
              <w:kinsoku/>
              <w:wordWrap/>
              <w:overflowPunct/>
              <w:topLinePunct w:val="0"/>
              <w:autoSpaceDE/>
              <w:autoSpaceDN/>
              <w:bidi w:val="0"/>
              <w:adjustRightInd w:val="0"/>
              <w:snapToGrid w:val="0"/>
              <w:spacing w:before="0" w:after="0" w:line="240" w:lineRule="auto"/>
              <w:jc w:val="center"/>
              <w:rPr>
                <w:rFonts w:hint="eastAsia" w:ascii="宋体" w:hAnsi="宋体" w:eastAsia="宋体" w:cs="宋体"/>
                <w:color w:val="000000"/>
                <w:sz w:val="21"/>
                <w:szCs w:val="21"/>
                <w:lang w:eastAsia="zh-CN"/>
              </w:rPr>
            </w:pPr>
          </w:p>
        </w:tc>
        <w:tc>
          <w:tcPr>
            <w:tcW w:w="941" w:type="pct"/>
            <w:noWrap w:val="0"/>
            <w:vAlign w:val="center"/>
          </w:tcPr>
          <w:p w14:paraId="557DA3C1">
            <w:pPr>
              <w:keepNext/>
              <w:keepLines w:val="0"/>
              <w:pageBreakBefore w:val="0"/>
              <w:widowControl w:val="0"/>
              <w:kinsoku/>
              <w:wordWrap/>
              <w:overflowPunct/>
              <w:topLinePunct w:val="0"/>
              <w:autoSpaceDE/>
              <w:autoSpaceDN/>
              <w:bidi w:val="0"/>
              <w:adjustRightInd w:val="0"/>
              <w:snapToGrid w:val="0"/>
              <w:spacing w:before="0" w:after="0" w:line="240" w:lineRule="auto"/>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88,100</w:t>
            </w:r>
            <w:r>
              <w:rPr>
                <w:rFonts w:ascii="宋体" w:hAnsi="宋体" w:eastAsia="宋体" w:cs="宋体"/>
                <w:color w:val="000000"/>
                <w:sz w:val="21"/>
                <w:szCs w:val="21"/>
                <w:lang w:eastAsia="zh-CN"/>
              </w:rPr>
              <w:t>.00</w:t>
            </w:r>
          </w:p>
        </w:tc>
      </w:tr>
      <w:tr w14:paraId="61AB1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6" w:hRule="atLeast"/>
          <w:jc w:val="center"/>
        </w:trPr>
        <w:tc>
          <w:tcPr>
            <w:tcW w:w="447" w:type="pct"/>
            <w:noWrap w:val="0"/>
            <w:vAlign w:val="center"/>
          </w:tcPr>
          <w:p w14:paraId="5773E3C7">
            <w:pPr>
              <w:keepLines w:val="0"/>
              <w:pageBreakBefore w:val="0"/>
              <w:widowControl w:val="0"/>
              <w:kinsoku/>
              <w:wordWrap/>
              <w:overflowPunct/>
              <w:topLinePunct w:val="0"/>
              <w:autoSpaceDE/>
              <w:autoSpaceDN/>
              <w:bidi w:val="0"/>
              <w:adjustRightInd w:val="0"/>
              <w:snapToGrid w:val="0"/>
              <w:spacing w:line="240" w:lineRule="auto"/>
              <w:jc w:val="center"/>
              <w:rPr>
                <w:rFonts w:ascii="宋体" w:hAnsi="宋体" w:eastAsia="宋体" w:cs="宋体"/>
                <w:bCs/>
                <w:kern w:val="2"/>
                <w:sz w:val="21"/>
                <w:szCs w:val="21"/>
                <w:lang w:eastAsia="zh-CN"/>
              </w:rPr>
            </w:pPr>
            <w:r>
              <w:rPr>
                <w:rFonts w:hint="eastAsia" w:ascii="宋体" w:hAnsi="宋体" w:eastAsia="宋体" w:cs="宋体"/>
                <w:bCs/>
                <w:kern w:val="2"/>
                <w:sz w:val="21"/>
                <w:szCs w:val="21"/>
                <w:lang w:eastAsia="zh-CN"/>
              </w:rPr>
              <w:t>3</w:t>
            </w:r>
          </w:p>
        </w:tc>
        <w:tc>
          <w:tcPr>
            <w:tcW w:w="1582" w:type="pct"/>
            <w:noWrap w:val="0"/>
            <w:vAlign w:val="center"/>
          </w:tcPr>
          <w:p w14:paraId="51B8549E">
            <w:pPr>
              <w:keepLines w:val="0"/>
              <w:pageBreakBefore w:val="0"/>
              <w:widowControl w:val="0"/>
              <w:kinsoku/>
              <w:wordWrap/>
              <w:overflowPunct/>
              <w:topLinePunct w:val="0"/>
              <w:autoSpaceDE/>
              <w:autoSpaceDN/>
              <w:bidi w:val="0"/>
              <w:adjustRightInd w:val="0"/>
              <w:snapToGrid w:val="0"/>
              <w:spacing w:line="240" w:lineRule="auto"/>
              <w:jc w:val="left"/>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第三方验收测评服务和</w:t>
            </w:r>
            <w:r>
              <w:rPr>
                <w:rFonts w:ascii="宋体" w:hAnsi="宋体" w:eastAsia="宋体" w:cs="宋体"/>
                <w:kern w:val="2"/>
                <w:sz w:val="21"/>
                <w:szCs w:val="21"/>
                <w:lang w:eastAsia="zh-CN"/>
              </w:rPr>
              <w:t>专项安全测评服务</w:t>
            </w:r>
          </w:p>
        </w:tc>
        <w:tc>
          <w:tcPr>
            <w:tcW w:w="503" w:type="pct"/>
            <w:noWrap w:val="0"/>
            <w:vAlign w:val="center"/>
          </w:tcPr>
          <w:p w14:paraId="56E56D50">
            <w:pPr>
              <w:widowControl w:val="0"/>
              <w:jc w:val="center"/>
              <w:rPr>
                <w:rFonts w:hint="eastAsia" w:ascii="宋体" w:hAnsi="宋体" w:eastAsia="宋体" w:cs="宋体"/>
                <w:bCs/>
                <w:kern w:val="2"/>
                <w:sz w:val="21"/>
                <w:szCs w:val="21"/>
                <w:lang w:eastAsia="zh-CN"/>
              </w:rPr>
            </w:pPr>
            <w:r>
              <w:rPr>
                <w:rFonts w:hint="eastAsia" w:ascii="宋体" w:hAnsi="宋体" w:eastAsia="宋体" w:cs="宋体"/>
                <w:kern w:val="2"/>
                <w:sz w:val="21"/>
                <w:lang w:eastAsia="zh-CN"/>
              </w:rPr>
              <w:t>1</w:t>
            </w:r>
          </w:p>
        </w:tc>
        <w:tc>
          <w:tcPr>
            <w:tcW w:w="585" w:type="pct"/>
            <w:noWrap w:val="0"/>
            <w:vAlign w:val="center"/>
          </w:tcPr>
          <w:p w14:paraId="76EE3493">
            <w:pPr>
              <w:widowControl w:val="0"/>
              <w:jc w:val="center"/>
              <w:rPr>
                <w:rFonts w:hint="eastAsia" w:ascii="宋体" w:hAnsi="宋体" w:eastAsia="宋体" w:cs="宋体"/>
                <w:bCs/>
                <w:kern w:val="2"/>
                <w:sz w:val="21"/>
                <w:szCs w:val="21"/>
                <w:lang w:eastAsia="zh-CN"/>
              </w:rPr>
            </w:pPr>
            <w:r>
              <w:rPr>
                <w:rFonts w:hint="eastAsia" w:ascii="宋体" w:hAnsi="宋体" w:eastAsia="宋体" w:cs="宋体"/>
                <w:bCs/>
                <w:kern w:val="2"/>
                <w:sz w:val="21"/>
                <w:szCs w:val="21"/>
                <w:lang w:eastAsia="zh-CN"/>
              </w:rPr>
              <w:t>项</w:t>
            </w:r>
          </w:p>
        </w:tc>
        <w:tc>
          <w:tcPr>
            <w:tcW w:w="940" w:type="pct"/>
            <w:noWrap w:val="0"/>
            <w:vAlign w:val="center"/>
          </w:tcPr>
          <w:p w14:paraId="016806EF">
            <w:pPr>
              <w:keepNext/>
              <w:keepLines w:val="0"/>
              <w:pageBreakBefore w:val="0"/>
              <w:widowControl w:val="0"/>
              <w:kinsoku/>
              <w:wordWrap/>
              <w:overflowPunct/>
              <w:topLinePunct w:val="0"/>
              <w:autoSpaceDE/>
              <w:autoSpaceDN/>
              <w:bidi w:val="0"/>
              <w:adjustRightInd w:val="0"/>
              <w:snapToGrid w:val="0"/>
              <w:spacing w:before="0" w:after="0" w:line="240" w:lineRule="auto"/>
              <w:jc w:val="center"/>
              <w:rPr>
                <w:rFonts w:hint="eastAsia" w:ascii="宋体" w:hAnsi="宋体" w:eastAsia="宋体" w:cs="宋体"/>
                <w:color w:val="000000"/>
                <w:sz w:val="21"/>
                <w:szCs w:val="21"/>
                <w:lang w:eastAsia="zh-CN"/>
              </w:rPr>
            </w:pPr>
          </w:p>
        </w:tc>
        <w:tc>
          <w:tcPr>
            <w:tcW w:w="941" w:type="pct"/>
            <w:noWrap w:val="0"/>
            <w:vAlign w:val="center"/>
          </w:tcPr>
          <w:p w14:paraId="23CD8C81">
            <w:pPr>
              <w:keepNext/>
              <w:keepLines w:val="0"/>
              <w:pageBreakBefore w:val="0"/>
              <w:widowControl w:val="0"/>
              <w:kinsoku/>
              <w:wordWrap/>
              <w:overflowPunct/>
              <w:topLinePunct w:val="0"/>
              <w:autoSpaceDE/>
              <w:autoSpaceDN/>
              <w:bidi w:val="0"/>
              <w:adjustRightInd w:val="0"/>
              <w:snapToGrid w:val="0"/>
              <w:spacing w:before="0" w:after="0" w:line="240" w:lineRule="auto"/>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214,800.00</w:t>
            </w:r>
          </w:p>
        </w:tc>
      </w:tr>
      <w:tr w14:paraId="5B144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6" w:hRule="atLeast"/>
          <w:jc w:val="center"/>
        </w:trPr>
        <w:tc>
          <w:tcPr>
            <w:tcW w:w="5000" w:type="pct"/>
            <w:gridSpan w:val="6"/>
            <w:noWrap w:val="0"/>
            <w:vAlign w:val="center"/>
          </w:tcPr>
          <w:p w14:paraId="756BC336">
            <w:pPr>
              <w:keepNext/>
              <w:keepLines w:val="0"/>
              <w:pageBreakBefore w:val="0"/>
              <w:widowControl w:val="0"/>
              <w:kinsoku/>
              <w:wordWrap/>
              <w:overflowPunct/>
              <w:topLinePunct w:val="0"/>
              <w:autoSpaceDE/>
              <w:autoSpaceDN/>
              <w:bidi w:val="0"/>
              <w:adjustRightInd w:val="0"/>
              <w:snapToGrid w:val="0"/>
              <w:spacing w:before="0" w:after="0" w:line="240" w:lineRule="auto"/>
              <w:jc w:val="center"/>
              <w:rPr>
                <w:rFonts w:hint="eastAsia" w:ascii="宋体" w:hAnsi="宋体" w:eastAsia="宋体" w:cs="宋体"/>
                <w:b/>
                <w:kern w:val="2"/>
                <w:sz w:val="21"/>
                <w:szCs w:val="21"/>
                <w:lang w:eastAsia="zh-CN"/>
              </w:rPr>
            </w:pPr>
            <w:r>
              <w:rPr>
                <w:rFonts w:hint="eastAsia" w:ascii="宋体" w:hAnsi="宋体" w:eastAsia="宋体" w:cs="宋体"/>
                <w:b/>
                <w:kern w:val="2"/>
                <w:sz w:val="21"/>
                <w:szCs w:val="21"/>
                <w:lang w:eastAsia="zh-CN"/>
              </w:rPr>
              <w:t>二、深圳市医疗保障局医保数据融合应用项目</w:t>
            </w:r>
          </w:p>
        </w:tc>
      </w:tr>
      <w:tr w14:paraId="0D924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6" w:hRule="atLeast"/>
          <w:jc w:val="center"/>
        </w:trPr>
        <w:tc>
          <w:tcPr>
            <w:tcW w:w="447" w:type="pct"/>
            <w:noWrap w:val="0"/>
            <w:vAlign w:val="center"/>
          </w:tcPr>
          <w:p w14:paraId="56EA7CC4">
            <w:pPr>
              <w:keepLines w:val="0"/>
              <w:pageBreakBefore w:val="0"/>
              <w:widowControl w:val="0"/>
              <w:kinsoku/>
              <w:wordWrap/>
              <w:overflowPunct/>
              <w:topLinePunct w:val="0"/>
              <w:autoSpaceDE/>
              <w:autoSpaceDN/>
              <w:bidi w:val="0"/>
              <w:adjustRightInd w:val="0"/>
              <w:snapToGrid w:val="0"/>
              <w:spacing w:line="240" w:lineRule="auto"/>
              <w:jc w:val="center"/>
              <w:rPr>
                <w:rFonts w:ascii="宋体" w:hAnsi="宋体" w:eastAsia="宋体" w:cs="宋体"/>
                <w:bCs/>
                <w:kern w:val="2"/>
                <w:sz w:val="21"/>
                <w:szCs w:val="21"/>
                <w:lang w:eastAsia="zh-CN"/>
              </w:rPr>
            </w:pPr>
            <w:r>
              <w:rPr>
                <w:rFonts w:hint="eastAsia" w:ascii="宋体" w:hAnsi="宋体" w:eastAsia="宋体" w:cs="宋体"/>
                <w:bCs/>
                <w:kern w:val="2"/>
                <w:sz w:val="21"/>
                <w:szCs w:val="21"/>
                <w:lang w:eastAsia="zh-CN"/>
              </w:rPr>
              <w:t>4</w:t>
            </w:r>
          </w:p>
        </w:tc>
        <w:tc>
          <w:tcPr>
            <w:tcW w:w="1582" w:type="pct"/>
            <w:noWrap w:val="0"/>
            <w:vAlign w:val="center"/>
          </w:tcPr>
          <w:p w14:paraId="12200967">
            <w:pPr>
              <w:keepLines w:val="0"/>
              <w:pageBreakBefore w:val="0"/>
              <w:widowControl w:val="0"/>
              <w:kinsoku/>
              <w:wordWrap/>
              <w:overflowPunct/>
              <w:topLinePunct w:val="0"/>
              <w:autoSpaceDE/>
              <w:autoSpaceDN/>
              <w:bidi w:val="0"/>
              <w:adjustRightInd w:val="0"/>
              <w:snapToGrid w:val="0"/>
              <w:spacing w:line="240" w:lineRule="auto"/>
              <w:jc w:val="both"/>
              <w:rPr>
                <w:rFonts w:ascii="宋体" w:hAnsi="宋体" w:eastAsia="宋体" w:cs="宋体"/>
                <w:bCs/>
                <w:kern w:val="2"/>
                <w:sz w:val="21"/>
                <w:szCs w:val="21"/>
                <w:lang w:eastAsia="zh-CN"/>
              </w:rPr>
            </w:pPr>
            <w:r>
              <w:rPr>
                <w:rFonts w:ascii="宋体" w:hAnsi="宋体" w:eastAsia="宋体" w:cs="宋体"/>
                <w:kern w:val="2"/>
                <w:sz w:val="21"/>
                <w:szCs w:val="21"/>
                <w:lang w:eastAsia="zh-CN"/>
              </w:rPr>
              <w:t>网络安全等级保护测评服务</w:t>
            </w:r>
            <w:r>
              <w:rPr>
                <w:rFonts w:hint="eastAsia" w:ascii="宋体" w:hAnsi="宋体" w:eastAsia="宋体" w:cs="宋体"/>
                <w:kern w:val="2"/>
                <w:sz w:val="21"/>
                <w:szCs w:val="21"/>
                <w:lang w:eastAsia="zh-CN"/>
              </w:rPr>
              <w:t>和信创符合性审查</w:t>
            </w:r>
          </w:p>
        </w:tc>
        <w:tc>
          <w:tcPr>
            <w:tcW w:w="503" w:type="pct"/>
            <w:noWrap w:val="0"/>
            <w:vAlign w:val="center"/>
          </w:tcPr>
          <w:p w14:paraId="17A74A38">
            <w:pPr>
              <w:widowControl w:val="0"/>
              <w:jc w:val="center"/>
              <w:rPr>
                <w:rFonts w:hint="eastAsia" w:ascii="宋体" w:hAnsi="宋体" w:eastAsia="宋体" w:cs="宋体"/>
                <w:bCs/>
                <w:kern w:val="2"/>
                <w:sz w:val="21"/>
                <w:szCs w:val="21"/>
                <w:lang w:eastAsia="zh-CN"/>
              </w:rPr>
            </w:pPr>
            <w:r>
              <w:rPr>
                <w:rFonts w:hint="eastAsia" w:ascii="宋体" w:hAnsi="宋体" w:eastAsia="宋体" w:cs="宋体"/>
                <w:kern w:val="2"/>
                <w:sz w:val="21"/>
                <w:lang w:eastAsia="zh-CN"/>
              </w:rPr>
              <w:t>1</w:t>
            </w:r>
          </w:p>
        </w:tc>
        <w:tc>
          <w:tcPr>
            <w:tcW w:w="585" w:type="pct"/>
            <w:noWrap w:val="0"/>
            <w:vAlign w:val="center"/>
          </w:tcPr>
          <w:p w14:paraId="33ED6B81">
            <w:pPr>
              <w:widowControl w:val="0"/>
              <w:jc w:val="center"/>
              <w:rPr>
                <w:rFonts w:hint="eastAsia" w:ascii="宋体" w:hAnsi="宋体" w:eastAsia="宋体" w:cs="宋体"/>
                <w:bCs/>
                <w:kern w:val="2"/>
                <w:sz w:val="21"/>
                <w:szCs w:val="21"/>
                <w:lang w:eastAsia="zh-CN"/>
              </w:rPr>
            </w:pPr>
            <w:r>
              <w:rPr>
                <w:rFonts w:hint="eastAsia" w:ascii="宋体" w:hAnsi="宋体" w:eastAsia="宋体" w:cs="宋体"/>
                <w:bCs/>
                <w:kern w:val="2"/>
                <w:sz w:val="21"/>
                <w:szCs w:val="21"/>
                <w:lang w:eastAsia="zh-CN"/>
              </w:rPr>
              <w:t>项</w:t>
            </w:r>
          </w:p>
        </w:tc>
        <w:tc>
          <w:tcPr>
            <w:tcW w:w="940" w:type="pct"/>
            <w:noWrap w:val="0"/>
            <w:vAlign w:val="center"/>
          </w:tcPr>
          <w:p w14:paraId="147197E7">
            <w:pPr>
              <w:keepNext/>
              <w:keepLines w:val="0"/>
              <w:pageBreakBefore w:val="0"/>
              <w:widowControl w:val="0"/>
              <w:kinsoku/>
              <w:wordWrap/>
              <w:overflowPunct/>
              <w:topLinePunct w:val="0"/>
              <w:autoSpaceDE/>
              <w:autoSpaceDN/>
              <w:bidi w:val="0"/>
              <w:adjustRightInd w:val="0"/>
              <w:snapToGrid w:val="0"/>
              <w:spacing w:before="0" w:after="0" w:line="240" w:lineRule="auto"/>
              <w:jc w:val="center"/>
              <w:rPr>
                <w:rFonts w:hint="eastAsia" w:ascii="宋体" w:hAnsi="宋体" w:eastAsia="宋体" w:cs="宋体"/>
                <w:color w:val="000000"/>
                <w:sz w:val="21"/>
                <w:szCs w:val="21"/>
                <w:lang w:eastAsia="zh-CN"/>
              </w:rPr>
            </w:pPr>
          </w:p>
        </w:tc>
        <w:tc>
          <w:tcPr>
            <w:tcW w:w="941" w:type="pct"/>
            <w:noWrap w:val="0"/>
            <w:vAlign w:val="center"/>
          </w:tcPr>
          <w:p w14:paraId="0AFC12A7">
            <w:pPr>
              <w:keepNext/>
              <w:keepLines w:val="0"/>
              <w:pageBreakBefore w:val="0"/>
              <w:widowControl w:val="0"/>
              <w:kinsoku/>
              <w:wordWrap/>
              <w:overflowPunct/>
              <w:topLinePunct w:val="0"/>
              <w:autoSpaceDE/>
              <w:autoSpaceDN/>
              <w:bidi w:val="0"/>
              <w:adjustRightInd w:val="0"/>
              <w:snapToGrid w:val="0"/>
              <w:spacing w:before="0" w:after="0" w:line="240" w:lineRule="auto"/>
              <w:jc w:val="center"/>
              <w:rPr>
                <w:rFonts w:hint="eastAsia" w:ascii="宋体" w:hAnsi="宋体" w:eastAsia="宋体" w:cs="宋体"/>
                <w:snapToGrid w:val="0"/>
                <w:color w:val="000000"/>
                <w:sz w:val="21"/>
                <w:szCs w:val="21"/>
                <w:lang w:eastAsia="zh-CN"/>
              </w:rPr>
            </w:pPr>
            <w:r>
              <w:rPr>
                <w:rFonts w:hint="eastAsia" w:ascii="宋体" w:hAnsi="宋体" w:eastAsia="宋体" w:cs="宋体"/>
                <w:color w:val="000000"/>
                <w:sz w:val="21"/>
                <w:szCs w:val="21"/>
                <w:lang w:eastAsia="zh-CN"/>
              </w:rPr>
              <w:t>62,600</w:t>
            </w:r>
            <w:r>
              <w:rPr>
                <w:rFonts w:ascii="宋体" w:hAnsi="宋体" w:eastAsia="宋体" w:cs="宋体"/>
                <w:color w:val="000000"/>
                <w:sz w:val="21"/>
                <w:szCs w:val="21"/>
                <w:lang w:eastAsia="zh-CN"/>
              </w:rPr>
              <w:t>.00</w:t>
            </w:r>
          </w:p>
        </w:tc>
      </w:tr>
      <w:tr w14:paraId="24356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6" w:hRule="atLeast"/>
          <w:jc w:val="center"/>
        </w:trPr>
        <w:tc>
          <w:tcPr>
            <w:tcW w:w="447" w:type="pct"/>
            <w:noWrap w:val="0"/>
            <w:vAlign w:val="center"/>
          </w:tcPr>
          <w:p w14:paraId="6A6BA122">
            <w:pPr>
              <w:keepLines w:val="0"/>
              <w:pageBreakBefore w:val="0"/>
              <w:widowControl w:val="0"/>
              <w:kinsoku/>
              <w:wordWrap/>
              <w:overflowPunct/>
              <w:topLinePunct w:val="0"/>
              <w:autoSpaceDE/>
              <w:autoSpaceDN/>
              <w:bidi w:val="0"/>
              <w:adjustRightInd w:val="0"/>
              <w:snapToGrid w:val="0"/>
              <w:spacing w:line="240" w:lineRule="auto"/>
              <w:jc w:val="center"/>
              <w:rPr>
                <w:rFonts w:ascii="宋体" w:hAnsi="宋体" w:eastAsia="宋体" w:cs="宋体"/>
                <w:bCs/>
                <w:kern w:val="2"/>
                <w:sz w:val="21"/>
                <w:szCs w:val="21"/>
                <w:lang w:eastAsia="zh-CN"/>
              </w:rPr>
            </w:pPr>
            <w:r>
              <w:rPr>
                <w:rFonts w:hint="eastAsia" w:ascii="宋体" w:hAnsi="宋体" w:eastAsia="宋体" w:cs="宋体"/>
                <w:bCs/>
                <w:kern w:val="2"/>
                <w:sz w:val="21"/>
                <w:szCs w:val="21"/>
                <w:lang w:eastAsia="zh-CN"/>
              </w:rPr>
              <w:t>5</w:t>
            </w:r>
          </w:p>
        </w:tc>
        <w:tc>
          <w:tcPr>
            <w:tcW w:w="1582" w:type="pct"/>
            <w:noWrap w:val="0"/>
            <w:vAlign w:val="center"/>
          </w:tcPr>
          <w:p w14:paraId="329C0106">
            <w:pPr>
              <w:keepLines w:val="0"/>
              <w:pageBreakBefore w:val="0"/>
              <w:widowControl w:val="0"/>
              <w:kinsoku/>
              <w:wordWrap/>
              <w:overflowPunct/>
              <w:topLinePunct w:val="0"/>
              <w:autoSpaceDE/>
              <w:autoSpaceDN/>
              <w:bidi w:val="0"/>
              <w:adjustRightInd w:val="0"/>
              <w:snapToGrid w:val="0"/>
              <w:spacing w:line="240" w:lineRule="auto"/>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商用密码应用安全性评估服务</w:t>
            </w:r>
          </w:p>
        </w:tc>
        <w:tc>
          <w:tcPr>
            <w:tcW w:w="503" w:type="pct"/>
            <w:noWrap w:val="0"/>
            <w:vAlign w:val="center"/>
          </w:tcPr>
          <w:p w14:paraId="7F73F140">
            <w:pPr>
              <w:widowControl w:val="0"/>
              <w:jc w:val="center"/>
              <w:rPr>
                <w:rFonts w:hint="eastAsia" w:ascii="宋体" w:hAnsi="宋体" w:eastAsia="宋体" w:cs="宋体"/>
                <w:bCs/>
                <w:kern w:val="2"/>
                <w:sz w:val="21"/>
                <w:szCs w:val="21"/>
                <w:lang w:eastAsia="zh-CN"/>
              </w:rPr>
            </w:pPr>
            <w:r>
              <w:rPr>
                <w:rFonts w:hint="eastAsia" w:ascii="宋体" w:hAnsi="宋体" w:eastAsia="宋体" w:cs="宋体"/>
                <w:kern w:val="2"/>
                <w:sz w:val="21"/>
                <w:lang w:eastAsia="zh-CN"/>
              </w:rPr>
              <w:t>1</w:t>
            </w:r>
          </w:p>
        </w:tc>
        <w:tc>
          <w:tcPr>
            <w:tcW w:w="585" w:type="pct"/>
            <w:noWrap w:val="0"/>
            <w:vAlign w:val="center"/>
          </w:tcPr>
          <w:p w14:paraId="0A848B0B">
            <w:pPr>
              <w:widowControl w:val="0"/>
              <w:jc w:val="center"/>
              <w:rPr>
                <w:rFonts w:hint="eastAsia" w:ascii="宋体" w:hAnsi="宋体" w:eastAsia="宋体" w:cs="宋体"/>
                <w:bCs/>
                <w:kern w:val="2"/>
                <w:sz w:val="21"/>
                <w:szCs w:val="21"/>
                <w:lang w:eastAsia="zh-CN"/>
              </w:rPr>
            </w:pPr>
            <w:r>
              <w:rPr>
                <w:rFonts w:hint="eastAsia" w:ascii="宋体" w:hAnsi="宋体" w:eastAsia="宋体" w:cs="宋体"/>
                <w:bCs/>
                <w:kern w:val="2"/>
                <w:sz w:val="21"/>
                <w:szCs w:val="21"/>
                <w:lang w:eastAsia="zh-CN"/>
              </w:rPr>
              <w:t>项</w:t>
            </w:r>
          </w:p>
        </w:tc>
        <w:tc>
          <w:tcPr>
            <w:tcW w:w="940" w:type="pct"/>
            <w:noWrap w:val="0"/>
            <w:vAlign w:val="center"/>
          </w:tcPr>
          <w:p w14:paraId="1636DB7C">
            <w:pPr>
              <w:keepNext/>
              <w:keepLines w:val="0"/>
              <w:pageBreakBefore w:val="0"/>
              <w:widowControl w:val="0"/>
              <w:kinsoku/>
              <w:wordWrap/>
              <w:overflowPunct/>
              <w:topLinePunct w:val="0"/>
              <w:autoSpaceDE/>
              <w:autoSpaceDN/>
              <w:bidi w:val="0"/>
              <w:adjustRightInd w:val="0"/>
              <w:snapToGrid w:val="0"/>
              <w:spacing w:before="0" w:after="0" w:line="240" w:lineRule="auto"/>
              <w:jc w:val="center"/>
              <w:rPr>
                <w:rFonts w:hint="eastAsia" w:ascii="宋体" w:hAnsi="宋体" w:eastAsia="宋体" w:cs="宋体"/>
                <w:color w:val="000000"/>
                <w:sz w:val="21"/>
                <w:szCs w:val="21"/>
                <w:lang w:eastAsia="zh-CN"/>
              </w:rPr>
            </w:pPr>
          </w:p>
        </w:tc>
        <w:tc>
          <w:tcPr>
            <w:tcW w:w="941" w:type="pct"/>
            <w:noWrap w:val="0"/>
            <w:vAlign w:val="center"/>
          </w:tcPr>
          <w:p w14:paraId="21ED9FBC">
            <w:pPr>
              <w:keepNext/>
              <w:keepLines w:val="0"/>
              <w:pageBreakBefore w:val="0"/>
              <w:widowControl w:val="0"/>
              <w:kinsoku/>
              <w:wordWrap/>
              <w:overflowPunct/>
              <w:topLinePunct w:val="0"/>
              <w:autoSpaceDE/>
              <w:autoSpaceDN/>
              <w:bidi w:val="0"/>
              <w:adjustRightInd w:val="0"/>
              <w:snapToGrid w:val="0"/>
              <w:spacing w:before="0" w:after="0" w:line="240" w:lineRule="auto"/>
              <w:jc w:val="center"/>
              <w:rPr>
                <w:rFonts w:hint="eastAsia" w:ascii="宋体" w:hAnsi="宋体" w:eastAsia="宋体" w:cs="宋体"/>
                <w:snapToGrid w:val="0"/>
                <w:color w:val="000000"/>
                <w:sz w:val="21"/>
                <w:szCs w:val="21"/>
                <w:lang w:eastAsia="zh-CN"/>
              </w:rPr>
            </w:pPr>
            <w:r>
              <w:rPr>
                <w:rFonts w:hint="eastAsia" w:ascii="宋体" w:hAnsi="宋体" w:eastAsia="宋体" w:cs="宋体"/>
                <w:color w:val="000000"/>
                <w:sz w:val="21"/>
                <w:szCs w:val="21"/>
                <w:lang w:eastAsia="zh-CN"/>
              </w:rPr>
              <w:t>125,200</w:t>
            </w:r>
            <w:r>
              <w:rPr>
                <w:rFonts w:ascii="宋体" w:hAnsi="宋体" w:eastAsia="宋体" w:cs="宋体"/>
                <w:color w:val="000000"/>
                <w:sz w:val="21"/>
                <w:szCs w:val="21"/>
                <w:lang w:eastAsia="zh-CN"/>
              </w:rPr>
              <w:t>.00</w:t>
            </w:r>
          </w:p>
        </w:tc>
      </w:tr>
      <w:tr w14:paraId="23C82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6" w:hRule="atLeast"/>
          <w:jc w:val="center"/>
        </w:trPr>
        <w:tc>
          <w:tcPr>
            <w:tcW w:w="447" w:type="pct"/>
            <w:noWrap w:val="0"/>
            <w:vAlign w:val="center"/>
          </w:tcPr>
          <w:p w14:paraId="1B78FDAD">
            <w:pPr>
              <w:keepLines w:val="0"/>
              <w:pageBreakBefore w:val="0"/>
              <w:widowControl w:val="0"/>
              <w:kinsoku/>
              <w:wordWrap/>
              <w:overflowPunct/>
              <w:topLinePunct w:val="0"/>
              <w:autoSpaceDE/>
              <w:autoSpaceDN/>
              <w:bidi w:val="0"/>
              <w:adjustRightInd w:val="0"/>
              <w:snapToGrid w:val="0"/>
              <w:spacing w:line="240" w:lineRule="auto"/>
              <w:jc w:val="center"/>
              <w:rPr>
                <w:rFonts w:ascii="宋体" w:hAnsi="宋体" w:eastAsia="宋体" w:cs="宋体"/>
                <w:bCs/>
                <w:kern w:val="2"/>
                <w:sz w:val="21"/>
                <w:szCs w:val="21"/>
                <w:lang w:eastAsia="zh-CN"/>
              </w:rPr>
            </w:pPr>
            <w:r>
              <w:rPr>
                <w:rFonts w:hint="eastAsia" w:ascii="宋体" w:hAnsi="宋体" w:eastAsia="宋体" w:cs="宋体"/>
                <w:bCs/>
                <w:kern w:val="2"/>
                <w:sz w:val="21"/>
                <w:szCs w:val="21"/>
                <w:lang w:eastAsia="zh-CN"/>
              </w:rPr>
              <w:t>6</w:t>
            </w:r>
          </w:p>
        </w:tc>
        <w:tc>
          <w:tcPr>
            <w:tcW w:w="1582" w:type="pct"/>
            <w:noWrap w:val="0"/>
            <w:vAlign w:val="center"/>
          </w:tcPr>
          <w:p w14:paraId="5855FAA6">
            <w:pPr>
              <w:keepLines w:val="0"/>
              <w:pageBreakBefore w:val="0"/>
              <w:widowControl w:val="0"/>
              <w:kinsoku/>
              <w:wordWrap/>
              <w:overflowPunct/>
              <w:topLinePunct w:val="0"/>
              <w:autoSpaceDE/>
              <w:autoSpaceDN/>
              <w:bidi w:val="0"/>
              <w:adjustRightInd w:val="0"/>
              <w:snapToGrid w:val="0"/>
              <w:spacing w:line="240" w:lineRule="auto"/>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第三方验收测评服务和</w:t>
            </w:r>
            <w:r>
              <w:rPr>
                <w:rFonts w:ascii="宋体" w:hAnsi="宋体" w:eastAsia="宋体" w:cs="宋体"/>
                <w:kern w:val="2"/>
                <w:sz w:val="21"/>
                <w:szCs w:val="21"/>
                <w:lang w:eastAsia="zh-CN"/>
              </w:rPr>
              <w:t>专项安全测评服务</w:t>
            </w:r>
          </w:p>
        </w:tc>
        <w:tc>
          <w:tcPr>
            <w:tcW w:w="503" w:type="pct"/>
            <w:noWrap w:val="0"/>
            <w:vAlign w:val="center"/>
          </w:tcPr>
          <w:p w14:paraId="6AFCA38A">
            <w:pPr>
              <w:widowControl w:val="0"/>
              <w:jc w:val="center"/>
              <w:rPr>
                <w:rFonts w:hint="eastAsia" w:ascii="宋体" w:hAnsi="宋体" w:eastAsia="宋体" w:cs="宋体"/>
                <w:bCs/>
                <w:kern w:val="2"/>
                <w:sz w:val="21"/>
                <w:szCs w:val="21"/>
                <w:lang w:eastAsia="zh-CN"/>
              </w:rPr>
            </w:pPr>
            <w:r>
              <w:rPr>
                <w:rFonts w:hint="eastAsia" w:ascii="宋体" w:hAnsi="宋体" w:eastAsia="宋体" w:cs="宋体"/>
                <w:kern w:val="2"/>
                <w:sz w:val="21"/>
                <w:lang w:eastAsia="zh-CN"/>
              </w:rPr>
              <w:t>1</w:t>
            </w:r>
          </w:p>
        </w:tc>
        <w:tc>
          <w:tcPr>
            <w:tcW w:w="585" w:type="pct"/>
            <w:noWrap w:val="0"/>
            <w:vAlign w:val="center"/>
          </w:tcPr>
          <w:p w14:paraId="136ED218">
            <w:pPr>
              <w:widowControl w:val="0"/>
              <w:jc w:val="center"/>
              <w:rPr>
                <w:rFonts w:hint="eastAsia" w:ascii="宋体" w:hAnsi="宋体" w:eastAsia="宋体" w:cs="宋体"/>
                <w:bCs/>
                <w:kern w:val="2"/>
                <w:sz w:val="21"/>
                <w:szCs w:val="21"/>
                <w:lang w:eastAsia="zh-CN"/>
              </w:rPr>
            </w:pPr>
            <w:r>
              <w:rPr>
                <w:rFonts w:hint="eastAsia" w:ascii="宋体" w:hAnsi="宋体" w:eastAsia="宋体" w:cs="宋体"/>
                <w:bCs/>
                <w:kern w:val="2"/>
                <w:sz w:val="21"/>
                <w:szCs w:val="21"/>
                <w:lang w:eastAsia="zh-CN"/>
              </w:rPr>
              <w:t>项</w:t>
            </w:r>
          </w:p>
        </w:tc>
        <w:tc>
          <w:tcPr>
            <w:tcW w:w="940" w:type="pct"/>
            <w:noWrap w:val="0"/>
            <w:vAlign w:val="center"/>
          </w:tcPr>
          <w:p w14:paraId="353C7799">
            <w:pPr>
              <w:keepNext/>
              <w:keepLines w:val="0"/>
              <w:pageBreakBefore w:val="0"/>
              <w:widowControl w:val="0"/>
              <w:kinsoku/>
              <w:wordWrap/>
              <w:overflowPunct/>
              <w:topLinePunct w:val="0"/>
              <w:autoSpaceDE/>
              <w:autoSpaceDN/>
              <w:bidi w:val="0"/>
              <w:adjustRightInd w:val="0"/>
              <w:snapToGrid w:val="0"/>
              <w:spacing w:before="0" w:after="0" w:line="240" w:lineRule="auto"/>
              <w:jc w:val="center"/>
              <w:rPr>
                <w:rFonts w:hint="eastAsia" w:ascii="宋体" w:hAnsi="宋体" w:eastAsia="宋体" w:cs="宋体"/>
                <w:color w:val="000000"/>
                <w:sz w:val="21"/>
                <w:szCs w:val="21"/>
                <w:lang w:eastAsia="zh-CN"/>
              </w:rPr>
            </w:pPr>
          </w:p>
        </w:tc>
        <w:tc>
          <w:tcPr>
            <w:tcW w:w="941" w:type="pct"/>
            <w:noWrap w:val="0"/>
            <w:vAlign w:val="center"/>
          </w:tcPr>
          <w:p w14:paraId="0BFFDAD8">
            <w:pPr>
              <w:keepNext/>
              <w:keepLines w:val="0"/>
              <w:pageBreakBefore w:val="0"/>
              <w:widowControl w:val="0"/>
              <w:kinsoku/>
              <w:wordWrap/>
              <w:overflowPunct/>
              <w:topLinePunct w:val="0"/>
              <w:autoSpaceDE/>
              <w:autoSpaceDN/>
              <w:bidi w:val="0"/>
              <w:adjustRightInd w:val="0"/>
              <w:snapToGrid w:val="0"/>
              <w:spacing w:before="0" w:after="0" w:line="240" w:lineRule="auto"/>
              <w:jc w:val="center"/>
              <w:rPr>
                <w:rFonts w:hint="eastAsia" w:ascii="宋体" w:hAnsi="宋体" w:eastAsia="宋体" w:cs="宋体"/>
                <w:snapToGrid w:val="0"/>
                <w:color w:val="000000"/>
                <w:sz w:val="21"/>
                <w:szCs w:val="21"/>
                <w:lang w:eastAsia="zh-CN"/>
              </w:rPr>
            </w:pPr>
            <w:r>
              <w:rPr>
                <w:rFonts w:hint="eastAsia" w:ascii="宋体" w:hAnsi="宋体" w:eastAsia="宋体" w:cs="宋体"/>
                <w:color w:val="000000"/>
                <w:sz w:val="21"/>
                <w:szCs w:val="21"/>
                <w:lang w:eastAsia="zh-CN"/>
              </w:rPr>
              <w:t>185,700.00</w:t>
            </w:r>
          </w:p>
        </w:tc>
      </w:tr>
      <w:tr w14:paraId="0148F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6" w:hRule="atLeast"/>
          <w:jc w:val="center"/>
        </w:trPr>
        <w:tc>
          <w:tcPr>
            <w:tcW w:w="3118" w:type="pct"/>
            <w:gridSpan w:val="4"/>
            <w:noWrap w:val="0"/>
            <w:vAlign w:val="center"/>
          </w:tcPr>
          <w:p w14:paraId="742FCCA1">
            <w:pPr>
              <w:widowControl w:val="0"/>
              <w:jc w:val="center"/>
              <w:rPr>
                <w:rFonts w:hint="eastAsia" w:ascii="宋体" w:hAnsi="宋体" w:eastAsia="宋体" w:cs="宋体"/>
                <w:bCs/>
                <w:kern w:val="2"/>
                <w:sz w:val="21"/>
                <w:szCs w:val="21"/>
                <w:lang w:eastAsia="zh-CN"/>
              </w:rPr>
            </w:pPr>
            <w:r>
              <w:rPr>
                <w:rFonts w:hint="eastAsia" w:ascii="宋体" w:hAnsi="宋体" w:eastAsia="宋体" w:cs="宋体"/>
                <w:bCs/>
                <w:kern w:val="2"/>
                <w:sz w:val="21"/>
                <w:szCs w:val="21"/>
                <w:lang w:eastAsia="zh-CN"/>
              </w:rPr>
              <w:t>合计（</w:t>
            </w:r>
            <w:r>
              <w:rPr>
                <w:rFonts w:hint="eastAsia" w:ascii="宋体" w:hAnsi="宋体" w:eastAsia="宋体" w:cs="宋体"/>
                <w:bCs/>
                <w:kern w:val="2"/>
                <w:sz w:val="21"/>
                <w:szCs w:val="21"/>
                <w:highlight w:val="yellow"/>
                <w:lang w:eastAsia="zh-CN"/>
              </w:rPr>
              <w:t>上述序号1-6项费用报价之和</w:t>
            </w:r>
            <w:r>
              <w:rPr>
                <w:rFonts w:hint="eastAsia" w:ascii="宋体" w:hAnsi="宋体" w:eastAsia="宋体" w:cs="宋体"/>
                <w:bCs/>
                <w:kern w:val="2"/>
                <w:sz w:val="21"/>
                <w:szCs w:val="21"/>
                <w:lang w:eastAsia="zh-CN"/>
              </w:rPr>
              <w:t>）</w:t>
            </w:r>
          </w:p>
        </w:tc>
        <w:tc>
          <w:tcPr>
            <w:tcW w:w="940" w:type="pct"/>
            <w:noWrap w:val="0"/>
            <w:vAlign w:val="center"/>
          </w:tcPr>
          <w:p w14:paraId="0E5B92A4">
            <w:pPr>
              <w:keepNext/>
              <w:keepLines w:val="0"/>
              <w:pageBreakBefore w:val="0"/>
              <w:widowControl w:val="0"/>
              <w:kinsoku/>
              <w:wordWrap/>
              <w:overflowPunct/>
              <w:topLinePunct w:val="0"/>
              <w:autoSpaceDE/>
              <w:autoSpaceDN/>
              <w:bidi w:val="0"/>
              <w:adjustRightInd w:val="0"/>
              <w:snapToGrid w:val="0"/>
              <w:spacing w:before="0" w:after="0" w:line="240" w:lineRule="auto"/>
              <w:jc w:val="center"/>
              <w:rPr>
                <w:rFonts w:hint="eastAsia" w:ascii="宋体" w:hAnsi="宋体" w:eastAsia="宋体" w:cs="宋体"/>
                <w:color w:val="000000"/>
                <w:sz w:val="21"/>
                <w:szCs w:val="21"/>
                <w:lang w:eastAsia="zh-CN"/>
              </w:rPr>
            </w:pPr>
          </w:p>
        </w:tc>
        <w:tc>
          <w:tcPr>
            <w:tcW w:w="941" w:type="pct"/>
            <w:noWrap w:val="0"/>
            <w:vAlign w:val="center"/>
          </w:tcPr>
          <w:p w14:paraId="7E78B353">
            <w:pPr>
              <w:keepNext/>
              <w:keepLines w:val="0"/>
              <w:pageBreakBefore w:val="0"/>
              <w:widowControl w:val="0"/>
              <w:kinsoku/>
              <w:wordWrap/>
              <w:overflowPunct/>
              <w:topLinePunct w:val="0"/>
              <w:autoSpaceDE/>
              <w:autoSpaceDN/>
              <w:bidi w:val="0"/>
              <w:adjustRightInd w:val="0"/>
              <w:snapToGrid w:val="0"/>
              <w:spacing w:before="0" w:after="0" w:line="240" w:lineRule="auto"/>
              <w:jc w:val="center"/>
              <w:rPr>
                <w:rFonts w:ascii="宋体" w:hAnsi="宋体" w:eastAsia="宋体" w:cs="宋体"/>
                <w:color w:val="000000"/>
                <w:sz w:val="21"/>
                <w:szCs w:val="21"/>
                <w:lang w:eastAsia="zh-CN"/>
              </w:rPr>
            </w:pPr>
            <w:r>
              <w:rPr>
                <w:rFonts w:hint="eastAsia" w:ascii="宋体" w:hAnsi="宋体" w:eastAsia="宋体" w:cs="宋体"/>
                <w:color w:val="000000"/>
                <w:sz w:val="21"/>
                <w:szCs w:val="21"/>
                <w:lang w:eastAsia="zh-CN"/>
              </w:rPr>
              <w:t>720400.00</w:t>
            </w:r>
          </w:p>
        </w:tc>
      </w:tr>
    </w:tbl>
    <w:p w14:paraId="2E8F58D5">
      <w:pPr>
        <w:widowControl w:val="0"/>
        <w:ind w:left="630" w:hanging="632" w:hangingChars="300"/>
        <w:jc w:val="both"/>
        <w:rPr>
          <w:rFonts w:hint="eastAsia" w:eastAsia="宋体"/>
          <w:b/>
          <w:color w:val="0000FF"/>
          <w:kern w:val="2"/>
          <w:sz w:val="21"/>
          <w:szCs w:val="21"/>
          <w:lang w:eastAsia="zh-CN"/>
        </w:rPr>
      </w:pPr>
    </w:p>
    <w:p w14:paraId="6D38A1B9">
      <w:pPr>
        <w:widowControl w:val="0"/>
        <w:ind w:left="630" w:hanging="632" w:hangingChars="300"/>
        <w:jc w:val="both"/>
        <w:rPr>
          <w:rFonts w:eastAsia="宋体"/>
          <w:b/>
          <w:color w:val="0000FF"/>
          <w:kern w:val="2"/>
          <w:sz w:val="21"/>
          <w:szCs w:val="21"/>
          <w:lang w:eastAsia="zh-CN"/>
        </w:rPr>
      </w:pPr>
      <w:r>
        <w:rPr>
          <w:rFonts w:hint="eastAsia" w:eastAsia="宋体"/>
          <w:b/>
          <w:color w:val="0000FF"/>
          <w:kern w:val="2"/>
          <w:sz w:val="21"/>
          <w:szCs w:val="21"/>
          <w:lang w:eastAsia="zh-CN"/>
        </w:rPr>
        <w:t>注：</w:t>
      </w:r>
    </w:p>
    <w:p w14:paraId="1B8D8D43">
      <w:pPr>
        <w:widowControl/>
        <w:snapToGrid w:val="0"/>
        <w:ind w:firstLine="420" w:firstLineChars="200"/>
        <w:jc w:val="left"/>
        <w:rPr>
          <w:rFonts w:hint="eastAsia" w:ascii="宋体" w:hAnsi="宋体" w:eastAsia="宋体"/>
          <w:color w:val="0000FF"/>
          <w:sz w:val="21"/>
          <w:szCs w:val="21"/>
          <w:lang w:eastAsia="zh-CN"/>
        </w:rPr>
      </w:pPr>
      <w:r>
        <w:rPr>
          <w:rFonts w:hint="eastAsia" w:ascii="宋体" w:hAnsi="宋体" w:eastAsia="宋体"/>
          <w:color w:val="0000FF"/>
          <w:sz w:val="21"/>
          <w:szCs w:val="21"/>
          <w:lang w:eastAsia="zh-CN"/>
        </w:rPr>
        <w:t>1、投标人的投标报价不得超过预算金额，否则将导致投标无效。</w:t>
      </w:r>
    </w:p>
    <w:p w14:paraId="4D4BA54E">
      <w:pPr>
        <w:widowControl w:val="0"/>
        <w:tabs>
          <w:tab w:val="left" w:pos="720"/>
        </w:tabs>
        <w:jc w:val="center"/>
        <w:rPr>
          <w:rFonts w:eastAsia="宋体"/>
          <w:b/>
          <w:kern w:val="2"/>
          <w:lang w:eastAsia="zh-CN"/>
        </w:rPr>
      </w:pPr>
    </w:p>
    <w:p w14:paraId="6AF5F4DC">
      <w:pPr>
        <w:widowControl w:val="0"/>
        <w:tabs>
          <w:tab w:val="left" w:pos="720"/>
        </w:tabs>
        <w:jc w:val="center"/>
        <w:rPr>
          <w:rFonts w:eastAsia="宋体"/>
          <w:b/>
          <w:kern w:val="2"/>
          <w:lang w:eastAsia="zh-CN"/>
        </w:rPr>
      </w:pPr>
    </w:p>
    <w:p w14:paraId="213C330B">
      <w:pPr>
        <w:widowControl w:val="0"/>
        <w:tabs>
          <w:tab w:val="left" w:pos="720"/>
        </w:tabs>
        <w:jc w:val="center"/>
        <w:rPr>
          <w:rFonts w:eastAsia="宋体"/>
          <w:b/>
          <w:kern w:val="2"/>
          <w:lang w:eastAsia="zh-CN"/>
        </w:rPr>
      </w:pPr>
      <w:r>
        <w:rPr>
          <w:rFonts w:hint="eastAsia" w:eastAsia="宋体"/>
          <w:b/>
          <w:kern w:val="2"/>
          <w:lang w:eastAsia="zh-CN"/>
        </w:rPr>
        <w:t>（二）</w:t>
      </w:r>
      <w:bookmarkStart w:id="41" w:name="_Hlk72073235"/>
      <w:r>
        <w:rPr>
          <w:rFonts w:hint="eastAsia" w:eastAsia="宋体"/>
          <w:b/>
          <w:kern w:val="2"/>
          <w:lang w:eastAsia="zh-CN"/>
        </w:rPr>
        <w:t>投标人认为需要涉及的其他内容报价清单</w:t>
      </w:r>
      <w:bookmarkEnd w:id="41"/>
    </w:p>
    <w:p w14:paraId="3E5D6483">
      <w:pPr>
        <w:widowControl w:val="0"/>
        <w:jc w:val="both"/>
        <w:rPr>
          <w:rFonts w:eastAsia="宋体"/>
          <w:b/>
          <w:bCs/>
          <w:kern w:val="2"/>
          <w:sz w:val="21"/>
          <w:lang w:eastAsia="zh-CN"/>
        </w:rPr>
      </w:pPr>
    </w:p>
    <w:p w14:paraId="23B4F9A9">
      <w:pPr>
        <w:widowControl w:val="0"/>
        <w:spacing w:before="260" w:after="260" w:line="240" w:lineRule="auto"/>
        <w:jc w:val="center"/>
        <w:outlineLvl w:val="2"/>
        <w:rPr>
          <w:rFonts w:hint="eastAsia" w:ascii="黑体" w:hAnsi="宋体" w:eastAsia="黑体"/>
          <w:kern w:val="2"/>
          <w:szCs w:val="32"/>
          <w:lang w:eastAsia="zh-CN"/>
        </w:rPr>
      </w:pPr>
      <w:r>
        <w:rPr>
          <w:rFonts w:hint="eastAsia" w:ascii="黑体" w:hAnsi="宋体" w:eastAsia="黑体"/>
          <w:kern w:val="2"/>
          <w:szCs w:val="32"/>
          <w:lang w:eastAsia="zh-CN"/>
        </w:rPr>
        <w:t>五、</w:t>
      </w:r>
      <w:bookmarkStart w:id="42" w:name="_Hlk72092499"/>
      <w:r>
        <w:rPr>
          <w:rFonts w:hint="eastAsia" w:ascii="黑体" w:hAnsi="宋体" w:eastAsia="黑体"/>
          <w:kern w:val="2"/>
          <w:szCs w:val="32"/>
          <w:lang w:eastAsia="zh-CN"/>
        </w:rPr>
        <w:t>法定代表人（负责人）证明书</w:t>
      </w:r>
      <w:bookmarkEnd w:id="42"/>
    </w:p>
    <w:p w14:paraId="2AEE84EA">
      <w:pPr>
        <w:widowControl w:val="0"/>
        <w:jc w:val="both"/>
        <w:rPr>
          <w:rFonts w:eastAsia="宋体"/>
          <w:kern w:val="2"/>
          <w:lang w:eastAsia="zh-CN"/>
        </w:rPr>
      </w:pPr>
    </w:p>
    <w:p w14:paraId="7F42CA00">
      <w:pPr>
        <w:widowControl w:val="0"/>
        <w:ind w:firstLine="420" w:firstLineChars="200"/>
        <w:jc w:val="both"/>
        <w:rPr>
          <w:rFonts w:eastAsia="宋体"/>
          <w:kern w:val="2"/>
          <w:sz w:val="21"/>
          <w:szCs w:val="21"/>
          <w:lang w:eastAsia="zh-CN"/>
        </w:rPr>
      </w:pPr>
      <w:r>
        <w:rPr>
          <w:rFonts w:hint="eastAsia" w:eastAsia="宋体"/>
          <w:kern w:val="2"/>
          <w:sz w:val="21"/>
          <w:szCs w:val="21"/>
          <w:lang w:eastAsia="zh-CN"/>
        </w:rPr>
        <w:t xml:space="preserve">  </w:t>
      </w:r>
      <w:r>
        <w:rPr>
          <w:rFonts w:hint="eastAsia" w:eastAsia="宋体"/>
          <w:kern w:val="2"/>
          <w:sz w:val="21"/>
          <w:szCs w:val="21"/>
          <w:u w:val="single"/>
          <w:lang w:eastAsia="zh-CN"/>
        </w:rPr>
        <w:t xml:space="preserve">                 </w:t>
      </w:r>
      <w:r>
        <w:rPr>
          <w:rFonts w:hint="eastAsia" w:eastAsia="宋体"/>
          <w:kern w:val="2"/>
          <w:sz w:val="21"/>
          <w:szCs w:val="21"/>
          <w:lang w:eastAsia="zh-CN"/>
        </w:rPr>
        <w:t>（姓名），现任我单位</w:t>
      </w:r>
      <w:r>
        <w:rPr>
          <w:rFonts w:hint="eastAsia" w:eastAsia="宋体"/>
          <w:kern w:val="2"/>
          <w:sz w:val="21"/>
          <w:szCs w:val="21"/>
          <w:u w:val="single"/>
          <w:lang w:eastAsia="zh-CN"/>
        </w:rPr>
        <w:t xml:space="preserve">             </w:t>
      </w:r>
      <w:r>
        <w:rPr>
          <w:rFonts w:hint="eastAsia" w:eastAsia="宋体"/>
          <w:kern w:val="2"/>
          <w:sz w:val="21"/>
          <w:szCs w:val="21"/>
          <w:lang w:eastAsia="zh-CN"/>
        </w:rPr>
        <w:t>职务，为法定代表人（负责人），身份证件号为：</w:t>
      </w:r>
      <w:r>
        <w:rPr>
          <w:rFonts w:hint="eastAsia" w:eastAsia="宋体"/>
          <w:kern w:val="2"/>
          <w:sz w:val="21"/>
          <w:szCs w:val="21"/>
          <w:u w:val="single"/>
          <w:lang w:eastAsia="zh-CN"/>
        </w:rPr>
        <w:t xml:space="preserve">                                     </w:t>
      </w:r>
      <w:r>
        <w:rPr>
          <w:rFonts w:hint="eastAsia" w:eastAsia="宋体"/>
          <w:kern w:val="2"/>
          <w:sz w:val="21"/>
          <w:szCs w:val="21"/>
          <w:lang w:eastAsia="zh-CN"/>
        </w:rPr>
        <w:t>，联系电话：</w:t>
      </w:r>
      <w:r>
        <w:rPr>
          <w:rFonts w:hint="eastAsia" w:eastAsia="宋体"/>
          <w:kern w:val="2"/>
          <w:sz w:val="21"/>
          <w:szCs w:val="21"/>
          <w:u w:val="single"/>
          <w:lang w:eastAsia="zh-CN"/>
        </w:rPr>
        <w:t xml:space="preserve">                </w:t>
      </w:r>
      <w:r>
        <w:rPr>
          <w:rFonts w:hint="eastAsia" w:eastAsia="宋体"/>
          <w:kern w:val="2"/>
          <w:sz w:val="21"/>
          <w:szCs w:val="21"/>
          <w:lang w:eastAsia="zh-CN"/>
        </w:rPr>
        <w:t>。</w:t>
      </w:r>
    </w:p>
    <w:p w14:paraId="66CF3CFF">
      <w:pPr>
        <w:widowControl w:val="0"/>
        <w:ind w:firstLine="420" w:firstLineChars="200"/>
        <w:jc w:val="both"/>
        <w:rPr>
          <w:rFonts w:eastAsia="宋体"/>
          <w:kern w:val="2"/>
          <w:sz w:val="21"/>
          <w:szCs w:val="21"/>
          <w:lang w:eastAsia="zh-CN"/>
        </w:rPr>
      </w:pPr>
      <w:r>
        <w:rPr>
          <w:rFonts w:hint="eastAsia" w:eastAsia="宋体"/>
          <w:kern w:val="2"/>
          <w:sz w:val="21"/>
          <w:szCs w:val="21"/>
          <w:lang w:eastAsia="zh-CN"/>
        </w:rPr>
        <w:t>特此证明。</w:t>
      </w:r>
    </w:p>
    <w:p w14:paraId="7409AE8A">
      <w:pPr>
        <w:widowControl w:val="0"/>
        <w:ind w:firstLine="420" w:firstLineChars="200"/>
        <w:jc w:val="both"/>
        <w:rPr>
          <w:rFonts w:eastAsia="宋体"/>
          <w:kern w:val="2"/>
          <w:sz w:val="21"/>
          <w:szCs w:val="21"/>
          <w:lang w:eastAsia="zh-CN"/>
        </w:rPr>
      </w:pPr>
      <w:r>
        <w:rPr>
          <w:rFonts w:hint="eastAsia" w:eastAsia="宋体"/>
          <w:kern w:val="2"/>
          <w:sz w:val="21"/>
          <w:szCs w:val="21"/>
          <w:lang w:eastAsia="zh-CN"/>
        </w:rPr>
        <w:t>说明：1、法定代表人为投标人（企业事业单位、国家机关、社会团体）的主要行政负责人。</w:t>
      </w:r>
    </w:p>
    <w:p w14:paraId="73C62259">
      <w:pPr>
        <w:widowControl w:val="0"/>
        <w:numPr>
          <w:ilvl w:val="0"/>
          <w:numId w:val="3"/>
        </w:numPr>
        <w:ind w:left="420" w:firstLine="420" w:firstLineChars="200"/>
        <w:jc w:val="both"/>
        <w:rPr>
          <w:rFonts w:eastAsia="宋体"/>
          <w:kern w:val="2"/>
          <w:sz w:val="21"/>
          <w:szCs w:val="21"/>
          <w:lang w:eastAsia="zh-CN"/>
        </w:rPr>
      </w:pPr>
      <w:r>
        <w:rPr>
          <w:rFonts w:hint="eastAsia" w:eastAsia="宋体"/>
          <w:kern w:val="2"/>
          <w:sz w:val="21"/>
          <w:szCs w:val="21"/>
          <w:lang w:eastAsia="zh-Hans"/>
        </w:rPr>
        <w:t>本证明书要供法定代表人（负责人）</w:t>
      </w:r>
      <w:r>
        <w:rPr>
          <w:rFonts w:hint="eastAsia" w:eastAsia="宋体"/>
          <w:kern w:val="2"/>
          <w:sz w:val="21"/>
          <w:szCs w:val="21"/>
          <w:lang w:eastAsia="zh-CN"/>
        </w:rPr>
        <w:t>相关身份证明文件：身份证扫描件（正反两面）；港澳台居民可提供来往通行证扫描件；非中国国籍管辖范围人员，可提供公安部门认可的身份证明材料扫描件。</w:t>
      </w:r>
    </w:p>
    <w:p w14:paraId="2EB9E41A">
      <w:pPr>
        <w:widowControl w:val="0"/>
        <w:numPr>
          <w:ilvl w:val="0"/>
          <w:numId w:val="3"/>
        </w:numPr>
        <w:ind w:left="420" w:firstLine="420" w:firstLineChars="200"/>
        <w:jc w:val="both"/>
        <w:rPr>
          <w:rFonts w:eastAsia="宋体"/>
          <w:kern w:val="2"/>
          <w:sz w:val="21"/>
          <w:szCs w:val="21"/>
          <w:lang w:eastAsia="zh-CN"/>
        </w:rPr>
      </w:pPr>
      <w:r>
        <w:rPr>
          <w:rFonts w:hint="eastAsia" w:eastAsia="宋体"/>
          <w:kern w:val="2"/>
          <w:sz w:val="21"/>
          <w:szCs w:val="21"/>
          <w:lang w:eastAsia="zh-Hans"/>
        </w:rPr>
        <w:t>本项目投标授权代表为法定代表人（负责人）的，无需提供</w:t>
      </w:r>
      <w:r>
        <w:rPr>
          <w:rFonts w:hint="eastAsia" w:eastAsia="宋体"/>
          <w:kern w:val="2"/>
          <w:sz w:val="21"/>
          <w:szCs w:val="21"/>
          <w:lang w:eastAsia="zh-CN"/>
        </w:rPr>
        <w:t>《投标文件签署授权委托书》</w:t>
      </w:r>
      <w:r>
        <w:rPr>
          <w:rFonts w:hint="eastAsia" w:eastAsia="宋体"/>
          <w:kern w:val="2"/>
          <w:sz w:val="21"/>
          <w:szCs w:val="21"/>
          <w:lang w:eastAsia="zh-Hans"/>
        </w:rPr>
        <w:t>。</w:t>
      </w:r>
    </w:p>
    <w:p w14:paraId="53312AB0">
      <w:pPr>
        <w:widowControl w:val="0"/>
        <w:numPr>
          <w:ilvl w:val="0"/>
          <w:numId w:val="3"/>
        </w:numPr>
        <w:ind w:left="420" w:firstLine="420" w:firstLineChars="200"/>
        <w:jc w:val="both"/>
        <w:rPr>
          <w:rFonts w:eastAsia="宋体"/>
          <w:kern w:val="2"/>
          <w:sz w:val="21"/>
          <w:szCs w:val="21"/>
          <w:lang w:eastAsia="zh-CN"/>
        </w:rPr>
      </w:pPr>
      <w:r>
        <w:rPr>
          <w:rFonts w:hint="eastAsia" w:eastAsia="宋体"/>
          <w:kern w:val="2"/>
          <w:sz w:val="21"/>
          <w:szCs w:val="21"/>
          <w:lang w:eastAsia="zh-CN"/>
        </w:rPr>
        <w:t>内容必须填写真实、清楚，涂改无效，不得转让、买卖。</w:t>
      </w: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5908F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Pr>
          <w:p w14:paraId="287E621F">
            <w:pPr>
              <w:widowControl w:val="0"/>
              <w:jc w:val="center"/>
              <w:rPr>
                <w:rFonts w:eastAsia="宋体"/>
                <w:kern w:val="2"/>
                <w:sz w:val="21"/>
                <w:lang w:eastAsia="zh-CN"/>
              </w:rPr>
            </w:pPr>
            <w:r>
              <w:rPr>
                <w:rFonts w:hint="eastAsia" w:eastAsia="宋体"/>
                <w:kern w:val="2"/>
                <w:sz w:val="21"/>
                <w:lang w:eastAsia="zh-CN"/>
              </w:rPr>
              <w:t>证件扫描件正面</w:t>
            </w:r>
          </w:p>
          <w:p w14:paraId="0AF03873">
            <w:pPr>
              <w:widowControl w:val="0"/>
              <w:spacing w:line="240" w:lineRule="auto"/>
              <w:jc w:val="center"/>
              <w:rPr>
                <w:rFonts w:eastAsia="宋体"/>
                <w:b/>
                <w:bCs/>
                <w:kern w:val="2"/>
                <w:lang w:eastAsia="zh-CN"/>
              </w:rPr>
            </w:pPr>
          </w:p>
          <w:p w14:paraId="6748A873">
            <w:pPr>
              <w:widowControl w:val="0"/>
              <w:spacing w:line="240" w:lineRule="auto"/>
              <w:jc w:val="center"/>
              <w:rPr>
                <w:rFonts w:eastAsia="宋体"/>
                <w:kern w:val="2"/>
                <w:lang w:eastAsia="zh-CN"/>
              </w:rPr>
            </w:pPr>
          </w:p>
        </w:tc>
        <w:tc>
          <w:tcPr>
            <w:tcW w:w="4265" w:type="dxa"/>
          </w:tcPr>
          <w:p w14:paraId="36CF0F9F">
            <w:pPr>
              <w:widowControl w:val="0"/>
              <w:jc w:val="center"/>
              <w:rPr>
                <w:rFonts w:eastAsia="宋体"/>
                <w:kern w:val="2"/>
                <w:sz w:val="21"/>
                <w:lang w:eastAsia="zh-CN"/>
              </w:rPr>
            </w:pPr>
            <w:r>
              <w:rPr>
                <w:rFonts w:hint="eastAsia" w:eastAsia="宋体"/>
                <w:kern w:val="2"/>
                <w:sz w:val="21"/>
                <w:lang w:eastAsia="zh-CN"/>
              </w:rPr>
              <w:t>证件扫描件反面</w:t>
            </w:r>
          </w:p>
          <w:p w14:paraId="5CBBBB6F">
            <w:pPr>
              <w:widowControl w:val="0"/>
              <w:spacing w:line="240" w:lineRule="auto"/>
              <w:jc w:val="center"/>
              <w:rPr>
                <w:rFonts w:eastAsia="宋体"/>
                <w:b/>
                <w:bCs/>
                <w:kern w:val="2"/>
                <w:lang w:eastAsia="zh-CN"/>
              </w:rPr>
            </w:pPr>
          </w:p>
          <w:p w14:paraId="076BEC41">
            <w:pPr>
              <w:widowControl w:val="0"/>
              <w:spacing w:line="240" w:lineRule="auto"/>
              <w:jc w:val="center"/>
              <w:rPr>
                <w:rFonts w:eastAsia="宋体"/>
                <w:kern w:val="2"/>
                <w:lang w:eastAsia="zh-CN"/>
              </w:rPr>
            </w:pPr>
          </w:p>
        </w:tc>
      </w:tr>
    </w:tbl>
    <w:p w14:paraId="39B8F6CB">
      <w:pPr>
        <w:widowControl w:val="0"/>
        <w:ind w:firstLine="480" w:firstLineChars="200"/>
        <w:jc w:val="both"/>
        <w:rPr>
          <w:rFonts w:eastAsia="宋体"/>
          <w:kern w:val="2"/>
          <w:lang w:eastAsia="zh-CN"/>
        </w:rPr>
      </w:pPr>
    </w:p>
    <w:p w14:paraId="283E0AE9">
      <w:pPr>
        <w:widowControl w:val="0"/>
        <w:jc w:val="both"/>
        <w:rPr>
          <w:rFonts w:eastAsia="宋体"/>
          <w:b/>
          <w:bCs/>
          <w:kern w:val="2"/>
          <w:lang w:eastAsia="zh-CN"/>
        </w:rPr>
      </w:pPr>
    </w:p>
    <w:p w14:paraId="06420B43">
      <w:pPr>
        <w:widowControl w:val="0"/>
        <w:spacing w:before="120" w:after="120" w:line="240" w:lineRule="auto"/>
        <w:jc w:val="center"/>
        <w:outlineLvl w:val="2"/>
        <w:rPr>
          <w:rFonts w:hint="eastAsia" w:ascii="黑体" w:hAnsi="宋体" w:eastAsia="黑体"/>
          <w:kern w:val="2"/>
          <w:szCs w:val="32"/>
          <w:lang w:eastAsia="zh-CN"/>
        </w:rPr>
      </w:pPr>
      <w:r>
        <w:rPr>
          <w:rFonts w:hint="eastAsia" w:ascii="黑体" w:hAnsi="宋体" w:eastAsia="黑体"/>
          <w:kern w:val="2"/>
          <w:szCs w:val="32"/>
          <w:lang w:eastAsia="zh-CN"/>
        </w:rPr>
        <w:t>六、投标文件签署授权委托书</w:t>
      </w:r>
    </w:p>
    <w:p w14:paraId="29133739">
      <w:pPr>
        <w:widowControl w:val="0"/>
        <w:ind w:firstLine="420" w:firstLineChars="200"/>
        <w:jc w:val="both"/>
        <w:rPr>
          <w:rFonts w:eastAsia="宋体"/>
          <w:kern w:val="2"/>
          <w:sz w:val="21"/>
          <w:szCs w:val="21"/>
          <w:lang w:eastAsia="zh-CN"/>
        </w:rPr>
      </w:pPr>
      <w:r>
        <w:rPr>
          <w:rFonts w:hint="eastAsia" w:eastAsia="宋体"/>
          <w:kern w:val="2"/>
          <w:sz w:val="21"/>
          <w:szCs w:val="21"/>
          <w:lang w:eastAsia="zh-CN"/>
        </w:rPr>
        <w:t>本授权委托书声明：我</w:t>
      </w:r>
      <w:r>
        <w:rPr>
          <w:rFonts w:hint="eastAsia" w:eastAsia="宋体"/>
          <w:kern w:val="2"/>
          <w:sz w:val="21"/>
          <w:szCs w:val="21"/>
          <w:u w:val="single"/>
          <w:lang w:eastAsia="zh-CN"/>
        </w:rPr>
        <w:t xml:space="preserve">           </w:t>
      </w:r>
      <w:r>
        <w:rPr>
          <w:rFonts w:hint="eastAsia" w:eastAsia="宋体"/>
          <w:kern w:val="2"/>
          <w:sz w:val="21"/>
          <w:szCs w:val="21"/>
          <w:lang w:eastAsia="zh-CN"/>
        </w:rPr>
        <w:t>（姓名）系</w:t>
      </w:r>
      <w:r>
        <w:rPr>
          <w:rFonts w:hint="eastAsia" w:eastAsia="宋体"/>
          <w:kern w:val="2"/>
          <w:sz w:val="21"/>
          <w:szCs w:val="21"/>
          <w:u w:val="single"/>
          <w:lang w:eastAsia="zh-CN"/>
        </w:rPr>
        <w:t xml:space="preserve">             </w:t>
      </w:r>
      <w:r>
        <w:rPr>
          <w:rFonts w:hint="eastAsia" w:eastAsia="宋体"/>
          <w:kern w:val="2"/>
          <w:sz w:val="21"/>
          <w:szCs w:val="21"/>
          <w:lang w:eastAsia="zh-CN"/>
        </w:rPr>
        <w:t>（投标人名称）的法定代表人（负责人），现授权委托</w:t>
      </w:r>
      <w:r>
        <w:rPr>
          <w:rFonts w:hint="eastAsia" w:eastAsia="宋体"/>
          <w:kern w:val="2"/>
          <w:sz w:val="21"/>
          <w:szCs w:val="21"/>
          <w:u w:val="single"/>
          <w:lang w:eastAsia="zh-CN"/>
        </w:rPr>
        <w:t xml:space="preserve">            </w:t>
      </w:r>
      <w:r>
        <w:rPr>
          <w:rFonts w:hint="eastAsia" w:eastAsia="宋体"/>
          <w:kern w:val="2"/>
          <w:sz w:val="21"/>
          <w:szCs w:val="21"/>
          <w:lang w:eastAsia="zh-CN"/>
        </w:rPr>
        <w:t>（姓名）为我单位签署本项目已递交的投标文件的法定代表人（负责人）的授权委托代理人，代理人全权代表我所签署的本项目已递交的投标文件内容我均承认。</w:t>
      </w:r>
    </w:p>
    <w:p w14:paraId="0532A868">
      <w:pPr>
        <w:widowControl w:val="0"/>
        <w:ind w:firstLine="420" w:firstLineChars="200"/>
        <w:jc w:val="both"/>
        <w:rPr>
          <w:rFonts w:eastAsia="宋体"/>
          <w:kern w:val="2"/>
          <w:sz w:val="21"/>
          <w:szCs w:val="21"/>
          <w:lang w:eastAsia="zh-CN"/>
        </w:rPr>
      </w:pPr>
      <w:r>
        <w:rPr>
          <w:rFonts w:hint="eastAsia" w:eastAsia="宋体"/>
          <w:kern w:val="2"/>
          <w:sz w:val="21"/>
          <w:szCs w:val="21"/>
          <w:lang w:eastAsia="zh-CN"/>
        </w:rPr>
        <w:t>代理人无转委托权，特此委托。</w:t>
      </w:r>
    </w:p>
    <w:p w14:paraId="59E54E79">
      <w:pPr>
        <w:widowControl w:val="0"/>
        <w:ind w:firstLine="420" w:firstLineChars="200"/>
        <w:jc w:val="both"/>
        <w:rPr>
          <w:rFonts w:eastAsia="宋体"/>
          <w:kern w:val="2"/>
          <w:sz w:val="21"/>
          <w:szCs w:val="21"/>
          <w:lang w:eastAsia="zh-CN"/>
        </w:rPr>
      </w:pPr>
    </w:p>
    <w:p w14:paraId="4B0D50DF">
      <w:pPr>
        <w:widowControl w:val="0"/>
        <w:ind w:firstLine="420" w:firstLineChars="200"/>
        <w:jc w:val="both"/>
        <w:rPr>
          <w:rFonts w:eastAsia="宋体"/>
          <w:kern w:val="2"/>
          <w:sz w:val="21"/>
          <w:szCs w:val="21"/>
          <w:lang w:eastAsia="zh-CN"/>
        </w:rPr>
      </w:pPr>
      <w:r>
        <w:rPr>
          <w:rFonts w:hint="eastAsia" w:eastAsia="宋体"/>
          <w:kern w:val="2"/>
          <w:sz w:val="21"/>
          <w:szCs w:val="21"/>
          <w:lang w:eastAsia="zh-CN"/>
        </w:rPr>
        <w:t>代理人：</w:t>
      </w:r>
      <w:r>
        <w:rPr>
          <w:rFonts w:hint="eastAsia" w:eastAsia="宋体"/>
          <w:kern w:val="2"/>
          <w:sz w:val="21"/>
          <w:szCs w:val="21"/>
          <w:u w:val="single"/>
          <w:lang w:eastAsia="zh-CN"/>
        </w:rPr>
        <w:t xml:space="preserve">              </w:t>
      </w:r>
      <w:r>
        <w:rPr>
          <w:rFonts w:hint="eastAsia" w:eastAsia="宋体"/>
          <w:kern w:val="2"/>
          <w:sz w:val="21"/>
          <w:szCs w:val="21"/>
          <w:lang w:eastAsia="zh-CN"/>
        </w:rPr>
        <w:t>；</w:t>
      </w:r>
    </w:p>
    <w:p w14:paraId="47C744F1">
      <w:pPr>
        <w:widowControl w:val="0"/>
        <w:ind w:firstLine="420" w:firstLineChars="200"/>
        <w:jc w:val="both"/>
        <w:rPr>
          <w:rFonts w:eastAsia="宋体"/>
          <w:kern w:val="2"/>
          <w:sz w:val="21"/>
          <w:szCs w:val="21"/>
          <w:lang w:eastAsia="zh-CN"/>
        </w:rPr>
      </w:pPr>
      <w:r>
        <w:rPr>
          <w:rFonts w:hint="eastAsia" w:eastAsia="宋体"/>
          <w:kern w:val="2"/>
          <w:sz w:val="21"/>
          <w:szCs w:val="21"/>
          <w:lang w:eastAsia="zh-CN"/>
        </w:rPr>
        <w:t>身份证件号：</w:t>
      </w:r>
      <w:r>
        <w:rPr>
          <w:rFonts w:hint="eastAsia" w:eastAsia="宋体"/>
          <w:kern w:val="2"/>
          <w:sz w:val="21"/>
          <w:szCs w:val="21"/>
          <w:u w:val="single"/>
          <w:lang w:eastAsia="zh-CN"/>
        </w:rPr>
        <w:t xml:space="preserve">                        </w:t>
      </w:r>
      <w:r>
        <w:rPr>
          <w:rFonts w:hint="eastAsia" w:eastAsia="宋体"/>
          <w:kern w:val="2"/>
          <w:sz w:val="21"/>
          <w:szCs w:val="21"/>
          <w:lang w:eastAsia="zh-CN"/>
        </w:rPr>
        <w:t>，职务：</w:t>
      </w:r>
      <w:r>
        <w:rPr>
          <w:rFonts w:hint="eastAsia" w:eastAsia="宋体"/>
          <w:kern w:val="2"/>
          <w:sz w:val="21"/>
          <w:szCs w:val="21"/>
          <w:u w:val="single"/>
          <w:lang w:eastAsia="zh-CN"/>
        </w:rPr>
        <w:t xml:space="preserve">                </w:t>
      </w:r>
      <w:r>
        <w:rPr>
          <w:rFonts w:hint="eastAsia" w:eastAsia="宋体"/>
          <w:kern w:val="2"/>
          <w:sz w:val="21"/>
          <w:szCs w:val="21"/>
          <w:lang w:eastAsia="zh-CN"/>
        </w:rPr>
        <w:t>；</w:t>
      </w:r>
    </w:p>
    <w:p w14:paraId="62C33A43">
      <w:pPr>
        <w:widowControl w:val="0"/>
        <w:ind w:firstLine="420" w:firstLineChars="200"/>
        <w:jc w:val="both"/>
        <w:rPr>
          <w:rFonts w:eastAsia="宋体"/>
          <w:kern w:val="2"/>
          <w:sz w:val="21"/>
          <w:szCs w:val="21"/>
          <w:lang w:eastAsia="zh-CN"/>
        </w:rPr>
      </w:pPr>
      <w:r>
        <w:rPr>
          <w:rFonts w:hint="eastAsia" w:eastAsia="宋体"/>
          <w:kern w:val="2"/>
          <w:sz w:val="21"/>
          <w:szCs w:val="21"/>
          <w:lang w:eastAsia="zh-CN"/>
        </w:rPr>
        <w:t>联系电话：</w:t>
      </w:r>
      <w:r>
        <w:rPr>
          <w:rFonts w:hint="eastAsia" w:eastAsia="宋体"/>
          <w:kern w:val="2"/>
          <w:sz w:val="21"/>
          <w:szCs w:val="21"/>
          <w:u w:val="single"/>
          <w:lang w:eastAsia="zh-CN"/>
        </w:rPr>
        <w:t xml:space="preserve">         </w:t>
      </w:r>
      <w:r>
        <w:rPr>
          <w:rFonts w:hint="eastAsia" w:eastAsia="宋体"/>
          <w:kern w:val="2"/>
          <w:sz w:val="21"/>
          <w:szCs w:val="21"/>
          <w:lang w:eastAsia="zh-CN"/>
        </w:rPr>
        <w:t>，手机：</w:t>
      </w:r>
      <w:r>
        <w:rPr>
          <w:rFonts w:hint="eastAsia" w:eastAsia="宋体"/>
          <w:kern w:val="2"/>
          <w:sz w:val="21"/>
          <w:szCs w:val="21"/>
          <w:u w:val="single"/>
          <w:lang w:eastAsia="zh-CN"/>
        </w:rPr>
        <w:t xml:space="preserve">                </w:t>
      </w:r>
      <w:r>
        <w:rPr>
          <w:rFonts w:hint="eastAsia" w:eastAsia="宋体"/>
          <w:kern w:val="2"/>
          <w:sz w:val="21"/>
          <w:szCs w:val="21"/>
          <w:lang w:eastAsia="zh-CN"/>
        </w:rPr>
        <w:t>，电子邮箱：</w:t>
      </w:r>
      <w:r>
        <w:rPr>
          <w:rFonts w:hint="eastAsia" w:eastAsia="宋体"/>
          <w:kern w:val="2"/>
          <w:sz w:val="21"/>
          <w:szCs w:val="21"/>
          <w:u w:val="single"/>
          <w:lang w:eastAsia="zh-CN"/>
        </w:rPr>
        <w:t xml:space="preserve">                     </w:t>
      </w:r>
      <w:r>
        <w:rPr>
          <w:rFonts w:hint="eastAsia" w:eastAsia="宋体"/>
          <w:kern w:val="2"/>
          <w:sz w:val="21"/>
          <w:szCs w:val="21"/>
          <w:lang w:eastAsia="zh-CN"/>
        </w:rPr>
        <w:t>；</w:t>
      </w:r>
    </w:p>
    <w:p w14:paraId="38360618">
      <w:pPr>
        <w:widowControl w:val="0"/>
        <w:ind w:firstLine="420" w:firstLineChars="200"/>
        <w:jc w:val="both"/>
        <w:rPr>
          <w:rFonts w:eastAsia="宋体"/>
          <w:kern w:val="2"/>
          <w:sz w:val="21"/>
          <w:szCs w:val="21"/>
          <w:lang w:eastAsia="zh-CN"/>
        </w:rPr>
      </w:pPr>
      <w:r>
        <w:rPr>
          <w:rFonts w:hint="eastAsia" w:eastAsia="宋体"/>
          <w:kern w:val="2"/>
          <w:sz w:val="21"/>
          <w:szCs w:val="21"/>
          <w:lang w:eastAsia="zh-CN"/>
        </w:rPr>
        <w:t>授权委托日期：</w:t>
      </w:r>
      <w:r>
        <w:rPr>
          <w:rFonts w:hint="eastAsia" w:eastAsia="宋体"/>
          <w:kern w:val="2"/>
          <w:sz w:val="21"/>
          <w:szCs w:val="21"/>
          <w:u w:val="single"/>
          <w:lang w:eastAsia="zh-CN"/>
        </w:rPr>
        <w:t xml:space="preserve">         </w:t>
      </w:r>
      <w:r>
        <w:rPr>
          <w:rFonts w:hint="eastAsia" w:eastAsia="宋体"/>
          <w:kern w:val="2"/>
          <w:sz w:val="21"/>
          <w:szCs w:val="21"/>
          <w:lang w:eastAsia="zh-CN"/>
        </w:rPr>
        <w:t>年</w:t>
      </w:r>
      <w:r>
        <w:rPr>
          <w:rFonts w:hint="eastAsia" w:eastAsia="宋体"/>
          <w:kern w:val="2"/>
          <w:sz w:val="21"/>
          <w:szCs w:val="21"/>
          <w:u w:val="single"/>
          <w:lang w:eastAsia="zh-CN"/>
        </w:rPr>
        <w:t xml:space="preserve">     </w:t>
      </w:r>
      <w:r>
        <w:rPr>
          <w:rFonts w:hint="eastAsia" w:eastAsia="宋体"/>
          <w:kern w:val="2"/>
          <w:sz w:val="21"/>
          <w:szCs w:val="21"/>
          <w:lang w:eastAsia="zh-CN"/>
        </w:rPr>
        <w:t xml:space="preserve">月 </w:t>
      </w:r>
      <w:r>
        <w:rPr>
          <w:rFonts w:hint="eastAsia" w:eastAsia="宋体"/>
          <w:kern w:val="2"/>
          <w:sz w:val="21"/>
          <w:szCs w:val="21"/>
          <w:u w:val="single"/>
          <w:lang w:eastAsia="zh-CN"/>
        </w:rPr>
        <w:t xml:space="preserve">      </w:t>
      </w:r>
      <w:r>
        <w:rPr>
          <w:rFonts w:hint="eastAsia" w:eastAsia="宋体"/>
          <w:kern w:val="2"/>
          <w:sz w:val="21"/>
          <w:szCs w:val="21"/>
          <w:lang w:eastAsia="zh-CN"/>
        </w:rPr>
        <w:t>日。</w:t>
      </w:r>
    </w:p>
    <w:p w14:paraId="408407A5">
      <w:pPr>
        <w:widowControl w:val="0"/>
        <w:ind w:firstLine="422" w:firstLineChars="200"/>
        <w:jc w:val="both"/>
        <w:rPr>
          <w:rFonts w:eastAsia="宋体"/>
          <w:b/>
          <w:color w:val="FF0000"/>
          <w:kern w:val="2"/>
          <w:sz w:val="21"/>
          <w:szCs w:val="21"/>
          <w:lang w:eastAsia="zh-CN"/>
        </w:rPr>
      </w:pPr>
      <w:r>
        <w:rPr>
          <w:rFonts w:hint="eastAsia" w:eastAsia="宋体"/>
          <w:b/>
          <w:color w:val="FF0000"/>
          <w:kern w:val="2"/>
          <w:sz w:val="21"/>
          <w:szCs w:val="21"/>
          <w:lang w:eastAsia="zh-CN"/>
        </w:rPr>
        <w:t>附：请提供代理人身份证扫描件（正反两面）；港澳台居民可提供来往通行证扫描件；非中国国籍管辖范围人员，可提供公安部门认可的身份证明材料扫描件。</w:t>
      </w: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7"/>
        <w:gridCol w:w="4142"/>
      </w:tblGrid>
      <w:tr w14:paraId="7A04F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87" w:type="dxa"/>
          </w:tcPr>
          <w:p w14:paraId="45E5DDF3">
            <w:pPr>
              <w:widowControl w:val="0"/>
              <w:jc w:val="center"/>
              <w:rPr>
                <w:rFonts w:eastAsia="宋体"/>
                <w:kern w:val="2"/>
                <w:sz w:val="21"/>
                <w:lang w:eastAsia="zh-CN"/>
              </w:rPr>
            </w:pPr>
            <w:r>
              <w:rPr>
                <w:rFonts w:hint="eastAsia" w:eastAsia="宋体"/>
                <w:kern w:val="2"/>
                <w:sz w:val="21"/>
                <w:lang w:eastAsia="zh-CN"/>
              </w:rPr>
              <w:t>证件扫描件正面</w:t>
            </w:r>
          </w:p>
          <w:p w14:paraId="63F9280E">
            <w:pPr>
              <w:widowControl w:val="0"/>
              <w:spacing w:line="240" w:lineRule="auto"/>
              <w:jc w:val="center"/>
              <w:rPr>
                <w:rFonts w:eastAsia="宋体"/>
                <w:b/>
                <w:bCs/>
                <w:kern w:val="2"/>
                <w:lang w:eastAsia="zh-CN"/>
              </w:rPr>
            </w:pPr>
          </w:p>
          <w:p w14:paraId="664256A0">
            <w:pPr>
              <w:widowControl w:val="0"/>
              <w:spacing w:line="240" w:lineRule="auto"/>
              <w:jc w:val="center"/>
              <w:rPr>
                <w:rFonts w:eastAsia="宋体"/>
                <w:kern w:val="2"/>
                <w:lang w:eastAsia="zh-CN"/>
              </w:rPr>
            </w:pPr>
          </w:p>
        </w:tc>
        <w:tc>
          <w:tcPr>
            <w:tcW w:w="4142" w:type="dxa"/>
          </w:tcPr>
          <w:p w14:paraId="73BA9981">
            <w:pPr>
              <w:widowControl w:val="0"/>
              <w:jc w:val="center"/>
              <w:rPr>
                <w:rFonts w:eastAsia="宋体"/>
                <w:kern w:val="2"/>
                <w:sz w:val="21"/>
                <w:lang w:eastAsia="zh-CN"/>
              </w:rPr>
            </w:pPr>
            <w:r>
              <w:rPr>
                <w:rFonts w:hint="eastAsia" w:eastAsia="宋体"/>
                <w:kern w:val="2"/>
                <w:sz w:val="21"/>
                <w:lang w:eastAsia="zh-CN"/>
              </w:rPr>
              <w:t>证件扫描件反面</w:t>
            </w:r>
          </w:p>
          <w:p w14:paraId="34CFF846">
            <w:pPr>
              <w:widowControl w:val="0"/>
              <w:spacing w:line="240" w:lineRule="auto"/>
              <w:jc w:val="center"/>
              <w:rPr>
                <w:rFonts w:eastAsia="宋体"/>
                <w:b/>
                <w:bCs/>
                <w:kern w:val="2"/>
                <w:lang w:eastAsia="zh-CN"/>
              </w:rPr>
            </w:pPr>
          </w:p>
          <w:p w14:paraId="5C094542">
            <w:pPr>
              <w:widowControl w:val="0"/>
              <w:spacing w:line="240" w:lineRule="auto"/>
              <w:jc w:val="center"/>
              <w:rPr>
                <w:rFonts w:eastAsia="宋体"/>
                <w:kern w:val="2"/>
                <w:lang w:eastAsia="zh-CN"/>
              </w:rPr>
            </w:pPr>
          </w:p>
        </w:tc>
      </w:tr>
    </w:tbl>
    <w:p w14:paraId="645829B2">
      <w:pPr>
        <w:widowControl w:val="0"/>
        <w:spacing w:before="260" w:after="260" w:line="240" w:lineRule="auto"/>
        <w:jc w:val="center"/>
        <w:outlineLvl w:val="2"/>
        <w:rPr>
          <w:rFonts w:hint="eastAsia" w:ascii="黑体" w:hAnsi="宋体" w:eastAsia="黑体"/>
          <w:lang w:eastAsia="zh-CN"/>
        </w:rPr>
      </w:pPr>
      <w:r>
        <w:rPr>
          <w:rFonts w:hint="eastAsia" w:ascii="黑体" w:hAnsi="宋体" w:eastAsia="黑体"/>
          <w:lang w:eastAsia="zh-CN"/>
        </w:rPr>
        <w:t>七、</w:t>
      </w:r>
      <w:bookmarkStart w:id="43" w:name="_Hlk72092634"/>
      <w:r>
        <w:rPr>
          <w:rFonts w:hint="eastAsia" w:ascii="黑体" w:hAnsi="宋体" w:eastAsia="黑体"/>
          <w:lang w:eastAsia="zh-CN"/>
        </w:rPr>
        <w:t>实质性条款响应情况表</w:t>
      </w:r>
      <w:bookmarkEnd w:id="43"/>
    </w:p>
    <w:tbl>
      <w:tblPr>
        <w:tblStyle w:val="1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3944"/>
        <w:gridCol w:w="1321"/>
        <w:gridCol w:w="1324"/>
        <w:gridCol w:w="1207"/>
      </w:tblGrid>
      <w:tr w14:paraId="5B7D2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705" w:type="dxa"/>
            <w:vAlign w:val="center"/>
          </w:tcPr>
          <w:p w14:paraId="54CBB50D">
            <w:pPr>
              <w:widowControl w:val="0"/>
              <w:adjustRightInd w:val="0"/>
              <w:snapToGrid w:val="0"/>
              <w:spacing w:line="360" w:lineRule="auto"/>
              <w:jc w:val="center"/>
              <w:rPr>
                <w:rFonts w:hint="eastAsia" w:ascii="宋体" w:hAnsi="宋体" w:eastAsia="宋体"/>
                <w:sz w:val="21"/>
                <w:szCs w:val="21"/>
                <w:lang w:eastAsia="zh-CN"/>
              </w:rPr>
            </w:pPr>
            <w:bookmarkStart w:id="44" w:name="_Hlk72092651"/>
            <w:r>
              <w:rPr>
                <w:rFonts w:hint="eastAsia" w:ascii="宋体" w:hAnsi="宋体" w:eastAsia="宋体"/>
                <w:sz w:val="21"/>
                <w:szCs w:val="21"/>
                <w:lang w:eastAsia="zh-CN"/>
              </w:rPr>
              <w:t>序号</w:t>
            </w:r>
          </w:p>
        </w:tc>
        <w:tc>
          <w:tcPr>
            <w:tcW w:w="3800" w:type="dxa"/>
            <w:vAlign w:val="center"/>
          </w:tcPr>
          <w:p w14:paraId="381202D6">
            <w:pPr>
              <w:widowControl w:val="0"/>
              <w:adjustRightInd w:val="0"/>
              <w:snapToGrid w:val="0"/>
              <w:spacing w:line="360" w:lineRule="auto"/>
              <w:jc w:val="center"/>
              <w:rPr>
                <w:rFonts w:hint="eastAsia" w:ascii="宋体" w:hAnsi="宋体" w:eastAsia="宋体"/>
                <w:sz w:val="21"/>
                <w:szCs w:val="21"/>
                <w:lang w:eastAsia="zh-CN"/>
              </w:rPr>
            </w:pPr>
            <w:r>
              <w:rPr>
                <w:rFonts w:hint="eastAsia" w:ascii="宋体" w:hAnsi="宋体" w:eastAsia="宋体"/>
                <w:sz w:val="21"/>
                <w:szCs w:val="21"/>
                <w:lang w:eastAsia="zh-CN"/>
              </w:rPr>
              <w:t>实质性条款具体内容</w:t>
            </w:r>
          </w:p>
        </w:tc>
        <w:tc>
          <w:tcPr>
            <w:tcW w:w="1273" w:type="dxa"/>
            <w:vAlign w:val="center"/>
          </w:tcPr>
          <w:p w14:paraId="1C539F61">
            <w:pPr>
              <w:widowControl w:val="0"/>
              <w:adjustRightInd w:val="0"/>
              <w:snapToGrid w:val="0"/>
              <w:spacing w:line="360" w:lineRule="auto"/>
              <w:jc w:val="center"/>
              <w:rPr>
                <w:rFonts w:hint="eastAsia" w:ascii="宋体" w:hAnsi="宋体" w:eastAsia="宋体"/>
                <w:sz w:val="21"/>
                <w:szCs w:val="21"/>
                <w:lang w:eastAsia="zh-CN"/>
              </w:rPr>
            </w:pPr>
            <w:r>
              <w:rPr>
                <w:rFonts w:hint="eastAsia" w:eastAsia="宋体"/>
                <w:kern w:val="2"/>
                <w:sz w:val="21"/>
                <w:lang w:eastAsia="zh-CN"/>
              </w:rPr>
              <w:t>投标响应</w:t>
            </w:r>
          </w:p>
        </w:tc>
        <w:tc>
          <w:tcPr>
            <w:tcW w:w="1276" w:type="dxa"/>
            <w:vAlign w:val="center"/>
          </w:tcPr>
          <w:p w14:paraId="53229D44">
            <w:pPr>
              <w:widowControl w:val="0"/>
              <w:adjustRightInd w:val="0"/>
              <w:snapToGrid w:val="0"/>
              <w:spacing w:line="360" w:lineRule="auto"/>
              <w:jc w:val="center"/>
              <w:rPr>
                <w:rFonts w:hint="eastAsia" w:ascii="宋体" w:hAnsi="宋体" w:eastAsia="宋体"/>
                <w:sz w:val="21"/>
                <w:szCs w:val="21"/>
                <w:lang w:eastAsia="zh-CN"/>
              </w:rPr>
            </w:pPr>
            <w:r>
              <w:rPr>
                <w:rFonts w:hint="eastAsia" w:eastAsia="宋体"/>
                <w:kern w:val="2"/>
                <w:sz w:val="21"/>
                <w:lang w:eastAsia="zh-CN"/>
              </w:rPr>
              <w:t>偏离情况</w:t>
            </w:r>
          </w:p>
        </w:tc>
        <w:tc>
          <w:tcPr>
            <w:tcW w:w="1163" w:type="dxa"/>
            <w:vAlign w:val="center"/>
          </w:tcPr>
          <w:p w14:paraId="37C8FBDC">
            <w:pPr>
              <w:widowControl w:val="0"/>
              <w:adjustRightInd w:val="0"/>
              <w:snapToGrid w:val="0"/>
              <w:spacing w:line="360" w:lineRule="auto"/>
              <w:jc w:val="center"/>
              <w:rPr>
                <w:rFonts w:hint="eastAsia" w:ascii="宋体" w:hAnsi="宋体" w:eastAsia="宋体"/>
                <w:sz w:val="21"/>
                <w:szCs w:val="21"/>
                <w:lang w:eastAsia="zh-CN"/>
              </w:rPr>
            </w:pPr>
            <w:r>
              <w:rPr>
                <w:rFonts w:hint="eastAsia" w:eastAsia="宋体"/>
                <w:kern w:val="2"/>
                <w:sz w:val="21"/>
                <w:lang w:eastAsia="zh-CN"/>
              </w:rPr>
              <w:t>说明</w:t>
            </w:r>
          </w:p>
        </w:tc>
      </w:tr>
      <w:bookmarkEnd w:id="44"/>
      <w:tr w14:paraId="46FEF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top"/>
          </w:tcPr>
          <w:p w14:paraId="444A8B60">
            <w:pPr>
              <w:widowControl w:val="0"/>
              <w:adjustRightInd w:val="0"/>
              <w:snapToGrid w:val="0"/>
              <w:spacing w:line="360" w:lineRule="auto"/>
              <w:jc w:val="center"/>
              <w:rPr>
                <w:rFonts w:hint="eastAsia" w:ascii="宋体" w:hAnsi="宋体" w:eastAsia="宋体"/>
                <w:sz w:val="21"/>
                <w:szCs w:val="21"/>
                <w:lang w:eastAsia="zh-CN"/>
              </w:rPr>
            </w:pPr>
            <w:r>
              <w:rPr>
                <w:rFonts w:hint="eastAsia" w:ascii="宋体" w:hAnsi="宋体" w:eastAsia="宋体"/>
                <w:sz w:val="21"/>
                <w:szCs w:val="21"/>
                <w:lang w:eastAsia="zh-CN"/>
              </w:rPr>
              <w:t>1</w:t>
            </w:r>
          </w:p>
        </w:tc>
        <w:tc>
          <w:tcPr>
            <w:tcW w:w="3800" w:type="dxa"/>
            <w:vAlign w:val="top"/>
          </w:tcPr>
          <w:p w14:paraId="24B7BEE2">
            <w:pPr>
              <w:widowControl w:val="0"/>
              <w:jc w:val="both"/>
              <w:rPr>
                <w:rFonts w:hint="eastAsia" w:hAnsi="宋体" w:eastAsia="宋体"/>
                <w:sz w:val="21"/>
                <w:szCs w:val="21"/>
                <w:lang w:eastAsia="zh-CN"/>
              </w:rPr>
            </w:pPr>
            <w:r>
              <w:rPr>
                <w:rFonts w:hint="eastAsia" w:hAnsi="宋体" w:eastAsia="宋体"/>
                <w:b/>
                <w:bCs/>
                <w:color w:val="FF0000"/>
                <w:sz w:val="21"/>
                <w:szCs w:val="21"/>
                <w:lang w:eastAsia="zh-CN"/>
              </w:rPr>
              <w:t>投标人</w:t>
            </w:r>
            <w:r>
              <w:rPr>
                <w:rFonts w:hint="eastAsia" w:ascii="宋体" w:hAnsi="宋体" w:eastAsia="宋体" w:cs="宋体"/>
                <w:b/>
                <w:bCs/>
                <w:color w:val="FF0000"/>
                <w:kern w:val="2"/>
                <w:sz w:val="21"/>
                <w:szCs w:val="21"/>
                <w:lang w:eastAsia="zh-CN"/>
              </w:rPr>
              <w:t>具有商用密码检测机构资质证书（</w:t>
            </w:r>
            <w:r>
              <w:rPr>
                <w:rFonts w:hint="eastAsia" w:eastAsia="宋体"/>
                <w:b/>
                <w:bCs/>
                <w:color w:val="FF0000"/>
                <w:kern w:val="2"/>
                <w:sz w:val="21"/>
                <w:lang w:eastAsia="zh-CN"/>
              </w:rPr>
              <w:t>提供有效期内的证书扫描件</w:t>
            </w:r>
            <w:r>
              <w:rPr>
                <w:rFonts w:hint="eastAsia" w:ascii="宋体" w:hAnsi="宋体" w:eastAsia="宋体" w:cs="宋体"/>
                <w:b/>
                <w:bCs/>
                <w:color w:val="FF0000"/>
                <w:kern w:val="2"/>
                <w:sz w:val="21"/>
                <w:szCs w:val="21"/>
                <w:lang w:eastAsia="zh-CN"/>
              </w:rPr>
              <w:t>作为证明资料），</w:t>
            </w:r>
            <w:r>
              <w:rPr>
                <w:rFonts w:hint="eastAsia" w:eastAsia="宋体"/>
                <w:b/>
                <w:bCs/>
                <w:color w:val="FF0000"/>
                <w:kern w:val="2"/>
                <w:sz w:val="21"/>
                <w:lang w:eastAsia="zh-CN"/>
              </w:rPr>
              <w:t>未提供或提供的证明资料不符合要求的作投标无效处理。</w:t>
            </w:r>
          </w:p>
        </w:tc>
        <w:tc>
          <w:tcPr>
            <w:tcW w:w="1273" w:type="dxa"/>
          </w:tcPr>
          <w:p w14:paraId="5B64C2E0">
            <w:pPr>
              <w:widowControl w:val="0"/>
              <w:adjustRightInd w:val="0"/>
              <w:snapToGrid w:val="0"/>
              <w:spacing w:line="360" w:lineRule="auto"/>
              <w:jc w:val="both"/>
              <w:rPr>
                <w:rFonts w:hint="eastAsia" w:ascii="宋体" w:hAnsi="宋体" w:eastAsia="宋体"/>
                <w:sz w:val="21"/>
                <w:szCs w:val="21"/>
                <w:lang w:eastAsia="zh-CN"/>
              </w:rPr>
            </w:pPr>
          </w:p>
        </w:tc>
        <w:tc>
          <w:tcPr>
            <w:tcW w:w="1276" w:type="dxa"/>
          </w:tcPr>
          <w:p w14:paraId="4317FEC5">
            <w:pPr>
              <w:widowControl w:val="0"/>
              <w:adjustRightInd w:val="0"/>
              <w:snapToGrid w:val="0"/>
              <w:spacing w:line="360" w:lineRule="auto"/>
              <w:jc w:val="both"/>
              <w:rPr>
                <w:rFonts w:hint="eastAsia" w:ascii="宋体" w:hAnsi="宋体" w:eastAsia="宋体"/>
                <w:sz w:val="21"/>
                <w:szCs w:val="21"/>
                <w:lang w:eastAsia="zh-CN"/>
              </w:rPr>
            </w:pPr>
          </w:p>
        </w:tc>
        <w:tc>
          <w:tcPr>
            <w:tcW w:w="1163" w:type="dxa"/>
          </w:tcPr>
          <w:p w14:paraId="649395AF">
            <w:pPr>
              <w:widowControl w:val="0"/>
              <w:adjustRightInd w:val="0"/>
              <w:snapToGrid w:val="0"/>
              <w:spacing w:line="360" w:lineRule="auto"/>
              <w:jc w:val="both"/>
              <w:rPr>
                <w:rFonts w:hint="eastAsia" w:ascii="宋体" w:hAnsi="宋体" w:eastAsia="宋体"/>
                <w:sz w:val="21"/>
                <w:szCs w:val="21"/>
                <w:lang w:eastAsia="zh-CN"/>
              </w:rPr>
            </w:pPr>
          </w:p>
        </w:tc>
      </w:tr>
      <w:tr w14:paraId="50DD3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top"/>
          </w:tcPr>
          <w:p w14:paraId="6720EF2D">
            <w:pPr>
              <w:widowControl w:val="0"/>
              <w:adjustRightInd w:val="0"/>
              <w:snapToGrid w:val="0"/>
              <w:spacing w:line="360" w:lineRule="auto"/>
              <w:jc w:val="center"/>
              <w:rPr>
                <w:rFonts w:hint="eastAsia" w:ascii="宋体" w:hAnsi="宋体" w:eastAsia="宋体"/>
                <w:sz w:val="21"/>
                <w:szCs w:val="21"/>
                <w:lang w:eastAsia="zh-CN"/>
              </w:rPr>
            </w:pPr>
            <w:r>
              <w:rPr>
                <w:rFonts w:hint="eastAsia" w:ascii="宋体" w:hAnsi="宋体" w:eastAsia="宋体"/>
                <w:sz w:val="21"/>
                <w:szCs w:val="21"/>
                <w:lang w:eastAsia="zh-CN"/>
              </w:rPr>
              <w:t>2</w:t>
            </w:r>
          </w:p>
        </w:tc>
        <w:tc>
          <w:tcPr>
            <w:tcW w:w="3800" w:type="dxa"/>
            <w:vAlign w:val="top"/>
          </w:tcPr>
          <w:p w14:paraId="554E7ACE">
            <w:pPr>
              <w:widowControl w:val="0"/>
              <w:jc w:val="both"/>
              <w:rPr>
                <w:rFonts w:hint="eastAsia" w:eastAsia="宋体"/>
                <w:kern w:val="2"/>
                <w:sz w:val="21"/>
                <w:lang w:eastAsia="zh-CN"/>
              </w:rPr>
            </w:pPr>
            <w:r>
              <w:rPr>
                <w:rFonts w:hint="eastAsia" w:hAnsi="宋体" w:eastAsia="宋体"/>
                <w:b/>
                <w:bCs/>
                <w:color w:val="FF0000"/>
                <w:sz w:val="21"/>
                <w:szCs w:val="21"/>
                <w:lang w:eastAsia="zh-CN"/>
              </w:rPr>
              <w:t>投标人具有质量监督管理部门颁发的检验检测机构资质认定证书(CMA)(检验检测能力含软件检测领域)，提供有效期内的证书扫描件。</w:t>
            </w:r>
          </w:p>
        </w:tc>
        <w:tc>
          <w:tcPr>
            <w:tcW w:w="1273" w:type="dxa"/>
          </w:tcPr>
          <w:p w14:paraId="5BBBC1C5">
            <w:pPr>
              <w:widowControl w:val="0"/>
              <w:adjustRightInd w:val="0"/>
              <w:snapToGrid w:val="0"/>
              <w:spacing w:line="360" w:lineRule="auto"/>
              <w:jc w:val="both"/>
              <w:rPr>
                <w:rFonts w:hint="eastAsia" w:ascii="宋体" w:hAnsi="宋体" w:eastAsia="宋体"/>
                <w:sz w:val="21"/>
                <w:szCs w:val="21"/>
                <w:lang w:eastAsia="zh-CN"/>
              </w:rPr>
            </w:pPr>
          </w:p>
        </w:tc>
        <w:tc>
          <w:tcPr>
            <w:tcW w:w="1276" w:type="dxa"/>
          </w:tcPr>
          <w:p w14:paraId="596DD0C4">
            <w:pPr>
              <w:widowControl w:val="0"/>
              <w:adjustRightInd w:val="0"/>
              <w:snapToGrid w:val="0"/>
              <w:spacing w:line="360" w:lineRule="auto"/>
              <w:jc w:val="both"/>
              <w:rPr>
                <w:rFonts w:hint="eastAsia" w:ascii="宋体" w:hAnsi="宋体" w:eastAsia="宋体"/>
                <w:sz w:val="21"/>
                <w:szCs w:val="21"/>
                <w:lang w:eastAsia="zh-CN"/>
              </w:rPr>
            </w:pPr>
          </w:p>
        </w:tc>
        <w:tc>
          <w:tcPr>
            <w:tcW w:w="1163" w:type="dxa"/>
          </w:tcPr>
          <w:p w14:paraId="0F96273A">
            <w:pPr>
              <w:widowControl w:val="0"/>
              <w:adjustRightInd w:val="0"/>
              <w:snapToGrid w:val="0"/>
              <w:spacing w:line="360" w:lineRule="auto"/>
              <w:jc w:val="both"/>
              <w:rPr>
                <w:rFonts w:hint="eastAsia" w:ascii="宋体" w:hAnsi="宋体" w:eastAsia="宋体"/>
                <w:sz w:val="21"/>
                <w:szCs w:val="21"/>
                <w:lang w:eastAsia="zh-CN"/>
              </w:rPr>
            </w:pPr>
          </w:p>
        </w:tc>
      </w:tr>
      <w:tr w14:paraId="4358C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top"/>
          </w:tcPr>
          <w:p w14:paraId="47D1E29C">
            <w:pPr>
              <w:widowControl w:val="0"/>
              <w:adjustRightInd w:val="0"/>
              <w:snapToGrid w:val="0"/>
              <w:spacing w:line="360" w:lineRule="auto"/>
              <w:jc w:val="center"/>
              <w:rPr>
                <w:rFonts w:ascii="宋体" w:hAnsi="宋体" w:eastAsia="宋体"/>
                <w:sz w:val="21"/>
                <w:szCs w:val="21"/>
                <w:lang w:eastAsia="zh-CN"/>
              </w:rPr>
            </w:pPr>
            <w:r>
              <w:rPr>
                <w:rFonts w:hint="eastAsia" w:ascii="宋体" w:hAnsi="宋体" w:eastAsia="宋体"/>
                <w:sz w:val="21"/>
                <w:szCs w:val="21"/>
                <w:lang w:eastAsia="zh-CN"/>
              </w:rPr>
              <w:t>3</w:t>
            </w:r>
          </w:p>
        </w:tc>
        <w:tc>
          <w:tcPr>
            <w:tcW w:w="3800" w:type="dxa"/>
            <w:vAlign w:val="top"/>
          </w:tcPr>
          <w:p w14:paraId="39734BAB">
            <w:pPr>
              <w:widowControl w:val="0"/>
              <w:tabs>
                <w:tab w:val="left" w:pos="3262"/>
              </w:tabs>
              <w:jc w:val="both"/>
              <w:rPr>
                <w:rFonts w:hint="eastAsia" w:eastAsia="宋体"/>
                <w:kern w:val="2"/>
                <w:sz w:val="21"/>
                <w:lang w:eastAsia="zh-CN"/>
              </w:rPr>
            </w:pPr>
            <w:r>
              <w:rPr>
                <w:rFonts w:hint="eastAsia" w:eastAsia="宋体"/>
                <w:kern w:val="2"/>
                <w:sz w:val="21"/>
                <w:lang w:eastAsia="zh-CN"/>
              </w:rPr>
              <w:t>满足本项目标★的条款要求</w:t>
            </w:r>
          </w:p>
        </w:tc>
        <w:tc>
          <w:tcPr>
            <w:tcW w:w="1273" w:type="dxa"/>
          </w:tcPr>
          <w:p w14:paraId="7C067BA7">
            <w:pPr>
              <w:widowControl w:val="0"/>
              <w:adjustRightInd w:val="0"/>
              <w:snapToGrid w:val="0"/>
              <w:spacing w:line="360" w:lineRule="auto"/>
              <w:jc w:val="both"/>
              <w:rPr>
                <w:rFonts w:hint="eastAsia" w:ascii="宋体" w:hAnsi="宋体" w:eastAsia="宋体"/>
                <w:sz w:val="21"/>
                <w:szCs w:val="21"/>
                <w:lang w:eastAsia="zh-CN"/>
              </w:rPr>
            </w:pPr>
          </w:p>
        </w:tc>
        <w:tc>
          <w:tcPr>
            <w:tcW w:w="1276" w:type="dxa"/>
          </w:tcPr>
          <w:p w14:paraId="3C2CBFDB">
            <w:pPr>
              <w:widowControl w:val="0"/>
              <w:adjustRightInd w:val="0"/>
              <w:snapToGrid w:val="0"/>
              <w:spacing w:line="360" w:lineRule="auto"/>
              <w:jc w:val="both"/>
              <w:rPr>
                <w:rFonts w:hint="eastAsia" w:ascii="宋体" w:hAnsi="宋体" w:eastAsia="宋体"/>
                <w:sz w:val="21"/>
                <w:szCs w:val="21"/>
                <w:lang w:eastAsia="zh-CN"/>
              </w:rPr>
            </w:pPr>
          </w:p>
        </w:tc>
        <w:tc>
          <w:tcPr>
            <w:tcW w:w="1163" w:type="dxa"/>
          </w:tcPr>
          <w:p w14:paraId="27984AFA">
            <w:pPr>
              <w:widowControl w:val="0"/>
              <w:adjustRightInd w:val="0"/>
              <w:snapToGrid w:val="0"/>
              <w:spacing w:line="360" w:lineRule="auto"/>
              <w:jc w:val="both"/>
              <w:rPr>
                <w:rFonts w:hint="eastAsia" w:ascii="宋体" w:hAnsi="宋体" w:eastAsia="宋体"/>
                <w:sz w:val="21"/>
                <w:szCs w:val="21"/>
                <w:lang w:eastAsia="zh-CN"/>
              </w:rPr>
            </w:pPr>
          </w:p>
        </w:tc>
      </w:tr>
    </w:tbl>
    <w:p w14:paraId="3220BB92">
      <w:pPr>
        <w:widowControl w:val="0"/>
        <w:ind w:firstLine="482" w:firstLineChars="200"/>
        <w:jc w:val="both"/>
        <w:rPr>
          <w:rFonts w:eastAsia="宋体"/>
          <w:b/>
          <w:kern w:val="2"/>
          <w:szCs w:val="22"/>
          <w:lang w:eastAsia="zh-CN"/>
        </w:rPr>
      </w:pPr>
      <w:r>
        <w:rPr>
          <w:rFonts w:hint="eastAsia" w:eastAsia="宋体"/>
          <w:b/>
          <w:kern w:val="2"/>
          <w:szCs w:val="22"/>
          <w:lang w:eastAsia="zh-CN"/>
        </w:rPr>
        <w:t>注：1.上表所列各项均为不可负偏离条款。</w:t>
      </w:r>
    </w:p>
    <w:p w14:paraId="06A588BF">
      <w:pPr>
        <w:widowControl w:val="0"/>
        <w:ind w:firstLine="482" w:firstLineChars="200"/>
        <w:jc w:val="both"/>
        <w:rPr>
          <w:rFonts w:eastAsia="宋体"/>
          <w:b/>
          <w:kern w:val="2"/>
          <w:szCs w:val="22"/>
          <w:lang w:eastAsia="zh-CN"/>
        </w:rPr>
      </w:pPr>
      <w:r>
        <w:rPr>
          <w:rFonts w:hint="eastAsia" w:eastAsia="宋体"/>
          <w:b/>
          <w:kern w:val="2"/>
          <w:szCs w:val="22"/>
          <w:lang w:eastAsia="zh-CN"/>
        </w:rPr>
        <w:t>2.“投标响应”一栏应当详细填写投标人自身响应情况，而不能不合理照搬照抄招实质性条款具体内容。</w:t>
      </w:r>
    </w:p>
    <w:p w14:paraId="384405F2">
      <w:pPr>
        <w:widowControl w:val="0"/>
        <w:ind w:firstLine="482" w:firstLineChars="200"/>
        <w:jc w:val="both"/>
        <w:rPr>
          <w:rFonts w:eastAsia="宋体"/>
          <w:b/>
          <w:kern w:val="2"/>
          <w:szCs w:val="22"/>
          <w:lang w:eastAsia="zh-CN"/>
        </w:rPr>
      </w:pPr>
      <w:r>
        <w:rPr>
          <w:rFonts w:hint="eastAsia" w:eastAsia="宋体"/>
          <w:b/>
          <w:kern w:val="2"/>
          <w:szCs w:val="22"/>
          <w:lang w:eastAsia="zh-CN"/>
        </w:rPr>
        <w:t>3.“偏离情况”一栏应填写“正偏离”、“负偏离”或“无偏离”，“正偏离”表示“投标响应优于实质性条款具体内容要求”，“负偏离”表示“投标响应不满足实质性条款具体内容要求”，“无偏离”表示“投标响应与实质性条款具体内容要求一致”。</w:t>
      </w:r>
    </w:p>
    <w:p w14:paraId="2C854EA2">
      <w:pPr>
        <w:widowControl w:val="0"/>
        <w:ind w:firstLine="482" w:firstLineChars="200"/>
        <w:jc w:val="both"/>
        <w:rPr>
          <w:rFonts w:eastAsia="宋体"/>
          <w:b/>
          <w:kern w:val="2"/>
          <w:szCs w:val="22"/>
          <w:lang w:eastAsia="zh-CN"/>
        </w:rPr>
      </w:pPr>
      <w:r>
        <w:rPr>
          <w:rFonts w:hint="eastAsia" w:eastAsia="宋体"/>
          <w:b/>
          <w:kern w:val="2"/>
          <w:szCs w:val="22"/>
          <w:lang w:eastAsia="zh-CN"/>
        </w:rPr>
        <w:t>4.评审委员会有权对投标响应情况作出判断（作出评审结论）。</w:t>
      </w:r>
    </w:p>
    <w:p w14:paraId="704A6FA0">
      <w:pPr>
        <w:widowControl w:val="0"/>
        <w:ind w:firstLine="482" w:firstLineChars="200"/>
        <w:jc w:val="both"/>
        <w:rPr>
          <w:rFonts w:eastAsia="宋体"/>
          <w:b/>
          <w:kern w:val="2"/>
          <w:szCs w:val="22"/>
          <w:lang w:eastAsia="zh-CN"/>
        </w:rPr>
      </w:pPr>
      <w:r>
        <w:rPr>
          <w:rFonts w:hint="eastAsia" w:eastAsia="宋体"/>
          <w:b/>
          <w:kern w:val="2"/>
          <w:szCs w:val="22"/>
          <w:lang w:eastAsia="zh-CN"/>
        </w:rPr>
        <w:t>5.实质性响应条款“投标响应情况”与投标文件其他内容冲突的，以实质性响应条款“投标响应情况”为准。</w:t>
      </w:r>
    </w:p>
    <w:p w14:paraId="36DDE9F5">
      <w:pPr>
        <w:widowControl w:val="0"/>
        <w:ind w:firstLine="482" w:firstLineChars="200"/>
        <w:jc w:val="both"/>
        <w:rPr>
          <w:rFonts w:eastAsia="宋体"/>
          <w:b/>
          <w:kern w:val="2"/>
          <w:lang w:eastAsia="zh-CN"/>
        </w:rPr>
      </w:pPr>
      <w:r>
        <w:rPr>
          <w:rFonts w:hint="eastAsia" w:eastAsia="宋体"/>
          <w:b/>
          <w:kern w:val="2"/>
          <w:szCs w:val="22"/>
          <w:lang w:eastAsia="zh-CN"/>
        </w:rPr>
        <w:t>6.要求提供证明资料，在“说明”一栏中列明证明资料的位置,以便评审；未要求提供证明材料的，投标人可以不提供</w:t>
      </w:r>
      <w:r>
        <w:rPr>
          <w:rFonts w:hint="eastAsia" w:eastAsia="宋体"/>
          <w:b/>
          <w:kern w:val="2"/>
          <w:lang w:eastAsia="zh-CN"/>
        </w:rPr>
        <w:t>。</w:t>
      </w:r>
    </w:p>
    <w:p w14:paraId="7F59FF81">
      <w:pPr>
        <w:widowControl w:val="0"/>
        <w:jc w:val="both"/>
        <w:rPr>
          <w:rFonts w:eastAsia="宋体"/>
          <w:b/>
          <w:bCs/>
          <w:kern w:val="2"/>
          <w:lang w:eastAsia="zh-CN"/>
        </w:rPr>
      </w:pPr>
    </w:p>
    <w:p w14:paraId="19F5CE30">
      <w:pPr>
        <w:widowControl w:val="0"/>
        <w:spacing w:before="260" w:after="260" w:line="240" w:lineRule="auto"/>
        <w:jc w:val="center"/>
        <w:outlineLvl w:val="2"/>
        <w:rPr>
          <w:rFonts w:hint="eastAsia" w:ascii="黑体" w:hAnsi="宋体" w:eastAsia="黑体"/>
          <w:b/>
          <w:lang w:eastAsia="zh-CN"/>
        </w:rPr>
      </w:pPr>
      <w:r>
        <w:rPr>
          <w:rFonts w:hint="eastAsia" w:ascii="黑体" w:hAnsi="宋体" w:eastAsia="黑体"/>
          <w:b/>
          <w:lang w:eastAsia="zh-CN"/>
        </w:rPr>
        <w:t>八、实施方案（格式自定）</w:t>
      </w:r>
    </w:p>
    <w:p w14:paraId="2A367392">
      <w:pPr>
        <w:widowControl w:val="0"/>
        <w:ind w:firstLine="0"/>
        <w:jc w:val="both"/>
        <w:rPr>
          <w:rFonts w:hint="eastAsia" w:ascii="宋体" w:hAnsi="宋体" w:eastAsia="宋体" w:cs="宋体"/>
          <w:color w:val="FF0000"/>
          <w:kern w:val="2"/>
          <w:szCs w:val="20"/>
          <w:lang w:eastAsia="zh-CN"/>
        </w:rPr>
      </w:pPr>
      <w:r>
        <w:rPr>
          <w:rFonts w:hint="eastAsia" w:ascii="宋体" w:hAnsi="宋体" w:eastAsia="宋体" w:cs="宋体"/>
          <w:color w:val="FF0000"/>
          <w:kern w:val="2"/>
          <w:szCs w:val="20"/>
          <w:lang w:eastAsia="zh-CN"/>
        </w:rPr>
        <w:t>（特别提示：投标人须按本招标文件评标信息中这一评审因素要求，提供证明资料）</w:t>
      </w:r>
    </w:p>
    <w:p w14:paraId="5812BE88">
      <w:pPr>
        <w:widowControl w:val="0"/>
        <w:ind w:firstLine="0"/>
        <w:jc w:val="both"/>
        <w:rPr>
          <w:rFonts w:hint="eastAsia" w:ascii="宋体" w:hAnsi="宋体" w:eastAsia="宋体" w:cs="宋体"/>
          <w:kern w:val="2"/>
          <w:szCs w:val="20"/>
          <w:lang w:eastAsia="zh-CN"/>
        </w:rPr>
      </w:pPr>
    </w:p>
    <w:p w14:paraId="75486887">
      <w:pPr>
        <w:widowControl w:val="0"/>
        <w:spacing w:before="260" w:after="260" w:line="240" w:lineRule="auto"/>
        <w:jc w:val="center"/>
        <w:outlineLvl w:val="2"/>
        <w:rPr>
          <w:rFonts w:hint="eastAsia" w:ascii="黑体" w:hAnsi="宋体" w:eastAsia="黑体"/>
          <w:lang w:eastAsia="zh-CN"/>
        </w:rPr>
      </w:pPr>
      <w:r>
        <w:rPr>
          <w:rFonts w:hint="eastAsia" w:ascii="黑体" w:hAnsi="宋体" w:eastAsia="黑体"/>
          <w:lang w:eastAsia="zh-CN"/>
        </w:rPr>
        <w:t>九、项目重点难点分析、应对措施及相关的合理化建议（格式自定）</w:t>
      </w:r>
    </w:p>
    <w:p w14:paraId="797E9135">
      <w:pPr>
        <w:widowControl w:val="0"/>
        <w:ind w:firstLine="0"/>
        <w:jc w:val="both"/>
        <w:rPr>
          <w:rFonts w:hint="eastAsia" w:ascii="宋体" w:hAnsi="宋体" w:eastAsia="宋体" w:cs="宋体"/>
          <w:color w:val="FF0000"/>
          <w:kern w:val="2"/>
          <w:szCs w:val="20"/>
          <w:lang w:eastAsia="zh-CN"/>
        </w:rPr>
      </w:pPr>
      <w:r>
        <w:rPr>
          <w:rFonts w:hint="eastAsia" w:ascii="宋体" w:hAnsi="宋体" w:eastAsia="宋体" w:cs="宋体"/>
          <w:color w:val="FF0000"/>
          <w:kern w:val="2"/>
          <w:szCs w:val="20"/>
          <w:lang w:eastAsia="zh-CN"/>
        </w:rPr>
        <w:t>（特别提示：投标人须按本招标文件评标信息中这一评审因素要求，提供证明资料）</w:t>
      </w:r>
    </w:p>
    <w:p w14:paraId="52A1E974">
      <w:pPr>
        <w:widowControl w:val="0"/>
        <w:ind w:firstLine="0"/>
        <w:jc w:val="both"/>
        <w:rPr>
          <w:rFonts w:hint="eastAsia" w:ascii="宋体" w:hAnsi="宋体" w:eastAsia="宋体" w:cs="宋体"/>
          <w:kern w:val="2"/>
          <w:szCs w:val="20"/>
          <w:lang w:eastAsia="zh-CN"/>
        </w:rPr>
      </w:pPr>
    </w:p>
    <w:p w14:paraId="288ECF0E">
      <w:pPr>
        <w:widowControl w:val="0"/>
        <w:spacing w:before="260" w:after="260" w:line="240" w:lineRule="auto"/>
        <w:jc w:val="center"/>
        <w:outlineLvl w:val="2"/>
        <w:rPr>
          <w:rFonts w:hint="eastAsia" w:ascii="黑体" w:hAnsi="宋体" w:eastAsia="黑体"/>
          <w:kern w:val="2"/>
          <w:szCs w:val="32"/>
          <w:lang w:eastAsia="zh-CN"/>
        </w:rPr>
      </w:pPr>
      <w:r>
        <w:rPr>
          <w:rFonts w:hint="eastAsia" w:ascii="黑体" w:hAnsi="宋体" w:eastAsia="黑体"/>
          <w:lang w:eastAsia="zh-CN"/>
        </w:rPr>
        <w:t>十、质量（完成时间、安全、环保）保障措施及方案（格式自定）</w:t>
      </w:r>
    </w:p>
    <w:p w14:paraId="23E89C93">
      <w:pPr>
        <w:widowControl w:val="0"/>
        <w:ind w:firstLine="0"/>
        <w:jc w:val="both"/>
        <w:rPr>
          <w:rFonts w:hint="eastAsia" w:ascii="宋体" w:hAnsi="宋体" w:eastAsia="宋体" w:cs="宋体"/>
          <w:color w:val="FF0000"/>
          <w:kern w:val="2"/>
          <w:szCs w:val="20"/>
          <w:lang w:eastAsia="zh-CN"/>
        </w:rPr>
      </w:pPr>
      <w:r>
        <w:rPr>
          <w:rFonts w:hint="eastAsia" w:ascii="宋体" w:hAnsi="宋体" w:eastAsia="宋体" w:cs="宋体"/>
          <w:color w:val="FF0000"/>
          <w:kern w:val="2"/>
          <w:szCs w:val="20"/>
          <w:lang w:eastAsia="zh-CN"/>
        </w:rPr>
        <w:t>（特别提示：投标人须按本招标文件评标信息中这一评审因素要求，提供证明资料）</w:t>
      </w:r>
    </w:p>
    <w:p w14:paraId="7955FBA8">
      <w:pPr>
        <w:widowControl w:val="0"/>
        <w:ind w:firstLine="0"/>
        <w:jc w:val="both"/>
        <w:rPr>
          <w:rFonts w:hint="eastAsia" w:ascii="宋体" w:hAnsi="宋体" w:eastAsia="宋体" w:cs="宋体"/>
          <w:kern w:val="2"/>
          <w:szCs w:val="20"/>
          <w:lang w:eastAsia="zh-CN"/>
        </w:rPr>
      </w:pPr>
    </w:p>
    <w:p w14:paraId="3FF3535C">
      <w:pPr>
        <w:widowControl w:val="0"/>
        <w:spacing w:before="260" w:after="260" w:line="240" w:lineRule="auto"/>
        <w:jc w:val="center"/>
        <w:outlineLvl w:val="2"/>
        <w:rPr>
          <w:rFonts w:hint="eastAsia" w:ascii="黑体" w:hAnsi="宋体" w:eastAsia="黑体"/>
          <w:lang w:eastAsia="zh-CN"/>
        </w:rPr>
      </w:pPr>
      <w:r>
        <w:rPr>
          <w:rFonts w:hint="eastAsia" w:ascii="黑体" w:hAnsi="宋体" w:eastAsia="黑体"/>
          <w:lang w:eastAsia="zh-CN"/>
        </w:rPr>
        <w:t>十一、项目完成（服务期满）后的服务承诺（格式自定）</w:t>
      </w:r>
    </w:p>
    <w:p w14:paraId="565D9C93">
      <w:pPr>
        <w:widowControl w:val="0"/>
        <w:ind w:firstLine="0"/>
        <w:jc w:val="both"/>
        <w:rPr>
          <w:rFonts w:hint="eastAsia" w:ascii="宋体" w:hAnsi="宋体" w:eastAsia="宋体" w:cs="宋体"/>
          <w:color w:val="FF0000"/>
          <w:kern w:val="2"/>
          <w:szCs w:val="20"/>
          <w:lang w:eastAsia="zh-CN"/>
        </w:rPr>
      </w:pPr>
      <w:r>
        <w:rPr>
          <w:rFonts w:hint="eastAsia" w:ascii="宋体" w:hAnsi="宋体" w:eastAsia="宋体" w:cs="宋体"/>
          <w:color w:val="FF0000"/>
          <w:kern w:val="2"/>
          <w:szCs w:val="20"/>
          <w:lang w:eastAsia="zh-CN"/>
        </w:rPr>
        <w:t>（特别提示：投标人须按本招标文件评标信息中这一评审因素要求，提供证明资料）</w:t>
      </w:r>
    </w:p>
    <w:p w14:paraId="480DF8E1">
      <w:pPr>
        <w:widowControl w:val="0"/>
        <w:ind w:firstLine="0"/>
        <w:jc w:val="both"/>
        <w:rPr>
          <w:rFonts w:hint="eastAsia" w:ascii="宋体" w:hAnsi="宋体" w:eastAsia="宋体" w:cs="宋体"/>
          <w:kern w:val="2"/>
          <w:szCs w:val="20"/>
          <w:lang w:eastAsia="zh-CN"/>
        </w:rPr>
      </w:pPr>
    </w:p>
    <w:p w14:paraId="4F8DAD8E">
      <w:pPr>
        <w:widowControl w:val="0"/>
        <w:spacing w:before="260" w:after="260" w:line="240" w:lineRule="auto"/>
        <w:jc w:val="center"/>
        <w:outlineLvl w:val="2"/>
        <w:rPr>
          <w:rFonts w:hint="eastAsia" w:ascii="黑体" w:hAnsi="宋体" w:eastAsia="黑体"/>
          <w:lang w:eastAsia="zh-CN"/>
        </w:rPr>
      </w:pPr>
      <w:r>
        <w:rPr>
          <w:rFonts w:hint="eastAsia" w:ascii="黑体" w:hAnsi="宋体" w:eastAsia="黑体"/>
          <w:lang w:eastAsia="zh-CN"/>
        </w:rPr>
        <w:t>十二、违约承诺（格式自定）</w:t>
      </w:r>
    </w:p>
    <w:p w14:paraId="1A5EB1EE">
      <w:pPr>
        <w:widowControl w:val="0"/>
        <w:spacing w:before="60" w:beforeLines="25" w:after="60" w:afterLines="25"/>
        <w:ind w:firstLine="0"/>
        <w:jc w:val="both"/>
        <w:rPr>
          <w:rFonts w:hint="eastAsia" w:ascii="宋体" w:hAnsi="宋体" w:eastAsia="宋体" w:cs="宋体"/>
          <w:color w:val="FF0000"/>
          <w:kern w:val="2"/>
          <w:szCs w:val="20"/>
          <w:lang w:eastAsia="zh-CN"/>
        </w:rPr>
      </w:pPr>
      <w:r>
        <w:rPr>
          <w:rFonts w:hint="eastAsia" w:ascii="宋体" w:hAnsi="宋体" w:eastAsia="宋体" w:cs="宋体"/>
          <w:color w:val="FF0000"/>
          <w:kern w:val="2"/>
          <w:szCs w:val="20"/>
          <w:lang w:eastAsia="zh-CN"/>
        </w:rPr>
        <w:t>（特别提示：投标人须按本招标文件评标信息中这一评审因素要求，提供证明资料）</w:t>
      </w:r>
    </w:p>
    <w:p w14:paraId="133C0AE2">
      <w:pPr>
        <w:widowControl w:val="0"/>
        <w:spacing w:before="60" w:beforeLines="25" w:after="60" w:afterLines="25"/>
        <w:ind w:firstLine="0"/>
        <w:jc w:val="both"/>
        <w:rPr>
          <w:rFonts w:hint="eastAsia" w:ascii="宋体" w:hAnsi="宋体" w:eastAsia="宋体" w:cs="宋体"/>
          <w:kern w:val="2"/>
          <w:szCs w:val="20"/>
          <w:lang w:eastAsia="zh-CN"/>
        </w:rPr>
      </w:pPr>
    </w:p>
    <w:p w14:paraId="318B87A3">
      <w:pPr>
        <w:widowControl w:val="0"/>
        <w:spacing w:before="260" w:after="260" w:line="240" w:lineRule="auto"/>
        <w:jc w:val="center"/>
        <w:outlineLvl w:val="2"/>
        <w:rPr>
          <w:rFonts w:hint="eastAsia" w:ascii="黑体" w:hAnsi="宋体" w:eastAsia="黑体"/>
          <w:lang w:eastAsia="zh-CN"/>
        </w:rPr>
      </w:pPr>
      <w:r>
        <w:rPr>
          <w:rFonts w:hint="eastAsia" w:ascii="黑体" w:hAnsi="宋体" w:eastAsia="黑体"/>
          <w:lang w:eastAsia="zh-CN"/>
        </w:rPr>
        <w:t>十三、拟安排的项目负责人情况（仅限一人）（格式自定）</w:t>
      </w:r>
    </w:p>
    <w:p w14:paraId="45340EA6">
      <w:pPr>
        <w:widowControl w:val="0"/>
        <w:spacing w:before="60" w:beforeLines="25" w:after="60" w:afterLines="25"/>
        <w:ind w:firstLine="0"/>
        <w:jc w:val="both"/>
        <w:rPr>
          <w:rFonts w:hint="eastAsia" w:ascii="宋体" w:hAnsi="宋体" w:eastAsia="宋体" w:cs="宋体"/>
          <w:color w:val="FF0000"/>
          <w:kern w:val="2"/>
          <w:szCs w:val="20"/>
          <w:lang w:eastAsia="zh-CN"/>
        </w:rPr>
      </w:pPr>
      <w:r>
        <w:rPr>
          <w:rFonts w:hint="eastAsia" w:ascii="宋体" w:hAnsi="宋体" w:eastAsia="宋体" w:cs="宋体"/>
          <w:color w:val="FF0000"/>
          <w:kern w:val="2"/>
          <w:szCs w:val="20"/>
          <w:lang w:eastAsia="zh-CN"/>
        </w:rPr>
        <w:t>（特别提示：投标人须按本招标文件评标信息中这一评审因素要求，提供证明资料）</w:t>
      </w:r>
    </w:p>
    <w:p w14:paraId="562FD42B">
      <w:pPr>
        <w:widowControl w:val="0"/>
        <w:spacing w:before="60" w:beforeLines="25" w:after="60" w:afterLines="25"/>
        <w:ind w:firstLine="0"/>
        <w:jc w:val="both"/>
        <w:rPr>
          <w:rFonts w:hint="eastAsia" w:ascii="宋体" w:hAnsi="宋体" w:eastAsia="宋体" w:cs="宋体"/>
          <w:kern w:val="2"/>
          <w:szCs w:val="20"/>
          <w:lang w:eastAsia="zh-CN"/>
        </w:rPr>
      </w:pPr>
    </w:p>
    <w:p w14:paraId="6B045914">
      <w:pPr>
        <w:widowControl w:val="0"/>
        <w:spacing w:before="260" w:after="260" w:line="240" w:lineRule="auto"/>
        <w:jc w:val="center"/>
        <w:outlineLvl w:val="2"/>
        <w:rPr>
          <w:rFonts w:hint="eastAsia" w:ascii="黑体" w:hAnsi="宋体" w:eastAsia="黑体"/>
          <w:lang w:eastAsia="zh-CN"/>
        </w:rPr>
      </w:pPr>
      <w:r>
        <w:rPr>
          <w:rFonts w:hint="eastAsia" w:ascii="黑体" w:hAnsi="宋体" w:eastAsia="黑体"/>
          <w:lang w:eastAsia="zh-CN"/>
        </w:rPr>
        <w:t>十四、拟安排的项目主要团队成员（主要技术人员）情况（项目负责人除外）（格式自定）</w:t>
      </w:r>
    </w:p>
    <w:p w14:paraId="57513110">
      <w:pPr>
        <w:widowControl w:val="0"/>
        <w:spacing w:before="60" w:beforeLines="25" w:after="60" w:afterLines="25"/>
        <w:ind w:firstLine="0"/>
        <w:jc w:val="both"/>
        <w:rPr>
          <w:rFonts w:hint="eastAsia" w:ascii="宋体" w:hAnsi="宋体" w:eastAsia="宋体" w:cs="宋体"/>
          <w:color w:val="FF0000"/>
          <w:kern w:val="2"/>
          <w:szCs w:val="20"/>
          <w:lang w:eastAsia="zh-CN"/>
        </w:rPr>
      </w:pPr>
      <w:r>
        <w:rPr>
          <w:rFonts w:hint="eastAsia" w:ascii="宋体" w:hAnsi="宋体" w:eastAsia="宋体" w:cs="宋体"/>
          <w:color w:val="FF0000"/>
          <w:kern w:val="2"/>
          <w:szCs w:val="20"/>
          <w:lang w:eastAsia="zh-CN"/>
        </w:rPr>
        <w:t>（特别提示：投标人须按本招标文件评标信息中这一评审因素要求，提供证明资料）</w:t>
      </w:r>
    </w:p>
    <w:p w14:paraId="05F3109B">
      <w:pPr>
        <w:widowControl w:val="0"/>
        <w:spacing w:before="60" w:beforeLines="25" w:after="60" w:afterLines="25"/>
        <w:ind w:firstLine="0"/>
        <w:jc w:val="both"/>
        <w:rPr>
          <w:rFonts w:hint="eastAsia" w:ascii="宋体" w:hAnsi="宋体" w:eastAsia="宋体" w:cs="宋体"/>
          <w:kern w:val="2"/>
          <w:szCs w:val="20"/>
          <w:lang w:eastAsia="zh-CN"/>
        </w:rPr>
      </w:pPr>
    </w:p>
    <w:p w14:paraId="07B7367E">
      <w:pPr>
        <w:widowControl w:val="0"/>
        <w:spacing w:before="260" w:after="260" w:line="240" w:lineRule="auto"/>
        <w:jc w:val="center"/>
        <w:outlineLvl w:val="2"/>
        <w:rPr>
          <w:rFonts w:hint="eastAsia" w:ascii="黑体" w:hAnsi="宋体" w:eastAsia="黑体"/>
          <w:lang w:eastAsia="zh-CN"/>
        </w:rPr>
      </w:pPr>
      <w:r>
        <w:rPr>
          <w:rFonts w:hint="eastAsia" w:ascii="黑体" w:hAnsi="宋体" w:eastAsia="黑体"/>
          <w:lang w:eastAsia="zh-CN"/>
        </w:rPr>
        <w:t>十五、供应商认证情况（格式自定）</w:t>
      </w:r>
    </w:p>
    <w:p w14:paraId="44425D93">
      <w:pPr>
        <w:widowControl w:val="0"/>
        <w:spacing w:line="360" w:lineRule="auto"/>
        <w:jc w:val="both"/>
        <w:rPr>
          <w:rFonts w:eastAsia="宋体"/>
          <w:kern w:val="2"/>
          <w:lang w:eastAsia="zh-CN"/>
        </w:rPr>
      </w:pPr>
      <w:r>
        <w:rPr>
          <w:rFonts w:hint="eastAsia" w:eastAsia="宋体"/>
          <w:kern w:val="2"/>
          <w:lang w:eastAsia="zh-CN"/>
        </w:rPr>
        <w:t>（特别提示：投标人须按本招标文件评标信息中这一评审因素要求，提供证明资料）</w:t>
      </w:r>
    </w:p>
    <w:p w14:paraId="41E1519C">
      <w:pPr>
        <w:widowControl w:val="0"/>
        <w:spacing w:before="260" w:after="260" w:line="240" w:lineRule="auto"/>
        <w:jc w:val="center"/>
        <w:outlineLvl w:val="2"/>
        <w:rPr>
          <w:rFonts w:hint="eastAsia" w:ascii="黑体" w:hAnsi="宋体" w:eastAsia="黑体"/>
          <w:lang w:eastAsia="zh-CN"/>
        </w:rPr>
      </w:pPr>
      <w:r>
        <w:rPr>
          <w:rFonts w:hint="eastAsia" w:ascii="黑体" w:hAnsi="宋体" w:eastAsia="黑体"/>
          <w:lang w:eastAsia="zh-CN"/>
        </w:rPr>
        <w:t>十六、供应商同类项目业绩情况（格式自定）</w:t>
      </w:r>
    </w:p>
    <w:p w14:paraId="307330E1">
      <w:pPr>
        <w:widowControl w:val="0"/>
        <w:spacing w:line="360" w:lineRule="auto"/>
        <w:jc w:val="both"/>
        <w:rPr>
          <w:rFonts w:eastAsia="宋体"/>
          <w:kern w:val="2"/>
          <w:lang w:eastAsia="zh-CN"/>
        </w:rPr>
      </w:pPr>
      <w:r>
        <w:rPr>
          <w:rFonts w:hint="eastAsia" w:eastAsia="宋体"/>
          <w:kern w:val="2"/>
          <w:lang w:eastAsia="zh-CN"/>
        </w:rPr>
        <w:t>（特别提示：投标人须按本招标文件评标信息中这一评审因素要求，提供证明资料）</w:t>
      </w:r>
    </w:p>
    <w:p w14:paraId="0EE950CB">
      <w:pPr>
        <w:widowControl w:val="0"/>
        <w:spacing w:before="260" w:after="260" w:line="240" w:lineRule="auto"/>
        <w:jc w:val="center"/>
        <w:outlineLvl w:val="2"/>
        <w:rPr>
          <w:rFonts w:hint="eastAsia" w:ascii="黑体" w:hAnsi="宋体" w:eastAsia="黑体"/>
          <w:lang w:eastAsia="zh-CN"/>
        </w:rPr>
      </w:pPr>
      <w:r>
        <w:rPr>
          <w:rFonts w:hint="eastAsia" w:ascii="黑体" w:hAnsi="宋体" w:eastAsia="黑体"/>
          <w:lang w:eastAsia="zh-CN"/>
        </w:rPr>
        <w:t>十七、供应商获奖情况（格式自定）</w:t>
      </w:r>
    </w:p>
    <w:p w14:paraId="7DD73265">
      <w:pPr>
        <w:widowControl w:val="0"/>
        <w:spacing w:line="360" w:lineRule="auto"/>
        <w:jc w:val="both"/>
        <w:rPr>
          <w:rFonts w:eastAsia="宋体"/>
          <w:kern w:val="2"/>
          <w:lang w:eastAsia="zh-CN"/>
        </w:rPr>
      </w:pPr>
      <w:r>
        <w:rPr>
          <w:rFonts w:hint="eastAsia" w:eastAsia="宋体"/>
          <w:kern w:val="2"/>
          <w:lang w:eastAsia="zh-CN"/>
        </w:rPr>
        <w:t>（特别提示：投标人须按本招标文件评标信息中这一评审因素要求，提供证明资料）</w:t>
      </w:r>
    </w:p>
    <w:p w14:paraId="56E04BCC">
      <w:pPr>
        <w:widowControl w:val="0"/>
        <w:spacing w:before="260" w:after="260" w:line="240" w:lineRule="auto"/>
        <w:jc w:val="center"/>
        <w:outlineLvl w:val="2"/>
        <w:rPr>
          <w:rFonts w:hint="eastAsia" w:ascii="黑体" w:hAnsi="宋体" w:eastAsia="黑体"/>
          <w:lang w:eastAsia="zh-CN"/>
        </w:rPr>
      </w:pPr>
      <w:r>
        <w:rPr>
          <w:rFonts w:hint="eastAsia" w:ascii="黑体" w:hAnsi="宋体" w:eastAsia="黑体"/>
          <w:lang w:eastAsia="zh-CN"/>
        </w:rPr>
        <w:t>十八、项目相关计算机软件著作权使用权限情况（格式自定）</w:t>
      </w:r>
    </w:p>
    <w:p w14:paraId="78EE4CD7">
      <w:pPr>
        <w:widowControl w:val="0"/>
        <w:spacing w:line="360" w:lineRule="auto"/>
        <w:jc w:val="both"/>
        <w:rPr>
          <w:rFonts w:eastAsia="宋体"/>
          <w:kern w:val="2"/>
          <w:lang w:eastAsia="zh-CN"/>
        </w:rPr>
      </w:pPr>
      <w:r>
        <w:rPr>
          <w:rFonts w:hint="eastAsia" w:eastAsia="宋体"/>
          <w:kern w:val="2"/>
          <w:lang w:eastAsia="zh-CN"/>
        </w:rPr>
        <w:t>（特别提示：投标人须按本招标文件评标信息中这一评审因素要求，提供证明资料）</w:t>
      </w:r>
    </w:p>
    <w:p w14:paraId="5811EF90">
      <w:pPr>
        <w:widowControl w:val="0"/>
        <w:spacing w:line="360" w:lineRule="auto"/>
        <w:jc w:val="both"/>
        <w:rPr>
          <w:rFonts w:eastAsia="宋体"/>
          <w:b/>
          <w:bCs/>
          <w:kern w:val="2"/>
          <w:lang w:eastAsia="zh-CN"/>
        </w:rPr>
      </w:pPr>
    </w:p>
    <w:p w14:paraId="2D486ABC">
      <w:pPr>
        <w:widowControl w:val="0"/>
        <w:spacing w:before="260" w:after="260" w:line="240" w:lineRule="auto"/>
        <w:jc w:val="center"/>
        <w:outlineLvl w:val="2"/>
        <w:rPr>
          <w:rFonts w:hint="eastAsia" w:ascii="黑体" w:hAnsi="宋体" w:eastAsia="黑体"/>
          <w:lang w:eastAsia="zh-CN"/>
        </w:rPr>
      </w:pPr>
      <w:r>
        <w:rPr>
          <w:rFonts w:hint="eastAsia" w:ascii="黑体" w:hAnsi="宋体" w:eastAsia="黑体"/>
          <w:lang w:eastAsia="zh-CN"/>
        </w:rPr>
        <w:t>十九、投标人认为需要加以说明的其他内容（格式自定）</w:t>
      </w:r>
    </w:p>
    <w:p w14:paraId="5CB364FB">
      <w:pPr>
        <w:widowControl w:val="0"/>
        <w:spacing w:line="360" w:lineRule="auto"/>
        <w:jc w:val="both"/>
        <w:rPr>
          <w:rFonts w:eastAsia="宋体"/>
          <w:b/>
          <w:bCs/>
          <w:kern w:val="2"/>
          <w:lang w:eastAsia="zh-CN"/>
        </w:rPr>
      </w:pPr>
    </w:p>
    <w:p w14:paraId="792A3EAC">
      <w:pPr>
        <w:widowControl/>
        <w:jc w:val="center"/>
        <w:rPr>
          <w:rFonts w:hint="eastAsia" w:ascii="黑体" w:hAnsi="宋体" w:eastAsia="黑体"/>
          <w:szCs w:val="20"/>
          <w:lang w:eastAsia="zh-CN"/>
        </w:rPr>
      </w:pPr>
      <w:r>
        <w:rPr>
          <w:rFonts w:hint="eastAsia" w:ascii="黑体" w:hAnsi="宋体" w:eastAsia="黑体"/>
          <w:szCs w:val="20"/>
          <w:lang w:eastAsia="zh-CN"/>
        </w:rPr>
        <w:t>（一）采购违法行为风险知悉确认书</w:t>
      </w:r>
    </w:p>
    <w:p w14:paraId="18A45A5E">
      <w:pPr>
        <w:widowControl/>
        <w:jc w:val="center"/>
        <w:rPr>
          <w:rFonts w:hint="eastAsia" w:ascii="黑体" w:hAnsi="宋体" w:eastAsia="黑体"/>
          <w:szCs w:val="20"/>
          <w:lang w:eastAsia="zh-CN"/>
        </w:rPr>
      </w:pPr>
    </w:p>
    <w:p w14:paraId="2B57DA25">
      <w:pPr>
        <w:widowControl w:val="0"/>
        <w:ind w:firstLine="420" w:firstLineChars="200"/>
        <w:jc w:val="both"/>
        <w:rPr>
          <w:rFonts w:eastAsia="宋体"/>
          <w:kern w:val="2"/>
          <w:sz w:val="21"/>
          <w:lang w:eastAsia="zh-CN"/>
        </w:rPr>
      </w:pPr>
      <w:r>
        <w:rPr>
          <w:rFonts w:hint="eastAsia" w:eastAsia="宋体"/>
          <w:kern w:val="2"/>
          <w:sz w:val="21"/>
          <w:lang w:eastAsia="zh-CN"/>
        </w:rPr>
        <w:t>本公司在投标前已充分知悉以下情形为参与自行采购活动时的重大风险事项，并承诺已对下述风险提示事项重点排查，做到严谨、诚信、依法依规参与自行采购活动。</w:t>
      </w:r>
    </w:p>
    <w:p w14:paraId="10ACBBF5">
      <w:pPr>
        <w:widowControl w:val="0"/>
        <w:ind w:firstLine="422" w:firstLineChars="200"/>
        <w:jc w:val="both"/>
        <w:rPr>
          <w:rFonts w:eastAsia="宋体"/>
          <w:b/>
          <w:kern w:val="2"/>
          <w:sz w:val="21"/>
          <w:lang w:eastAsia="zh-CN"/>
        </w:rPr>
      </w:pPr>
      <w:r>
        <w:rPr>
          <w:rFonts w:hint="eastAsia" w:eastAsia="宋体"/>
          <w:b/>
          <w:kern w:val="2"/>
          <w:sz w:val="21"/>
          <w:lang w:eastAsia="zh-CN"/>
        </w:rPr>
        <w:t>一、本公司已充分知悉“隐瞒真实情况，提供虚假资料”的法定情形，相关情形包括但不限于：</w:t>
      </w:r>
    </w:p>
    <w:p w14:paraId="10D50BB4">
      <w:pPr>
        <w:widowControl w:val="0"/>
        <w:ind w:firstLine="420" w:firstLineChars="200"/>
        <w:jc w:val="both"/>
        <w:rPr>
          <w:rFonts w:eastAsia="宋体"/>
          <w:kern w:val="2"/>
          <w:sz w:val="21"/>
          <w:lang w:eastAsia="zh-CN"/>
        </w:rPr>
      </w:pPr>
      <w:r>
        <w:rPr>
          <w:rFonts w:hint="eastAsia" w:eastAsia="宋体"/>
          <w:kern w:val="2"/>
          <w:sz w:val="21"/>
          <w:lang w:eastAsia="zh-CN"/>
        </w:rPr>
        <w:t>（一）通过转让或者租借等方式从其他单位获取资格或者资质证书投标的。</w:t>
      </w:r>
    </w:p>
    <w:p w14:paraId="411DC010">
      <w:pPr>
        <w:widowControl w:val="0"/>
        <w:ind w:firstLine="420" w:firstLineChars="200"/>
        <w:jc w:val="both"/>
        <w:rPr>
          <w:rFonts w:eastAsia="宋体"/>
          <w:kern w:val="2"/>
          <w:sz w:val="21"/>
          <w:lang w:eastAsia="zh-CN"/>
        </w:rPr>
      </w:pPr>
      <w:r>
        <w:rPr>
          <w:rFonts w:hint="eastAsia" w:eastAsia="宋体"/>
          <w:kern w:val="2"/>
          <w:sz w:val="21"/>
          <w:lang w:eastAsia="zh-CN"/>
        </w:rPr>
        <w:t>（二）由其他单位或者其他单位负责人在投标供应商编制的投标文件上加盖印章或者签字的。</w:t>
      </w:r>
    </w:p>
    <w:p w14:paraId="43F69059">
      <w:pPr>
        <w:widowControl w:val="0"/>
        <w:ind w:firstLine="420" w:firstLineChars="200"/>
        <w:jc w:val="both"/>
        <w:rPr>
          <w:rFonts w:eastAsia="宋体"/>
          <w:kern w:val="2"/>
          <w:sz w:val="21"/>
          <w:lang w:eastAsia="zh-CN"/>
        </w:rPr>
      </w:pPr>
      <w:r>
        <w:rPr>
          <w:rFonts w:hint="eastAsia" w:eastAsia="宋体"/>
          <w:kern w:val="2"/>
          <w:sz w:val="21"/>
          <w:lang w:eastAsia="zh-CN"/>
        </w:rPr>
        <w:t>（三）项目负责人或者主要技术人员不是本单位人员的。</w:t>
      </w:r>
    </w:p>
    <w:p w14:paraId="50815B43">
      <w:pPr>
        <w:widowControl w:val="0"/>
        <w:ind w:firstLine="420" w:firstLineChars="200"/>
        <w:jc w:val="both"/>
        <w:rPr>
          <w:rFonts w:eastAsia="宋体"/>
          <w:kern w:val="2"/>
          <w:sz w:val="21"/>
          <w:lang w:eastAsia="zh-CN"/>
        </w:rPr>
      </w:pPr>
      <w:r>
        <w:rPr>
          <w:rFonts w:hint="eastAsia" w:eastAsia="宋体"/>
          <w:kern w:val="2"/>
          <w:sz w:val="21"/>
          <w:lang w:eastAsia="zh-CN"/>
        </w:rPr>
        <w:t>（四）投标保证金不是从投标供应商基本账户转出的。</w:t>
      </w:r>
    </w:p>
    <w:p w14:paraId="6BFA830D">
      <w:pPr>
        <w:widowControl w:val="0"/>
        <w:ind w:firstLine="420" w:firstLineChars="200"/>
        <w:jc w:val="both"/>
        <w:rPr>
          <w:rFonts w:eastAsia="宋体"/>
          <w:kern w:val="2"/>
          <w:sz w:val="21"/>
          <w:lang w:eastAsia="zh-CN"/>
        </w:rPr>
      </w:pPr>
      <w:r>
        <w:rPr>
          <w:rFonts w:hint="eastAsia" w:eastAsia="宋体"/>
          <w:kern w:val="2"/>
          <w:sz w:val="21"/>
          <w:lang w:eastAsia="zh-CN"/>
        </w:rPr>
        <w:t>（五）其他隐瞒真实情况、提供虚假资料的行为。</w:t>
      </w:r>
    </w:p>
    <w:p w14:paraId="3E16BBF1">
      <w:pPr>
        <w:widowControl w:val="0"/>
        <w:ind w:firstLine="422" w:firstLineChars="200"/>
        <w:jc w:val="both"/>
        <w:rPr>
          <w:rFonts w:eastAsia="宋体"/>
          <w:b/>
          <w:kern w:val="2"/>
          <w:sz w:val="21"/>
          <w:lang w:eastAsia="zh-CN"/>
        </w:rPr>
      </w:pPr>
      <w:r>
        <w:rPr>
          <w:rFonts w:hint="eastAsia" w:eastAsia="宋体"/>
          <w:b/>
          <w:kern w:val="2"/>
          <w:sz w:val="21"/>
          <w:lang w:eastAsia="zh-CN"/>
        </w:rPr>
        <w:t>二、本公司已充分知悉“与其他采购参加人串通投标”的法定情形，相关情形包括但不限于：</w:t>
      </w:r>
    </w:p>
    <w:p w14:paraId="46928AD9">
      <w:pPr>
        <w:widowControl w:val="0"/>
        <w:ind w:firstLine="420" w:firstLineChars="200"/>
        <w:jc w:val="both"/>
        <w:rPr>
          <w:rFonts w:eastAsia="宋体"/>
          <w:kern w:val="2"/>
          <w:sz w:val="21"/>
          <w:lang w:eastAsia="zh-CN"/>
        </w:rPr>
      </w:pPr>
      <w:r>
        <w:rPr>
          <w:rFonts w:hint="eastAsia" w:eastAsia="宋体"/>
          <w:kern w:val="2"/>
          <w:sz w:val="21"/>
          <w:lang w:eastAsia="zh-CN"/>
        </w:rPr>
        <w:t>（一）投标供应商之间相互约定给予未中标的供应商利益补偿。</w:t>
      </w:r>
    </w:p>
    <w:p w14:paraId="680A95B8">
      <w:pPr>
        <w:widowControl w:val="0"/>
        <w:ind w:firstLine="420" w:firstLineChars="200"/>
        <w:jc w:val="both"/>
        <w:rPr>
          <w:rFonts w:eastAsia="宋体"/>
          <w:kern w:val="2"/>
          <w:sz w:val="21"/>
          <w:lang w:eastAsia="zh-CN"/>
        </w:rPr>
      </w:pPr>
      <w:r>
        <w:rPr>
          <w:rFonts w:hint="eastAsia" w:eastAsia="宋体"/>
          <w:kern w:val="2"/>
          <w:sz w:val="21"/>
          <w:lang w:eastAsia="zh-CN"/>
        </w:rPr>
        <w:t>（二）不同投标供应商的法定代表人、主要经营负责人、项目投标授权代表人、项目负责人、主要技术人员为同一人、属同一单位或者在同一单位缴纳社会保险。</w:t>
      </w:r>
    </w:p>
    <w:p w14:paraId="02EFDCE3">
      <w:pPr>
        <w:widowControl w:val="0"/>
        <w:ind w:firstLine="420" w:firstLineChars="200"/>
        <w:jc w:val="both"/>
        <w:rPr>
          <w:rFonts w:eastAsia="宋体"/>
          <w:kern w:val="2"/>
          <w:sz w:val="21"/>
          <w:lang w:eastAsia="zh-CN"/>
        </w:rPr>
      </w:pPr>
      <w:r>
        <w:rPr>
          <w:rFonts w:hint="eastAsia" w:eastAsia="宋体"/>
          <w:kern w:val="2"/>
          <w:sz w:val="21"/>
          <w:lang w:eastAsia="zh-CN"/>
        </w:rPr>
        <w:t>（三）不同投标供应商的投标文件由同一单位或者同一人编制，或者由同一人分阶段参与编制的。</w:t>
      </w:r>
    </w:p>
    <w:p w14:paraId="63CF7219">
      <w:pPr>
        <w:widowControl w:val="0"/>
        <w:ind w:firstLine="420" w:firstLineChars="200"/>
        <w:jc w:val="both"/>
        <w:rPr>
          <w:rFonts w:eastAsia="宋体"/>
          <w:kern w:val="2"/>
          <w:sz w:val="21"/>
          <w:lang w:eastAsia="zh-CN"/>
        </w:rPr>
      </w:pPr>
      <w:r>
        <w:rPr>
          <w:rFonts w:hint="eastAsia" w:eastAsia="宋体"/>
          <w:kern w:val="2"/>
          <w:sz w:val="21"/>
          <w:lang w:eastAsia="zh-CN"/>
        </w:rPr>
        <w:t>（四）不同投标供应商的投标文件或部分投标文件相互混装。</w:t>
      </w:r>
    </w:p>
    <w:p w14:paraId="2C8D45D4">
      <w:pPr>
        <w:widowControl w:val="0"/>
        <w:ind w:firstLine="420" w:firstLineChars="200"/>
        <w:jc w:val="both"/>
        <w:rPr>
          <w:rFonts w:eastAsia="宋体"/>
          <w:kern w:val="2"/>
          <w:sz w:val="21"/>
          <w:lang w:eastAsia="zh-CN"/>
        </w:rPr>
      </w:pPr>
      <w:r>
        <w:rPr>
          <w:rFonts w:hint="eastAsia" w:eastAsia="宋体"/>
          <w:kern w:val="2"/>
          <w:sz w:val="21"/>
          <w:lang w:eastAsia="zh-CN"/>
        </w:rPr>
        <w:t>（五）不同投标供应商的投标文件内容存在非正常一致。</w:t>
      </w:r>
    </w:p>
    <w:p w14:paraId="5E12D4B8">
      <w:pPr>
        <w:widowControl w:val="0"/>
        <w:ind w:firstLine="420" w:firstLineChars="200"/>
        <w:jc w:val="both"/>
        <w:rPr>
          <w:rFonts w:eastAsia="宋体"/>
          <w:kern w:val="2"/>
          <w:sz w:val="21"/>
          <w:lang w:eastAsia="zh-CN"/>
        </w:rPr>
      </w:pPr>
      <w:r>
        <w:rPr>
          <w:rFonts w:hint="eastAsia" w:eastAsia="宋体"/>
          <w:kern w:val="2"/>
          <w:sz w:val="21"/>
          <w:lang w:eastAsia="zh-CN"/>
        </w:rPr>
        <w:t>（六）由同一单位工作人员为两家以上（含两家）供应商进行同一项投标活动的。</w:t>
      </w:r>
    </w:p>
    <w:p w14:paraId="06AFF159">
      <w:pPr>
        <w:widowControl w:val="0"/>
        <w:ind w:firstLine="420" w:firstLineChars="200"/>
        <w:jc w:val="both"/>
        <w:rPr>
          <w:rFonts w:eastAsia="宋体"/>
          <w:kern w:val="2"/>
          <w:sz w:val="21"/>
          <w:lang w:eastAsia="zh-CN"/>
        </w:rPr>
      </w:pPr>
      <w:r>
        <w:rPr>
          <w:rFonts w:hint="eastAsia" w:eastAsia="宋体"/>
          <w:kern w:val="2"/>
          <w:sz w:val="21"/>
          <w:lang w:eastAsia="zh-CN"/>
        </w:rPr>
        <w:t>（七）不同投标人的投标报价呈规律性差异。</w:t>
      </w:r>
    </w:p>
    <w:p w14:paraId="2BEEC5B2">
      <w:pPr>
        <w:widowControl w:val="0"/>
        <w:ind w:firstLine="420" w:firstLineChars="200"/>
        <w:jc w:val="both"/>
        <w:rPr>
          <w:rFonts w:eastAsia="宋体"/>
          <w:kern w:val="2"/>
          <w:sz w:val="21"/>
          <w:lang w:eastAsia="zh-CN"/>
        </w:rPr>
      </w:pPr>
      <w:r>
        <w:rPr>
          <w:rFonts w:hint="eastAsia" w:eastAsia="宋体"/>
          <w:kern w:val="2"/>
          <w:sz w:val="21"/>
          <w:lang w:eastAsia="zh-CN"/>
        </w:rPr>
        <w:t>（八）不同投标人的投标保证金从同一单位或者个人的账户转出。</w:t>
      </w:r>
    </w:p>
    <w:p w14:paraId="2DB47A4C">
      <w:pPr>
        <w:widowControl w:val="0"/>
        <w:ind w:firstLine="420" w:firstLineChars="200"/>
        <w:jc w:val="both"/>
        <w:rPr>
          <w:rFonts w:eastAsia="宋体"/>
          <w:kern w:val="2"/>
          <w:sz w:val="21"/>
          <w:lang w:eastAsia="zh-CN"/>
        </w:rPr>
      </w:pPr>
      <w:r>
        <w:rPr>
          <w:rFonts w:hint="eastAsia" w:eastAsia="宋体"/>
          <w:kern w:val="2"/>
          <w:sz w:val="21"/>
          <w:lang w:eastAsia="zh-CN"/>
        </w:rPr>
        <w:t>（九）主管部门依照法律、法规认定的其他情形。</w:t>
      </w:r>
    </w:p>
    <w:p w14:paraId="2222A7D3">
      <w:pPr>
        <w:widowControl w:val="0"/>
        <w:ind w:firstLine="422" w:firstLineChars="200"/>
        <w:jc w:val="both"/>
        <w:rPr>
          <w:rFonts w:eastAsia="宋体"/>
          <w:b/>
          <w:kern w:val="2"/>
          <w:sz w:val="21"/>
          <w:lang w:eastAsia="zh-CN"/>
        </w:rPr>
      </w:pPr>
      <w:r>
        <w:rPr>
          <w:rFonts w:hint="eastAsia" w:eastAsia="宋体"/>
          <w:b/>
          <w:kern w:val="2"/>
          <w:sz w:val="21"/>
          <w:lang w:eastAsia="zh-CN"/>
        </w:rPr>
        <w:t>三、本公司已充分知悉下列情形所对应的法律风险，并在投标前已对相关风险事项进行排查。</w:t>
      </w:r>
    </w:p>
    <w:p w14:paraId="4CF9E5E8">
      <w:pPr>
        <w:widowControl w:val="0"/>
        <w:ind w:firstLine="420" w:firstLineChars="200"/>
        <w:jc w:val="both"/>
        <w:rPr>
          <w:rFonts w:eastAsia="宋体"/>
          <w:b/>
          <w:kern w:val="2"/>
          <w:sz w:val="21"/>
          <w:lang w:eastAsia="zh-CN"/>
        </w:rPr>
      </w:pPr>
      <w:r>
        <w:rPr>
          <w:rFonts w:hint="eastAsia" w:eastAsia="宋体"/>
          <w:kern w:val="2"/>
          <w:sz w:val="21"/>
          <w:lang w:eastAsia="zh-CN"/>
        </w:rPr>
        <w:t>（一）对于从其他主体获取的投标资料，供应商应审慎核查，确保投标资料的真实性。</w:t>
      </w:r>
      <w:r>
        <w:rPr>
          <w:rFonts w:hint="eastAsia" w:eastAsia="宋体"/>
          <w:b/>
          <w:kern w:val="2"/>
          <w:sz w:val="21"/>
          <w:lang w:eastAsia="zh-CN"/>
        </w:rPr>
        <w:t>如主管部门查实投标文件中存在虚假资料的，无论相关资料是否由第三方或本公司员工提供，均不影响主管部门对供应商存在“隐瞒真实情况，提供虚假资料”违法行为的认定。</w:t>
      </w:r>
    </w:p>
    <w:p w14:paraId="28C8FD7A">
      <w:pPr>
        <w:widowControl w:val="0"/>
        <w:ind w:firstLine="420" w:firstLineChars="200"/>
        <w:jc w:val="both"/>
        <w:rPr>
          <w:rFonts w:eastAsia="宋体"/>
          <w:kern w:val="2"/>
          <w:sz w:val="21"/>
          <w:lang w:eastAsia="zh-CN"/>
        </w:rPr>
      </w:pPr>
      <w:r>
        <w:rPr>
          <w:rFonts w:hint="eastAsia" w:eastAsia="宋体"/>
          <w:kern w:val="2"/>
          <w:sz w:val="21"/>
          <w:lang w:eastAsia="zh-CN"/>
        </w:rPr>
        <w:t>（二）对于涉及国家机关出具的公文、证件、证明材料等文件，一旦涉嫌虚假，经查实，主管部门将依法从严处理，并移送有关部门追究法律责任；涉嫌犯罪的，主管部门将一并移送司法机关追究法律责任。</w:t>
      </w:r>
    </w:p>
    <w:p w14:paraId="36FDBB58">
      <w:pPr>
        <w:widowControl w:val="0"/>
        <w:ind w:firstLine="420" w:firstLineChars="200"/>
        <w:jc w:val="both"/>
        <w:rPr>
          <w:rFonts w:eastAsia="宋体"/>
          <w:kern w:val="2"/>
          <w:sz w:val="21"/>
          <w:lang w:eastAsia="zh-CN"/>
        </w:rPr>
      </w:pPr>
      <w:r>
        <w:rPr>
          <w:rFonts w:hint="eastAsia" w:eastAsia="宋体"/>
          <w:kern w:val="2"/>
          <w:sz w:val="21"/>
          <w:lang w:eastAsia="zh-CN"/>
        </w:rPr>
        <w:t>（三）对于涉及安全生产、特种作业、抢险救灾、防疫等采购项目，供应商实施提供虚假资料、串通投标等违法行为的，主管部门将依法从严处理。</w:t>
      </w:r>
    </w:p>
    <w:p w14:paraId="313D2D8F">
      <w:pPr>
        <w:widowControl w:val="0"/>
        <w:ind w:firstLine="420" w:firstLineChars="200"/>
        <w:jc w:val="both"/>
        <w:rPr>
          <w:rFonts w:eastAsia="宋体"/>
          <w:kern w:val="2"/>
          <w:sz w:val="21"/>
          <w:lang w:eastAsia="zh-CN"/>
        </w:rPr>
      </w:pPr>
      <w:r>
        <w:rPr>
          <w:rFonts w:hint="eastAsia" w:eastAsia="宋体"/>
          <w:kern w:val="2"/>
          <w:sz w:val="21"/>
          <w:lang w:eastAsia="zh-CN"/>
        </w:rPr>
        <w:t>（四）供应商应严格规范项目授权代表、员工参与招标投标的行为，加强对投标文件的审核。项目授权代表、员工编制、上传投标文件等行为违反政府采购法律法规或招标文件要求的，投标供应商应当依法承担相应法律责任。</w:t>
      </w:r>
    </w:p>
    <w:p w14:paraId="4DFDE696">
      <w:pPr>
        <w:widowControl w:val="0"/>
        <w:ind w:firstLine="420" w:firstLineChars="200"/>
        <w:jc w:val="both"/>
        <w:rPr>
          <w:rFonts w:eastAsia="宋体"/>
          <w:kern w:val="2"/>
          <w:sz w:val="21"/>
          <w:lang w:eastAsia="zh-CN"/>
        </w:rPr>
      </w:pPr>
      <w:r>
        <w:rPr>
          <w:rFonts w:hint="eastAsia" w:eastAsia="宋体"/>
          <w:kern w:val="2"/>
          <w:sz w:val="21"/>
          <w:lang w:eastAsia="zh-CN"/>
        </w:rPr>
        <w:t>（五）供应商对投标电子密钥负有妥善保管、及时变更和续期等主体责任。供应商使用电子密钥在深圳自行采购网站进行的活动，均具有法律效力，须承担相应的法律后果。供应商擅自将投标密钥出借他人使用所造成的法律后果，由供应商自行承担。</w:t>
      </w:r>
    </w:p>
    <w:p w14:paraId="0208B07D">
      <w:pPr>
        <w:widowControl w:val="0"/>
        <w:ind w:firstLine="420" w:firstLineChars="200"/>
        <w:jc w:val="both"/>
        <w:rPr>
          <w:rFonts w:eastAsia="宋体"/>
          <w:kern w:val="2"/>
          <w:sz w:val="21"/>
          <w:lang w:eastAsia="zh-CN"/>
        </w:rPr>
      </w:pPr>
      <w:r>
        <w:rPr>
          <w:rFonts w:hint="eastAsia" w:eastAsia="宋体"/>
          <w:kern w:val="2"/>
          <w:sz w:val="21"/>
          <w:lang w:eastAsia="zh-CN"/>
        </w:rPr>
        <w:t>（六）单位负责人为同一人或者存在直接控股、管理关系的不同供应商，不得参加同一合同项下的采购活动。相关情形如查实，依法作投标无效处理；涉嫌串通投标等违法行为的，主管部门将依法调查处理。</w:t>
      </w:r>
    </w:p>
    <w:p w14:paraId="5D125A7F">
      <w:pPr>
        <w:widowControl w:val="0"/>
        <w:ind w:firstLine="422" w:firstLineChars="200"/>
        <w:jc w:val="both"/>
        <w:rPr>
          <w:rFonts w:eastAsia="宋体"/>
          <w:b/>
          <w:kern w:val="2"/>
          <w:sz w:val="21"/>
          <w:lang w:eastAsia="zh-CN"/>
        </w:rPr>
      </w:pPr>
      <w:r>
        <w:rPr>
          <w:rFonts w:hint="eastAsia" w:eastAsia="宋体"/>
          <w:b/>
          <w:kern w:val="2"/>
          <w:sz w:val="21"/>
          <w:lang w:eastAsia="zh-CN"/>
        </w:rPr>
        <w:t>四、本公司已充分知悉政府采购违法、违规行为的法律后果。</w:t>
      </w:r>
    </w:p>
    <w:p w14:paraId="0643BD37">
      <w:pPr>
        <w:widowControl w:val="0"/>
        <w:ind w:firstLine="420" w:firstLineChars="200"/>
        <w:jc w:val="both"/>
        <w:rPr>
          <w:rFonts w:eastAsia="宋体"/>
          <w:kern w:val="2"/>
          <w:sz w:val="21"/>
          <w:lang w:eastAsia="zh-CN"/>
        </w:rPr>
      </w:pPr>
      <w:r>
        <w:rPr>
          <w:rFonts w:hint="eastAsia" w:eastAsia="宋体"/>
          <w:kern w:val="2"/>
          <w:sz w:val="21"/>
          <w:lang w:eastAsia="zh-CN"/>
        </w:rPr>
        <w:t>经查实，若投标供应商存在政府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14:paraId="7A55C1FA">
      <w:pPr>
        <w:widowControl w:val="0"/>
        <w:ind w:firstLine="420" w:firstLineChars="200"/>
        <w:jc w:val="both"/>
        <w:rPr>
          <w:rFonts w:eastAsia="宋体"/>
          <w:kern w:val="2"/>
          <w:sz w:val="21"/>
          <w:lang w:eastAsia="zh-CN"/>
        </w:rPr>
      </w:pPr>
      <w:r>
        <w:rPr>
          <w:rFonts w:hint="eastAsia" w:eastAsia="宋体"/>
          <w:kern w:val="2"/>
          <w:sz w:val="21"/>
          <w:lang w:eastAsia="zh-CN"/>
        </w:rPr>
        <w:t>以下文字请投标供应商抄写并确认：“本公司已仔细阅读《采购违法行为风险知悉确认书》，充分知悉违法行为的法律后果，并承诺将严谨、诚信、依法依规参与采购活动”。</w:t>
      </w:r>
    </w:p>
    <w:tbl>
      <w:tblPr>
        <w:tblStyle w:val="31"/>
        <w:tblW w:w="5000" w:type="pct"/>
        <w:tblInd w:w="0"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29"/>
      </w:tblGrid>
      <w:tr w14:paraId="598FBAA1">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8529" w:type="dxa"/>
            <w:tcBorders>
              <w:top w:val="nil"/>
              <w:left w:val="nil"/>
              <w:bottom w:val="single" w:color="000000" w:sz="8" w:space="0"/>
              <w:right w:val="nil"/>
            </w:tcBorders>
          </w:tcPr>
          <w:p w14:paraId="424AA257">
            <w:pPr>
              <w:widowControl w:val="0"/>
              <w:autoSpaceDE w:val="0"/>
              <w:autoSpaceDN w:val="0"/>
              <w:spacing w:line="400" w:lineRule="exact"/>
              <w:ind w:firstLine="1866"/>
              <w:jc w:val="both"/>
              <w:rPr>
                <w:rFonts w:hint="eastAsia" w:ascii="宋体" w:hAnsi="宋体" w:eastAsia="宋体"/>
                <w:spacing w:val="-4"/>
                <w:sz w:val="21"/>
                <w:szCs w:val="21"/>
                <w:lang w:eastAsia="zh-CN"/>
              </w:rPr>
            </w:pPr>
          </w:p>
        </w:tc>
      </w:tr>
      <w:tr w14:paraId="17DB31FF">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tcPr>
          <w:p w14:paraId="1CBA5723">
            <w:pPr>
              <w:widowControl w:val="0"/>
              <w:autoSpaceDE w:val="0"/>
              <w:autoSpaceDN w:val="0"/>
              <w:spacing w:line="400" w:lineRule="exact"/>
              <w:ind w:firstLine="1866"/>
              <w:jc w:val="both"/>
              <w:rPr>
                <w:rFonts w:hint="eastAsia" w:ascii="宋体" w:hAnsi="宋体" w:eastAsia="宋体"/>
                <w:spacing w:val="-4"/>
                <w:sz w:val="21"/>
                <w:szCs w:val="21"/>
                <w:lang w:eastAsia="zh-CN"/>
              </w:rPr>
            </w:pPr>
          </w:p>
        </w:tc>
      </w:tr>
      <w:tr w14:paraId="6DB96048">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tcPr>
          <w:p w14:paraId="35A0CCAE">
            <w:pPr>
              <w:widowControl w:val="0"/>
              <w:autoSpaceDE w:val="0"/>
              <w:autoSpaceDN w:val="0"/>
              <w:spacing w:line="400" w:lineRule="exact"/>
              <w:ind w:firstLine="1866"/>
              <w:jc w:val="both"/>
              <w:rPr>
                <w:rFonts w:hint="eastAsia" w:ascii="宋体" w:hAnsi="宋体" w:eastAsia="宋体"/>
                <w:spacing w:val="-4"/>
                <w:sz w:val="21"/>
                <w:szCs w:val="21"/>
                <w:lang w:eastAsia="zh-CN"/>
              </w:rPr>
            </w:pPr>
          </w:p>
        </w:tc>
      </w:tr>
      <w:tr w14:paraId="0648A69F">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auto" w:sz="8" w:space="0"/>
              <w:right w:val="nil"/>
            </w:tcBorders>
          </w:tcPr>
          <w:p w14:paraId="17C04100">
            <w:pPr>
              <w:widowControl w:val="0"/>
              <w:autoSpaceDE w:val="0"/>
              <w:autoSpaceDN w:val="0"/>
              <w:spacing w:line="400" w:lineRule="exact"/>
              <w:ind w:firstLine="1866"/>
              <w:jc w:val="both"/>
              <w:rPr>
                <w:rFonts w:hint="eastAsia" w:ascii="宋体" w:hAnsi="宋体" w:eastAsia="宋体"/>
                <w:spacing w:val="-4"/>
                <w:sz w:val="21"/>
                <w:szCs w:val="21"/>
                <w:lang w:eastAsia="zh-CN"/>
              </w:rPr>
            </w:pPr>
          </w:p>
        </w:tc>
      </w:tr>
    </w:tbl>
    <w:p w14:paraId="44B44E9B">
      <w:pPr>
        <w:widowControl/>
        <w:wordWrap w:val="0"/>
        <w:autoSpaceDE w:val="0"/>
        <w:autoSpaceDN w:val="0"/>
        <w:spacing w:line="400" w:lineRule="exact"/>
        <w:ind w:right="808" w:firstLine="404" w:firstLineChars="200"/>
        <w:jc w:val="right"/>
        <w:rPr>
          <w:rFonts w:hint="eastAsia" w:ascii="宋体" w:hAnsi="宋体" w:eastAsia="宋体"/>
          <w:spacing w:val="-4"/>
          <w:sz w:val="21"/>
          <w:szCs w:val="21"/>
          <w:u w:val="single"/>
          <w:lang w:eastAsia="zh-CN"/>
        </w:rPr>
      </w:pPr>
      <w:r>
        <w:rPr>
          <w:rFonts w:hint="eastAsia" w:ascii="宋体" w:hAnsi="宋体" w:eastAsia="宋体"/>
          <w:spacing w:val="-4"/>
          <w:sz w:val="21"/>
          <w:szCs w:val="21"/>
          <w:lang w:eastAsia="zh-CN"/>
        </w:rPr>
        <w:t>负责人/投标授权代表签名：</w:t>
      </w:r>
      <w:r>
        <w:rPr>
          <w:rFonts w:hint="eastAsia" w:ascii="宋体" w:hAnsi="宋体" w:eastAsia="宋体"/>
          <w:spacing w:val="-4"/>
          <w:sz w:val="21"/>
          <w:szCs w:val="21"/>
          <w:u w:val="single"/>
          <w:lang w:eastAsia="zh-CN"/>
        </w:rPr>
        <w:t xml:space="preserve">              </w:t>
      </w:r>
    </w:p>
    <w:p w14:paraId="6EC5F5D3">
      <w:pPr>
        <w:widowControl/>
        <w:wordWrap w:val="0"/>
        <w:autoSpaceDE w:val="0"/>
        <w:autoSpaceDN w:val="0"/>
        <w:spacing w:line="400" w:lineRule="exact"/>
        <w:ind w:right="808" w:firstLine="404" w:firstLineChars="200"/>
        <w:jc w:val="right"/>
        <w:rPr>
          <w:rFonts w:hint="eastAsia" w:ascii="宋体" w:hAnsi="宋体" w:eastAsia="宋体"/>
          <w:spacing w:val="-4"/>
          <w:sz w:val="21"/>
          <w:szCs w:val="21"/>
          <w:u w:val="single"/>
          <w:lang w:eastAsia="zh-CN"/>
        </w:rPr>
      </w:pPr>
      <w:r>
        <w:rPr>
          <w:rFonts w:hint="eastAsia" w:ascii="宋体" w:hAnsi="宋体" w:eastAsia="宋体"/>
          <w:spacing w:val="-4"/>
          <w:sz w:val="21"/>
          <w:szCs w:val="21"/>
          <w:lang w:eastAsia="zh-CN"/>
        </w:rPr>
        <w:t>知悉人（公章）：</w:t>
      </w:r>
      <w:r>
        <w:rPr>
          <w:rFonts w:hint="eastAsia" w:ascii="宋体" w:hAnsi="宋体" w:eastAsia="宋体"/>
          <w:spacing w:val="-4"/>
          <w:sz w:val="21"/>
          <w:szCs w:val="21"/>
          <w:u w:val="single"/>
          <w:lang w:eastAsia="zh-CN"/>
        </w:rPr>
        <w:t xml:space="preserve">              </w:t>
      </w:r>
    </w:p>
    <w:p w14:paraId="4D8902EE">
      <w:pPr>
        <w:widowControl/>
        <w:wordWrap w:val="0"/>
        <w:autoSpaceDE w:val="0"/>
        <w:autoSpaceDN w:val="0"/>
        <w:spacing w:line="400" w:lineRule="exact"/>
        <w:ind w:right="808" w:firstLine="404" w:firstLineChars="200"/>
        <w:jc w:val="right"/>
        <w:rPr>
          <w:rFonts w:hint="eastAsia" w:ascii="宋体" w:hAnsi="宋体" w:eastAsia="宋体"/>
          <w:spacing w:val="-4"/>
          <w:sz w:val="21"/>
          <w:szCs w:val="21"/>
          <w:u w:val="single"/>
          <w:lang w:eastAsia="zh-CN"/>
        </w:rPr>
      </w:pPr>
      <w:r>
        <w:rPr>
          <w:rFonts w:hint="eastAsia" w:ascii="宋体" w:hAnsi="宋体" w:eastAsia="宋体"/>
          <w:spacing w:val="-4"/>
          <w:sz w:val="21"/>
          <w:szCs w:val="21"/>
          <w:lang w:eastAsia="zh-CN"/>
        </w:rPr>
        <w:t xml:space="preserve">     日期：</w:t>
      </w:r>
      <w:r>
        <w:rPr>
          <w:rFonts w:hint="eastAsia" w:ascii="宋体" w:hAnsi="宋体" w:eastAsia="宋体"/>
          <w:spacing w:val="-4"/>
          <w:sz w:val="21"/>
          <w:szCs w:val="21"/>
          <w:u w:val="single"/>
          <w:lang w:eastAsia="zh-CN"/>
        </w:rPr>
        <w:t xml:space="preserve">              </w:t>
      </w:r>
    </w:p>
    <w:p w14:paraId="3E6BA11E">
      <w:pPr>
        <w:widowControl/>
        <w:autoSpaceDE w:val="0"/>
        <w:autoSpaceDN w:val="0"/>
        <w:spacing w:line="400" w:lineRule="exact"/>
        <w:ind w:firstLine="406" w:firstLineChars="200"/>
        <w:jc w:val="left"/>
        <w:rPr>
          <w:rFonts w:hint="eastAsia" w:ascii="宋体" w:hAnsi="宋体" w:eastAsia="宋体"/>
          <w:b/>
          <w:bCs/>
          <w:color w:val="FF0000"/>
          <w:spacing w:val="-4"/>
          <w:sz w:val="21"/>
          <w:szCs w:val="21"/>
          <w:lang w:eastAsia="zh-CN"/>
        </w:rPr>
      </w:pPr>
      <w:r>
        <w:rPr>
          <w:rFonts w:hint="eastAsia" w:ascii="宋体" w:hAnsi="宋体" w:eastAsia="宋体"/>
          <w:b/>
          <w:bCs/>
          <w:color w:val="FF0000"/>
          <w:spacing w:val="-4"/>
          <w:sz w:val="21"/>
          <w:szCs w:val="21"/>
          <w:lang w:eastAsia="zh-CN"/>
        </w:rPr>
        <w:t>注：</w:t>
      </w:r>
    </w:p>
    <w:p w14:paraId="7C8D2A38">
      <w:pPr>
        <w:widowControl/>
        <w:autoSpaceDE w:val="0"/>
        <w:autoSpaceDN w:val="0"/>
        <w:spacing w:line="400" w:lineRule="exact"/>
        <w:ind w:firstLine="406" w:firstLineChars="200"/>
        <w:jc w:val="left"/>
        <w:rPr>
          <w:rFonts w:hint="eastAsia" w:ascii="宋体" w:hAnsi="宋体" w:eastAsia="宋体"/>
          <w:b/>
          <w:bCs/>
          <w:color w:val="FF0000"/>
          <w:spacing w:val="-4"/>
          <w:sz w:val="21"/>
          <w:szCs w:val="21"/>
          <w:lang w:eastAsia="zh-CN"/>
        </w:rPr>
      </w:pPr>
      <w:r>
        <w:rPr>
          <w:rFonts w:hint="eastAsia" w:ascii="宋体" w:hAnsi="宋体" w:eastAsia="宋体"/>
          <w:b/>
          <w:bCs/>
          <w:color w:val="FF0000"/>
          <w:spacing w:val="-4"/>
          <w:sz w:val="21"/>
          <w:szCs w:val="21"/>
          <w:lang w:eastAsia="zh-CN"/>
        </w:rPr>
        <w:t>1.</w:t>
      </w:r>
      <w:r>
        <w:rPr>
          <w:rFonts w:hint="eastAsia" w:eastAsia="宋体"/>
          <w:kern w:val="2"/>
          <w:sz w:val="21"/>
          <w:lang w:eastAsia="zh-CN"/>
        </w:rPr>
        <w:t xml:space="preserve"> </w:t>
      </w:r>
      <w:r>
        <w:rPr>
          <w:rFonts w:hint="eastAsia" w:ascii="宋体" w:hAnsi="宋体" w:eastAsia="宋体"/>
          <w:b/>
          <w:bCs/>
          <w:color w:val="FF0000"/>
          <w:spacing w:val="-4"/>
          <w:sz w:val="21"/>
          <w:szCs w:val="21"/>
          <w:lang w:eastAsia="zh-CN"/>
        </w:rPr>
        <w:t>根据《深圳市财政局关于采购文件增加风险告知有关事项的通知》（深财购〔2022〕22 号），该风险知悉确认书用于对供应商违法行为的警示，不作为供应商资格性审查及符合性审查条件。</w:t>
      </w:r>
    </w:p>
    <w:p w14:paraId="27B5C55D">
      <w:pPr>
        <w:widowControl/>
        <w:autoSpaceDE w:val="0"/>
        <w:autoSpaceDN w:val="0"/>
        <w:spacing w:line="400" w:lineRule="exact"/>
        <w:ind w:firstLine="406" w:firstLineChars="200"/>
        <w:jc w:val="left"/>
        <w:rPr>
          <w:rFonts w:hint="eastAsia" w:ascii="宋体" w:hAnsi="宋体" w:eastAsia="宋体"/>
          <w:color w:val="FF0000"/>
          <w:spacing w:val="-4"/>
          <w:sz w:val="21"/>
          <w:szCs w:val="21"/>
          <w:lang w:eastAsia="zh-CN"/>
        </w:rPr>
      </w:pPr>
      <w:r>
        <w:rPr>
          <w:rFonts w:hint="eastAsia" w:ascii="宋体" w:hAnsi="宋体" w:eastAsia="宋体"/>
          <w:b/>
          <w:bCs/>
          <w:color w:val="FF0000"/>
          <w:spacing w:val="-4"/>
          <w:sz w:val="21"/>
          <w:szCs w:val="21"/>
          <w:lang w:eastAsia="zh-CN"/>
        </w:rPr>
        <w:t>2.投标供应商负责人或投标授权代表签字并加盖单位公章后，扫描上传至投标文件一并提交。</w:t>
      </w:r>
    </w:p>
    <w:p w14:paraId="203BB5EA">
      <w:pPr>
        <w:widowControl/>
        <w:spacing w:line="360" w:lineRule="auto"/>
        <w:jc w:val="left"/>
        <w:rPr>
          <w:rFonts w:eastAsia="宋体"/>
          <w:b/>
          <w:bCs/>
          <w:lang w:eastAsia="zh-CN"/>
        </w:rPr>
      </w:pPr>
    </w:p>
    <w:p w14:paraId="55A3472E">
      <w:pPr>
        <w:widowControl w:val="0"/>
        <w:spacing w:line="360" w:lineRule="auto"/>
        <w:jc w:val="both"/>
        <w:rPr>
          <w:rFonts w:eastAsia="宋体"/>
          <w:b/>
          <w:bCs/>
          <w:kern w:val="2"/>
          <w:lang w:eastAsia="zh-CN"/>
        </w:rPr>
      </w:pPr>
      <w:r>
        <w:rPr>
          <w:rFonts w:hint="eastAsia" w:ascii="黑体" w:hAnsi="宋体" w:eastAsia="黑体"/>
          <w:b/>
          <w:bCs/>
          <w:szCs w:val="20"/>
          <w:lang w:eastAsia="zh-CN"/>
        </w:rPr>
        <w:t>（二）投标人认为需要加以说明的其他内容（格式自定）</w:t>
      </w:r>
    </w:p>
    <w:p w14:paraId="01A6CF60">
      <w:pPr>
        <w:widowControl/>
        <w:jc w:val="left"/>
        <w:rPr>
          <w:rFonts w:hint="eastAsia" w:ascii="宋体" w:hAnsi="宋体" w:eastAsia="宋体"/>
          <w:b/>
          <w:bCs/>
          <w:szCs w:val="20"/>
          <w:lang w:eastAsia="zh-CN"/>
        </w:rPr>
      </w:pPr>
      <w:r>
        <w:rPr>
          <w:rFonts w:eastAsia="宋体"/>
          <w:kern w:val="2"/>
          <w:sz w:val="21"/>
          <w:lang w:eastAsia="zh-CN"/>
        </w:rPr>
        <w:br w:type="page"/>
      </w:r>
    </w:p>
    <w:p w14:paraId="111DC995">
      <w:pPr>
        <w:widowControl w:val="0"/>
        <w:adjustRightInd w:val="0"/>
        <w:spacing w:before="260" w:after="260" w:line="240" w:lineRule="auto"/>
        <w:jc w:val="center"/>
        <w:textAlignment w:val="baseline"/>
        <w:outlineLvl w:val="1"/>
        <w:rPr>
          <w:rFonts w:hint="eastAsia" w:ascii="宋体" w:hAnsi="宋体" w:eastAsia="宋体"/>
          <w:sz w:val="28"/>
          <w:szCs w:val="28"/>
          <w:lang w:eastAsia="zh-CN"/>
        </w:rPr>
      </w:pPr>
      <w:bookmarkStart w:id="45" w:name="_Hlk72439706"/>
      <w:r>
        <w:rPr>
          <w:rFonts w:hint="eastAsia" w:ascii="宋体" w:hAnsi="宋体" w:eastAsia="宋体"/>
          <w:sz w:val="28"/>
          <w:szCs w:val="28"/>
          <w:lang w:eastAsia="zh-CN"/>
        </w:rPr>
        <w:t>第五章  合同条款及格式</w:t>
      </w:r>
    </w:p>
    <w:p w14:paraId="6EE58DE2">
      <w:pPr>
        <w:widowControl w:val="0"/>
        <w:jc w:val="center"/>
        <w:outlineLvl w:val="0"/>
        <w:rPr>
          <w:rFonts w:eastAsia="宋体"/>
          <w:kern w:val="2"/>
          <w:sz w:val="21"/>
          <w:lang w:eastAsia="zh-CN"/>
        </w:rPr>
      </w:pPr>
      <w:r>
        <w:rPr>
          <w:rFonts w:hint="eastAsia" w:eastAsia="宋体"/>
          <w:b/>
          <w:kern w:val="2"/>
          <w:lang w:eastAsia="zh-CN"/>
        </w:rPr>
        <w:t>（仅供参考，具体以项目需求及实际签订为准）</w:t>
      </w:r>
    </w:p>
    <w:p w14:paraId="4887F029">
      <w:pPr>
        <w:widowControl w:val="0"/>
        <w:ind w:firstLine="411" w:firstLineChars="196"/>
        <w:jc w:val="both"/>
        <w:rPr>
          <w:rFonts w:eastAsia="宋体"/>
          <w:kern w:val="2"/>
          <w:sz w:val="21"/>
          <w:lang w:eastAsia="zh-CN"/>
        </w:rPr>
      </w:pPr>
    </w:p>
    <w:p w14:paraId="6874B98A">
      <w:pPr>
        <w:widowControl w:val="0"/>
        <w:jc w:val="both"/>
        <w:rPr>
          <w:rFonts w:hint="eastAsia" w:ascii="宋体" w:hAnsi="宋体" w:eastAsia="宋体"/>
          <w:b/>
          <w:bCs/>
          <w:kern w:val="2"/>
          <w:sz w:val="21"/>
          <w:szCs w:val="21"/>
          <w:lang w:eastAsia="zh-CN"/>
        </w:rPr>
      </w:pPr>
      <w:r>
        <w:rPr>
          <w:rFonts w:hint="eastAsia" w:ascii="宋体" w:hAnsi="宋体" w:eastAsia="宋体"/>
          <w:b/>
          <w:bCs/>
          <w:kern w:val="2"/>
          <w:sz w:val="21"/>
          <w:szCs w:val="21"/>
          <w:lang w:eastAsia="zh-CN"/>
        </w:rPr>
        <w:t>甲方：</w:t>
      </w:r>
    </w:p>
    <w:p w14:paraId="2D89F131">
      <w:pPr>
        <w:widowControl w:val="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地址：</w:t>
      </w:r>
    </w:p>
    <w:p w14:paraId="25A48E03">
      <w:pPr>
        <w:widowControl w:val="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联系人：</w:t>
      </w:r>
      <w:r>
        <w:rPr>
          <w:rFonts w:ascii="宋体" w:hAnsi="宋体" w:eastAsia="宋体"/>
          <w:kern w:val="2"/>
          <w:sz w:val="21"/>
          <w:szCs w:val="21"/>
          <w:lang w:eastAsia="zh-CN"/>
        </w:rPr>
        <w:t xml:space="preserve">                          </w:t>
      </w:r>
    </w:p>
    <w:p w14:paraId="31269D07">
      <w:pPr>
        <w:widowControl w:val="0"/>
        <w:jc w:val="both"/>
        <w:rPr>
          <w:rFonts w:hint="eastAsia" w:ascii="宋体" w:hAnsi="宋体" w:eastAsia="宋体"/>
          <w:b/>
          <w:bCs/>
          <w:kern w:val="2"/>
          <w:sz w:val="21"/>
          <w:szCs w:val="21"/>
          <w:lang w:eastAsia="zh-CN"/>
        </w:rPr>
      </w:pPr>
      <w:r>
        <w:rPr>
          <w:rFonts w:hint="eastAsia" w:ascii="宋体" w:hAnsi="宋体" w:eastAsia="宋体"/>
          <w:kern w:val="2"/>
          <w:sz w:val="21"/>
          <w:szCs w:val="21"/>
          <w:lang w:eastAsia="zh-CN"/>
        </w:rPr>
        <w:t>联系电话：</w:t>
      </w:r>
    </w:p>
    <w:p w14:paraId="53871782">
      <w:pPr>
        <w:widowControl w:val="0"/>
        <w:jc w:val="both"/>
        <w:rPr>
          <w:rFonts w:hint="eastAsia" w:ascii="宋体" w:hAnsi="宋体" w:eastAsia="宋体"/>
          <w:b/>
          <w:bCs/>
          <w:kern w:val="2"/>
          <w:sz w:val="21"/>
          <w:szCs w:val="21"/>
          <w:lang w:eastAsia="zh-CN"/>
        </w:rPr>
      </w:pPr>
      <w:r>
        <w:rPr>
          <w:rFonts w:ascii="宋体" w:hAnsi="宋体" w:eastAsia="宋体"/>
          <w:b/>
          <w:bCs/>
          <w:kern w:val="2"/>
          <w:sz w:val="21"/>
          <w:szCs w:val="21"/>
          <w:lang w:eastAsia="zh-CN"/>
        </w:rPr>
        <w:t xml:space="preserve"> </w:t>
      </w:r>
      <w:r>
        <w:rPr>
          <w:rFonts w:hint="eastAsia" w:ascii="宋体" w:hAnsi="宋体" w:eastAsia="宋体"/>
          <w:b/>
          <w:bCs/>
          <w:kern w:val="2"/>
          <w:sz w:val="21"/>
          <w:szCs w:val="21"/>
          <w:lang w:eastAsia="zh-CN"/>
        </w:rPr>
        <w:t xml:space="preserve"> </w:t>
      </w:r>
      <w:r>
        <w:rPr>
          <w:rFonts w:ascii="宋体" w:hAnsi="宋体" w:eastAsia="宋体"/>
          <w:b/>
          <w:bCs/>
          <w:kern w:val="2"/>
          <w:sz w:val="21"/>
          <w:szCs w:val="21"/>
          <w:lang w:eastAsia="zh-CN"/>
        </w:rPr>
        <w:t xml:space="preserve"> </w:t>
      </w:r>
    </w:p>
    <w:p w14:paraId="7CF37F94">
      <w:pPr>
        <w:widowControl w:val="0"/>
        <w:jc w:val="both"/>
        <w:rPr>
          <w:rFonts w:hint="eastAsia" w:ascii="宋体" w:hAnsi="宋体" w:eastAsia="宋体"/>
          <w:b/>
          <w:bCs/>
          <w:kern w:val="2"/>
          <w:sz w:val="21"/>
          <w:szCs w:val="21"/>
          <w:lang w:eastAsia="zh-CN"/>
        </w:rPr>
      </w:pPr>
      <w:r>
        <w:rPr>
          <w:rFonts w:hint="eastAsia" w:ascii="宋体" w:hAnsi="宋体" w:eastAsia="宋体"/>
          <w:b/>
          <w:bCs/>
          <w:kern w:val="2"/>
          <w:sz w:val="21"/>
          <w:szCs w:val="21"/>
          <w:lang w:eastAsia="zh-CN"/>
        </w:rPr>
        <w:t>乙方：</w:t>
      </w:r>
    </w:p>
    <w:p w14:paraId="12D86D34">
      <w:pPr>
        <w:widowControl w:val="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地址：</w:t>
      </w:r>
    </w:p>
    <w:p w14:paraId="432411AE">
      <w:pPr>
        <w:widowControl w:val="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联系人：</w:t>
      </w:r>
      <w:r>
        <w:rPr>
          <w:rFonts w:ascii="宋体" w:hAnsi="宋体" w:eastAsia="宋体"/>
          <w:kern w:val="2"/>
          <w:sz w:val="21"/>
          <w:szCs w:val="21"/>
          <w:lang w:eastAsia="zh-CN"/>
        </w:rPr>
        <w:t xml:space="preserve">                          </w:t>
      </w:r>
    </w:p>
    <w:p w14:paraId="6B9B3CAC">
      <w:pPr>
        <w:widowControl w:val="0"/>
        <w:jc w:val="both"/>
        <w:rPr>
          <w:rFonts w:hint="eastAsia" w:ascii="宋体" w:hAnsi="宋体" w:eastAsia="宋体"/>
          <w:b/>
          <w:bCs/>
          <w:kern w:val="2"/>
          <w:sz w:val="21"/>
          <w:szCs w:val="21"/>
          <w:lang w:eastAsia="zh-CN"/>
        </w:rPr>
      </w:pPr>
      <w:r>
        <w:rPr>
          <w:rFonts w:hint="eastAsia" w:ascii="宋体" w:hAnsi="宋体" w:eastAsia="宋体"/>
          <w:kern w:val="2"/>
          <w:sz w:val="21"/>
          <w:szCs w:val="21"/>
          <w:lang w:eastAsia="zh-CN"/>
        </w:rPr>
        <w:t>联系电话：</w:t>
      </w:r>
    </w:p>
    <w:p w14:paraId="0E7252CB">
      <w:pPr>
        <w:widowControl w:val="0"/>
        <w:jc w:val="both"/>
        <w:rPr>
          <w:rFonts w:hint="eastAsia" w:ascii="宋体" w:hAnsi="宋体" w:eastAsia="宋体"/>
          <w:kern w:val="2"/>
          <w:sz w:val="21"/>
          <w:szCs w:val="21"/>
          <w:lang w:eastAsia="zh-CN"/>
        </w:rPr>
      </w:pPr>
      <w:r>
        <w:rPr>
          <w:rFonts w:ascii="宋体" w:hAnsi="宋体" w:eastAsia="宋体"/>
          <w:b/>
          <w:bCs/>
          <w:kern w:val="2"/>
          <w:sz w:val="21"/>
          <w:szCs w:val="21"/>
          <w:lang w:eastAsia="zh-CN"/>
        </w:rPr>
        <w:t xml:space="preserve">            </w:t>
      </w:r>
      <w:r>
        <w:rPr>
          <w:rFonts w:hint="eastAsia" w:ascii="宋体" w:hAnsi="宋体" w:eastAsia="宋体"/>
          <w:b/>
          <w:bCs/>
          <w:kern w:val="2"/>
          <w:sz w:val="21"/>
          <w:szCs w:val="21"/>
          <w:lang w:eastAsia="zh-CN"/>
        </w:rPr>
        <w:t xml:space="preserve">          </w:t>
      </w:r>
    </w:p>
    <w:p w14:paraId="04817059">
      <w:pPr>
        <w:widowControl w:val="0"/>
        <w:jc w:val="both"/>
        <w:rPr>
          <w:rFonts w:hint="eastAsia" w:ascii="宋体" w:hAnsi="宋体" w:eastAsia="宋体"/>
          <w:kern w:val="2"/>
          <w:sz w:val="21"/>
          <w:szCs w:val="21"/>
          <w:lang w:eastAsia="zh-CN"/>
        </w:rPr>
      </w:pPr>
    </w:p>
    <w:p w14:paraId="34EF40D4">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根据深圳公共资源交易中心（深圳交易集团有限公司政府采购业务分公司）*</w:t>
      </w:r>
      <w:r>
        <w:rPr>
          <w:rFonts w:ascii="宋体" w:hAnsi="宋体" w:eastAsia="宋体"/>
          <w:kern w:val="2"/>
          <w:sz w:val="21"/>
          <w:szCs w:val="21"/>
          <w:lang w:eastAsia="zh-CN"/>
        </w:rPr>
        <w:t>**</w:t>
      </w:r>
      <w:r>
        <w:rPr>
          <w:rFonts w:hint="eastAsia" w:ascii="宋体" w:hAnsi="宋体" w:eastAsia="宋体"/>
          <w:kern w:val="2"/>
          <w:sz w:val="21"/>
          <w:szCs w:val="21"/>
          <w:lang w:eastAsia="zh-CN"/>
        </w:rPr>
        <w:t>号项目结果，*</w:t>
      </w:r>
      <w:r>
        <w:rPr>
          <w:rFonts w:ascii="宋体" w:hAnsi="宋体" w:eastAsia="宋体"/>
          <w:kern w:val="2"/>
          <w:sz w:val="21"/>
          <w:szCs w:val="21"/>
          <w:lang w:eastAsia="zh-CN"/>
        </w:rPr>
        <w:t>**</w:t>
      </w:r>
      <w:r>
        <w:rPr>
          <w:rFonts w:hint="eastAsia" w:ascii="宋体" w:hAnsi="宋体" w:eastAsia="宋体"/>
          <w:kern w:val="2"/>
          <w:sz w:val="21"/>
          <w:szCs w:val="21"/>
          <w:lang w:eastAsia="zh-CN"/>
        </w:rPr>
        <w:t>单位为中标人。按照《中华人民共和国民法典》（第三编 合同）》和《深圳经济特区政府采购条例》，经深圳市（以下简称甲方）和单位（以下简称乙方）协商，就甲方委托乙方承担</w:t>
      </w:r>
      <w:r>
        <w:rPr>
          <w:rFonts w:hint="eastAsia" w:ascii="宋体" w:hAnsi="宋体" w:eastAsia="宋体"/>
          <w:b/>
          <w:bCs/>
          <w:snapToGrid w:val="0"/>
          <w:sz w:val="21"/>
          <w:szCs w:val="21"/>
          <w:u w:val="single"/>
          <w:lang w:val="zh-CN" w:eastAsia="zh-CN"/>
        </w:rPr>
        <w:t xml:space="preserve">                      服务项目</w:t>
      </w:r>
      <w:r>
        <w:rPr>
          <w:rFonts w:hint="eastAsia" w:ascii="宋体" w:hAnsi="宋体" w:eastAsia="宋体"/>
          <w:kern w:val="2"/>
          <w:sz w:val="21"/>
          <w:szCs w:val="21"/>
          <w:lang w:eastAsia="zh-CN"/>
        </w:rPr>
        <w:t>，达成以下合同条款：</w:t>
      </w:r>
    </w:p>
    <w:p w14:paraId="68EA6ADE">
      <w:pPr>
        <w:widowControl w:val="0"/>
        <w:ind w:firstLine="422" w:firstLineChars="200"/>
        <w:jc w:val="both"/>
        <w:rPr>
          <w:rFonts w:hint="eastAsia" w:ascii="宋体" w:hAnsi="宋体" w:eastAsia="宋体"/>
          <w:b/>
          <w:bCs/>
          <w:kern w:val="2"/>
          <w:sz w:val="21"/>
          <w:szCs w:val="21"/>
          <w:lang w:eastAsia="zh-CN"/>
        </w:rPr>
      </w:pPr>
      <w:r>
        <w:rPr>
          <w:rFonts w:hint="eastAsia" w:ascii="宋体" w:hAnsi="宋体" w:eastAsia="宋体"/>
          <w:b/>
          <w:bCs/>
          <w:kern w:val="2"/>
          <w:sz w:val="21"/>
          <w:szCs w:val="21"/>
          <w:lang w:eastAsia="zh-CN"/>
        </w:rPr>
        <w:t>第一条　项目概况</w:t>
      </w:r>
    </w:p>
    <w:p w14:paraId="0A8077B4">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 xml:space="preserve">项目名称： </w:t>
      </w:r>
    </w:p>
    <w:p w14:paraId="00930119">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 xml:space="preserve">项目内容： </w:t>
      </w:r>
    </w:p>
    <w:p w14:paraId="5E023215">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 xml:space="preserve">服务时间： </w:t>
      </w:r>
    </w:p>
    <w:p w14:paraId="0B4B289F">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合同价款：合同总价为元，含一切税费。</w:t>
      </w:r>
      <w:r>
        <w:rPr>
          <w:rFonts w:eastAsia="宋体"/>
          <w:kern w:val="2"/>
          <w:sz w:val="21"/>
          <w:lang w:eastAsia="zh-CN"/>
        </w:rPr>
        <w:t>本合同总价包括</w:t>
      </w:r>
      <w:r>
        <w:rPr>
          <w:rFonts w:hint="eastAsia" w:ascii="宋体" w:hAnsi="宋体" w:eastAsia="宋体"/>
          <w:kern w:val="2"/>
          <w:sz w:val="21"/>
          <w:szCs w:val="21"/>
          <w:lang w:eastAsia="zh-CN"/>
        </w:rPr>
        <w:t>乙方为实施本项目*</w:t>
      </w:r>
      <w:r>
        <w:rPr>
          <w:rFonts w:ascii="宋体" w:hAnsi="宋体" w:eastAsia="宋体"/>
          <w:kern w:val="2"/>
          <w:sz w:val="21"/>
          <w:szCs w:val="21"/>
          <w:lang w:eastAsia="zh-CN"/>
        </w:rPr>
        <w:t>**</w:t>
      </w:r>
      <w:r>
        <w:rPr>
          <w:rFonts w:hint="eastAsia" w:ascii="宋体" w:hAnsi="宋体" w:eastAsia="宋体"/>
          <w:kern w:val="2"/>
          <w:sz w:val="21"/>
          <w:szCs w:val="21"/>
          <w:lang w:eastAsia="zh-CN"/>
        </w:rPr>
        <w:t>所需的设备仪器费、车辆租赁费、</w:t>
      </w:r>
      <w:r>
        <w:rPr>
          <w:rFonts w:eastAsia="宋体"/>
          <w:kern w:val="2"/>
          <w:sz w:val="21"/>
          <w:lang w:eastAsia="zh-CN"/>
        </w:rPr>
        <w:t>服务</w:t>
      </w:r>
      <w:r>
        <w:rPr>
          <w:rFonts w:hint="eastAsia" w:eastAsia="宋体"/>
          <w:kern w:val="2"/>
          <w:sz w:val="21"/>
          <w:lang w:eastAsia="zh-CN"/>
        </w:rPr>
        <w:t>和</w:t>
      </w:r>
      <w:r>
        <w:rPr>
          <w:rFonts w:eastAsia="宋体"/>
          <w:kern w:val="2"/>
          <w:sz w:val="21"/>
          <w:lang w:eastAsia="zh-CN"/>
        </w:rPr>
        <w:t>技术费用</w:t>
      </w:r>
      <w:r>
        <w:rPr>
          <w:rFonts w:hint="eastAsia" w:eastAsia="宋体"/>
          <w:kern w:val="2"/>
          <w:sz w:val="21"/>
          <w:lang w:eastAsia="zh-CN"/>
        </w:rPr>
        <w:t>等</w:t>
      </w:r>
      <w:r>
        <w:rPr>
          <w:rFonts w:eastAsia="宋体"/>
          <w:kern w:val="2"/>
          <w:sz w:val="21"/>
          <w:lang w:eastAsia="zh-CN"/>
        </w:rPr>
        <w:t>，为固定不变价格，且不随通货膨胀的影响而波动。合同总价包括</w:t>
      </w:r>
      <w:r>
        <w:rPr>
          <w:rFonts w:hint="eastAsia" w:ascii="宋体" w:hAnsi="宋体" w:eastAsia="宋体"/>
          <w:kern w:val="2"/>
          <w:sz w:val="21"/>
          <w:szCs w:val="21"/>
          <w:lang w:eastAsia="zh-CN"/>
        </w:rPr>
        <w:t>乙方</w:t>
      </w:r>
      <w:r>
        <w:rPr>
          <w:rFonts w:eastAsia="宋体"/>
          <w:kern w:val="2"/>
          <w:sz w:val="21"/>
          <w:lang w:eastAsia="zh-CN"/>
        </w:rPr>
        <w:t>履行本合同义务所发生的一切费用和支出和以各种方式寄送技术资料到</w:t>
      </w:r>
      <w:r>
        <w:rPr>
          <w:rFonts w:hint="eastAsia" w:eastAsia="宋体"/>
          <w:kern w:val="2"/>
          <w:sz w:val="21"/>
          <w:lang w:eastAsia="zh-CN"/>
        </w:rPr>
        <w:t>甲</w:t>
      </w:r>
      <w:r>
        <w:rPr>
          <w:rFonts w:eastAsia="宋体"/>
          <w:kern w:val="2"/>
          <w:sz w:val="21"/>
          <w:lang w:eastAsia="zh-CN"/>
        </w:rPr>
        <w:t>方办公室所发生的费用。</w:t>
      </w:r>
    </w:p>
    <w:p w14:paraId="3744C926">
      <w:pPr>
        <w:widowControl w:val="0"/>
        <w:ind w:firstLine="42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支付方式：分期支付。</w:t>
      </w:r>
    </w:p>
    <w:p w14:paraId="553599AD">
      <w:pPr>
        <w:widowControl w:val="0"/>
        <w:ind w:firstLine="422" w:firstLineChars="200"/>
        <w:jc w:val="both"/>
        <w:rPr>
          <w:rFonts w:hint="eastAsia" w:ascii="宋体" w:hAnsi="宋体" w:eastAsia="宋体"/>
          <w:b/>
          <w:bCs/>
          <w:kern w:val="2"/>
          <w:sz w:val="21"/>
          <w:szCs w:val="21"/>
          <w:lang w:eastAsia="zh-CN"/>
        </w:rPr>
      </w:pPr>
      <w:r>
        <w:rPr>
          <w:rFonts w:hint="eastAsia" w:ascii="宋体" w:hAnsi="宋体" w:eastAsia="宋体"/>
          <w:b/>
          <w:bCs/>
          <w:kern w:val="2"/>
          <w:sz w:val="21"/>
          <w:szCs w:val="21"/>
          <w:lang w:eastAsia="zh-CN"/>
        </w:rPr>
        <w:t>第二条  服务范围</w:t>
      </w:r>
    </w:p>
    <w:p w14:paraId="51E89F11">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 xml:space="preserve">1、  </w:t>
      </w:r>
    </w:p>
    <w:p w14:paraId="6D6CFC71">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 xml:space="preserve">2、  </w:t>
      </w:r>
    </w:p>
    <w:p w14:paraId="16949F50">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3、其他合同未明示的相关工作。</w:t>
      </w:r>
    </w:p>
    <w:p w14:paraId="3D9DDD2E">
      <w:pPr>
        <w:widowControl w:val="0"/>
        <w:ind w:firstLine="422" w:firstLineChars="200"/>
        <w:jc w:val="both"/>
        <w:rPr>
          <w:rFonts w:hint="eastAsia" w:ascii="宋体" w:hAnsi="宋体" w:eastAsia="宋体"/>
          <w:b/>
          <w:bCs/>
          <w:kern w:val="2"/>
          <w:sz w:val="21"/>
          <w:szCs w:val="21"/>
          <w:lang w:eastAsia="zh-CN"/>
        </w:rPr>
      </w:pPr>
      <w:r>
        <w:rPr>
          <w:rFonts w:hint="eastAsia" w:ascii="宋体" w:hAnsi="宋体" w:eastAsia="宋体"/>
          <w:b/>
          <w:bCs/>
          <w:kern w:val="2"/>
          <w:sz w:val="21"/>
          <w:szCs w:val="21"/>
          <w:lang w:eastAsia="zh-CN"/>
        </w:rPr>
        <w:t>第三条  时间要求及阶段成果</w:t>
      </w:r>
    </w:p>
    <w:p w14:paraId="6B6D9029">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1、合同签订天内完成项目实施的准备工作，包括工作大纲和细则的编制；</w:t>
      </w:r>
    </w:p>
    <w:p w14:paraId="52AA4B08">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 xml:space="preserve">2、 </w:t>
      </w:r>
    </w:p>
    <w:p w14:paraId="029BAEC9">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w:t>
      </w:r>
    </w:p>
    <w:p w14:paraId="3E522EC3">
      <w:pPr>
        <w:widowControl w:val="0"/>
        <w:ind w:firstLine="422" w:firstLineChars="200"/>
        <w:jc w:val="both"/>
        <w:rPr>
          <w:rFonts w:hint="eastAsia" w:ascii="宋体" w:hAnsi="宋体" w:eastAsia="宋体"/>
          <w:b/>
          <w:bCs/>
          <w:kern w:val="2"/>
          <w:sz w:val="21"/>
          <w:szCs w:val="21"/>
          <w:lang w:eastAsia="zh-CN"/>
        </w:rPr>
      </w:pPr>
      <w:r>
        <w:rPr>
          <w:rFonts w:hint="eastAsia" w:ascii="宋体" w:hAnsi="宋体" w:eastAsia="宋体"/>
          <w:b/>
          <w:bCs/>
          <w:kern w:val="2"/>
          <w:sz w:val="21"/>
          <w:szCs w:val="21"/>
          <w:lang w:eastAsia="zh-CN"/>
        </w:rPr>
        <w:t>第四条  咨询服务资料归属</w:t>
      </w:r>
    </w:p>
    <w:p w14:paraId="2E1CFEE9">
      <w:pPr>
        <w:widowControl w:val="0"/>
        <w:ind w:firstLine="420" w:firstLineChars="200"/>
        <w:jc w:val="both"/>
        <w:rPr>
          <w:rFonts w:eastAsia="宋体"/>
          <w:kern w:val="2"/>
          <w:sz w:val="21"/>
          <w:lang w:eastAsia="zh-CN"/>
        </w:rPr>
      </w:pPr>
      <w:r>
        <w:rPr>
          <w:rFonts w:eastAsia="宋体"/>
          <w:kern w:val="2"/>
          <w:sz w:val="21"/>
          <w:lang w:eastAsia="zh-CN"/>
        </w:rPr>
        <w:t>1</w:t>
      </w:r>
      <w:r>
        <w:rPr>
          <w:rFonts w:hint="eastAsia" w:eastAsia="宋体"/>
          <w:kern w:val="2"/>
          <w:sz w:val="21"/>
          <w:lang w:eastAsia="zh-CN"/>
        </w:rPr>
        <w:t>、</w:t>
      </w:r>
      <w:r>
        <w:rPr>
          <w:rFonts w:eastAsia="宋体"/>
          <w:kern w:val="2"/>
          <w:sz w:val="21"/>
          <w:lang w:eastAsia="zh-CN"/>
        </w:rPr>
        <w:t>所有提交给</w:t>
      </w:r>
      <w:r>
        <w:rPr>
          <w:rFonts w:hint="eastAsia" w:eastAsia="宋体"/>
          <w:kern w:val="2"/>
          <w:sz w:val="21"/>
          <w:lang w:eastAsia="zh-CN"/>
        </w:rPr>
        <w:t>甲</w:t>
      </w:r>
      <w:r>
        <w:rPr>
          <w:rFonts w:eastAsia="宋体"/>
          <w:kern w:val="2"/>
          <w:sz w:val="21"/>
          <w:lang w:eastAsia="zh-CN"/>
        </w:rPr>
        <w:t>方的服务</w:t>
      </w:r>
      <w:r>
        <w:rPr>
          <w:rFonts w:hint="eastAsia" w:eastAsia="宋体"/>
          <w:kern w:val="2"/>
          <w:sz w:val="21"/>
          <w:lang w:eastAsia="zh-CN"/>
        </w:rPr>
        <w:t>文件</w:t>
      </w:r>
      <w:r>
        <w:rPr>
          <w:rFonts w:eastAsia="宋体"/>
          <w:kern w:val="2"/>
          <w:sz w:val="21"/>
          <w:lang w:eastAsia="zh-CN"/>
        </w:rPr>
        <w:t>及相关的资料的最后文本，包括为履行技术服务范围所编制的计划和证明资料等，都属于</w:t>
      </w:r>
      <w:r>
        <w:rPr>
          <w:rFonts w:hint="eastAsia" w:eastAsia="宋体"/>
          <w:kern w:val="2"/>
          <w:sz w:val="21"/>
          <w:lang w:eastAsia="zh-CN"/>
        </w:rPr>
        <w:t>甲</w:t>
      </w:r>
      <w:r>
        <w:rPr>
          <w:rFonts w:eastAsia="宋体"/>
          <w:kern w:val="2"/>
          <w:sz w:val="21"/>
          <w:lang w:eastAsia="zh-CN"/>
        </w:rPr>
        <w:t>方的财产，</w:t>
      </w:r>
      <w:r>
        <w:rPr>
          <w:rFonts w:hint="eastAsia" w:ascii="宋体" w:hAnsi="宋体" w:eastAsia="宋体"/>
          <w:kern w:val="2"/>
          <w:sz w:val="21"/>
          <w:szCs w:val="21"/>
          <w:lang w:eastAsia="zh-CN"/>
        </w:rPr>
        <w:t>乙</w:t>
      </w:r>
      <w:r>
        <w:rPr>
          <w:rFonts w:eastAsia="宋体"/>
          <w:kern w:val="2"/>
          <w:sz w:val="21"/>
          <w:lang w:eastAsia="zh-CN"/>
        </w:rPr>
        <w:t>方在提交给</w:t>
      </w:r>
      <w:r>
        <w:rPr>
          <w:rFonts w:hint="eastAsia" w:eastAsia="宋体"/>
          <w:kern w:val="2"/>
          <w:sz w:val="21"/>
          <w:lang w:eastAsia="zh-CN"/>
        </w:rPr>
        <w:t>甲</w:t>
      </w:r>
      <w:r>
        <w:rPr>
          <w:rFonts w:eastAsia="宋体"/>
          <w:kern w:val="2"/>
          <w:sz w:val="21"/>
          <w:lang w:eastAsia="zh-CN"/>
        </w:rPr>
        <w:t>方之前应将上述资料进行整理归类和编制索引</w:t>
      </w:r>
      <w:r>
        <w:rPr>
          <w:rFonts w:hint="eastAsia" w:eastAsia="宋体"/>
          <w:kern w:val="2"/>
          <w:sz w:val="21"/>
          <w:lang w:eastAsia="zh-CN"/>
        </w:rPr>
        <w:t>。</w:t>
      </w:r>
    </w:p>
    <w:p w14:paraId="7D82CC51">
      <w:pPr>
        <w:widowControl w:val="0"/>
        <w:ind w:firstLine="420" w:firstLineChars="200"/>
        <w:jc w:val="both"/>
        <w:rPr>
          <w:rFonts w:eastAsia="宋体"/>
          <w:kern w:val="2"/>
          <w:sz w:val="21"/>
          <w:lang w:eastAsia="zh-CN"/>
        </w:rPr>
      </w:pPr>
      <w:r>
        <w:rPr>
          <w:rFonts w:eastAsia="宋体"/>
          <w:kern w:val="2"/>
          <w:sz w:val="21"/>
          <w:lang w:eastAsia="zh-CN"/>
        </w:rPr>
        <w:t>2</w:t>
      </w:r>
      <w:r>
        <w:rPr>
          <w:rFonts w:hint="eastAsia" w:eastAsia="宋体"/>
          <w:kern w:val="2"/>
          <w:sz w:val="21"/>
          <w:lang w:eastAsia="zh-CN"/>
        </w:rPr>
        <w:t>、</w:t>
      </w:r>
      <w:r>
        <w:rPr>
          <w:rFonts w:hint="eastAsia" w:ascii="宋体" w:hAnsi="宋体" w:eastAsia="宋体"/>
          <w:kern w:val="2"/>
          <w:sz w:val="21"/>
          <w:szCs w:val="21"/>
          <w:lang w:eastAsia="zh-CN"/>
        </w:rPr>
        <w:t>乙</w:t>
      </w:r>
      <w:r>
        <w:rPr>
          <w:rFonts w:eastAsia="宋体"/>
          <w:kern w:val="2"/>
          <w:sz w:val="21"/>
          <w:lang w:eastAsia="zh-CN"/>
        </w:rPr>
        <w:t>方未经</w:t>
      </w:r>
      <w:r>
        <w:rPr>
          <w:rFonts w:hint="eastAsia" w:eastAsia="宋体"/>
          <w:kern w:val="2"/>
          <w:sz w:val="21"/>
          <w:lang w:eastAsia="zh-CN"/>
        </w:rPr>
        <w:t>甲</w:t>
      </w:r>
      <w:r>
        <w:rPr>
          <w:rFonts w:eastAsia="宋体"/>
          <w:kern w:val="2"/>
          <w:sz w:val="21"/>
          <w:lang w:eastAsia="zh-CN"/>
        </w:rPr>
        <w:t>方的书面同意，不得将上述资料用于与本服务项目之外的任何项目</w:t>
      </w:r>
      <w:r>
        <w:rPr>
          <w:rFonts w:hint="eastAsia" w:eastAsia="宋体"/>
          <w:kern w:val="2"/>
          <w:sz w:val="21"/>
          <w:lang w:eastAsia="zh-CN"/>
        </w:rPr>
        <w:t>。</w:t>
      </w:r>
    </w:p>
    <w:p w14:paraId="11CF6365">
      <w:pPr>
        <w:widowControl w:val="0"/>
        <w:ind w:firstLine="420" w:firstLineChars="200"/>
        <w:jc w:val="both"/>
        <w:rPr>
          <w:rFonts w:eastAsia="宋体"/>
          <w:kern w:val="2"/>
          <w:sz w:val="21"/>
          <w:lang w:eastAsia="zh-CN"/>
        </w:rPr>
      </w:pPr>
      <w:r>
        <w:rPr>
          <w:rFonts w:hint="eastAsia" w:eastAsia="宋体"/>
          <w:kern w:val="2"/>
          <w:sz w:val="21"/>
          <w:lang w:eastAsia="zh-CN"/>
        </w:rPr>
        <w:t>3、</w:t>
      </w:r>
      <w:r>
        <w:rPr>
          <w:rFonts w:eastAsia="宋体"/>
          <w:kern w:val="2"/>
          <w:sz w:val="21"/>
          <w:lang w:eastAsia="zh-CN"/>
        </w:rPr>
        <w:t>合同履行</w:t>
      </w:r>
      <w:r>
        <w:rPr>
          <w:rFonts w:hint="eastAsia" w:eastAsia="宋体"/>
          <w:kern w:val="2"/>
          <w:sz w:val="21"/>
          <w:lang w:eastAsia="zh-CN"/>
        </w:rPr>
        <w:t>完毕，</w:t>
      </w:r>
      <w:r>
        <w:rPr>
          <w:rFonts w:eastAsia="宋体"/>
          <w:kern w:val="2"/>
          <w:sz w:val="21"/>
          <w:lang w:eastAsia="zh-CN"/>
        </w:rPr>
        <w:t>未经</w:t>
      </w:r>
      <w:r>
        <w:rPr>
          <w:rFonts w:hint="eastAsia" w:eastAsia="宋体"/>
          <w:kern w:val="2"/>
          <w:sz w:val="21"/>
          <w:lang w:eastAsia="zh-CN"/>
        </w:rPr>
        <w:t>甲</w:t>
      </w:r>
      <w:r>
        <w:rPr>
          <w:rFonts w:eastAsia="宋体"/>
          <w:kern w:val="2"/>
          <w:sz w:val="21"/>
          <w:lang w:eastAsia="zh-CN"/>
        </w:rPr>
        <w:t>方的书面同意</w:t>
      </w:r>
      <w:r>
        <w:rPr>
          <w:rFonts w:hint="eastAsia" w:eastAsia="宋体"/>
          <w:kern w:val="2"/>
          <w:sz w:val="21"/>
          <w:lang w:eastAsia="zh-CN"/>
        </w:rPr>
        <w:t>，</w:t>
      </w:r>
      <w:r>
        <w:rPr>
          <w:rFonts w:hint="eastAsia" w:ascii="宋体" w:hAnsi="宋体" w:eastAsia="宋体"/>
          <w:kern w:val="2"/>
          <w:sz w:val="21"/>
          <w:szCs w:val="21"/>
          <w:lang w:eastAsia="zh-CN"/>
        </w:rPr>
        <w:t>乙</w:t>
      </w:r>
      <w:r>
        <w:rPr>
          <w:rFonts w:eastAsia="宋体"/>
          <w:kern w:val="2"/>
          <w:sz w:val="21"/>
          <w:lang w:eastAsia="zh-CN"/>
        </w:rPr>
        <w:t>方</w:t>
      </w:r>
      <w:r>
        <w:rPr>
          <w:rFonts w:hint="eastAsia" w:eastAsia="宋体"/>
          <w:kern w:val="2"/>
          <w:sz w:val="21"/>
          <w:lang w:eastAsia="zh-CN"/>
        </w:rPr>
        <w:t>不得保存在</w:t>
      </w:r>
      <w:r>
        <w:rPr>
          <w:rFonts w:eastAsia="宋体"/>
          <w:kern w:val="2"/>
          <w:sz w:val="21"/>
          <w:lang w:eastAsia="zh-CN"/>
        </w:rPr>
        <w:t>履行合同过程中所获得或接触到的任何</w:t>
      </w:r>
      <w:r>
        <w:rPr>
          <w:rFonts w:hint="eastAsia" w:ascii="宋体" w:hAnsi="宋体" w:eastAsia="宋体"/>
          <w:kern w:val="2"/>
          <w:sz w:val="21"/>
          <w:szCs w:val="21"/>
          <w:lang w:eastAsia="zh-CN"/>
        </w:rPr>
        <w:t>内部数据资料。</w:t>
      </w:r>
    </w:p>
    <w:p w14:paraId="1769142C">
      <w:pPr>
        <w:widowControl w:val="0"/>
        <w:ind w:firstLine="422" w:firstLineChars="200"/>
        <w:jc w:val="both"/>
        <w:rPr>
          <w:rFonts w:hint="eastAsia" w:ascii="宋体" w:hAnsi="宋体" w:eastAsia="宋体"/>
          <w:b/>
          <w:bCs/>
          <w:kern w:val="2"/>
          <w:sz w:val="21"/>
          <w:szCs w:val="21"/>
          <w:lang w:eastAsia="zh-CN"/>
        </w:rPr>
      </w:pPr>
      <w:r>
        <w:rPr>
          <w:rFonts w:hint="eastAsia" w:ascii="宋体" w:hAnsi="宋体" w:eastAsia="宋体"/>
          <w:b/>
          <w:bCs/>
          <w:kern w:val="2"/>
          <w:sz w:val="21"/>
          <w:szCs w:val="21"/>
          <w:lang w:eastAsia="zh-CN"/>
        </w:rPr>
        <w:t>第五条  甲方的义务</w:t>
      </w:r>
    </w:p>
    <w:p w14:paraId="4FF00045">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1、负责与本服务项目有关的第三方的协调，提供开展服务工作的外部条件。</w:t>
      </w:r>
    </w:p>
    <w:p w14:paraId="491BBD15">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2、向乙方提供与本项目服务工作有关的资料。</w:t>
      </w:r>
    </w:p>
    <w:p w14:paraId="575B8925">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3、负责组织有关专家对项目成果报告的评审。</w:t>
      </w:r>
    </w:p>
    <w:p w14:paraId="39D6E7DD">
      <w:pPr>
        <w:widowControl w:val="0"/>
        <w:ind w:firstLine="422" w:firstLineChars="200"/>
        <w:jc w:val="both"/>
        <w:rPr>
          <w:rFonts w:hint="eastAsia" w:ascii="宋体" w:hAnsi="宋体" w:eastAsia="宋体"/>
          <w:b/>
          <w:bCs/>
          <w:kern w:val="2"/>
          <w:sz w:val="21"/>
          <w:szCs w:val="21"/>
          <w:lang w:eastAsia="zh-CN"/>
        </w:rPr>
      </w:pPr>
      <w:r>
        <w:rPr>
          <w:rFonts w:hint="eastAsia" w:ascii="宋体" w:hAnsi="宋体" w:eastAsia="宋体"/>
          <w:b/>
          <w:bCs/>
          <w:kern w:val="2"/>
          <w:sz w:val="21"/>
          <w:szCs w:val="21"/>
          <w:lang w:eastAsia="zh-CN"/>
        </w:rPr>
        <w:t>第七条　乙方的义务</w:t>
      </w:r>
    </w:p>
    <w:p w14:paraId="5D2811A4">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１、应按照招标文件、投标文件要求按期完成本项目服务工作。</w:t>
      </w:r>
    </w:p>
    <w:p w14:paraId="6E86D450">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2、负责组织项目的实施，保证进度和工作质量，并满足验收相关标准。</w:t>
      </w:r>
    </w:p>
    <w:p w14:paraId="45A8E2C6">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w:t>
      </w:r>
      <w:r>
        <w:rPr>
          <w:rFonts w:hint="eastAsia" w:ascii="宋体" w:hAnsi="宋体" w:eastAsia="宋体"/>
          <w:kern w:val="2"/>
          <w:sz w:val="21"/>
          <w:lang w:eastAsia="zh-CN"/>
        </w:rPr>
        <w:t>向甲方提交资料等各套，一套电子版文件。</w:t>
      </w:r>
    </w:p>
    <w:p w14:paraId="6D500E0D">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4、在履行合同期间或合同规定期限内，不得泄露与本合同规定业务活动有关的保密资料。</w:t>
      </w:r>
    </w:p>
    <w:p w14:paraId="288FB6BA">
      <w:pPr>
        <w:widowControl w:val="0"/>
        <w:ind w:firstLine="422" w:firstLineChars="200"/>
        <w:jc w:val="both"/>
        <w:rPr>
          <w:rFonts w:hint="eastAsia" w:ascii="宋体" w:hAnsi="宋体" w:eastAsia="宋体"/>
          <w:b/>
          <w:bCs/>
          <w:kern w:val="2"/>
          <w:sz w:val="21"/>
          <w:szCs w:val="21"/>
          <w:lang w:eastAsia="zh-CN"/>
        </w:rPr>
      </w:pPr>
      <w:r>
        <w:rPr>
          <w:rFonts w:hint="eastAsia" w:ascii="宋体" w:hAnsi="宋体" w:eastAsia="宋体"/>
          <w:b/>
          <w:bCs/>
          <w:kern w:val="2"/>
          <w:sz w:val="21"/>
          <w:szCs w:val="21"/>
          <w:lang w:eastAsia="zh-CN"/>
        </w:rPr>
        <w:t>第八条  甲方的权利</w:t>
      </w:r>
    </w:p>
    <w:p w14:paraId="6446FDD2">
      <w:pPr>
        <w:widowControl w:val="0"/>
        <w:ind w:firstLine="420" w:firstLineChars="200"/>
        <w:jc w:val="both"/>
        <w:rPr>
          <w:rFonts w:hint="eastAsia" w:ascii="宋体" w:hAnsi="宋体" w:eastAsia="宋体"/>
          <w:kern w:val="2"/>
          <w:sz w:val="21"/>
          <w:szCs w:val="21"/>
          <w:lang w:eastAsia="zh-CN"/>
        </w:rPr>
      </w:pPr>
      <w:r>
        <w:rPr>
          <w:rFonts w:ascii="宋体" w:hAnsi="宋体" w:eastAsia="宋体"/>
          <w:kern w:val="2"/>
          <w:sz w:val="21"/>
          <w:szCs w:val="21"/>
          <w:lang w:eastAsia="zh-CN"/>
        </w:rPr>
        <w:t>1</w:t>
      </w:r>
      <w:r>
        <w:rPr>
          <w:rFonts w:hint="eastAsia" w:ascii="宋体" w:hAnsi="宋体" w:eastAsia="宋体"/>
          <w:kern w:val="2"/>
          <w:sz w:val="21"/>
          <w:szCs w:val="21"/>
          <w:lang w:eastAsia="zh-CN"/>
        </w:rPr>
        <w:t>、有权向乙方询问工作进展情况及相关的内容。</w:t>
      </w:r>
    </w:p>
    <w:p w14:paraId="2FC56AF1">
      <w:pPr>
        <w:widowControl w:val="0"/>
        <w:ind w:firstLine="420" w:firstLineChars="200"/>
        <w:jc w:val="both"/>
        <w:rPr>
          <w:rFonts w:hint="eastAsia" w:ascii="宋体" w:hAnsi="宋体" w:eastAsia="宋体"/>
          <w:kern w:val="2"/>
          <w:sz w:val="21"/>
          <w:szCs w:val="21"/>
          <w:lang w:eastAsia="zh-CN"/>
        </w:rPr>
      </w:pPr>
      <w:r>
        <w:rPr>
          <w:rFonts w:ascii="宋体" w:hAnsi="宋体" w:eastAsia="宋体"/>
          <w:kern w:val="2"/>
          <w:sz w:val="21"/>
          <w:szCs w:val="21"/>
          <w:lang w:eastAsia="zh-CN"/>
        </w:rPr>
        <w:t>2</w:t>
      </w:r>
      <w:r>
        <w:rPr>
          <w:rFonts w:hint="eastAsia" w:ascii="宋体" w:hAnsi="宋体" w:eastAsia="宋体"/>
          <w:kern w:val="2"/>
          <w:sz w:val="21"/>
          <w:szCs w:val="21"/>
          <w:lang w:eastAsia="zh-CN"/>
        </w:rPr>
        <w:t>、有权阐述对具体问题的意见和建议。</w:t>
      </w:r>
    </w:p>
    <w:p w14:paraId="4F3C5A73">
      <w:pPr>
        <w:widowControl w:val="0"/>
        <w:ind w:firstLine="420" w:firstLineChars="200"/>
        <w:jc w:val="both"/>
        <w:rPr>
          <w:rFonts w:hint="eastAsia" w:ascii="宋体" w:hAnsi="宋体" w:eastAsia="宋体"/>
          <w:kern w:val="2"/>
          <w:sz w:val="21"/>
          <w:szCs w:val="21"/>
          <w:lang w:eastAsia="zh-CN"/>
        </w:rPr>
      </w:pPr>
      <w:r>
        <w:rPr>
          <w:rFonts w:ascii="宋体" w:hAnsi="宋体" w:eastAsia="宋体"/>
          <w:kern w:val="2"/>
          <w:sz w:val="21"/>
          <w:szCs w:val="21"/>
          <w:lang w:eastAsia="zh-CN"/>
        </w:rPr>
        <w:t>3</w:t>
      </w:r>
      <w:r>
        <w:rPr>
          <w:rFonts w:hint="eastAsia" w:ascii="宋体" w:hAnsi="宋体" w:eastAsia="宋体"/>
          <w:kern w:val="2"/>
          <w:sz w:val="21"/>
          <w:szCs w:val="21"/>
          <w:lang w:eastAsia="zh-CN"/>
        </w:rPr>
        <w:t>、当甲方认定乙方人员不按合同履行其职责，或与第三人串通给甲方造成经济损失的，甲方有权要求更换人员，直至终止合同并要求乙方承担相应的赔偿责任。</w:t>
      </w:r>
    </w:p>
    <w:p w14:paraId="13C6C2D4">
      <w:pPr>
        <w:widowControl w:val="0"/>
        <w:ind w:firstLine="422" w:firstLineChars="200"/>
        <w:jc w:val="both"/>
        <w:rPr>
          <w:rFonts w:hint="eastAsia" w:ascii="宋体" w:hAnsi="宋体" w:eastAsia="宋体"/>
          <w:b/>
          <w:bCs/>
          <w:kern w:val="2"/>
          <w:sz w:val="21"/>
          <w:szCs w:val="21"/>
          <w:lang w:eastAsia="zh-CN"/>
        </w:rPr>
      </w:pPr>
      <w:r>
        <w:rPr>
          <w:rFonts w:hint="eastAsia" w:ascii="宋体" w:hAnsi="宋体" w:eastAsia="宋体"/>
          <w:b/>
          <w:bCs/>
          <w:kern w:val="2"/>
          <w:sz w:val="21"/>
          <w:szCs w:val="21"/>
          <w:lang w:eastAsia="zh-CN"/>
        </w:rPr>
        <w:t>第九条  乙方的权利</w:t>
      </w:r>
    </w:p>
    <w:p w14:paraId="5096A900">
      <w:pPr>
        <w:widowControl w:val="0"/>
        <w:ind w:firstLine="420" w:firstLineChars="200"/>
        <w:jc w:val="both"/>
        <w:rPr>
          <w:rFonts w:hint="eastAsia" w:ascii="宋体" w:hAnsi="宋体" w:eastAsia="宋体"/>
          <w:kern w:val="2"/>
          <w:sz w:val="21"/>
          <w:szCs w:val="21"/>
          <w:lang w:eastAsia="zh-CN"/>
        </w:rPr>
      </w:pPr>
      <w:r>
        <w:rPr>
          <w:rFonts w:ascii="宋体" w:hAnsi="宋体" w:eastAsia="宋体"/>
          <w:kern w:val="2"/>
          <w:sz w:val="21"/>
          <w:szCs w:val="21"/>
          <w:lang w:eastAsia="zh-CN"/>
        </w:rPr>
        <w:t>1</w:t>
      </w:r>
      <w:r>
        <w:rPr>
          <w:rFonts w:hint="eastAsia" w:ascii="宋体" w:hAnsi="宋体" w:eastAsia="宋体"/>
          <w:kern w:val="2"/>
          <w:sz w:val="21"/>
          <w:szCs w:val="21"/>
          <w:lang w:eastAsia="zh-CN"/>
        </w:rPr>
        <w:t>、乙方在本项目服务过程中，如甲方提供的资料不明确时可向甲方提出书面报告。</w:t>
      </w:r>
    </w:p>
    <w:p w14:paraId="64A04B5C">
      <w:pPr>
        <w:widowControl w:val="0"/>
        <w:ind w:firstLine="420" w:firstLineChars="200"/>
        <w:jc w:val="both"/>
        <w:rPr>
          <w:rFonts w:hint="eastAsia" w:ascii="宋体" w:hAnsi="宋体" w:eastAsia="宋体"/>
          <w:kern w:val="2"/>
          <w:sz w:val="21"/>
          <w:szCs w:val="21"/>
          <w:lang w:eastAsia="zh-CN"/>
        </w:rPr>
      </w:pPr>
      <w:r>
        <w:rPr>
          <w:rFonts w:ascii="宋体" w:hAnsi="宋体" w:eastAsia="宋体"/>
          <w:kern w:val="2"/>
          <w:sz w:val="21"/>
          <w:szCs w:val="21"/>
          <w:lang w:eastAsia="zh-CN"/>
        </w:rPr>
        <w:t>2</w:t>
      </w:r>
      <w:r>
        <w:rPr>
          <w:rFonts w:hint="eastAsia" w:ascii="宋体" w:hAnsi="宋体" w:eastAsia="宋体"/>
          <w:kern w:val="2"/>
          <w:sz w:val="21"/>
          <w:szCs w:val="21"/>
          <w:lang w:eastAsia="zh-CN"/>
        </w:rPr>
        <w:t>、乙方在本项目服务过程中，有权对第三方提出与本咨询服务业务有关的问题进行核对或查问。</w:t>
      </w:r>
    </w:p>
    <w:p w14:paraId="44A7E809">
      <w:pPr>
        <w:widowControl w:val="0"/>
        <w:ind w:firstLine="420" w:firstLineChars="200"/>
        <w:jc w:val="both"/>
        <w:rPr>
          <w:rFonts w:hint="eastAsia" w:ascii="宋体" w:hAnsi="宋体" w:eastAsia="宋体"/>
          <w:kern w:val="2"/>
          <w:sz w:val="21"/>
          <w:szCs w:val="21"/>
          <w:lang w:eastAsia="zh-CN"/>
        </w:rPr>
      </w:pPr>
      <w:r>
        <w:rPr>
          <w:rFonts w:ascii="宋体" w:hAnsi="宋体" w:eastAsia="宋体"/>
          <w:kern w:val="2"/>
          <w:sz w:val="21"/>
          <w:szCs w:val="21"/>
          <w:lang w:eastAsia="zh-CN"/>
        </w:rPr>
        <w:t>3</w:t>
      </w:r>
      <w:r>
        <w:rPr>
          <w:rFonts w:hint="eastAsia" w:ascii="宋体" w:hAnsi="宋体" w:eastAsia="宋体"/>
          <w:kern w:val="2"/>
          <w:sz w:val="21"/>
          <w:szCs w:val="21"/>
          <w:lang w:eastAsia="zh-CN"/>
        </w:rPr>
        <w:t>、乙方在本项目服务过程中，有到现场勘察的权利。</w:t>
      </w:r>
    </w:p>
    <w:p w14:paraId="39CCA130">
      <w:pPr>
        <w:widowControl w:val="0"/>
        <w:ind w:firstLine="422" w:firstLineChars="200"/>
        <w:jc w:val="both"/>
        <w:rPr>
          <w:rFonts w:hint="eastAsia" w:ascii="宋体" w:hAnsi="宋体" w:eastAsia="宋体"/>
          <w:b/>
          <w:bCs/>
          <w:kern w:val="2"/>
          <w:sz w:val="21"/>
          <w:szCs w:val="21"/>
          <w:lang w:eastAsia="zh-CN"/>
        </w:rPr>
      </w:pPr>
      <w:r>
        <w:rPr>
          <w:rFonts w:hint="eastAsia" w:ascii="宋体" w:hAnsi="宋体" w:eastAsia="宋体"/>
          <w:b/>
          <w:bCs/>
          <w:kern w:val="2"/>
          <w:sz w:val="21"/>
          <w:szCs w:val="21"/>
          <w:lang w:eastAsia="zh-CN"/>
        </w:rPr>
        <w:t>第十条  甲方的责任</w:t>
      </w:r>
    </w:p>
    <w:p w14:paraId="1DACB997">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1、应当履行本合同约定的义务，如有违反则应当承担违约责任，赔偿给乙方造成的损失。</w:t>
      </w:r>
    </w:p>
    <w:p w14:paraId="6AE1D5A9">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2、甲方向乙方提出赔偿要求不能成立时，则应补偿由于该赔偿或其他要求所导致乙方的各种费用的支出。</w:t>
      </w:r>
    </w:p>
    <w:p w14:paraId="73830BAD">
      <w:pPr>
        <w:widowControl w:val="0"/>
        <w:ind w:firstLine="422" w:firstLineChars="200"/>
        <w:jc w:val="both"/>
        <w:rPr>
          <w:rFonts w:hint="eastAsia" w:ascii="宋体" w:hAnsi="宋体" w:eastAsia="宋体"/>
          <w:b/>
          <w:bCs/>
          <w:kern w:val="2"/>
          <w:sz w:val="21"/>
          <w:szCs w:val="21"/>
          <w:lang w:eastAsia="zh-CN"/>
        </w:rPr>
      </w:pPr>
      <w:r>
        <w:rPr>
          <w:rFonts w:hint="eastAsia" w:ascii="宋体" w:hAnsi="宋体" w:eastAsia="宋体"/>
          <w:b/>
          <w:bCs/>
          <w:kern w:val="2"/>
          <w:sz w:val="21"/>
          <w:szCs w:val="21"/>
          <w:lang w:eastAsia="zh-CN"/>
        </w:rPr>
        <w:t>第十一条  乙方的责任</w:t>
      </w:r>
    </w:p>
    <w:p w14:paraId="3D30B71E">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1、乙方的责任期即本合同有效期。如因非乙方的责任造成进度的推迟或延误而超过约定的日期，双方应进一步约定相应延长合同有效期。</w:t>
      </w:r>
    </w:p>
    <w:p w14:paraId="3C0BCC9F">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2、乙方的责任期内，应当履行本合同中约定的义务，因乙方的单方过失造成的经济损失，应当向甲方进行赔偿。</w:t>
      </w:r>
    </w:p>
    <w:p w14:paraId="5EAFE234">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3、乙方对甲方或第三方所提出的问题不能及时核对或答复，导致合同不能全部或部分履行，乙方应承担责任。</w:t>
      </w:r>
    </w:p>
    <w:p w14:paraId="78EE78AC">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4、乙方向甲方提出赔偿要求不能成立时，则应补偿由于该赔偿或其他要求所导致甲方的各种费用的支出。</w:t>
      </w:r>
    </w:p>
    <w:p w14:paraId="5BCD0B30">
      <w:pPr>
        <w:widowControl w:val="0"/>
        <w:ind w:firstLine="422" w:firstLineChars="200"/>
        <w:jc w:val="both"/>
        <w:rPr>
          <w:rFonts w:hint="eastAsia" w:ascii="宋体" w:hAnsi="宋体" w:eastAsia="宋体"/>
          <w:b/>
          <w:bCs/>
          <w:kern w:val="2"/>
          <w:sz w:val="21"/>
          <w:szCs w:val="21"/>
          <w:lang w:eastAsia="zh-CN"/>
        </w:rPr>
      </w:pPr>
      <w:r>
        <w:rPr>
          <w:rFonts w:hint="eastAsia" w:ascii="宋体" w:hAnsi="宋体" w:eastAsia="宋体"/>
          <w:b/>
          <w:bCs/>
          <w:kern w:val="2"/>
          <w:sz w:val="21"/>
          <w:szCs w:val="21"/>
          <w:lang w:eastAsia="zh-CN"/>
        </w:rPr>
        <w:t>第十二条  人员要求</w:t>
      </w:r>
    </w:p>
    <w:p w14:paraId="288CFB2A">
      <w:pPr>
        <w:widowControl w:val="0"/>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1. 安排不少于2名人员执行本项目，具备项目所需的专业和技能条件，工作细致、认真、责任心强。中标人中标后，提前15个工作日提供符合条件的人选直至选定人员为止，提供待选人员的证书等文件由甲方确定最终人选。服务期内，如档案整理员有变动，乙方应提前15天通知甲方，并按照原条件及时补充人选，补充人选须经过甲方认可后方可更换。</w:t>
      </w:r>
    </w:p>
    <w:p w14:paraId="65B6BA43">
      <w:pPr>
        <w:widowControl w:val="0"/>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2.执行项目的档案整理员具备良好的沟通能力，能熟练操作计算机、办公室软件、档案管理系统软件。</w:t>
      </w:r>
    </w:p>
    <w:p w14:paraId="6A627D8C">
      <w:pPr>
        <w:widowControl w:val="0"/>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3.执行项目的档案整理员政治历史和社会关系清楚，无犯罪记录。</w:t>
      </w:r>
    </w:p>
    <w:p w14:paraId="4B9A9C15">
      <w:pPr>
        <w:widowControl w:val="0"/>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4.执行项目的档案整理员应当遵守甲方相关工作纪律，接受甲方的管理。</w:t>
      </w:r>
    </w:p>
    <w:p w14:paraId="4F89D51E">
      <w:pPr>
        <w:widowControl w:val="0"/>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5.如遇特殊情况需要加班或增加工作人员的，乙方需无条件进行保障。</w:t>
      </w:r>
    </w:p>
    <w:p w14:paraId="62C71D15">
      <w:pPr>
        <w:widowControl w:val="0"/>
        <w:ind w:firstLine="422" w:firstLineChars="200"/>
        <w:jc w:val="both"/>
        <w:rPr>
          <w:rFonts w:hint="eastAsia" w:ascii="宋体" w:hAnsi="宋体" w:eastAsia="宋体"/>
          <w:b/>
          <w:bCs/>
          <w:kern w:val="2"/>
          <w:sz w:val="21"/>
          <w:szCs w:val="21"/>
          <w:lang w:eastAsia="zh-CN"/>
        </w:rPr>
      </w:pPr>
      <w:r>
        <w:rPr>
          <w:rFonts w:hint="eastAsia" w:ascii="宋体" w:hAnsi="宋体" w:eastAsia="宋体"/>
          <w:b/>
          <w:bCs/>
          <w:kern w:val="2"/>
          <w:sz w:val="21"/>
          <w:szCs w:val="21"/>
          <w:lang w:eastAsia="zh-CN"/>
        </w:rPr>
        <w:t>第十三条  乙方服务工具要求</w:t>
      </w:r>
    </w:p>
    <w:p w14:paraId="283C590B">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1、乙方应配备中标项目所需的足够数量的仪器、仪表以及工具等设备。用户不需向乙方提供施工工具和仪器、仪表。</w:t>
      </w:r>
    </w:p>
    <w:p w14:paraId="3B66BFCB">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2、乙方在提供服务过程中应自备车辆。</w:t>
      </w:r>
    </w:p>
    <w:p w14:paraId="18316372">
      <w:pPr>
        <w:widowControl w:val="0"/>
        <w:ind w:firstLine="422" w:firstLineChars="200"/>
        <w:jc w:val="both"/>
        <w:rPr>
          <w:rFonts w:hint="eastAsia" w:ascii="宋体" w:hAnsi="宋体" w:eastAsia="宋体"/>
          <w:b/>
          <w:bCs/>
          <w:kern w:val="2"/>
          <w:sz w:val="21"/>
          <w:szCs w:val="21"/>
          <w:lang w:eastAsia="zh-CN"/>
        </w:rPr>
      </w:pPr>
      <w:r>
        <w:rPr>
          <w:rFonts w:hint="eastAsia" w:ascii="宋体" w:hAnsi="宋体" w:eastAsia="宋体"/>
          <w:b/>
          <w:bCs/>
          <w:kern w:val="2"/>
          <w:sz w:val="21"/>
          <w:szCs w:val="21"/>
          <w:lang w:eastAsia="zh-CN"/>
        </w:rPr>
        <w:t>第十四条  保密要求</w:t>
      </w:r>
    </w:p>
    <w:p w14:paraId="1FF1E5FE">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w:t>
      </w:r>
      <w:r>
        <w:rPr>
          <w:rFonts w:ascii="宋体" w:hAnsi="宋体" w:eastAsia="宋体"/>
          <w:kern w:val="2"/>
          <w:sz w:val="21"/>
          <w:szCs w:val="21"/>
          <w:lang w:eastAsia="zh-CN"/>
        </w:rPr>
        <w:t>由甲方收集的、开发的、整理的、复制的、研究的和准备的与本合同项下工作有关的所有资料在提供给乙方时，均被视为保密的，不得泄漏给除甲方或其指定的代表之外的任何人、企业或公司，不管本合同因何种原因终止，本条款一直约束乙方。</w:t>
      </w:r>
    </w:p>
    <w:p w14:paraId="0F8BF494">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w:t>
      </w:r>
      <w:r>
        <w:rPr>
          <w:rFonts w:ascii="宋体" w:hAnsi="宋体" w:eastAsia="宋体"/>
          <w:kern w:val="2"/>
          <w:sz w:val="21"/>
          <w:szCs w:val="21"/>
          <w:lang w:eastAsia="zh-CN"/>
        </w:rPr>
        <w:t>乙方在履行合同过程中所获得或接触到的任何</w:t>
      </w:r>
      <w:r>
        <w:rPr>
          <w:rFonts w:hint="eastAsia" w:ascii="宋体" w:hAnsi="宋体" w:eastAsia="宋体"/>
          <w:kern w:val="2"/>
          <w:sz w:val="21"/>
          <w:szCs w:val="21"/>
          <w:lang w:eastAsia="zh-CN"/>
        </w:rPr>
        <w:t>内部数据资料，未经甲方同意，不得向第三方透露。</w:t>
      </w:r>
    </w:p>
    <w:p w14:paraId="334B9E66">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w:t>
      </w:r>
      <w:r>
        <w:rPr>
          <w:rFonts w:ascii="宋体" w:hAnsi="宋体" w:eastAsia="宋体"/>
          <w:kern w:val="2"/>
          <w:sz w:val="21"/>
          <w:szCs w:val="21"/>
          <w:lang w:eastAsia="zh-CN"/>
        </w:rPr>
        <w:t>乙方</w:t>
      </w:r>
      <w:r>
        <w:rPr>
          <w:rFonts w:hint="eastAsia" w:ascii="宋体" w:hAnsi="宋体" w:eastAsia="宋体"/>
          <w:kern w:val="2"/>
          <w:sz w:val="21"/>
          <w:szCs w:val="21"/>
          <w:lang w:eastAsia="zh-CN"/>
        </w:rPr>
        <w:t>实施项目的一切程序都应符合国家安全、保密的有关规定和标准。</w:t>
      </w:r>
    </w:p>
    <w:p w14:paraId="03C679E1">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4、</w:t>
      </w:r>
      <w:r>
        <w:rPr>
          <w:rFonts w:ascii="宋体" w:hAnsi="宋体" w:eastAsia="宋体"/>
          <w:kern w:val="2"/>
          <w:sz w:val="21"/>
          <w:szCs w:val="21"/>
          <w:lang w:eastAsia="zh-CN"/>
        </w:rPr>
        <w:t>乙方</w:t>
      </w:r>
      <w:r>
        <w:rPr>
          <w:rFonts w:hint="eastAsia" w:ascii="宋体" w:hAnsi="宋体" w:eastAsia="宋体"/>
          <w:kern w:val="2"/>
          <w:sz w:val="21"/>
          <w:szCs w:val="21"/>
          <w:lang w:eastAsia="zh-CN"/>
        </w:rPr>
        <w:t>参加项目的有关人员均需同甲方签订保密协议。</w:t>
      </w:r>
    </w:p>
    <w:p w14:paraId="1294F99E">
      <w:pPr>
        <w:widowControl w:val="0"/>
        <w:ind w:firstLine="422" w:firstLineChars="200"/>
        <w:jc w:val="both"/>
        <w:rPr>
          <w:rFonts w:hint="eastAsia" w:ascii="宋体" w:hAnsi="宋体" w:eastAsia="宋体"/>
          <w:b/>
          <w:bCs/>
          <w:kern w:val="2"/>
          <w:sz w:val="21"/>
          <w:szCs w:val="21"/>
          <w:lang w:eastAsia="zh-CN"/>
        </w:rPr>
      </w:pPr>
      <w:r>
        <w:rPr>
          <w:rFonts w:hint="eastAsia" w:ascii="宋体" w:hAnsi="宋体" w:eastAsia="宋体"/>
          <w:b/>
          <w:bCs/>
          <w:kern w:val="2"/>
          <w:sz w:val="21"/>
          <w:szCs w:val="21"/>
          <w:lang w:eastAsia="zh-CN"/>
        </w:rPr>
        <w:t xml:space="preserve">第十五条  验收     </w:t>
      </w:r>
    </w:p>
    <w:p w14:paraId="6E92C6D4">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1、下列文件的验收分为</w:t>
      </w:r>
      <w:r>
        <w:rPr>
          <w:rFonts w:hint="eastAsia" w:ascii="宋体" w:hAnsi="宋体" w:eastAsia="宋体"/>
          <w:kern w:val="2"/>
          <w:sz w:val="21"/>
          <w:szCs w:val="21"/>
          <w:u w:val="single"/>
          <w:lang w:eastAsia="zh-CN"/>
        </w:rPr>
        <w:t xml:space="preserve">          </w:t>
      </w:r>
      <w:r>
        <w:rPr>
          <w:rFonts w:hint="eastAsia" w:ascii="宋体" w:hAnsi="宋体" w:eastAsia="宋体"/>
          <w:kern w:val="2"/>
          <w:sz w:val="21"/>
          <w:szCs w:val="21"/>
          <w:lang w:eastAsia="zh-CN"/>
        </w:rPr>
        <w:t>个阶段:</w:t>
      </w:r>
    </w:p>
    <w:p w14:paraId="7635BC4C">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2、其余文件和工作由用户组织有关技术人员根据国家和行业有关规范、规程、标准和用户需求直接验收。</w:t>
      </w:r>
    </w:p>
    <w:p w14:paraId="7F74EC0E">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3、验收依据为招标文件、投标文件，国家和行业有关规范、规程和标准。</w:t>
      </w:r>
    </w:p>
    <w:p w14:paraId="3B62CE60">
      <w:pPr>
        <w:widowControl w:val="0"/>
        <w:ind w:firstLine="422" w:firstLineChars="200"/>
        <w:jc w:val="both"/>
        <w:rPr>
          <w:rFonts w:hint="eastAsia" w:ascii="宋体" w:hAnsi="宋体" w:eastAsia="宋体"/>
          <w:b/>
          <w:bCs/>
          <w:kern w:val="2"/>
          <w:sz w:val="21"/>
          <w:szCs w:val="21"/>
          <w:lang w:eastAsia="zh-CN"/>
        </w:rPr>
      </w:pPr>
      <w:r>
        <w:rPr>
          <w:rFonts w:hint="eastAsia" w:ascii="宋体" w:hAnsi="宋体" w:eastAsia="宋体"/>
          <w:b/>
          <w:bCs/>
          <w:kern w:val="2"/>
          <w:sz w:val="21"/>
          <w:szCs w:val="21"/>
          <w:lang w:eastAsia="zh-CN"/>
        </w:rPr>
        <w:t>第十六条  付款方式</w:t>
      </w:r>
    </w:p>
    <w:p w14:paraId="33E4A730">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1.该项目以人民币结算，合同签定后，甲方收到乙方提供的等额税务发票后15日内，支付合同总价款50%的款项；</w:t>
      </w:r>
    </w:p>
    <w:p w14:paraId="4D209699">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2.在合同履行满5个月后，乙方依约履行合同义务并通过甲方中期验收，甲方收到发票后15日内向乙方支付合同金额的40%；</w:t>
      </w:r>
    </w:p>
    <w:p w14:paraId="1DFBB38B">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3.在乙方依约完成全部项目内容，乙方向甲方申请终期验收，经甲方确认验收合格，甲方收到乙方提供的等额税务发票后15日内支付剩余10%项目尾款经费。</w:t>
      </w:r>
    </w:p>
    <w:p w14:paraId="513F6B02">
      <w:pPr>
        <w:widowControl w:val="0"/>
        <w:ind w:firstLine="422" w:firstLineChars="200"/>
        <w:jc w:val="both"/>
        <w:rPr>
          <w:rFonts w:hint="eastAsia" w:ascii="宋体" w:hAnsi="宋体" w:eastAsia="宋体"/>
          <w:b/>
          <w:bCs/>
          <w:kern w:val="2"/>
          <w:sz w:val="21"/>
          <w:szCs w:val="21"/>
          <w:lang w:eastAsia="zh-CN"/>
        </w:rPr>
      </w:pPr>
      <w:r>
        <w:rPr>
          <w:rFonts w:hint="eastAsia" w:ascii="宋体" w:hAnsi="宋体" w:eastAsia="宋体"/>
          <w:b/>
          <w:bCs/>
          <w:kern w:val="2"/>
          <w:sz w:val="21"/>
          <w:szCs w:val="21"/>
          <w:lang w:eastAsia="zh-CN"/>
        </w:rPr>
        <w:t>第十七条  争议解决办法</w:t>
      </w:r>
    </w:p>
    <w:p w14:paraId="5B1D7349">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执行本合同发生的争议，由甲乙双方协商解决，如协商不成的，应提交甲方所在地人民法院诉讼解决。</w:t>
      </w:r>
    </w:p>
    <w:p w14:paraId="495FEBD5">
      <w:pPr>
        <w:widowControl w:val="0"/>
        <w:ind w:firstLine="422" w:firstLineChars="200"/>
        <w:jc w:val="both"/>
        <w:rPr>
          <w:rFonts w:hint="eastAsia" w:ascii="宋体" w:hAnsi="宋体" w:eastAsia="宋体"/>
          <w:b/>
          <w:bCs/>
          <w:kern w:val="2"/>
          <w:sz w:val="21"/>
          <w:szCs w:val="21"/>
          <w:lang w:eastAsia="zh-CN"/>
        </w:rPr>
      </w:pPr>
      <w:r>
        <w:rPr>
          <w:rFonts w:hint="eastAsia" w:ascii="宋体" w:hAnsi="宋体" w:eastAsia="宋体"/>
          <w:b/>
          <w:bCs/>
          <w:kern w:val="2"/>
          <w:sz w:val="21"/>
          <w:szCs w:val="21"/>
          <w:lang w:eastAsia="zh-CN"/>
        </w:rPr>
        <w:t>第十八条  风险责任</w:t>
      </w:r>
    </w:p>
    <w:p w14:paraId="114D8CD6">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１、乙方应完全地按照招标文件的要求和乙方投标文件的承诺完成本项目，出于自身财务、技术、人力等原因导致项目失败的，应承担全部责任。</w:t>
      </w:r>
    </w:p>
    <w:p w14:paraId="4F496943">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2、乙方在实施过程中应对自身的安全生产负责，若非因甲方原因发生的各种事故甲方不承担任何责任。</w:t>
      </w:r>
    </w:p>
    <w:p w14:paraId="52F2FB18">
      <w:pPr>
        <w:widowControl w:val="0"/>
        <w:ind w:firstLine="422" w:firstLineChars="200"/>
        <w:jc w:val="both"/>
        <w:rPr>
          <w:rFonts w:hint="eastAsia" w:ascii="宋体" w:hAnsi="宋体" w:eastAsia="宋体"/>
          <w:b/>
          <w:bCs/>
          <w:kern w:val="2"/>
          <w:sz w:val="21"/>
          <w:szCs w:val="21"/>
          <w:lang w:eastAsia="zh-CN"/>
        </w:rPr>
      </w:pPr>
      <w:r>
        <w:rPr>
          <w:rFonts w:hint="eastAsia" w:ascii="宋体" w:hAnsi="宋体" w:eastAsia="宋体"/>
          <w:b/>
          <w:bCs/>
          <w:kern w:val="2"/>
          <w:sz w:val="21"/>
          <w:szCs w:val="21"/>
          <w:lang w:eastAsia="zh-CN"/>
        </w:rPr>
        <w:t>第十九条  违约责任</w:t>
      </w:r>
    </w:p>
    <w:p w14:paraId="2F0305E3">
      <w:pPr>
        <w:widowControl w:val="0"/>
        <w:spacing w:line="240" w:lineRule="auto"/>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１、因乙方原因，未能按规定时间完成有关工作的，每延误一天，甲方可在支付合同余款中扣除合同价款千分之一。</w:t>
      </w:r>
    </w:p>
    <w:p w14:paraId="4F721B9E">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2、由于乙方原因造成成果质量低劣，不能满足要求时，应继续完善工作，其费用由乙方承担。</w:t>
      </w:r>
    </w:p>
    <w:p w14:paraId="47818E37">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3、乙方交付的成果经验收不合格，应于7日内无条件修改，费用由乙方自行承担，在甲方要求整改后再次验收不合格的，甲方有权解除合同、要求乙方返还甲方已支付的合同款项，并有权要求乙方按合同总额   %支付违约金。</w:t>
      </w:r>
    </w:p>
    <w:p w14:paraId="6F0088DC">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4、若甲方发现乙方派出的服务人员或提供的仪器设备不符合合同要求，乙方应在3天之内按要求派出人员或提供满足投标文件承诺的仪器设备，否则甲方有权终止合同，并保留追究乙方责任及要求赔偿损失的权利。</w:t>
      </w:r>
    </w:p>
    <w:p w14:paraId="794EE135">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5、乙方或其工作人员违反本合同约定的保密义务，甲方有权要求乙方按合同总额   %支付违约金；造成不良影响或对甲方造成损失的，甲方有权要求乙方消除影响，承担赔偿责任，并有权解除合同。</w:t>
      </w:r>
    </w:p>
    <w:p w14:paraId="2A1579DA">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6、因乙方提供的服务成果受到侵权指控或者引发法律纠纷，影响甲方使用服务成果或者导致合同目的不能实现的，甲方有权要求乙方按合同总额   %支付违约金，并有权解除合同。</w:t>
      </w:r>
    </w:p>
    <w:p w14:paraId="1EADABD9">
      <w:pPr>
        <w:widowControl w:val="0"/>
        <w:ind w:firstLine="422" w:firstLineChars="200"/>
        <w:jc w:val="both"/>
        <w:rPr>
          <w:rFonts w:hint="eastAsia" w:ascii="宋体" w:hAnsi="宋体" w:eastAsia="宋体"/>
          <w:b/>
          <w:bCs/>
          <w:kern w:val="2"/>
          <w:sz w:val="21"/>
          <w:szCs w:val="21"/>
          <w:lang w:eastAsia="zh-CN"/>
        </w:rPr>
      </w:pPr>
      <w:r>
        <w:rPr>
          <w:rFonts w:hint="eastAsia" w:ascii="宋体" w:hAnsi="宋体" w:eastAsia="宋体"/>
          <w:b/>
          <w:bCs/>
          <w:kern w:val="2"/>
          <w:sz w:val="21"/>
          <w:szCs w:val="21"/>
          <w:lang w:eastAsia="zh-CN"/>
        </w:rPr>
        <w:t>第二十条  其他</w:t>
      </w:r>
    </w:p>
    <w:p w14:paraId="0F061960">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1、本合同与招标文件、乙方投标文件如有抵触之处，以本合同条款为准。</w:t>
      </w:r>
    </w:p>
    <w:p w14:paraId="1A4399FC">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2、下列文件均为本合同的组成部分：</w:t>
      </w:r>
    </w:p>
    <w:p w14:paraId="5AFB665D">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（1）号招标文件、答疑及补充通知；</w:t>
      </w:r>
    </w:p>
    <w:p w14:paraId="23A7FA53">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（2）投标文件；</w:t>
      </w:r>
    </w:p>
    <w:p w14:paraId="5975E984">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（3）本合同执行中共同签署的补充与修正文件。</w:t>
      </w:r>
    </w:p>
    <w:p w14:paraId="1DE96689">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本合同一式份，甲、乙方双方各执份，具有同等法律效力。本合同自双方法人代表签字（盖章）认可之日起生效。</w:t>
      </w:r>
    </w:p>
    <w:p w14:paraId="4B25CB4D">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本合同未尽事宜，双方友好协商，达成解决方案，经双方签字后，可作为本合同的有效附件。</w:t>
      </w:r>
    </w:p>
    <w:p w14:paraId="08A06D4C">
      <w:pPr>
        <w:widowControl w:val="0"/>
        <w:ind w:firstLine="420" w:firstLineChars="200"/>
        <w:jc w:val="both"/>
        <w:rPr>
          <w:rFonts w:hint="eastAsia" w:ascii="宋体" w:hAnsi="宋体" w:eastAsia="宋体"/>
          <w:kern w:val="2"/>
          <w:sz w:val="21"/>
          <w:szCs w:val="21"/>
          <w:lang w:eastAsia="zh-CN"/>
        </w:rPr>
      </w:pPr>
    </w:p>
    <w:p w14:paraId="0125D40D">
      <w:pPr>
        <w:widowControl w:val="0"/>
        <w:spacing w:line="360" w:lineRule="auto"/>
        <w:ind w:firstLine="560"/>
        <w:jc w:val="left"/>
        <w:rPr>
          <w:rFonts w:hint="eastAsia" w:ascii="宋体" w:hAnsi="宋体" w:eastAsia="宋体"/>
          <w:kern w:val="2"/>
          <w:sz w:val="21"/>
          <w:szCs w:val="21"/>
          <w:lang w:eastAsia="zh-CN"/>
        </w:rPr>
      </w:pPr>
      <w:r>
        <w:rPr>
          <w:rFonts w:hint="eastAsia" w:ascii="宋体" w:hAnsi="宋体" w:eastAsia="宋体"/>
          <w:kern w:val="2"/>
          <w:sz w:val="21"/>
          <w:szCs w:val="21"/>
          <w:lang w:eastAsia="zh-CN"/>
        </w:rPr>
        <w:t>甲方（采购人）：   （盖章）       乙方（供应商）：    （盖章）</w:t>
      </w:r>
    </w:p>
    <w:p w14:paraId="5C94C61E">
      <w:pPr>
        <w:widowControl w:val="0"/>
        <w:spacing w:line="360" w:lineRule="auto"/>
        <w:ind w:firstLine="560"/>
        <w:jc w:val="left"/>
        <w:rPr>
          <w:rFonts w:hint="eastAsia" w:ascii="宋体" w:hAnsi="宋体" w:eastAsia="宋体"/>
          <w:kern w:val="2"/>
          <w:sz w:val="21"/>
          <w:szCs w:val="21"/>
          <w:lang w:eastAsia="zh-CN"/>
        </w:rPr>
      </w:pPr>
      <w:r>
        <w:rPr>
          <w:rFonts w:hint="eastAsia" w:ascii="宋体" w:hAnsi="宋体" w:eastAsia="宋体"/>
          <w:kern w:val="2"/>
          <w:sz w:val="21"/>
          <w:szCs w:val="21"/>
          <w:lang w:eastAsia="zh-CN"/>
        </w:rPr>
        <w:t xml:space="preserve">法定代表人：                     法定代表人： </w:t>
      </w:r>
    </w:p>
    <w:p w14:paraId="60213341">
      <w:pPr>
        <w:widowControl w:val="0"/>
        <w:spacing w:line="360" w:lineRule="auto"/>
        <w:ind w:firstLine="560"/>
        <w:jc w:val="left"/>
        <w:rPr>
          <w:rFonts w:hint="eastAsia" w:ascii="宋体" w:hAnsi="宋体" w:eastAsia="宋体"/>
          <w:kern w:val="2"/>
          <w:sz w:val="21"/>
          <w:szCs w:val="21"/>
          <w:lang w:eastAsia="zh-CN"/>
        </w:rPr>
      </w:pPr>
      <w:r>
        <w:rPr>
          <w:rFonts w:hint="eastAsia" w:ascii="宋体" w:hAnsi="宋体" w:eastAsia="宋体"/>
          <w:kern w:val="2"/>
          <w:sz w:val="21"/>
          <w:szCs w:val="21"/>
          <w:lang w:eastAsia="zh-CN"/>
        </w:rPr>
        <w:t>委托代理人：                     委托代理人：</w:t>
      </w:r>
    </w:p>
    <w:p w14:paraId="69057E41">
      <w:pPr>
        <w:widowControl/>
        <w:jc w:val="left"/>
        <w:rPr>
          <w:rFonts w:hint="eastAsia" w:ascii="宋体" w:hAnsi="宋体" w:eastAsia="宋体"/>
          <w:kern w:val="2"/>
          <w:sz w:val="21"/>
          <w:szCs w:val="21"/>
          <w:lang w:eastAsia="zh-CN"/>
        </w:rPr>
      </w:pPr>
      <w:r>
        <w:rPr>
          <w:rFonts w:ascii="宋体" w:hAnsi="宋体" w:eastAsia="宋体"/>
          <w:kern w:val="2"/>
          <w:sz w:val="21"/>
          <w:szCs w:val="21"/>
          <w:lang w:eastAsia="zh-CN"/>
        </w:rPr>
        <w:br w:type="page"/>
      </w:r>
    </w:p>
    <w:p w14:paraId="46CA834A">
      <w:pPr>
        <w:widowControl w:val="0"/>
        <w:adjustRightInd w:val="0"/>
        <w:spacing w:before="120" w:beforeLines="50" w:after="120" w:afterLines="50" w:line="240" w:lineRule="auto"/>
        <w:ind w:left="562"/>
        <w:jc w:val="center"/>
        <w:textAlignment w:val="baseline"/>
        <w:outlineLvl w:val="1"/>
        <w:rPr>
          <w:rFonts w:hint="eastAsia" w:ascii="宋体" w:hAnsi="宋体" w:eastAsia="宋体"/>
          <w:sz w:val="28"/>
          <w:szCs w:val="28"/>
          <w:lang w:eastAsia="zh-CN"/>
        </w:rPr>
      </w:pPr>
      <w:r>
        <w:rPr>
          <w:rFonts w:hint="eastAsia" w:ascii="宋体" w:hAnsi="宋体" w:eastAsia="宋体"/>
          <w:sz w:val="28"/>
          <w:szCs w:val="28"/>
          <w:lang w:eastAsia="zh-CN"/>
        </w:rPr>
        <w:t>第二册  通用条款（公开招标）</w:t>
      </w:r>
    </w:p>
    <w:p w14:paraId="13E905B5">
      <w:pPr>
        <w:keepNext/>
        <w:keepLines/>
        <w:widowControl w:val="0"/>
        <w:numPr>
          <w:ilvl w:val="0"/>
          <w:numId w:val="4"/>
        </w:numPr>
        <w:tabs>
          <w:tab w:val="left" w:pos="720"/>
        </w:tabs>
        <w:adjustRightInd w:val="0"/>
        <w:spacing w:before="120" w:beforeLines="50" w:after="120" w:afterLines="50"/>
        <w:ind w:left="1080" w:hanging="1080" w:firstLineChars="0"/>
        <w:jc w:val="center"/>
        <w:textAlignment w:val="baseline"/>
        <w:outlineLvl w:val="1"/>
        <w:rPr>
          <w:rFonts w:ascii="Cambria" w:hAnsi="Cambria" w:eastAsia="宋体"/>
          <w:b/>
          <w:bCs/>
          <w:kern w:val="2"/>
          <w:sz w:val="28"/>
          <w:szCs w:val="28"/>
          <w:lang w:eastAsia="zh-CN"/>
        </w:rPr>
      </w:pPr>
      <w:bookmarkStart w:id="46" w:name="_Hlk72399513"/>
      <w:r>
        <w:rPr>
          <w:rFonts w:hint="eastAsia" w:ascii="Cambria" w:hAnsi="Cambria" w:eastAsia="宋体" w:cstheme="majorBidi"/>
          <w:b/>
          <w:bCs/>
          <w:kern w:val="2"/>
          <w:sz w:val="28"/>
          <w:szCs w:val="28"/>
          <w:lang w:eastAsia="zh-CN"/>
        </w:rPr>
        <w:t>总则</w:t>
      </w:r>
    </w:p>
    <w:bookmarkEnd w:id="46"/>
    <w:p w14:paraId="0C2B79E1">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1. 通用条款说明</w:t>
      </w:r>
    </w:p>
    <w:p w14:paraId="3D52B4F5">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1.1政府集中采购机构发出招标文件通用条款版本，列出深圳市自行采购项目进行招标采购所适用的通用条款内容。</w:t>
      </w:r>
      <w:bookmarkStart w:id="47" w:name="_Hlk72399729"/>
      <w:r>
        <w:rPr>
          <w:rFonts w:hint="eastAsia" w:ascii="宋体" w:hAnsi="宋体" w:eastAsia="宋体"/>
          <w:kern w:val="2"/>
          <w:sz w:val="21"/>
          <w:szCs w:val="21"/>
          <w:lang w:eastAsia="zh-CN"/>
        </w:rPr>
        <w:t>如有需要，政府集中采购机构可以对通用条款的内容进行补充。</w:t>
      </w:r>
      <w:bookmarkEnd w:id="47"/>
    </w:p>
    <w:p w14:paraId="2BAE59C5">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1.2招标文件分为第一册“专用条款”和第二册“通用条款”。</w:t>
      </w:r>
    </w:p>
    <w:p w14:paraId="68B466A8">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1.3“专用条款”是对本次采购项目的具体要求，包含招标公告、对通用条款的补充内容及其他关键信息、用户需求书、投标文件格式及附件、合同条款及格式等内容。</w:t>
      </w:r>
    </w:p>
    <w:p w14:paraId="606F1FA7">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1.4“通用条款”是适用于自行采购公开招标项目的基础性条款，具有普遍性和通用性。</w:t>
      </w:r>
    </w:p>
    <w:p w14:paraId="787C5734">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1.5 “专用条款”和“通用条款”表述不一致或有冲突时，以“专用条款”为准。</w:t>
      </w:r>
    </w:p>
    <w:p w14:paraId="7E5AD1CA">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2</w:t>
      </w:r>
      <w:r>
        <w:rPr>
          <w:rFonts w:ascii="黑体" w:hAnsi="宋体" w:eastAsia="黑体"/>
          <w:kern w:val="2"/>
          <w:sz w:val="21"/>
          <w:szCs w:val="21"/>
          <w:lang w:eastAsia="zh-CN"/>
        </w:rPr>
        <w:t>．</w:t>
      </w:r>
      <w:r>
        <w:rPr>
          <w:rFonts w:hint="eastAsia" w:ascii="黑体" w:hAnsi="宋体" w:eastAsia="黑体"/>
          <w:kern w:val="2"/>
          <w:sz w:val="21"/>
          <w:szCs w:val="21"/>
          <w:lang w:eastAsia="zh-CN"/>
        </w:rPr>
        <w:t>招标说明</w:t>
      </w:r>
    </w:p>
    <w:p w14:paraId="11263347">
      <w:pPr>
        <w:widowControl w:val="0"/>
        <w:ind w:firstLine="422" w:firstLineChars="200"/>
        <w:jc w:val="both"/>
        <w:rPr>
          <w:rFonts w:hint="eastAsia" w:ascii="宋体" w:hAnsi="宋体" w:eastAsia="宋体"/>
          <w:b/>
          <w:bCs/>
          <w:color w:val="FF0000"/>
          <w:kern w:val="2"/>
          <w:sz w:val="21"/>
          <w:szCs w:val="21"/>
          <w:lang w:eastAsia="zh-CN"/>
        </w:rPr>
      </w:pPr>
      <w:r>
        <w:rPr>
          <w:rFonts w:hint="eastAsia" w:ascii="宋体" w:hAnsi="宋体" w:eastAsia="宋体"/>
          <w:b/>
          <w:bCs/>
          <w:color w:val="FF0000"/>
          <w:kern w:val="2"/>
          <w:sz w:val="21"/>
          <w:szCs w:val="21"/>
          <w:lang w:eastAsia="zh-CN"/>
        </w:rPr>
        <w:t>本项目为自行采购项目，参照《深圳经济特区政府采购条例》、《深圳经济特区政府采购条例实施细则》及政府采购其他法律法规，通过公开招标方式确定中标供应商。</w:t>
      </w:r>
    </w:p>
    <w:p w14:paraId="72BF92CF">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3．定义</w:t>
      </w:r>
    </w:p>
    <w:p w14:paraId="06E87FAB">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招标</w:t>
      </w:r>
      <w:r>
        <w:rPr>
          <w:rFonts w:ascii="宋体" w:hAnsi="宋体" w:eastAsia="宋体"/>
          <w:kern w:val="2"/>
          <w:sz w:val="21"/>
          <w:szCs w:val="21"/>
          <w:lang w:eastAsia="zh-CN"/>
        </w:rPr>
        <w:t>文件中下列术语应解释为：</w:t>
      </w:r>
    </w:p>
    <w:p w14:paraId="244EB31C">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w:t>
      </w:r>
      <w:r>
        <w:rPr>
          <w:rFonts w:ascii="宋体" w:hAnsi="宋体" w:eastAsia="宋体"/>
          <w:kern w:val="2"/>
          <w:sz w:val="21"/>
          <w:szCs w:val="21"/>
          <w:lang w:eastAsia="zh-CN"/>
        </w:rPr>
        <w:t>1</w:t>
      </w:r>
      <w:r>
        <w:rPr>
          <w:rFonts w:hint="eastAsia" w:ascii="宋体" w:hAnsi="宋体" w:eastAsia="宋体"/>
          <w:kern w:val="2"/>
          <w:sz w:val="21"/>
          <w:szCs w:val="21"/>
          <w:lang w:eastAsia="zh-CN"/>
        </w:rPr>
        <w:t>“采购人”：指利用财政性资金依法进行</w:t>
      </w:r>
      <w:r>
        <w:rPr>
          <w:rFonts w:hint="eastAsia" w:ascii="宋体" w:hAnsi="宋体" w:eastAsia="宋体"/>
          <w:b/>
          <w:bCs/>
          <w:color w:val="FF0000"/>
          <w:kern w:val="2"/>
          <w:sz w:val="21"/>
          <w:szCs w:val="21"/>
          <w:lang w:eastAsia="zh-CN"/>
        </w:rPr>
        <w:t>自行采购</w:t>
      </w:r>
      <w:r>
        <w:rPr>
          <w:rFonts w:hint="eastAsia" w:ascii="宋体" w:hAnsi="宋体" w:eastAsia="宋体"/>
          <w:kern w:val="2"/>
          <w:sz w:val="21"/>
          <w:szCs w:val="21"/>
          <w:lang w:eastAsia="zh-CN"/>
        </w:rPr>
        <w:t>的国家机关、事业单位、团体组织；</w:t>
      </w:r>
      <w:r>
        <w:rPr>
          <w:rFonts w:ascii="宋体" w:hAnsi="宋体" w:eastAsia="宋体"/>
          <w:kern w:val="2"/>
          <w:sz w:val="21"/>
          <w:szCs w:val="21"/>
          <w:lang w:eastAsia="zh-CN"/>
        </w:rPr>
        <w:t xml:space="preserve"> </w:t>
      </w:r>
    </w:p>
    <w:p w14:paraId="4729F3B7">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3.2 “政府集中采购机构”</w:t>
      </w:r>
      <w:r>
        <w:rPr>
          <w:rFonts w:hint="eastAsia" w:ascii="Arial" w:hAnsi="Arial" w:eastAsia="宋体" w:cs="Arial"/>
          <w:kern w:val="2"/>
          <w:sz w:val="21"/>
          <w:szCs w:val="21"/>
          <w:shd w:val="clear" w:color="auto" w:fill="FFFFFF"/>
          <w:lang w:eastAsia="zh-CN"/>
        </w:rPr>
        <w:t>是指市政府设立的，组织实施采购项目，并对采购活动提供服务的专门机构；</w:t>
      </w:r>
      <w:r>
        <w:rPr>
          <w:rFonts w:hint="eastAsia" w:ascii="宋体" w:hAnsi="宋体" w:eastAsia="宋体"/>
          <w:kern w:val="2"/>
          <w:sz w:val="21"/>
          <w:szCs w:val="21"/>
          <w:lang w:eastAsia="zh-CN"/>
        </w:rPr>
        <w:t>本文件所述的“政府集中采购机构”</w:t>
      </w:r>
      <w:r>
        <w:rPr>
          <w:rFonts w:ascii="宋体" w:hAnsi="宋体" w:eastAsia="宋体"/>
          <w:kern w:val="2"/>
          <w:sz w:val="21"/>
          <w:szCs w:val="21"/>
          <w:lang w:eastAsia="zh-CN"/>
        </w:rPr>
        <w:t>指</w:t>
      </w:r>
      <w:r>
        <w:rPr>
          <w:rFonts w:hint="eastAsia" w:ascii="宋体" w:hAnsi="宋体" w:eastAsia="宋体"/>
          <w:b/>
          <w:bCs/>
          <w:kern w:val="2"/>
          <w:sz w:val="21"/>
          <w:szCs w:val="21"/>
          <w:lang w:eastAsia="zh-CN"/>
        </w:rPr>
        <w:t>深圳公共资源交易中心</w:t>
      </w:r>
      <w:r>
        <w:rPr>
          <w:rFonts w:hint="eastAsia" w:ascii="宋体" w:hAnsi="宋体" w:eastAsia="宋体"/>
          <w:kern w:val="2"/>
          <w:sz w:val="21"/>
          <w:szCs w:val="21"/>
          <w:lang w:eastAsia="zh-CN"/>
        </w:rPr>
        <w:t>；</w:t>
      </w:r>
    </w:p>
    <w:p w14:paraId="24A7F894">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3.3“投标人”，即供应商，指参加投标竞争并愿意按照招标文件要求向采购人提供货物、工程或者服务的依法成立的法人、其他组织或者自然人；</w:t>
      </w:r>
    </w:p>
    <w:p w14:paraId="25334858">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3.4“评审委员会”是依据《深圳经济特区政府采购条例》、《深圳经济特区政府采购条例实施细则》等有关规定组建的专门负责本次招标其评审工作的临时性机构；</w:t>
      </w:r>
    </w:p>
    <w:p w14:paraId="3BAA9707">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3.5“日期”</w:t>
      </w:r>
      <w:r>
        <w:rPr>
          <w:rFonts w:ascii="宋体" w:hAnsi="宋体" w:eastAsia="宋体"/>
          <w:kern w:val="2"/>
          <w:sz w:val="21"/>
          <w:szCs w:val="21"/>
          <w:lang w:eastAsia="zh-CN"/>
        </w:rPr>
        <w:t>指</w:t>
      </w:r>
      <w:r>
        <w:rPr>
          <w:rFonts w:hint="eastAsia" w:ascii="宋体" w:hAnsi="宋体" w:eastAsia="宋体"/>
          <w:kern w:val="2"/>
          <w:sz w:val="21"/>
          <w:szCs w:val="21"/>
          <w:lang w:eastAsia="zh-CN"/>
        </w:rPr>
        <w:t>公历日；</w:t>
      </w:r>
    </w:p>
    <w:p w14:paraId="1BB032FC">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3.6“合同”指由本次招标所产生的合同或合约文件；</w:t>
      </w:r>
    </w:p>
    <w:p w14:paraId="5F0F7FF5">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3.7“电子投标文件”指利用</w:t>
      </w:r>
      <w:r>
        <w:rPr>
          <w:rFonts w:hint="eastAsia" w:ascii="宋体" w:hAnsi="宋体" w:eastAsia="宋体"/>
          <w:b/>
          <w:bCs/>
          <w:color w:val="FF0000"/>
          <w:kern w:val="2"/>
          <w:sz w:val="21"/>
          <w:szCs w:val="21"/>
          <w:lang w:eastAsia="zh-CN"/>
        </w:rPr>
        <w:t>深圳公共资源交易中心（深圳交易集团有限公司政府采购业务分公司）</w:t>
      </w:r>
      <w:r>
        <w:rPr>
          <w:rFonts w:hint="eastAsia" w:ascii="宋体" w:hAnsi="宋体" w:eastAsia="宋体"/>
          <w:kern w:val="2"/>
          <w:sz w:val="21"/>
          <w:szCs w:val="21"/>
          <w:lang w:eastAsia="zh-CN"/>
        </w:rPr>
        <w:t>网站提供的深圳政府采购自行采购系统投标文件制作专用软件（以下简称：投标文件制作软件）制作并加密的投标文件,适用于网上投标；（投标文件制作软件可从“下载地址：https://www.szggzy.com/jyfw/details.html?contentId=2053275深圳政府采购自行采购系统投标文件编制工具”下载）</w:t>
      </w:r>
    </w:p>
    <w:p w14:paraId="4FE598BB">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3.8“网上投标”指通过</w:t>
      </w:r>
      <w:r>
        <w:rPr>
          <w:rFonts w:hint="eastAsia" w:ascii="宋体" w:hAnsi="宋体" w:eastAsia="宋体"/>
          <w:b/>
          <w:bCs/>
          <w:color w:val="FF0000"/>
          <w:kern w:val="2"/>
          <w:sz w:val="21"/>
          <w:szCs w:val="21"/>
          <w:lang w:eastAsia="zh-CN"/>
        </w:rPr>
        <w:t>深圳政府采购自行采购系统</w:t>
      </w:r>
      <w:r>
        <w:rPr>
          <w:rFonts w:hint="eastAsia" w:ascii="宋体" w:hAnsi="宋体" w:eastAsia="宋体"/>
          <w:kern w:val="2"/>
          <w:sz w:val="21"/>
          <w:szCs w:val="21"/>
          <w:lang w:eastAsia="zh-CN"/>
        </w:rPr>
        <w:t>网站上传电子投标文件；</w:t>
      </w:r>
    </w:p>
    <w:p w14:paraId="3515D1B9">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3.9招标文件中的标题或题名仅起引导作用，而不应视为对招标文件内容的理解和解释。</w:t>
      </w:r>
    </w:p>
    <w:p w14:paraId="69313DAF">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 xml:space="preserve">4. </w:t>
      </w:r>
      <w:bookmarkStart w:id="48" w:name="_Hlk72398643"/>
      <w:r>
        <w:rPr>
          <w:rFonts w:hint="eastAsia" w:ascii="黑体" w:hAnsi="宋体" w:eastAsia="黑体"/>
          <w:kern w:val="2"/>
          <w:sz w:val="21"/>
          <w:szCs w:val="21"/>
          <w:lang w:eastAsia="zh-CN"/>
        </w:rPr>
        <w:t>自行采购供应商责任</w:t>
      </w:r>
    </w:p>
    <w:p w14:paraId="5924A9A5">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4.1欢迎诚信、有实力和有社会责任心的供应商参与自行采购事业。</w:t>
      </w:r>
    </w:p>
    <w:p w14:paraId="552082DF">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4.2投标人应当遵循公平竞争的原则，不得恶意串通，不得妨碍其他投标人的竞争行为，不得损害采购人或者其他投标人的合法权益。如违反上述要求，经核实后，供应商的投标无效。</w:t>
      </w:r>
    </w:p>
    <w:p w14:paraId="5816AF35">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5．投标人参加自行采购的条件</w:t>
      </w:r>
    </w:p>
    <w:p w14:paraId="547D4970">
      <w:pPr>
        <w:widowControl w:val="0"/>
        <w:ind w:firstLine="420" w:firstLineChars="200"/>
        <w:jc w:val="left"/>
        <w:rPr>
          <w:rFonts w:hint="eastAsia" w:ascii="宋体" w:hAnsi="宋体" w:eastAsia="宋体"/>
          <w:kern w:val="2"/>
          <w:sz w:val="21"/>
          <w:szCs w:val="21"/>
          <w:lang w:eastAsia="zh-CN"/>
        </w:rPr>
      </w:pPr>
      <w:r>
        <w:rPr>
          <w:rFonts w:hint="eastAsia" w:ascii="宋体" w:hAnsi="宋体" w:eastAsia="宋体"/>
          <w:kern w:val="2"/>
          <w:sz w:val="21"/>
          <w:szCs w:val="21"/>
          <w:lang w:eastAsia="zh-CN"/>
        </w:rPr>
        <w:t>5.1投标人应在投标前到</w:t>
      </w:r>
      <w:r>
        <w:rPr>
          <w:rFonts w:hint="eastAsia" w:ascii="宋体" w:hAnsi="宋体" w:eastAsia="宋体"/>
          <w:b/>
          <w:bCs/>
          <w:kern w:val="2"/>
          <w:sz w:val="21"/>
          <w:szCs w:val="21"/>
          <w:lang w:eastAsia="zh-CN"/>
        </w:rPr>
        <w:t>深圳政府采购自行采购系统（具体在深圳交易集团有限公司政府采购业务分公司进行办理）</w:t>
      </w:r>
      <w:r>
        <w:rPr>
          <w:rFonts w:hint="eastAsia" w:ascii="宋体" w:hAnsi="宋体" w:eastAsia="宋体"/>
          <w:kern w:val="2"/>
          <w:sz w:val="21"/>
          <w:szCs w:val="21"/>
          <w:lang w:eastAsia="zh-CN"/>
        </w:rPr>
        <w:t>进行注册并办理电子密钥。《深圳政府采购自行采购系统用户操作指引（供应商）》详见www.szggzy.com网站“交易服务指南-政府采购-资料下载”。</w:t>
      </w:r>
    </w:p>
    <w:p w14:paraId="5DECCE98">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5.2投标人资格要求</w:t>
      </w:r>
    </w:p>
    <w:p w14:paraId="47010F7C">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参加本项目的投标人应具备的资格条件详见本项目招标公告中 “投标人资格要求”的内容。</w:t>
      </w:r>
    </w:p>
    <w:p w14:paraId="17CD5530">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5.3联合体投标</w:t>
      </w:r>
    </w:p>
    <w:p w14:paraId="2DCDC5B2">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5.3.1　以下有关联合体投标的条款仅适用于允许投标人组成联合体投标的项目。</w:t>
      </w:r>
    </w:p>
    <w:p w14:paraId="7C1EA43E">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5.3.2  由两个或两个以上的自然人、法人或者其他组织可以组成一个联合体，以一个供应商的身份共同投标时，应符合以下原则：</w:t>
      </w:r>
    </w:p>
    <w:p w14:paraId="1E3196A3">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（1）投标联合体各方参加采购活动应当具备下列条件：</w:t>
      </w:r>
      <w:r>
        <w:rPr>
          <w:rFonts w:ascii="宋体" w:hAnsi="宋体" w:eastAsia="宋体"/>
          <w:kern w:val="2"/>
          <w:sz w:val="21"/>
          <w:szCs w:val="21"/>
          <w:lang w:eastAsia="zh-CN"/>
        </w:rPr>
        <w:t xml:space="preserve"> </w:t>
      </w:r>
    </w:p>
    <w:p w14:paraId="04A1D9F3">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1、具有独立承担民事责任的能力；</w:t>
      </w:r>
      <w:r>
        <w:rPr>
          <w:rFonts w:ascii="宋体" w:hAnsi="宋体" w:eastAsia="宋体"/>
          <w:kern w:val="2"/>
          <w:sz w:val="21"/>
          <w:szCs w:val="21"/>
          <w:lang w:eastAsia="zh-CN"/>
        </w:rPr>
        <w:t xml:space="preserve"> </w:t>
      </w:r>
    </w:p>
    <w:p w14:paraId="3DA10509">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2、有良好的商业信誉和健全的财务会计制度；</w:t>
      </w:r>
      <w:r>
        <w:rPr>
          <w:rFonts w:ascii="宋体" w:hAnsi="宋体" w:eastAsia="宋体"/>
          <w:kern w:val="2"/>
          <w:sz w:val="21"/>
          <w:szCs w:val="21"/>
          <w:lang w:eastAsia="zh-CN"/>
        </w:rPr>
        <w:t xml:space="preserve"> </w:t>
      </w:r>
    </w:p>
    <w:p w14:paraId="1AFF367C">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3、具有履行合同所必需的设备和专业技术能力；</w:t>
      </w:r>
      <w:r>
        <w:rPr>
          <w:rFonts w:ascii="宋体" w:hAnsi="宋体" w:eastAsia="宋体"/>
          <w:kern w:val="2"/>
          <w:sz w:val="21"/>
          <w:szCs w:val="21"/>
          <w:lang w:eastAsia="zh-CN"/>
        </w:rPr>
        <w:t xml:space="preserve"> </w:t>
      </w:r>
    </w:p>
    <w:p w14:paraId="4DAAB671">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4、有依法缴纳税收和社会保障资金的良好记录；</w:t>
      </w:r>
      <w:r>
        <w:rPr>
          <w:rFonts w:ascii="宋体" w:hAnsi="宋体" w:eastAsia="宋体"/>
          <w:kern w:val="2"/>
          <w:sz w:val="21"/>
          <w:szCs w:val="21"/>
          <w:lang w:eastAsia="zh-CN"/>
        </w:rPr>
        <w:t xml:space="preserve"> </w:t>
      </w:r>
    </w:p>
    <w:p w14:paraId="403D355B">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5、参加采购活动前三年内，在经营活动中没有重大违法记录；</w:t>
      </w:r>
      <w:r>
        <w:rPr>
          <w:rFonts w:ascii="宋体" w:hAnsi="宋体" w:eastAsia="宋体"/>
          <w:kern w:val="2"/>
          <w:sz w:val="21"/>
          <w:szCs w:val="21"/>
          <w:lang w:eastAsia="zh-CN"/>
        </w:rPr>
        <w:t xml:space="preserve"> </w:t>
      </w:r>
    </w:p>
    <w:p w14:paraId="41E082C3">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6、法律、行政法规规定的其他条件。</w:t>
      </w:r>
      <w:r>
        <w:rPr>
          <w:rFonts w:ascii="宋体" w:hAnsi="宋体" w:eastAsia="宋体"/>
          <w:kern w:val="2"/>
          <w:sz w:val="21"/>
          <w:szCs w:val="21"/>
          <w:lang w:eastAsia="zh-CN"/>
        </w:rPr>
        <w:t xml:space="preserve"> </w:t>
      </w:r>
    </w:p>
    <w:p w14:paraId="3035EE1C">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（2）在投标截止前，投标联合体各方均应注册成</w:t>
      </w:r>
      <w:r>
        <w:rPr>
          <w:rFonts w:hint="eastAsia" w:ascii="宋体" w:hAnsi="宋体" w:eastAsia="宋体"/>
          <w:b/>
          <w:bCs/>
          <w:color w:val="FF0000"/>
          <w:kern w:val="2"/>
          <w:sz w:val="21"/>
          <w:szCs w:val="21"/>
          <w:lang w:eastAsia="zh-CN"/>
        </w:rPr>
        <w:t>深圳政府采购自行采购系统</w:t>
      </w:r>
      <w:r>
        <w:rPr>
          <w:rFonts w:hint="eastAsia" w:ascii="宋体" w:hAnsi="宋体" w:eastAsia="宋体"/>
          <w:kern w:val="2"/>
          <w:sz w:val="21"/>
          <w:szCs w:val="21"/>
          <w:lang w:eastAsia="zh-CN"/>
        </w:rPr>
        <w:t>供应商；</w:t>
      </w:r>
    </w:p>
    <w:p w14:paraId="4891C03A">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（3）联合体中有同类资质的供应商按照联合体分工承担相同工作的，应当按照资质等级较低的供应商确定资质等级；</w:t>
      </w:r>
    </w:p>
    <w:p w14:paraId="7747629D">
      <w:pPr>
        <w:widowControl w:val="0"/>
        <w:ind w:firstLine="420" w:firstLineChars="200"/>
        <w:jc w:val="both"/>
        <w:rPr>
          <w:rFonts w:eastAsia="宋体"/>
          <w:kern w:val="2"/>
          <w:sz w:val="21"/>
          <w:szCs w:val="21"/>
          <w:lang w:eastAsia="zh-CN"/>
        </w:rPr>
      </w:pPr>
      <w:r>
        <w:rPr>
          <w:rFonts w:hint="eastAsia" w:eastAsia="宋体"/>
          <w:kern w:val="2"/>
          <w:sz w:val="21"/>
          <w:szCs w:val="21"/>
          <w:lang w:eastAsia="zh-CN"/>
        </w:rPr>
        <w:t>（4）是否允许联合体参加投标，应当由采购人和采购代理机构根据项目的实际情况和潜在供应商的数量自主决定，如果决定接受联合体投标则应当在招标公告中明示；</w:t>
      </w:r>
    </w:p>
    <w:p w14:paraId="10C8DED7">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（5）投标人的投标文件及中标后签署的合同协议对联合体各方均具法律约束力；</w:t>
      </w:r>
    </w:p>
    <w:p w14:paraId="3446A0EC">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（6）联合体各方应当签订联合体投标协议，明确约定各方拟承担的工作和责任，并将该协议随投标文件一并递交给政府集中采购机构；</w:t>
      </w:r>
    </w:p>
    <w:p w14:paraId="7058787E">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（7）联合体中标后，联合体各方应当共同与采购人签订合同，就中标项目向采购人承担连带责任；</w:t>
      </w:r>
    </w:p>
    <w:p w14:paraId="130D27D7">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（8）以联合体形式参加采购活动的，联合体各方不得再单独参加或者与其他供应商另外组成联合体参加同一合同项下的采购活动，出现上述情况者，其投标和与此有关联合体、总包单位的投标将被拒绝；</w:t>
      </w:r>
    </w:p>
    <w:p w14:paraId="408C6CBF">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（9）本通用条款中“投标人”一词亦指联合体各方，专用条款另有规定或说明的除外。</w:t>
      </w:r>
    </w:p>
    <w:p w14:paraId="42428039">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6．政策导向</w:t>
      </w:r>
    </w:p>
    <w:p w14:paraId="64FEE43F">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6.1</w:t>
      </w:r>
      <w:r>
        <w:rPr>
          <w:rFonts w:ascii="宋体" w:hAnsi="宋体" w:eastAsia="宋体"/>
          <w:kern w:val="2"/>
          <w:sz w:val="21"/>
          <w:szCs w:val="21"/>
          <w:lang w:eastAsia="zh-CN"/>
        </w:rPr>
        <w:t xml:space="preserve">  </w:t>
      </w:r>
      <w:r>
        <w:rPr>
          <w:rFonts w:hint="eastAsia" w:ascii="宋体" w:hAnsi="宋体" w:eastAsia="宋体"/>
          <w:kern w:val="2"/>
          <w:sz w:val="21"/>
          <w:szCs w:val="21"/>
          <w:lang w:eastAsia="zh-CN"/>
        </w:rPr>
        <w:t>采购扶持贫困地区、中小企业、监狱企业和残疾人福利性单位发展，支持节能减排、环境保护。</w:t>
      </w:r>
    </w:p>
    <w:p w14:paraId="338D654C">
      <w:pPr>
        <w:widowControl w:val="0"/>
        <w:ind w:firstLine="420" w:firstLineChars="200"/>
        <w:jc w:val="both"/>
        <w:rPr>
          <w:rFonts w:eastAsia="宋体"/>
          <w:kern w:val="2"/>
          <w:sz w:val="21"/>
          <w:szCs w:val="21"/>
          <w:shd w:val="clear" w:color="auto" w:fill="FFFFFF"/>
          <w:lang w:eastAsia="zh-CN"/>
        </w:rPr>
      </w:pPr>
      <w:r>
        <w:rPr>
          <w:rFonts w:hint="eastAsia" w:ascii="宋体" w:hAnsi="宋体" w:eastAsia="宋体"/>
          <w:kern w:val="2"/>
          <w:sz w:val="21"/>
          <w:szCs w:val="21"/>
          <w:lang w:eastAsia="zh-CN"/>
        </w:rPr>
        <w:t>6.2</w:t>
      </w:r>
      <w:r>
        <w:rPr>
          <w:rFonts w:ascii="宋体" w:hAnsi="宋体" w:eastAsia="宋体"/>
          <w:kern w:val="2"/>
          <w:sz w:val="21"/>
          <w:szCs w:val="21"/>
          <w:lang w:eastAsia="zh-CN"/>
        </w:rPr>
        <w:t xml:space="preserve">  </w:t>
      </w:r>
      <w:r>
        <w:rPr>
          <w:rFonts w:hint="eastAsia" w:ascii="宋体" w:hAnsi="宋体" w:eastAsia="宋体"/>
          <w:kern w:val="2"/>
          <w:sz w:val="21"/>
          <w:szCs w:val="21"/>
          <w:lang w:eastAsia="zh-CN"/>
        </w:rPr>
        <w:t>本项目落实深圳市政府采购供应商诚信管理政策要求。</w:t>
      </w:r>
    </w:p>
    <w:p w14:paraId="4D728184">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7. 本项目若涉及采购货物，则合格的货物及相应服务应满足以下要求：</w:t>
      </w:r>
    </w:p>
    <w:p w14:paraId="0DE6FBFB">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7</w:t>
      </w:r>
      <w:r>
        <w:rPr>
          <w:rFonts w:ascii="宋体" w:hAnsi="宋体" w:eastAsia="宋体"/>
          <w:kern w:val="2"/>
          <w:sz w:val="21"/>
          <w:szCs w:val="21"/>
          <w:lang w:eastAsia="zh-CN"/>
        </w:rPr>
        <w:t xml:space="preserve">.1  </w:t>
      </w:r>
      <w:r>
        <w:rPr>
          <w:rFonts w:hint="eastAsia" w:ascii="宋体" w:hAnsi="宋体" w:eastAsia="宋体"/>
          <w:kern w:val="2"/>
          <w:sz w:val="21"/>
          <w:szCs w:val="21"/>
          <w:lang w:eastAsia="zh-CN"/>
        </w:rPr>
        <w:t>必须是全新、未使用过的原装合格正品（包括零部件），如安装或配置了软件的，须为正版软件。</w:t>
      </w:r>
    </w:p>
    <w:p w14:paraId="4D102D3C">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7.2  国产的货物及其有关服务必须符合中华人民共和国的设计、制造生产标准及行业标准。招标公告有其他要求的，亦应符合其要求。</w:t>
      </w:r>
    </w:p>
    <w:p w14:paraId="3CA3593A">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7</w:t>
      </w:r>
      <w:r>
        <w:rPr>
          <w:rFonts w:ascii="宋体" w:hAnsi="宋体" w:eastAsia="宋体"/>
          <w:kern w:val="2"/>
          <w:sz w:val="21"/>
          <w:szCs w:val="21"/>
          <w:lang w:eastAsia="zh-CN"/>
        </w:rPr>
        <w:t>.</w:t>
      </w:r>
      <w:r>
        <w:rPr>
          <w:rFonts w:hint="eastAsia" w:ascii="宋体" w:hAnsi="宋体" w:eastAsia="宋体"/>
          <w:kern w:val="2"/>
          <w:sz w:val="21"/>
          <w:szCs w:val="21"/>
          <w:lang w:eastAsia="zh-CN"/>
        </w:rPr>
        <w:t>3</w:t>
      </w:r>
      <w:r>
        <w:rPr>
          <w:rFonts w:ascii="宋体" w:hAnsi="宋体" w:eastAsia="宋体"/>
          <w:kern w:val="2"/>
          <w:sz w:val="21"/>
          <w:szCs w:val="21"/>
          <w:lang w:eastAsia="zh-CN"/>
        </w:rPr>
        <w:t xml:space="preserve">  </w:t>
      </w:r>
      <w:r>
        <w:rPr>
          <w:rFonts w:hint="eastAsia" w:ascii="宋体" w:hAnsi="宋体" w:eastAsia="宋体"/>
          <w:kern w:val="2"/>
          <w:sz w:val="21"/>
          <w:szCs w:val="21"/>
          <w:lang w:eastAsia="zh-CN"/>
        </w:rPr>
        <w:t>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14:paraId="12E8CAA0">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7</w:t>
      </w:r>
      <w:r>
        <w:rPr>
          <w:rFonts w:ascii="宋体" w:hAnsi="宋体" w:eastAsia="宋体"/>
          <w:kern w:val="2"/>
          <w:sz w:val="21"/>
          <w:szCs w:val="21"/>
          <w:lang w:eastAsia="zh-CN"/>
        </w:rPr>
        <w:t>.</w:t>
      </w:r>
      <w:r>
        <w:rPr>
          <w:rFonts w:hint="eastAsia" w:ascii="宋体" w:hAnsi="宋体" w:eastAsia="宋体"/>
          <w:kern w:val="2"/>
          <w:sz w:val="21"/>
          <w:szCs w:val="21"/>
          <w:lang w:eastAsia="zh-CN"/>
        </w:rPr>
        <w:t>4</w:t>
      </w:r>
      <w:r>
        <w:rPr>
          <w:rFonts w:ascii="宋体" w:hAnsi="宋体" w:eastAsia="宋体"/>
          <w:kern w:val="2"/>
          <w:sz w:val="21"/>
          <w:szCs w:val="21"/>
          <w:lang w:eastAsia="zh-CN"/>
        </w:rPr>
        <w:t xml:space="preserve">  </w:t>
      </w:r>
      <w:r>
        <w:rPr>
          <w:rFonts w:hint="eastAsia" w:ascii="宋体" w:hAnsi="宋体" w:eastAsia="宋体"/>
          <w:kern w:val="2"/>
          <w:sz w:val="21"/>
          <w:szCs w:val="21"/>
          <w:lang w:eastAsia="zh-CN"/>
        </w:rPr>
        <w:t>投标人</w:t>
      </w:r>
      <w:bookmarkStart w:id="49" w:name="_Hlk72152753"/>
      <w:r>
        <w:rPr>
          <w:rFonts w:hint="eastAsia" w:ascii="宋体" w:hAnsi="宋体" w:eastAsia="宋体"/>
          <w:kern w:val="2"/>
          <w:sz w:val="21"/>
          <w:szCs w:val="21"/>
          <w:lang w:eastAsia="zh-CN"/>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49"/>
    </w:p>
    <w:p w14:paraId="3C51F5B3">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7.5  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14:paraId="0C5F3FE9">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7.6  工期要求：投标人在投标时对其所投项目应提交交货进度、交货计划等，在合同规定的时间内完成项目实施工作。</w:t>
      </w:r>
    </w:p>
    <w:p w14:paraId="7BCF86FC">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7.7  投标人必须承担的设备运输、安装调试、验收检测和提供设备操作说明书、图纸等其他相关及类似的义务。</w:t>
      </w:r>
    </w:p>
    <w:p w14:paraId="52E2C7E5">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8．投标费用</w:t>
      </w:r>
    </w:p>
    <w:p w14:paraId="029C4A5E">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不论投标结果如何，投标人应承担其编制投标文件与递交投标文件所涉及的一切费用。</w:t>
      </w:r>
    </w:p>
    <w:p w14:paraId="13E3F9B3">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9．踏勘现场</w:t>
      </w:r>
    </w:p>
    <w:p w14:paraId="23D5FBC2">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9.1如有需要（详见专用条款），采购人或政府集中采购机构将组织投标人对项目现场及周围环境进行踏勘，以便投标人获取有关编制投标文件和签署合同所需的资料。踏勘现场所发生的费用由投标人自行承担。投标人应按招标文件所约定的时间、地点踏勘现场。</w:t>
      </w:r>
    </w:p>
    <w:p w14:paraId="558FF415">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9.2投标人及其人员经过采购人的允许，可以进入采购人的项目现场踏勘。若招标文件要求投标人于统一时间地点踏勘现场的，投标人应当按时前往。</w:t>
      </w:r>
    </w:p>
    <w:p w14:paraId="2809EFDF">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9.3采购人应当通过政府集中采购机构向投标人提供有关现场的书面资料和数据。</w:t>
      </w:r>
    </w:p>
    <w:p w14:paraId="2FF75516">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9.4任何人或任何组织在踏勘现场时向投标人提供的任何书面资料或口头承诺，未经政府集中采购机构在网上发布或书面通知，均作无效处理。</w:t>
      </w:r>
    </w:p>
    <w:p w14:paraId="53F8BCD4">
      <w:pPr>
        <w:widowControl w:val="0"/>
        <w:ind w:firstLine="420" w:firstLineChars="200"/>
        <w:jc w:val="both"/>
        <w:rPr>
          <w:rFonts w:hint="eastAsia" w:ascii="宋体" w:hAnsi="宋体" w:eastAsia="宋体"/>
          <w:kern w:val="2"/>
          <w:sz w:val="21"/>
          <w:szCs w:val="21"/>
          <w:lang w:eastAsia="zh-CN"/>
        </w:rPr>
      </w:pPr>
      <w:r>
        <w:rPr>
          <w:rFonts w:ascii="宋体" w:hAnsi="宋体" w:eastAsia="宋体"/>
          <w:kern w:val="2"/>
          <w:sz w:val="21"/>
          <w:szCs w:val="21"/>
          <w:lang w:eastAsia="zh-CN"/>
        </w:rPr>
        <w:t>9</w:t>
      </w:r>
      <w:r>
        <w:rPr>
          <w:rFonts w:hint="eastAsia" w:ascii="宋体" w:hAnsi="宋体" w:eastAsia="宋体"/>
          <w:kern w:val="2"/>
          <w:sz w:val="21"/>
          <w:szCs w:val="21"/>
          <w:lang w:eastAsia="zh-CN"/>
        </w:rPr>
        <w:t>.</w:t>
      </w:r>
      <w:r>
        <w:rPr>
          <w:rFonts w:ascii="宋体" w:hAnsi="宋体" w:eastAsia="宋体"/>
          <w:kern w:val="2"/>
          <w:sz w:val="21"/>
          <w:szCs w:val="21"/>
          <w:lang w:eastAsia="zh-CN"/>
        </w:rPr>
        <w:t>5</w:t>
      </w:r>
      <w:r>
        <w:rPr>
          <w:rFonts w:hint="eastAsia" w:ascii="宋体" w:hAnsi="宋体" w:eastAsia="宋体"/>
          <w:kern w:val="2"/>
          <w:sz w:val="21"/>
          <w:szCs w:val="21"/>
          <w:lang w:eastAsia="zh-CN"/>
        </w:rPr>
        <w:t>未参与踏勘现场不作为否定投标人资格的理由。</w:t>
      </w:r>
    </w:p>
    <w:p w14:paraId="23155EF2">
      <w:pPr>
        <w:widowControl w:val="0"/>
        <w:ind w:firstLine="420" w:firstLineChars="200"/>
        <w:jc w:val="both"/>
        <w:rPr>
          <w:rFonts w:hint="eastAsia" w:ascii="宋体" w:hAnsi="宋体" w:eastAsia="宋体"/>
          <w:kern w:val="2"/>
          <w:sz w:val="21"/>
          <w:szCs w:val="21"/>
          <w:lang w:eastAsia="zh-CN"/>
        </w:rPr>
      </w:pPr>
      <w:r>
        <w:rPr>
          <w:rFonts w:hint="eastAsia" w:ascii="黑体" w:hAnsi="宋体" w:eastAsia="黑体"/>
          <w:kern w:val="2"/>
          <w:sz w:val="21"/>
          <w:szCs w:val="21"/>
          <w:lang w:eastAsia="zh-CN"/>
        </w:rPr>
        <w:t>1</w:t>
      </w:r>
      <w:r>
        <w:rPr>
          <w:rFonts w:ascii="黑体" w:hAnsi="宋体" w:eastAsia="黑体"/>
          <w:kern w:val="2"/>
          <w:sz w:val="21"/>
          <w:szCs w:val="21"/>
          <w:lang w:eastAsia="zh-CN"/>
        </w:rPr>
        <w:t>0</w:t>
      </w:r>
      <w:r>
        <w:rPr>
          <w:rFonts w:hint="eastAsia" w:ascii="黑体" w:hAnsi="宋体" w:eastAsia="黑体"/>
          <w:kern w:val="2"/>
          <w:sz w:val="21"/>
          <w:szCs w:val="21"/>
          <w:lang w:eastAsia="zh-CN"/>
        </w:rPr>
        <w:t>．标前会议</w:t>
      </w:r>
    </w:p>
    <w:p w14:paraId="6C19549B">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w:t>
      </w:r>
      <w:r>
        <w:rPr>
          <w:rFonts w:ascii="宋体" w:hAnsi="宋体" w:eastAsia="宋体"/>
          <w:kern w:val="2"/>
          <w:sz w:val="21"/>
          <w:szCs w:val="21"/>
          <w:lang w:eastAsia="zh-CN"/>
        </w:rPr>
        <w:t>0</w:t>
      </w:r>
      <w:r>
        <w:rPr>
          <w:rFonts w:hint="eastAsia" w:ascii="宋体" w:hAnsi="宋体" w:eastAsia="宋体"/>
          <w:kern w:val="2"/>
          <w:sz w:val="21"/>
          <w:szCs w:val="21"/>
          <w:lang w:eastAsia="zh-CN"/>
        </w:rPr>
        <w:t>.</w:t>
      </w:r>
      <w:r>
        <w:rPr>
          <w:rFonts w:ascii="宋体" w:hAnsi="宋体" w:eastAsia="宋体"/>
          <w:kern w:val="2"/>
          <w:sz w:val="21"/>
          <w:szCs w:val="21"/>
          <w:lang w:eastAsia="zh-CN"/>
        </w:rPr>
        <w:t>1</w:t>
      </w:r>
      <w:r>
        <w:rPr>
          <w:rFonts w:hint="eastAsia" w:ascii="宋体" w:hAnsi="宋体" w:eastAsia="宋体"/>
          <w:kern w:val="2"/>
          <w:sz w:val="21"/>
          <w:szCs w:val="21"/>
          <w:lang w:eastAsia="zh-CN"/>
        </w:rPr>
        <w:t>如采购人或政府集中采购机构认为有必要组织标前会议，投标人应按照招标文件规定的时间或政府集中采购机构另行书面通知（包括政府集中采购机构网站发布方式，如更正公告等）的时间和地点，参与标前会议。</w:t>
      </w:r>
    </w:p>
    <w:p w14:paraId="50F5DA1C">
      <w:pPr>
        <w:widowControl w:val="0"/>
        <w:ind w:firstLine="420" w:firstLineChars="200"/>
        <w:jc w:val="both"/>
        <w:rPr>
          <w:rFonts w:hint="eastAsia" w:ascii="宋体" w:hAnsi="宋体" w:eastAsia="宋体"/>
          <w:kern w:val="2"/>
          <w:sz w:val="21"/>
          <w:szCs w:val="21"/>
          <w:lang w:eastAsia="zh-CN"/>
        </w:rPr>
      </w:pPr>
      <w:r>
        <w:rPr>
          <w:rFonts w:ascii="宋体" w:hAnsi="宋体" w:eastAsia="宋体"/>
          <w:kern w:val="2"/>
          <w:sz w:val="21"/>
          <w:szCs w:val="21"/>
          <w:lang w:eastAsia="zh-CN"/>
        </w:rPr>
        <w:t>10</w:t>
      </w:r>
      <w:r>
        <w:rPr>
          <w:rFonts w:hint="eastAsia" w:ascii="宋体" w:hAnsi="宋体" w:eastAsia="宋体"/>
          <w:kern w:val="2"/>
          <w:sz w:val="21"/>
          <w:szCs w:val="21"/>
          <w:lang w:eastAsia="zh-CN"/>
        </w:rPr>
        <w:t>.</w:t>
      </w:r>
      <w:r>
        <w:rPr>
          <w:rFonts w:ascii="宋体" w:hAnsi="宋体" w:eastAsia="宋体"/>
          <w:kern w:val="2"/>
          <w:sz w:val="21"/>
          <w:szCs w:val="21"/>
          <w:lang w:eastAsia="zh-CN"/>
        </w:rPr>
        <w:t>2</w:t>
      </w:r>
      <w:r>
        <w:rPr>
          <w:rFonts w:hint="eastAsia" w:ascii="宋体" w:hAnsi="宋体" w:eastAsia="宋体"/>
          <w:kern w:val="2"/>
          <w:sz w:val="21"/>
          <w:szCs w:val="21"/>
          <w:lang w:eastAsia="zh-CN"/>
        </w:rPr>
        <w:t>任何人或任何组织在标前会议时向投标人提供的任何书面资料或口头承诺，未经政府集中采购机构在网上发布或书面通知，均作无效处理。</w:t>
      </w:r>
    </w:p>
    <w:p w14:paraId="350F2BAC">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w:t>
      </w:r>
      <w:r>
        <w:rPr>
          <w:rFonts w:ascii="宋体" w:hAnsi="宋体" w:eastAsia="宋体"/>
          <w:kern w:val="2"/>
          <w:sz w:val="21"/>
          <w:szCs w:val="21"/>
          <w:lang w:eastAsia="zh-CN"/>
        </w:rPr>
        <w:t>0</w:t>
      </w:r>
      <w:r>
        <w:rPr>
          <w:rFonts w:hint="eastAsia" w:ascii="宋体" w:hAnsi="宋体" w:eastAsia="宋体"/>
          <w:kern w:val="2"/>
          <w:sz w:val="21"/>
          <w:szCs w:val="21"/>
          <w:lang w:eastAsia="zh-CN"/>
        </w:rPr>
        <w:t>.</w:t>
      </w:r>
      <w:r>
        <w:rPr>
          <w:rFonts w:ascii="宋体" w:hAnsi="宋体" w:eastAsia="宋体"/>
          <w:kern w:val="2"/>
          <w:sz w:val="21"/>
          <w:szCs w:val="21"/>
          <w:lang w:eastAsia="zh-CN"/>
        </w:rPr>
        <w:t>3</w:t>
      </w:r>
      <w:r>
        <w:rPr>
          <w:rFonts w:hint="eastAsia" w:ascii="宋体" w:hAnsi="宋体" w:eastAsia="宋体"/>
          <w:kern w:val="2"/>
          <w:sz w:val="21"/>
          <w:szCs w:val="21"/>
          <w:lang w:eastAsia="zh-CN"/>
        </w:rPr>
        <w:t>未参与标前会议不作为否定投标人资格的理由。</w:t>
      </w:r>
    </w:p>
    <w:bookmarkEnd w:id="48"/>
    <w:p w14:paraId="359D3D6F">
      <w:pPr>
        <w:widowControl w:val="0"/>
        <w:ind w:firstLine="411" w:firstLineChars="196"/>
        <w:jc w:val="both"/>
        <w:rPr>
          <w:rFonts w:hint="eastAsia" w:ascii="宋体" w:hAnsi="宋体" w:eastAsia="宋体"/>
          <w:kern w:val="2"/>
          <w:sz w:val="21"/>
          <w:lang w:eastAsia="zh-CN"/>
        </w:rPr>
      </w:pPr>
    </w:p>
    <w:p w14:paraId="66182E51">
      <w:pPr>
        <w:keepNext/>
        <w:keepLines/>
        <w:widowControl w:val="0"/>
        <w:numPr>
          <w:ilvl w:val="0"/>
          <w:numId w:val="4"/>
        </w:numPr>
        <w:tabs>
          <w:tab w:val="left" w:pos="720"/>
        </w:tabs>
        <w:adjustRightInd w:val="0"/>
        <w:spacing w:before="120" w:beforeLines="50" w:after="120" w:afterLines="50"/>
        <w:ind w:left="1080" w:hanging="1080" w:firstLineChars="0"/>
        <w:jc w:val="center"/>
        <w:textAlignment w:val="baseline"/>
        <w:outlineLvl w:val="1"/>
        <w:rPr>
          <w:rFonts w:ascii="Cambria" w:hAnsi="Cambria" w:eastAsia="宋体"/>
          <w:b/>
          <w:bCs/>
          <w:kern w:val="2"/>
          <w:sz w:val="28"/>
          <w:szCs w:val="28"/>
          <w:lang w:eastAsia="zh-CN"/>
        </w:rPr>
      </w:pPr>
      <w:r>
        <w:rPr>
          <w:rFonts w:hint="eastAsia" w:ascii="Cambria" w:hAnsi="Cambria" w:eastAsia="宋体" w:cstheme="majorBidi"/>
          <w:b/>
          <w:bCs/>
          <w:kern w:val="2"/>
          <w:sz w:val="28"/>
          <w:szCs w:val="28"/>
          <w:lang w:eastAsia="zh-CN"/>
        </w:rPr>
        <w:t>招标文件</w:t>
      </w:r>
    </w:p>
    <w:p w14:paraId="5F938AD2">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1</w:t>
      </w:r>
      <w:r>
        <w:rPr>
          <w:rFonts w:ascii="黑体" w:hAnsi="宋体" w:eastAsia="黑体"/>
          <w:kern w:val="2"/>
          <w:sz w:val="21"/>
          <w:szCs w:val="21"/>
          <w:lang w:eastAsia="zh-CN"/>
        </w:rPr>
        <w:t>1</w:t>
      </w:r>
      <w:r>
        <w:rPr>
          <w:rFonts w:hint="eastAsia" w:ascii="黑体" w:hAnsi="宋体" w:eastAsia="黑体"/>
          <w:kern w:val="2"/>
          <w:sz w:val="21"/>
          <w:szCs w:val="21"/>
          <w:lang w:eastAsia="zh-CN"/>
        </w:rPr>
        <w:t>．</w:t>
      </w:r>
      <w:bookmarkStart w:id="50" w:name="_Hlk72399819"/>
      <w:r>
        <w:rPr>
          <w:rFonts w:hint="eastAsia" w:ascii="黑体" w:hAnsi="宋体" w:eastAsia="黑体"/>
          <w:kern w:val="2"/>
          <w:sz w:val="21"/>
          <w:szCs w:val="21"/>
          <w:lang w:eastAsia="zh-CN"/>
        </w:rPr>
        <w:t>招标文件的编制与组成</w:t>
      </w:r>
    </w:p>
    <w:p w14:paraId="778D01B0">
      <w:pPr>
        <w:widowControl w:val="0"/>
        <w:snapToGrid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w:t>
      </w:r>
      <w:r>
        <w:rPr>
          <w:rFonts w:ascii="宋体" w:hAnsi="宋体" w:eastAsia="宋体"/>
          <w:kern w:val="2"/>
          <w:sz w:val="21"/>
          <w:szCs w:val="21"/>
          <w:lang w:eastAsia="zh-CN"/>
        </w:rPr>
        <w:t>1</w:t>
      </w:r>
      <w:r>
        <w:rPr>
          <w:rFonts w:hint="eastAsia" w:ascii="宋体" w:hAnsi="宋体" w:eastAsia="宋体"/>
          <w:kern w:val="2"/>
          <w:sz w:val="21"/>
          <w:szCs w:val="21"/>
          <w:lang w:eastAsia="zh-CN"/>
        </w:rPr>
        <w:t>.1招标文件除以下内容外，政府集中采购机构在招标期间发出的澄清或修改等相关公告或通知内容，均是招标文件的组成部分，对投标人起约束作用；</w:t>
      </w:r>
    </w:p>
    <w:p w14:paraId="5C6827DE">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招标文件包括下列内容：</w:t>
      </w:r>
    </w:p>
    <w:p w14:paraId="17A420C7">
      <w:pPr>
        <w:widowControl w:val="0"/>
        <w:ind w:firstLine="422" w:firstLineChars="200"/>
        <w:jc w:val="both"/>
        <w:rPr>
          <w:rFonts w:hint="eastAsia" w:ascii="宋体" w:hAnsi="宋体" w:eastAsia="宋体"/>
          <w:b/>
          <w:kern w:val="2"/>
          <w:sz w:val="21"/>
          <w:szCs w:val="21"/>
          <w:lang w:eastAsia="zh-CN"/>
        </w:rPr>
      </w:pPr>
      <w:r>
        <w:rPr>
          <w:rFonts w:hint="eastAsia" w:ascii="宋体" w:hAnsi="宋体" w:eastAsia="宋体"/>
          <w:b/>
          <w:kern w:val="2"/>
          <w:sz w:val="21"/>
          <w:szCs w:val="21"/>
          <w:lang w:eastAsia="zh-CN"/>
        </w:rPr>
        <w:t>第一册  专用条款</w:t>
      </w:r>
    </w:p>
    <w:p w14:paraId="5BFF7DDC">
      <w:pPr>
        <w:widowControl w:val="0"/>
        <w:ind w:firstLine="422" w:firstLineChars="200"/>
        <w:jc w:val="both"/>
        <w:rPr>
          <w:rFonts w:hint="eastAsia" w:ascii="宋体" w:hAnsi="宋体" w:eastAsia="宋体"/>
          <w:b/>
          <w:kern w:val="2"/>
          <w:sz w:val="21"/>
          <w:szCs w:val="21"/>
          <w:lang w:eastAsia="zh-CN"/>
        </w:rPr>
      </w:pPr>
      <w:r>
        <w:rPr>
          <w:rFonts w:hint="eastAsia" w:ascii="宋体" w:hAnsi="宋体" w:eastAsia="宋体"/>
          <w:b/>
          <w:kern w:val="2"/>
          <w:sz w:val="21"/>
          <w:szCs w:val="21"/>
          <w:lang w:eastAsia="zh-CN"/>
        </w:rPr>
        <w:t>关键信息</w:t>
      </w:r>
    </w:p>
    <w:p w14:paraId="0E1FC9EB">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第一章  招标公告</w:t>
      </w:r>
    </w:p>
    <w:p w14:paraId="3185B1A8">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第二章  对通用条款的补充内容及其他关键信息</w:t>
      </w:r>
    </w:p>
    <w:p w14:paraId="1F33C629">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第三章  用户需求书</w:t>
      </w:r>
    </w:p>
    <w:p w14:paraId="17E6FFAC">
      <w:pPr>
        <w:widowControl w:val="0"/>
        <w:ind w:firstLine="420" w:firstLineChars="200"/>
        <w:jc w:val="both"/>
        <w:rPr>
          <w:rFonts w:hint="eastAsia" w:ascii="宋体" w:hAnsi="宋体" w:eastAsia="宋体"/>
          <w:kern w:val="2"/>
          <w:sz w:val="21"/>
          <w:szCs w:val="21"/>
          <w:lang w:eastAsia="zh-CN"/>
        </w:rPr>
      </w:pPr>
      <w:r>
        <w:rPr>
          <w:rFonts w:hint="eastAsia" w:eastAsia="宋体"/>
          <w:kern w:val="2"/>
          <w:sz w:val="21"/>
          <w:szCs w:val="21"/>
          <w:lang w:eastAsia="zh-CN"/>
        </w:rPr>
        <w:t xml:space="preserve">第四章 </w:t>
      </w:r>
      <w:r>
        <w:rPr>
          <w:rFonts w:eastAsia="宋体"/>
          <w:kern w:val="2"/>
          <w:sz w:val="21"/>
          <w:szCs w:val="21"/>
          <w:lang w:eastAsia="zh-CN"/>
        </w:rPr>
        <w:t xml:space="preserve"> </w:t>
      </w:r>
      <w:r>
        <w:rPr>
          <w:rFonts w:hint="eastAsia" w:eastAsia="宋体"/>
          <w:kern w:val="2"/>
          <w:sz w:val="21"/>
          <w:szCs w:val="21"/>
          <w:lang w:eastAsia="zh-CN"/>
        </w:rPr>
        <w:t>投标文件格式及附件</w:t>
      </w:r>
    </w:p>
    <w:p w14:paraId="76832A9B">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第五章  合同条款及格式</w:t>
      </w:r>
    </w:p>
    <w:p w14:paraId="4E5CD24A">
      <w:pPr>
        <w:widowControl w:val="0"/>
        <w:ind w:firstLine="422" w:firstLineChars="200"/>
        <w:jc w:val="both"/>
        <w:rPr>
          <w:rFonts w:hint="eastAsia" w:ascii="宋体" w:hAnsi="宋体" w:eastAsia="宋体"/>
          <w:b/>
          <w:kern w:val="2"/>
          <w:sz w:val="21"/>
          <w:szCs w:val="21"/>
          <w:lang w:eastAsia="zh-CN"/>
        </w:rPr>
      </w:pPr>
      <w:r>
        <w:rPr>
          <w:rFonts w:hint="eastAsia" w:ascii="宋体" w:hAnsi="宋体" w:eastAsia="宋体"/>
          <w:b/>
          <w:kern w:val="2"/>
          <w:sz w:val="21"/>
          <w:szCs w:val="21"/>
          <w:lang w:eastAsia="zh-CN"/>
        </w:rPr>
        <w:t>第二册  通用条款</w:t>
      </w:r>
    </w:p>
    <w:p w14:paraId="2D4CAECB">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第一章  总则</w:t>
      </w:r>
    </w:p>
    <w:p w14:paraId="75B7B7F2">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第二章  招标文件</w:t>
      </w:r>
    </w:p>
    <w:p w14:paraId="3A932F6A">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第三章  投标文件的编制</w:t>
      </w:r>
    </w:p>
    <w:p w14:paraId="162872A2">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第四章  投标文件的递交</w:t>
      </w:r>
    </w:p>
    <w:p w14:paraId="417D881F">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第五章  开标</w:t>
      </w:r>
    </w:p>
    <w:p w14:paraId="40AA5AA5">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第六章  评审要求</w:t>
      </w:r>
    </w:p>
    <w:p w14:paraId="093C58EB">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第七章  评审程序及评审方法</w:t>
      </w:r>
    </w:p>
    <w:p w14:paraId="266BB04E">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第八章  定标及公示</w:t>
      </w:r>
    </w:p>
    <w:p w14:paraId="2D8FA36D">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第九章  公开招标失败的后续处理</w:t>
      </w:r>
    </w:p>
    <w:p w14:paraId="5C1C4487">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第十章  合同的授予与备案</w:t>
      </w:r>
    </w:p>
    <w:p w14:paraId="3E386258">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第十一章  质疑处理</w:t>
      </w:r>
    </w:p>
    <w:p w14:paraId="03C5C96E">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w:t>
      </w:r>
      <w:r>
        <w:rPr>
          <w:rFonts w:ascii="宋体" w:hAnsi="宋体" w:eastAsia="宋体"/>
          <w:kern w:val="2"/>
          <w:sz w:val="21"/>
          <w:szCs w:val="21"/>
          <w:lang w:eastAsia="zh-CN"/>
        </w:rPr>
        <w:t>1</w:t>
      </w:r>
      <w:r>
        <w:rPr>
          <w:rFonts w:hint="eastAsia" w:ascii="宋体" w:hAnsi="宋体" w:eastAsia="宋体"/>
          <w:kern w:val="2"/>
          <w:sz w:val="21"/>
          <w:szCs w:val="21"/>
          <w:lang w:eastAsia="zh-CN"/>
        </w:rPr>
        <w:t>.2 投标人下载招标文件后，应仔细检查招标文件的所有内容，如有疑问应在答疑截止时间之前向政府集中采购机构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14:paraId="3562074E">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w:t>
      </w:r>
      <w:r>
        <w:rPr>
          <w:rFonts w:ascii="宋体" w:hAnsi="宋体" w:eastAsia="宋体"/>
          <w:kern w:val="2"/>
          <w:sz w:val="21"/>
          <w:szCs w:val="21"/>
          <w:lang w:eastAsia="zh-CN"/>
        </w:rPr>
        <w:t>1</w:t>
      </w:r>
      <w:r>
        <w:rPr>
          <w:rFonts w:hint="eastAsia" w:ascii="宋体" w:hAnsi="宋体" w:eastAsia="宋体"/>
          <w:kern w:val="2"/>
          <w:sz w:val="21"/>
          <w:szCs w:val="21"/>
          <w:lang w:eastAsia="zh-CN"/>
        </w:rPr>
        <w:t>.3任何人或任何组织向投标人提交的任何书面或口头资料，未经政府集中采购机构在网上发布或书面通知，均作无效处理，不得作为招标文件的组成部分。政府集中采购机构对投标人由此而做出的推论、理解和结论概不负责。</w:t>
      </w:r>
    </w:p>
    <w:p w14:paraId="055538D6">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1</w:t>
      </w:r>
      <w:r>
        <w:rPr>
          <w:rFonts w:ascii="黑体" w:hAnsi="宋体" w:eastAsia="黑体"/>
          <w:kern w:val="2"/>
          <w:sz w:val="21"/>
          <w:szCs w:val="21"/>
          <w:lang w:eastAsia="zh-CN"/>
        </w:rPr>
        <w:t>2</w:t>
      </w:r>
      <w:r>
        <w:rPr>
          <w:rFonts w:hint="eastAsia" w:ascii="黑体" w:hAnsi="宋体" w:eastAsia="黑体"/>
          <w:kern w:val="2"/>
          <w:sz w:val="21"/>
          <w:szCs w:val="21"/>
          <w:lang w:eastAsia="zh-CN"/>
        </w:rPr>
        <w:t>．招标文件的澄清</w:t>
      </w:r>
    </w:p>
    <w:p w14:paraId="76955218">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w:t>
      </w:r>
      <w:r>
        <w:rPr>
          <w:rFonts w:ascii="宋体" w:hAnsi="宋体" w:eastAsia="宋体"/>
          <w:kern w:val="2"/>
          <w:sz w:val="21"/>
          <w:szCs w:val="21"/>
          <w:lang w:eastAsia="zh-CN"/>
        </w:rPr>
        <w:t>2</w:t>
      </w:r>
      <w:r>
        <w:rPr>
          <w:rFonts w:hint="eastAsia" w:ascii="宋体" w:hAnsi="宋体" w:eastAsia="宋体"/>
          <w:kern w:val="2"/>
          <w:sz w:val="21"/>
          <w:szCs w:val="21"/>
          <w:lang w:eastAsia="zh-CN"/>
        </w:rPr>
        <w:t>.1招标文件澄清的目的是澄清、解答投标人在查阅招标文件后或现场踏勘中可能提出的与投标有关的疑问或询问。</w:t>
      </w:r>
    </w:p>
    <w:p w14:paraId="766716C8">
      <w:pPr>
        <w:widowControl w:val="0"/>
        <w:ind w:firstLine="420" w:firstLineChars="200"/>
        <w:jc w:val="both"/>
        <w:rPr>
          <w:rFonts w:hint="eastAsia" w:ascii="宋体" w:hAnsi="宋体" w:eastAsia="宋体"/>
          <w:color w:val="FF0000"/>
          <w:kern w:val="2"/>
          <w:sz w:val="21"/>
          <w:szCs w:val="21"/>
          <w:lang w:eastAsia="zh-CN"/>
        </w:rPr>
      </w:pPr>
      <w:r>
        <w:rPr>
          <w:rFonts w:hint="eastAsia" w:ascii="宋体" w:hAnsi="宋体" w:eastAsia="宋体"/>
          <w:color w:val="FF0000"/>
          <w:kern w:val="2"/>
          <w:sz w:val="21"/>
          <w:szCs w:val="21"/>
          <w:lang w:eastAsia="zh-CN"/>
        </w:rPr>
        <w:t>1</w:t>
      </w:r>
      <w:r>
        <w:rPr>
          <w:rFonts w:ascii="宋体" w:hAnsi="宋体" w:eastAsia="宋体"/>
          <w:color w:val="FF0000"/>
          <w:kern w:val="2"/>
          <w:sz w:val="21"/>
          <w:szCs w:val="21"/>
          <w:lang w:eastAsia="zh-CN"/>
        </w:rPr>
        <w:t>2</w:t>
      </w:r>
      <w:r>
        <w:rPr>
          <w:rFonts w:hint="eastAsia" w:ascii="宋体" w:hAnsi="宋体" w:eastAsia="宋体"/>
          <w:color w:val="FF0000"/>
          <w:kern w:val="2"/>
          <w:sz w:val="21"/>
          <w:szCs w:val="21"/>
          <w:lang w:eastAsia="zh-CN"/>
        </w:rPr>
        <w:t>.2投标人如对招标文件内容有疑问，应当在招标公告规定的澄清（提问）截止时间前将疑问内容加盖公章书面提交至政府集中采购机构。</w:t>
      </w:r>
    </w:p>
    <w:p w14:paraId="672184AF">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w:t>
      </w:r>
      <w:r>
        <w:rPr>
          <w:rFonts w:ascii="宋体" w:hAnsi="宋体" w:eastAsia="宋体"/>
          <w:kern w:val="2"/>
          <w:sz w:val="21"/>
          <w:szCs w:val="21"/>
          <w:lang w:eastAsia="zh-CN"/>
        </w:rPr>
        <w:t>2</w:t>
      </w:r>
      <w:r>
        <w:rPr>
          <w:rFonts w:hint="eastAsia" w:ascii="宋体" w:hAnsi="宋体" w:eastAsia="宋体"/>
          <w:kern w:val="2"/>
          <w:sz w:val="21"/>
          <w:szCs w:val="21"/>
          <w:lang w:eastAsia="zh-CN"/>
        </w:rPr>
        <w:t>.3不论是政府集中采购机构根据需要主动对招标文件进行必要的澄清或是根据投标人的要求对招标文件做出澄清，政府集中采购机构都将在投标截止日期前以书面形式（包括政府集中采购机构网站发布方式）答复或发送给所有投标人。答复内容是招标文件的组成部分，对投标人起约束作用，其有效性按照本通用条款第1</w:t>
      </w:r>
      <w:r>
        <w:rPr>
          <w:rFonts w:ascii="宋体" w:hAnsi="宋体" w:eastAsia="宋体"/>
          <w:kern w:val="2"/>
          <w:sz w:val="21"/>
          <w:szCs w:val="21"/>
          <w:lang w:eastAsia="zh-CN"/>
        </w:rPr>
        <w:t>3.3</w:t>
      </w:r>
      <w:r>
        <w:rPr>
          <w:rFonts w:hint="eastAsia" w:ascii="宋体" w:hAnsi="宋体" w:eastAsia="宋体"/>
          <w:kern w:val="2"/>
          <w:sz w:val="21"/>
          <w:szCs w:val="21"/>
          <w:lang w:eastAsia="zh-CN"/>
        </w:rPr>
        <w:t>、1</w:t>
      </w:r>
      <w:r>
        <w:rPr>
          <w:rFonts w:ascii="宋体" w:hAnsi="宋体" w:eastAsia="宋体"/>
          <w:kern w:val="2"/>
          <w:sz w:val="21"/>
          <w:szCs w:val="21"/>
          <w:lang w:eastAsia="zh-CN"/>
        </w:rPr>
        <w:t>3.4</w:t>
      </w:r>
      <w:r>
        <w:rPr>
          <w:rFonts w:hint="eastAsia" w:ascii="宋体" w:hAnsi="宋体" w:eastAsia="宋体"/>
          <w:kern w:val="2"/>
          <w:sz w:val="21"/>
          <w:szCs w:val="21"/>
          <w:lang w:eastAsia="zh-CN"/>
        </w:rPr>
        <w:t>款规定执行。</w:t>
      </w:r>
    </w:p>
    <w:p w14:paraId="143285AD">
      <w:pPr>
        <w:widowControl w:val="0"/>
        <w:ind w:firstLine="420" w:firstLineChars="200"/>
        <w:jc w:val="both"/>
        <w:rPr>
          <w:rFonts w:hint="eastAsia" w:ascii="黑体" w:hAnsi="宋体" w:eastAsia="黑体"/>
          <w:kern w:val="2"/>
          <w:sz w:val="21"/>
          <w:szCs w:val="21"/>
          <w:lang w:eastAsia="zh-CN"/>
        </w:rPr>
      </w:pPr>
      <w:r>
        <w:rPr>
          <w:rFonts w:ascii="黑体" w:hAnsi="宋体" w:eastAsia="黑体"/>
          <w:kern w:val="2"/>
          <w:sz w:val="21"/>
          <w:szCs w:val="21"/>
          <w:lang w:eastAsia="zh-CN"/>
        </w:rPr>
        <w:t>1</w:t>
      </w:r>
      <w:r>
        <w:rPr>
          <w:rFonts w:hint="eastAsia" w:ascii="黑体" w:hAnsi="宋体" w:eastAsia="黑体"/>
          <w:kern w:val="2"/>
          <w:sz w:val="21"/>
          <w:szCs w:val="21"/>
          <w:lang w:eastAsia="zh-CN"/>
        </w:rPr>
        <w:t>3．招标文件的修改</w:t>
      </w:r>
    </w:p>
    <w:p w14:paraId="5037BE14">
      <w:pPr>
        <w:widowControl w:val="0"/>
        <w:ind w:firstLine="420" w:firstLineChars="200"/>
        <w:jc w:val="both"/>
        <w:rPr>
          <w:rFonts w:hint="eastAsia" w:ascii="宋体" w:hAnsi="宋体" w:eastAsia="宋体"/>
          <w:kern w:val="2"/>
          <w:sz w:val="21"/>
          <w:szCs w:val="21"/>
          <w:lang w:eastAsia="zh-CN"/>
        </w:rPr>
      </w:pPr>
      <w:r>
        <w:rPr>
          <w:rFonts w:ascii="宋体" w:hAnsi="宋体" w:eastAsia="宋体"/>
          <w:kern w:val="2"/>
          <w:sz w:val="21"/>
          <w:szCs w:val="21"/>
          <w:lang w:eastAsia="zh-CN"/>
        </w:rPr>
        <w:t>1</w:t>
      </w:r>
      <w:r>
        <w:rPr>
          <w:rFonts w:hint="eastAsia" w:ascii="宋体" w:hAnsi="宋体" w:eastAsia="宋体"/>
          <w:kern w:val="2"/>
          <w:sz w:val="21"/>
          <w:szCs w:val="21"/>
          <w:lang w:eastAsia="zh-CN"/>
        </w:rPr>
        <w:t>3.1招标文件发出后，在投标截止日期前任何时候，确需要变更招标文件内容的，政府集中采购机构可主动或在解答投标人提出的澄清问题时对招标文件进行修改。</w:t>
      </w:r>
    </w:p>
    <w:p w14:paraId="042F3BE9">
      <w:pPr>
        <w:widowControl w:val="0"/>
        <w:ind w:firstLine="420" w:firstLineChars="200"/>
        <w:jc w:val="both"/>
        <w:rPr>
          <w:rFonts w:hint="eastAsia" w:ascii="宋体" w:hAnsi="宋体" w:eastAsia="宋体"/>
          <w:kern w:val="2"/>
          <w:sz w:val="21"/>
          <w:szCs w:val="21"/>
          <w:lang w:eastAsia="zh-CN"/>
        </w:rPr>
      </w:pPr>
      <w:r>
        <w:rPr>
          <w:rFonts w:ascii="宋体" w:hAnsi="宋体" w:eastAsia="宋体"/>
          <w:kern w:val="2"/>
          <w:sz w:val="21"/>
          <w:szCs w:val="21"/>
          <w:lang w:eastAsia="zh-CN"/>
        </w:rPr>
        <w:t>1</w:t>
      </w:r>
      <w:r>
        <w:rPr>
          <w:rFonts w:hint="eastAsia" w:ascii="宋体" w:hAnsi="宋体" w:eastAsia="宋体"/>
          <w:kern w:val="2"/>
          <w:sz w:val="21"/>
          <w:szCs w:val="21"/>
          <w:lang w:eastAsia="zh-CN"/>
        </w:rPr>
        <w:t>3.2招标文件的修改以书面形式（包括政府集中采购机构网站发布方式，如更正公告等）发送给所有投标人，招标文件的修改内容作为招标文件的组成部分，并具有约束力。</w:t>
      </w:r>
    </w:p>
    <w:p w14:paraId="4CC24C77">
      <w:pPr>
        <w:widowControl w:val="0"/>
        <w:ind w:firstLine="420" w:firstLineChars="200"/>
        <w:jc w:val="both"/>
        <w:rPr>
          <w:rFonts w:hint="eastAsia" w:ascii="宋体" w:hAnsi="宋体" w:eastAsia="宋体"/>
          <w:kern w:val="2"/>
          <w:sz w:val="21"/>
          <w:szCs w:val="21"/>
          <w:lang w:eastAsia="zh-CN"/>
        </w:rPr>
      </w:pPr>
      <w:r>
        <w:rPr>
          <w:rFonts w:ascii="宋体" w:hAnsi="宋体" w:eastAsia="宋体"/>
          <w:kern w:val="2"/>
          <w:sz w:val="21"/>
          <w:szCs w:val="21"/>
          <w:lang w:eastAsia="zh-CN"/>
        </w:rPr>
        <w:t>1</w:t>
      </w:r>
      <w:r>
        <w:rPr>
          <w:rFonts w:hint="eastAsia" w:ascii="宋体" w:hAnsi="宋体" w:eastAsia="宋体"/>
          <w:kern w:val="2"/>
          <w:sz w:val="21"/>
          <w:szCs w:val="21"/>
          <w:lang w:eastAsia="zh-CN"/>
        </w:rPr>
        <w:t>3.3招标文件、招标文件澄清答复内容、招标文件修改补充内容均以书面形式（包括政府集中采购机构网站公开发布方式，如更正公告等）明确的内容为准。当招标文件、修改补充通知、招标文件澄清答复内容相互矛盾时，以最后发出的内容为准。</w:t>
      </w:r>
    </w:p>
    <w:p w14:paraId="4C8EBCA6">
      <w:pPr>
        <w:widowControl w:val="0"/>
        <w:ind w:firstLine="420" w:firstLineChars="200"/>
        <w:jc w:val="both"/>
        <w:rPr>
          <w:rFonts w:hint="eastAsia" w:ascii="宋体" w:hAnsi="宋体" w:eastAsia="宋体"/>
          <w:kern w:val="2"/>
          <w:sz w:val="21"/>
          <w:szCs w:val="21"/>
          <w:lang w:eastAsia="zh-CN"/>
        </w:rPr>
      </w:pPr>
      <w:r>
        <w:rPr>
          <w:rFonts w:ascii="宋体" w:hAnsi="宋体" w:eastAsia="宋体"/>
          <w:kern w:val="2"/>
          <w:sz w:val="21"/>
          <w:szCs w:val="21"/>
          <w:lang w:eastAsia="zh-CN"/>
        </w:rPr>
        <w:t>1</w:t>
      </w:r>
      <w:r>
        <w:rPr>
          <w:rFonts w:hint="eastAsia" w:ascii="宋体" w:hAnsi="宋体" w:eastAsia="宋体"/>
          <w:kern w:val="2"/>
          <w:sz w:val="21"/>
          <w:szCs w:val="21"/>
          <w:lang w:eastAsia="zh-CN"/>
        </w:rPr>
        <w:t>3.4政府集中采购机构保证招标文件澄清答复内容和招标文件修改补充内容在投标截止时间前以书面形式（包括政府集中采购机构网站发布方式，如更正公告等）发送给所有投标人。为使投标人在编制投标文件时有充分时间对招标文件的修改部分进行研究，政府集中采购机构可以酌情延长递交投标文件的截止日期。</w:t>
      </w:r>
      <w:bookmarkEnd w:id="50"/>
    </w:p>
    <w:p w14:paraId="3828BE31">
      <w:pPr>
        <w:widowControl w:val="0"/>
        <w:jc w:val="both"/>
        <w:rPr>
          <w:rFonts w:hint="eastAsia" w:ascii="宋体" w:hAnsi="宋体" w:eastAsia="宋体"/>
          <w:kern w:val="2"/>
          <w:sz w:val="21"/>
          <w:szCs w:val="21"/>
          <w:lang w:eastAsia="zh-CN"/>
        </w:rPr>
      </w:pPr>
    </w:p>
    <w:p w14:paraId="3DE59810">
      <w:pPr>
        <w:keepNext/>
        <w:keepLines/>
        <w:widowControl w:val="0"/>
        <w:numPr>
          <w:ilvl w:val="0"/>
          <w:numId w:val="4"/>
        </w:numPr>
        <w:tabs>
          <w:tab w:val="left" w:pos="720"/>
        </w:tabs>
        <w:adjustRightInd w:val="0"/>
        <w:spacing w:before="120" w:beforeLines="50" w:after="120" w:afterLines="50"/>
        <w:ind w:left="1080" w:hanging="1080" w:firstLineChars="0"/>
        <w:jc w:val="center"/>
        <w:textAlignment w:val="baseline"/>
        <w:outlineLvl w:val="1"/>
        <w:rPr>
          <w:rFonts w:ascii="Cambria" w:hAnsi="Cambria" w:eastAsia="宋体"/>
          <w:b/>
          <w:bCs/>
          <w:kern w:val="2"/>
          <w:sz w:val="28"/>
          <w:szCs w:val="28"/>
          <w:lang w:eastAsia="zh-CN"/>
        </w:rPr>
      </w:pPr>
      <w:r>
        <w:rPr>
          <w:rFonts w:hint="eastAsia" w:ascii="Cambria" w:hAnsi="Cambria" w:eastAsia="宋体" w:cstheme="majorBidi"/>
          <w:b/>
          <w:bCs/>
          <w:kern w:val="2"/>
          <w:sz w:val="28"/>
          <w:szCs w:val="28"/>
          <w:lang w:eastAsia="zh-CN"/>
        </w:rPr>
        <w:t>投标文件的编制</w:t>
      </w:r>
    </w:p>
    <w:p w14:paraId="66C78362">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14．</w:t>
      </w:r>
      <w:bookmarkStart w:id="51" w:name="_Hlk72400236"/>
      <w:r>
        <w:rPr>
          <w:rFonts w:hint="eastAsia" w:ascii="黑体" w:hAnsi="宋体" w:eastAsia="黑体"/>
          <w:kern w:val="2"/>
          <w:sz w:val="21"/>
          <w:szCs w:val="21"/>
          <w:lang w:eastAsia="zh-CN"/>
        </w:rPr>
        <w:t>投标文件的语言及度量单位</w:t>
      </w:r>
    </w:p>
    <w:p w14:paraId="3647D882">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14.1 投标人与政府集中采购机构之间与投标有关的所有往来通知、函件和投标文件均用中文表述。投标人随投标文件提供的证明文件和资料可以为其他语言，但必须附中文译文。翻译的中文资料与外文资料如果出现差异时，以中文为准，但翻译错误的除外。</w:t>
      </w:r>
    </w:p>
    <w:p w14:paraId="0E4F5998">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14.2 除技术规范另有规定外，投标文件使用的度量单位，均采用中华人民共和国法定计量单位。</w:t>
      </w:r>
    </w:p>
    <w:bookmarkEnd w:id="51"/>
    <w:p w14:paraId="3282527C">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15．</w:t>
      </w:r>
      <w:bookmarkStart w:id="52" w:name="_Hlk72401567"/>
      <w:r>
        <w:rPr>
          <w:rFonts w:hint="eastAsia" w:ascii="黑体" w:hAnsi="宋体" w:eastAsia="黑体"/>
          <w:kern w:val="2"/>
          <w:sz w:val="21"/>
          <w:szCs w:val="21"/>
          <w:lang w:eastAsia="zh-CN"/>
        </w:rPr>
        <w:t>投标文件的组成</w:t>
      </w:r>
    </w:p>
    <w:p w14:paraId="6A04B40B">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具体内容在招标文件专用条款中进行规定。</w:t>
      </w:r>
    </w:p>
    <w:p w14:paraId="6075308F">
      <w:pPr>
        <w:widowControl w:val="0"/>
        <w:ind w:firstLine="420" w:firstLineChars="200"/>
        <w:jc w:val="both"/>
        <w:rPr>
          <w:rFonts w:hint="eastAsia" w:ascii="黑体" w:hAnsi="宋体" w:eastAsia="黑体"/>
          <w:kern w:val="2"/>
          <w:sz w:val="21"/>
          <w:szCs w:val="21"/>
          <w:lang w:eastAsia="zh-CN"/>
        </w:rPr>
      </w:pPr>
      <w:r>
        <w:rPr>
          <w:rFonts w:ascii="黑体" w:hAnsi="宋体" w:eastAsia="黑体"/>
          <w:kern w:val="2"/>
          <w:sz w:val="21"/>
          <w:szCs w:val="21"/>
          <w:lang w:eastAsia="zh-CN"/>
        </w:rPr>
        <w:t>16．投标文件格式</w:t>
      </w:r>
    </w:p>
    <w:p w14:paraId="24DC21EE">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投标文件包括本通用条款第</w:t>
      </w:r>
      <w:r>
        <w:rPr>
          <w:rFonts w:ascii="宋体" w:hAnsi="宋体" w:eastAsia="宋体"/>
          <w:kern w:val="2"/>
          <w:sz w:val="21"/>
          <w:szCs w:val="21"/>
          <w:lang w:eastAsia="zh-CN"/>
        </w:rPr>
        <w:t>15条中规定的内容。如</w:t>
      </w:r>
      <w:r>
        <w:rPr>
          <w:rFonts w:hint="eastAsia" w:ascii="宋体" w:hAnsi="宋体" w:eastAsia="宋体"/>
          <w:kern w:val="2"/>
          <w:sz w:val="21"/>
          <w:szCs w:val="21"/>
          <w:lang w:eastAsia="zh-CN"/>
        </w:rPr>
        <w:t>招标</w:t>
      </w:r>
      <w:r>
        <w:rPr>
          <w:rFonts w:ascii="宋体" w:hAnsi="宋体" w:eastAsia="宋体"/>
          <w:kern w:val="2"/>
          <w:sz w:val="21"/>
          <w:szCs w:val="21"/>
          <w:lang w:eastAsia="zh-CN"/>
        </w:rPr>
        <w:t>文件提供了投标文件格式，则</w:t>
      </w:r>
      <w:r>
        <w:rPr>
          <w:rFonts w:hint="eastAsia" w:ascii="宋体" w:hAnsi="宋体" w:eastAsia="宋体"/>
          <w:b/>
          <w:bCs/>
          <w:kern w:val="2"/>
          <w:sz w:val="21"/>
          <w:szCs w:val="21"/>
          <w:lang w:eastAsia="zh-CN"/>
        </w:rPr>
        <w:t>投标人提交的投标文件应毫无例外地使用招标文件所提供的相应格式</w:t>
      </w:r>
      <w:r>
        <w:rPr>
          <w:rFonts w:hint="eastAsia" w:ascii="宋体" w:hAnsi="宋体" w:eastAsia="宋体"/>
          <w:kern w:val="2"/>
          <w:sz w:val="21"/>
          <w:szCs w:val="21"/>
          <w:lang w:eastAsia="zh-CN"/>
        </w:rPr>
        <w:t>（表格均可按同样格式扩展）。</w:t>
      </w:r>
    </w:p>
    <w:p w14:paraId="4EB5EA70">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17．投标货币</w:t>
      </w:r>
    </w:p>
    <w:p w14:paraId="15D7E878">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本项目的投标报价应以人民币计。</w:t>
      </w:r>
    </w:p>
    <w:bookmarkEnd w:id="52"/>
    <w:p w14:paraId="073CB635">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18．</w:t>
      </w:r>
      <w:bookmarkStart w:id="53" w:name="_Hlk72401735"/>
      <w:r>
        <w:rPr>
          <w:rFonts w:hint="eastAsia" w:ascii="黑体" w:hAnsi="宋体" w:eastAsia="黑体"/>
          <w:kern w:val="2"/>
          <w:sz w:val="21"/>
          <w:szCs w:val="21"/>
          <w:lang w:eastAsia="zh-CN"/>
        </w:rPr>
        <w:t>证明投标文件投标技术方案的合格性和符合招标文件规定的文件要求</w:t>
      </w:r>
    </w:p>
    <w:p w14:paraId="202F3EBC">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18</w:t>
      </w:r>
      <w:r>
        <w:rPr>
          <w:rFonts w:ascii="宋体" w:hAnsi="宋体" w:eastAsia="宋体"/>
          <w:kern w:val="2"/>
          <w:sz w:val="21"/>
          <w:szCs w:val="21"/>
          <w:lang w:eastAsia="zh-CN"/>
        </w:rPr>
        <w:t xml:space="preserve">.1 </w:t>
      </w:r>
      <w:r>
        <w:rPr>
          <w:rFonts w:hint="eastAsia" w:ascii="宋体" w:hAnsi="宋体" w:eastAsia="宋体"/>
          <w:kern w:val="2"/>
          <w:sz w:val="21"/>
          <w:szCs w:val="21"/>
          <w:lang w:eastAsia="zh-CN"/>
        </w:rPr>
        <w:t>投标人应提交证明文件，证明其投标技术方案项下的货物和服务的合格性符合招标文件规定。该投标技术方案及其证明文件均作为投标文件组成部分。</w:t>
      </w:r>
    </w:p>
    <w:p w14:paraId="66AD6F71">
      <w:pPr>
        <w:widowControl w:val="0"/>
        <w:ind w:firstLine="420" w:firstLineChars="200"/>
        <w:jc w:val="both"/>
        <w:rPr>
          <w:rFonts w:hint="eastAsia" w:ascii="宋体" w:hAnsi="宋体" w:eastAsia="宋体"/>
          <w:kern w:val="2"/>
          <w:sz w:val="21"/>
          <w:szCs w:val="21"/>
          <w:lang w:eastAsia="zh-CN"/>
        </w:rPr>
      </w:pPr>
      <w:r>
        <w:rPr>
          <w:rFonts w:ascii="宋体" w:hAnsi="宋体" w:eastAsia="宋体"/>
          <w:kern w:val="2"/>
          <w:sz w:val="21"/>
          <w:szCs w:val="21"/>
          <w:lang w:eastAsia="zh-CN"/>
        </w:rPr>
        <w:t>1</w:t>
      </w:r>
      <w:r>
        <w:rPr>
          <w:rFonts w:hint="eastAsia" w:ascii="宋体" w:hAnsi="宋体" w:eastAsia="宋体"/>
          <w:kern w:val="2"/>
          <w:sz w:val="21"/>
          <w:szCs w:val="21"/>
          <w:lang w:eastAsia="zh-CN"/>
        </w:rPr>
        <w:t>8</w:t>
      </w:r>
      <w:r>
        <w:rPr>
          <w:rFonts w:ascii="宋体" w:hAnsi="宋体" w:eastAsia="宋体"/>
          <w:kern w:val="2"/>
          <w:sz w:val="21"/>
          <w:szCs w:val="21"/>
          <w:lang w:eastAsia="zh-CN"/>
        </w:rPr>
        <w:t xml:space="preserve">.2 </w:t>
      </w:r>
      <w:r>
        <w:rPr>
          <w:rFonts w:hint="eastAsia" w:ascii="宋体" w:hAnsi="宋体" w:eastAsia="宋体"/>
          <w:kern w:val="2"/>
          <w:sz w:val="21"/>
          <w:szCs w:val="21"/>
          <w:lang w:eastAsia="zh-CN"/>
        </w:rPr>
        <w:t>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14:paraId="5267A0E8">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18.2.1主要技术指标和性能的详细说明。</w:t>
      </w:r>
    </w:p>
    <w:p w14:paraId="484FA725">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18.2.</w:t>
      </w:r>
      <w:r>
        <w:rPr>
          <w:rFonts w:ascii="宋体" w:hAnsi="宋体" w:eastAsia="宋体"/>
          <w:kern w:val="2"/>
          <w:sz w:val="21"/>
          <w:szCs w:val="21"/>
          <w:lang w:eastAsia="zh-CN"/>
        </w:rPr>
        <w:t>2</w:t>
      </w:r>
      <w:r>
        <w:rPr>
          <w:rFonts w:hint="eastAsia" w:ascii="宋体" w:hAnsi="宋体" w:eastAsia="宋体"/>
          <w:kern w:val="2"/>
          <w:sz w:val="21"/>
          <w:szCs w:val="21"/>
          <w:lang w:eastAsia="zh-CN"/>
        </w:rPr>
        <w:t>投标产品从采购人开始使用至招标文件中规定的周期内正常、连续地使用所必须的备件和专用工具清单，包括备件和专用工具的货源及现行价格。</w:t>
      </w:r>
    </w:p>
    <w:p w14:paraId="4BAC4FEE">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18.2.</w:t>
      </w:r>
      <w:r>
        <w:rPr>
          <w:rFonts w:ascii="宋体" w:hAnsi="宋体" w:eastAsia="宋体"/>
          <w:kern w:val="2"/>
          <w:sz w:val="21"/>
          <w:szCs w:val="21"/>
          <w:lang w:eastAsia="zh-CN"/>
        </w:rPr>
        <w:t>3</w:t>
      </w:r>
      <w:r>
        <w:rPr>
          <w:rFonts w:hint="eastAsia" w:ascii="宋体" w:hAnsi="宋体" w:eastAsia="宋体"/>
          <w:kern w:val="2"/>
          <w:sz w:val="21"/>
          <w:szCs w:val="21"/>
          <w:lang w:eastAsia="zh-CN"/>
        </w:rPr>
        <w:t>对照招标文件技术规格，逐条说明投标技术方案已对采购人的技术规格做出了实质性的响应，或申明与技术规格条文的偏差和例外。投标人应详细说明投标技术方案中产品的具体参数，不得不合理照搬照抄招标文件的技术要求。</w:t>
      </w:r>
    </w:p>
    <w:p w14:paraId="653C6494">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w:t>
      </w:r>
      <w:r>
        <w:rPr>
          <w:rFonts w:hint="eastAsia" w:eastAsia="宋体"/>
          <w:kern w:val="2"/>
          <w:sz w:val="21"/>
          <w:szCs w:val="21"/>
          <w:lang w:eastAsia="zh-CN"/>
        </w:rPr>
        <w:t>清晰度要求能够使用电脑阅读、识别和判断</w:t>
      </w:r>
      <w:r>
        <w:rPr>
          <w:rFonts w:hint="eastAsia" w:ascii="宋体" w:hAnsi="宋体" w:eastAsia="宋体"/>
          <w:kern w:val="2"/>
          <w:sz w:val="21"/>
          <w:szCs w:val="21"/>
          <w:lang w:eastAsia="zh-CN"/>
        </w:rPr>
        <w:t>；</w:t>
      </w:r>
    </w:p>
    <w:p w14:paraId="07FB36D7">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18.2.5我国政府机构出具的产品检验和核准证件应为证件正面、背面和附件标注的全部具体内容；产品检验和核准证件的尺寸和清晰度应该能够在电脑上被阅读、识别和判断，提供原件扫描件。</w:t>
      </w:r>
    </w:p>
    <w:p w14:paraId="2BA82182">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18.3相关资料不符合18.2款要求的，评审委员会有权认定为投标技术方案不合格响应，其相关分数予以扣减或作投标无效处理。</w:t>
      </w:r>
    </w:p>
    <w:p w14:paraId="458EB356">
      <w:pPr>
        <w:widowControl w:val="0"/>
        <w:ind w:firstLine="420" w:firstLineChars="200"/>
        <w:jc w:val="both"/>
        <w:rPr>
          <w:rFonts w:hint="eastAsia" w:ascii="宋体" w:hAnsi="宋体" w:eastAsia="宋体"/>
          <w:kern w:val="2"/>
          <w:sz w:val="21"/>
          <w:szCs w:val="21"/>
          <w:lang w:eastAsia="zh-CN"/>
        </w:rPr>
      </w:pPr>
      <w:r>
        <w:rPr>
          <w:rFonts w:ascii="宋体" w:hAnsi="宋体" w:eastAsia="宋体"/>
          <w:kern w:val="2"/>
          <w:sz w:val="21"/>
          <w:szCs w:val="21"/>
          <w:lang w:eastAsia="zh-CN"/>
        </w:rPr>
        <w:t>1</w:t>
      </w:r>
      <w:r>
        <w:rPr>
          <w:rFonts w:hint="eastAsia" w:ascii="宋体" w:hAnsi="宋体" w:eastAsia="宋体"/>
          <w:kern w:val="2"/>
          <w:sz w:val="21"/>
          <w:szCs w:val="21"/>
          <w:lang w:eastAsia="zh-CN"/>
        </w:rPr>
        <w:t>8</w:t>
      </w:r>
      <w:r>
        <w:rPr>
          <w:rFonts w:ascii="宋体" w:hAnsi="宋体" w:eastAsia="宋体"/>
          <w:kern w:val="2"/>
          <w:sz w:val="21"/>
          <w:szCs w:val="21"/>
          <w:lang w:eastAsia="zh-CN"/>
        </w:rPr>
        <w:t>.</w:t>
      </w:r>
      <w:r>
        <w:rPr>
          <w:rFonts w:hint="eastAsia" w:ascii="宋体" w:hAnsi="宋体" w:eastAsia="宋体"/>
          <w:kern w:val="2"/>
          <w:sz w:val="21"/>
          <w:szCs w:val="21"/>
          <w:lang w:eastAsia="zh-CN"/>
        </w:rPr>
        <w:t>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招标文件中技术规格的要求，是否</w:t>
      </w:r>
      <w:r>
        <w:rPr>
          <w:rFonts w:hint="eastAsia" w:eastAsia="宋体"/>
          <w:kern w:val="2"/>
          <w:sz w:val="21"/>
          <w:szCs w:val="21"/>
          <w:lang w:eastAsia="zh-CN"/>
        </w:rPr>
        <w:t>满足要求</w:t>
      </w:r>
      <w:r>
        <w:rPr>
          <w:rFonts w:hint="eastAsia" w:ascii="宋体" w:hAnsi="宋体" w:eastAsia="宋体"/>
          <w:kern w:val="2"/>
          <w:sz w:val="21"/>
          <w:szCs w:val="21"/>
          <w:lang w:eastAsia="zh-CN"/>
        </w:rPr>
        <w:t>，由评审委员会来评判。</w:t>
      </w:r>
    </w:p>
    <w:p w14:paraId="25F747B7">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18.5除非另有规定或说明，投标人对同一项目投标时，不得同时提供两套或两套以上的投标方案。</w:t>
      </w:r>
    </w:p>
    <w:bookmarkEnd w:id="53"/>
    <w:p w14:paraId="65FEBA9D">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19．</w:t>
      </w:r>
      <w:bookmarkStart w:id="54" w:name="_Hlk72402034"/>
      <w:r>
        <w:rPr>
          <w:rFonts w:hint="eastAsia" w:ascii="黑体" w:hAnsi="宋体" w:eastAsia="黑体"/>
          <w:kern w:val="2"/>
          <w:sz w:val="21"/>
          <w:szCs w:val="21"/>
          <w:lang w:eastAsia="zh-CN"/>
        </w:rPr>
        <w:t>投标文件其他证明文件的要求</w:t>
      </w:r>
    </w:p>
    <w:p w14:paraId="3D43F015">
      <w:pPr>
        <w:widowControl w:val="0"/>
        <w:ind w:firstLine="420" w:firstLineChars="200"/>
        <w:jc w:val="both"/>
        <w:rPr>
          <w:rFonts w:hint="eastAsia" w:ascii="宋体" w:hAnsi="宋体" w:eastAsia="宋体"/>
          <w:color w:val="FF0000"/>
          <w:kern w:val="2"/>
          <w:sz w:val="21"/>
          <w:szCs w:val="21"/>
          <w:lang w:eastAsia="zh-CN"/>
        </w:rPr>
      </w:pPr>
      <w:r>
        <w:rPr>
          <w:rFonts w:hint="eastAsia" w:ascii="宋体" w:hAnsi="宋体" w:eastAsia="宋体"/>
          <w:kern w:val="2"/>
          <w:sz w:val="21"/>
          <w:szCs w:val="21"/>
          <w:lang w:eastAsia="zh-CN"/>
        </w:rPr>
        <w:t>19.1采用综合评分法的项目，对项目招标文件《评标信息》评分项中涉及的相关业绩、社保情况等内容以及《资格性审查表》和《符合性审查表》中涉及的证明材料，投标人应提供相关部门出具的证明材料扫描件或照片，原件备查。有关扫描件（或照片）的尺寸和清晰度要求能够使用电脑阅读、识别和判断。若投标人未按要求提供证明材料或提供的是部分证明材料或提供不清晰的扫描件（或照片）的，评审委员会有权认定其投标文件未对招标文件有关需求进行响应，涉及资格性检查或符合性检查的予以投标无效处理，涉及《评标信息》打分项的则该项评分予以0分处理。评审委员会对供应商投标资料是否异常、是否有效问题进行核查和判定，如认为供应商投标资料有异常或无效的，若涉及资格性审查或符合性审查条款的，则应作投标无效处理；若涉及评分的，则作不得分处理。</w:t>
      </w:r>
      <w:bookmarkStart w:id="55" w:name="_Hlk71407299"/>
    </w:p>
    <w:bookmarkEnd w:id="55"/>
    <w:p w14:paraId="16B9BE3B">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14:paraId="398CF343">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20．投标有效期</w:t>
      </w:r>
    </w:p>
    <w:bookmarkEnd w:id="54"/>
    <w:p w14:paraId="3CFDC1EF">
      <w:pPr>
        <w:widowControl w:val="0"/>
        <w:ind w:firstLine="420" w:firstLineChars="200"/>
        <w:jc w:val="both"/>
        <w:rPr>
          <w:rFonts w:hint="eastAsia" w:ascii="宋体" w:hAnsi="宋体" w:eastAsia="宋体"/>
          <w:kern w:val="2"/>
          <w:sz w:val="21"/>
          <w:szCs w:val="21"/>
          <w:lang w:eastAsia="zh-CN"/>
        </w:rPr>
      </w:pPr>
      <w:bookmarkStart w:id="56" w:name="_Hlk72402214"/>
      <w:r>
        <w:rPr>
          <w:rFonts w:hint="eastAsia" w:ascii="宋体" w:hAnsi="宋体" w:eastAsia="宋体"/>
          <w:kern w:val="2"/>
          <w:sz w:val="21"/>
          <w:szCs w:val="21"/>
          <w:lang w:eastAsia="zh-CN"/>
        </w:rPr>
        <w:t>20.1 投标有效期为</w:t>
      </w:r>
      <w:r>
        <w:rPr>
          <w:rFonts w:hint="eastAsia" w:ascii="Arial" w:hAnsi="Arial" w:eastAsia="宋体" w:cs="Arial"/>
          <w:kern w:val="2"/>
          <w:sz w:val="21"/>
          <w:szCs w:val="21"/>
          <w:lang w:eastAsia="zh-CN"/>
        </w:rPr>
        <w:t>从投标截止之日算起的日历天数。</w:t>
      </w:r>
      <w:r>
        <w:rPr>
          <w:rFonts w:hint="eastAsia" w:ascii="宋体" w:hAnsi="宋体" w:eastAsia="宋体"/>
          <w:kern w:val="2"/>
          <w:sz w:val="21"/>
          <w:szCs w:val="21"/>
          <w:lang w:eastAsia="zh-CN"/>
        </w:rPr>
        <w:t>在此期限内，所有投标文件均保持有效。</w:t>
      </w:r>
    </w:p>
    <w:p w14:paraId="52077B12">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20.2 在特殊情况下，政府集中采购机构在原定的投标有效期满之前，政府集中采购机构可以根据需要以书面形式（包括政府集中采购机构网站公开发布方式）向投标人提出延长投标有效期的要求，对此要求投标人须以书面形式予以答复，投标人可以拒绝政府集中采购机构此项要求，其投标在原投标有效期满后不再有效。同意延长投标有效期的投标人不能要求也不允许修改其投标文件。</w:t>
      </w:r>
    </w:p>
    <w:p w14:paraId="0AEBE7B6">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20</w:t>
      </w:r>
      <w:r>
        <w:rPr>
          <w:rFonts w:ascii="宋体" w:hAnsi="宋体" w:eastAsia="宋体"/>
          <w:kern w:val="2"/>
          <w:sz w:val="21"/>
          <w:szCs w:val="21"/>
          <w:lang w:eastAsia="zh-CN"/>
        </w:rPr>
        <w:t>.3</w:t>
      </w:r>
      <w:r>
        <w:rPr>
          <w:rFonts w:hint="eastAsia" w:ascii="宋体" w:hAnsi="宋体" w:eastAsia="宋体"/>
          <w:kern w:val="2"/>
          <w:sz w:val="21"/>
          <w:szCs w:val="21"/>
          <w:lang w:eastAsia="zh-CN"/>
        </w:rPr>
        <w:t xml:space="preserve"> 中标供应商的投标文件有效期，截止于完成本招标文件规定的全部项目内容，并通过竣工验收及保修期结束。</w:t>
      </w:r>
    </w:p>
    <w:bookmarkEnd w:id="56"/>
    <w:p w14:paraId="27ECF975">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21．</w:t>
      </w:r>
      <w:bookmarkStart w:id="57" w:name="_Hlk72402325"/>
      <w:r>
        <w:rPr>
          <w:rFonts w:hint="eastAsia" w:ascii="黑体" w:hAnsi="宋体" w:eastAsia="黑体"/>
          <w:kern w:val="2"/>
          <w:sz w:val="21"/>
          <w:szCs w:val="21"/>
          <w:lang w:eastAsia="zh-CN"/>
        </w:rPr>
        <w:t xml:space="preserve">关于投标保证金 </w:t>
      </w:r>
    </w:p>
    <w:p w14:paraId="5DBB7E09">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21.1</w:t>
      </w:r>
      <w:r>
        <w:rPr>
          <w:rFonts w:hint="eastAsia" w:eastAsia="宋体"/>
          <w:kern w:val="2"/>
          <w:sz w:val="21"/>
          <w:szCs w:val="21"/>
          <w:lang w:eastAsia="zh-CN"/>
        </w:rPr>
        <w:t>根据《深圳市财政局关于调整政府采购投标（响应）保证金管理政策的通知》（深财购〔2021〕51号）文的规定，本项目不收取投标保证金。</w:t>
      </w:r>
    </w:p>
    <w:p w14:paraId="2395E4CD">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22．投标人的替代方案</w:t>
      </w:r>
    </w:p>
    <w:p w14:paraId="6FD19B56">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22.1投标人所提交的投标文件应完全满足招标文件（包括图纸和技术规范所示的基本技术设计）的要求。除非项目明确允许投标人提交替代方案，否则投标人有关替代方案的条款将初审不通过，作投标无效处理。</w:t>
      </w:r>
    </w:p>
    <w:p w14:paraId="0705E13C">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22.2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他详细资料。</w:t>
      </w:r>
    </w:p>
    <w:bookmarkEnd w:id="57"/>
    <w:p w14:paraId="684D7528">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23．</w:t>
      </w:r>
      <w:bookmarkStart w:id="58" w:name="_Hlk72402860"/>
      <w:r>
        <w:rPr>
          <w:rFonts w:ascii="黑体" w:hAnsi="宋体" w:eastAsia="黑体"/>
          <w:kern w:val="2"/>
          <w:sz w:val="21"/>
          <w:szCs w:val="21"/>
          <w:lang w:eastAsia="zh-CN"/>
        </w:rPr>
        <w:t>投标文件的</w:t>
      </w:r>
      <w:r>
        <w:rPr>
          <w:rFonts w:hint="eastAsia" w:ascii="黑体" w:hAnsi="宋体" w:eastAsia="黑体"/>
          <w:kern w:val="2"/>
          <w:sz w:val="21"/>
          <w:szCs w:val="21"/>
          <w:lang w:eastAsia="zh-CN"/>
        </w:rPr>
        <w:t>制作</w:t>
      </w:r>
      <w:r>
        <w:rPr>
          <w:rFonts w:ascii="黑体" w:hAnsi="宋体" w:eastAsia="黑体"/>
          <w:kern w:val="2"/>
          <w:sz w:val="21"/>
          <w:szCs w:val="21"/>
          <w:lang w:eastAsia="zh-CN"/>
        </w:rPr>
        <w:t>要求</w:t>
      </w:r>
    </w:p>
    <w:p w14:paraId="1907A51A">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23.1投标人应准备所投项目的电子投标文件一份。</w:t>
      </w:r>
    </w:p>
    <w:p w14:paraId="7E508050">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23.2投标人在使用《投标书编制软件》编制投标书时须注意：</w:t>
      </w:r>
    </w:p>
    <w:p w14:paraId="7F782089">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23.2.1导入《投标书编制软件》的招标文件项目编号、包号应与以此制作的投标文件项目编号、包号一致。例如，不能将甲项目A包的招标书导入《投标书编制软件》，制作乙项目B包的投标书。</w:t>
      </w:r>
    </w:p>
    <w:p w14:paraId="2B7FA3B1">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23.2.2不能用非本公司的电子密钥加密本公司的投标文件，或者用其他公司的登录用户上传本公司的投标文件。</w:t>
      </w:r>
    </w:p>
    <w:p w14:paraId="4F0697D2">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23.2.3要求用《投标书编制软件》编制投标书的包，不能用其他方式编制投标书。编制投标文件时，电脑须连通互联网。</w:t>
      </w:r>
    </w:p>
    <w:p w14:paraId="05C6EC7A">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23.2.4投标文件不能带病毒。政府集中采购机构将用专业杀毒软件对投标文件进行病毒检测，如果软件报告发现病毒，则政府集中采购机构认为该投标文件带病毒。</w:t>
      </w:r>
    </w:p>
    <w:p w14:paraId="3F758261">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23.2.5投标人在编辑投标文件时，</w:t>
      </w:r>
      <w:r>
        <w:rPr>
          <w:rFonts w:hint="eastAsia" w:ascii="宋体" w:hAnsi="宋体" w:eastAsia="宋体"/>
          <w:b/>
          <w:kern w:val="2"/>
          <w:sz w:val="21"/>
          <w:szCs w:val="21"/>
          <w:lang w:eastAsia="zh-CN"/>
        </w:rPr>
        <w:t>在投标文件目录中属于本节点内容的必须在本节点中填写，填写到其他节点或附件，</w:t>
      </w:r>
      <w:r>
        <w:rPr>
          <w:rFonts w:hint="eastAsia" w:ascii="宋体" w:hAnsi="宋体" w:eastAsia="宋体"/>
          <w:kern w:val="2"/>
          <w:sz w:val="21"/>
          <w:szCs w:val="21"/>
          <w:lang w:eastAsia="zh-CN"/>
        </w:rPr>
        <w:t>一切后果由供应商自行承担。</w:t>
      </w:r>
    </w:p>
    <w:p w14:paraId="42A81D10">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23.2.6政府集中采购机构不接受投标截止时间后递交的纸质、电子、传真等所有形式的投标文件。由于对网上自行采购系统操作不熟悉或自身电脑、网络等原因导致不能在投标截止时间之前上传投标文件，政府集中采购机构概不负责。建议于开标前一个工作日完成投标文件的制作与上传，如上传确有困难，请及时咨询。</w:t>
      </w:r>
    </w:p>
    <w:p w14:paraId="67D088C5">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23.2.7如果开标时出现网络故障、技术故障，影响了采购活动，政府集中采购机构有权采取措施如延期、接受无法从网上上传的投标书等，以保障采购活动的公开、公平和公正。</w:t>
      </w:r>
    </w:p>
    <w:p w14:paraId="39ED50F8">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23.3电报、电话、传真形式的投标概不接受。</w:t>
      </w:r>
    </w:p>
    <w:p w14:paraId="6CFDE717">
      <w:pPr>
        <w:widowControl w:val="0"/>
        <w:ind w:firstLine="422" w:firstLineChars="200"/>
        <w:jc w:val="both"/>
        <w:rPr>
          <w:rFonts w:hint="eastAsia" w:ascii="宋体" w:hAnsi="宋体" w:eastAsia="宋体"/>
          <w:b/>
          <w:kern w:val="2"/>
          <w:sz w:val="21"/>
          <w:szCs w:val="21"/>
          <w:lang w:eastAsia="zh-CN"/>
        </w:rPr>
      </w:pPr>
      <w:r>
        <w:rPr>
          <w:rFonts w:hint="eastAsia" w:ascii="宋体" w:hAnsi="宋体" w:eastAsia="宋体"/>
          <w:b/>
          <w:kern w:val="2"/>
          <w:sz w:val="21"/>
          <w:szCs w:val="21"/>
          <w:lang w:eastAsia="zh-CN"/>
        </w:rPr>
        <w:t>23.4全流程线上投标的投标文件无须盖章或签字，</w:t>
      </w:r>
      <w:r>
        <w:rPr>
          <w:rFonts w:hint="eastAsia" w:ascii="宋体" w:hAnsi="宋体" w:eastAsia="宋体"/>
          <w:kern w:val="2"/>
          <w:sz w:val="21"/>
          <w:szCs w:val="21"/>
          <w:lang w:eastAsia="zh-CN"/>
        </w:rPr>
        <w:t>专用条款另有要求的除外。</w:t>
      </w:r>
    </w:p>
    <w:p w14:paraId="0AD9EA2F">
      <w:pPr>
        <w:widowControl w:val="0"/>
        <w:ind w:firstLine="422" w:firstLineChars="200"/>
        <w:jc w:val="both"/>
        <w:rPr>
          <w:rFonts w:hint="eastAsia" w:ascii="宋体" w:hAnsi="宋体" w:eastAsia="宋体"/>
          <w:kern w:val="2"/>
          <w:sz w:val="21"/>
          <w:lang w:eastAsia="zh-CN"/>
        </w:rPr>
      </w:pPr>
      <w:r>
        <w:rPr>
          <w:rFonts w:hint="eastAsia" w:ascii="宋体" w:hAnsi="宋体" w:eastAsia="宋体"/>
          <w:b/>
          <w:kern w:val="2"/>
          <w:sz w:val="21"/>
          <w:szCs w:val="21"/>
          <w:lang w:eastAsia="zh-CN"/>
        </w:rPr>
        <w:t>23.5</w:t>
      </w:r>
      <w:r>
        <w:rPr>
          <w:rFonts w:hint="eastAsia" w:ascii="宋体" w:hAnsi="宋体" w:eastAsia="宋体"/>
          <w:kern w:val="2"/>
          <w:sz w:val="21"/>
          <w:szCs w:val="21"/>
          <w:lang w:eastAsia="zh-CN"/>
        </w:rPr>
        <w:t xml:space="preserve"> 各类资格（资质）文件提供扫描件，专用条款另有要求的除外。</w:t>
      </w:r>
      <w:bookmarkEnd w:id="58"/>
    </w:p>
    <w:p w14:paraId="62706495">
      <w:pPr>
        <w:widowControl w:val="0"/>
        <w:ind w:firstLine="411" w:firstLineChars="196"/>
        <w:jc w:val="both"/>
        <w:rPr>
          <w:rFonts w:hint="eastAsia" w:ascii="宋体" w:hAnsi="宋体" w:eastAsia="宋体"/>
          <w:kern w:val="2"/>
          <w:sz w:val="21"/>
          <w:szCs w:val="21"/>
          <w:lang w:eastAsia="zh-CN"/>
        </w:rPr>
      </w:pPr>
    </w:p>
    <w:p w14:paraId="0D6F87D1">
      <w:pPr>
        <w:keepNext/>
        <w:keepLines/>
        <w:widowControl w:val="0"/>
        <w:numPr>
          <w:ilvl w:val="0"/>
          <w:numId w:val="4"/>
        </w:numPr>
        <w:tabs>
          <w:tab w:val="left" w:pos="720"/>
        </w:tabs>
        <w:adjustRightInd w:val="0"/>
        <w:spacing w:before="120" w:beforeLines="50" w:after="120" w:afterLines="50"/>
        <w:ind w:left="1080" w:hanging="1080" w:firstLineChars="0"/>
        <w:jc w:val="center"/>
        <w:textAlignment w:val="baseline"/>
        <w:outlineLvl w:val="1"/>
        <w:rPr>
          <w:rFonts w:ascii="Cambria" w:hAnsi="Cambria" w:eastAsia="宋体"/>
          <w:b/>
          <w:bCs/>
          <w:kern w:val="2"/>
          <w:sz w:val="28"/>
          <w:szCs w:val="28"/>
          <w:lang w:eastAsia="zh-CN"/>
        </w:rPr>
      </w:pPr>
      <w:r>
        <w:rPr>
          <w:rFonts w:hint="eastAsia" w:ascii="Cambria" w:hAnsi="Cambria" w:eastAsia="宋体" w:cstheme="majorBidi"/>
          <w:b/>
          <w:bCs/>
          <w:kern w:val="2"/>
          <w:sz w:val="28"/>
          <w:szCs w:val="28"/>
          <w:lang w:eastAsia="zh-CN"/>
        </w:rPr>
        <w:t>投标文件的递交</w:t>
      </w:r>
    </w:p>
    <w:p w14:paraId="7B422D95">
      <w:pPr>
        <w:widowControl w:val="0"/>
        <w:ind w:firstLine="420" w:firstLineChars="200"/>
        <w:jc w:val="both"/>
        <w:rPr>
          <w:rFonts w:hint="eastAsia" w:ascii="黑体" w:hAnsi="宋体" w:eastAsia="黑体"/>
          <w:kern w:val="2"/>
          <w:sz w:val="21"/>
          <w:szCs w:val="21"/>
          <w:lang w:eastAsia="zh-CN"/>
        </w:rPr>
      </w:pPr>
      <w:bookmarkStart w:id="59" w:name="_Hlk72405459"/>
      <w:r>
        <w:rPr>
          <w:rFonts w:hint="eastAsia" w:ascii="黑体" w:hAnsi="宋体" w:eastAsia="黑体"/>
          <w:kern w:val="2"/>
          <w:sz w:val="21"/>
          <w:szCs w:val="21"/>
          <w:lang w:eastAsia="zh-CN"/>
        </w:rPr>
        <w:t>24．投标文件的保密</w:t>
      </w:r>
    </w:p>
    <w:p w14:paraId="7F98647A">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24.1在投标文件制作完成后，生成后会选择是否加密投标文件，如不加密则直接点击生成文件即可，如需加密请插入CA锁，点击加密后生成文件，需输入CA锁密码即可加密成功。加密后会提示文件生成成功！(注意：加密的投标文件开标时须使用加密文件时使用的锁在项目规定时间内解密！)</w:t>
      </w:r>
    </w:p>
    <w:p w14:paraId="1BDE0C1A">
      <w:pPr>
        <w:widowControl w:val="0"/>
        <w:ind w:firstLine="422" w:firstLineChars="200"/>
        <w:jc w:val="both"/>
        <w:rPr>
          <w:rFonts w:hint="eastAsia" w:ascii="宋体" w:hAnsi="宋体" w:eastAsia="宋体"/>
          <w:b/>
          <w:kern w:val="2"/>
          <w:sz w:val="21"/>
          <w:szCs w:val="21"/>
          <w:lang w:eastAsia="zh-CN"/>
        </w:rPr>
      </w:pPr>
      <w:r>
        <w:rPr>
          <w:rFonts w:hint="eastAsia" w:ascii="宋体" w:hAnsi="宋体" w:eastAsia="宋体"/>
          <w:b/>
          <w:kern w:val="2"/>
          <w:sz w:val="21"/>
          <w:szCs w:val="21"/>
          <w:lang w:eastAsia="zh-CN"/>
        </w:rPr>
        <w:t>24.2若采购项目出现延期情况：</w:t>
      </w:r>
    </w:p>
    <w:p w14:paraId="5C3FDA8D">
      <w:pPr>
        <w:widowControl w:val="0"/>
        <w:ind w:firstLine="422" w:firstLineChars="200"/>
        <w:jc w:val="both"/>
        <w:rPr>
          <w:rFonts w:hint="eastAsia" w:ascii="黑体" w:hAnsi="宋体" w:eastAsia="黑体"/>
          <w:b/>
          <w:kern w:val="2"/>
          <w:sz w:val="21"/>
          <w:szCs w:val="21"/>
          <w:lang w:eastAsia="zh-CN"/>
        </w:rPr>
      </w:pPr>
      <w:r>
        <w:rPr>
          <w:rFonts w:hint="eastAsia" w:ascii="宋体" w:hAnsi="宋体" w:eastAsia="宋体"/>
          <w:b/>
          <w:kern w:val="2"/>
          <w:sz w:val="21"/>
          <w:szCs w:val="21"/>
          <w:lang w:eastAsia="zh-CN"/>
        </w:rPr>
        <w:t>如果供下载的招标文件有更新，投标人必须重新下载招标文件、重新制作投标文件、重新加密投标文件、重新上传投标文件。</w:t>
      </w:r>
    </w:p>
    <w:p w14:paraId="33821921">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25．上传投标文件及投标截止日期</w:t>
      </w:r>
    </w:p>
    <w:p w14:paraId="39A7951B">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25</w:t>
      </w:r>
      <w:r>
        <w:rPr>
          <w:rFonts w:ascii="宋体" w:hAnsi="宋体" w:eastAsia="宋体"/>
          <w:kern w:val="2"/>
          <w:sz w:val="21"/>
          <w:szCs w:val="21"/>
          <w:lang w:eastAsia="zh-CN"/>
        </w:rPr>
        <w:t>.</w:t>
      </w:r>
      <w:r>
        <w:rPr>
          <w:rFonts w:hint="eastAsia" w:ascii="宋体" w:hAnsi="宋体" w:eastAsia="宋体"/>
          <w:kern w:val="2"/>
          <w:sz w:val="21"/>
          <w:szCs w:val="21"/>
          <w:lang w:eastAsia="zh-CN"/>
        </w:rPr>
        <w:t>1实行网上投标，</w:t>
      </w:r>
      <w:r>
        <w:rPr>
          <w:rFonts w:ascii="宋体" w:hAnsi="宋体" w:eastAsia="宋体"/>
          <w:kern w:val="2"/>
          <w:sz w:val="21"/>
          <w:szCs w:val="21"/>
          <w:lang w:eastAsia="zh-CN"/>
        </w:rPr>
        <w:t>投标人必须</w:t>
      </w:r>
      <w:r>
        <w:rPr>
          <w:rFonts w:hint="eastAsia" w:ascii="宋体" w:hAnsi="宋体" w:eastAsia="宋体"/>
          <w:kern w:val="2"/>
          <w:sz w:val="21"/>
          <w:szCs w:val="21"/>
          <w:lang w:eastAsia="zh-CN"/>
        </w:rPr>
        <w:t>在招标</w:t>
      </w:r>
      <w:r>
        <w:rPr>
          <w:rFonts w:ascii="宋体" w:hAnsi="宋体" w:eastAsia="宋体"/>
          <w:kern w:val="2"/>
          <w:sz w:val="21"/>
          <w:szCs w:val="21"/>
          <w:lang w:eastAsia="zh-CN"/>
        </w:rPr>
        <w:t>文件规定的投标截止时间前</w:t>
      </w:r>
      <w:r>
        <w:rPr>
          <w:rFonts w:hint="eastAsia" w:ascii="宋体" w:hAnsi="宋体" w:eastAsia="宋体"/>
          <w:kern w:val="2"/>
          <w:sz w:val="21"/>
          <w:szCs w:val="21"/>
          <w:lang w:eastAsia="zh-CN"/>
        </w:rPr>
        <w:t>用电子密钥登录“深圳政府采购自行采购系统（https://trade.szggzy.com/ggzy/center/#/login）”上传投标文件。如上传过程中遇到问题，可拨打采购公告中的技术支持电话。如多次上传均告失败，请在投标截止时间之前携带加密后的电子投标文件送达至</w:t>
      </w:r>
      <w:r>
        <w:rPr>
          <w:rFonts w:hint="eastAsia" w:ascii="宋体" w:hAnsi="宋体" w:eastAsia="宋体"/>
          <w:b/>
          <w:bCs/>
          <w:kern w:val="2"/>
          <w:sz w:val="21"/>
          <w:szCs w:val="21"/>
          <w:lang w:eastAsia="zh-CN"/>
        </w:rPr>
        <w:t>深圳公共资源交易中心（深圳交易集团有限公司政府采购业务分公司）3楼服务大厅（地址：深圳市南山区沙河西路3185号南山智谷A座深圳交易集团总部大楼）</w:t>
      </w:r>
      <w:r>
        <w:rPr>
          <w:rFonts w:ascii="宋体" w:hAnsi="宋体" w:eastAsia="宋体"/>
          <w:b/>
          <w:bCs/>
          <w:kern w:val="2"/>
          <w:sz w:val="21"/>
          <w:szCs w:val="21"/>
          <w:lang w:eastAsia="zh-CN"/>
        </w:rPr>
        <w:t>协助上传</w:t>
      </w:r>
      <w:r>
        <w:rPr>
          <w:rFonts w:hint="eastAsia" w:ascii="宋体" w:hAnsi="宋体" w:eastAsia="宋体"/>
          <w:b/>
          <w:bCs/>
          <w:kern w:val="2"/>
          <w:sz w:val="21"/>
          <w:szCs w:val="21"/>
          <w:lang w:eastAsia="zh-CN"/>
        </w:rPr>
        <w:t>，</w:t>
      </w:r>
      <w:r>
        <w:rPr>
          <w:rFonts w:ascii="宋体" w:hAnsi="宋体" w:eastAsia="宋体"/>
          <w:b/>
          <w:bCs/>
          <w:kern w:val="2"/>
          <w:sz w:val="21"/>
          <w:szCs w:val="21"/>
          <w:lang w:eastAsia="zh-CN"/>
        </w:rPr>
        <w:t>但上传过程</w:t>
      </w:r>
      <w:r>
        <w:rPr>
          <w:rFonts w:hint="eastAsia" w:ascii="宋体" w:hAnsi="宋体" w:eastAsia="宋体"/>
          <w:b/>
          <w:bCs/>
          <w:kern w:val="2"/>
          <w:sz w:val="21"/>
          <w:szCs w:val="21"/>
          <w:lang w:eastAsia="zh-CN"/>
        </w:rPr>
        <w:t>中</w:t>
      </w:r>
      <w:r>
        <w:rPr>
          <w:rFonts w:ascii="宋体" w:hAnsi="宋体" w:eastAsia="宋体"/>
          <w:b/>
          <w:bCs/>
          <w:kern w:val="2"/>
          <w:sz w:val="21"/>
          <w:szCs w:val="21"/>
          <w:lang w:eastAsia="zh-CN"/>
        </w:rPr>
        <w:t>投标截止时间到达仍无法上传成功的，由投标人自行负责</w:t>
      </w:r>
      <w:r>
        <w:rPr>
          <w:rFonts w:hint="eastAsia" w:ascii="宋体" w:hAnsi="宋体" w:eastAsia="宋体"/>
          <w:kern w:val="2"/>
          <w:sz w:val="21"/>
          <w:szCs w:val="21"/>
          <w:lang w:eastAsia="zh-CN"/>
        </w:rPr>
        <w:t>。</w:t>
      </w:r>
    </w:p>
    <w:p w14:paraId="312B25A5">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25.2政府集中采购机构可以按本通用条款第13条规定，通过修改招标文件自行决定酌情延长投标截止期。在此情况下，政府集中采购机构、采购人和投标人受投标截止期制约的所有权利和义务均应延长至新的截止期。</w:t>
      </w:r>
    </w:p>
    <w:p w14:paraId="325E31BE">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25</w:t>
      </w:r>
      <w:r>
        <w:rPr>
          <w:rFonts w:ascii="宋体" w:hAnsi="宋体" w:eastAsia="宋体"/>
          <w:kern w:val="2"/>
          <w:sz w:val="21"/>
          <w:szCs w:val="21"/>
          <w:lang w:eastAsia="zh-CN"/>
        </w:rPr>
        <w:t>.</w:t>
      </w:r>
      <w:r>
        <w:rPr>
          <w:rFonts w:hint="eastAsia" w:ascii="宋体" w:hAnsi="宋体" w:eastAsia="宋体"/>
          <w:kern w:val="2"/>
          <w:sz w:val="21"/>
          <w:szCs w:val="21"/>
          <w:lang w:eastAsia="zh-CN"/>
        </w:rPr>
        <w:t>3投标截止时间以后不得上传投标文件。</w:t>
      </w:r>
    </w:p>
    <w:bookmarkEnd w:id="59"/>
    <w:p w14:paraId="55F006C3">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26. 样品、现场演示、方案讲解</w:t>
      </w:r>
    </w:p>
    <w:p w14:paraId="002E562A">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26.1 样品、现场演示、方案讲解等事项在招标文件专用条款中进行规定。</w:t>
      </w:r>
    </w:p>
    <w:p w14:paraId="32B27ABC">
      <w:pPr>
        <w:widowControl w:val="0"/>
        <w:ind w:firstLine="420" w:firstLineChars="200"/>
        <w:jc w:val="both"/>
        <w:rPr>
          <w:rFonts w:hint="eastAsia" w:ascii="黑体" w:hAnsi="宋体" w:eastAsia="黑体"/>
          <w:kern w:val="2"/>
          <w:sz w:val="21"/>
          <w:szCs w:val="21"/>
          <w:lang w:eastAsia="zh-CN"/>
        </w:rPr>
      </w:pPr>
      <w:bookmarkStart w:id="60" w:name="_Hlk72428346"/>
      <w:r>
        <w:rPr>
          <w:rFonts w:ascii="黑体" w:hAnsi="宋体" w:eastAsia="黑体"/>
          <w:kern w:val="2"/>
          <w:sz w:val="21"/>
          <w:szCs w:val="21"/>
          <w:lang w:eastAsia="zh-CN"/>
        </w:rPr>
        <w:t>2</w:t>
      </w:r>
      <w:r>
        <w:rPr>
          <w:rFonts w:hint="eastAsia" w:ascii="黑体" w:hAnsi="宋体" w:eastAsia="黑体"/>
          <w:kern w:val="2"/>
          <w:sz w:val="21"/>
          <w:szCs w:val="21"/>
          <w:lang w:eastAsia="zh-CN"/>
        </w:rPr>
        <w:t>7．</w:t>
      </w:r>
      <w:r>
        <w:rPr>
          <w:rFonts w:ascii="黑体" w:hAnsi="宋体" w:eastAsia="黑体"/>
          <w:kern w:val="2"/>
          <w:sz w:val="21"/>
          <w:szCs w:val="21"/>
          <w:lang w:eastAsia="zh-CN"/>
        </w:rPr>
        <w:t>投标文件的修改和撤销</w:t>
      </w:r>
    </w:p>
    <w:p w14:paraId="3C69FC81">
      <w:pPr>
        <w:widowControl w:val="0"/>
        <w:ind w:firstLine="420" w:firstLineChars="200"/>
        <w:jc w:val="both"/>
        <w:rPr>
          <w:rFonts w:hint="eastAsia" w:ascii="宋体" w:hAnsi="宋体" w:eastAsia="宋体"/>
          <w:kern w:val="2"/>
          <w:sz w:val="21"/>
          <w:szCs w:val="21"/>
          <w:lang w:eastAsia="zh-CN"/>
        </w:rPr>
      </w:pPr>
      <w:r>
        <w:rPr>
          <w:rFonts w:ascii="宋体" w:hAnsi="宋体" w:eastAsia="宋体"/>
          <w:kern w:val="2"/>
          <w:sz w:val="21"/>
          <w:szCs w:val="21"/>
          <w:lang w:eastAsia="zh-CN"/>
        </w:rPr>
        <w:t>2</w:t>
      </w:r>
      <w:r>
        <w:rPr>
          <w:rFonts w:hint="eastAsia" w:ascii="宋体" w:hAnsi="宋体" w:eastAsia="宋体"/>
          <w:kern w:val="2"/>
          <w:sz w:val="21"/>
          <w:szCs w:val="21"/>
          <w:lang w:eastAsia="zh-CN"/>
        </w:rPr>
        <w:t>7</w:t>
      </w:r>
      <w:r>
        <w:rPr>
          <w:rFonts w:ascii="宋体" w:hAnsi="宋体" w:eastAsia="宋体"/>
          <w:kern w:val="2"/>
          <w:sz w:val="21"/>
          <w:szCs w:val="21"/>
          <w:lang w:eastAsia="zh-CN"/>
        </w:rPr>
        <w:t>.</w:t>
      </w:r>
      <w:r>
        <w:rPr>
          <w:rFonts w:hint="eastAsia" w:ascii="宋体" w:hAnsi="宋体" w:eastAsia="宋体"/>
          <w:kern w:val="2"/>
          <w:sz w:val="21"/>
          <w:szCs w:val="21"/>
          <w:lang w:eastAsia="zh-CN"/>
        </w:rPr>
        <w:t>1</w:t>
      </w:r>
      <w:r>
        <w:rPr>
          <w:rFonts w:ascii="宋体" w:hAnsi="宋体" w:eastAsia="宋体"/>
          <w:kern w:val="2"/>
          <w:sz w:val="21"/>
          <w:szCs w:val="21"/>
          <w:lang w:eastAsia="zh-CN"/>
        </w:rPr>
        <w:t>投标方在提交投标文件后可对其投标文件进行修改</w:t>
      </w:r>
      <w:r>
        <w:rPr>
          <w:rFonts w:hint="eastAsia" w:ascii="宋体" w:hAnsi="宋体" w:eastAsia="宋体"/>
          <w:kern w:val="2"/>
          <w:sz w:val="21"/>
          <w:szCs w:val="21"/>
          <w:lang w:eastAsia="zh-CN"/>
        </w:rPr>
        <w:t>并重新上传投标文件</w:t>
      </w:r>
      <w:r>
        <w:rPr>
          <w:rFonts w:ascii="宋体" w:hAnsi="宋体" w:eastAsia="宋体"/>
          <w:kern w:val="2"/>
          <w:sz w:val="21"/>
          <w:szCs w:val="21"/>
          <w:lang w:eastAsia="zh-CN"/>
        </w:rPr>
        <w:t>或</w:t>
      </w:r>
      <w:r>
        <w:rPr>
          <w:rFonts w:hint="eastAsia" w:ascii="宋体" w:hAnsi="宋体" w:eastAsia="宋体"/>
          <w:kern w:val="2"/>
          <w:sz w:val="21"/>
          <w:szCs w:val="21"/>
          <w:lang w:eastAsia="zh-CN"/>
        </w:rPr>
        <w:t>在网上进行</w:t>
      </w:r>
      <w:r>
        <w:rPr>
          <w:rFonts w:ascii="宋体" w:hAnsi="宋体" w:eastAsia="宋体"/>
          <w:kern w:val="2"/>
          <w:sz w:val="21"/>
          <w:szCs w:val="21"/>
          <w:lang w:eastAsia="zh-CN"/>
        </w:rPr>
        <w:t>撤销</w:t>
      </w:r>
      <w:r>
        <w:rPr>
          <w:rFonts w:hint="eastAsia" w:ascii="宋体" w:hAnsi="宋体" w:eastAsia="宋体"/>
          <w:kern w:val="2"/>
          <w:sz w:val="21"/>
          <w:szCs w:val="21"/>
          <w:lang w:eastAsia="zh-CN"/>
        </w:rPr>
        <w:t>投标的操作</w:t>
      </w:r>
      <w:r>
        <w:rPr>
          <w:rFonts w:ascii="宋体" w:hAnsi="宋体" w:eastAsia="宋体"/>
          <w:kern w:val="2"/>
          <w:sz w:val="21"/>
          <w:szCs w:val="21"/>
          <w:lang w:eastAsia="zh-CN"/>
        </w:rPr>
        <w:t>。</w:t>
      </w:r>
    </w:p>
    <w:p w14:paraId="7CCFC2CB">
      <w:pPr>
        <w:widowControl w:val="0"/>
        <w:ind w:firstLine="420" w:firstLineChars="200"/>
        <w:jc w:val="both"/>
        <w:rPr>
          <w:rFonts w:hint="eastAsia" w:ascii="宋体" w:hAnsi="宋体" w:eastAsia="宋体"/>
          <w:kern w:val="2"/>
          <w:sz w:val="21"/>
          <w:szCs w:val="21"/>
          <w:lang w:eastAsia="zh-CN"/>
        </w:rPr>
      </w:pPr>
      <w:r>
        <w:rPr>
          <w:rFonts w:ascii="宋体" w:hAnsi="宋体" w:eastAsia="宋体"/>
          <w:kern w:val="2"/>
          <w:sz w:val="21"/>
          <w:szCs w:val="21"/>
          <w:lang w:eastAsia="zh-CN"/>
        </w:rPr>
        <w:t>2</w:t>
      </w:r>
      <w:r>
        <w:rPr>
          <w:rFonts w:hint="eastAsia" w:ascii="宋体" w:hAnsi="宋体" w:eastAsia="宋体"/>
          <w:kern w:val="2"/>
          <w:sz w:val="21"/>
          <w:szCs w:val="21"/>
          <w:lang w:eastAsia="zh-CN"/>
        </w:rPr>
        <w:t>7</w:t>
      </w:r>
      <w:r>
        <w:rPr>
          <w:rFonts w:ascii="宋体" w:hAnsi="宋体" w:eastAsia="宋体"/>
          <w:kern w:val="2"/>
          <w:sz w:val="21"/>
          <w:szCs w:val="21"/>
          <w:lang w:eastAsia="zh-CN"/>
        </w:rPr>
        <w:t>.</w:t>
      </w:r>
      <w:r>
        <w:rPr>
          <w:rFonts w:hint="eastAsia" w:ascii="宋体" w:hAnsi="宋体" w:eastAsia="宋体"/>
          <w:kern w:val="2"/>
          <w:sz w:val="21"/>
          <w:szCs w:val="21"/>
          <w:lang w:eastAsia="zh-CN"/>
        </w:rPr>
        <w:t>2</w:t>
      </w:r>
      <w:r>
        <w:rPr>
          <w:rFonts w:ascii="宋体" w:hAnsi="宋体" w:eastAsia="宋体"/>
          <w:kern w:val="2"/>
          <w:sz w:val="21"/>
          <w:szCs w:val="21"/>
          <w:lang w:eastAsia="zh-CN"/>
        </w:rPr>
        <w:t>投标截止时间以后不得修改投标文件。</w:t>
      </w:r>
    </w:p>
    <w:p w14:paraId="67386B2A">
      <w:pPr>
        <w:widowControl w:val="0"/>
        <w:ind w:firstLine="420" w:firstLineChars="200"/>
        <w:jc w:val="both"/>
        <w:rPr>
          <w:rFonts w:hint="eastAsia" w:ascii="宋体" w:hAnsi="宋体" w:eastAsia="宋体"/>
          <w:kern w:val="2"/>
          <w:sz w:val="21"/>
          <w:szCs w:val="21"/>
          <w:lang w:eastAsia="zh-CN"/>
        </w:rPr>
      </w:pPr>
      <w:r>
        <w:rPr>
          <w:rFonts w:ascii="宋体" w:hAnsi="宋体" w:eastAsia="宋体"/>
          <w:kern w:val="2"/>
          <w:sz w:val="21"/>
          <w:szCs w:val="21"/>
          <w:lang w:eastAsia="zh-CN"/>
        </w:rPr>
        <w:t>2</w:t>
      </w:r>
      <w:r>
        <w:rPr>
          <w:rFonts w:hint="eastAsia" w:ascii="宋体" w:hAnsi="宋体" w:eastAsia="宋体"/>
          <w:kern w:val="2"/>
          <w:sz w:val="21"/>
          <w:szCs w:val="21"/>
          <w:lang w:eastAsia="zh-CN"/>
        </w:rPr>
        <w:t>7</w:t>
      </w:r>
      <w:r>
        <w:rPr>
          <w:rFonts w:ascii="宋体" w:hAnsi="宋体" w:eastAsia="宋体"/>
          <w:kern w:val="2"/>
          <w:sz w:val="21"/>
          <w:szCs w:val="21"/>
          <w:lang w:eastAsia="zh-CN"/>
        </w:rPr>
        <w:t>.</w:t>
      </w:r>
      <w:r>
        <w:rPr>
          <w:rFonts w:hint="eastAsia" w:ascii="宋体" w:hAnsi="宋体" w:eastAsia="宋体"/>
          <w:kern w:val="2"/>
          <w:sz w:val="21"/>
          <w:szCs w:val="21"/>
          <w:lang w:eastAsia="zh-CN"/>
        </w:rPr>
        <w:t>3从投标截止期至投标人在投标文件中确定的投标有效期之间的这段时间内，投标人不得撤回其投标。</w:t>
      </w:r>
    </w:p>
    <w:p w14:paraId="005B1476">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27.4政府集中采购机构不退还投标文件，专用条款另有规定的除外。</w:t>
      </w:r>
    </w:p>
    <w:bookmarkEnd w:id="60"/>
    <w:p w14:paraId="5176BC63">
      <w:pPr>
        <w:keepNext/>
        <w:keepLines/>
        <w:widowControl w:val="0"/>
        <w:numPr>
          <w:ilvl w:val="0"/>
          <w:numId w:val="4"/>
        </w:numPr>
        <w:tabs>
          <w:tab w:val="left" w:pos="720"/>
        </w:tabs>
        <w:adjustRightInd w:val="0"/>
        <w:spacing w:before="120" w:beforeLines="50" w:after="120" w:afterLines="50"/>
        <w:ind w:left="1080" w:hanging="1080" w:firstLineChars="0"/>
        <w:jc w:val="center"/>
        <w:textAlignment w:val="baseline"/>
        <w:outlineLvl w:val="1"/>
        <w:rPr>
          <w:rFonts w:ascii="Cambria" w:hAnsi="Cambria" w:eastAsia="宋体"/>
          <w:b/>
          <w:bCs/>
          <w:kern w:val="2"/>
          <w:sz w:val="28"/>
          <w:szCs w:val="28"/>
          <w:lang w:eastAsia="zh-CN"/>
        </w:rPr>
      </w:pPr>
      <w:r>
        <w:rPr>
          <w:rFonts w:hint="eastAsia" w:ascii="Cambria" w:hAnsi="Cambria" w:eastAsia="宋体" w:cstheme="majorBidi"/>
          <w:b/>
          <w:bCs/>
          <w:kern w:val="2"/>
          <w:sz w:val="28"/>
          <w:szCs w:val="28"/>
          <w:lang w:eastAsia="zh-CN"/>
        </w:rPr>
        <w:t>开标</w:t>
      </w:r>
    </w:p>
    <w:p w14:paraId="3217E0B6">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28．开标</w:t>
      </w:r>
    </w:p>
    <w:p w14:paraId="270F97F2">
      <w:pPr>
        <w:widowControl w:val="0"/>
        <w:wordWrap w:val="0"/>
        <w:ind w:firstLine="420" w:firstLineChars="200"/>
        <w:jc w:val="both"/>
        <w:rPr>
          <w:rFonts w:hint="eastAsia" w:ascii="宋体" w:hAnsi="宋体" w:eastAsia="宋体"/>
          <w:kern w:val="2"/>
          <w:sz w:val="21"/>
          <w:szCs w:val="21"/>
          <w:lang w:eastAsia="zh-CN"/>
        </w:rPr>
      </w:pPr>
      <w:r>
        <w:rPr>
          <w:rFonts w:ascii="宋体" w:hAnsi="宋体" w:eastAsia="宋体"/>
          <w:kern w:val="2"/>
          <w:sz w:val="21"/>
          <w:szCs w:val="21"/>
          <w:lang w:eastAsia="zh-CN"/>
        </w:rPr>
        <w:t>2</w:t>
      </w:r>
      <w:r>
        <w:rPr>
          <w:rFonts w:hint="eastAsia" w:ascii="宋体" w:hAnsi="宋体" w:eastAsia="宋体"/>
          <w:kern w:val="2"/>
          <w:sz w:val="21"/>
          <w:szCs w:val="21"/>
          <w:lang w:eastAsia="zh-CN"/>
        </w:rPr>
        <w:t>8</w:t>
      </w:r>
      <w:r>
        <w:rPr>
          <w:rFonts w:ascii="宋体" w:hAnsi="宋体" w:eastAsia="宋体"/>
          <w:kern w:val="2"/>
          <w:sz w:val="21"/>
          <w:szCs w:val="21"/>
          <w:lang w:eastAsia="zh-CN"/>
        </w:rPr>
        <w:t>.</w:t>
      </w:r>
      <w:r>
        <w:rPr>
          <w:rFonts w:hint="eastAsia" w:ascii="宋体" w:hAnsi="宋体" w:eastAsia="宋体"/>
          <w:kern w:val="2"/>
          <w:sz w:val="21"/>
          <w:szCs w:val="21"/>
          <w:lang w:eastAsia="zh-CN"/>
        </w:rPr>
        <w:t>1投标人须在开标当日的开标时间至解密截止时间内进行解密，逾期未解密的作无效处理。解密方法：登录“深圳政府采购自行采购系统（https://trade.szggzy.com/ggzy/center/#/login）”，使用本单位制作电子投标文件同一个电子密钥进行在线解密、查询开标情况。</w:t>
      </w:r>
    </w:p>
    <w:p w14:paraId="25C501C3">
      <w:pPr>
        <w:widowControl w:val="0"/>
        <w:wordWrap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28.2政府集中采购机构将在满足开标条件（①解密时间结束，解密后的投标供应商数量满足开标要求或②解密时间结束前所有投标供应商均完成投标文件解密）后，对投标文件进行开标，并在网上公布开标结果。</w:t>
      </w:r>
    </w:p>
    <w:p w14:paraId="1FBABB31">
      <w:pPr>
        <w:widowControl w:val="0"/>
        <w:ind w:firstLine="315" w:firstLineChars="150"/>
        <w:jc w:val="both"/>
        <w:rPr>
          <w:rFonts w:hint="eastAsia" w:ascii="宋体" w:hAnsi="宋体" w:eastAsia="宋体"/>
          <w:kern w:val="2"/>
          <w:sz w:val="21"/>
          <w:szCs w:val="21"/>
          <w:lang w:eastAsia="zh-CN"/>
        </w:rPr>
      </w:pPr>
    </w:p>
    <w:p w14:paraId="104D1CCC">
      <w:pPr>
        <w:keepNext/>
        <w:keepLines/>
        <w:widowControl w:val="0"/>
        <w:numPr>
          <w:ilvl w:val="0"/>
          <w:numId w:val="4"/>
        </w:numPr>
        <w:tabs>
          <w:tab w:val="left" w:pos="720"/>
        </w:tabs>
        <w:adjustRightInd w:val="0"/>
        <w:spacing w:before="120" w:beforeLines="50" w:after="120" w:afterLines="50"/>
        <w:ind w:left="1080" w:hanging="1080" w:firstLineChars="0"/>
        <w:jc w:val="center"/>
        <w:textAlignment w:val="baseline"/>
        <w:outlineLvl w:val="1"/>
        <w:rPr>
          <w:rFonts w:ascii="Cambria" w:hAnsi="Cambria" w:eastAsia="宋体"/>
          <w:b/>
          <w:bCs/>
          <w:kern w:val="2"/>
          <w:sz w:val="28"/>
          <w:szCs w:val="28"/>
          <w:lang w:eastAsia="zh-CN"/>
        </w:rPr>
      </w:pPr>
      <w:r>
        <w:rPr>
          <w:rFonts w:hint="eastAsia" w:ascii="Cambria" w:hAnsi="Cambria" w:eastAsia="宋体" w:cstheme="majorBidi"/>
          <w:b/>
          <w:bCs/>
          <w:kern w:val="2"/>
          <w:sz w:val="28"/>
          <w:szCs w:val="28"/>
          <w:lang w:eastAsia="zh-CN"/>
        </w:rPr>
        <w:t>评审要求</w:t>
      </w:r>
    </w:p>
    <w:p w14:paraId="062DF207">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29．评审委员会组成</w:t>
      </w:r>
    </w:p>
    <w:p w14:paraId="317F9A8D">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29.1网上开标结束后召开评审会议，评审委员会由政府集中采购机构依法组建，负责评审活动。</w:t>
      </w:r>
    </w:p>
    <w:p w14:paraId="60B9AC26">
      <w:pPr>
        <w:widowControl w:val="0"/>
        <w:ind w:firstLine="420" w:firstLineChars="200"/>
        <w:jc w:val="both"/>
        <w:rPr>
          <w:rFonts w:hint="eastAsia" w:ascii="宋体" w:hAnsi="宋体" w:eastAsia="宋体"/>
          <w:kern w:val="2"/>
          <w:sz w:val="21"/>
          <w:szCs w:val="21"/>
          <w:lang w:eastAsia="zh-CN"/>
        </w:rPr>
      </w:pPr>
      <w:bookmarkStart w:id="61" w:name="_Hlk72436580"/>
      <w:r>
        <w:rPr>
          <w:rFonts w:hint="eastAsia" w:ascii="宋体" w:hAnsi="宋体" w:eastAsia="宋体"/>
          <w:kern w:val="2"/>
          <w:sz w:val="21"/>
          <w:szCs w:val="21"/>
          <w:lang w:eastAsia="zh-CN"/>
        </w:rPr>
        <w:t>评审委员会由采购人代表和评审专家组成，成员人数应当为5人以上单数（部分条件下为7人以上单数），其中评审专家不得少于成员总数的三分之二。</w:t>
      </w:r>
      <w:bookmarkEnd w:id="61"/>
      <w:r>
        <w:rPr>
          <w:rFonts w:hint="eastAsia" w:ascii="宋体" w:hAnsi="宋体" w:eastAsia="宋体"/>
          <w:kern w:val="2"/>
          <w:sz w:val="21"/>
          <w:szCs w:val="21"/>
          <w:lang w:eastAsia="zh-CN"/>
        </w:rPr>
        <w:t>评定</w:t>
      </w:r>
      <w:r>
        <w:rPr>
          <w:rFonts w:hint="eastAsia" w:eastAsia="宋体"/>
          <w:kern w:val="2"/>
          <w:sz w:val="21"/>
          <w:szCs w:val="21"/>
          <w:lang w:eastAsia="zh-CN"/>
        </w:rPr>
        <w:t>分离项目</w:t>
      </w:r>
      <w:r>
        <w:rPr>
          <w:rFonts w:eastAsia="宋体"/>
          <w:kern w:val="2"/>
          <w:sz w:val="21"/>
          <w:szCs w:val="21"/>
          <w:lang w:eastAsia="zh-CN"/>
        </w:rPr>
        <w:t>评审专家</w:t>
      </w:r>
      <w:r>
        <w:rPr>
          <w:rFonts w:hint="eastAsia" w:eastAsia="宋体"/>
          <w:kern w:val="2"/>
          <w:sz w:val="21"/>
          <w:szCs w:val="21"/>
          <w:lang w:eastAsia="zh-CN"/>
        </w:rPr>
        <w:t>均</w:t>
      </w:r>
      <w:r>
        <w:rPr>
          <w:rFonts w:eastAsia="宋体"/>
          <w:kern w:val="2"/>
          <w:sz w:val="21"/>
          <w:szCs w:val="21"/>
          <w:lang w:eastAsia="zh-CN"/>
        </w:rPr>
        <w:t>由</w:t>
      </w:r>
      <w:r>
        <w:rPr>
          <w:rFonts w:hint="eastAsia" w:eastAsia="宋体"/>
          <w:kern w:val="2"/>
          <w:sz w:val="21"/>
          <w:szCs w:val="21"/>
          <w:lang w:eastAsia="zh-CN"/>
        </w:rPr>
        <w:t>评审专家组成。</w:t>
      </w:r>
      <w:r>
        <w:rPr>
          <w:rFonts w:hint="eastAsia" w:ascii="宋体" w:hAnsi="宋体" w:eastAsia="宋体"/>
          <w:kern w:val="2"/>
          <w:sz w:val="21"/>
          <w:szCs w:val="21"/>
          <w:lang w:eastAsia="zh-CN"/>
        </w:rPr>
        <w:t>评审专家一般是从深圳市政府采购评审专家库中随机抽取。采购人代表须持本单位签发的《评审授权书》参加评审。</w:t>
      </w:r>
    </w:p>
    <w:p w14:paraId="517EA632">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29.2评审定标应当遵循公平、公正、科学、择优的原则。</w:t>
      </w:r>
    </w:p>
    <w:p w14:paraId="33748348">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29.3评审活动依法进行，任何单位和个人不得非法干预评标过程和结果。</w:t>
      </w:r>
    </w:p>
    <w:p w14:paraId="0D2DC683">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29.4评审过程中不允许违背评标程序或采用招标文件未载明的评标方法或评标因素进行评标。</w:t>
      </w:r>
    </w:p>
    <w:p w14:paraId="28BFDF68">
      <w:pPr>
        <w:widowControl w:val="0"/>
        <w:ind w:firstLine="420" w:firstLineChars="200"/>
        <w:jc w:val="both"/>
        <w:rPr>
          <w:rFonts w:hint="eastAsia" w:ascii="宋体" w:hAnsi="宋体" w:eastAsia="宋体"/>
          <w:bCs/>
          <w:kern w:val="2"/>
          <w:sz w:val="21"/>
          <w:szCs w:val="21"/>
          <w:lang w:eastAsia="zh-CN"/>
        </w:rPr>
      </w:pPr>
      <w:r>
        <w:rPr>
          <w:rFonts w:hint="eastAsia" w:ascii="宋体" w:hAnsi="宋体" w:eastAsia="宋体"/>
          <w:bCs/>
          <w:kern w:val="2"/>
          <w:sz w:val="21"/>
          <w:szCs w:val="21"/>
          <w:lang w:eastAsia="zh-CN"/>
        </w:rPr>
        <w:t>29.5 开标后，直到签订合同为止，凡属于对投标文件的审查、澄清、评价和比较的有关资料以及中标候选人的推荐情况、与评审有关的其他任何情况均严格保密（</w:t>
      </w:r>
      <w:r>
        <w:rPr>
          <w:rFonts w:hint="eastAsia" w:eastAsia="宋体"/>
          <w:kern w:val="2"/>
          <w:sz w:val="21"/>
          <w:szCs w:val="21"/>
          <w:lang w:eastAsia="zh-CN"/>
        </w:rPr>
        <w:t>信息公开的内容除外</w:t>
      </w:r>
      <w:r>
        <w:rPr>
          <w:rFonts w:hint="eastAsia" w:ascii="宋体" w:hAnsi="宋体" w:eastAsia="宋体"/>
          <w:bCs/>
          <w:kern w:val="2"/>
          <w:sz w:val="21"/>
          <w:szCs w:val="21"/>
          <w:lang w:eastAsia="zh-CN"/>
        </w:rPr>
        <w:t>）。</w:t>
      </w:r>
    </w:p>
    <w:p w14:paraId="7D462434">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30．向评审委员会提供的资料</w:t>
      </w:r>
    </w:p>
    <w:p w14:paraId="5FA5E620">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30.1公开发布的招标文件，包括图纸、服务清单、答疑文件等；</w:t>
      </w:r>
    </w:p>
    <w:p w14:paraId="66C5AE29">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30.2其他评标必须的资料。</w:t>
      </w:r>
    </w:p>
    <w:p w14:paraId="420D856A">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30.3评审委员会应当认真研究招标文件，至少应了解熟悉以下内容：</w:t>
      </w:r>
    </w:p>
    <w:p w14:paraId="1C6B1728">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（1）招标的目的；</w:t>
      </w:r>
    </w:p>
    <w:p w14:paraId="384D93F5">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（2）招标项目需求的范围和性质；</w:t>
      </w:r>
    </w:p>
    <w:p w14:paraId="1D981AC4">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（3）招标文件规定的投标人的资格、财政预算限额、商务条款；</w:t>
      </w:r>
    </w:p>
    <w:p w14:paraId="36527833">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（4）招标文件规定的评标程序、评标方法和评标因素；</w:t>
      </w:r>
    </w:p>
    <w:p w14:paraId="49049504">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（5）招标文件所列示的资格性审查表及符合性审查表。</w:t>
      </w:r>
    </w:p>
    <w:p w14:paraId="0AD92A0C">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31．独立评审</w:t>
      </w:r>
    </w:p>
    <w:p w14:paraId="5B964380">
      <w:pPr>
        <w:widowControl w:val="0"/>
        <w:ind w:firstLine="420" w:firstLineChars="200"/>
        <w:jc w:val="both"/>
        <w:rPr>
          <w:rFonts w:hint="eastAsia" w:ascii="宋体" w:hAnsi="宋体" w:eastAsia="宋体"/>
          <w:bCs/>
          <w:kern w:val="2"/>
          <w:sz w:val="21"/>
          <w:szCs w:val="21"/>
          <w:lang w:eastAsia="zh-CN"/>
        </w:rPr>
      </w:pPr>
      <w:r>
        <w:rPr>
          <w:rFonts w:hint="eastAsia" w:ascii="宋体" w:hAnsi="宋体" w:eastAsia="宋体"/>
          <w:bCs/>
          <w:kern w:val="2"/>
          <w:sz w:val="21"/>
          <w:szCs w:val="21"/>
          <w:lang w:eastAsia="zh-CN"/>
        </w:rPr>
        <w:t>3</w:t>
      </w:r>
      <w:r>
        <w:rPr>
          <w:rFonts w:ascii="宋体" w:hAnsi="宋体" w:eastAsia="宋体"/>
          <w:bCs/>
          <w:kern w:val="2"/>
          <w:sz w:val="21"/>
          <w:szCs w:val="21"/>
          <w:lang w:eastAsia="zh-CN"/>
        </w:rPr>
        <w:t>1</w:t>
      </w:r>
      <w:r>
        <w:rPr>
          <w:rFonts w:hint="eastAsia" w:ascii="宋体" w:hAnsi="宋体" w:eastAsia="宋体"/>
          <w:bCs/>
          <w:kern w:val="2"/>
          <w:sz w:val="21"/>
          <w:szCs w:val="21"/>
          <w:lang w:eastAsia="zh-CN"/>
        </w:rPr>
        <w:t>.1</w:t>
      </w:r>
      <w:r>
        <w:rPr>
          <w:rFonts w:hint="eastAsia" w:ascii="宋体" w:hAnsi="宋体" w:eastAsia="宋体"/>
          <w:kern w:val="2"/>
          <w:sz w:val="21"/>
          <w:szCs w:val="21"/>
          <w:lang w:eastAsia="zh-CN"/>
        </w:rPr>
        <w:t>评审委员会</w:t>
      </w:r>
      <w:r>
        <w:rPr>
          <w:rFonts w:hint="eastAsia" w:ascii="宋体" w:hAnsi="宋体" w:eastAsia="宋体"/>
          <w:bCs/>
          <w:kern w:val="2"/>
          <w:sz w:val="21"/>
          <w:szCs w:val="21"/>
          <w:lang w:eastAsia="zh-CN"/>
        </w:rPr>
        <w:t>成员的评标活动应当独立进行，并应遵循投标文件初审、澄清有关问题、比较与评价、确定中标供应商、编写评审报告的工作程序。</w:t>
      </w:r>
    </w:p>
    <w:p w14:paraId="33E29CFF">
      <w:pPr>
        <w:widowControl w:val="0"/>
        <w:ind w:firstLine="411" w:firstLineChars="196"/>
        <w:jc w:val="both"/>
        <w:rPr>
          <w:rFonts w:hint="eastAsia" w:ascii="宋体" w:hAnsi="宋体" w:eastAsia="宋体"/>
          <w:bCs/>
          <w:kern w:val="2"/>
          <w:sz w:val="21"/>
          <w:szCs w:val="21"/>
          <w:lang w:eastAsia="zh-CN"/>
        </w:rPr>
      </w:pPr>
    </w:p>
    <w:p w14:paraId="2E0765D1">
      <w:pPr>
        <w:keepNext/>
        <w:keepLines/>
        <w:widowControl w:val="0"/>
        <w:numPr>
          <w:ilvl w:val="0"/>
          <w:numId w:val="4"/>
        </w:numPr>
        <w:tabs>
          <w:tab w:val="left" w:pos="720"/>
        </w:tabs>
        <w:adjustRightInd w:val="0"/>
        <w:spacing w:before="120" w:beforeLines="50" w:after="120" w:afterLines="50"/>
        <w:ind w:left="1080" w:hanging="1080" w:firstLineChars="0"/>
        <w:jc w:val="center"/>
        <w:textAlignment w:val="baseline"/>
        <w:outlineLvl w:val="1"/>
        <w:rPr>
          <w:rFonts w:ascii="Cambria" w:hAnsi="Cambria" w:eastAsia="宋体"/>
          <w:b/>
          <w:bCs/>
          <w:kern w:val="2"/>
          <w:sz w:val="28"/>
          <w:szCs w:val="28"/>
          <w:lang w:eastAsia="zh-CN"/>
        </w:rPr>
      </w:pPr>
      <w:r>
        <w:rPr>
          <w:rFonts w:hint="eastAsia" w:ascii="Cambria" w:hAnsi="Cambria" w:eastAsia="宋体" w:cstheme="majorBidi"/>
          <w:b/>
          <w:bCs/>
          <w:kern w:val="2"/>
          <w:sz w:val="28"/>
          <w:szCs w:val="28"/>
          <w:lang w:eastAsia="zh-CN"/>
        </w:rPr>
        <w:t>评审程序及评审方法</w:t>
      </w:r>
    </w:p>
    <w:p w14:paraId="2B1C2059">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32．投标文件初审</w:t>
      </w:r>
    </w:p>
    <w:p w14:paraId="71282708">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32.1投标文件初审包括资格性审查和符合性审查。</w:t>
      </w:r>
    </w:p>
    <w:p w14:paraId="1DA5AAEF">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资格性审查：依据法律法规和招标文件的规定，对投标文件中的资格证明等进行审查，以确定投标供应商是否具备投标资格。</w:t>
      </w:r>
    </w:p>
    <w:p w14:paraId="71257B37">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符合性审查：依据招标文件的规定，对投标文件的有效性、完整性和对招标文件的响应程度进行审查，以确定是否满足符合性审查的要求。</w:t>
      </w:r>
    </w:p>
    <w:p w14:paraId="2AF00848">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32.2 投标文件初审内容请详见《资格性审查表》和《符合性审查表》部分。投标人若有一条审查不通过则按投标无效处理。</w:t>
      </w:r>
    </w:p>
    <w:p w14:paraId="620F5FBC">
      <w:pPr>
        <w:widowControl w:val="0"/>
        <w:ind w:firstLine="420" w:firstLineChars="200"/>
        <w:jc w:val="both"/>
        <w:rPr>
          <w:rFonts w:hint="eastAsia" w:ascii="宋体" w:hAnsi="宋体" w:eastAsia="宋体"/>
          <w:bCs/>
          <w:kern w:val="2"/>
          <w:sz w:val="21"/>
          <w:szCs w:val="21"/>
          <w:lang w:eastAsia="zh-CN"/>
        </w:rPr>
      </w:pPr>
      <w:r>
        <w:rPr>
          <w:rFonts w:hint="eastAsia" w:ascii="宋体" w:hAnsi="宋体" w:eastAsia="宋体"/>
          <w:bCs/>
          <w:kern w:val="2"/>
          <w:sz w:val="21"/>
          <w:szCs w:val="21"/>
          <w:lang w:eastAsia="zh-CN"/>
        </w:rPr>
        <w:t>32.3 投标文件初审中关于供应商家数的计算:</w:t>
      </w:r>
    </w:p>
    <w:p w14:paraId="66A2EAA8">
      <w:pPr>
        <w:widowControl w:val="0"/>
        <w:ind w:firstLine="420" w:firstLineChars="200"/>
        <w:jc w:val="both"/>
        <w:rPr>
          <w:rFonts w:hint="eastAsia" w:ascii="宋体" w:hAnsi="宋体" w:eastAsia="宋体"/>
          <w:bCs/>
          <w:kern w:val="2"/>
          <w:sz w:val="21"/>
          <w:szCs w:val="21"/>
          <w:lang w:eastAsia="zh-CN"/>
        </w:rPr>
      </w:pPr>
      <w:r>
        <w:rPr>
          <w:rFonts w:hint="eastAsia" w:ascii="宋体" w:hAnsi="宋体" w:eastAsia="宋体"/>
          <w:bCs/>
          <w:kern w:val="2"/>
          <w:sz w:val="21"/>
          <w:szCs w:val="21"/>
          <w:lang w:eastAsia="zh-CN"/>
        </w:rPr>
        <w:t>32.3.1采用最低评标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审的投标人，招标文件未规定的采取随机抽取方式确定，其他投标无效。</w:t>
      </w:r>
    </w:p>
    <w:p w14:paraId="2DC0529B">
      <w:pPr>
        <w:widowControl w:val="0"/>
        <w:ind w:firstLine="420" w:firstLineChars="200"/>
        <w:jc w:val="both"/>
        <w:rPr>
          <w:rFonts w:hint="eastAsia" w:ascii="宋体" w:hAnsi="宋体" w:eastAsia="宋体"/>
          <w:bCs/>
          <w:kern w:val="2"/>
          <w:sz w:val="21"/>
          <w:szCs w:val="21"/>
          <w:lang w:eastAsia="zh-CN"/>
        </w:rPr>
      </w:pPr>
      <w:r>
        <w:rPr>
          <w:rFonts w:hint="eastAsia" w:ascii="宋体" w:hAnsi="宋体" w:eastAsia="宋体"/>
          <w:bCs/>
          <w:kern w:val="2"/>
          <w:sz w:val="21"/>
          <w:szCs w:val="21"/>
          <w:lang w:eastAsia="zh-CN"/>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审委员会按照招标文件规定的方式确定一个投标人获得中标人推荐资格，招标文件未规定的采取随机抽取方式确定，其他同品牌投标人不作为中标候选人。</w:t>
      </w:r>
    </w:p>
    <w:p w14:paraId="6A1C512E">
      <w:pPr>
        <w:widowControl w:val="0"/>
        <w:ind w:firstLine="420" w:firstLineChars="200"/>
        <w:jc w:val="both"/>
        <w:rPr>
          <w:rFonts w:hint="eastAsia" w:ascii="宋体" w:hAnsi="宋体" w:eastAsia="宋体"/>
          <w:bCs/>
          <w:kern w:val="2"/>
          <w:sz w:val="21"/>
          <w:szCs w:val="21"/>
          <w:lang w:eastAsia="zh-CN"/>
        </w:rPr>
      </w:pPr>
      <w:r>
        <w:rPr>
          <w:rFonts w:hint="eastAsia" w:ascii="宋体" w:hAnsi="宋体" w:eastAsia="宋体"/>
          <w:bCs/>
          <w:kern w:val="2"/>
          <w:sz w:val="21"/>
          <w:szCs w:val="21"/>
          <w:lang w:eastAsia="zh-CN"/>
        </w:rPr>
        <w:t>32.3.3非单一产品采购项目，采购人应当根据采购项目技术构成、产品价格比重等合理确定核心产品，并在招标文件中载明。多家投标人提供的核心产品品牌相同的，按前两款规定处理。</w:t>
      </w:r>
    </w:p>
    <w:p w14:paraId="1287341F">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32.4投标人投标文件作无效处理的情形，具体包括但不限于以下：</w:t>
      </w:r>
    </w:p>
    <w:p w14:paraId="02704F32">
      <w:pPr>
        <w:widowControl w:val="0"/>
        <w:ind w:firstLine="420" w:firstLineChars="200"/>
        <w:jc w:val="both"/>
        <w:rPr>
          <w:rFonts w:eastAsia="宋体"/>
          <w:kern w:val="2"/>
          <w:sz w:val="21"/>
          <w:szCs w:val="21"/>
          <w:lang w:eastAsia="zh-CN"/>
        </w:rPr>
      </w:pPr>
      <w:r>
        <w:rPr>
          <w:rFonts w:hint="eastAsia" w:ascii="宋体" w:hAnsi="宋体" w:eastAsia="宋体"/>
          <w:kern w:val="2"/>
          <w:sz w:val="21"/>
          <w:szCs w:val="21"/>
          <w:lang w:eastAsia="zh-CN"/>
        </w:rPr>
        <w:t>32.4.1</w:t>
      </w:r>
      <w:r>
        <w:rPr>
          <w:rFonts w:hint="eastAsia" w:eastAsia="宋体"/>
          <w:kern w:val="2"/>
          <w:sz w:val="21"/>
          <w:szCs w:val="21"/>
          <w:lang w:eastAsia="zh-CN"/>
        </w:rPr>
        <w:t>不同投标人的投标文件由同一单位或者同一个人编制，或者由同一个人分阶段参与编制；</w:t>
      </w:r>
    </w:p>
    <w:p w14:paraId="348CC1D7">
      <w:pPr>
        <w:widowControl w:val="0"/>
        <w:ind w:firstLine="420" w:firstLineChars="200"/>
        <w:jc w:val="both"/>
        <w:rPr>
          <w:rFonts w:eastAsia="宋体"/>
          <w:kern w:val="2"/>
          <w:sz w:val="21"/>
          <w:szCs w:val="21"/>
          <w:lang w:eastAsia="zh-CN"/>
        </w:rPr>
      </w:pPr>
      <w:r>
        <w:rPr>
          <w:rFonts w:ascii="宋体" w:hAnsi="宋体" w:eastAsia="宋体"/>
          <w:kern w:val="2"/>
          <w:sz w:val="21"/>
          <w:szCs w:val="21"/>
          <w:lang w:eastAsia="zh-CN"/>
        </w:rPr>
        <w:t>32.4.</w:t>
      </w:r>
      <w:r>
        <w:rPr>
          <w:rFonts w:hint="eastAsia" w:ascii="宋体" w:hAnsi="宋体" w:eastAsia="宋体"/>
          <w:kern w:val="2"/>
          <w:sz w:val="21"/>
          <w:szCs w:val="21"/>
          <w:lang w:eastAsia="zh-CN"/>
        </w:rPr>
        <w:t>2</w:t>
      </w:r>
      <w:r>
        <w:rPr>
          <w:rFonts w:hint="eastAsia" w:eastAsia="宋体"/>
          <w:kern w:val="2"/>
          <w:sz w:val="21"/>
          <w:szCs w:val="21"/>
          <w:lang w:eastAsia="zh-CN"/>
        </w:rPr>
        <w:t>不同投标人委托同一单位或者个人办理投标事宜；</w:t>
      </w:r>
    </w:p>
    <w:p w14:paraId="205AD57B">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32.4.3不同投标人的投标文件载明的项目管理成员或者联系人员为同一人；</w:t>
      </w:r>
    </w:p>
    <w:p w14:paraId="23AA8B5F">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32.4.4不同投标人的投标文件异常一致或者投标报价呈规律性差异；</w:t>
      </w:r>
    </w:p>
    <w:p w14:paraId="3F89D290">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32.4.5</w:t>
      </w:r>
      <w:r>
        <w:rPr>
          <w:rFonts w:ascii="宋体" w:hAnsi="宋体" w:eastAsia="宋体"/>
          <w:kern w:val="2"/>
          <w:sz w:val="21"/>
          <w:szCs w:val="21"/>
          <w:lang w:eastAsia="zh-CN"/>
        </w:rPr>
        <w:t>不同投标供应商的投标文件或部分投标文件相互混装</w:t>
      </w:r>
      <w:r>
        <w:rPr>
          <w:rFonts w:hint="eastAsia" w:ascii="宋体" w:hAnsi="宋体" w:eastAsia="宋体"/>
          <w:kern w:val="2"/>
          <w:sz w:val="21"/>
          <w:szCs w:val="21"/>
          <w:lang w:eastAsia="zh-CN"/>
        </w:rPr>
        <w:t>；</w:t>
      </w:r>
    </w:p>
    <w:p w14:paraId="3F2B231D">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32.4.6投标供应商之间相互约定给予未中标的供应商利益补偿；</w:t>
      </w:r>
    </w:p>
    <w:p w14:paraId="785BA4A1">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32.4.7不同投标供应商的法定代表人、主要经营负责人、项目投标授权代表人、项目负责人、主要技术人员为同一人、属同一单位或者同一单位缴纳社会保险；</w:t>
      </w:r>
    </w:p>
    <w:p w14:paraId="56FCA9C1">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32.4.8不同投标供应商的投标文件内容存在非正常一致；</w:t>
      </w:r>
    </w:p>
    <w:p w14:paraId="392137EA">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32.4.9在同一单位工作人员为两家以上（含两家）供应商进行同一项投标活动；</w:t>
      </w:r>
    </w:p>
    <w:p w14:paraId="17879D01">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32.4.10主管部门依照法律、法规认定的其他情形。</w:t>
      </w:r>
    </w:p>
    <w:p w14:paraId="4E896440">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32.5对不属于《资格性审查表》和《符合性审查表》所列的其他情形，除专用条款另有规定和32.4条款所列情形外，不得作为投标无效的理由。</w:t>
      </w:r>
    </w:p>
    <w:p w14:paraId="66C43C24">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33．澄清有关问题</w:t>
      </w:r>
    </w:p>
    <w:p w14:paraId="6AAF7526">
      <w:pPr>
        <w:widowControl w:val="0"/>
        <w:ind w:firstLine="420" w:firstLineChars="200"/>
        <w:jc w:val="both"/>
        <w:rPr>
          <w:rFonts w:hint="eastAsia" w:ascii="宋体" w:hAnsi="宋体" w:eastAsia="宋体"/>
          <w:kern w:val="2"/>
          <w:sz w:val="21"/>
          <w:szCs w:val="21"/>
          <w:lang w:eastAsia="zh-CN"/>
        </w:rPr>
      </w:pPr>
      <w:bookmarkStart w:id="62" w:name="_Hlk71407321"/>
      <w:r>
        <w:rPr>
          <w:rFonts w:hint="eastAsia" w:ascii="宋体" w:hAnsi="宋体" w:eastAsia="宋体"/>
          <w:kern w:val="2"/>
          <w:sz w:val="21"/>
          <w:szCs w:val="21"/>
          <w:lang w:eastAsia="zh-CN"/>
        </w:rPr>
        <w:t>3</w:t>
      </w:r>
      <w:r>
        <w:rPr>
          <w:rFonts w:ascii="宋体" w:hAnsi="宋体" w:eastAsia="宋体"/>
          <w:kern w:val="2"/>
          <w:sz w:val="21"/>
          <w:szCs w:val="21"/>
          <w:lang w:eastAsia="zh-CN"/>
        </w:rPr>
        <w:t>3.1</w:t>
      </w:r>
      <w:r>
        <w:rPr>
          <w:rFonts w:hint="eastAsia" w:ascii="宋体" w:hAnsi="宋体" w:eastAsia="宋体"/>
          <w:kern w:val="2"/>
          <w:sz w:val="21"/>
          <w:szCs w:val="21"/>
          <w:lang w:eastAsia="zh-CN"/>
        </w:rPr>
        <w:t>对招标文件中描述有歧义或前后不一致的地方（不含</w:t>
      </w:r>
      <w:r>
        <w:rPr>
          <w:rFonts w:hint="eastAsia" w:eastAsia="宋体"/>
          <w:kern w:val="2"/>
          <w:sz w:val="21"/>
          <w:szCs w:val="21"/>
          <w:lang w:eastAsia="zh-CN"/>
        </w:rPr>
        <w:t>招标</w:t>
      </w:r>
      <w:r>
        <w:rPr>
          <w:rFonts w:eastAsia="宋体"/>
          <w:kern w:val="2"/>
          <w:sz w:val="21"/>
          <w:szCs w:val="21"/>
          <w:lang w:eastAsia="zh-CN"/>
        </w:rPr>
        <w:t>文件存在歧义、重大缺陷导致评</w:t>
      </w:r>
      <w:r>
        <w:rPr>
          <w:rFonts w:hint="eastAsia" w:eastAsia="宋体"/>
          <w:kern w:val="2"/>
          <w:sz w:val="21"/>
          <w:szCs w:val="21"/>
          <w:lang w:eastAsia="zh-CN"/>
        </w:rPr>
        <w:t>审</w:t>
      </w:r>
      <w:r>
        <w:rPr>
          <w:rFonts w:eastAsia="宋体"/>
          <w:kern w:val="2"/>
          <w:sz w:val="21"/>
          <w:szCs w:val="21"/>
          <w:lang w:eastAsia="zh-CN"/>
        </w:rPr>
        <w:t>工作无法进行</w:t>
      </w:r>
      <w:r>
        <w:rPr>
          <w:rFonts w:hint="eastAsia" w:eastAsia="宋体"/>
          <w:kern w:val="2"/>
          <w:sz w:val="21"/>
          <w:szCs w:val="21"/>
          <w:lang w:eastAsia="zh-CN"/>
        </w:rPr>
        <w:t>的情况）</w:t>
      </w:r>
      <w:r>
        <w:rPr>
          <w:rFonts w:hint="eastAsia" w:ascii="宋体" w:hAnsi="宋体" w:eastAsia="宋体"/>
          <w:kern w:val="2"/>
          <w:sz w:val="21"/>
          <w:szCs w:val="21"/>
          <w:lang w:eastAsia="zh-CN"/>
        </w:rPr>
        <w:t>，评审委员会有权进行评判，但对同一条款的评判应适用于每个投标人。</w:t>
      </w:r>
      <w:bookmarkEnd w:id="62"/>
    </w:p>
    <w:p w14:paraId="5AA9BCC2">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w:t>
      </w:r>
      <w:r>
        <w:rPr>
          <w:rFonts w:ascii="宋体" w:hAnsi="宋体" w:eastAsia="宋体"/>
          <w:kern w:val="2"/>
          <w:sz w:val="21"/>
          <w:szCs w:val="21"/>
          <w:lang w:eastAsia="zh-CN"/>
        </w:rPr>
        <w:t>3.2</w:t>
      </w:r>
      <w:r>
        <w:rPr>
          <w:rFonts w:eastAsia="宋体"/>
          <w:kern w:val="2"/>
          <w:sz w:val="21"/>
          <w:szCs w:val="21"/>
          <w:lang w:eastAsia="zh-CN"/>
        </w:rPr>
        <w:t>评</w:t>
      </w:r>
      <w:r>
        <w:rPr>
          <w:rFonts w:hint="eastAsia" w:eastAsia="宋体"/>
          <w:kern w:val="2"/>
          <w:sz w:val="21"/>
          <w:szCs w:val="21"/>
          <w:lang w:eastAsia="zh-CN"/>
        </w:rPr>
        <w:t>审</w:t>
      </w:r>
      <w:r>
        <w:rPr>
          <w:rFonts w:eastAsia="宋体"/>
          <w:kern w:val="2"/>
          <w:sz w:val="21"/>
          <w:szCs w:val="21"/>
          <w:lang w:eastAsia="zh-CN"/>
        </w:rPr>
        <w:t>委员会发现</w:t>
      </w:r>
      <w:r>
        <w:rPr>
          <w:rFonts w:hint="eastAsia" w:eastAsia="宋体"/>
          <w:kern w:val="2"/>
          <w:sz w:val="21"/>
          <w:szCs w:val="21"/>
          <w:lang w:eastAsia="zh-CN"/>
        </w:rPr>
        <w:t>招标</w:t>
      </w:r>
      <w:r>
        <w:rPr>
          <w:rFonts w:eastAsia="宋体"/>
          <w:kern w:val="2"/>
          <w:sz w:val="21"/>
          <w:szCs w:val="21"/>
          <w:lang w:eastAsia="zh-CN"/>
        </w:rPr>
        <w:t>文件存在歧义、重大缺陷导致评</w:t>
      </w:r>
      <w:r>
        <w:rPr>
          <w:rFonts w:hint="eastAsia" w:eastAsia="宋体"/>
          <w:kern w:val="2"/>
          <w:sz w:val="21"/>
          <w:szCs w:val="21"/>
          <w:lang w:eastAsia="zh-CN"/>
        </w:rPr>
        <w:t>审</w:t>
      </w:r>
      <w:r>
        <w:rPr>
          <w:rFonts w:eastAsia="宋体"/>
          <w:kern w:val="2"/>
          <w:sz w:val="21"/>
          <w:szCs w:val="21"/>
          <w:lang w:eastAsia="zh-CN"/>
        </w:rPr>
        <w:t>工作无法进行，或者</w:t>
      </w:r>
      <w:r>
        <w:rPr>
          <w:rFonts w:hint="eastAsia" w:eastAsia="宋体"/>
          <w:kern w:val="2"/>
          <w:sz w:val="21"/>
          <w:szCs w:val="21"/>
          <w:lang w:eastAsia="zh-CN"/>
        </w:rPr>
        <w:t>招标</w:t>
      </w:r>
      <w:r>
        <w:rPr>
          <w:rFonts w:eastAsia="宋体"/>
          <w:kern w:val="2"/>
          <w:sz w:val="21"/>
          <w:szCs w:val="21"/>
          <w:lang w:eastAsia="zh-CN"/>
        </w:rPr>
        <w:t>文件内容违反国家有关强制性规定的，应当停止评</w:t>
      </w:r>
      <w:r>
        <w:rPr>
          <w:rFonts w:hint="eastAsia" w:eastAsia="宋体"/>
          <w:kern w:val="2"/>
          <w:sz w:val="21"/>
          <w:szCs w:val="21"/>
          <w:lang w:eastAsia="zh-CN"/>
        </w:rPr>
        <w:t>审</w:t>
      </w:r>
      <w:r>
        <w:rPr>
          <w:rFonts w:eastAsia="宋体"/>
          <w:kern w:val="2"/>
          <w:sz w:val="21"/>
          <w:szCs w:val="21"/>
          <w:lang w:eastAsia="zh-CN"/>
        </w:rPr>
        <w:t>工作，与</w:t>
      </w:r>
      <w:r>
        <w:rPr>
          <w:rFonts w:hint="eastAsia" w:eastAsia="宋体"/>
          <w:kern w:val="2"/>
          <w:sz w:val="21"/>
          <w:szCs w:val="21"/>
          <w:lang w:eastAsia="zh-CN"/>
        </w:rPr>
        <w:t>政府集中采购机构</w:t>
      </w:r>
      <w:r>
        <w:rPr>
          <w:rFonts w:eastAsia="宋体"/>
          <w:kern w:val="2"/>
          <w:sz w:val="21"/>
          <w:szCs w:val="21"/>
          <w:lang w:eastAsia="zh-CN"/>
        </w:rPr>
        <w:t>沟通并作书面记录。</w:t>
      </w:r>
      <w:r>
        <w:rPr>
          <w:rFonts w:hint="eastAsia" w:eastAsia="宋体"/>
          <w:kern w:val="2"/>
          <w:sz w:val="21"/>
          <w:szCs w:val="21"/>
          <w:lang w:eastAsia="zh-CN"/>
        </w:rPr>
        <w:t>经</w:t>
      </w:r>
      <w:r>
        <w:rPr>
          <w:rFonts w:eastAsia="宋体"/>
          <w:kern w:val="2"/>
          <w:sz w:val="21"/>
          <w:szCs w:val="21"/>
          <w:lang w:eastAsia="zh-CN"/>
        </w:rPr>
        <w:t>确认后，</w:t>
      </w:r>
      <w:r>
        <w:rPr>
          <w:rFonts w:hint="eastAsia" w:eastAsia="宋体"/>
          <w:kern w:val="2"/>
          <w:sz w:val="21"/>
          <w:szCs w:val="21"/>
          <w:lang w:eastAsia="zh-CN"/>
        </w:rPr>
        <w:t>项目</w:t>
      </w:r>
      <w:r>
        <w:rPr>
          <w:rFonts w:eastAsia="宋体"/>
          <w:kern w:val="2"/>
          <w:sz w:val="21"/>
          <w:szCs w:val="21"/>
          <w:lang w:eastAsia="zh-CN"/>
        </w:rPr>
        <w:t>应当修改</w:t>
      </w:r>
      <w:r>
        <w:rPr>
          <w:rFonts w:hint="eastAsia" w:eastAsia="宋体"/>
          <w:kern w:val="2"/>
          <w:sz w:val="21"/>
          <w:szCs w:val="21"/>
          <w:lang w:eastAsia="zh-CN"/>
        </w:rPr>
        <w:t>招标</w:t>
      </w:r>
      <w:r>
        <w:rPr>
          <w:rFonts w:eastAsia="宋体"/>
          <w:kern w:val="2"/>
          <w:sz w:val="21"/>
          <w:szCs w:val="21"/>
          <w:lang w:eastAsia="zh-CN"/>
        </w:rPr>
        <w:t>文件，重新组织采购活动。</w:t>
      </w:r>
    </w:p>
    <w:p w14:paraId="01541627">
      <w:pPr>
        <w:widowControl w:val="0"/>
        <w:ind w:firstLine="420" w:firstLineChars="200"/>
        <w:jc w:val="both"/>
        <w:rPr>
          <w:rFonts w:hint="eastAsia" w:ascii="宋体" w:hAnsi="宋体" w:eastAsia="宋体"/>
          <w:kern w:val="2"/>
          <w:sz w:val="21"/>
          <w:szCs w:val="21"/>
          <w:lang w:eastAsia="zh-CN"/>
        </w:rPr>
      </w:pPr>
      <w:r>
        <w:rPr>
          <w:rFonts w:ascii="宋体" w:hAnsi="宋体" w:eastAsia="宋体"/>
          <w:kern w:val="2"/>
          <w:sz w:val="21"/>
          <w:szCs w:val="21"/>
          <w:lang w:eastAsia="zh-CN"/>
        </w:rPr>
        <w:t>33.3</w:t>
      </w:r>
      <w:r>
        <w:rPr>
          <w:rFonts w:hint="eastAsia" w:ascii="宋体" w:hAnsi="宋体" w:eastAsia="宋体"/>
          <w:kern w:val="2"/>
          <w:sz w:val="21"/>
          <w:szCs w:val="21"/>
          <w:lang w:eastAsia="zh-CN"/>
        </w:rPr>
        <w:t>对于投标文件中含义不明确、同类问题表述不一致或者有明显文字和计算错误的内容，评审委员会应当以书面形式要求投标人作出必要的澄清、说明或者补正。</w:t>
      </w:r>
    </w:p>
    <w:p w14:paraId="6C6CFF24">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14:paraId="03CB71CE">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根据本通用条款第34条，凡属于评审委员会在评审中发现的算术错误进行核实的修改不在此列。</w:t>
      </w:r>
    </w:p>
    <w:p w14:paraId="5864391A">
      <w:pPr>
        <w:widowControl w:val="0"/>
        <w:ind w:firstLine="420" w:firstLineChars="200"/>
        <w:jc w:val="both"/>
        <w:rPr>
          <w:rFonts w:hint="eastAsia" w:ascii="黑体" w:hAnsi="宋体" w:eastAsia="黑体"/>
          <w:kern w:val="2"/>
          <w:sz w:val="21"/>
          <w:szCs w:val="21"/>
          <w:lang w:eastAsia="zh-CN"/>
        </w:rPr>
      </w:pPr>
      <w:bookmarkStart w:id="63" w:name="_Toc100052400"/>
      <w:bookmarkStart w:id="64" w:name="_Toc73517673"/>
      <w:bookmarkStart w:id="65" w:name="_Toc73521581"/>
      <w:bookmarkStart w:id="66" w:name="_Toc73521669"/>
      <w:bookmarkStart w:id="67" w:name="_Toc73518151"/>
      <w:r>
        <w:rPr>
          <w:rFonts w:hint="eastAsia" w:ascii="黑体" w:hAnsi="宋体" w:eastAsia="黑体"/>
          <w:kern w:val="2"/>
          <w:sz w:val="21"/>
          <w:szCs w:val="21"/>
          <w:lang w:eastAsia="zh-CN"/>
        </w:rPr>
        <w:t>34．错误的修正</w:t>
      </w:r>
      <w:bookmarkEnd w:id="63"/>
      <w:bookmarkEnd w:id="64"/>
      <w:bookmarkEnd w:id="65"/>
      <w:bookmarkEnd w:id="66"/>
      <w:bookmarkEnd w:id="67"/>
    </w:p>
    <w:p w14:paraId="1F9BDAA1">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投标文件报价出现前后不一致的，除专用条款另有规定外，按照下列规定修正：</w:t>
      </w:r>
    </w:p>
    <w:p w14:paraId="52C83626">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34.1投标文件中开标一览表投标报价内容与投标文件中投标报价相应内容不一致的，以开标一览表为准；</w:t>
      </w:r>
    </w:p>
    <w:p w14:paraId="279E2898">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34.2大写金额和小写金额不一致的，以大写金额为准；</w:t>
      </w:r>
    </w:p>
    <w:p w14:paraId="32FB2CCF">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34.3单价金额小数点或者百分比有明显错位，以开标一览表的总价为准，并修改单价；</w:t>
      </w:r>
    </w:p>
    <w:p w14:paraId="3433DBF4">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34.4总价金额与按单价汇总金额不一致的，以单价金额计算结果为准。</w:t>
      </w:r>
    </w:p>
    <w:p w14:paraId="0C373660">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34.5同时出现两种以上不一致的，按照前款规定的顺序修正。修正后的报价按照本通用条款33条的规定，经投标人确认后产生约束力，投标人不确认的，其投标无效。</w:t>
      </w:r>
    </w:p>
    <w:p w14:paraId="7B49896A">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35．投标文件的比较与评价</w:t>
      </w:r>
    </w:p>
    <w:p w14:paraId="4B03F85E">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评审委员会将按照《深圳经济特区政府采购条例》、《深圳经济特区政府采购条例实施细则》、《深圳市政府采购评标定标分离管理办法》及政府采购其他法律法规，仅对通过资格性审查和符合性审查的投标文件进行综合比较与评价。</w:t>
      </w:r>
    </w:p>
    <w:p w14:paraId="5418551B">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评审委员会成员对需要共同认定的事项存在争议的，应当按照少数服从多数的原则作出结论。持不同意见的评审委员会成员应当书面作出说明，否则视为无异议。</w:t>
      </w:r>
    </w:p>
    <w:p w14:paraId="2AF4C2D1">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36. 实地考察或资料查验</w:t>
      </w:r>
    </w:p>
    <w:p w14:paraId="0B73C59B">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36.1在评审过程中，评审委员会有权决定是否对本项目投标人进行实地考察或资料查验（原件）。投标人应随时做好接受实地考察或资料查验的准备。</w:t>
      </w:r>
    </w:p>
    <w:p w14:paraId="62BC2BCE">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37．评审方法</w:t>
      </w:r>
    </w:p>
    <w:p w14:paraId="4D1F0B2A">
      <w:pPr>
        <w:widowControl w:val="0"/>
        <w:ind w:firstLine="422" w:firstLineChars="200"/>
        <w:jc w:val="both"/>
        <w:rPr>
          <w:rFonts w:hint="eastAsia" w:ascii="宋体" w:hAnsi="宋体" w:eastAsia="宋体"/>
          <w:b/>
          <w:bCs/>
          <w:kern w:val="2"/>
          <w:sz w:val="21"/>
          <w:szCs w:val="21"/>
          <w:lang w:eastAsia="zh-CN"/>
        </w:rPr>
      </w:pPr>
      <w:r>
        <w:rPr>
          <w:rFonts w:hint="eastAsia" w:ascii="宋体" w:hAnsi="宋体" w:eastAsia="宋体"/>
          <w:b/>
          <w:bCs/>
          <w:kern w:val="2"/>
          <w:sz w:val="21"/>
          <w:szCs w:val="21"/>
          <w:lang w:eastAsia="zh-CN"/>
        </w:rPr>
        <w:t>37.1.1最低价法</w:t>
      </w:r>
    </w:p>
    <w:p w14:paraId="244F9A53">
      <w:pPr>
        <w:widowControl w:val="0"/>
        <w:ind w:firstLine="420" w:firstLineChars="200"/>
        <w:jc w:val="both"/>
        <w:rPr>
          <w:rFonts w:hint="eastAsia" w:ascii="ˎ̥" w:hAnsi="ˎ̥" w:eastAsia="宋体"/>
          <w:kern w:val="2"/>
          <w:sz w:val="21"/>
          <w:szCs w:val="21"/>
          <w:lang w:eastAsia="zh-CN"/>
        </w:rPr>
      </w:pPr>
      <w:bookmarkStart w:id="68" w:name="_Hlk72438142"/>
      <w:r>
        <w:rPr>
          <w:rFonts w:ascii="ˎ̥" w:hAnsi="ˎ̥" w:eastAsia="宋体"/>
          <w:kern w:val="2"/>
          <w:sz w:val="21"/>
          <w:szCs w:val="21"/>
          <w:lang w:eastAsia="zh-CN"/>
        </w:rPr>
        <w:t>最低价法，是指</w:t>
      </w:r>
      <w:r>
        <w:rPr>
          <w:rFonts w:hint="eastAsia" w:ascii="ˎ̥" w:hAnsi="ˎ̥" w:eastAsia="宋体"/>
          <w:kern w:val="2"/>
          <w:sz w:val="21"/>
          <w:szCs w:val="21"/>
          <w:lang w:eastAsia="zh-CN"/>
        </w:rPr>
        <w:t>完全</w:t>
      </w:r>
      <w:r>
        <w:rPr>
          <w:rFonts w:ascii="ˎ̥" w:hAnsi="ˎ̥" w:eastAsia="宋体"/>
          <w:kern w:val="2"/>
          <w:sz w:val="21"/>
          <w:szCs w:val="21"/>
          <w:lang w:eastAsia="zh-CN"/>
        </w:rPr>
        <w:t>满足</w:t>
      </w:r>
      <w:r>
        <w:rPr>
          <w:rFonts w:hint="eastAsia" w:ascii="ˎ̥" w:hAnsi="ˎ̥" w:eastAsia="宋体"/>
          <w:kern w:val="2"/>
          <w:sz w:val="21"/>
          <w:szCs w:val="21"/>
          <w:lang w:eastAsia="zh-CN"/>
        </w:rPr>
        <w:t>招标</w:t>
      </w:r>
      <w:r>
        <w:rPr>
          <w:rFonts w:ascii="ˎ̥" w:hAnsi="ˎ̥" w:eastAsia="宋体"/>
          <w:kern w:val="2"/>
          <w:sz w:val="21"/>
          <w:szCs w:val="21"/>
          <w:lang w:eastAsia="zh-CN"/>
        </w:rPr>
        <w:t>文件实质性要求，</w:t>
      </w:r>
      <w:r>
        <w:rPr>
          <w:rFonts w:hint="eastAsia" w:ascii="ˎ̥" w:hAnsi="ˎ̥" w:eastAsia="宋体"/>
          <w:kern w:val="2"/>
          <w:sz w:val="21"/>
          <w:szCs w:val="21"/>
          <w:lang w:eastAsia="zh-CN"/>
        </w:rPr>
        <w:t>按照报价由低到高的顺序，依据招标文件中规定的数量或者比例推荐候选中标供应商。</w:t>
      </w:r>
    </w:p>
    <w:p w14:paraId="48E12502">
      <w:pPr>
        <w:widowControl w:val="0"/>
        <w:ind w:firstLine="422" w:firstLineChars="200"/>
        <w:jc w:val="both"/>
        <w:rPr>
          <w:rFonts w:hint="eastAsia" w:ascii="宋体" w:hAnsi="宋体" w:eastAsia="宋体"/>
          <w:b/>
          <w:bCs/>
          <w:kern w:val="2"/>
          <w:sz w:val="21"/>
          <w:szCs w:val="21"/>
          <w:lang w:eastAsia="zh-CN"/>
        </w:rPr>
      </w:pPr>
      <w:r>
        <w:rPr>
          <w:rFonts w:hint="eastAsia" w:ascii="宋体" w:hAnsi="宋体" w:eastAsia="宋体"/>
          <w:b/>
          <w:bCs/>
          <w:kern w:val="2"/>
          <w:sz w:val="21"/>
          <w:szCs w:val="21"/>
          <w:lang w:eastAsia="zh-CN"/>
        </w:rPr>
        <w:t>37.1.2综合评分法</w:t>
      </w:r>
    </w:p>
    <w:p w14:paraId="3E86C6F2">
      <w:pPr>
        <w:widowControl w:val="0"/>
        <w:ind w:firstLine="420" w:firstLineChars="200"/>
        <w:jc w:val="both"/>
        <w:rPr>
          <w:rFonts w:hint="eastAsia" w:ascii="ˎ̥" w:hAnsi="ˎ̥" w:eastAsia="宋体"/>
          <w:kern w:val="2"/>
          <w:sz w:val="21"/>
          <w:szCs w:val="21"/>
          <w:lang w:eastAsia="zh-CN"/>
        </w:rPr>
      </w:pPr>
      <w:r>
        <w:rPr>
          <w:rFonts w:ascii="ˎ̥" w:hAnsi="ˎ̥" w:eastAsia="宋体"/>
          <w:kern w:val="2"/>
          <w:sz w:val="21"/>
          <w:szCs w:val="21"/>
          <w:lang w:eastAsia="zh-CN"/>
        </w:rPr>
        <w:t>综合评分法，是指</w:t>
      </w:r>
      <w:r>
        <w:rPr>
          <w:rFonts w:hint="eastAsia" w:ascii="ˎ̥" w:hAnsi="ˎ̥" w:eastAsia="宋体"/>
          <w:kern w:val="2"/>
          <w:sz w:val="21"/>
          <w:szCs w:val="21"/>
          <w:lang w:eastAsia="zh-CN"/>
        </w:rPr>
        <w:t>在</w:t>
      </w:r>
      <w:r>
        <w:rPr>
          <w:rFonts w:ascii="ˎ̥" w:hAnsi="ˎ̥" w:eastAsia="宋体"/>
          <w:kern w:val="2"/>
          <w:sz w:val="21"/>
          <w:szCs w:val="21"/>
          <w:lang w:eastAsia="zh-CN"/>
        </w:rPr>
        <w:t>满足</w:t>
      </w:r>
      <w:r>
        <w:rPr>
          <w:rFonts w:hint="eastAsia" w:ascii="ˎ̥" w:hAnsi="ˎ̥" w:eastAsia="宋体"/>
          <w:kern w:val="2"/>
          <w:sz w:val="21"/>
          <w:szCs w:val="21"/>
          <w:lang w:eastAsia="zh-CN"/>
        </w:rPr>
        <w:t>招标</w:t>
      </w:r>
      <w:r>
        <w:rPr>
          <w:rFonts w:ascii="ˎ̥" w:hAnsi="ˎ̥" w:eastAsia="宋体"/>
          <w:kern w:val="2"/>
          <w:sz w:val="21"/>
          <w:szCs w:val="21"/>
          <w:lang w:eastAsia="zh-CN"/>
        </w:rPr>
        <w:t>文件全部实质性要求</w:t>
      </w:r>
      <w:r>
        <w:rPr>
          <w:rFonts w:hint="eastAsia" w:ascii="ˎ̥" w:hAnsi="ˎ̥" w:eastAsia="宋体"/>
          <w:kern w:val="2"/>
          <w:sz w:val="21"/>
          <w:szCs w:val="21"/>
          <w:lang w:eastAsia="zh-CN"/>
        </w:rPr>
        <w:t>的前提下</w:t>
      </w:r>
      <w:r>
        <w:rPr>
          <w:rFonts w:ascii="ˎ̥" w:hAnsi="ˎ̥" w:eastAsia="宋体"/>
          <w:kern w:val="2"/>
          <w:sz w:val="21"/>
          <w:szCs w:val="21"/>
          <w:lang w:eastAsia="zh-CN"/>
        </w:rPr>
        <w:t>，</w:t>
      </w:r>
      <w:r>
        <w:rPr>
          <w:rFonts w:hint="eastAsia" w:ascii="ˎ̥" w:hAnsi="ˎ̥" w:eastAsia="宋体"/>
          <w:kern w:val="2"/>
          <w:sz w:val="21"/>
          <w:szCs w:val="21"/>
          <w:lang w:eastAsia="zh-CN"/>
        </w:rPr>
        <w:t>按照招标文件中规定的各项因素进行综合评审，评审总得分排名前列的投标人，作为推荐的候选中标供应商。</w:t>
      </w:r>
      <w:bookmarkEnd w:id="68"/>
      <w:r>
        <w:rPr>
          <w:rFonts w:hint="eastAsia" w:ascii="宋体" w:hAnsi="宋体" w:eastAsia="宋体"/>
          <w:bCs/>
          <w:color w:val="FF0000"/>
          <w:kern w:val="2"/>
          <w:sz w:val="21"/>
          <w:szCs w:val="21"/>
          <w:lang w:eastAsia="zh-CN"/>
        </w:rPr>
        <w:t xml:space="preserve">  </w:t>
      </w:r>
      <w:r>
        <w:rPr>
          <w:rFonts w:hint="eastAsia" w:ascii="宋体" w:hAnsi="宋体" w:eastAsia="宋体"/>
          <w:bCs/>
          <w:kern w:val="2"/>
          <w:sz w:val="21"/>
          <w:szCs w:val="21"/>
          <w:lang w:eastAsia="zh-CN"/>
        </w:rPr>
        <w:t xml:space="preserve">                                                                                                                                                                                                                                                                                                                                                                                                                                                                                                                                                                                                                                                                                                                                                                                                                                                                                                                                                                                                                                                                                                                                                                                                                                                                                                                                                                                                                                                                                                                                                                                                                                                                                                                                                                                                                                                                                                                                                                                                                                                                                                                                                                                                                                                                                                                                                                                                                                                                                                                                                                                                                                                                                                                                                                                                                                                                                                                                                                                                                           </w:t>
      </w:r>
    </w:p>
    <w:p w14:paraId="4B20EEAB">
      <w:pPr>
        <w:widowControl w:val="0"/>
        <w:ind w:firstLine="422" w:firstLineChars="200"/>
        <w:jc w:val="both"/>
        <w:rPr>
          <w:rFonts w:hint="eastAsia" w:ascii="宋体" w:hAnsi="宋体" w:eastAsia="宋体"/>
          <w:b/>
          <w:bCs/>
          <w:kern w:val="2"/>
          <w:sz w:val="21"/>
          <w:szCs w:val="21"/>
          <w:lang w:eastAsia="zh-CN"/>
        </w:rPr>
      </w:pPr>
      <w:r>
        <w:rPr>
          <w:rFonts w:hint="eastAsia" w:ascii="宋体" w:hAnsi="宋体" w:eastAsia="宋体"/>
          <w:b/>
          <w:bCs/>
          <w:kern w:val="2"/>
          <w:sz w:val="21"/>
          <w:szCs w:val="21"/>
          <w:lang w:eastAsia="zh-CN"/>
        </w:rPr>
        <w:t>37.2 本项目采用的评审方法见本项目招标文件第一册“专用条款”的相关内容。</w:t>
      </w:r>
    </w:p>
    <w:p w14:paraId="0188DBF9">
      <w:pPr>
        <w:widowControl w:val="0"/>
        <w:ind w:firstLine="422" w:firstLineChars="200"/>
        <w:jc w:val="both"/>
        <w:rPr>
          <w:rFonts w:hint="eastAsia" w:ascii="宋体" w:hAnsi="宋体" w:eastAsia="宋体"/>
          <w:b/>
          <w:bCs/>
          <w:kern w:val="2"/>
          <w:sz w:val="21"/>
          <w:szCs w:val="21"/>
          <w:lang w:eastAsia="zh-CN"/>
        </w:rPr>
      </w:pPr>
      <w:r>
        <w:rPr>
          <w:rFonts w:hint="eastAsia" w:ascii="宋体" w:hAnsi="宋体" w:eastAsia="宋体"/>
          <w:b/>
          <w:bCs/>
          <w:kern w:val="2"/>
          <w:sz w:val="21"/>
          <w:szCs w:val="21"/>
          <w:lang w:eastAsia="zh-CN"/>
        </w:rPr>
        <w:t>37.3重新评审的情形</w:t>
      </w:r>
    </w:p>
    <w:p w14:paraId="27C52D4E">
      <w:pPr>
        <w:widowControl w:val="0"/>
        <w:ind w:firstLine="420" w:firstLineChars="200"/>
        <w:jc w:val="both"/>
        <w:rPr>
          <w:rFonts w:hint="eastAsia" w:ascii="宋体" w:hAnsi="宋体" w:eastAsia="宋体"/>
          <w:b/>
          <w:bCs/>
          <w:kern w:val="2"/>
          <w:sz w:val="21"/>
          <w:szCs w:val="21"/>
          <w:lang w:eastAsia="zh-CN"/>
        </w:rPr>
      </w:pPr>
      <w:r>
        <w:rPr>
          <w:rFonts w:hint="eastAsia" w:ascii="宋体" w:hAnsi="宋体" w:eastAsia="宋体" w:cs="宋体"/>
          <w:sz w:val="21"/>
          <w:szCs w:val="21"/>
          <w:lang w:eastAsia="zh-CN"/>
        </w:rPr>
        <w:t>评审结果汇总完成后，除下列情形外，任何人不得修改评审结果：</w:t>
      </w:r>
    </w:p>
    <w:p w14:paraId="5BC82414">
      <w:pPr>
        <w:widowControl w:val="0"/>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37.3.1分值汇总计算错误的；</w:t>
      </w:r>
    </w:p>
    <w:p w14:paraId="4F35CCA7">
      <w:pPr>
        <w:widowControl w:val="0"/>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37.3.2分项评分超出评分标准范围的；</w:t>
      </w:r>
    </w:p>
    <w:p w14:paraId="16BBEF67">
      <w:pPr>
        <w:widowControl w:val="0"/>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37.3.3评审委员会成员对客观评审因素评分不一致的；</w:t>
      </w:r>
    </w:p>
    <w:p w14:paraId="0257FB82">
      <w:pPr>
        <w:widowControl w:val="0"/>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37.3.4经评审委员会认定评分畸高、畸低的。</w:t>
      </w:r>
    </w:p>
    <w:p w14:paraId="3732472B">
      <w:pPr>
        <w:widowControl w:val="0"/>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评审报告签署前，经复核发现存在以上情形之一的，评审委员会应当当场修改评审结果，并进行书面记载；评审报告签署后，采购人或者采购代理机构发现存在以上情形之一的，应当组织原评审委员会进行重新评审，重新评审改变评审结果的，书面报告本级财政部门。</w:t>
      </w:r>
    </w:p>
    <w:p w14:paraId="5BB415B5">
      <w:pPr>
        <w:widowControl w:val="0"/>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投标人对本条第一款情形提出质疑的，采购人或者采购代理机构可以组织原评审委员会进行重新评审，重新评审改变评审结果的，应当书面报告本级财政部门。</w:t>
      </w:r>
    </w:p>
    <w:p w14:paraId="7D7F1E64">
      <w:pPr>
        <w:widowControl w:val="0"/>
        <w:ind w:firstLine="422" w:firstLineChars="200"/>
        <w:jc w:val="both"/>
        <w:rPr>
          <w:rFonts w:hint="eastAsia" w:ascii="宋体" w:hAnsi="宋体" w:eastAsia="宋体"/>
          <w:b/>
          <w:bCs/>
          <w:kern w:val="2"/>
          <w:sz w:val="21"/>
          <w:szCs w:val="21"/>
          <w:lang w:eastAsia="zh-CN"/>
        </w:rPr>
      </w:pPr>
      <w:r>
        <w:rPr>
          <w:rFonts w:hint="eastAsia" w:ascii="宋体" w:hAnsi="宋体" w:eastAsia="宋体"/>
          <w:b/>
          <w:bCs/>
          <w:kern w:val="2"/>
          <w:sz w:val="21"/>
          <w:szCs w:val="21"/>
          <w:lang w:eastAsia="zh-CN"/>
        </w:rPr>
        <w:t xml:space="preserve"> 37.4重新组建评审委员会的情形</w:t>
      </w:r>
    </w:p>
    <w:p w14:paraId="01172060">
      <w:pPr>
        <w:widowControl w:val="0"/>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评审委员会或者其成员存在下列情形导致评审结果无效的，重新组建评审委员会进行评标，并书面报告本级财政部门：</w:t>
      </w:r>
    </w:p>
    <w:p w14:paraId="092AB009">
      <w:pPr>
        <w:widowControl w:val="0"/>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37.4.1评审委员会组成不符合《政府采购货物和服务招标投标管理办法》规定的；</w:t>
      </w:r>
    </w:p>
    <w:p w14:paraId="205AB9A0">
      <w:pPr>
        <w:widowControl w:val="0"/>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37.4.2有《政府采购货物和服务招标投标管理办法》第六十二条第一至五项情形的；</w:t>
      </w:r>
    </w:p>
    <w:p w14:paraId="7B9465B0">
      <w:pPr>
        <w:widowControl w:val="0"/>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37.4.3评审委员会及其成员独立评标受到非法干预的；</w:t>
      </w:r>
    </w:p>
    <w:p w14:paraId="6B79F006">
      <w:pPr>
        <w:widowControl w:val="0"/>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37.4.4有政府采购法实施条例第七十五条规定的违法行为的。</w:t>
      </w:r>
    </w:p>
    <w:p w14:paraId="09327408">
      <w:pPr>
        <w:widowControl w:val="0"/>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有违法违规行为的原评审委员会成员不得参加重新组建的评审委员会。</w:t>
      </w:r>
    </w:p>
    <w:p w14:paraId="3910043C">
      <w:pPr>
        <w:widowControl w:val="0"/>
        <w:ind w:firstLine="411" w:firstLineChars="196"/>
        <w:jc w:val="both"/>
        <w:rPr>
          <w:rFonts w:hint="eastAsia" w:ascii="宋体" w:hAnsi="宋体" w:eastAsia="宋体"/>
          <w:kern w:val="2"/>
          <w:sz w:val="21"/>
          <w:szCs w:val="21"/>
          <w:lang w:eastAsia="zh-CN"/>
        </w:rPr>
      </w:pPr>
    </w:p>
    <w:p w14:paraId="77D8CDFC">
      <w:pPr>
        <w:keepNext/>
        <w:keepLines/>
        <w:widowControl w:val="0"/>
        <w:numPr>
          <w:ilvl w:val="0"/>
          <w:numId w:val="4"/>
        </w:numPr>
        <w:tabs>
          <w:tab w:val="left" w:pos="720"/>
        </w:tabs>
        <w:adjustRightInd w:val="0"/>
        <w:spacing w:before="120" w:beforeLines="50" w:after="120" w:afterLines="50"/>
        <w:ind w:left="1080" w:hanging="1080" w:firstLineChars="0"/>
        <w:jc w:val="center"/>
        <w:textAlignment w:val="baseline"/>
        <w:outlineLvl w:val="1"/>
        <w:rPr>
          <w:rFonts w:ascii="Cambria" w:hAnsi="Cambria" w:eastAsia="宋体"/>
          <w:b/>
          <w:bCs/>
          <w:kern w:val="2"/>
          <w:sz w:val="28"/>
          <w:szCs w:val="28"/>
          <w:lang w:eastAsia="zh-CN"/>
        </w:rPr>
      </w:pPr>
      <w:r>
        <w:rPr>
          <w:rFonts w:hint="eastAsia" w:ascii="Cambria" w:hAnsi="Cambria" w:eastAsia="宋体" w:cstheme="majorBidi"/>
          <w:b/>
          <w:bCs/>
          <w:kern w:val="2"/>
          <w:sz w:val="28"/>
          <w:szCs w:val="28"/>
          <w:lang w:eastAsia="zh-CN"/>
        </w:rPr>
        <w:t>定标及公示</w:t>
      </w:r>
    </w:p>
    <w:p w14:paraId="6B3ABDB9">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38．定标方法</w:t>
      </w:r>
    </w:p>
    <w:p w14:paraId="34B51CDA">
      <w:pPr>
        <w:widowControl w:val="0"/>
        <w:ind w:firstLine="420" w:firstLineChars="200"/>
        <w:jc w:val="both"/>
        <w:rPr>
          <w:rFonts w:hint="eastAsia" w:ascii="宋体" w:hAnsi="宋体" w:eastAsia="宋体"/>
          <w:kern w:val="2"/>
          <w:sz w:val="21"/>
          <w:szCs w:val="21"/>
          <w:lang w:eastAsia="zh-CN"/>
        </w:rPr>
      </w:pPr>
      <w:bookmarkStart w:id="69" w:name="_Hlk73782795"/>
      <w:r>
        <w:rPr>
          <w:rFonts w:hint="eastAsia" w:ascii="宋体" w:hAnsi="宋体" w:eastAsia="宋体"/>
          <w:kern w:val="2"/>
          <w:sz w:val="21"/>
          <w:szCs w:val="21"/>
          <w:lang w:eastAsia="zh-CN"/>
        </w:rPr>
        <w:t>38.1非评定分离项目定标方法</w:t>
      </w:r>
    </w:p>
    <w:p w14:paraId="43AB0D75">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38</w:t>
      </w:r>
      <w:r>
        <w:rPr>
          <w:rFonts w:ascii="宋体" w:hAnsi="宋体" w:eastAsia="宋体"/>
          <w:kern w:val="2"/>
          <w:sz w:val="21"/>
          <w:szCs w:val="21"/>
          <w:lang w:eastAsia="zh-CN"/>
        </w:rPr>
        <w:t>.</w:t>
      </w:r>
      <w:r>
        <w:rPr>
          <w:rFonts w:hint="eastAsia" w:ascii="宋体" w:hAnsi="宋体" w:eastAsia="宋体"/>
          <w:kern w:val="2"/>
          <w:sz w:val="21"/>
          <w:szCs w:val="21"/>
          <w:lang w:eastAsia="zh-CN"/>
        </w:rPr>
        <w:t>1.1评审委员会依据本项目招标文件所约定的评审方法进行评审和比较，向政府集中采购机构提交书面评审报告，并根据评审方法比较评价结果从优到劣进行排序，确定候选中标供应商。</w:t>
      </w:r>
    </w:p>
    <w:p w14:paraId="69AD2CEF">
      <w:pPr>
        <w:widowControl w:val="0"/>
        <w:ind w:firstLine="420" w:firstLineChars="200"/>
        <w:jc w:val="both"/>
        <w:rPr>
          <w:rFonts w:hint="eastAsia" w:ascii="ˎ̥" w:hAnsi="ˎ̥" w:eastAsia="宋体"/>
          <w:kern w:val="2"/>
          <w:sz w:val="21"/>
          <w:szCs w:val="21"/>
          <w:lang w:eastAsia="zh-CN"/>
        </w:rPr>
      </w:pPr>
      <w:r>
        <w:rPr>
          <w:rFonts w:hint="eastAsia" w:ascii="宋体" w:hAnsi="宋体" w:eastAsia="宋体"/>
          <w:kern w:val="2"/>
          <w:sz w:val="21"/>
          <w:szCs w:val="21"/>
          <w:lang w:eastAsia="zh-CN"/>
        </w:rPr>
        <w:t>38</w:t>
      </w:r>
      <w:r>
        <w:rPr>
          <w:rFonts w:ascii="宋体" w:hAnsi="宋体" w:eastAsia="宋体"/>
          <w:kern w:val="2"/>
          <w:sz w:val="21"/>
          <w:szCs w:val="21"/>
          <w:lang w:eastAsia="zh-CN"/>
        </w:rPr>
        <w:t>.</w:t>
      </w:r>
      <w:r>
        <w:rPr>
          <w:rFonts w:hint="eastAsia" w:ascii="宋体" w:hAnsi="宋体" w:eastAsia="宋体"/>
          <w:kern w:val="2"/>
          <w:sz w:val="21"/>
          <w:szCs w:val="21"/>
          <w:lang w:eastAsia="zh-CN"/>
        </w:rPr>
        <w:t>1.2</w:t>
      </w:r>
      <w:r>
        <w:rPr>
          <w:rFonts w:ascii="ˎ̥" w:hAnsi="ˎ̥" w:eastAsia="宋体"/>
          <w:kern w:val="2"/>
          <w:sz w:val="21"/>
          <w:szCs w:val="21"/>
          <w:lang w:eastAsia="zh-CN"/>
        </w:rPr>
        <w:t>采用最低价法的，评</w:t>
      </w:r>
      <w:r>
        <w:rPr>
          <w:rFonts w:hint="eastAsia" w:ascii="ˎ̥" w:hAnsi="ˎ̥" w:eastAsia="宋体"/>
          <w:kern w:val="2"/>
          <w:sz w:val="21"/>
          <w:szCs w:val="21"/>
          <w:lang w:eastAsia="zh-CN"/>
        </w:rPr>
        <w:t>审</w:t>
      </w:r>
      <w:r>
        <w:rPr>
          <w:rFonts w:ascii="ˎ̥" w:hAnsi="ˎ̥" w:eastAsia="宋体"/>
          <w:kern w:val="2"/>
          <w:sz w:val="21"/>
          <w:szCs w:val="21"/>
          <w:lang w:eastAsia="zh-CN"/>
        </w:rPr>
        <w:t>结果按投标报价由低到高顺序排列。投标报价相同的并列。投标文件满足</w:t>
      </w:r>
      <w:r>
        <w:rPr>
          <w:rFonts w:hint="eastAsia" w:ascii="ˎ̥" w:hAnsi="ˎ̥" w:eastAsia="宋体"/>
          <w:kern w:val="2"/>
          <w:sz w:val="21"/>
          <w:szCs w:val="21"/>
          <w:lang w:eastAsia="zh-CN"/>
        </w:rPr>
        <w:t>招标</w:t>
      </w:r>
      <w:r>
        <w:rPr>
          <w:rFonts w:ascii="ˎ̥" w:hAnsi="ˎ̥" w:eastAsia="宋体"/>
          <w:kern w:val="2"/>
          <w:sz w:val="21"/>
          <w:szCs w:val="21"/>
          <w:lang w:eastAsia="zh-CN"/>
        </w:rPr>
        <w:t>文件全部实质性要求且投标报价最低的</w:t>
      </w:r>
      <w:r>
        <w:rPr>
          <w:rFonts w:hint="eastAsia" w:ascii="ˎ̥" w:hAnsi="ˎ̥" w:eastAsia="宋体"/>
          <w:kern w:val="2"/>
          <w:sz w:val="21"/>
          <w:szCs w:val="21"/>
          <w:lang w:eastAsia="zh-CN"/>
        </w:rPr>
        <w:t>投标人为</w:t>
      </w:r>
      <w:bookmarkStart w:id="70" w:name="_Hlk73821177"/>
      <w:r>
        <w:rPr>
          <w:rFonts w:hint="eastAsia" w:ascii="ˎ̥" w:hAnsi="ˎ̥" w:eastAsia="宋体"/>
          <w:kern w:val="2"/>
          <w:sz w:val="21"/>
          <w:szCs w:val="21"/>
          <w:lang w:eastAsia="zh-CN"/>
        </w:rPr>
        <w:t>唯一候选中标供应商</w:t>
      </w:r>
      <w:bookmarkEnd w:id="70"/>
      <w:r>
        <w:rPr>
          <w:rFonts w:ascii="ˎ̥" w:hAnsi="ˎ̥" w:eastAsia="宋体"/>
          <w:kern w:val="2"/>
          <w:sz w:val="21"/>
          <w:szCs w:val="21"/>
          <w:lang w:eastAsia="zh-CN"/>
        </w:rPr>
        <w:t>。</w:t>
      </w:r>
    </w:p>
    <w:p w14:paraId="27BE290B">
      <w:pPr>
        <w:widowControl w:val="0"/>
        <w:ind w:firstLine="420" w:firstLineChars="200"/>
        <w:jc w:val="both"/>
        <w:rPr>
          <w:rFonts w:hint="eastAsia" w:ascii="ˎ̥" w:hAnsi="ˎ̥" w:eastAsia="宋体"/>
          <w:kern w:val="2"/>
          <w:sz w:val="21"/>
          <w:szCs w:val="21"/>
          <w:lang w:eastAsia="zh-CN"/>
        </w:rPr>
      </w:pPr>
      <w:r>
        <w:rPr>
          <w:rFonts w:hint="eastAsia" w:ascii="宋体" w:hAnsi="宋体" w:eastAsia="宋体"/>
          <w:kern w:val="2"/>
          <w:sz w:val="21"/>
          <w:szCs w:val="21"/>
          <w:lang w:eastAsia="zh-CN"/>
        </w:rPr>
        <w:t>38</w:t>
      </w:r>
      <w:r>
        <w:rPr>
          <w:rFonts w:ascii="宋体" w:hAnsi="宋体" w:eastAsia="宋体"/>
          <w:kern w:val="2"/>
          <w:sz w:val="21"/>
          <w:szCs w:val="21"/>
          <w:lang w:eastAsia="zh-CN"/>
        </w:rPr>
        <w:t>.</w:t>
      </w:r>
      <w:r>
        <w:rPr>
          <w:rFonts w:hint="eastAsia" w:ascii="宋体" w:hAnsi="宋体" w:eastAsia="宋体"/>
          <w:kern w:val="2"/>
          <w:sz w:val="21"/>
          <w:szCs w:val="21"/>
          <w:lang w:eastAsia="zh-CN"/>
        </w:rPr>
        <w:t>1.3</w:t>
      </w:r>
      <w:r>
        <w:rPr>
          <w:rFonts w:ascii="宋体" w:hAnsi="宋体" w:eastAsia="宋体"/>
          <w:kern w:val="2"/>
          <w:sz w:val="21"/>
          <w:szCs w:val="21"/>
          <w:lang w:eastAsia="zh-CN"/>
        </w:rPr>
        <w:t>采</w:t>
      </w:r>
      <w:r>
        <w:rPr>
          <w:rFonts w:ascii="ˎ̥" w:hAnsi="ˎ̥" w:eastAsia="宋体"/>
          <w:kern w:val="2"/>
          <w:sz w:val="21"/>
          <w:szCs w:val="21"/>
          <w:lang w:eastAsia="zh-CN"/>
        </w:rPr>
        <w:t>用综合评分法的，评标结果按评审后得分由高到低顺序排列。得分相同的，按投标报价由低到高顺序排列。得分且投标报价相同的并列。投标文件满足</w:t>
      </w:r>
      <w:r>
        <w:rPr>
          <w:rFonts w:hint="eastAsia" w:ascii="ˎ̥" w:hAnsi="ˎ̥" w:eastAsia="宋体"/>
          <w:kern w:val="2"/>
          <w:sz w:val="21"/>
          <w:szCs w:val="21"/>
          <w:lang w:eastAsia="zh-CN"/>
        </w:rPr>
        <w:t>招标</w:t>
      </w:r>
      <w:r>
        <w:rPr>
          <w:rFonts w:ascii="ˎ̥" w:hAnsi="ˎ̥" w:eastAsia="宋体"/>
          <w:kern w:val="2"/>
          <w:sz w:val="21"/>
          <w:szCs w:val="21"/>
          <w:lang w:eastAsia="zh-CN"/>
        </w:rPr>
        <w:t>文件全部实质性要求，且按照评审因素的量化指标评审得分最高的投标人</w:t>
      </w:r>
      <w:r>
        <w:rPr>
          <w:rFonts w:hint="eastAsia" w:ascii="ˎ̥" w:hAnsi="ˎ̥" w:eastAsia="宋体"/>
          <w:kern w:val="2"/>
          <w:sz w:val="21"/>
          <w:szCs w:val="21"/>
          <w:lang w:eastAsia="zh-CN"/>
        </w:rPr>
        <w:t>为唯一候选中标供应商</w:t>
      </w:r>
      <w:r>
        <w:rPr>
          <w:rFonts w:ascii="ˎ̥" w:hAnsi="ˎ̥" w:eastAsia="宋体"/>
          <w:kern w:val="2"/>
          <w:sz w:val="21"/>
          <w:szCs w:val="21"/>
          <w:lang w:eastAsia="zh-CN"/>
        </w:rPr>
        <w:t>。</w:t>
      </w:r>
      <w:r>
        <w:rPr>
          <w:rFonts w:hint="eastAsia" w:ascii="ˎ̥" w:hAnsi="ˎ̥" w:eastAsia="宋体"/>
          <w:kern w:val="2"/>
          <w:sz w:val="21"/>
          <w:szCs w:val="21"/>
          <w:lang w:eastAsia="zh-CN"/>
        </w:rPr>
        <w:t>出现</w:t>
      </w:r>
      <w:r>
        <w:rPr>
          <w:rFonts w:ascii="ˎ̥" w:hAnsi="ˎ̥" w:eastAsia="宋体"/>
          <w:kern w:val="2"/>
          <w:sz w:val="21"/>
          <w:szCs w:val="21"/>
          <w:lang w:eastAsia="zh-CN"/>
        </w:rPr>
        <w:t>得分且投标报价相同的并列</w:t>
      </w:r>
      <w:r>
        <w:rPr>
          <w:rFonts w:hint="eastAsia" w:ascii="ˎ̥" w:hAnsi="ˎ̥" w:eastAsia="宋体"/>
          <w:kern w:val="2"/>
          <w:sz w:val="21"/>
          <w:szCs w:val="21"/>
          <w:lang w:eastAsia="zh-CN"/>
        </w:rPr>
        <w:t>情况时，采取随机抽取的方式确定，具体操作办法及流程由评审委员会确定（如“专用条款”中另有规定的以“专用条款”相关规定内容为准）。如唯一候选中标供应商被认定投标或中标无效，采购人应当重新开展采购活动。</w:t>
      </w:r>
    </w:p>
    <w:p w14:paraId="20826CCF">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38.2评定分离项目定标方法</w:t>
      </w:r>
    </w:p>
    <w:p w14:paraId="2146AC81">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38.2.1评定分离是指在政府集中采购程序中，以公开招标方式执行采购，评审委员会负责对投标文件进行评审、推荐候选中标供应商并出具书面评审报告，由采购人根据评审委员会出具的评审报告从推荐的候选中标供应商中确定中标供应商。单个项目需要确定多家中标供应商的，不适用评定分离。</w:t>
      </w:r>
    </w:p>
    <w:p w14:paraId="36E5BB74">
      <w:pPr>
        <w:widowControl w:val="0"/>
        <w:ind w:firstLine="420" w:firstLineChars="200"/>
        <w:jc w:val="both"/>
        <w:rPr>
          <w:rFonts w:eastAsia="宋体"/>
          <w:kern w:val="2"/>
          <w:sz w:val="21"/>
          <w:szCs w:val="21"/>
          <w:lang w:eastAsia="zh-CN"/>
        </w:rPr>
      </w:pPr>
      <w:r>
        <w:rPr>
          <w:rFonts w:ascii="宋体" w:hAnsi="宋体" w:eastAsia="宋体"/>
          <w:kern w:val="2"/>
          <w:sz w:val="21"/>
          <w:szCs w:val="21"/>
          <w:lang w:eastAsia="zh-CN"/>
        </w:rPr>
        <w:t xml:space="preserve">38.2.2 </w:t>
      </w:r>
      <w:bookmarkStart w:id="71" w:name="_Hlk71469733"/>
      <w:r>
        <w:rPr>
          <w:rFonts w:eastAsia="宋体"/>
          <w:kern w:val="2"/>
          <w:sz w:val="21"/>
          <w:szCs w:val="21"/>
          <w:lang w:eastAsia="zh-CN"/>
        </w:rPr>
        <w:t>适用评定分离的</w:t>
      </w:r>
      <w:r>
        <w:rPr>
          <w:rFonts w:hint="eastAsia" w:eastAsia="宋体"/>
          <w:kern w:val="2"/>
          <w:sz w:val="21"/>
          <w:szCs w:val="21"/>
          <w:lang w:eastAsia="zh-CN"/>
        </w:rPr>
        <w:t>采购</w:t>
      </w:r>
      <w:r>
        <w:rPr>
          <w:rFonts w:eastAsia="宋体"/>
          <w:kern w:val="2"/>
          <w:sz w:val="21"/>
          <w:szCs w:val="21"/>
          <w:lang w:eastAsia="zh-CN"/>
        </w:rPr>
        <w:t>项目，采用综合评分法评</w:t>
      </w:r>
      <w:r>
        <w:rPr>
          <w:rFonts w:hint="eastAsia" w:eastAsia="宋体"/>
          <w:kern w:val="2"/>
          <w:sz w:val="21"/>
          <w:szCs w:val="21"/>
          <w:lang w:eastAsia="zh-CN"/>
        </w:rPr>
        <w:t>审。</w:t>
      </w:r>
      <w:r>
        <w:rPr>
          <w:rFonts w:hint="eastAsia" w:ascii="宋体" w:hAnsi="宋体" w:eastAsia="宋体"/>
          <w:kern w:val="2"/>
          <w:sz w:val="21"/>
          <w:szCs w:val="21"/>
          <w:lang w:eastAsia="zh-CN"/>
        </w:rPr>
        <w:t>评审委员会按照评审结果，推荐</w:t>
      </w:r>
      <w:r>
        <w:rPr>
          <w:rFonts w:eastAsia="宋体"/>
          <w:kern w:val="2"/>
          <w:sz w:val="21"/>
          <w:szCs w:val="21"/>
          <w:lang w:eastAsia="zh-CN"/>
        </w:rPr>
        <w:t>三个合格的候选中标供应商。</w:t>
      </w:r>
    </w:p>
    <w:p w14:paraId="312FECC8">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38.2.3</w:t>
      </w:r>
      <w:bookmarkStart w:id="72" w:name="_Hlk71469688"/>
      <w:r>
        <w:rPr>
          <w:rFonts w:eastAsia="宋体"/>
          <w:kern w:val="2"/>
          <w:sz w:val="21"/>
          <w:szCs w:val="21"/>
          <w:lang w:eastAsia="zh-CN"/>
        </w:rPr>
        <w:t>适用评定分离的</w:t>
      </w:r>
      <w:r>
        <w:rPr>
          <w:rFonts w:hint="eastAsia" w:eastAsia="宋体"/>
          <w:kern w:val="2"/>
          <w:sz w:val="21"/>
          <w:szCs w:val="21"/>
          <w:lang w:eastAsia="zh-CN"/>
        </w:rPr>
        <w:t>采购</w:t>
      </w:r>
      <w:r>
        <w:rPr>
          <w:rFonts w:eastAsia="宋体"/>
          <w:kern w:val="2"/>
          <w:sz w:val="21"/>
          <w:szCs w:val="21"/>
          <w:lang w:eastAsia="zh-CN"/>
        </w:rPr>
        <w:t>项目，</w:t>
      </w:r>
      <w:r>
        <w:rPr>
          <w:rFonts w:hint="eastAsia" w:ascii="宋体" w:hAnsi="宋体" w:eastAsia="宋体"/>
          <w:kern w:val="2"/>
          <w:sz w:val="21"/>
          <w:szCs w:val="21"/>
          <w:lang w:eastAsia="zh-CN"/>
        </w:rPr>
        <w:t>按照自定法确定中标供应商：自定法是指采购人组织定标委员会，由定标委员会在三家候选中标供应商中确定中标供应商。</w:t>
      </w:r>
      <w:bookmarkEnd w:id="71"/>
      <w:bookmarkEnd w:id="72"/>
    </w:p>
    <w:p w14:paraId="432CFFD6">
      <w:pPr>
        <w:widowControl w:val="0"/>
        <w:ind w:firstLine="420" w:firstLineChars="200"/>
        <w:jc w:val="both"/>
        <w:rPr>
          <w:rFonts w:hint="eastAsia" w:ascii="宋体" w:hAnsi="宋体" w:eastAsia="宋体"/>
          <w:kern w:val="2"/>
          <w:sz w:val="21"/>
          <w:szCs w:val="21"/>
          <w:lang w:eastAsia="zh-CN"/>
        </w:rPr>
      </w:pPr>
      <w:r>
        <w:rPr>
          <w:rFonts w:ascii="宋体" w:hAnsi="宋体" w:eastAsia="宋体"/>
          <w:kern w:val="2"/>
          <w:sz w:val="21"/>
          <w:szCs w:val="21"/>
          <w:lang w:eastAsia="zh-CN"/>
        </w:rPr>
        <w:t>38.2.4</w:t>
      </w:r>
      <w:r>
        <w:rPr>
          <w:rFonts w:hint="eastAsia" w:ascii="宋体" w:hAnsi="宋体" w:eastAsia="宋体"/>
          <w:kern w:val="2"/>
          <w:sz w:val="21"/>
          <w:szCs w:val="21"/>
          <w:lang w:eastAsia="zh-CN"/>
        </w:rPr>
        <w:t>政府集中采购机构</w:t>
      </w:r>
      <w:r>
        <w:rPr>
          <w:rFonts w:eastAsia="宋体"/>
          <w:kern w:val="2"/>
          <w:sz w:val="21"/>
          <w:szCs w:val="21"/>
          <w:lang w:eastAsia="zh-CN"/>
        </w:rPr>
        <w:t>应当自评审结束之日起两个工作日内将候选中标供应商名单及其投标文件、评审报告送交采购人</w:t>
      </w:r>
      <w:r>
        <w:rPr>
          <w:rFonts w:hint="eastAsia" w:ascii="宋体" w:hAnsi="宋体" w:eastAsia="宋体"/>
          <w:kern w:val="2"/>
          <w:sz w:val="21"/>
          <w:szCs w:val="21"/>
          <w:lang w:eastAsia="zh-CN"/>
        </w:rPr>
        <w:t>。</w:t>
      </w:r>
      <w:r>
        <w:rPr>
          <w:rFonts w:eastAsia="宋体"/>
          <w:kern w:val="2"/>
          <w:sz w:val="21"/>
          <w:szCs w:val="21"/>
          <w:lang w:eastAsia="zh-CN"/>
        </w:rPr>
        <w:t>采购人应当安排专人对定标过程进行书面记录，形成定标报告，作为采购文件的组成部分存档，并及时将定标结果反馈</w:t>
      </w:r>
      <w:r>
        <w:rPr>
          <w:rFonts w:hint="eastAsia" w:eastAsia="宋体"/>
          <w:kern w:val="2"/>
          <w:sz w:val="21"/>
          <w:szCs w:val="21"/>
          <w:lang w:eastAsia="zh-CN"/>
        </w:rPr>
        <w:t>政府集中采购机构。具体定标程序及相关要求以参照《</w:t>
      </w:r>
      <w:r>
        <w:rPr>
          <w:rFonts w:eastAsia="宋体"/>
          <w:kern w:val="2"/>
          <w:sz w:val="21"/>
          <w:szCs w:val="21"/>
          <w:lang w:eastAsia="zh-CN"/>
        </w:rPr>
        <w:t>深圳市财政局关于印发</w:t>
      </w:r>
      <w:r>
        <w:rPr>
          <w:rFonts w:hint="eastAsia" w:ascii="宋体" w:hAnsi="宋体" w:eastAsia="宋体"/>
          <w:kern w:val="2"/>
          <w:sz w:val="21"/>
          <w:szCs w:val="21"/>
          <w:lang w:eastAsia="zh-CN"/>
        </w:rPr>
        <w:t>〈</w:t>
      </w:r>
      <w:r>
        <w:rPr>
          <w:rFonts w:eastAsia="宋体"/>
          <w:kern w:val="2"/>
          <w:sz w:val="21"/>
          <w:szCs w:val="21"/>
          <w:lang w:eastAsia="zh-CN"/>
        </w:rPr>
        <w:t>深圳市政府采购评标定标分离管理办法</w:t>
      </w:r>
      <w:r>
        <w:rPr>
          <w:rFonts w:hint="eastAsia" w:ascii="宋体" w:hAnsi="宋体" w:eastAsia="宋体"/>
          <w:kern w:val="2"/>
          <w:sz w:val="21"/>
          <w:szCs w:val="21"/>
          <w:lang w:eastAsia="zh-CN"/>
        </w:rPr>
        <w:t>〉</w:t>
      </w:r>
      <w:r>
        <w:rPr>
          <w:rFonts w:eastAsia="宋体"/>
          <w:kern w:val="2"/>
          <w:sz w:val="21"/>
          <w:szCs w:val="21"/>
          <w:lang w:eastAsia="zh-CN"/>
        </w:rPr>
        <w:t>的通知</w:t>
      </w:r>
      <w:r>
        <w:rPr>
          <w:rFonts w:hint="eastAsia" w:eastAsia="宋体"/>
          <w:kern w:val="2"/>
          <w:sz w:val="21"/>
          <w:szCs w:val="21"/>
          <w:lang w:eastAsia="zh-CN"/>
        </w:rPr>
        <w:t>》（深财规【2</w:t>
      </w:r>
      <w:r>
        <w:rPr>
          <w:rFonts w:eastAsia="宋体"/>
          <w:kern w:val="2"/>
          <w:sz w:val="21"/>
          <w:szCs w:val="21"/>
          <w:lang w:eastAsia="zh-CN"/>
        </w:rPr>
        <w:t>020</w:t>
      </w:r>
      <w:r>
        <w:rPr>
          <w:rFonts w:hint="eastAsia" w:eastAsia="宋体"/>
          <w:kern w:val="2"/>
          <w:sz w:val="21"/>
          <w:szCs w:val="21"/>
          <w:lang w:eastAsia="zh-CN"/>
        </w:rPr>
        <w:t>】1号）执行。</w:t>
      </w:r>
    </w:p>
    <w:p w14:paraId="1A9000CD">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说明：采购人及投标供应商应按照上述方法提前做好相关准备。</w:t>
      </w:r>
    </w:p>
    <w:p w14:paraId="282F8D22">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38.3专用条款另有规定的，按专用条款相关要求定标。</w:t>
      </w:r>
      <w:bookmarkEnd w:id="69"/>
    </w:p>
    <w:p w14:paraId="21CCB1DB">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39．编写评审报告</w:t>
      </w:r>
    </w:p>
    <w:p w14:paraId="109E0407">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14:paraId="01A0C8F1">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40．中标（成交）公告</w:t>
      </w:r>
    </w:p>
    <w:p w14:paraId="2FA02218">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40.1</w:t>
      </w:r>
      <w:bookmarkStart w:id="73" w:name="_Hlk72438709"/>
      <w:r>
        <w:rPr>
          <w:rFonts w:hint="eastAsia" w:ascii="宋体" w:hAnsi="宋体" w:eastAsia="宋体"/>
          <w:kern w:val="2"/>
          <w:sz w:val="21"/>
          <w:szCs w:val="21"/>
          <w:lang w:eastAsia="zh-CN"/>
        </w:rPr>
        <w:t>为体现“公开、公平、公正”的原则，评审结束后经采购人确认（确定）评审结果，政府集中采购机构将在深圳交易集团（深圳公共资源交易中心）官网</w:t>
      </w:r>
      <w:r>
        <w:rPr>
          <w:rFonts w:hint="eastAsia" w:ascii="宋体" w:hAnsi="宋体" w:eastAsia="宋体"/>
          <w:b/>
          <w:bCs/>
          <w:kern w:val="2"/>
          <w:sz w:val="21"/>
          <w:szCs w:val="21"/>
          <w:lang w:eastAsia="zh-CN"/>
        </w:rPr>
        <w:t>https://www.szexgrp.com/jyfw/zfcg-view.html?id=zfcg</w:t>
      </w:r>
      <w:r>
        <w:rPr>
          <w:rFonts w:hint="eastAsia" w:ascii="宋体" w:hAnsi="宋体" w:eastAsia="宋体"/>
          <w:kern w:val="2"/>
          <w:sz w:val="21"/>
          <w:szCs w:val="21"/>
          <w:lang w:eastAsia="zh-CN"/>
        </w:rPr>
        <w:t>上发布中标结果公告。</w:t>
      </w:r>
      <w:bookmarkEnd w:id="73"/>
      <w:bookmarkStart w:id="74" w:name="_Hlk72438751"/>
      <w:r>
        <w:rPr>
          <w:rFonts w:hint="eastAsia" w:ascii="宋体" w:hAnsi="宋体" w:eastAsia="宋体"/>
          <w:kern w:val="2"/>
          <w:sz w:val="21"/>
          <w:szCs w:val="21"/>
          <w:lang w:eastAsia="zh-CN"/>
        </w:rPr>
        <w:t>中标(成交)公告公示内容包含:采购人名称、项目名称、预算金额、采购方式、成交供应商名称、成交金额。供应商如对评审结果有异议，</w:t>
      </w:r>
      <w:r>
        <w:rPr>
          <w:rFonts w:ascii="宋体" w:hAnsi="宋体" w:eastAsia="宋体"/>
          <w:kern w:val="2"/>
          <w:sz w:val="21"/>
          <w:szCs w:val="21"/>
          <w:lang w:eastAsia="zh-CN"/>
        </w:rPr>
        <w:t>可在发布公示日期起</w:t>
      </w:r>
      <w:r>
        <w:rPr>
          <w:rFonts w:hint="eastAsia" w:ascii="宋体" w:hAnsi="宋体" w:eastAsia="宋体"/>
          <w:kern w:val="2"/>
          <w:sz w:val="21"/>
          <w:szCs w:val="21"/>
          <w:lang w:eastAsia="zh-CN"/>
        </w:rPr>
        <w:t>七</w:t>
      </w:r>
      <w:r>
        <w:rPr>
          <w:rFonts w:ascii="宋体" w:hAnsi="宋体" w:eastAsia="宋体"/>
          <w:kern w:val="2"/>
          <w:sz w:val="21"/>
          <w:szCs w:val="21"/>
          <w:lang w:eastAsia="zh-CN"/>
        </w:rPr>
        <w:t>个工作日内向</w:t>
      </w:r>
      <w:r>
        <w:rPr>
          <w:rFonts w:hint="eastAsia" w:ascii="宋体" w:hAnsi="宋体" w:eastAsia="宋体"/>
          <w:kern w:val="2"/>
          <w:sz w:val="21"/>
          <w:szCs w:val="21"/>
          <w:lang w:eastAsia="zh-CN"/>
        </w:rPr>
        <w:t>政府集中采购机构</w:t>
      </w:r>
      <w:r>
        <w:rPr>
          <w:rFonts w:ascii="宋体" w:hAnsi="宋体" w:eastAsia="宋体"/>
          <w:kern w:val="2"/>
          <w:sz w:val="21"/>
          <w:szCs w:val="21"/>
          <w:lang w:eastAsia="zh-CN"/>
        </w:rPr>
        <w:t xml:space="preserve">提出。 </w:t>
      </w:r>
      <w:r>
        <w:rPr>
          <w:rFonts w:hint="eastAsia" w:ascii="宋体" w:hAnsi="宋体" w:eastAsia="宋体"/>
          <w:kern w:val="2"/>
          <w:sz w:val="21"/>
          <w:szCs w:val="21"/>
          <w:lang w:eastAsia="zh-CN"/>
        </w:rPr>
        <w:t xml:space="preserve"> 监督电话：0755-86500050</w:t>
      </w:r>
      <w:r>
        <w:rPr>
          <w:rFonts w:ascii="宋体" w:hAnsi="宋体" w:eastAsia="宋体"/>
          <w:kern w:val="2"/>
          <w:sz w:val="21"/>
          <w:szCs w:val="21"/>
          <w:lang w:eastAsia="zh-CN"/>
        </w:rPr>
        <w:t>。</w:t>
      </w:r>
      <w:r>
        <w:rPr>
          <w:rFonts w:hint="eastAsia" w:ascii="宋体" w:hAnsi="宋体" w:eastAsia="宋体"/>
          <w:kern w:val="2"/>
          <w:sz w:val="21"/>
          <w:szCs w:val="21"/>
          <w:lang w:eastAsia="zh-CN"/>
        </w:rPr>
        <w:t>若在公示期内未提出质疑，则视为认同该评审结果。</w:t>
      </w:r>
    </w:p>
    <w:bookmarkEnd w:id="74"/>
    <w:p w14:paraId="6C58CA79">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40.2质疑、投诉供应商应保证质疑、投诉内容的真实性和可靠性，并承担相应的法律责任。</w:t>
      </w:r>
    </w:p>
    <w:p w14:paraId="2BB9A9A8">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41．中标通知书</w:t>
      </w:r>
    </w:p>
    <w:p w14:paraId="09155B04">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41</w:t>
      </w:r>
      <w:r>
        <w:rPr>
          <w:rFonts w:ascii="宋体" w:hAnsi="宋体" w:eastAsia="宋体"/>
          <w:kern w:val="2"/>
          <w:sz w:val="21"/>
          <w:szCs w:val="21"/>
          <w:lang w:eastAsia="zh-CN"/>
        </w:rPr>
        <w:t>.</w:t>
      </w:r>
      <w:r>
        <w:rPr>
          <w:rFonts w:hint="eastAsia" w:ascii="宋体" w:hAnsi="宋体" w:eastAsia="宋体"/>
          <w:kern w:val="2"/>
          <w:sz w:val="21"/>
          <w:szCs w:val="21"/>
          <w:lang w:eastAsia="zh-CN"/>
        </w:rPr>
        <w:t>1</w:t>
      </w:r>
      <w:bookmarkStart w:id="75" w:name="_Hlk72438863"/>
      <w:r>
        <w:rPr>
          <w:rFonts w:hint="eastAsia" w:ascii="宋体" w:hAnsi="宋体" w:eastAsia="宋体"/>
          <w:kern w:val="2"/>
          <w:sz w:val="21"/>
          <w:szCs w:val="21"/>
          <w:lang w:eastAsia="zh-CN"/>
        </w:rPr>
        <w:t>中标公告公布以后无异常的情况下,中标供应商和采购人可自行在</w:t>
      </w:r>
      <w:r>
        <w:rPr>
          <w:rFonts w:hint="eastAsia" w:ascii="宋体" w:hAnsi="宋体" w:eastAsia="宋体"/>
          <w:b/>
          <w:bCs/>
          <w:kern w:val="2"/>
          <w:sz w:val="21"/>
          <w:szCs w:val="21"/>
          <w:lang w:eastAsia="zh-CN"/>
        </w:rPr>
        <w:t>“</w:t>
      </w:r>
      <w:r>
        <w:rPr>
          <w:rFonts w:hint="eastAsia" w:ascii="宋体" w:hAnsi="宋体" w:eastAsia="宋体"/>
          <w:kern w:val="2"/>
          <w:sz w:val="21"/>
          <w:szCs w:val="21"/>
          <w:lang w:eastAsia="zh-CN"/>
        </w:rPr>
        <w:t>深圳政府采购自行采购系统（https://trade.szggzy.com/ggzy/center/#/login）</w:t>
      </w:r>
      <w:r>
        <w:rPr>
          <w:rFonts w:hint="eastAsia" w:ascii="宋体" w:hAnsi="宋体" w:eastAsia="宋体"/>
          <w:b/>
          <w:bCs/>
          <w:kern w:val="2"/>
          <w:sz w:val="21"/>
          <w:szCs w:val="21"/>
          <w:lang w:eastAsia="zh-CN"/>
        </w:rPr>
        <w:t>”</w:t>
      </w:r>
      <w:r>
        <w:rPr>
          <w:rFonts w:hint="eastAsia" w:ascii="宋体" w:hAnsi="宋体" w:eastAsia="宋体"/>
          <w:kern w:val="2"/>
          <w:sz w:val="21"/>
          <w:szCs w:val="21"/>
          <w:lang w:eastAsia="zh-CN"/>
        </w:rPr>
        <w:t>上打印</w:t>
      </w:r>
      <w:r>
        <w:rPr>
          <w:rFonts w:hint="eastAsia" w:ascii="宋体" w:hAnsi="宋体" w:eastAsia="宋体"/>
          <w:b/>
          <w:kern w:val="2"/>
          <w:sz w:val="21"/>
          <w:szCs w:val="21"/>
          <w:lang w:eastAsia="zh-CN"/>
        </w:rPr>
        <w:t>《数字中标通知书》</w:t>
      </w:r>
      <w:r>
        <w:rPr>
          <w:rFonts w:hint="eastAsia" w:ascii="宋体" w:hAnsi="宋体" w:eastAsia="宋体"/>
          <w:kern w:val="2"/>
          <w:sz w:val="21"/>
          <w:szCs w:val="21"/>
          <w:lang w:eastAsia="zh-CN"/>
        </w:rPr>
        <w:t>。</w:t>
      </w:r>
      <w:bookmarkEnd w:id="75"/>
    </w:p>
    <w:p w14:paraId="2F1464F7">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41</w:t>
      </w:r>
      <w:r>
        <w:rPr>
          <w:rFonts w:ascii="宋体" w:hAnsi="宋体" w:eastAsia="宋体"/>
          <w:kern w:val="2"/>
          <w:sz w:val="21"/>
          <w:szCs w:val="21"/>
          <w:lang w:eastAsia="zh-CN"/>
        </w:rPr>
        <w:t>.2</w:t>
      </w:r>
      <w:r>
        <w:rPr>
          <w:rFonts w:hint="eastAsia" w:ascii="宋体" w:hAnsi="宋体" w:eastAsia="宋体"/>
          <w:kern w:val="2"/>
          <w:sz w:val="21"/>
          <w:szCs w:val="21"/>
          <w:lang w:eastAsia="zh-CN"/>
        </w:rPr>
        <w:t>中标通知书是合同的重要组成部分。</w:t>
      </w:r>
    </w:p>
    <w:p w14:paraId="2710ADC4">
      <w:pPr>
        <w:widowControl w:val="0"/>
        <w:ind w:firstLine="420" w:firstLineChars="200"/>
        <w:jc w:val="both"/>
        <w:rPr>
          <w:rFonts w:hint="eastAsia" w:ascii="宋体" w:hAnsi="宋体" w:eastAsia="宋体"/>
          <w:kern w:val="2"/>
          <w:sz w:val="21"/>
          <w:szCs w:val="21"/>
          <w:lang w:eastAsia="zh-CN"/>
        </w:rPr>
      </w:pPr>
      <w:bookmarkStart w:id="76" w:name="_Hlk71407340"/>
      <w:r>
        <w:rPr>
          <w:rFonts w:hint="eastAsia" w:ascii="宋体" w:hAnsi="宋体" w:eastAsia="宋体"/>
          <w:kern w:val="2"/>
          <w:sz w:val="21"/>
          <w:szCs w:val="21"/>
          <w:lang w:eastAsia="zh-CN"/>
        </w:rPr>
        <w:t>41.3因质疑投诉或其他原因导致项目结果变更或采购终止的，政府集中采购机构有权吊销中标通知书。</w:t>
      </w:r>
    </w:p>
    <w:bookmarkEnd w:id="76"/>
    <w:p w14:paraId="0B544304">
      <w:pPr>
        <w:widowControl w:val="0"/>
        <w:ind w:firstLine="411" w:firstLineChars="196"/>
        <w:jc w:val="both"/>
        <w:rPr>
          <w:rFonts w:hint="eastAsia" w:ascii="宋体" w:hAnsi="宋体" w:eastAsia="宋体"/>
          <w:kern w:val="2"/>
          <w:sz w:val="21"/>
          <w:szCs w:val="21"/>
          <w:lang w:eastAsia="zh-CN"/>
        </w:rPr>
      </w:pPr>
    </w:p>
    <w:p w14:paraId="4A63E657">
      <w:pPr>
        <w:keepNext/>
        <w:keepLines/>
        <w:widowControl w:val="0"/>
        <w:numPr>
          <w:ilvl w:val="0"/>
          <w:numId w:val="4"/>
        </w:numPr>
        <w:tabs>
          <w:tab w:val="left" w:pos="720"/>
        </w:tabs>
        <w:adjustRightInd w:val="0"/>
        <w:spacing w:before="120" w:beforeLines="50" w:after="120" w:afterLines="50"/>
        <w:ind w:left="1080" w:hanging="1080" w:firstLineChars="0"/>
        <w:jc w:val="center"/>
        <w:textAlignment w:val="baseline"/>
        <w:outlineLvl w:val="1"/>
        <w:rPr>
          <w:rFonts w:ascii="Cambria" w:hAnsi="Cambria" w:eastAsia="宋体"/>
          <w:b/>
          <w:bCs/>
          <w:kern w:val="2"/>
          <w:sz w:val="28"/>
          <w:szCs w:val="28"/>
          <w:lang w:eastAsia="zh-CN"/>
        </w:rPr>
      </w:pPr>
      <w:r>
        <w:rPr>
          <w:rFonts w:hint="eastAsia" w:ascii="Cambria" w:hAnsi="Cambria" w:eastAsia="宋体" w:cstheme="majorBidi"/>
          <w:b/>
          <w:bCs/>
          <w:kern w:val="2"/>
          <w:sz w:val="28"/>
          <w:szCs w:val="28"/>
          <w:lang w:eastAsia="zh-CN"/>
        </w:rPr>
        <w:t>公开招标失败的后续处理</w:t>
      </w:r>
    </w:p>
    <w:p w14:paraId="271A8BD2">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42．公开招标失败的处理</w:t>
      </w:r>
    </w:p>
    <w:p w14:paraId="2F91C408">
      <w:pPr>
        <w:widowControl w:val="0"/>
        <w:ind w:firstLine="411" w:firstLineChars="196"/>
        <w:jc w:val="both"/>
        <w:rPr>
          <w:rFonts w:hint="eastAsia" w:ascii="宋体" w:hAnsi="宋体" w:eastAsia="宋体"/>
          <w:kern w:val="2"/>
          <w:sz w:val="21"/>
          <w:lang w:eastAsia="zh-CN"/>
        </w:rPr>
      </w:pPr>
      <w:r>
        <w:rPr>
          <w:rFonts w:hint="eastAsia" w:ascii="宋体" w:hAnsi="宋体" w:eastAsia="宋体"/>
          <w:kern w:val="2"/>
          <w:sz w:val="21"/>
          <w:szCs w:val="21"/>
          <w:lang w:eastAsia="zh-CN"/>
        </w:rPr>
        <w:t>42.1本项目公开招标过程中若由于投标截止后</w:t>
      </w:r>
      <w:r>
        <w:rPr>
          <w:rFonts w:hint="eastAsia" w:ascii="宋体" w:hAnsi="宋体" w:eastAsia="宋体"/>
          <w:kern w:val="2"/>
          <w:sz w:val="21"/>
          <w:lang w:eastAsia="zh-CN"/>
        </w:rPr>
        <w:t>实际递交</w:t>
      </w:r>
      <w:r>
        <w:rPr>
          <w:rFonts w:ascii="宋体" w:hAnsi="宋体" w:eastAsia="宋体"/>
          <w:kern w:val="2"/>
          <w:sz w:val="21"/>
          <w:lang w:eastAsia="zh-CN"/>
        </w:rPr>
        <w:t>投标</w:t>
      </w:r>
      <w:r>
        <w:rPr>
          <w:rFonts w:hint="eastAsia" w:ascii="宋体" w:hAnsi="宋体" w:eastAsia="宋体"/>
          <w:kern w:val="2"/>
          <w:sz w:val="21"/>
          <w:lang w:eastAsia="zh-CN"/>
        </w:rPr>
        <w:t>文件的供应商数量不足、经</w:t>
      </w:r>
      <w:r>
        <w:rPr>
          <w:rFonts w:hint="eastAsia" w:ascii="宋体" w:hAnsi="宋体" w:eastAsia="宋体"/>
          <w:kern w:val="2"/>
          <w:sz w:val="21"/>
          <w:szCs w:val="21"/>
          <w:lang w:eastAsia="zh-CN"/>
        </w:rPr>
        <w:t>评审委员会</w:t>
      </w:r>
      <w:r>
        <w:rPr>
          <w:rFonts w:hint="eastAsia" w:ascii="宋体" w:hAnsi="宋体" w:eastAsia="宋体"/>
          <w:kern w:val="2"/>
          <w:sz w:val="21"/>
          <w:lang w:eastAsia="zh-CN"/>
        </w:rPr>
        <w:t>评审对招标文件作实质响应的供应商不足等原因造成公开招标失败，可由</w:t>
      </w:r>
      <w:r>
        <w:rPr>
          <w:rFonts w:hint="eastAsia" w:ascii="宋体" w:hAnsi="宋体" w:eastAsia="宋体" w:cs="宋体"/>
          <w:kern w:val="2"/>
          <w:sz w:val="21"/>
          <w:lang w:eastAsia="zh-CN"/>
        </w:rPr>
        <w:t>政府集中采购机构</w:t>
      </w:r>
      <w:r>
        <w:rPr>
          <w:rFonts w:hint="eastAsia" w:ascii="宋体" w:hAnsi="宋体" w:eastAsia="宋体"/>
          <w:kern w:val="2"/>
          <w:sz w:val="21"/>
          <w:lang w:eastAsia="zh-CN"/>
        </w:rPr>
        <w:t>重新组织采购。</w:t>
      </w:r>
    </w:p>
    <w:p w14:paraId="07612E2E">
      <w:pPr>
        <w:widowControl w:val="0"/>
        <w:ind w:firstLine="411" w:firstLineChars="196"/>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42.2对公开招标失败的项目，评审委员会在出具该项目招标失败结论的同时，可以提出重新采购组织形式的建议，以及进一步完善招标文件的资格、技术、商务要求的修改建议。</w:t>
      </w:r>
    </w:p>
    <w:p w14:paraId="0B9DB4F4">
      <w:pPr>
        <w:widowControl w:val="0"/>
        <w:ind w:firstLine="411" w:firstLineChars="196"/>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42.3重新组织采购有以下两种组织形式：</w:t>
      </w:r>
    </w:p>
    <w:p w14:paraId="58C6BFB4">
      <w:pPr>
        <w:widowControl w:val="0"/>
        <w:ind w:firstLine="411" w:firstLineChars="196"/>
        <w:jc w:val="both"/>
        <w:rPr>
          <w:rFonts w:hint="eastAsia" w:ascii="宋体" w:hAnsi="宋体" w:eastAsia="宋体"/>
          <w:kern w:val="2"/>
          <w:sz w:val="21"/>
          <w:lang w:eastAsia="zh-CN"/>
        </w:rPr>
      </w:pPr>
      <w:r>
        <w:rPr>
          <w:rFonts w:hint="eastAsia" w:ascii="宋体" w:hAnsi="宋体" w:eastAsia="宋体"/>
          <w:kern w:val="2"/>
          <w:sz w:val="21"/>
          <w:lang w:eastAsia="zh-CN"/>
        </w:rPr>
        <w:t>（1）由政府集中采购机构重新组织公开招标；</w:t>
      </w:r>
    </w:p>
    <w:p w14:paraId="5B21DD32">
      <w:pPr>
        <w:widowControl w:val="0"/>
        <w:ind w:firstLine="411" w:firstLineChars="196"/>
        <w:jc w:val="both"/>
        <w:rPr>
          <w:rFonts w:hint="eastAsia" w:ascii="宋体" w:hAnsi="宋体" w:eastAsia="宋体"/>
          <w:kern w:val="2"/>
          <w:sz w:val="21"/>
          <w:lang w:eastAsia="zh-CN"/>
        </w:rPr>
      </w:pPr>
      <w:r>
        <w:rPr>
          <w:rFonts w:hint="eastAsia" w:ascii="宋体" w:hAnsi="宋体" w:eastAsia="宋体"/>
          <w:kern w:val="2"/>
          <w:sz w:val="21"/>
          <w:lang w:eastAsia="zh-CN"/>
        </w:rPr>
        <w:t>（2）根据实际情况需要向采购人主管部门提出非公开招标方式申请，经采购人主管部门批准，公开招标失败采购项目可转为竞争性谈判或单一来源谈判方式采购。</w:t>
      </w:r>
    </w:p>
    <w:p w14:paraId="731FBDE5">
      <w:pPr>
        <w:widowControl w:val="0"/>
        <w:ind w:firstLine="411" w:firstLineChars="196"/>
        <w:jc w:val="both"/>
        <w:rPr>
          <w:rFonts w:hint="eastAsia" w:ascii="宋体" w:hAnsi="宋体" w:eastAsia="宋体"/>
          <w:kern w:val="2"/>
          <w:sz w:val="21"/>
          <w:lang w:eastAsia="zh-CN"/>
        </w:rPr>
      </w:pPr>
      <w:r>
        <w:rPr>
          <w:rFonts w:hint="eastAsia" w:ascii="宋体" w:hAnsi="宋体" w:eastAsia="宋体"/>
          <w:kern w:val="2"/>
          <w:sz w:val="21"/>
          <w:lang w:eastAsia="zh-CN"/>
        </w:rPr>
        <w:t>42.4公开招标失败的采购项目重新组织公开招标，由政府集中采购机构重新按公开招标流程组织采购活动。</w:t>
      </w:r>
    </w:p>
    <w:p w14:paraId="0FA95655">
      <w:pPr>
        <w:widowControl w:val="0"/>
        <w:ind w:firstLine="420" w:firstLineChars="200"/>
        <w:jc w:val="both"/>
        <w:rPr>
          <w:rFonts w:hint="eastAsia" w:ascii="黑体" w:hAnsi="宋体" w:eastAsia="黑体"/>
          <w:kern w:val="2"/>
          <w:lang w:eastAsia="zh-CN"/>
        </w:rPr>
      </w:pPr>
      <w:r>
        <w:rPr>
          <w:rFonts w:hint="eastAsia" w:ascii="宋体" w:hAnsi="宋体" w:eastAsia="宋体"/>
          <w:kern w:val="2"/>
          <w:sz w:val="21"/>
          <w:lang w:eastAsia="zh-CN"/>
        </w:rPr>
        <w:t>42.5公开招标失败的采购项目经采购人主管部门批准转为竞争性谈判或单一来源谈判方式采购的，按规定要求组织自行采购工作。</w:t>
      </w:r>
    </w:p>
    <w:p w14:paraId="4410C91A">
      <w:pPr>
        <w:widowControl w:val="0"/>
        <w:ind w:firstLine="420" w:firstLineChars="200"/>
        <w:jc w:val="both"/>
        <w:rPr>
          <w:rFonts w:hint="eastAsia" w:ascii="宋体" w:hAnsi="宋体" w:eastAsia="宋体"/>
          <w:kern w:val="2"/>
          <w:sz w:val="21"/>
          <w:szCs w:val="21"/>
          <w:lang w:eastAsia="zh-CN"/>
        </w:rPr>
      </w:pPr>
    </w:p>
    <w:p w14:paraId="10F65FD0">
      <w:pPr>
        <w:widowControl w:val="0"/>
        <w:jc w:val="both"/>
        <w:rPr>
          <w:rFonts w:hint="eastAsia" w:ascii="黑体" w:hAnsi="宋体" w:eastAsia="黑体"/>
          <w:kern w:val="2"/>
          <w:lang w:eastAsia="zh-CN"/>
        </w:rPr>
      </w:pPr>
    </w:p>
    <w:p w14:paraId="47E58306">
      <w:pPr>
        <w:keepNext/>
        <w:keepLines/>
        <w:widowControl w:val="0"/>
        <w:numPr>
          <w:ilvl w:val="0"/>
          <w:numId w:val="4"/>
        </w:numPr>
        <w:tabs>
          <w:tab w:val="left" w:pos="720"/>
        </w:tabs>
        <w:adjustRightInd w:val="0"/>
        <w:spacing w:before="120" w:beforeLines="50" w:after="120" w:afterLines="50"/>
        <w:ind w:left="1080" w:hanging="1080" w:firstLineChars="0"/>
        <w:jc w:val="center"/>
        <w:textAlignment w:val="baseline"/>
        <w:outlineLvl w:val="1"/>
        <w:rPr>
          <w:rFonts w:ascii="Cambria" w:hAnsi="Cambria" w:eastAsia="宋体"/>
          <w:b/>
          <w:bCs/>
          <w:kern w:val="2"/>
          <w:sz w:val="28"/>
          <w:szCs w:val="28"/>
          <w:lang w:eastAsia="zh-CN"/>
        </w:rPr>
      </w:pPr>
      <w:bookmarkStart w:id="77" w:name="_Hlk72439043"/>
      <w:r>
        <w:rPr>
          <w:rFonts w:hint="eastAsia" w:ascii="Cambria" w:hAnsi="Cambria" w:eastAsia="宋体" w:cstheme="majorBidi"/>
          <w:b/>
          <w:bCs/>
          <w:kern w:val="2"/>
          <w:sz w:val="28"/>
          <w:szCs w:val="28"/>
          <w:lang w:eastAsia="zh-CN"/>
        </w:rPr>
        <w:t>合同的授予与备案</w:t>
      </w:r>
      <w:bookmarkEnd w:id="77"/>
    </w:p>
    <w:p w14:paraId="78CC7049">
      <w:pPr>
        <w:widowControl w:val="0"/>
        <w:ind w:firstLine="420" w:firstLineChars="200"/>
        <w:jc w:val="both"/>
        <w:rPr>
          <w:rFonts w:hint="eastAsia" w:ascii="黑体" w:hAnsi="宋体" w:eastAsia="黑体"/>
          <w:kern w:val="2"/>
          <w:sz w:val="21"/>
          <w:szCs w:val="21"/>
          <w:lang w:eastAsia="zh-CN"/>
        </w:rPr>
      </w:pPr>
      <w:bookmarkStart w:id="78" w:name="_Toc73518157"/>
      <w:bookmarkStart w:id="79" w:name="_Toc73521586"/>
      <w:bookmarkStart w:id="80" w:name="_Toc73517679"/>
      <w:bookmarkStart w:id="81" w:name="_Toc73521674"/>
      <w:bookmarkStart w:id="82" w:name="_Toc100052408"/>
      <w:bookmarkStart w:id="83" w:name="_Hlk72439088"/>
      <w:r>
        <w:rPr>
          <w:rFonts w:hint="eastAsia" w:ascii="黑体" w:hAnsi="宋体" w:eastAsia="黑体"/>
          <w:kern w:val="2"/>
          <w:sz w:val="21"/>
          <w:szCs w:val="21"/>
          <w:lang w:eastAsia="zh-CN"/>
        </w:rPr>
        <w:t>43．合同授予标准</w:t>
      </w:r>
      <w:bookmarkEnd w:id="78"/>
      <w:bookmarkEnd w:id="79"/>
      <w:bookmarkEnd w:id="80"/>
      <w:bookmarkEnd w:id="81"/>
      <w:bookmarkEnd w:id="82"/>
    </w:p>
    <w:p w14:paraId="0953D037">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本项目的合同将授予经本招标文件规定评审确定的中标供应商。</w:t>
      </w:r>
    </w:p>
    <w:p w14:paraId="70D697F3">
      <w:pPr>
        <w:widowControl w:val="0"/>
        <w:ind w:firstLine="420" w:firstLineChars="200"/>
        <w:jc w:val="both"/>
        <w:rPr>
          <w:rFonts w:hint="eastAsia" w:ascii="黑体" w:hAnsi="宋体" w:eastAsia="黑体"/>
          <w:kern w:val="2"/>
          <w:sz w:val="21"/>
          <w:szCs w:val="21"/>
          <w:lang w:eastAsia="zh-CN"/>
        </w:rPr>
      </w:pPr>
      <w:bookmarkStart w:id="84" w:name="_Toc100052409"/>
      <w:bookmarkStart w:id="85" w:name="_Toc73517680"/>
      <w:bookmarkStart w:id="86" w:name="_Toc73521587"/>
      <w:bookmarkStart w:id="87" w:name="_Toc73521675"/>
      <w:bookmarkStart w:id="88" w:name="_Toc73518158"/>
      <w:r>
        <w:rPr>
          <w:rFonts w:hint="eastAsia" w:ascii="黑体" w:hAnsi="宋体" w:eastAsia="黑体"/>
          <w:kern w:val="2"/>
          <w:sz w:val="21"/>
          <w:szCs w:val="21"/>
          <w:lang w:eastAsia="zh-CN"/>
        </w:rPr>
        <w:t>44．</w:t>
      </w:r>
      <w:bookmarkEnd w:id="84"/>
      <w:bookmarkEnd w:id="85"/>
      <w:bookmarkEnd w:id="86"/>
      <w:bookmarkEnd w:id="87"/>
      <w:bookmarkEnd w:id="88"/>
      <w:r>
        <w:rPr>
          <w:rFonts w:hint="eastAsia" w:ascii="黑体" w:hAnsi="宋体" w:eastAsia="黑体"/>
          <w:kern w:val="2"/>
          <w:sz w:val="21"/>
          <w:szCs w:val="21"/>
          <w:lang w:eastAsia="zh-CN"/>
        </w:rPr>
        <w:t>接受和拒绝任何或所有投标的权力</w:t>
      </w:r>
    </w:p>
    <w:p w14:paraId="3DF76FBD">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政府集中采购机构和采购人保留在投标之前任何时候接受或拒绝任何投标或所有投标，以及宣布招标无效的权力，对受影响的投标人不承担任何责任，也无义务向受影响的投标人解释采取这一行动的理由。</w:t>
      </w:r>
    </w:p>
    <w:p w14:paraId="046BE03E">
      <w:pPr>
        <w:widowControl w:val="0"/>
        <w:ind w:firstLine="420" w:firstLineChars="200"/>
        <w:jc w:val="both"/>
        <w:rPr>
          <w:rFonts w:hint="eastAsia" w:ascii="黑体" w:hAnsi="宋体" w:eastAsia="黑体"/>
          <w:kern w:val="2"/>
          <w:sz w:val="21"/>
          <w:szCs w:val="21"/>
          <w:lang w:eastAsia="zh-CN"/>
        </w:rPr>
      </w:pPr>
      <w:bookmarkStart w:id="89" w:name="_Toc73517682"/>
      <w:bookmarkStart w:id="90" w:name="_Toc73521589"/>
      <w:bookmarkStart w:id="91" w:name="_Toc73518160"/>
      <w:bookmarkStart w:id="92" w:name="_Toc73521677"/>
      <w:bookmarkStart w:id="93" w:name="_Toc100052410"/>
      <w:r>
        <w:rPr>
          <w:rFonts w:hint="eastAsia" w:ascii="黑体" w:hAnsi="宋体" w:eastAsia="黑体"/>
          <w:kern w:val="2"/>
          <w:sz w:val="21"/>
          <w:szCs w:val="21"/>
          <w:lang w:eastAsia="zh-CN"/>
        </w:rPr>
        <w:t>45．合同的签订</w:t>
      </w:r>
      <w:bookmarkEnd w:id="89"/>
      <w:bookmarkEnd w:id="90"/>
      <w:bookmarkEnd w:id="91"/>
      <w:bookmarkEnd w:id="92"/>
      <w:bookmarkEnd w:id="93"/>
    </w:p>
    <w:p w14:paraId="7E1728D2">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45.1中标人将于中标通知书发出之日起十个工作日内，按照采购文件（招标文件和投标文件等）内容与采购人签订采购合同；合同的实质性内容应当符合招标文件的规定；</w:t>
      </w:r>
    </w:p>
    <w:p w14:paraId="0D66B42B">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45.2中标人应当按照合同约定履行义务，完成中标项目，不得将中标项目转让（转包）给他人。</w:t>
      </w:r>
    </w:p>
    <w:p w14:paraId="47696FCC">
      <w:pPr>
        <w:widowControl w:val="0"/>
        <w:ind w:firstLine="420" w:firstLineChars="200"/>
        <w:jc w:val="both"/>
        <w:rPr>
          <w:rFonts w:hint="eastAsia" w:ascii="黑体" w:hAnsi="宋体" w:eastAsia="黑体"/>
          <w:kern w:val="2"/>
          <w:sz w:val="21"/>
          <w:szCs w:val="21"/>
          <w:lang w:eastAsia="zh-CN"/>
        </w:rPr>
      </w:pPr>
      <w:bookmarkStart w:id="94" w:name="_Toc73521590"/>
      <w:bookmarkStart w:id="95" w:name="_Toc73517683"/>
      <w:bookmarkStart w:id="96" w:name="_Toc73518161"/>
      <w:bookmarkStart w:id="97" w:name="_Toc100052411"/>
      <w:bookmarkStart w:id="98" w:name="_Toc73521678"/>
      <w:r>
        <w:rPr>
          <w:rFonts w:hint="eastAsia" w:ascii="黑体" w:hAnsi="宋体" w:eastAsia="黑体"/>
          <w:kern w:val="2"/>
          <w:sz w:val="21"/>
          <w:szCs w:val="21"/>
          <w:lang w:eastAsia="zh-CN"/>
        </w:rPr>
        <w:t>46．履约担保</w:t>
      </w:r>
      <w:bookmarkEnd w:id="94"/>
      <w:bookmarkEnd w:id="95"/>
      <w:bookmarkEnd w:id="96"/>
      <w:bookmarkEnd w:id="97"/>
      <w:bookmarkEnd w:id="98"/>
    </w:p>
    <w:p w14:paraId="6B388187">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46.1在签订项目合同的同时，中标人应按“对通用条款的补充内容”中规定的金额向采购人提交履约担保；</w:t>
      </w:r>
    </w:p>
    <w:p w14:paraId="7BBA4B62">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46.2，允许供应商自主选择以支票、汇票、本票、保函等非现金方式提交履约担保；</w:t>
      </w:r>
      <w:r>
        <w:rPr>
          <w:rFonts w:eastAsia="宋体"/>
          <w:kern w:val="2"/>
          <w:sz w:val="21"/>
          <w:szCs w:val="21"/>
          <w:lang w:eastAsia="zh-CN"/>
        </w:rPr>
        <w:t>中标</w:t>
      </w:r>
      <w:r>
        <w:rPr>
          <w:rFonts w:hint="eastAsia" w:eastAsia="宋体"/>
          <w:kern w:val="2"/>
          <w:sz w:val="21"/>
          <w:szCs w:val="21"/>
          <w:lang w:eastAsia="zh-CN"/>
        </w:rPr>
        <w:t>人</w:t>
      </w:r>
      <w:r>
        <w:rPr>
          <w:rFonts w:eastAsia="宋体"/>
          <w:kern w:val="2"/>
          <w:sz w:val="21"/>
          <w:szCs w:val="21"/>
          <w:lang w:eastAsia="zh-CN"/>
        </w:rPr>
        <w:t>提交履约</w:t>
      </w:r>
      <w:r>
        <w:rPr>
          <w:rFonts w:hint="eastAsia" w:eastAsia="宋体"/>
          <w:kern w:val="2"/>
          <w:sz w:val="21"/>
          <w:szCs w:val="21"/>
          <w:lang w:eastAsia="zh-CN"/>
        </w:rPr>
        <w:t>担保不是</w:t>
      </w:r>
      <w:r>
        <w:rPr>
          <w:rFonts w:eastAsia="宋体"/>
          <w:kern w:val="2"/>
          <w:sz w:val="21"/>
          <w:szCs w:val="21"/>
          <w:lang w:eastAsia="zh-CN"/>
        </w:rPr>
        <w:t>合同签订的</w:t>
      </w:r>
      <w:r>
        <w:rPr>
          <w:rFonts w:hint="eastAsia" w:eastAsia="宋体"/>
          <w:kern w:val="2"/>
          <w:sz w:val="21"/>
          <w:szCs w:val="21"/>
          <w:lang w:eastAsia="zh-CN"/>
        </w:rPr>
        <w:t>前提</w:t>
      </w:r>
      <w:r>
        <w:rPr>
          <w:rFonts w:eastAsia="宋体"/>
          <w:kern w:val="2"/>
          <w:sz w:val="21"/>
          <w:szCs w:val="21"/>
          <w:lang w:eastAsia="zh-CN"/>
        </w:rPr>
        <w:t>条件，不要求中标</w:t>
      </w:r>
      <w:r>
        <w:rPr>
          <w:rFonts w:hint="eastAsia" w:eastAsia="宋体"/>
          <w:kern w:val="2"/>
          <w:sz w:val="21"/>
          <w:szCs w:val="21"/>
          <w:lang w:eastAsia="zh-CN"/>
        </w:rPr>
        <w:t>人</w:t>
      </w:r>
      <w:r>
        <w:rPr>
          <w:rFonts w:eastAsia="宋体"/>
          <w:kern w:val="2"/>
          <w:sz w:val="21"/>
          <w:szCs w:val="21"/>
          <w:lang w:eastAsia="zh-CN"/>
        </w:rPr>
        <w:t>提供除法律、法规明确规定外的其他担保</w:t>
      </w:r>
      <w:r>
        <w:rPr>
          <w:rFonts w:hint="eastAsia" w:eastAsia="宋体"/>
          <w:kern w:val="2"/>
          <w:sz w:val="21"/>
          <w:szCs w:val="21"/>
          <w:lang w:eastAsia="zh-CN"/>
        </w:rPr>
        <w:t>。</w:t>
      </w:r>
    </w:p>
    <w:p w14:paraId="2DA9FE9C">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47. 合同备案</w:t>
      </w:r>
    </w:p>
    <w:p w14:paraId="2D1EE444">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Hans"/>
        </w:rPr>
        <w:t>采购人与中标供应商自中标通知书发出之日起10个工作日内签订采购合同，</w:t>
      </w:r>
      <w:r>
        <w:rPr>
          <w:rFonts w:hint="eastAsia" w:ascii="宋体" w:hAnsi="宋体" w:eastAsia="宋体"/>
          <w:kern w:val="2"/>
          <w:sz w:val="21"/>
          <w:szCs w:val="21"/>
          <w:lang w:eastAsia="zh-CN"/>
        </w:rPr>
        <w:t>并按采购人内控制度规定提交备案。</w:t>
      </w:r>
    </w:p>
    <w:p w14:paraId="4FB36400">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48. 合同变更</w:t>
      </w:r>
    </w:p>
    <w:p w14:paraId="491B3E6B">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合同变更事宜参照《深圳市财政局关于优化政府采购合同备案的通知》（深财发保〔2022〕2号）相关规定，按采购人内控制度执行。</w:t>
      </w:r>
    </w:p>
    <w:p w14:paraId="49E7A90D">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49. 项目验收</w:t>
      </w:r>
    </w:p>
    <w:p w14:paraId="055325C9">
      <w:pPr>
        <w:widowControl/>
        <w:ind w:firstLine="420" w:firstLineChars="200"/>
        <w:jc w:val="left"/>
        <w:rPr>
          <w:rFonts w:hint="eastAsia" w:ascii="宋体" w:hAnsi="宋体" w:eastAsia="宋体"/>
          <w:kern w:val="2"/>
          <w:sz w:val="21"/>
          <w:szCs w:val="21"/>
          <w:lang w:eastAsia="zh-CN"/>
        </w:rPr>
      </w:pPr>
      <w:r>
        <w:rPr>
          <w:rFonts w:hint="eastAsia" w:ascii="宋体" w:hAnsi="宋体" w:eastAsia="宋体"/>
          <w:kern w:val="2"/>
          <w:sz w:val="21"/>
          <w:szCs w:val="21"/>
          <w:lang w:eastAsia="zh-CN"/>
        </w:rPr>
        <w:t>49.1采购人应当按照招标文件和合同规定的标准和方法，及时组织验收。</w:t>
      </w:r>
      <w:r>
        <w:rPr>
          <w:rFonts w:ascii="宋体" w:hAnsi="宋体" w:eastAsia="宋体"/>
          <w:kern w:val="2"/>
          <w:sz w:val="21"/>
          <w:szCs w:val="21"/>
          <w:lang w:eastAsia="zh-CN"/>
        </w:rPr>
        <w:t xml:space="preserve"> </w:t>
      </w:r>
    </w:p>
    <w:p w14:paraId="364D207C">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50. 宣传</w:t>
      </w:r>
    </w:p>
    <w:p w14:paraId="3F656374">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凡与采购活动有关的宣传或广告，若当中提及本项目采购，必须事先将具体对外宣传方案报采购人预算主管部门，并征得其同意。对外市场宣传包括但不限于以下形式：</w:t>
      </w:r>
    </w:p>
    <w:p w14:paraId="4C97C703">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a.名片、宣传册、广告标语等；</w:t>
      </w:r>
    </w:p>
    <w:p w14:paraId="31A87DE2">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b.案例介绍、推广等；</w:t>
      </w:r>
    </w:p>
    <w:p w14:paraId="6DECA8BE">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c.工作人员向其他消费群体宣传。</w:t>
      </w:r>
    </w:p>
    <w:p w14:paraId="2BAC1971">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51. 供应商违法责任</w:t>
      </w:r>
    </w:p>
    <w:p w14:paraId="42BA6096">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5</w:t>
      </w:r>
      <w:r>
        <w:rPr>
          <w:rFonts w:ascii="宋体" w:hAnsi="宋体" w:eastAsia="宋体"/>
          <w:kern w:val="2"/>
          <w:sz w:val="21"/>
          <w:szCs w:val="21"/>
          <w:lang w:eastAsia="zh-CN"/>
        </w:rPr>
        <w:t>1.1</w:t>
      </w:r>
      <w:r>
        <w:rPr>
          <w:rFonts w:hint="eastAsia" w:ascii="宋体" w:hAnsi="宋体" w:eastAsia="宋体"/>
          <w:kern w:val="2"/>
          <w:sz w:val="21"/>
          <w:szCs w:val="21"/>
          <w:lang w:eastAsia="zh-CN"/>
        </w:rPr>
        <w:t>《深圳经济特区政府采购条例》第五十七条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27A93133">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（1）在采购活动中应当回避而未回避的；</w:t>
      </w:r>
    </w:p>
    <w:p w14:paraId="31FD4314">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（2）未按本条例规定签订、履行采购合同，造成严重后果的；</w:t>
      </w:r>
    </w:p>
    <w:p w14:paraId="70F20115">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（3）隐瞒真实情况，提供虚假资料的；</w:t>
      </w:r>
    </w:p>
    <w:p w14:paraId="60C610E1">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（4）以非法手段排斥其他供应商参与竞争的；</w:t>
      </w:r>
    </w:p>
    <w:p w14:paraId="1A6C723E">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（5）与其他采购参加人串通投标的；</w:t>
      </w:r>
    </w:p>
    <w:p w14:paraId="01499F60">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（6）恶意投诉的；</w:t>
      </w:r>
    </w:p>
    <w:p w14:paraId="72963275">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（7）向采购项目相关人行贿或者提供其他不当利益的；</w:t>
      </w:r>
    </w:p>
    <w:p w14:paraId="4E56DEF7">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（8）阻碍、抗拒主管部门监督检查的；</w:t>
      </w:r>
    </w:p>
    <w:p w14:paraId="06D913BF">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（9）其他违反本条例规定的行为。</w:t>
      </w:r>
    </w:p>
    <w:p w14:paraId="5339237B">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5</w:t>
      </w:r>
      <w:r>
        <w:rPr>
          <w:rFonts w:ascii="宋体" w:hAnsi="宋体" w:eastAsia="宋体"/>
          <w:kern w:val="2"/>
          <w:sz w:val="21"/>
          <w:szCs w:val="21"/>
          <w:lang w:eastAsia="zh-CN"/>
        </w:rPr>
        <w:t xml:space="preserve">1.2 </w:t>
      </w:r>
      <w:r>
        <w:rPr>
          <w:rFonts w:hint="eastAsia" w:ascii="宋体" w:hAnsi="宋体" w:eastAsia="宋体"/>
          <w:kern w:val="2"/>
          <w:sz w:val="21"/>
          <w:szCs w:val="21"/>
          <w:lang w:eastAsia="zh-CN"/>
        </w:rPr>
        <w:t>根据《深圳市财政局关于调整政府采购投标（响应）保证金管理政策的通知 》（深财购〔2021〕51 号）的要求，供应商在采购活动中出现《深圳经济特区政府采购条例实施细则》第八十条所列情形的，</w:t>
      </w:r>
      <w:bookmarkStart w:id="99" w:name="_Hlk72440769"/>
      <w:r>
        <w:rPr>
          <w:rFonts w:hint="eastAsia" w:ascii="宋体" w:hAnsi="宋体" w:eastAsia="宋体"/>
          <w:kern w:val="2"/>
          <w:sz w:val="21"/>
          <w:szCs w:val="21"/>
          <w:lang w:eastAsia="zh-CN"/>
        </w:rPr>
        <w:t>政府集中采购机构或采购人不予退还其交纳的谈判保证金，情节严重的，并由主管部门</w:t>
      </w:r>
      <w:bookmarkEnd w:id="99"/>
      <w:r>
        <w:rPr>
          <w:rFonts w:hint="eastAsia" w:ascii="宋体" w:hAnsi="宋体" w:eastAsia="宋体"/>
          <w:kern w:val="2"/>
          <w:sz w:val="21"/>
          <w:szCs w:val="21"/>
          <w:lang w:eastAsia="zh-CN"/>
        </w:rPr>
        <w:t>记入供应商诚信档案，予以通报：</w:t>
      </w:r>
    </w:p>
    <w:p w14:paraId="2CD66223">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w:t>
      </w:r>
      <w:r>
        <w:rPr>
          <w:rFonts w:ascii="宋体" w:hAnsi="宋体" w:eastAsia="宋体"/>
          <w:kern w:val="2"/>
          <w:sz w:val="21"/>
          <w:szCs w:val="21"/>
          <w:lang w:eastAsia="zh-CN"/>
        </w:rPr>
        <w:t>）投标截止后，撤销投标的；</w:t>
      </w:r>
    </w:p>
    <w:p w14:paraId="00114CC3">
      <w:pPr>
        <w:widowControl w:val="0"/>
        <w:ind w:firstLine="420" w:firstLineChars="200"/>
        <w:jc w:val="both"/>
        <w:rPr>
          <w:rFonts w:hint="eastAsia" w:ascii="宋体" w:hAnsi="宋体" w:eastAsia="宋体"/>
          <w:kern w:val="2"/>
          <w:sz w:val="21"/>
          <w:szCs w:val="21"/>
          <w:lang w:eastAsia="zh-CN"/>
        </w:rPr>
      </w:pPr>
      <w:r>
        <w:rPr>
          <w:rFonts w:ascii="宋体" w:hAnsi="宋体" w:eastAsia="宋体"/>
          <w:kern w:val="2"/>
          <w:sz w:val="21"/>
          <w:szCs w:val="21"/>
          <w:lang w:eastAsia="zh-CN"/>
        </w:rPr>
        <w:t>（</w:t>
      </w:r>
      <w:r>
        <w:rPr>
          <w:rFonts w:hint="eastAsia" w:ascii="宋体" w:hAnsi="宋体" w:eastAsia="宋体"/>
          <w:kern w:val="2"/>
          <w:sz w:val="21"/>
          <w:szCs w:val="21"/>
          <w:lang w:eastAsia="zh-CN"/>
        </w:rPr>
        <w:t>2</w:t>
      </w:r>
      <w:r>
        <w:rPr>
          <w:rFonts w:ascii="宋体" w:hAnsi="宋体" w:eastAsia="宋体"/>
          <w:kern w:val="2"/>
          <w:sz w:val="21"/>
          <w:szCs w:val="21"/>
          <w:lang w:eastAsia="zh-CN"/>
        </w:rPr>
        <w:t>）中标后无正当理由未在规定期限内签订合同的；</w:t>
      </w:r>
    </w:p>
    <w:p w14:paraId="1F54C9C1">
      <w:pPr>
        <w:widowControl w:val="0"/>
        <w:ind w:firstLine="420" w:firstLineChars="200"/>
        <w:jc w:val="both"/>
        <w:rPr>
          <w:rFonts w:hint="eastAsia" w:ascii="宋体" w:hAnsi="宋体" w:eastAsia="宋体"/>
          <w:kern w:val="2"/>
          <w:sz w:val="21"/>
          <w:szCs w:val="21"/>
          <w:lang w:eastAsia="zh-CN"/>
        </w:rPr>
      </w:pPr>
      <w:r>
        <w:rPr>
          <w:rFonts w:ascii="宋体" w:hAnsi="宋体" w:eastAsia="宋体"/>
          <w:kern w:val="2"/>
          <w:sz w:val="21"/>
          <w:szCs w:val="21"/>
          <w:lang w:eastAsia="zh-CN"/>
        </w:rPr>
        <w:t>（</w:t>
      </w:r>
      <w:r>
        <w:rPr>
          <w:rFonts w:hint="eastAsia" w:ascii="宋体" w:hAnsi="宋体" w:eastAsia="宋体"/>
          <w:kern w:val="2"/>
          <w:sz w:val="21"/>
          <w:szCs w:val="21"/>
          <w:lang w:eastAsia="zh-CN"/>
        </w:rPr>
        <w:t>3</w:t>
      </w:r>
      <w:r>
        <w:rPr>
          <w:rFonts w:ascii="宋体" w:hAnsi="宋体" w:eastAsia="宋体"/>
          <w:kern w:val="2"/>
          <w:sz w:val="21"/>
          <w:szCs w:val="21"/>
          <w:lang w:eastAsia="zh-CN"/>
        </w:rPr>
        <w:t>）将中标项目转让给他人、或者在投标文件中未说明且未经采购人、采购</w:t>
      </w:r>
      <w:r>
        <w:rPr>
          <w:rFonts w:hint="eastAsia" w:ascii="宋体" w:hAnsi="宋体" w:eastAsia="宋体"/>
          <w:kern w:val="2"/>
          <w:sz w:val="21"/>
          <w:szCs w:val="21"/>
          <w:lang w:eastAsia="zh-CN"/>
        </w:rPr>
        <w:t>招标</w:t>
      </w:r>
      <w:r>
        <w:rPr>
          <w:rFonts w:ascii="宋体" w:hAnsi="宋体" w:eastAsia="宋体"/>
          <w:kern w:val="2"/>
          <w:sz w:val="21"/>
          <w:szCs w:val="21"/>
          <w:lang w:eastAsia="zh-CN"/>
        </w:rPr>
        <w:t>机构同意，将中标项目分包给他人的；</w:t>
      </w:r>
    </w:p>
    <w:p w14:paraId="7E0BD8CF">
      <w:pPr>
        <w:widowControl w:val="0"/>
        <w:ind w:firstLine="420" w:firstLineChars="200"/>
        <w:jc w:val="both"/>
        <w:rPr>
          <w:rFonts w:hint="eastAsia" w:ascii="宋体" w:hAnsi="宋体" w:eastAsia="宋体"/>
          <w:kern w:val="2"/>
          <w:sz w:val="21"/>
          <w:szCs w:val="21"/>
          <w:lang w:eastAsia="zh-CN"/>
        </w:rPr>
      </w:pPr>
      <w:r>
        <w:rPr>
          <w:rFonts w:ascii="宋体" w:hAnsi="宋体" w:eastAsia="宋体"/>
          <w:kern w:val="2"/>
          <w:sz w:val="21"/>
          <w:szCs w:val="21"/>
          <w:lang w:eastAsia="zh-CN"/>
        </w:rPr>
        <w:t>（</w:t>
      </w:r>
      <w:r>
        <w:rPr>
          <w:rFonts w:hint="eastAsia" w:ascii="宋体" w:hAnsi="宋体" w:eastAsia="宋体"/>
          <w:kern w:val="2"/>
          <w:sz w:val="21"/>
          <w:szCs w:val="21"/>
          <w:lang w:eastAsia="zh-CN"/>
        </w:rPr>
        <w:t>4</w:t>
      </w:r>
      <w:r>
        <w:rPr>
          <w:rFonts w:ascii="宋体" w:hAnsi="宋体" w:eastAsia="宋体"/>
          <w:kern w:val="2"/>
          <w:sz w:val="21"/>
          <w:szCs w:val="21"/>
          <w:lang w:eastAsia="zh-CN"/>
        </w:rPr>
        <w:t>）拒绝履行合同义务的</w:t>
      </w:r>
      <w:r>
        <w:rPr>
          <w:rFonts w:hint="eastAsia" w:ascii="宋体" w:hAnsi="宋体" w:eastAsia="宋体"/>
          <w:kern w:val="2"/>
          <w:sz w:val="21"/>
          <w:szCs w:val="21"/>
          <w:lang w:eastAsia="zh-CN"/>
        </w:rPr>
        <w:t>。</w:t>
      </w:r>
    </w:p>
    <w:p w14:paraId="198D1B35">
      <w:pPr>
        <w:widowControl w:val="0"/>
        <w:spacing w:line="360" w:lineRule="auto"/>
        <w:jc w:val="both"/>
        <w:rPr>
          <w:rFonts w:eastAsia="宋体"/>
          <w:b/>
          <w:bCs/>
          <w:kern w:val="2"/>
          <w:lang w:eastAsia="zh-CN"/>
        </w:rPr>
      </w:pPr>
    </w:p>
    <w:bookmarkEnd w:id="83"/>
    <w:p w14:paraId="6CA08FB5">
      <w:pPr>
        <w:keepNext/>
        <w:keepLines/>
        <w:widowControl w:val="0"/>
        <w:numPr>
          <w:ilvl w:val="0"/>
          <w:numId w:val="4"/>
        </w:numPr>
        <w:tabs>
          <w:tab w:val="left" w:pos="720"/>
        </w:tabs>
        <w:adjustRightInd w:val="0"/>
        <w:spacing w:before="120" w:beforeLines="50" w:after="120" w:afterLines="50"/>
        <w:ind w:left="1080" w:hanging="1080" w:firstLineChars="0"/>
        <w:jc w:val="center"/>
        <w:textAlignment w:val="baseline"/>
        <w:outlineLvl w:val="1"/>
        <w:rPr>
          <w:rFonts w:ascii="Cambria" w:hAnsi="Cambria" w:eastAsia="宋体"/>
          <w:b/>
          <w:bCs/>
          <w:kern w:val="2"/>
          <w:sz w:val="28"/>
          <w:szCs w:val="28"/>
          <w:lang w:eastAsia="zh-CN"/>
        </w:rPr>
      </w:pPr>
      <w:r>
        <w:rPr>
          <w:rFonts w:hint="eastAsia" w:ascii="Cambria" w:hAnsi="Cambria" w:eastAsia="宋体" w:cstheme="majorBidi"/>
          <w:b/>
          <w:bCs/>
          <w:kern w:val="2"/>
          <w:sz w:val="28"/>
          <w:szCs w:val="28"/>
          <w:lang w:eastAsia="zh-CN"/>
        </w:rPr>
        <w:t>质疑处理</w:t>
      </w:r>
    </w:p>
    <w:p w14:paraId="3FB3B82B">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52.质疑提出与答复</w:t>
      </w:r>
    </w:p>
    <w:p w14:paraId="78D4BEE5">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52.1提出质疑</w:t>
      </w:r>
    </w:p>
    <w:p w14:paraId="5D4B7DDC">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参与采购活动的供应商认为自己的权益在采购活动中受到损害的，应当自知道或者应当知道其权益受到损害之日起七个工作日内向采购人、政府集中采购机构以书面形式提出质疑。</w:t>
      </w:r>
    </w:p>
    <w:p w14:paraId="7AEBE834">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52.2</w:t>
      </w:r>
      <w:r>
        <w:rPr>
          <w:rFonts w:ascii="宋体" w:hAnsi="宋体" w:eastAsia="宋体"/>
          <w:kern w:val="2"/>
          <w:sz w:val="21"/>
          <w:szCs w:val="21"/>
          <w:lang w:eastAsia="zh-CN"/>
        </w:rPr>
        <w:t>法律依据</w:t>
      </w:r>
    </w:p>
    <w:p w14:paraId="028D61E9">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《中华人民共和国政府采购法》、《中华人民共和国政府采购法实施条例》、</w:t>
      </w:r>
      <w:r>
        <w:rPr>
          <w:rFonts w:ascii="宋体" w:hAnsi="宋体" w:eastAsia="宋体"/>
          <w:kern w:val="2"/>
          <w:sz w:val="21"/>
          <w:szCs w:val="21"/>
          <w:lang w:eastAsia="zh-CN"/>
        </w:rPr>
        <w:t>《</w:t>
      </w:r>
      <w:r>
        <w:rPr>
          <w:rFonts w:hint="eastAsia" w:ascii="宋体" w:hAnsi="宋体" w:eastAsia="宋体"/>
          <w:kern w:val="2"/>
          <w:sz w:val="21"/>
          <w:szCs w:val="21"/>
          <w:lang w:eastAsia="zh-CN"/>
        </w:rPr>
        <w:t>深圳经济特区政府采购</w:t>
      </w:r>
      <w:r>
        <w:rPr>
          <w:rFonts w:ascii="宋体" w:hAnsi="宋体" w:eastAsia="宋体"/>
          <w:kern w:val="2"/>
          <w:sz w:val="21"/>
          <w:szCs w:val="21"/>
          <w:lang w:eastAsia="zh-CN"/>
        </w:rPr>
        <w:t>条例</w:t>
      </w:r>
      <w:r>
        <w:rPr>
          <w:rFonts w:hint="eastAsia" w:ascii="宋体" w:hAnsi="宋体" w:eastAsia="宋体"/>
          <w:kern w:val="2"/>
          <w:sz w:val="21"/>
          <w:szCs w:val="21"/>
          <w:lang w:eastAsia="zh-CN"/>
        </w:rPr>
        <w:t>》、《深圳经济特区政府采购条例实施细则》、《政府采购质疑和投诉办法》（财政部令第94号）和其他有关法律法规规定。</w:t>
      </w:r>
    </w:p>
    <w:p w14:paraId="192E83B8">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52.3质疑条件</w:t>
      </w:r>
    </w:p>
    <w:p w14:paraId="185C30FC">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52.3.1提出质疑的供应商应当是参与所质疑项目采购活动的供应商；</w:t>
      </w:r>
      <w:bookmarkStart w:id="100" w:name="_Hlk75374941"/>
      <w:r>
        <w:rPr>
          <w:rFonts w:hint="eastAsia" w:ascii="宋体" w:hAnsi="宋体" w:eastAsia="宋体"/>
          <w:kern w:val="2"/>
          <w:sz w:val="21"/>
          <w:szCs w:val="21"/>
          <w:lang w:eastAsia="zh-CN"/>
        </w:rPr>
        <w:t>以联合体形式参与的，质疑应当由组成联合体的所有成员共同提出</w:t>
      </w:r>
      <w:bookmarkEnd w:id="100"/>
      <w:r>
        <w:rPr>
          <w:rFonts w:hint="eastAsia" w:ascii="宋体" w:hAnsi="宋体" w:eastAsia="宋体"/>
          <w:kern w:val="2"/>
          <w:sz w:val="21"/>
          <w:szCs w:val="21"/>
          <w:lang w:eastAsia="zh-CN"/>
        </w:rPr>
        <w:t>；</w:t>
      </w:r>
    </w:p>
    <w:p w14:paraId="7F04D49D">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52.3.2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结果以及评审委员会组成人员的质疑，为中标结果公示之日；</w:t>
      </w:r>
    </w:p>
    <w:p w14:paraId="505162DC">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52.3.3应提交书面质疑函，质疑函应当包括以下内容：</w:t>
      </w:r>
      <w:r>
        <w:rPr>
          <w:rFonts w:ascii="宋体" w:hAnsi="宋体" w:eastAsia="宋体"/>
          <w:kern w:val="2"/>
          <w:sz w:val="21"/>
          <w:szCs w:val="21"/>
          <w:lang w:eastAsia="zh-CN"/>
        </w:rPr>
        <w:t xml:space="preserve"> </w:t>
      </w:r>
    </w:p>
    <w:p w14:paraId="48E10786">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（1）供应商的名称（或者姓名）、地址、邮编、邮箱、联系人及联系电话；</w:t>
      </w:r>
    </w:p>
    <w:p w14:paraId="4098163D">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（2）质疑项目的名称、编号；</w:t>
      </w:r>
    </w:p>
    <w:p w14:paraId="2096E0C5">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（3）具体、明确的质疑对象、质疑事项和质疑请求；</w:t>
      </w:r>
    </w:p>
    <w:p w14:paraId="64585E5B">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（4）因质疑事项而受损害的权益；</w:t>
      </w:r>
    </w:p>
    <w:p w14:paraId="1A483A2D">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（5）事实依据；</w:t>
      </w:r>
    </w:p>
    <w:p w14:paraId="1377FC93">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（6）必要的法律依据；</w:t>
      </w:r>
    </w:p>
    <w:p w14:paraId="73FA759F">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（7）提出质疑的日期。</w:t>
      </w:r>
    </w:p>
    <w:p w14:paraId="58997BA9">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供应商为自然人的，应当由本人签字；供应商为法人或者其他组织的，应当由法定代表人（负责人），或者其授权代理人签字或者盖章，并加盖公章。</w:t>
      </w:r>
    </w:p>
    <w:p w14:paraId="48A33D59">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52.4提交</w:t>
      </w:r>
      <w:r>
        <w:rPr>
          <w:rFonts w:ascii="宋体" w:hAnsi="宋体" w:eastAsia="宋体"/>
          <w:kern w:val="2"/>
          <w:sz w:val="21"/>
          <w:szCs w:val="21"/>
          <w:lang w:eastAsia="zh-CN"/>
        </w:rPr>
        <w:t>材料</w:t>
      </w:r>
    </w:p>
    <w:p w14:paraId="2544D341">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供应商质疑实行实名制。供应商为自然人的，应当提交本人身份证复印件；供应商为法人或者其他组织的，应当根据自身性质提交营业执照复印件或者其他证明文件（如事业单位法人证书等）复印件。</w:t>
      </w:r>
    </w:p>
    <w:p w14:paraId="29D22A02">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供应商可以委托代理人进行质疑。</w:t>
      </w:r>
      <w:r>
        <w:rPr>
          <w:rFonts w:ascii="宋体" w:hAnsi="宋体" w:eastAsia="宋体"/>
          <w:kern w:val="2"/>
          <w:sz w:val="21"/>
          <w:szCs w:val="21"/>
          <w:lang w:eastAsia="zh-CN"/>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29776EBB">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52.5收文地点</w:t>
      </w:r>
    </w:p>
    <w:p w14:paraId="2314AC09">
      <w:pPr>
        <w:widowControl w:val="0"/>
        <w:ind w:firstLine="422" w:firstLineChars="200"/>
        <w:jc w:val="both"/>
        <w:rPr>
          <w:rFonts w:hint="eastAsia" w:ascii="宋体" w:hAnsi="宋体" w:eastAsia="宋体"/>
          <w:b/>
          <w:bCs/>
          <w:kern w:val="2"/>
          <w:sz w:val="21"/>
          <w:szCs w:val="21"/>
          <w:lang w:eastAsia="zh-CN"/>
        </w:rPr>
      </w:pPr>
      <w:r>
        <w:rPr>
          <w:rFonts w:hint="eastAsia" w:ascii="宋体" w:hAnsi="宋体" w:eastAsia="宋体"/>
          <w:b/>
          <w:bCs/>
          <w:kern w:val="2"/>
          <w:sz w:val="21"/>
          <w:szCs w:val="21"/>
          <w:lang w:eastAsia="zh-CN"/>
        </w:rPr>
        <w:t>地址：深圳公共资源交易中心（深圳交易集团有限公司政府采购业务分公司）27楼，质疑咨询电话：0755-</w:t>
      </w:r>
      <w:r>
        <w:rPr>
          <w:rFonts w:hint="eastAsia" w:ascii="宋体" w:hAnsi="宋体" w:eastAsia="宋体"/>
          <w:b/>
          <w:kern w:val="2"/>
          <w:sz w:val="21"/>
          <w:lang w:eastAsia="zh-CN"/>
        </w:rPr>
        <w:t>86500050</w:t>
      </w:r>
      <w:r>
        <w:rPr>
          <w:rFonts w:hint="eastAsia" w:ascii="宋体" w:hAnsi="宋体" w:eastAsia="宋体"/>
          <w:b/>
          <w:bCs/>
          <w:kern w:val="2"/>
          <w:sz w:val="21"/>
          <w:szCs w:val="21"/>
          <w:lang w:eastAsia="zh-CN"/>
        </w:rPr>
        <w:t>。</w:t>
      </w:r>
    </w:p>
    <w:p w14:paraId="74B645D0">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52.6收文办理</w:t>
      </w:r>
      <w:r>
        <w:rPr>
          <w:rFonts w:ascii="宋体" w:hAnsi="宋体" w:eastAsia="宋体"/>
          <w:kern w:val="2"/>
          <w:sz w:val="21"/>
          <w:szCs w:val="21"/>
          <w:lang w:eastAsia="zh-CN"/>
        </w:rPr>
        <w:t>程序</w:t>
      </w:r>
    </w:p>
    <w:p w14:paraId="07B067B5">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52.6.1供应商提交的质疑符合受理条件的，政府集中采购机构自收到质疑材料之日起即为受理，应当向供应商出具质疑函收文回执并可以要求其递交质疑的法定代表人（负责人）或者授权代理人签署质疑文书送达地址确认书。</w:t>
      </w:r>
    </w:p>
    <w:p w14:paraId="316DE2EB">
      <w:pPr>
        <w:widowControl w:val="0"/>
        <w:ind w:firstLine="420" w:firstLineChars="200"/>
        <w:jc w:val="both"/>
        <w:rPr>
          <w:rFonts w:hint="eastAsia" w:ascii="仿宋" w:hAnsi="仿宋" w:eastAsia="仿宋"/>
          <w:kern w:val="2"/>
          <w:sz w:val="21"/>
          <w:szCs w:val="21"/>
          <w:lang w:eastAsia="zh-CN"/>
        </w:rPr>
      </w:pPr>
      <w:r>
        <w:rPr>
          <w:rFonts w:hint="eastAsia" w:ascii="宋体" w:hAnsi="宋体" w:eastAsia="宋体"/>
          <w:kern w:val="2"/>
          <w:sz w:val="21"/>
          <w:szCs w:val="21"/>
          <w:lang w:eastAsia="zh-CN"/>
        </w:rPr>
        <w:t>52.6.2供应商提交的质疑材料不符合质疑条件的，视情况处理：</w:t>
      </w:r>
    </w:p>
    <w:p w14:paraId="025EC013">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供应商提交的质疑材料不全或者未按要求签字或者盖章的，政府集中采购机构应当一次性告知供应商需补正的内容和补正期限。</w:t>
      </w:r>
    </w:p>
    <w:p w14:paraId="6FD7147B">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供应商提交的质疑存在下列情形之一的，不予受理：</w:t>
      </w:r>
    </w:p>
    <w:p w14:paraId="25CEDF8C">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（1）质疑主体不满足要求的；</w:t>
      </w:r>
    </w:p>
    <w:p w14:paraId="46D13B52">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（2）供应商自身权益未受到损害的；</w:t>
      </w:r>
    </w:p>
    <w:p w14:paraId="7BDB0E4D">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（3）供应商未在法定质疑期限内提出质疑的；</w:t>
      </w:r>
    </w:p>
    <w:p w14:paraId="79B3F540">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（4）质疑材料不全或者未按要求签字或者盖章的情况下，要求补正后，逾期未补正或者补正后仍不符合规定的；</w:t>
      </w:r>
    </w:p>
    <w:p w14:paraId="46EA1D7D">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（5）其他不符合受理条件情形的。</w:t>
      </w:r>
    </w:p>
    <w:p w14:paraId="0B463540">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质疑事项不予受理的，政府集中采购机构应当向供应商出具不符合质疑条件告知书。</w:t>
      </w:r>
    </w:p>
    <w:p w14:paraId="301F4F0F">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52.7质疑答复时限</w:t>
      </w:r>
    </w:p>
    <w:p w14:paraId="4D2BF6DA">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自收文之日起七个工作日内。</w:t>
      </w:r>
    </w:p>
    <w:p w14:paraId="204FF9E0">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52.8争议（投诉）</w:t>
      </w:r>
    </w:p>
    <w:p w14:paraId="6A0223EB">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对质疑答复不满意或者未在规定时间内答复的，提出质疑的供应商可以在答复期满后15个工作日内向本项目预算主管单位投诉。</w:t>
      </w:r>
    </w:p>
    <w:p w14:paraId="471D1687">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53. 质疑后续处理</w:t>
      </w:r>
    </w:p>
    <w:p w14:paraId="02B74D5E">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53.1供应商质疑不成立，或者成立但未对中标、成交结果构成影响的，继续开展采购活动。</w:t>
      </w:r>
    </w:p>
    <w:p w14:paraId="4339EB0F">
      <w:pPr>
        <w:widowControl w:val="0"/>
        <w:ind w:firstLine="420" w:firstLineChars="200"/>
        <w:jc w:val="left"/>
        <w:rPr>
          <w:rFonts w:eastAsia="宋体"/>
          <w:kern w:val="2"/>
          <w:sz w:val="21"/>
          <w:szCs w:val="21"/>
          <w:lang w:eastAsia="zh-CN"/>
        </w:rPr>
      </w:pPr>
      <w:r>
        <w:rPr>
          <w:rFonts w:hint="eastAsia" w:ascii="宋体" w:hAnsi="宋体" w:eastAsia="宋体"/>
          <w:kern w:val="2"/>
          <w:sz w:val="21"/>
          <w:szCs w:val="21"/>
          <w:lang w:eastAsia="zh-CN"/>
        </w:rPr>
        <w:t>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合格供应商符合法定数量时，可以从合格的中标或者成交候选人中另行确定中标、成交供应商的，应当依法另行确定中标、成交供应商；否则应当重新开展采购活动。</w:t>
      </w:r>
    </w:p>
    <w:p w14:paraId="63E88124">
      <w:pPr>
        <w:widowControl w:val="0"/>
        <w:ind w:firstLine="420" w:firstLineChars="200"/>
        <w:jc w:val="left"/>
        <w:rPr>
          <w:rFonts w:eastAsia="宋体"/>
          <w:kern w:val="2"/>
          <w:sz w:val="21"/>
          <w:szCs w:val="21"/>
          <w:lang w:eastAsia="zh-CN"/>
        </w:rPr>
      </w:pPr>
    </w:p>
    <w:p w14:paraId="7D8FB6B0">
      <w:pPr>
        <w:widowControl w:val="0"/>
        <w:jc w:val="center"/>
        <w:rPr>
          <w:rFonts w:eastAsia="宋体"/>
          <w:kern w:val="2"/>
          <w:sz w:val="21"/>
          <w:lang w:eastAsia="zh-CN"/>
        </w:rPr>
      </w:pPr>
      <w:r>
        <w:rPr>
          <w:rFonts w:eastAsia="宋体"/>
          <w:kern w:val="2"/>
          <w:sz w:val="21"/>
          <w:lang w:eastAsia="zh-CN"/>
        </w:rPr>
        <w:t>---- END ----</w:t>
      </w:r>
      <w:bookmarkEnd w:id="45"/>
    </w:p>
    <w:p w14:paraId="4B0E65EF">
      <w:pPr>
        <w:widowControl w:val="0"/>
        <w:jc w:val="both"/>
        <w:rPr>
          <w:rFonts w:hint="eastAsia" w:ascii="宋体" w:hAnsi="宋体" w:eastAsia="宋体"/>
          <w:kern w:val="2"/>
          <w:sz w:val="21"/>
          <w:szCs w:val="21"/>
          <w:lang w:eastAsia="zh-CN"/>
        </w:rPr>
        <w:sectPr>
          <w:headerReference r:id="rId4" w:type="first"/>
          <w:headerReference r:id="rId3" w:type="default"/>
          <w:footerReference r:id="rId5" w:type="default"/>
          <w:footerReference r:id="rId6" w:type="even"/>
          <w:pgSz w:w="11907" w:h="16840"/>
          <w:pgMar w:top="1440" w:right="1797" w:bottom="1440" w:left="1797" w:header="851" w:footer="992" w:gutter="0"/>
          <w:cols w:space="425" w:num="1"/>
          <w:titlePg/>
          <w:docGrid w:linePitch="462" w:charSpace="0"/>
        </w:sectPr>
      </w:pPr>
    </w:p>
    <w:p w14:paraId="19C8475F">
      <w:pPr>
        <w:pBdr>
          <w:top w:val="none" w:color="auto" w:sz="0" w:space="0"/>
          <w:left w:val="single" w:color="DDDDDD" w:sz="6" w:space="0"/>
          <w:bottom w:val="none" w:color="auto" w:sz="0" w:space="0"/>
          <w:right w:val="single" w:color="DDDDDD" w:sz="6" w:space="0"/>
        </w:pBdr>
        <w:spacing w:before="0" w:after="0" w:line="648" w:lineRule="atLeast"/>
        <w:ind w:left="15" w:right="15"/>
        <w:jc w:val="center"/>
        <w:outlineLvl w:val="0"/>
        <w:rPr>
          <w:rFonts w:ascii="仿宋" w:hAnsi="仿宋" w:eastAsia="仿宋" w:cs="仿宋"/>
          <w:b/>
          <w:bCs/>
          <w:color w:val="000000"/>
          <w:sz w:val="48"/>
          <w:szCs w:val="48"/>
          <w:lang w:val="en" w:eastAsia="en"/>
        </w:rPr>
      </w:pPr>
      <w:r>
        <w:rPr>
          <w:rFonts w:ascii="仿宋" w:hAnsi="仿宋" w:eastAsia="仿宋" w:cs="仿宋"/>
          <w:b/>
          <w:bCs/>
          <w:color w:val="000000"/>
          <w:sz w:val="48"/>
          <w:szCs w:val="48"/>
          <w:lang w:val="en" w:eastAsia="en"/>
        </w:rPr>
        <w:t>投标文件格式</w:t>
      </w:r>
    </w:p>
    <w:p w14:paraId="023BD769">
      <w:pPr>
        <w:pBdr>
          <w:top w:val="none" w:color="auto" w:sz="0" w:space="0"/>
          <w:left w:val="none" w:color="auto" w:sz="0" w:space="0"/>
          <w:bottom w:val="none" w:color="auto" w:sz="0" w:space="0"/>
          <w:right w:val="none" w:color="auto" w:sz="0" w:space="0"/>
        </w:pBdr>
        <w:spacing w:before="0" w:after="0" w:line="504" w:lineRule="atLeast"/>
        <w:ind w:left="15" w:right="15"/>
        <w:jc w:val="center"/>
        <w:rPr>
          <w:rFonts w:ascii="仿宋" w:hAnsi="仿宋" w:eastAsia="仿宋" w:cs="仿宋"/>
          <w:b/>
          <w:bCs/>
          <w:color w:val="333333"/>
          <w:sz w:val="28"/>
          <w:szCs w:val="28"/>
          <w:lang w:val="en" w:eastAsia="en"/>
        </w:rPr>
      </w:pPr>
      <w:r>
        <w:rPr>
          <w:rFonts w:ascii="仿宋" w:hAnsi="仿宋" w:eastAsia="仿宋" w:cs="仿宋"/>
          <w:b/>
          <w:bCs/>
          <w:color w:val="333333"/>
          <w:sz w:val="28"/>
          <w:szCs w:val="28"/>
          <w:lang w:val="en" w:eastAsia="en"/>
        </w:rPr>
        <w:t>深圳市医疗保障局医保基金预警监测和监管协同处置平台项目、医保数据融合应用项目第三方测评</w:t>
      </w:r>
    </w:p>
    <w:tbl>
      <w:tblPr>
        <w:tblStyle w:val="34"/>
        <w:tblW w:w="5000" w:type="pct"/>
        <w:tblInd w:w="15" w:type="dxa"/>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Layout w:type="fixed"/>
        <w:tblCellMar>
          <w:top w:w="0" w:type="dxa"/>
          <w:left w:w="0" w:type="dxa"/>
          <w:bottom w:w="0" w:type="dxa"/>
          <w:right w:w="0" w:type="dxa"/>
        </w:tblCellMar>
      </w:tblPr>
      <w:tblGrid>
        <w:gridCol w:w="1644"/>
        <w:gridCol w:w="7492"/>
      </w:tblGrid>
      <w:tr w14:paraId="6AB5385B">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tblHeader/>
        </w:trPr>
        <w:tc>
          <w:tcPr>
            <w:tcW w:w="90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04D1AB6C">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序号</w:t>
            </w:r>
          </w:p>
        </w:tc>
        <w:tc>
          <w:tcPr>
            <w:tcW w:w="410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3B69D3E4">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文件夹/文件名称</w:t>
            </w:r>
          </w:p>
        </w:tc>
      </w:tr>
      <w:tr w14:paraId="27AE8306">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79A3AF8">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F7F1F15">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投标函</w:t>
            </w:r>
          </w:p>
        </w:tc>
      </w:tr>
      <w:tr w14:paraId="3F50E123">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92016BC">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2</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459DD46">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采购投标及履约承诺函</w:t>
            </w:r>
          </w:p>
        </w:tc>
      </w:tr>
      <w:tr w14:paraId="42A10743">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7555A49">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3</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18FDC30">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投标人情况及资格证明文件</w:t>
            </w:r>
          </w:p>
        </w:tc>
      </w:tr>
      <w:tr w14:paraId="724342FF">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B1B3441">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4</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C19A608">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供应商基本情况表</w:t>
            </w:r>
          </w:p>
        </w:tc>
      </w:tr>
      <w:tr w14:paraId="044A3FB0">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A031284">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5</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6B33D03">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项目详细报价</w:t>
            </w:r>
          </w:p>
        </w:tc>
      </w:tr>
      <w:tr w14:paraId="27EAA537">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282F787">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6</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67811AB">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法定代表人（负责人）证明书</w:t>
            </w:r>
          </w:p>
        </w:tc>
      </w:tr>
      <w:tr w14:paraId="21B4F8D9">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2211B67">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7</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7593EFF">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投标文件签署授权委托书</w:t>
            </w:r>
          </w:p>
        </w:tc>
      </w:tr>
      <w:tr w14:paraId="39526432">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A2DF2BD">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8</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4A1FF34">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实质性条款响应情况表</w:t>
            </w:r>
          </w:p>
        </w:tc>
      </w:tr>
      <w:tr w14:paraId="1BE807F3">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32C4272">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9</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9274A87">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实施方案（格式自定）</w:t>
            </w:r>
          </w:p>
        </w:tc>
      </w:tr>
      <w:tr w14:paraId="2A7EFEE5">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7FCF5DC">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F6846E0">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项目重点难点分析、应对措施及相关的合理化建议（格式自定）</w:t>
            </w:r>
          </w:p>
        </w:tc>
      </w:tr>
      <w:tr w14:paraId="4B4E20BE">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B773060">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11</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8E2D5FE">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质量（完成时间、安全、环保）保障措施及方案（格式自定）</w:t>
            </w:r>
          </w:p>
        </w:tc>
      </w:tr>
      <w:tr w14:paraId="23DF21B5">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4B51A4A">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12</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110B449">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项目完成（服务期满）后的服务承诺（格式自定）</w:t>
            </w:r>
          </w:p>
        </w:tc>
      </w:tr>
      <w:tr w14:paraId="4A9044CA">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43196E9">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13</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EEDD143">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违约承诺</w:t>
            </w:r>
          </w:p>
        </w:tc>
      </w:tr>
      <w:tr w14:paraId="07C8A9B4">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A7852E4">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14</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79C8A75">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拟安排的项目负责人情况（仅限一人）</w:t>
            </w:r>
          </w:p>
        </w:tc>
      </w:tr>
      <w:tr w14:paraId="69E9AA2B">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DF4F8B8">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15</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5FB8F5B">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拟安排的项目主要团队成员（主要技术人员）情况（项目负责人除外）</w:t>
            </w:r>
          </w:p>
        </w:tc>
      </w:tr>
      <w:tr w14:paraId="4A3E1BB5">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4759A33">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16</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97B5AE5">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供应商认证情况</w:t>
            </w:r>
          </w:p>
        </w:tc>
      </w:tr>
      <w:tr w14:paraId="3F8AE783">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B8098CA">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17</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E0BAD3C">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供应商同类项目业绩情况</w:t>
            </w:r>
          </w:p>
        </w:tc>
      </w:tr>
      <w:tr w14:paraId="1507C247">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904BD58">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18</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C9E1532">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供应商获奖情况</w:t>
            </w:r>
          </w:p>
        </w:tc>
      </w:tr>
      <w:tr w14:paraId="5AD9F3EA">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5EEFAE1">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19</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543712A">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项目相关计算机软件著作权使用权限情况</w:t>
            </w:r>
          </w:p>
        </w:tc>
      </w:tr>
      <w:tr w14:paraId="658E3527">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7ADAE24">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20</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5327913">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投标人认为需要加以说明的其他内容</w:t>
            </w:r>
          </w:p>
        </w:tc>
      </w:tr>
    </w:tbl>
    <w:p w14:paraId="6D2CA1B5">
      <w:pPr>
        <w:pBdr>
          <w:top w:val="none" w:color="auto" w:sz="0" w:space="0"/>
          <w:left w:val="none" w:color="auto" w:sz="0" w:space="0"/>
          <w:bottom w:val="none" w:color="auto" w:sz="0" w:space="0"/>
          <w:right w:val="none" w:color="auto" w:sz="0" w:space="0"/>
        </w:pBdr>
        <w:spacing w:line="432" w:lineRule="atLeast"/>
        <w:rPr>
          <w:rFonts w:ascii="仿宋" w:hAnsi="仿宋" w:eastAsia="仿宋" w:cs="仿宋"/>
          <w:b/>
          <w:bCs/>
          <w:color w:val="333333"/>
          <w:lang w:val="en" w:eastAsia="en"/>
        </w:rPr>
        <w:sectPr>
          <w:pgMar w:top="1440" w:right="1800" w:bottom="1440" w:left="1800" w:header="708" w:footer="708" w:gutter="0"/>
          <w:cols w:space="708" w:num="1"/>
        </w:sectPr>
      </w:pPr>
    </w:p>
    <w:p w14:paraId="6CC841FC">
      <w:pPr>
        <w:pBdr>
          <w:top w:val="none" w:color="auto" w:sz="0" w:space="0"/>
          <w:left w:val="single" w:color="DDDDDD" w:sz="6" w:space="0"/>
          <w:bottom w:val="none" w:color="auto" w:sz="0" w:space="0"/>
          <w:right w:val="single" w:color="DDDDDD" w:sz="6" w:space="0"/>
        </w:pBdr>
        <w:spacing w:before="0" w:after="0" w:line="648" w:lineRule="atLeast"/>
        <w:ind w:left="15" w:right="15"/>
        <w:jc w:val="center"/>
        <w:outlineLvl w:val="0"/>
        <w:rPr>
          <w:rFonts w:ascii="仿宋" w:hAnsi="仿宋" w:eastAsia="仿宋" w:cs="仿宋"/>
          <w:b/>
          <w:bCs/>
          <w:color w:val="000000"/>
          <w:sz w:val="48"/>
          <w:szCs w:val="48"/>
          <w:lang w:val="en" w:eastAsia="en"/>
        </w:rPr>
      </w:pPr>
      <w:r>
        <w:rPr>
          <w:rFonts w:ascii="仿宋" w:hAnsi="仿宋" w:eastAsia="仿宋" w:cs="仿宋"/>
          <w:b/>
          <w:bCs/>
          <w:color w:val="000000"/>
          <w:sz w:val="48"/>
          <w:szCs w:val="48"/>
          <w:lang w:val="en" w:eastAsia="en"/>
        </w:rPr>
        <w:t>评标办法附表</w:t>
      </w:r>
    </w:p>
    <w:p w14:paraId="0E82A87B">
      <w:pPr>
        <w:pBdr>
          <w:top w:val="none" w:color="auto" w:sz="0" w:space="0"/>
          <w:left w:val="none" w:color="auto" w:sz="0" w:space="0"/>
          <w:bottom w:val="none" w:color="auto" w:sz="0" w:space="0"/>
          <w:right w:val="none" w:color="auto" w:sz="0" w:space="0"/>
        </w:pBdr>
        <w:spacing w:before="0" w:after="288" w:line="432" w:lineRule="atLeast"/>
        <w:ind w:left="15" w:right="15"/>
        <w:rPr>
          <w:rFonts w:ascii="微软雅黑" w:hAnsi="微软雅黑" w:eastAsia="微软雅黑" w:cs="微软雅黑"/>
          <w:color w:val="333333"/>
          <w:lang w:val="en" w:eastAsia="en"/>
        </w:rPr>
      </w:pPr>
      <w:r>
        <w:rPr>
          <w:rFonts w:ascii="仿宋" w:hAnsi="仿宋" w:eastAsia="仿宋" w:cs="仿宋"/>
          <w:b/>
          <w:bCs/>
          <w:color w:val="333333"/>
          <w:sz w:val="28"/>
          <w:szCs w:val="28"/>
          <w:lang w:val="en" w:eastAsia="en"/>
        </w:rPr>
        <w:t>1.标段基本信息</w:t>
      </w:r>
    </w:p>
    <w:p w14:paraId="2977A4A3">
      <w:pPr>
        <w:pBdr>
          <w:top w:val="none" w:color="auto" w:sz="0" w:space="0"/>
          <w:left w:val="none" w:color="auto" w:sz="0" w:space="0"/>
          <w:bottom w:val="none" w:color="auto" w:sz="0" w:space="0"/>
          <w:right w:val="none" w:color="auto" w:sz="0" w:space="0"/>
        </w:pBdr>
        <w:spacing w:after="0" w:line="432" w:lineRule="atLeast"/>
        <w:ind w:left="15" w:right="15"/>
        <w:rPr>
          <w:rFonts w:ascii="仿宋" w:hAnsi="仿宋" w:eastAsia="仿宋" w:cs="仿宋"/>
          <w:color w:val="333333"/>
          <w:lang w:val="en" w:eastAsia="en"/>
        </w:rPr>
      </w:pPr>
      <w:r>
        <w:rPr>
          <w:rFonts w:ascii="仿宋" w:hAnsi="仿宋" w:eastAsia="仿宋" w:cs="仿宋"/>
          <w:color w:val="333333"/>
          <w:lang w:val="en" w:eastAsia="en"/>
        </w:rPr>
        <w:t>标段编号：</w:t>
      </w:r>
      <w:r>
        <w:rPr>
          <w:rFonts w:ascii="微软雅黑" w:hAnsi="微软雅黑" w:eastAsia="微软雅黑" w:cs="微软雅黑"/>
          <w:color w:val="333333"/>
          <w:lang w:val="en" w:eastAsia="en"/>
        </w:rPr>
        <w:t xml:space="preserve"> </w:t>
      </w:r>
      <w:r>
        <w:rPr>
          <w:rFonts w:ascii="仿宋" w:hAnsi="仿宋" w:eastAsia="仿宋" w:cs="仿宋"/>
          <w:color w:val="333333"/>
          <w:u w:val="single" w:color="333333"/>
          <w:lang w:val="en" w:eastAsia="en"/>
        </w:rPr>
        <w:t>SZZXCG-2025-00535-001</w:t>
      </w:r>
      <w:r>
        <w:rPr>
          <w:rFonts w:ascii="仿宋" w:hAnsi="仿宋" w:eastAsia="仿宋" w:cs="仿宋"/>
          <w:color w:val="333333"/>
          <w:u w:val="single" w:color="333333"/>
          <w:lang w:val="en" w:eastAsia="en"/>
        </w:rPr>
        <w:br w:type="textWrapping"/>
      </w:r>
      <w:r>
        <w:rPr>
          <w:rFonts w:ascii="仿宋" w:hAnsi="仿宋" w:eastAsia="仿宋" w:cs="仿宋"/>
          <w:color w:val="333333"/>
          <w:lang w:val="en" w:eastAsia="en"/>
        </w:rPr>
        <w:t>标段名称：</w:t>
      </w:r>
      <w:r>
        <w:rPr>
          <w:rFonts w:ascii="微软雅黑" w:hAnsi="微软雅黑" w:eastAsia="微软雅黑" w:cs="微软雅黑"/>
          <w:color w:val="333333"/>
          <w:lang w:val="en" w:eastAsia="en"/>
        </w:rPr>
        <w:t xml:space="preserve"> </w:t>
      </w:r>
      <w:r>
        <w:rPr>
          <w:rFonts w:ascii="仿宋" w:hAnsi="仿宋" w:eastAsia="仿宋" w:cs="仿宋"/>
          <w:color w:val="333333"/>
          <w:u w:val="single" w:color="333333"/>
          <w:lang w:val="en" w:eastAsia="en"/>
        </w:rPr>
        <w:t>深圳市医疗保障局医保基金预警监测和监管协同处置平台项目、医保数据融合应用项目第三方测评</w:t>
      </w:r>
      <w:r>
        <w:rPr>
          <w:rFonts w:ascii="仿宋" w:hAnsi="仿宋" w:eastAsia="仿宋" w:cs="仿宋"/>
          <w:color w:val="333333"/>
          <w:u w:val="single" w:color="333333"/>
          <w:lang w:val="en" w:eastAsia="en"/>
        </w:rPr>
        <w:br w:type="textWrapping"/>
      </w:r>
    </w:p>
    <w:p w14:paraId="0FB924B9">
      <w:pPr>
        <w:keepLines/>
        <w:pBdr>
          <w:top w:val="none" w:color="auto" w:sz="0" w:space="0"/>
          <w:left w:val="none" w:color="auto" w:sz="0" w:space="0"/>
          <w:bottom w:val="none" w:color="auto" w:sz="0" w:space="0"/>
          <w:right w:val="none" w:color="auto" w:sz="0" w:space="0"/>
        </w:pBdr>
        <w:spacing w:before="0" w:after="0" w:line="432" w:lineRule="atLeast"/>
        <w:ind w:left="15" w:right="15"/>
        <w:rPr>
          <w:rFonts w:ascii="微软雅黑" w:hAnsi="微软雅黑" w:eastAsia="微软雅黑" w:cs="微软雅黑"/>
          <w:color w:val="333333"/>
          <w:lang w:val="en" w:eastAsia="en"/>
        </w:rPr>
      </w:pPr>
    </w:p>
    <w:p w14:paraId="51444E6D">
      <w:pPr>
        <w:pBdr>
          <w:top w:val="none" w:color="auto" w:sz="0" w:space="0"/>
          <w:left w:val="none" w:color="auto" w:sz="0" w:space="0"/>
          <w:bottom w:val="none" w:color="auto" w:sz="0" w:space="0"/>
          <w:right w:val="none" w:color="auto" w:sz="0" w:space="0"/>
        </w:pBdr>
        <w:spacing w:before="0" w:after="288" w:line="432" w:lineRule="atLeast"/>
        <w:ind w:left="15" w:right="15"/>
        <w:rPr>
          <w:rFonts w:ascii="微软雅黑" w:hAnsi="微软雅黑" w:eastAsia="微软雅黑" w:cs="微软雅黑"/>
          <w:color w:val="333333"/>
          <w:lang w:val="en" w:eastAsia="en"/>
        </w:rPr>
      </w:pPr>
      <w:r>
        <w:rPr>
          <w:rFonts w:ascii="仿宋" w:hAnsi="仿宋" w:eastAsia="仿宋" w:cs="仿宋"/>
          <w:b/>
          <w:bCs/>
          <w:color w:val="333333"/>
          <w:sz w:val="28"/>
          <w:szCs w:val="28"/>
          <w:lang w:val="en" w:eastAsia="en"/>
        </w:rPr>
        <w:t>2.入围参数</w:t>
      </w:r>
    </w:p>
    <w:p w14:paraId="05819799">
      <w:pPr>
        <w:keepLines/>
        <w:pBdr>
          <w:top w:val="none" w:color="auto" w:sz="0" w:space="0"/>
          <w:left w:val="none" w:color="auto" w:sz="0" w:space="0"/>
          <w:bottom w:val="none" w:color="auto" w:sz="0" w:space="0"/>
          <w:right w:val="none" w:color="auto" w:sz="0" w:space="0"/>
        </w:pBdr>
        <w:spacing w:before="0" w:after="0" w:line="432" w:lineRule="atLeast"/>
        <w:ind w:left="15" w:right="15"/>
        <w:rPr>
          <w:rFonts w:ascii="微软雅黑" w:hAnsi="微软雅黑" w:eastAsia="微软雅黑" w:cs="微软雅黑"/>
          <w:color w:val="333333"/>
          <w:lang w:val="en" w:eastAsia="en"/>
        </w:rPr>
      </w:pPr>
      <w:r>
        <w:rPr>
          <w:rFonts w:ascii="仿宋" w:hAnsi="仿宋" w:eastAsia="仿宋" w:cs="仿宋"/>
          <w:color w:val="333333"/>
          <w:lang w:val="en" w:eastAsia="en"/>
        </w:rPr>
        <w:t>是否过多投标人淘汰：</w:t>
      </w:r>
      <w:r>
        <w:rPr>
          <w:rFonts w:ascii="微软雅黑" w:hAnsi="微软雅黑" w:eastAsia="微软雅黑" w:cs="微软雅黑"/>
          <w:color w:val="333333"/>
          <w:lang w:val="en" w:eastAsia="en"/>
        </w:rPr>
        <w:t xml:space="preserve"> </w:t>
      </w:r>
      <w:r>
        <w:rPr>
          <w:rFonts w:ascii="仿宋" w:hAnsi="仿宋" w:eastAsia="仿宋" w:cs="仿宋"/>
          <w:color w:val="333333"/>
          <w:lang w:val="en" w:eastAsia="en"/>
        </w:rPr>
        <w:t>否</w:t>
      </w:r>
    </w:p>
    <w:p w14:paraId="491ACFF2">
      <w:pPr>
        <w:pBdr>
          <w:top w:val="none" w:color="auto" w:sz="0" w:space="0"/>
          <w:left w:val="none" w:color="auto" w:sz="0" w:space="0"/>
          <w:bottom w:val="none" w:color="auto" w:sz="0" w:space="0"/>
          <w:right w:val="none" w:color="auto" w:sz="0" w:space="0"/>
        </w:pBdr>
        <w:spacing w:before="0" w:after="288" w:line="432" w:lineRule="atLeast"/>
        <w:ind w:left="15" w:right="15"/>
        <w:rPr>
          <w:rFonts w:ascii="微软雅黑" w:hAnsi="微软雅黑" w:eastAsia="微软雅黑" w:cs="微软雅黑"/>
          <w:color w:val="333333"/>
          <w:lang w:val="en" w:eastAsia="en"/>
        </w:rPr>
      </w:pPr>
      <w:r>
        <w:rPr>
          <w:rFonts w:ascii="仿宋" w:hAnsi="仿宋" w:eastAsia="仿宋" w:cs="仿宋"/>
          <w:b/>
          <w:bCs/>
          <w:color w:val="333333"/>
          <w:sz w:val="28"/>
          <w:szCs w:val="28"/>
          <w:lang w:val="en" w:eastAsia="en"/>
        </w:rPr>
        <w:t>3.评审步骤</w:t>
      </w:r>
    </w:p>
    <w:tbl>
      <w:tblPr>
        <w:tblStyle w:val="42"/>
        <w:tblW w:w="5000" w:type="pct"/>
        <w:tblInd w:w="15" w:type="dxa"/>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Layout w:type="fixed"/>
        <w:tblCellMar>
          <w:top w:w="0" w:type="dxa"/>
          <w:left w:w="0" w:type="dxa"/>
          <w:bottom w:w="0" w:type="dxa"/>
          <w:right w:w="0" w:type="dxa"/>
        </w:tblCellMar>
      </w:tblPr>
      <w:tblGrid>
        <w:gridCol w:w="1142"/>
        <w:gridCol w:w="6852"/>
        <w:gridCol w:w="1142"/>
      </w:tblGrid>
      <w:tr w14:paraId="55F37CCC">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blHeader/>
        </w:trPr>
        <w:tc>
          <w:tcPr>
            <w:tcW w:w="50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648B351F">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序号</w:t>
            </w:r>
          </w:p>
        </w:tc>
        <w:tc>
          <w:tcPr>
            <w:tcW w:w="300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041CA306">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评审步骤</w:t>
            </w:r>
          </w:p>
        </w:tc>
        <w:tc>
          <w:tcPr>
            <w:tcW w:w="50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12865C37">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分值</w:t>
            </w:r>
          </w:p>
        </w:tc>
      </w:tr>
      <w:tr w14:paraId="71237571">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CDABB21">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2878DC2">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资格评审</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7519369">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p>
        </w:tc>
      </w:tr>
      <w:tr w14:paraId="1253DC8E">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70C7148">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2</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1A32400">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初步评审</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A0417E3">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p>
        </w:tc>
      </w:tr>
      <w:tr w14:paraId="0781D761">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A196C99">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3</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3C085C2">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详细评审</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6342E18">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90</w:t>
            </w:r>
          </w:p>
        </w:tc>
      </w:tr>
      <w:tr w14:paraId="13FBFD67">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72C5FDC">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4</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D00157F">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报价修正</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7E7FD0E">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p>
        </w:tc>
      </w:tr>
      <w:tr w14:paraId="4CDADDC9">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091FE64">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5</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7797312">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价格评审</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FB52ABF">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w:t>
            </w:r>
          </w:p>
        </w:tc>
      </w:tr>
      <w:tr w14:paraId="30DF53FF">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8DF4841">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6</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0EE09E9">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综合评分</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9FDF3C8">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p>
        </w:tc>
      </w:tr>
      <w:tr w14:paraId="20C790BC">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1923F18">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7</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0403E48">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推荐中标候选人</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D439F70">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p>
        </w:tc>
      </w:tr>
    </w:tbl>
    <w:p w14:paraId="03197B32">
      <w:pPr>
        <w:pBdr>
          <w:top w:val="none" w:color="auto" w:sz="0" w:space="0"/>
          <w:left w:val="none" w:color="auto" w:sz="0" w:space="0"/>
          <w:bottom w:val="none" w:color="auto" w:sz="0" w:space="0"/>
          <w:right w:val="none" w:color="auto" w:sz="0" w:space="0"/>
        </w:pBdr>
        <w:spacing w:after="0" w:line="432" w:lineRule="atLeast"/>
        <w:ind w:left="15" w:right="15"/>
        <w:rPr>
          <w:rFonts w:ascii="微软雅黑" w:hAnsi="微软雅黑" w:eastAsia="微软雅黑" w:cs="微软雅黑"/>
          <w:color w:val="333333"/>
          <w:lang w:val="en" w:eastAsia="en"/>
        </w:rPr>
      </w:pPr>
    </w:p>
    <w:p w14:paraId="67A3DAC5">
      <w:pPr>
        <w:pBdr>
          <w:top w:val="none" w:color="auto" w:sz="0" w:space="0"/>
          <w:left w:val="none" w:color="auto" w:sz="0" w:space="0"/>
          <w:bottom w:val="none" w:color="auto" w:sz="0" w:space="0"/>
          <w:right w:val="none" w:color="auto" w:sz="0" w:space="0"/>
        </w:pBdr>
        <w:spacing w:before="0" w:after="288" w:line="432" w:lineRule="atLeast"/>
        <w:ind w:left="15" w:right="15"/>
        <w:rPr>
          <w:rFonts w:ascii="微软雅黑" w:hAnsi="微软雅黑" w:eastAsia="微软雅黑" w:cs="微软雅黑"/>
          <w:color w:val="333333"/>
          <w:lang w:val="en" w:eastAsia="en"/>
        </w:rPr>
      </w:pPr>
      <w:r>
        <w:rPr>
          <w:rFonts w:ascii="仿宋" w:hAnsi="仿宋" w:eastAsia="仿宋" w:cs="仿宋"/>
          <w:b/>
          <w:bCs/>
          <w:color w:val="333333"/>
          <w:sz w:val="28"/>
          <w:szCs w:val="28"/>
          <w:lang w:val="en" w:eastAsia="en"/>
        </w:rPr>
        <w:t>4.评审条款</w:t>
      </w:r>
    </w:p>
    <w:p w14:paraId="6F59BC8A">
      <w:pPr>
        <w:pBdr>
          <w:top w:val="none" w:color="auto" w:sz="0" w:space="0"/>
          <w:left w:val="none" w:color="auto" w:sz="0" w:space="0"/>
          <w:bottom w:val="none" w:color="auto" w:sz="0" w:space="0"/>
          <w:right w:val="none" w:color="auto" w:sz="0" w:space="0"/>
        </w:pBdr>
        <w:spacing w:line="432" w:lineRule="atLeast"/>
        <w:ind w:left="15" w:right="15"/>
        <w:rPr>
          <w:rFonts w:ascii="仿宋" w:hAnsi="仿宋" w:eastAsia="仿宋" w:cs="仿宋"/>
          <w:color w:val="333333"/>
          <w:lang w:val="en" w:eastAsia="en"/>
        </w:rPr>
      </w:pPr>
      <w:r>
        <w:rPr>
          <w:rFonts w:ascii="仿宋" w:hAnsi="仿宋" w:eastAsia="仿宋" w:cs="仿宋"/>
          <w:color w:val="333333"/>
          <w:lang w:val="en" w:eastAsia="en"/>
        </w:rPr>
        <w:t>中标候选人：</w:t>
      </w:r>
      <w:r>
        <w:rPr>
          <w:rFonts w:ascii="微软雅黑" w:hAnsi="微软雅黑" w:eastAsia="微软雅黑" w:cs="微软雅黑"/>
          <w:color w:val="333333"/>
          <w:lang w:val="en" w:eastAsia="en"/>
        </w:rPr>
        <w:t xml:space="preserve"> </w:t>
      </w:r>
      <w:r>
        <w:rPr>
          <w:rFonts w:ascii="仿宋" w:hAnsi="仿宋" w:eastAsia="仿宋" w:cs="仿宋"/>
          <w:color w:val="333333"/>
          <w:lang w:val="en" w:eastAsia="en"/>
        </w:rPr>
        <w:t>委托评标委员会直接定标</w:t>
      </w:r>
      <w:r>
        <w:rPr>
          <w:rFonts w:ascii="仿宋" w:hAnsi="仿宋" w:eastAsia="仿宋" w:cs="仿宋"/>
          <w:color w:val="333333"/>
          <w:lang w:val="en" w:eastAsia="en"/>
        </w:rPr>
        <w:br w:type="textWrapping"/>
      </w:r>
      <w:r>
        <w:rPr>
          <w:rFonts w:ascii="仿宋" w:hAnsi="仿宋" w:eastAsia="仿宋" w:cs="仿宋"/>
          <w:color w:val="333333"/>
          <w:lang w:val="en" w:eastAsia="en"/>
        </w:rPr>
        <w:br w:type="textWrapping"/>
      </w:r>
      <w:r>
        <w:rPr>
          <w:rFonts w:ascii="仿宋" w:hAnsi="仿宋" w:eastAsia="仿宋" w:cs="仿宋"/>
          <w:b/>
          <w:bCs/>
          <w:color w:val="000000"/>
          <w:lang w:val="en" w:eastAsia="en"/>
        </w:rPr>
        <w:t>4.1 资格评审</w:t>
      </w:r>
      <w:r>
        <w:rPr>
          <w:rFonts w:ascii="仿宋" w:hAnsi="仿宋" w:eastAsia="仿宋" w:cs="仿宋"/>
          <w:b/>
          <w:bCs/>
          <w:color w:val="000000"/>
          <w:lang w:val="en" w:eastAsia="en"/>
        </w:rPr>
        <w:br w:type="textWrapping"/>
      </w:r>
      <w:r>
        <w:rPr>
          <w:rFonts w:ascii="仿宋" w:hAnsi="仿宋" w:eastAsia="仿宋" w:cs="仿宋"/>
          <w:color w:val="333333"/>
          <w:lang w:val="en" w:eastAsia="en"/>
        </w:rPr>
        <w:t>汇总规则：</w:t>
      </w:r>
      <w:r>
        <w:rPr>
          <w:rFonts w:ascii="微软雅黑" w:hAnsi="微软雅黑" w:eastAsia="微软雅黑" w:cs="微软雅黑"/>
          <w:color w:val="333333"/>
          <w:lang w:val="en" w:eastAsia="en"/>
        </w:rPr>
        <w:t xml:space="preserve"> </w:t>
      </w:r>
      <w:r>
        <w:rPr>
          <w:rFonts w:ascii="仿宋" w:hAnsi="仿宋" w:eastAsia="仿宋" w:cs="仿宋"/>
          <w:color w:val="333333"/>
          <w:lang w:val="en" w:eastAsia="en"/>
        </w:rPr>
        <w:t>按分项自动汇总并发起否决投标</w:t>
      </w:r>
      <w:r>
        <w:rPr>
          <w:rFonts w:ascii="微软雅黑" w:hAnsi="微软雅黑" w:eastAsia="微软雅黑" w:cs="微软雅黑"/>
          <w:color w:val="333333"/>
          <w:lang w:val="en" w:eastAsia="en"/>
        </w:rPr>
        <w:t xml:space="preserve"> </w:t>
      </w:r>
    </w:p>
    <w:tbl>
      <w:tblPr>
        <w:tblStyle w:val="42"/>
        <w:tblW w:w="5000" w:type="pct"/>
        <w:tblInd w:w="15" w:type="dxa"/>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Layout w:type="fixed"/>
        <w:tblCellMar>
          <w:top w:w="0" w:type="dxa"/>
          <w:left w:w="0" w:type="dxa"/>
          <w:bottom w:w="0" w:type="dxa"/>
          <w:right w:w="0" w:type="dxa"/>
        </w:tblCellMar>
      </w:tblPr>
      <w:tblGrid>
        <w:gridCol w:w="1612"/>
        <w:gridCol w:w="3762"/>
        <w:gridCol w:w="3762"/>
      </w:tblGrid>
      <w:tr w14:paraId="299524EB">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blHeader/>
        </w:trPr>
        <w:tc>
          <w:tcPr>
            <w:tcW w:w="75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16E05F2E">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序号</w:t>
            </w:r>
          </w:p>
        </w:tc>
        <w:tc>
          <w:tcPr>
            <w:tcW w:w="175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3DD2E6BA">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评审要素</w:t>
            </w:r>
          </w:p>
        </w:tc>
        <w:tc>
          <w:tcPr>
            <w:tcW w:w="175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0B389D91">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评审标准</w:t>
            </w:r>
          </w:p>
        </w:tc>
      </w:tr>
      <w:tr w14:paraId="29D64E6A">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113ADB8">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4BF933D">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资质要求</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CB6F952">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投标人不符合资格要求，或未提交相应的资格证明资料（详见招标公告投标人资格要求）</w:t>
            </w:r>
          </w:p>
        </w:tc>
      </w:tr>
    </w:tbl>
    <w:p w14:paraId="7F869F17">
      <w:pPr>
        <w:pBdr>
          <w:top w:val="none" w:color="auto" w:sz="0" w:space="0"/>
          <w:left w:val="none" w:color="auto" w:sz="0" w:space="0"/>
          <w:bottom w:val="none" w:color="auto" w:sz="0" w:space="0"/>
          <w:right w:val="none" w:color="auto" w:sz="0" w:space="0"/>
        </w:pBdr>
        <w:spacing w:line="240" w:lineRule="atLeast"/>
        <w:ind w:left="15" w:right="15"/>
        <w:rPr>
          <w:rFonts w:ascii="仿宋" w:hAnsi="仿宋" w:eastAsia="仿宋" w:cs="仿宋"/>
          <w:b/>
          <w:bCs/>
          <w:color w:val="000000"/>
          <w:lang w:val="en" w:eastAsia="en"/>
        </w:rPr>
      </w:pPr>
      <w:r>
        <w:rPr>
          <w:rFonts w:ascii="仿宋" w:hAnsi="仿宋" w:eastAsia="仿宋" w:cs="仿宋"/>
          <w:b/>
          <w:bCs/>
          <w:color w:val="000000"/>
          <w:lang w:val="en" w:eastAsia="en"/>
        </w:rPr>
        <w:t>4.2 初步评审</w:t>
      </w:r>
      <w:r>
        <w:rPr>
          <w:rFonts w:ascii="仿宋" w:hAnsi="仿宋" w:eastAsia="仿宋" w:cs="仿宋"/>
          <w:b/>
          <w:bCs/>
          <w:color w:val="000000"/>
          <w:lang w:val="en" w:eastAsia="en"/>
        </w:rPr>
        <w:br w:type="textWrapping"/>
      </w:r>
      <w:r>
        <w:rPr>
          <w:rFonts w:ascii="仿宋" w:hAnsi="仿宋" w:eastAsia="仿宋" w:cs="仿宋"/>
          <w:color w:val="333333"/>
          <w:lang w:val="en" w:eastAsia="en"/>
        </w:rPr>
        <w:t>汇总规则：</w:t>
      </w:r>
      <w:r>
        <w:rPr>
          <w:rFonts w:ascii="微软雅黑" w:hAnsi="微软雅黑" w:eastAsia="微软雅黑" w:cs="微软雅黑"/>
          <w:color w:val="333333"/>
          <w:lang w:val="en" w:eastAsia="en"/>
        </w:rPr>
        <w:t xml:space="preserve"> </w:t>
      </w:r>
      <w:r>
        <w:rPr>
          <w:rFonts w:ascii="仿宋" w:hAnsi="仿宋" w:eastAsia="仿宋" w:cs="仿宋"/>
          <w:color w:val="333333"/>
          <w:lang w:val="en" w:eastAsia="en"/>
        </w:rPr>
        <w:t>按分项自动汇总并发起否决投标</w:t>
      </w:r>
      <w:r>
        <w:rPr>
          <w:rFonts w:ascii="微软雅黑" w:hAnsi="微软雅黑" w:eastAsia="微软雅黑" w:cs="微软雅黑"/>
          <w:color w:val="333333"/>
          <w:lang w:val="en" w:eastAsia="en"/>
        </w:rPr>
        <w:t xml:space="preserve"> </w:t>
      </w:r>
    </w:p>
    <w:tbl>
      <w:tblPr>
        <w:tblStyle w:val="42"/>
        <w:tblW w:w="5000" w:type="pct"/>
        <w:tblInd w:w="15" w:type="dxa"/>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Layout w:type="fixed"/>
        <w:tblCellMar>
          <w:top w:w="0" w:type="dxa"/>
          <w:left w:w="0" w:type="dxa"/>
          <w:bottom w:w="0" w:type="dxa"/>
          <w:right w:w="0" w:type="dxa"/>
        </w:tblCellMar>
      </w:tblPr>
      <w:tblGrid>
        <w:gridCol w:w="1612"/>
        <w:gridCol w:w="3762"/>
        <w:gridCol w:w="3762"/>
      </w:tblGrid>
      <w:tr w14:paraId="3075CEFA">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blHeader/>
        </w:trPr>
        <w:tc>
          <w:tcPr>
            <w:tcW w:w="75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0A012D53">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序号</w:t>
            </w:r>
          </w:p>
        </w:tc>
        <w:tc>
          <w:tcPr>
            <w:tcW w:w="175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058FB409">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评审要素</w:t>
            </w:r>
          </w:p>
        </w:tc>
        <w:tc>
          <w:tcPr>
            <w:tcW w:w="175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37372535">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评审标准</w:t>
            </w:r>
          </w:p>
        </w:tc>
      </w:tr>
      <w:tr w14:paraId="4573EC15">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881DFEF">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13A6E15">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不得将一个包内容拆开投标；</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80986C7">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p>
        </w:tc>
      </w:tr>
      <w:tr w14:paraId="0EFC759B">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B9F69AB">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2</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1BF4DA9">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对同一项目投标时，不得提供两套以上的投标方案（招标文件另有规定的除外）；</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069FBDC">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p>
        </w:tc>
      </w:tr>
      <w:tr w14:paraId="50A354C4">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C854DFE">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3</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39921FB">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分项报价或投标总价不得高于相应预算金额（或设定的预算金额下的最高限价）；</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73B0191">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p>
        </w:tc>
      </w:tr>
      <w:tr w14:paraId="417ABD61">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6788D41">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4</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6351809">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3A8EDB8">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p>
        </w:tc>
      </w:tr>
      <w:tr w14:paraId="0E564FEB">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91FAE71">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5</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6BA866F">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投标人响应的内容在技术、商务等方面没有实质性满足（或未响应招标文件中带★号条款或响应有负偏离）招标文件要求的（是否实质性满足招标文件要求，由评审委员会根据实质性条款响应情况作出评判，若招标文件未设置实质性条款，不得据此做投标无效处理）；</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AB3FE25">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p>
        </w:tc>
      </w:tr>
      <w:tr w14:paraId="641DD5B8">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4DE9E63">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6</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6DF7552">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未按招标文件所提供的样式填写《投标函》；未按招标文件所提供的《采购投标及履约承诺函》进行承诺或不符合承诺的；未按招标文件对投标文件组成的要求提供投标文件；</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FFF7452">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p>
        </w:tc>
      </w:tr>
      <w:tr w14:paraId="2A53F63D">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F81B0DC">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7</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E20F500">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采购标的所投产品货物清单有缺漏项或响应不全或报价有缺漏或者对招标文件规定的项目需求内容或者需求数量进行修改，评审委员会判定投标响应不满足采购需求；</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005311C">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p>
        </w:tc>
      </w:tr>
      <w:tr w14:paraId="1D9735BC">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55DA89D">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8</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C343AFD">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投标文件电子文档不得带病毒；</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5E44B18">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p>
        </w:tc>
      </w:tr>
      <w:tr w14:paraId="42EAD891">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2F7A546">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9</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A0BA2AE">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投标文件用不属于本公司的电子密钥进行加密或投标文件未按时解密的；</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6396332">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p>
        </w:tc>
      </w:tr>
      <w:tr w14:paraId="3F83DEB7">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C84497E">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B49CF64">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法律、法规、规章、规范性文件规定的其他情形。</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751E989">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p>
        </w:tc>
      </w:tr>
    </w:tbl>
    <w:p w14:paraId="7E6E42BA">
      <w:pPr>
        <w:pBdr>
          <w:top w:val="none" w:color="auto" w:sz="0" w:space="0"/>
          <w:left w:val="none" w:color="auto" w:sz="0" w:space="0"/>
          <w:bottom w:val="none" w:color="auto" w:sz="0" w:space="0"/>
          <w:right w:val="none" w:color="auto" w:sz="0" w:space="0"/>
        </w:pBdr>
        <w:spacing w:line="432" w:lineRule="atLeast"/>
        <w:rPr>
          <w:rFonts w:ascii="微软雅黑" w:hAnsi="微软雅黑" w:eastAsia="微软雅黑" w:cs="微软雅黑"/>
          <w:color w:val="333333"/>
          <w:lang w:val="en" w:eastAsia="en"/>
        </w:rPr>
      </w:pPr>
      <w:r>
        <w:rPr>
          <w:rFonts w:ascii="仿宋" w:hAnsi="仿宋" w:eastAsia="仿宋" w:cs="仿宋"/>
          <w:b/>
          <w:bCs/>
          <w:color w:val="000000"/>
          <w:lang w:val="en" w:eastAsia="en"/>
        </w:rPr>
        <w:t>4.3 详细评审</w:t>
      </w:r>
      <w:r>
        <w:rPr>
          <w:rFonts w:ascii="仿宋" w:hAnsi="仿宋" w:eastAsia="仿宋" w:cs="仿宋"/>
          <w:b/>
          <w:bCs/>
          <w:color w:val="000000"/>
          <w:lang w:val="en" w:eastAsia="en"/>
        </w:rPr>
        <w:br w:type="textWrapping"/>
      </w:r>
      <w:r>
        <w:rPr>
          <w:rFonts w:ascii="仿宋" w:hAnsi="仿宋" w:eastAsia="仿宋" w:cs="仿宋"/>
          <w:color w:val="333333"/>
          <w:lang w:val="en" w:eastAsia="en"/>
        </w:rPr>
        <w:t>汇总规则：</w:t>
      </w:r>
      <w:r>
        <w:rPr>
          <w:rFonts w:ascii="微软雅黑" w:hAnsi="微软雅黑" w:eastAsia="微软雅黑" w:cs="微软雅黑"/>
          <w:color w:val="333333"/>
          <w:lang w:val="en" w:eastAsia="en"/>
        </w:rPr>
        <w:t xml:space="preserve"> </w:t>
      </w:r>
      <w:r>
        <w:rPr>
          <w:rFonts w:ascii="仿宋" w:hAnsi="仿宋" w:eastAsia="仿宋" w:cs="仿宋"/>
          <w:color w:val="333333"/>
          <w:lang w:val="en" w:eastAsia="en"/>
        </w:rPr>
        <w:t>按评委打分直接平均</w:t>
      </w:r>
      <w:r>
        <w:rPr>
          <w:rFonts w:ascii="微软雅黑" w:hAnsi="微软雅黑" w:eastAsia="微软雅黑" w:cs="微软雅黑"/>
          <w:color w:val="333333"/>
          <w:lang w:val="en" w:eastAsia="en"/>
        </w:rPr>
        <w:t xml:space="preserve"> </w:t>
      </w:r>
    </w:p>
    <w:tbl>
      <w:tblPr>
        <w:tblStyle w:val="42"/>
        <w:tblW w:w="5000" w:type="pct"/>
        <w:tblInd w:w="15" w:type="dxa"/>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Layout w:type="fixed"/>
        <w:tblCellMar>
          <w:top w:w="0" w:type="dxa"/>
          <w:left w:w="0" w:type="dxa"/>
          <w:bottom w:w="0" w:type="dxa"/>
          <w:right w:w="0" w:type="dxa"/>
        </w:tblCellMar>
      </w:tblPr>
      <w:tblGrid>
        <w:gridCol w:w="913"/>
        <w:gridCol w:w="3289"/>
        <w:gridCol w:w="3289"/>
        <w:gridCol w:w="914"/>
        <w:gridCol w:w="731"/>
      </w:tblGrid>
      <w:tr w14:paraId="4115B4ED">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blHeader/>
        </w:trPr>
        <w:tc>
          <w:tcPr>
            <w:tcW w:w="40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49FD20C8">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序号</w:t>
            </w:r>
          </w:p>
        </w:tc>
        <w:tc>
          <w:tcPr>
            <w:tcW w:w="180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53A0CC12">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评审要素</w:t>
            </w:r>
          </w:p>
        </w:tc>
        <w:tc>
          <w:tcPr>
            <w:tcW w:w="180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452B54E6">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评审标准</w:t>
            </w:r>
          </w:p>
        </w:tc>
        <w:tc>
          <w:tcPr>
            <w:tcW w:w="50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534AE612">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分值</w:t>
            </w:r>
          </w:p>
        </w:tc>
        <w:tc>
          <w:tcPr>
            <w:tcW w:w="50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6C548F37">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权重</w:t>
            </w:r>
          </w:p>
        </w:tc>
      </w:tr>
      <w:tr w14:paraId="4B4416A4">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9FDD186">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6062E6E">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实施方案</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56C1223">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52F3129B">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100</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4CD7991A">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12</w:t>
            </w:r>
          </w:p>
        </w:tc>
      </w:tr>
      <w:tr w14:paraId="6725F1E3">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CC58337">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2</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7C6CD77">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项目重点难点分析、应对措施及相关的合理化建议</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5CF6D1B">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2DBA869A">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100</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15155B9F">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w:t>
            </w:r>
          </w:p>
        </w:tc>
      </w:tr>
      <w:tr w14:paraId="16A0AFEC">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4006B29">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3</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FC8AEF9">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质量（完成时间、安全、环保）保障措施及方案</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E590F33">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68026BB1">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100</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70EB4AF8">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5</w:t>
            </w:r>
          </w:p>
        </w:tc>
      </w:tr>
      <w:tr w14:paraId="4D72DC30">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BAC1401">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4</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4DA82F4">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违约承诺</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2BD0C8E">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7041037A">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100</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4C7FB135">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2</w:t>
            </w:r>
          </w:p>
        </w:tc>
      </w:tr>
      <w:tr w14:paraId="1312C34A">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2915DDB">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5</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2C59D1F">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拟安排的项目负责人情况（仅限一人）</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3D1446D">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1641D100">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100</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47BB8002">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w:t>
            </w:r>
          </w:p>
        </w:tc>
      </w:tr>
      <w:tr w14:paraId="1DBF38E2">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CDCA627">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6</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A519017">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拟安排的项目主要团队成员（主要技术人员）情况（项目负责人除外）</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24114E1">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73F7F0CC">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100</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7A78F017">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15</w:t>
            </w:r>
          </w:p>
        </w:tc>
      </w:tr>
      <w:tr w14:paraId="40664000">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675A256">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7</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8F22917">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供应商认证情况</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9FC3B04">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2E2DF8CA">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100</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3C68978E">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w:t>
            </w:r>
          </w:p>
        </w:tc>
      </w:tr>
      <w:tr w14:paraId="3448C88A">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9242DB1">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8</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47F5123">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供应商同类项目业绩情况</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FDBCCC2">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72C42A53">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100</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185BC23B">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5</w:t>
            </w:r>
          </w:p>
        </w:tc>
      </w:tr>
      <w:tr w14:paraId="3D0FE57B">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DE1D459">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9</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1097834">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供应商获奖情况</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DFB867A">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47918354">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100</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3F38A0FC">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6</w:t>
            </w:r>
          </w:p>
        </w:tc>
      </w:tr>
      <w:tr w14:paraId="0BC2F627">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1823391">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AE5DEDB">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项目相关计算机软件著作权使用权限情况</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BC870B8">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6C60E42C">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100</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12AC4B65">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w:t>
            </w:r>
          </w:p>
        </w:tc>
      </w:tr>
      <w:tr w14:paraId="4DFD35B4">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A52108E">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11</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10A7D9C">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诚信情况</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96E58B5">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31ED155B">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100</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10B1C0AE">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5</w:t>
            </w:r>
          </w:p>
        </w:tc>
      </w:tr>
    </w:tbl>
    <w:p w14:paraId="37DF027C">
      <w:pPr>
        <w:keepLines/>
        <w:pBdr>
          <w:top w:val="none" w:color="auto" w:sz="0" w:space="0"/>
          <w:left w:val="none" w:color="auto" w:sz="0" w:space="0"/>
          <w:bottom w:val="none" w:color="auto" w:sz="0" w:space="0"/>
          <w:right w:val="none" w:color="auto" w:sz="0" w:space="0"/>
        </w:pBdr>
        <w:spacing w:before="0" w:line="432" w:lineRule="atLeast"/>
        <w:ind w:left="15" w:right="15"/>
        <w:rPr>
          <w:rFonts w:ascii="微软雅黑" w:hAnsi="微软雅黑" w:eastAsia="微软雅黑" w:cs="微软雅黑"/>
          <w:color w:val="333333"/>
          <w:lang w:val="en" w:eastAsia="en"/>
        </w:rPr>
      </w:pPr>
      <w:r>
        <w:rPr>
          <w:rFonts w:ascii="仿宋" w:hAnsi="仿宋" w:eastAsia="仿宋" w:cs="仿宋"/>
          <w:b/>
          <w:bCs/>
          <w:color w:val="000000"/>
          <w:lang w:val="en" w:eastAsia="en"/>
        </w:rPr>
        <w:t>4.5 价格评审</w:t>
      </w:r>
      <w:r>
        <w:rPr>
          <w:rFonts w:ascii="微软雅黑" w:hAnsi="微软雅黑" w:eastAsia="微软雅黑" w:cs="微软雅黑"/>
          <w:color w:val="333333"/>
          <w:lang w:val="en" w:eastAsia="en"/>
        </w:rPr>
        <w:t xml:space="preserve"> </w:t>
      </w:r>
    </w:p>
    <w:p w14:paraId="265A24C3">
      <w:pPr>
        <w:keepLines/>
        <w:pBdr>
          <w:top w:val="none" w:color="auto" w:sz="0" w:space="0"/>
          <w:left w:val="none" w:color="auto" w:sz="0" w:space="0"/>
          <w:bottom w:val="none" w:color="auto" w:sz="0" w:space="0"/>
          <w:right w:val="none" w:color="auto" w:sz="0" w:space="0"/>
        </w:pBdr>
        <w:spacing w:before="0" w:after="0" w:line="432" w:lineRule="atLeast"/>
        <w:ind w:left="15" w:right="15"/>
        <w:rPr>
          <w:rFonts w:ascii="微软雅黑" w:hAnsi="微软雅黑" w:eastAsia="微软雅黑" w:cs="微软雅黑"/>
          <w:color w:val="333333"/>
          <w:lang w:val="en" w:eastAsia="en"/>
        </w:rPr>
      </w:pPr>
      <w:r>
        <w:rPr>
          <w:rFonts w:ascii="仿宋" w:hAnsi="仿宋" w:eastAsia="仿宋" w:cs="仿宋"/>
          <w:color w:val="333333"/>
          <w:lang w:val="en" w:eastAsia="en"/>
        </w:rPr>
        <w:t>4.5.1 投标总价</w:t>
      </w:r>
      <w:r>
        <w:rPr>
          <w:rFonts w:ascii="仿宋" w:hAnsi="仿宋" w:eastAsia="仿宋" w:cs="仿宋"/>
          <w:color w:val="333333"/>
          <w:lang w:val="en" w:eastAsia="en"/>
        </w:rPr>
        <w:br w:type="textWrapping"/>
      </w:r>
      <w:r>
        <w:rPr>
          <w:rFonts w:ascii="仿宋" w:hAnsi="仿宋" w:eastAsia="仿宋" w:cs="仿宋"/>
          <w:color w:val="333333"/>
          <w:lang w:val="en" w:eastAsia="en"/>
        </w:rPr>
        <w:t>价格得分满分：</w:t>
      </w:r>
      <w:r>
        <w:rPr>
          <w:rFonts w:ascii="微软雅黑" w:hAnsi="微软雅黑" w:eastAsia="微软雅黑" w:cs="微软雅黑"/>
          <w:color w:val="333333"/>
          <w:lang w:val="en" w:eastAsia="en"/>
        </w:rPr>
        <w:t xml:space="preserve"> </w:t>
      </w:r>
      <w:r>
        <w:rPr>
          <w:rFonts w:ascii="仿宋" w:hAnsi="仿宋" w:eastAsia="仿宋" w:cs="仿宋"/>
          <w:color w:val="333333"/>
          <w:lang w:val="en" w:eastAsia="en"/>
        </w:rPr>
        <w:t>10</w:t>
      </w:r>
      <w:r>
        <w:rPr>
          <w:rFonts w:ascii="仿宋" w:hAnsi="仿宋" w:eastAsia="仿宋" w:cs="仿宋"/>
          <w:color w:val="333333"/>
          <w:lang w:val="en" w:eastAsia="en"/>
        </w:rPr>
        <w:br w:type="textWrapping"/>
      </w:r>
      <w:r>
        <w:rPr>
          <w:rFonts w:ascii="仿宋" w:hAnsi="仿宋" w:eastAsia="仿宋" w:cs="仿宋"/>
          <w:color w:val="333333"/>
          <w:lang w:val="en" w:eastAsia="en"/>
        </w:rPr>
        <w:t>报价打分方式：</w:t>
      </w:r>
      <w:r>
        <w:rPr>
          <w:rFonts w:ascii="微软雅黑" w:hAnsi="微软雅黑" w:eastAsia="微软雅黑" w:cs="微软雅黑"/>
          <w:color w:val="333333"/>
          <w:lang w:val="en" w:eastAsia="en"/>
        </w:rPr>
        <w:t xml:space="preserve"> </w:t>
      </w:r>
      <w:r>
        <w:rPr>
          <w:rFonts w:ascii="仿宋" w:hAnsi="仿宋" w:eastAsia="仿宋" w:cs="仿宋"/>
          <w:color w:val="333333"/>
          <w:lang w:val="en" w:eastAsia="en"/>
        </w:rPr>
        <w:t>自动算分（内插法）</w:t>
      </w:r>
      <w:r>
        <w:rPr>
          <w:rFonts w:ascii="仿宋" w:hAnsi="仿宋" w:eastAsia="仿宋" w:cs="仿宋"/>
          <w:color w:val="333333"/>
          <w:lang w:val="en" w:eastAsia="en"/>
        </w:rPr>
        <w:br w:type="textWrapping"/>
      </w:r>
      <w:r>
        <w:rPr>
          <w:rFonts w:ascii="仿宋" w:hAnsi="仿宋" w:eastAsia="仿宋" w:cs="仿宋"/>
          <w:color w:val="333333"/>
          <w:lang w:val="en" w:eastAsia="en"/>
        </w:rPr>
        <w:t>参与基准价计算范围的计算公式：全部投标报价</w:t>
      </w:r>
      <w:r>
        <w:rPr>
          <w:rFonts w:ascii="仿宋" w:hAnsi="仿宋" w:eastAsia="仿宋" w:cs="仿宋"/>
          <w:color w:val="333333"/>
          <w:lang w:val="en" w:eastAsia="en"/>
        </w:rPr>
        <w:br w:type="textWrapping"/>
      </w:r>
      <w:r>
        <w:rPr>
          <w:rFonts w:ascii="仿宋" w:hAnsi="仿宋" w:eastAsia="仿宋" w:cs="仿宋"/>
          <w:color w:val="333333"/>
          <w:lang w:val="en" w:eastAsia="en"/>
        </w:rPr>
        <w:t>评标价计算公式：评标价=投标函中的投标报价*价格扣除（上浮）比例：中小微企业（或监狱企业或残疾人福利性单位）价格扣除比例：10%；中小微联合体（协议合同金额占到联合体协议合同总金额30%以上）价格扣除比例：0%；失信供应商价格上浮比例：0%。</w:t>
      </w:r>
      <w:r>
        <w:rPr>
          <w:rFonts w:ascii="仿宋" w:hAnsi="仿宋" w:eastAsia="仿宋" w:cs="仿宋"/>
          <w:color w:val="333333"/>
          <w:lang w:val="en" w:eastAsia="en"/>
        </w:rPr>
        <w:br w:type="textWrapping"/>
      </w:r>
      <w:r>
        <w:rPr>
          <w:rFonts w:ascii="仿宋" w:hAnsi="仿宋" w:eastAsia="仿宋" w:cs="仿宋"/>
          <w:color w:val="333333"/>
          <w:lang w:val="en" w:eastAsia="en"/>
        </w:rPr>
        <w:t>基准价计算公式：基准价=最低评标价</w:t>
      </w:r>
      <w:r>
        <w:rPr>
          <w:rFonts w:ascii="仿宋" w:hAnsi="仿宋" w:eastAsia="仿宋" w:cs="仿宋"/>
          <w:color w:val="333333"/>
          <w:lang w:val="en" w:eastAsia="en"/>
        </w:rPr>
        <w:br w:type="textWrapping"/>
      </w:r>
      <w:r>
        <w:rPr>
          <w:rFonts w:ascii="仿宋" w:hAnsi="仿宋" w:eastAsia="仿宋" w:cs="仿宋"/>
          <w:color w:val="333333"/>
          <w:lang w:val="en" w:eastAsia="en"/>
        </w:rPr>
        <w:t>报价打分计算公式：得分=（基准价/评标价）*总分</w:t>
      </w:r>
    </w:p>
    <w:sectPr>
      <w:pgMar w:top="1440" w:right="1800" w:bottom="1440" w:left="1800"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CC"/>
    <w:family w:val="swiss"/>
    <w:pitch w:val="default"/>
    <w:sig w:usb0="E0002EFF" w:usb1="C000785B" w:usb2="00000009" w:usb3="00000000" w:csb0="400001FF" w:csb1="FFFF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ˎ̥">
    <w:altName w:val="Times New Roman"/>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04B4FE">
    <w:pPr>
      <w:pStyle w:val="10"/>
      <w:framePr w:wrap="around" w:vAnchor="text" w:hAnchor="margin" w:xAlign="center" w:y="1"/>
      <w:rPr>
        <w:rStyle w:val="16"/>
      </w:rPr>
    </w:pPr>
    <w:r>
      <w:t xml:space="preserve">- </w:t>
    </w:r>
    <w:r>
      <w:fldChar w:fldCharType="begin"/>
    </w:r>
    <w:r>
      <w:instrText xml:space="preserve"> PAGE </w:instrText>
    </w:r>
    <w:r>
      <w:fldChar w:fldCharType="separate"/>
    </w:r>
    <w:r>
      <w:t>2</w:t>
    </w:r>
    <w:r>
      <w:fldChar w:fldCharType="end"/>
    </w:r>
    <w:r>
      <w:t xml:space="preserve"> -</w:t>
    </w:r>
  </w:p>
  <w:p w14:paraId="5A5D3596">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73541A">
    <w:pPr>
      <w:pStyle w:val="10"/>
      <w:framePr w:wrap="around" w:vAnchor="text" w:hAnchor="margin" w:xAlign="center" w:y="1"/>
      <w:rPr>
        <w:rStyle w:val="16"/>
      </w:rPr>
    </w:pPr>
    <w:r>
      <w:rPr>
        <w:rStyle w:val="16"/>
      </w:rPr>
      <w:fldChar w:fldCharType="begin"/>
    </w:r>
    <w:r>
      <w:rPr>
        <w:rStyle w:val="16"/>
      </w:rPr>
      <w:instrText xml:space="preserve">PAGE  </w:instrText>
    </w:r>
    <w:r>
      <w:rPr>
        <w:rStyle w:val="16"/>
      </w:rPr>
      <w:fldChar w:fldCharType="separate"/>
    </w:r>
    <w:r>
      <w:rPr>
        <w:rStyle w:val="16"/>
      </w:rPr>
      <w:t>10</w:t>
    </w:r>
    <w:r>
      <w:rPr>
        <w:rStyle w:val="16"/>
      </w:rPr>
      <w:fldChar w:fldCharType="end"/>
    </w:r>
  </w:p>
  <w:p w14:paraId="2FA73A40">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4ECD83">
    <w:pPr>
      <w:pBdr>
        <w:top w:val="none" w:color="auto" w:sz="0" w:space="1"/>
        <w:left w:val="none" w:color="auto" w:sz="0" w:space="4"/>
        <w:bottom w:val="none" w:color="auto" w:sz="0" w:space="1"/>
        <w:right w:val="none" w:color="auto" w:sz="0" w:space="4"/>
      </w:pBdr>
      <w:tabs>
        <w:tab w:val="center" w:pos="4153"/>
        <w:tab w:val="right" w:pos="8306"/>
      </w:tabs>
      <w:snapToGrid w:val="0"/>
      <w:rPr>
        <w:sz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75B8CB">
    <w:pPr>
      <w:pStyle w:val="11"/>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F30691"/>
    <w:multiLevelType w:val="singleLevel"/>
    <w:tmpl w:val="B4F30691"/>
    <w:lvl w:ilvl="0" w:tentative="0">
      <w:start w:val="3"/>
      <w:numFmt w:val="decimal"/>
      <w:suff w:val="nothing"/>
      <w:lvlText w:val="（%1）"/>
      <w:lvlJc w:val="left"/>
    </w:lvl>
  </w:abstractNum>
  <w:abstractNum w:abstractNumId="1">
    <w:nsid w:val="B9358C2E"/>
    <w:multiLevelType w:val="singleLevel"/>
    <w:tmpl w:val="B9358C2E"/>
    <w:lvl w:ilvl="0" w:tentative="0">
      <w:start w:val="2"/>
      <w:numFmt w:val="decimal"/>
      <w:suff w:val="nothing"/>
      <w:lvlText w:val="%1、"/>
      <w:lvlJc w:val="left"/>
    </w:lvl>
  </w:abstractNum>
  <w:abstractNum w:abstractNumId="2">
    <w:nsid w:val="C7DB5FF8"/>
    <w:multiLevelType w:val="singleLevel"/>
    <w:tmpl w:val="C7DB5FF8"/>
    <w:lvl w:ilvl="0" w:tentative="0">
      <w:start w:val="1"/>
      <w:numFmt w:val="decimal"/>
      <w:suff w:val="nothing"/>
      <w:lvlText w:val="%1、"/>
      <w:lvlJc w:val="left"/>
    </w:lvl>
  </w:abstractNum>
  <w:abstractNum w:abstractNumId="3">
    <w:nsid w:val="34416252"/>
    <w:multiLevelType w:val="multilevel"/>
    <w:tmpl w:val="34416252"/>
    <w:lvl w:ilvl="0" w:tentative="0">
      <w:start w:val="1"/>
      <w:numFmt w:val="japaneseCounting"/>
      <w:lvlText w:val="第%1章"/>
      <w:lvlJc w:val="left"/>
      <w:pPr>
        <w:ind w:left="1080" w:hanging="10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cumentProtection w:enforcement="0"/>
  <w:defaultTabStop w:val="720"/>
  <w:noPunctuationKerning w:val="1"/>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B3E"/>
    <w:rsid w:val="00A77B3E"/>
    <w:rsid w:val="00CA2A55"/>
    <w:rsid w:val="77BA479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en-US" w:bidi="ar-SA"/>
    </w:rPr>
  </w:style>
  <w:style w:type="paragraph" w:styleId="2">
    <w:name w:val="heading 1"/>
    <w:basedOn w:val="3"/>
    <w:next w:val="1"/>
    <w:link w:val="22"/>
    <w:qFormat/>
    <w:uiPriority w:val="0"/>
    <w:pPr>
      <w:spacing w:before="340" w:after="330" w:line="360" w:lineRule="auto"/>
      <w:jc w:val="center"/>
      <w:outlineLvl w:val="0"/>
    </w:pPr>
    <w:rPr>
      <w:rFonts w:eastAsia="黑体"/>
      <w:kern w:val="44"/>
      <w:szCs w:val="44"/>
    </w:rPr>
  </w:style>
  <w:style w:type="paragraph" w:styleId="4">
    <w:name w:val="heading 2"/>
    <w:basedOn w:val="3"/>
    <w:next w:val="5"/>
    <w:link w:val="24"/>
    <w:qFormat/>
    <w:uiPriority w:val="0"/>
    <w:pPr>
      <w:adjustRightInd w:val="0"/>
      <w:jc w:val="center"/>
      <w:textAlignment w:val="baseline"/>
      <w:outlineLvl w:val="1"/>
    </w:pPr>
    <w:rPr>
      <w:kern w:val="0"/>
      <w:sz w:val="24"/>
      <w:szCs w:val="20"/>
    </w:rPr>
  </w:style>
  <w:style w:type="paragraph" w:styleId="3">
    <w:name w:val="heading 3"/>
    <w:basedOn w:val="1"/>
    <w:next w:val="1"/>
    <w:link w:val="21"/>
    <w:qFormat/>
    <w:uiPriority w:val="9"/>
    <w:pPr>
      <w:widowControl w:val="0"/>
      <w:spacing w:before="260" w:after="260"/>
      <w:jc w:val="both"/>
      <w:outlineLvl w:val="2"/>
    </w:pPr>
    <w:rPr>
      <w:rFonts w:ascii="宋体" w:hAnsi="宋体" w:eastAsia="宋体"/>
      <w:kern w:val="2"/>
      <w:sz w:val="21"/>
      <w:szCs w:val="32"/>
      <w:lang w:eastAsia="zh-CN"/>
    </w:rPr>
  </w:style>
  <w:style w:type="paragraph" w:styleId="5">
    <w:name w:val="heading 4"/>
    <w:basedOn w:val="1"/>
    <w:next w:val="1"/>
    <w:link w:val="23"/>
    <w:qFormat/>
    <w:uiPriority w:val="9"/>
    <w:pPr>
      <w:keepNext/>
      <w:keepLines/>
      <w:widowControl w:val="0"/>
      <w:spacing w:before="280" w:after="290" w:line="376" w:lineRule="auto"/>
      <w:jc w:val="both"/>
      <w:outlineLvl w:val="3"/>
    </w:pPr>
    <w:rPr>
      <w:rFonts w:ascii="Arial" w:hAnsi="Arial" w:eastAsia="黑体"/>
      <w:b/>
      <w:bCs/>
      <w:kern w:val="2"/>
      <w:sz w:val="28"/>
      <w:szCs w:val="28"/>
      <w:lang w:eastAsia="zh-CN"/>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6">
    <w:name w:val="Normal Indent"/>
    <w:basedOn w:val="1"/>
    <w:link w:val="20"/>
    <w:qFormat/>
    <w:uiPriority w:val="0"/>
    <w:pPr>
      <w:widowControl w:val="0"/>
      <w:ind w:firstLine="420"/>
      <w:jc w:val="both"/>
    </w:pPr>
    <w:rPr>
      <w:rFonts w:eastAsia="宋体"/>
      <w:kern w:val="2"/>
      <w:sz w:val="21"/>
      <w:szCs w:val="20"/>
      <w:lang w:eastAsia="zh-CN"/>
    </w:rPr>
  </w:style>
  <w:style w:type="paragraph" w:styleId="7">
    <w:name w:val="Body Text"/>
    <w:basedOn w:val="1"/>
    <w:next w:val="8"/>
    <w:link w:val="26"/>
    <w:qFormat/>
    <w:uiPriority w:val="0"/>
    <w:pPr>
      <w:widowControl w:val="0"/>
      <w:spacing w:line="360" w:lineRule="auto"/>
      <w:jc w:val="both"/>
    </w:pPr>
    <w:rPr>
      <w:rFonts w:eastAsia="宋体"/>
      <w:b/>
      <w:bCs/>
      <w:kern w:val="2"/>
      <w:lang w:eastAsia="zh-CN"/>
    </w:rPr>
  </w:style>
  <w:style w:type="paragraph" w:styleId="8">
    <w:name w:val="Body Text 2"/>
    <w:basedOn w:val="1"/>
    <w:link w:val="25"/>
    <w:qFormat/>
    <w:uiPriority w:val="0"/>
    <w:pPr>
      <w:widowControl w:val="0"/>
      <w:spacing w:line="360" w:lineRule="auto"/>
      <w:jc w:val="both"/>
    </w:pPr>
    <w:rPr>
      <w:rFonts w:eastAsia="宋体"/>
      <w:kern w:val="2"/>
      <w:lang w:eastAsia="zh-CN"/>
    </w:rPr>
  </w:style>
  <w:style w:type="paragraph" w:styleId="9">
    <w:name w:val="Body Text Indent"/>
    <w:basedOn w:val="1"/>
    <w:link w:val="32"/>
    <w:qFormat/>
    <w:uiPriority w:val="0"/>
    <w:pPr>
      <w:widowControl w:val="0"/>
      <w:spacing w:line="360" w:lineRule="auto"/>
      <w:ind w:firstLine="420" w:firstLineChars="200"/>
      <w:jc w:val="both"/>
    </w:pPr>
    <w:rPr>
      <w:rFonts w:eastAsia="宋体"/>
      <w:kern w:val="2"/>
      <w:sz w:val="21"/>
      <w:lang w:eastAsia="zh-CN"/>
    </w:rPr>
  </w:style>
  <w:style w:type="paragraph" w:styleId="10">
    <w:name w:val="footer"/>
    <w:basedOn w:val="1"/>
    <w:link w:val="18"/>
    <w:qFormat/>
    <w:uiPriority w:val="0"/>
    <w:pPr>
      <w:widowControl w:val="0"/>
      <w:tabs>
        <w:tab w:val="center" w:pos="4153"/>
        <w:tab w:val="right" w:pos="8306"/>
      </w:tabs>
      <w:snapToGrid w:val="0"/>
    </w:pPr>
    <w:rPr>
      <w:rFonts w:eastAsia="宋体"/>
      <w:kern w:val="2"/>
      <w:sz w:val="18"/>
      <w:szCs w:val="18"/>
      <w:lang w:eastAsia="zh-CN"/>
    </w:rPr>
  </w:style>
  <w:style w:type="paragraph" w:styleId="11">
    <w:name w:val="header"/>
    <w:basedOn w:val="1"/>
    <w:link w:val="17"/>
    <w:qFormat/>
    <w:uiPriority w:val="99"/>
    <w:pPr>
      <w:widowControl w:val="0"/>
      <w:pBdr>
        <w:bottom w:val="single" w:color="auto" w:sz="6" w:space="1"/>
      </w:pBdr>
      <w:tabs>
        <w:tab w:val="center" w:pos="4153"/>
        <w:tab w:val="right" w:pos="8306"/>
      </w:tabs>
      <w:snapToGrid w:val="0"/>
      <w:jc w:val="center"/>
    </w:pPr>
    <w:rPr>
      <w:rFonts w:eastAsia="宋体"/>
      <w:kern w:val="2"/>
      <w:sz w:val="18"/>
      <w:szCs w:val="18"/>
      <w:lang w:eastAsia="zh-CN"/>
    </w:rPr>
  </w:style>
  <w:style w:type="paragraph" w:styleId="12">
    <w:name w:val="Normal (Web)"/>
    <w:basedOn w:val="1"/>
    <w:link w:val="19"/>
    <w:qFormat/>
    <w:uiPriority w:val="99"/>
    <w:pPr>
      <w:widowControl w:val="0"/>
      <w:jc w:val="both"/>
    </w:pPr>
    <w:rPr>
      <w:rFonts w:eastAsia="宋体"/>
      <w:kern w:val="2"/>
      <w:lang w:eastAsia="zh-CN"/>
    </w:rPr>
  </w:style>
  <w:style w:type="table" w:styleId="14">
    <w:name w:val="Table Grid"/>
    <w:basedOn w:val="13"/>
    <w:qFormat/>
    <w:uiPriority w:val="39"/>
    <w:pPr>
      <w:widowControl w:val="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basedOn w:val="15"/>
    <w:qFormat/>
    <w:uiPriority w:val="0"/>
  </w:style>
  <w:style w:type="character" w:customStyle="1" w:styleId="17">
    <w:name w:val="页眉 字符"/>
    <w:link w:val="11"/>
    <w:qFormat/>
    <w:uiPriority w:val="99"/>
    <w:rPr>
      <w:rFonts w:eastAsia="宋体"/>
      <w:kern w:val="2"/>
      <w:sz w:val="18"/>
      <w:szCs w:val="18"/>
      <w:lang w:eastAsia="zh-CN"/>
    </w:rPr>
  </w:style>
  <w:style w:type="character" w:customStyle="1" w:styleId="18">
    <w:name w:val="页脚 字符"/>
    <w:link w:val="10"/>
    <w:qFormat/>
    <w:uiPriority w:val="0"/>
    <w:rPr>
      <w:rFonts w:eastAsia="宋体"/>
      <w:kern w:val="2"/>
      <w:sz w:val="18"/>
      <w:szCs w:val="18"/>
      <w:lang w:eastAsia="zh-CN"/>
    </w:rPr>
  </w:style>
  <w:style w:type="character" w:customStyle="1" w:styleId="19">
    <w:name w:val="普通(网站) 字符"/>
    <w:link w:val="12"/>
    <w:qFormat/>
    <w:uiPriority w:val="0"/>
    <w:rPr>
      <w:rFonts w:eastAsia="宋体"/>
      <w:kern w:val="2"/>
      <w:sz w:val="24"/>
      <w:szCs w:val="24"/>
    </w:rPr>
  </w:style>
  <w:style w:type="character" w:customStyle="1" w:styleId="20">
    <w:name w:val="正文缩进 字符"/>
    <w:link w:val="6"/>
    <w:qFormat/>
    <w:uiPriority w:val="0"/>
    <w:rPr>
      <w:rFonts w:eastAsia="宋体"/>
      <w:kern w:val="2"/>
      <w:sz w:val="21"/>
      <w:lang w:eastAsia="zh-CN"/>
    </w:rPr>
  </w:style>
  <w:style w:type="character" w:customStyle="1" w:styleId="21">
    <w:name w:val="标题 3 字符"/>
    <w:link w:val="3"/>
    <w:qFormat/>
    <w:uiPriority w:val="9"/>
    <w:rPr>
      <w:rFonts w:ascii="宋体" w:hAnsi="宋体" w:eastAsia="宋体"/>
      <w:b/>
      <w:bCs/>
      <w:kern w:val="2"/>
      <w:sz w:val="28"/>
      <w:szCs w:val="32"/>
      <w:lang w:eastAsia="zh-CN"/>
    </w:rPr>
  </w:style>
  <w:style w:type="character" w:customStyle="1" w:styleId="22">
    <w:name w:val="标题 1 字符"/>
    <w:link w:val="2"/>
    <w:qFormat/>
    <w:uiPriority w:val="0"/>
    <w:rPr>
      <w:rFonts w:ascii="宋体" w:hAnsi="宋体" w:eastAsia="黑体"/>
      <w:b/>
      <w:bCs/>
      <w:kern w:val="44"/>
      <w:sz w:val="28"/>
      <w:szCs w:val="44"/>
      <w:lang w:eastAsia="zh-CN"/>
    </w:rPr>
  </w:style>
  <w:style w:type="character" w:customStyle="1" w:styleId="23">
    <w:name w:val="标题 4 字符"/>
    <w:link w:val="5"/>
    <w:qFormat/>
    <w:uiPriority w:val="9"/>
    <w:rPr>
      <w:rFonts w:ascii="Arial" w:hAnsi="Arial" w:eastAsia="黑体"/>
      <w:b/>
      <w:bCs/>
      <w:kern w:val="2"/>
      <w:sz w:val="28"/>
      <w:szCs w:val="28"/>
      <w:lang w:eastAsia="zh-CN"/>
    </w:rPr>
  </w:style>
  <w:style w:type="character" w:customStyle="1" w:styleId="24">
    <w:name w:val="标题 2 字符"/>
    <w:link w:val="4"/>
    <w:qFormat/>
    <w:uiPriority w:val="0"/>
    <w:rPr>
      <w:rFonts w:ascii="宋体" w:hAnsi="宋体" w:eastAsia="宋体"/>
      <w:b/>
      <w:bCs/>
      <w:sz w:val="24"/>
      <w:lang w:eastAsia="zh-CN"/>
    </w:rPr>
  </w:style>
  <w:style w:type="character" w:customStyle="1" w:styleId="25">
    <w:name w:val="正文文本 2 字符"/>
    <w:link w:val="8"/>
    <w:qFormat/>
    <w:uiPriority w:val="0"/>
    <w:rPr>
      <w:rFonts w:eastAsia="宋体"/>
      <w:kern w:val="2"/>
      <w:sz w:val="24"/>
      <w:szCs w:val="24"/>
      <w:lang w:eastAsia="zh-CN"/>
    </w:rPr>
  </w:style>
  <w:style w:type="character" w:customStyle="1" w:styleId="26">
    <w:name w:val="正文文本 字符"/>
    <w:link w:val="7"/>
    <w:qFormat/>
    <w:uiPriority w:val="0"/>
    <w:rPr>
      <w:rFonts w:eastAsia="宋体"/>
      <w:b/>
      <w:bCs/>
      <w:kern w:val="2"/>
      <w:sz w:val="24"/>
      <w:szCs w:val="24"/>
      <w:lang w:eastAsia="zh-CN"/>
    </w:rPr>
  </w:style>
  <w:style w:type="paragraph" w:customStyle="1" w:styleId="27">
    <w:name w:val="段落"/>
    <w:basedOn w:val="1"/>
    <w:qFormat/>
    <w:uiPriority w:val="0"/>
    <w:pPr>
      <w:widowControl w:val="0"/>
      <w:ind w:firstLine="200" w:firstLineChars="200"/>
      <w:jc w:val="both"/>
    </w:pPr>
    <w:rPr>
      <w:rFonts w:eastAsia="宋体"/>
      <w:kern w:val="2"/>
      <w:sz w:val="21"/>
      <w:lang w:eastAsia="zh-CN"/>
    </w:rPr>
  </w:style>
  <w:style w:type="table" w:customStyle="1" w:styleId="28">
    <w:name w:val="Table Normal_0"/>
    <w:semiHidden/>
    <w:unhideWhenUsed/>
    <w:qFormat/>
    <w:uiPriority w:val="0"/>
    <w:rPr>
      <w:rFonts w:eastAsia="宋体"/>
    </w:rPr>
    <w:tblPr>
      <w:tblCellMar>
        <w:top w:w="0" w:type="dxa"/>
        <w:left w:w="0" w:type="dxa"/>
        <w:bottom w:w="0" w:type="dxa"/>
        <w:right w:w="0" w:type="dxa"/>
      </w:tblCellMar>
    </w:tblPr>
  </w:style>
  <w:style w:type="paragraph" w:customStyle="1" w:styleId="29">
    <w:name w:val="Table Text"/>
    <w:basedOn w:val="1"/>
    <w:semiHidden/>
    <w:qFormat/>
    <w:uiPriority w:val="0"/>
    <w:pPr>
      <w:widowControl w:val="0"/>
      <w:jc w:val="both"/>
    </w:pPr>
    <w:rPr>
      <w:rFonts w:ascii="微软雅黑" w:hAnsi="微软雅黑" w:eastAsia="微软雅黑" w:cs="微软雅黑"/>
      <w:kern w:val="2"/>
    </w:rPr>
  </w:style>
  <w:style w:type="paragraph" w:customStyle="1" w:styleId="30">
    <w:name w:val="图"/>
    <w:basedOn w:val="1"/>
    <w:qFormat/>
    <w:uiPriority w:val="0"/>
    <w:pPr>
      <w:keepNext/>
      <w:widowControl w:val="0"/>
      <w:adjustRightInd w:val="0"/>
      <w:snapToGrid w:val="0"/>
      <w:spacing w:before="60" w:after="60" w:line="300" w:lineRule="auto"/>
      <w:jc w:val="center"/>
    </w:pPr>
    <w:rPr>
      <w:rFonts w:eastAsia="宋体"/>
      <w:spacing w:val="20"/>
      <w:szCs w:val="20"/>
      <w:lang w:eastAsia="zh-CN"/>
    </w:rPr>
  </w:style>
  <w:style w:type="table" w:customStyle="1" w:styleId="31">
    <w:name w:val="网格型1"/>
    <w:basedOn w:val="13"/>
    <w:qFormat/>
    <w:uiPriority w:val="0"/>
    <w:pPr>
      <w:widowControl w:val="0"/>
      <w:jc w:val="both"/>
    </w:pPr>
    <w:rPr>
      <w:rFonts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2">
    <w:name w:val="正文文本缩进 字符"/>
    <w:link w:val="9"/>
    <w:qFormat/>
    <w:uiPriority w:val="0"/>
    <w:rPr>
      <w:rFonts w:eastAsia="宋体"/>
      <w:kern w:val="2"/>
      <w:sz w:val="21"/>
      <w:szCs w:val="24"/>
      <w:lang w:eastAsia="zh-CN"/>
    </w:rPr>
  </w:style>
  <w:style w:type="paragraph" w:styleId="33">
    <w:name w:val="List Paragraph"/>
    <w:basedOn w:val="1"/>
    <w:qFormat/>
    <w:uiPriority w:val="34"/>
    <w:pPr>
      <w:widowControl w:val="0"/>
      <w:ind w:firstLine="420" w:firstLineChars="200"/>
      <w:jc w:val="both"/>
    </w:pPr>
    <w:rPr>
      <w:rFonts w:ascii="Calibri" w:hAnsi="Calibri" w:eastAsia="宋体"/>
      <w:kern w:val="2"/>
      <w:sz w:val="21"/>
      <w:szCs w:val="22"/>
      <w:lang w:eastAsia="zh-CN"/>
    </w:rPr>
  </w:style>
  <w:style w:type="table" w:customStyle="1" w:styleId="34">
    <w:name w:val="typo_table"/>
    <w:basedOn w:val="13"/>
    <w:qFormat/>
    <w:uiPriority w:val="0"/>
  </w:style>
  <w:style w:type="paragraph" w:customStyle="1" w:styleId="35">
    <w:name w:val="typo_h1"/>
    <w:basedOn w:val="1"/>
    <w:qFormat/>
    <w:uiPriority w:val="0"/>
    <w:pPr>
      <w:spacing w:line="648" w:lineRule="atLeast"/>
    </w:pPr>
    <w:rPr>
      <w:rFonts w:ascii="微软雅黑" w:hAnsi="微软雅黑" w:eastAsia="微软雅黑" w:cs="微软雅黑"/>
      <w:color w:val="333333"/>
      <w:sz w:val="48"/>
      <w:szCs w:val="48"/>
    </w:rPr>
  </w:style>
  <w:style w:type="character" w:customStyle="1" w:styleId="36">
    <w:name w:val="base"/>
    <w:basedOn w:val="15"/>
    <w:qFormat/>
    <w:uiPriority w:val="0"/>
    <w:rPr>
      <w:rFonts w:ascii="仿宋" w:hAnsi="仿宋" w:eastAsia="仿宋" w:cs="仿宋"/>
      <w:b/>
      <w:bCs/>
      <w:sz w:val="28"/>
      <w:szCs w:val="28"/>
    </w:rPr>
  </w:style>
  <w:style w:type="paragraph" w:customStyle="1" w:styleId="37">
    <w:name w:val="typo_p"/>
    <w:basedOn w:val="1"/>
    <w:qFormat/>
    <w:uiPriority w:val="0"/>
    <w:pPr>
      <w:spacing w:line="432" w:lineRule="atLeast"/>
    </w:pPr>
    <w:rPr>
      <w:rFonts w:ascii="微软雅黑" w:hAnsi="微软雅黑" w:eastAsia="微软雅黑" w:cs="微软雅黑"/>
      <w:color w:val="333333"/>
    </w:rPr>
  </w:style>
  <w:style w:type="character" w:customStyle="1" w:styleId="38">
    <w:name w:val="span"/>
    <w:basedOn w:val="15"/>
    <w:qFormat/>
    <w:uiPriority w:val="0"/>
    <w:rPr>
      <w:rFonts w:ascii="仿宋" w:hAnsi="仿宋" w:eastAsia="仿宋" w:cs="仿宋"/>
    </w:rPr>
  </w:style>
  <w:style w:type="character" w:customStyle="1" w:styleId="39">
    <w:name w:val="underline"/>
    <w:basedOn w:val="15"/>
    <w:qFormat/>
    <w:uiPriority w:val="0"/>
  </w:style>
  <w:style w:type="paragraph" w:customStyle="1" w:styleId="40">
    <w:name w:val="div"/>
    <w:basedOn w:val="1"/>
    <w:qFormat/>
    <w:uiPriority w:val="0"/>
    <w:pPr>
      <w:keepLines/>
      <w:spacing w:line="432" w:lineRule="atLeast"/>
    </w:pPr>
    <w:rPr>
      <w:rFonts w:ascii="微软雅黑" w:hAnsi="微软雅黑" w:eastAsia="微软雅黑" w:cs="微软雅黑"/>
      <w:color w:val="333333"/>
    </w:rPr>
  </w:style>
  <w:style w:type="character" w:customStyle="1" w:styleId="41">
    <w:name w:val="step-methods_step-item_label"/>
    <w:basedOn w:val="15"/>
    <w:qFormat/>
    <w:uiPriority w:val="0"/>
  </w:style>
  <w:style w:type="table" w:customStyle="1" w:styleId="42">
    <w:name w:val="typo_table_0"/>
    <w:basedOn w:val="13"/>
    <w:qFormat/>
    <w:uiPriority w:val="0"/>
  </w:style>
  <w:style w:type="character" w:customStyle="1" w:styleId="43">
    <w:name w:val="strong"/>
    <w:basedOn w:val="15"/>
    <w:qFormat/>
    <w:uiPriority w:val="0"/>
    <w:rPr>
      <w:b/>
      <w:bCs/>
      <w:color w:val="00000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Template>
  <Pages>61</Pages>
  <Words>1189</Words>
  <Characters>1244</Characters>
  <Lines>1</Lines>
  <Paragraphs>1</Paragraphs>
  <TotalTime>0</TotalTime>
  <ScaleCrop>false</ScaleCrop>
  <LinksUpToDate>false</LinksUpToDate>
  <CharactersWithSpaces>1252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2025-11-28T12:50:12Z</dcterms:created>
  <dc:creator>Lv jing rong</dc:creator>
  <cp:lastModifiedBy>吕静</cp:lastModifiedBy>
  <dcterms:modified xsi:type="dcterms:W3CDTF">2025-11-28T12:50:30Z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70170040703B483C830EEB8B9A3AB2C2_13</vt:lpwstr>
  </property>
</Properties>
</file>