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F032C">
      <w:pPr>
        <w:widowControl/>
        <w:shd w:val="clear" w:color="auto" w:fill="FFFFFF"/>
        <w:spacing w:line="600" w:lineRule="atLeast"/>
        <w:jc w:val="center"/>
        <w:rPr>
          <w:rFonts w:hint="eastAsia" w:ascii="宋体" w:hAnsi="宋体" w:eastAsia="宋体" w:cs="宋体"/>
          <w:b/>
          <w:bCs/>
          <w:color w:val="333333"/>
          <w:kern w:val="0"/>
          <w:sz w:val="24"/>
          <w:szCs w:val="24"/>
          <w:lang w:eastAsia="zh-CN"/>
        </w:rPr>
      </w:pPr>
      <w:r>
        <w:rPr>
          <w:rFonts w:hint="eastAsia" w:ascii="宋体" w:hAnsi="宋体" w:cs="宋体"/>
          <w:b/>
          <w:bCs/>
          <w:color w:val="auto"/>
          <w:kern w:val="0"/>
          <w:sz w:val="28"/>
          <w:szCs w:val="28"/>
        </w:rPr>
        <w:t>深圳市南山区蛇口太子湾商贸大厦1栋</w:t>
      </w:r>
      <w:r>
        <w:rPr>
          <w:rFonts w:hint="eastAsia" w:ascii="宋体" w:hAnsi="宋体" w:cs="宋体"/>
          <w:b/>
          <w:bCs/>
          <w:color w:val="auto"/>
          <w:kern w:val="0"/>
          <w:sz w:val="28"/>
          <w:szCs w:val="28"/>
          <w:lang w:val="en-US" w:eastAsia="zh-CN"/>
        </w:rPr>
        <w:t>15</w:t>
      </w:r>
      <w:r>
        <w:rPr>
          <w:rFonts w:hint="eastAsia" w:ascii="宋体" w:hAnsi="宋体" w:cs="宋体"/>
          <w:b/>
          <w:bCs/>
          <w:color w:val="auto"/>
          <w:kern w:val="0"/>
          <w:sz w:val="28"/>
          <w:szCs w:val="28"/>
        </w:rPr>
        <w:t>01-</w:t>
      </w:r>
      <w:r>
        <w:rPr>
          <w:rFonts w:hint="eastAsia" w:ascii="宋体" w:hAnsi="宋体" w:cs="宋体"/>
          <w:b/>
          <w:bCs/>
          <w:color w:val="auto"/>
          <w:kern w:val="0"/>
          <w:sz w:val="28"/>
          <w:szCs w:val="28"/>
          <w:lang w:val="en-US" w:eastAsia="zh-CN"/>
        </w:rPr>
        <w:t>15</w:t>
      </w:r>
      <w:r>
        <w:rPr>
          <w:rFonts w:hint="eastAsia" w:ascii="宋体" w:hAnsi="宋体" w:cs="宋体"/>
          <w:b/>
          <w:bCs/>
          <w:color w:val="auto"/>
          <w:kern w:val="0"/>
          <w:sz w:val="28"/>
          <w:szCs w:val="28"/>
        </w:rPr>
        <w:t>04物业招租信息公告</w:t>
      </w:r>
    </w:p>
    <w:tbl>
      <w:tblPr>
        <w:tblStyle w:val="3"/>
        <w:tblpPr w:leftFromText="180" w:rightFromText="180" w:vertAnchor="text" w:horzAnchor="page" w:tblpX="849" w:tblpY="602"/>
        <w:tblOverlap w:val="never"/>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25"/>
        <w:gridCol w:w="1851"/>
        <w:gridCol w:w="6556"/>
      </w:tblGrid>
      <w:tr w14:paraId="57809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1C1CC2CE">
            <w:pPr>
              <w:pStyle w:val="2"/>
              <w:rPr>
                <w:rFonts w:hint="eastAsia"/>
                <w:lang w:eastAsia="zh-CN"/>
              </w:rPr>
            </w:pPr>
          </w:p>
        </w:tc>
        <w:tc>
          <w:tcPr>
            <w:tcW w:w="8407" w:type="dxa"/>
            <w:gridSpan w:val="2"/>
            <w:noWrap w:val="0"/>
            <w:tcMar>
              <w:top w:w="0" w:type="dxa"/>
              <w:left w:w="300" w:type="dxa"/>
              <w:bottom w:w="0" w:type="dxa"/>
              <w:right w:w="0" w:type="dxa"/>
            </w:tcMar>
            <w:vAlign w:val="center"/>
          </w:tcPr>
          <w:p w14:paraId="2317D46F">
            <w:pPr>
              <w:widowControl/>
              <w:tabs>
                <w:tab w:val="left" w:pos="893"/>
              </w:tabs>
              <w:spacing w:line="375" w:lineRule="atLeast"/>
              <w:jc w:val="left"/>
              <w:rPr>
                <w:rFonts w:hint="default" w:ascii="宋体" w:hAnsi="宋体" w:eastAsia="宋体" w:cs="宋体"/>
                <w:color w:val="333333"/>
                <w:kern w:val="0"/>
                <w:sz w:val="24"/>
                <w:szCs w:val="24"/>
                <w:highlight w:val="none"/>
                <w:lang w:val="en-US" w:eastAsia="zh-CN"/>
              </w:rPr>
            </w:pPr>
            <w:r>
              <w:rPr>
                <w:rFonts w:hint="default" w:ascii="宋体" w:hAnsi="宋体" w:eastAsia="宋体" w:cs="宋体"/>
                <w:color w:val="333333"/>
                <w:kern w:val="0"/>
                <w:sz w:val="24"/>
                <w:szCs w:val="24"/>
                <w:highlight w:val="none"/>
                <w:lang w:val="en-US" w:eastAsia="zh-CN"/>
              </w:rPr>
              <w:t>CQBD2026072400004</w:t>
            </w:r>
          </w:p>
        </w:tc>
      </w:tr>
      <w:tr w14:paraId="7404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restart"/>
            <w:noWrap w:val="0"/>
            <w:tcMar>
              <w:top w:w="0" w:type="dxa"/>
              <w:left w:w="300" w:type="dxa"/>
              <w:bottom w:w="0" w:type="dxa"/>
              <w:right w:w="0" w:type="dxa"/>
            </w:tcMar>
            <w:vAlign w:val="center"/>
          </w:tcPr>
          <w:p w14:paraId="30DDD93D">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出租方基本情况</w:t>
            </w:r>
          </w:p>
        </w:tc>
        <w:tc>
          <w:tcPr>
            <w:tcW w:w="1851" w:type="dxa"/>
            <w:noWrap w:val="0"/>
            <w:tcMar>
              <w:top w:w="0" w:type="dxa"/>
              <w:left w:w="300" w:type="dxa"/>
              <w:bottom w:w="0" w:type="dxa"/>
              <w:right w:w="0" w:type="dxa"/>
            </w:tcMar>
            <w:vAlign w:val="center"/>
          </w:tcPr>
          <w:p w14:paraId="0B414BD7">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出租方名称</w:t>
            </w:r>
          </w:p>
        </w:tc>
        <w:tc>
          <w:tcPr>
            <w:tcW w:w="6556" w:type="dxa"/>
            <w:noWrap w:val="0"/>
            <w:tcMar>
              <w:top w:w="0" w:type="dxa"/>
              <w:left w:w="300" w:type="dxa"/>
              <w:bottom w:w="0" w:type="dxa"/>
              <w:right w:w="0" w:type="dxa"/>
            </w:tcMar>
            <w:vAlign w:val="top"/>
          </w:tcPr>
          <w:p w14:paraId="053036B5">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广州银行股份有限公司</w:t>
            </w:r>
          </w:p>
        </w:tc>
      </w:tr>
      <w:tr w14:paraId="2A1B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blCellSpacing w:w="0" w:type="dxa"/>
        </w:trPr>
        <w:tc>
          <w:tcPr>
            <w:tcW w:w="2225" w:type="dxa"/>
            <w:vMerge w:val="continue"/>
            <w:noWrap w:val="0"/>
            <w:vAlign w:val="center"/>
          </w:tcPr>
          <w:p w14:paraId="569B8A03">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14B8BB26">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地   址</w:t>
            </w:r>
          </w:p>
        </w:tc>
        <w:tc>
          <w:tcPr>
            <w:tcW w:w="6556" w:type="dxa"/>
            <w:noWrap w:val="0"/>
            <w:tcMar>
              <w:top w:w="0" w:type="dxa"/>
              <w:left w:w="300" w:type="dxa"/>
              <w:bottom w:w="0" w:type="dxa"/>
              <w:right w:w="0" w:type="dxa"/>
            </w:tcMar>
            <w:vAlign w:val="center"/>
          </w:tcPr>
          <w:p w14:paraId="4283D81F">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广东省广州市天河区珠江东路30号广州银行大厦</w:t>
            </w:r>
          </w:p>
        </w:tc>
      </w:tr>
      <w:tr w14:paraId="044C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restart"/>
            <w:noWrap w:val="0"/>
            <w:tcMar>
              <w:top w:w="0" w:type="dxa"/>
              <w:left w:w="300" w:type="dxa"/>
              <w:bottom w:w="0" w:type="dxa"/>
              <w:right w:w="0" w:type="dxa"/>
            </w:tcMar>
            <w:vAlign w:val="center"/>
          </w:tcPr>
          <w:p w14:paraId="5BA60C46">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出租资产基本信息</w:t>
            </w:r>
          </w:p>
        </w:tc>
        <w:tc>
          <w:tcPr>
            <w:tcW w:w="1851" w:type="dxa"/>
            <w:noWrap w:val="0"/>
            <w:tcMar>
              <w:top w:w="0" w:type="dxa"/>
              <w:left w:w="300" w:type="dxa"/>
              <w:bottom w:w="0" w:type="dxa"/>
              <w:right w:w="0" w:type="dxa"/>
            </w:tcMar>
            <w:vAlign w:val="center"/>
          </w:tcPr>
          <w:p w14:paraId="379A461F">
            <w:pPr>
              <w:widowControl/>
              <w:spacing w:line="375" w:lineRule="atLeast"/>
              <w:jc w:val="center"/>
              <w:rPr>
                <w:rFonts w:hint="eastAsia" w:ascii="宋体" w:hAnsi="宋体" w:eastAsia="宋体" w:cs="宋体"/>
                <w:b/>
                <w:bCs/>
                <w:color w:val="333333"/>
                <w:kern w:val="0"/>
                <w:sz w:val="24"/>
                <w:szCs w:val="24"/>
                <w:highlight w:val="none"/>
                <w:lang w:eastAsia="zh-CN"/>
              </w:rPr>
            </w:pPr>
            <w:r>
              <w:rPr>
                <w:rFonts w:hint="eastAsia" w:ascii="宋体" w:hAnsi="宋体" w:eastAsia="宋体" w:cs="宋体"/>
                <w:b/>
                <w:bCs/>
                <w:color w:val="333333"/>
                <w:kern w:val="0"/>
                <w:sz w:val="24"/>
                <w:szCs w:val="24"/>
                <w:highlight w:val="none"/>
                <w:lang w:eastAsia="zh-CN"/>
              </w:rPr>
              <w:t>出租资产概括</w:t>
            </w:r>
          </w:p>
        </w:tc>
        <w:tc>
          <w:tcPr>
            <w:tcW w:w="6556" w:type="dxa"/>
            <w:noWrap w:val="0"/>
            <w:tcMar>
              <w:top w:w="0" w:type="dxa"/>
              <w:left w:w="300" w:type="dxa"/>
              <w:bottom w:w="0" w:type="dxa"/>
              <w:right w:w="0" w:type="dxa"/>
            </w:tcMar>
            <w:vAlign w:val="center"/>
          </w:tcPr>
          <w:p w14:paraId="5DAFCD0B">
            <w:pPr>
              <w:widowControl/>
              <w:spacing w:line="375" w:lineRule="atLeast"/>
              <w:jc w:val="left"/>
              <w:rPr>
                <w:rFonts w:hint="default" w:ascii="宋体" w:hAnsi="宋体" w:eastAsia="宋体" w:cs="宋体"/>
                <w:color w:val="333333"/>
                <w:kern w:val="0"/>
                <w:sz w:val="24"/>
                <w:szCs w:val="24"/>
                <w:lang w:val="en-US" w:eastAsia="zh-CN"/>
              </w:rPr>
            </w:pPr>
            <w:r>
              <w:rPr>
                <w:rFonts w:hint="default" w:ascii="宋体" w:hAnsi="宋体" w:eastAsia="宋体" w:cs="宋体"/>
                <w:color w:val="333333"/>
                <w:kern w:val="0"/>
                <w:sz w:val="24"/>
                <w:szCs w:val="24"/>
                <w:lang w:val="en-US" w:eastAsia="zh-CN"/>
              </w:rPr>
              <w:t>物业位于</w:t>
            </w:r>
            <w:r>
              <w:rPr>
                <w:rFonts w:hint="eastAsia" w:ascii="宋体" w:hAnsi="宋体" w:eastAsia="宋体" w:cs="宋体"/>
                <w:color w:val="333333"/>
                <w:kern w:val="0"/>
                <w:sz w:val="24"/>
                <w:szCs w:val="24"/>
                <w:lang w:val="en-US" w:eastAsia="zh-CN"/>
              </w:rPr>
              <w:t>深圳市南山区蛇口太子湾商贸大厦1栋</w:t>
            </w:r>
            <w:r>
              <w:rPr>
                <w:rFonts w:hint="default" w:ascii="宋体" w:hAnsi="宋体" w:eastAsia="宋体" w:cs="宋体"/>
                <w:color w:val="333333"/>
                <w:kern w:val="0"/>
                <w:sz w:val="24"/>
                <w:szCs w:val="24"/>
                <w:lang w:val="en-US" w:eastAsia="zh-CN"/>
              </w:rPr>
              <w:t>，计算租金面积</w:t>
            </w:r>
            <w:r>
              <w:rPr>
                <w:rFonts w:hint="eastAsia" w:ascii="宋体" w:hAnsi="宋体" w:cs="宋体"/>
                <w:color w:val="333333"/>
                <w:kern w:val="0"/>
                <w:sz w:val="24"/>
                <w:szCs w:val="24"/>
                <w:lang w:val="en-US" w:eastAsia="zh-CN"/>
              </w:rPr>
              <w:t>1080.52</w:t>
            </w:r>
            <w:r>
              <w:rPr>
                <w:rFonts w:hint="default" w:ascii="宋体" w:hAnsi="宋体" w:eastAsia="宋体" w:cs="宋体"/>
                <w:color w:val="333333"/>
                <w:kern w:val="0"/>
                <w:sz w:val="24"/>
                <w:szCs w:val="24"/>
                <w:lang w:val="en-US" w:eastAsia="zh-CN"/>
              </w:rPr>
              <w:t>㎡，</w:t>
            </w:r>
            <w:r>
              <w:rPr>
                <w:rFonts w:hint="eastAsia" w:ascii="宋体" w:hAnsi="宋体" w:eastAsia="宋体" w:cs="宋体"/>
                <w:color w:val="333333"/>
                <w:kern w:val="0"/>
                <w:sz w:val="24"/>
                <w:szCs w:val="24"/>
                <w:lang w:val="en-US" w:eastAsia="zh-CN"/>
              </w:rPr>
              <w:t>有房地产证，</w:t>
            </w:r>
            <w:r>
              <w:rPr>
                <w:rFonts w:hint="default" w:ascii="宋体" w:hAnsi="宋体" w:eastAsia="宋体" w:cs="宋体"/>
                <w:color w:val="333333"/>
                <w:kern w:val="0"/>
                <w:sz w:val="24"/>
                <w:szCs w:val="24"/>
                <w:lang w:val="en-US" w:eastAsia="zh-CN"/>
              </w:rPr>
              <w:t>目前</w:t>
            </w:r>
            <w:r>
              <w:rPr>
                <w:rFonts w:hint="eastAsia" w:ascii="宋体" w:hAnsi="宋体" w:eastAsia="宋体" w:cs="宋体"/>
                <w:color w:val="333333"/>
                <w:kern w:val="0"/>
                <w:sz w:val="24"/>
                <w:szCs w:val="24"/>
                <w:lang w:val="en-US" w:eastAsia="zh-CN"/>
              </w:rPr>
              <w:t>空置</w:t>
            </w:r>
            <w:r>
              <w:rPr>
                <w:rFonts w:hint="default" w:ascii="宋体" w:hAnsi="宋体" w:eastAsia="宋体" w:cs="宋体"/>
                <w:color w:val="333333"/>
                <w:kern w:val="0"/>
                <w:sz w:val="24"/>
                <w:szCs w:val="24"/>
                <w:lang w:val="en-US" w:eastAsia="zh-CN"/>
              </w:rPr>
              <w:t>。</w:t>
            </w:r>
          </w:p>
        </w:tc>
      </w:tr>
      <w:tr w14:paraId="4E4A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198AB7F1">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00C5696E">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val="en-US" w:eastAsia="zh-CN"/>
              </w:rPr>
              <w:t>计算租金</w:t>
            </w:r>
            <w:r>
              <w:rPr>
                <w:rFonts w:hint="eastAsia" w:ascii="宋体" w:hAnsi="宋体" w:eastAsia="宋体" w:cs="宋体"/>
                <w:b/>
                <w:bCs/>
                <w:color w:val="333333"/>
                <w:kern w:val="0"/>
                <w:sz w:val="24"/>
                <w:szCs w:val="24"/>
                <w:lang w:eastAsia="zh-CN"/>
              </w:rPr>
              <w:t>面积</w:t>
            </w:r>
          </w:p>
        </w:tc>
        <w:tc>
          <w:tcPr>
            <w:tcW w:w="6556" w:type="dxa"/>
            <w:noWrap w:val="0"/>
            <w:tcMar>
              <w:top w:w="0" w:type="dxa"/>
              <w:left w:w="300" w:type="dxa"/>
              <w:bottom w:w="0" w:type="dxa"/>
              <w:right w:w="0" w:type="dxa"/>
            </w:tcMar>
            <w:vAlign w:val="center"/>
          </w:tcPr>
          <w:p w14:paraId="54555991">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cs="宋体"/>
                <w:color w:val="333333"/>
                <w:kern w:val="0"/>
                <w:sz w:val="24"/>
                <w:szCs w:val="24"/>
                <w:lang w:val="en-US" w:eastAsia="zh-CN"/>
              </w:rPr>
              <w:t>1080.52</w:t>
            </w:r>
            <w:r>
              <w:rPr>
                <w:rFonts w:hint="eastAsia" w:ascii="宋体" w:hAnsi="宋体" w:eastAsia="宋体" w:cs="宋体"/>
                <w:color w:val="333333"/>
                <w:kern w:val="0"/>
                <w:sz w:val="24"/>
                <w:szCs w:val="24"/>
                <w:lang w:val="en-US" w:eastAsia="zh-CN"/>
              </w:rPr>
              <w:t>㎡</w:t>
            </w:r>
          </w:p>
        </w:tc>
      </w:tr>
      <w:tr w14:paraId="4273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35057DEE">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576CC101">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出租用途</w:t>
            </w:r>
          </w:p>
        </w:tc>
        <w:tc>
          <w:tcPr>
            <w:tcW w:w="6556" w:type="dxa"/>
            <w:noWrap w:val="0"/>
            <w:tcMar>
              <w:top w:w="0" w:type="dxa"/>
              <w:left w:w="300" w:type="dxa"/>
              <w:bottom w:w="0" w:type="dxa"/>
              <w:right w:w="0" w:type="dxa"/>
            </w:tcMar>
            <w:vAlign w:val="center"/>
          </w:tcPr>
          <w:p w14:paraId="5FEC418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办公</w:t>
            </w:r>
          </w:p>
        </w:tc>
      </w:tr>
      <w:tr w14:paraId="11A2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254DE267">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38E4C86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出租期限</w:t>
            </w:r>
          </w:p>
        </w:tc>
        <w:tc>
          <w:tcPr>
            <w:tcW w:w="6556" w:type="dxa"/>
            <w:noWrap w:val="0"/>
            <w:tcMar>
              <w:top w:w="0" w:type="dxa"/>
              <w:left w:w="300" w:type="dxa"/>
              <w:bottom w:w="0" w:type="dxa"/>
              <w:right w:w="0" w:type="dxa"/>
            </w:tcMar>
            <w:vAlign w:val="center"/>
          </w:tcPr>
          <w:p w14:paraId="39DBF4B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6年</w:t>
            </w:r>
          </w:p>
        </w:tc>
      </w:tr>
      <w:tr w14:paraId="102E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232B954A">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73200162">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免租期限</w:t>
            </w:r>
          </w:p>
        </w:tc>
        <w:tc>
          <w:tcPr>
            <w:tcW w:w="6556" w:type="dxa"/>
            <w:noWrap w:val="0"/>
            <w:tcMar>
              <w:top w:w="0" w:type="dxa"/>
              <w:left w:w="300" w:type="dxa"/>
              <w:bottom w:w="0" w:type="dxa"/>
              <w:right w:w="0" w:type="dxa"/>
            </w:tcMar>
            <w:vAlign w:val="center"/>
          </w:tcPr>
          <w:p w14:paraId="62C5C725">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2个月（每满3年设立免租期1个月，设立在每3年的最后1年的12月份）</w:t>
            </w:r>
          </w:p>
        </w:tc>
      </w:tr>
      <w:tr w14:paraId="71E5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04C19C14">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425AA163">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租金挂牌价格（人民币）</w:t>
            </w:r>
          </w:p>
        </w:tc>
        <w:tc>
          <w:tcPr>
            <w:tcW w:w="6556" w:type="dxa"/>
            <w:noWrap w:val="0"/>
            <w:tcMar>
              <w:top w:w="0" w:type="dxa"/>
              <w:left w:w="300" w:type="dxa"/>
              <w:bottom w:w="0" w:type="dxa"/>
              <w:right w:w="0" w:type="dxa"/>
            </w:tcMar>
            <w:vAlign w:val="center"/>
          </w:tcPr>
          <w:p w14:paraId="18AF427B">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12</w:t>
            </w:r>
            <w:r>
              <w:rPr>
                <w:rFonts w:hint="eastAsia" w:ascii="宋体" w:hAnsi="宋体" w:cs="宋体"/>
                <w:color w:val="333333"/>
                <w:kern w:val="0"/>
                <w:sz w:val="24"/>
                <w:szCs w:val="24"/>
                <w:lang w:val="en-US" w:eastAsia="zh-CN"/>
              </w:rPr>
              <w:t>7505</w:t>
            </w:r>
            <w:r>
              <w:rPr>
                <w:rFonts w:hint="default" w:ascii="宋体" w:hAnsi="宋体" w:eastAsia="宋体" w:cs="宋体"/>
                <w:color w:val="333333"/>
                <w:kern w:val="0"/>
                <w:sz w:val="24"/>
                <w:szCs w:val="24"/>
                <w:lang w:val="en-US" w:eastAsia="zh-CN"/>
              </w:rPr>
              <w:t>元/</w:t>
            </w:r>
            <w:r>
              <w:rPr>
                <w:rFonts w:hint="eastAsia" w:ascii="宋体" w:hAnsi="宋体" w:eastAsia="宋体" w:cs="宋体"/>
                <w:color w:val="333333"/>
                <w:kern w:val="0"/>
                <w:sz w:val="24"/>
                <w:szCs w:val="24"/>
                <w:lang w:val="en-US" w:eastAsia="zh-CN"/>
              </w:rPr>
              <w:t>月（月租金每满3年递增5%）</w:t>
            </w:r>
          </w:p>
        </w:tc>
      </w:tr>
      <w:tr w14:paraId="1FAF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46DCF5F9">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1702A116">
            <w:pPr>
              <w:widowControl/>
              <w:spacing w:line="375" w:lineRule="atLeast"/>
              <w:jc w:val="center"/>
              <w:rPr>
                <w:rFonts w:hint="eastAsia" w:ascii="宋体" w:hAnsi="宋体" w:eastAsia="宋体" w:cs="宋体"/>
                <w:b/>
                <w:bCs/>
                <w:color w:val="333333"/>
                <w:kern w:val="0"/>
                <w:sz w:val="24"/>
                <w:szCs w:val="24"/>
                <w:highlight w:val="none"/>
                <w:lang w:eastAsia="zh-CN"/>
              </w:rPr>
            </w:pPr>
            <w:r>
              <w:rPr>
                <w:rFonts w:hint="eastAsia" w:ascii="宋体" w:hAnsi="宋体" w:eastAsia="宋体" w:cs="宋体"/>
                <w:b/>
                <w:bCs/>
                <w:color w:val="333333"/>
                <w:kern w:val="0"/>
                <w:sz w:val="24"/>
                <w:szCs w:val="24"/>
                <w:highlight w:val="none"/>
                <w:lang w:eastAsia="zh-CN"/>
              </w:rPr>
              <w:t>出租资产使用情况</w:t>
            </w:r>
          </w:p>
        </w:tc>
        <w:tc>
          <w:tcPr>
            <w:tcW w:w="6556" w:type="dxa"/>
            <w:noWrap w:val="0"/>
            <w:tcMar>
              <w:top w:w="0" w:type="dxa"/>
              <w:left w:w="300" w:type="dxa"/>
              <w:bottom w:w="0" w:type="dxa"/>
              <w:right w:w="0" w:type="dxa"/>
            </w:tcMar>
            <w:vAlign w:val="center"/>
          </w:tcPr>
          <w:p w14:paraId="7EDB3561">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空置</w:t>
            </w:r>
          </w:p>
        </w:tc>
      </w:tr>
      <w:tr w14:paraId="258A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57E0A8AE">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2763FEEC">
            <w:pPr>
              <w:widowControl/>
              <w:spacing w:line="375" w:lineRule="atLeast"/>
              <w:jc w:val="center"/>
              <w:rPr>
                <w:rFonts w:hint="eastAsia" w:ascii="宋体" w:hAnsi="宋体" w:eastAsia="宋体" w:cs="宋体"/>
                <w:b/>
                <w:bCs/>
                <w:color w:val="333333"/>
                <w:kern w:val="0"/>
                <w:sz w:val="24"/>
                <w:szCs w:val="24"/>
                <w:highlight w:val="none"/>
                <w:lang w:eastAsia="zh-CN"/>
              </w:rPr>
            </w:pPr>
            <w:r>
              <w:rPr>
                <w:rFonts w:hint="eastAsia" w:ascii="宋体" w:hAnsi="宋体" w:eastAsia="宋体" w:cs="宋体"/>
                <w:b/>
                <w:bCs/>
                <w:color w:val="333333"/>
                <w:kern w:val="0"/>
                <w:sz w:val="24"/>
                <w:szCs w:val="24"/>
                <w:highlight w:val="none"/>
                <w:lang w:eastAsia="zh-CN"/>
              </w:rPr>
              <w:t>是否涉及</w:t>
            </w:r>
          </w:p>
          <w:p w14:paraId="21DC2445">
            <w:pPr>
              <w:widowControl/>
              <w:spacing w:line="375" w:lineRule="atLeast"/>
              <w:jc w:val="center"/>
              <w:rPr>
                <w:rFonts w:hint="eastAsia" w:ascii="宋体" w:hAnsi="宋体" w:eastAsia="宋体" w:cs="宋体"/>
                <w:b/>
                <w:bCs/>
                <w:color w:val="333333"/>
                <w:kern w:val="0"/>
                <w:sz w:val="24"/>
                <w:szCs w:val="24"/>
                <w:highlight w:val="none"/>
                <w:lang w:eastAsia="zh-CN"/>
              </w:rPr>
            </w:pPr>
            <w:r>
              <w:rPr>
                <w:rFonts w:hint="eastAsia" w:ascii="宋体" w:hAnsi="宋体" w:eastAsia="宋体" w:cs="宋体"/>
                <w:b/>
                <w:bCs/>
                <w:color w:val="333333"/>
                <w:kern w:val="0"/>
                <w:sz w:val="24"/>
                <w:szCs w:val="24"/>
                <w:highlight w:val="none"/>
                <w:lang w:eastAsia="zh-CN"/>
              </w:rPr>
              <w:t>优先承租权</w:t>
            </w:r>
          </w:p>
        </w:tc>
        <w:tc>
          <w:tcPr>
            <w:tcW w:w="6556" w:type="dxa"/>
            <w:noWrap w:val="0"/>
            <w:tcMar>
              <w:top w:w="0" w:type="dxa"/>
              <w:left w:w="300" w:type="dxa"/>
              <w:bottom w:w="0" w:type="dxa"/>
              <w:right w:w="0" w:type="dxa"/>
            </w:tcMar>
            <w:vAlign w:val="center"/>
          </w:tcPr>
          <w:p w14:paraId="6498C3AB">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否</w:t>
            </w:r>
          </w:p>
        </w:tc>
      </w:tr>
      <w:tr w14:paraId="7CFF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4A5D38B3">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4CBA9C9F">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是否允许</w:t>
            </w:r>
          </w:p>
          <w:p w14:paraId="6FD2A7B0">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联合承租</w:t>
            </w:r>
          </w:p>
        </w:tc>
        <w:tc>
          <w:tcPr>
            <w:tcW w:w="6556" w:type="dxa"/>
            <w:noWrap w:val="0"/>
            <w:tcMar>
              <w:top w:w="0" w:type="dxa"/>
              <w:left w:w="300" w:type="dxa"/>
              <w:bottom w:w="0" w:type="dxa"/>
              <w:right w:w="0" w:type="dxa"/>
            </w:tcMar>
            <w:vAlign w:val="center"/>
          </w:tcPr>
          <w:p w14:paraId="3A3809C4">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否</w:t>
            </w:r>
          </w:p>
        </w:tc>
      </w:tr>
      <w:tr w14:paraId="2973B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restart"/>
            <w:noWrap w:val="0"/>
            <w:tcMar>
              <w:top w:w="0" w:type="dxa"/>
              <w:left w:w="300" w:type="dxa"/>
              <w:bottom w:w="0" w:type="dxa"/>
              <w:right w:w="0" w:type="dxa"/>
            </w:tcMar>
            <w:vAlign w:val="center"/>
          </w:tcPr>
          <w:p w14:paraId="28488499">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交易方式的确定</w:t>
            </w:r>
          </w:p>
        </w:tc>
        <w:tc>
          <w:tcPr>
            <w:tcW w:w="1851" w:type="dxa"/>
            <w:noWrap w:val="0"/>
            <w:tcMar>
              <w:top w:w="0" w:type="dxa"/>
              <w:left w:w="300" w:type="dxa"/>
              <w:bottom w:w="0" w:type="dxa"/>
              <w:right w:w="0" w:type="dxa"/>
            </w:tcMar>
            <w:vAlign w:val="center"/>
          </w:tcPr>
          <w:p w14:paraId="50A510D1">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挂牌期满，如征集到两</w:t>
            </w:r>
            <w:r>
              <w:rPr>
                <w:rFonts w:hint="eastAsia" w:ascii="宋体" w:hAnsi="宋体" w:eastAsia="宋体" w:cs="宋体"/>
                <w:b/>
                <w:bCs/>
                <w:color w:val="333333"/>
                <w:kern w:val="0"/>
                <w:sz w:val="24"/>
                <w:szCs w:val="24"/>
                <w:lang w:val="en-US" w:eastAsia="zh-CN"/>
              </w:rPr>
              <w:t>家</w:t>
            </w:r>
            <w:r>
              <w:rPr>
                <w:rFonts w:hint="eastAsia" w:ascii="宋体" w:hAnsi="宋体" w:eastAsia="宋体" w:cs="宋体"/>
                <w:b/>
                <w:bCs/>
                <w:color w:val="333333"/>
                <w:kern w:val="0"/>
                <w:sz w:val="24"/>
                <w:szCs w:val="24"/>
                <w:lang w:eastAsia="zh-CN"/>
              </w:rPr>
              <w:t>（含）以上符合条件的意向承租方</w:t>
            </w:r>
          </w:p>
        </w:tc>
        <w:tc>
          <w:tcPr>
            <w:tcW w:w="6556" w:type="dxa"/>
            <w:noWrap w:val="0"/>
            <w:tcMar>
              <w:top w:w="0" w:type="dxa"/>
              <w:left w:w="300" w:type="dxa"/>
              <w:bottom w:w="0" w:type="dxa"/>
              <w:right w:w="0" w:type="dxa"/>
            </w:tcMar>
            <w:vAlign w:val="center"/>
          </w:tcPr>
          <w:p w14:paraId="2B0E84A8">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网络竞价（</w:t>
            </w:r>
            <w:r>
              <w:rPr>
                <w:rFonts w:hint="eastAsia" w:ascii="宋体" w:hAnsi="宋体" w:eastAsia="宋体" w:cs="宋体"/>
                <w:color w:val="333333"/>
                <w:kern w:val="0"/>
                <w:sz w:val="24"/>
                <w:szCs w:val="24"/>
                <w:lang w:val="en-US" w:eastAsia="zh-CN"/>
              </w:rPr>
              <w:t>多轮报价</w:t>
            </w:r>
            <w:r>
              <w:rPr>
                <w:rFonts w:hint="eastAsia" w:ascii="宋体" w:hAnsi="宋体" w:eastAsia="宋体" w:cs="宋体"/>
                <w:color w:val="333333"/>
                <w:kern w:val="0"/>
                <w:sz w:val="24"/>
                <w:szCs w:val="24"/>
                <w:lang w:eastAsia="zh-CN"/>
              </w:rPr>
              <w:t>）</w:t>
            </w:r>
          </w:p>
        </w:tc>
      </w:tr>
      <w:tr w14:paraId="083B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1F5CC081">
            <w:pPr>
              <w:widowControl/>
              <w:spacing w:line="375" w:lineRule="atLeast"/>
              <w:jc w:val="center"/>
              <w:rPr>
                <w:rFonts w:hint="eastAsia" w:ascii="宋体" w:hAnsi="宋体" w:eastAsia="宋体" w:cs="宋体"/>
                <w:b/>
                <w:bCs/>
                <w:color w:val="333333"/>
                <w:kern w:val="0"/>
                <w:sz w:val="24"/>
                <w:szCs w:val="24"/>
                <w:lang w:eastAsia="zh-CN"/>
              </w:rPr>
            </w:pPr>
          </w:p>
        </w:tc>
        <w:tc>
          <w:tcPr>
            <w:tcW w:w="1851" w:type="dxa"/>
            <w:noWrap w:val="0"/>
            <w:tcMar>
              <w:top w:w="0" w:type="dxa"/>
              <w:left w:w="300" w:type="dxa"/>
              <w:bottom w:w="0" w:type="dxa"/>
              <w:right w:w="0" w:type="dxa"/>
            </w:tcMar>
            <w:vAlign w:val="center"/>
          </w:tcPr>
          <w:p w14:paraId="71A8B26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挂牌期满，如只征集到一</w:t>
            </w:r>
            <w:r>
              <w:rPr>
                <w:rFonts w:hint="eastAsia" w:ascii="宋体" w:hAnsi="宋体" w:eastAsia="宋体" w:cs="宋体"/>
                <w:b/>
                <w:bCs/>
                <w:color w:val="333333"/>
                <w:kern w:val="0"/>
                <w:sz w:val="24"/>
                <w:szCs w:val="24"/>
                <w:lang w:val="en-US" w:eastAsia="zh-CN"/>
              </w:rPr>
              <w:t>家</w:t>
            </w:r>
            <w:r>
              <w:rPr>
                <w:rFonts w:hint="eastAsia" w:ascii="宋体" w:hAnsi="宋体" w:eastAsia="宋体" w:cs="宋体"/>
                <w:b/>
                <w:bCs/>
                <w:color w:val="333333"/>
                <w:kern w:val="0"/>
                <w:sz w:val="24"/>
                <w:szCs w:val="24"/>
                <w:lang w:eastAsia="zh-CN"/>
              </w:rPr>
              <w:t>符合条件的意向承租方</w:t>
            </w:r>
          </w:p>
        </w:tc>
        <w:tc>
          <w:tcPr>
            <w:tcW w:w="6556" w:type="dxa"/>
            <w:noWrap w:val="0"/>
            <w:tcMar>
              <w:top w:w="0" w:type="dxa"/>
              <w:left w:w="300" w:type="dxa"/>
              <w:bottom w:w="0" w:type="dxa"/>
              <w:right w:w="0" w:type="dxa"/>
            </w:tcMar>
            <w:vAlign w:val="center"/>
          </w:tcPr>
          <w:p w14:paraId="5CFA35D2">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经批准，公示3个工作日后无异议采取以</w:t>
            </w:r>
            <w:r>
              <w:rPr>
                <w:rFonts w:hint="eastAsia" w:ascii="宋体" w:hAnsi="宋体" w:eastAsia="宋体" w:cs="宋体"/>
                <w:color w:val="333333"/>
                <w:kern w:val="0"/>
                <w:sz w:val="24"/>
                <w:szCs w:val="24"/>
                <w:lang w:eastAsia="zh-CN"/>
              </w:rPr>
              <w:t>不低于公告中约定的</w:t>
            </w:r>
            <w:r>
              <w:rPr>
                <w:rFonts w:hint="eastAsia" w:ascii="宋体" w:hAnsi="宋体" w:eastAsia="宋体" w:cs="宋体"/>
                <w:color w:val="333333"/>
                <w:kern w:val="0"/>
                <w:sz w:val="24"/>
                <w:szCs w:val="24"/>
                <w:lang w:val="en-US" w:eastAsia="zh-CN"/>
              </w:rPr>
              <w:t>招租</w:t>
            </w:r>
            <w:r>
              <w:rPr>
                <w:rFonts w:hint="eastAsia" w:ascii="宋体" w:hAnsi="宋体" w:eastAsia="宋体" w:cs="宋体"/>
                <w:color w:val="333333"/>
                <w:kern w:val="0"/>
                <w:sz w:val="24"/>
                <w:szCs w:val="24"/>
                <w:lang w:eastAsia="zh-CN"/>
              </w:rPr>
              <w:t>底价</w:t>
            </w:r>
            <w:r>
              <w:rPr>
                <w:rFonts w:hint="eastAsia" w:ascii="宋体" w:hAnsi="宋体" w:eastAsia="宋体" w:cs="宋体"/>
                <w:color w:val="333333"/>
                <w:kern w:val="0"/>
                <w:sz w:val="24"/>
                <w:szCs w:val="24"/>
                <w:lang w:val="en-US" w:eastAsia="zh-CN"/>
              </w:rPr>
              <w:t>协议成</w:t>
            </w:r>
            <w:r>
              <w:rPr>
                <w:rFonts w:hint="eastAsia" w:ascii="宋体" w:hAnsi="宋体" w:eastAsia="宋体" w:cs="宋体"/>
                <w:color w:val="333333"/>
                <w:kern w:val="0"/>
                <w:sz w:val="24"/>
                <w:szCs w:val="24"/>
                <w:u w:val="none"/>
                <w:lang w:val="en-US" w:eastAsia="zh-CN"/>
              </w:rPr>
              <w:t>交</w:t>
            </w:r>
            <w:r>
              <w:rPr>
                <w:rFonts w:hint="eastAsia" w:ascii="仿宋" w:hAnsi="仿宋" w:eastAsia="仿宋" w:cs="仿宋"/>
                <w:bCs/>
                <w:i w:val="0"/>
                <w:iCs w:val="0"/>
                <w:caps w:val="0"/>
                <w:color w:val="333333"/>
                <w:spacing w:val="0"/>
                <w:sz w:val="24"/>
                <w:szCs w:val="24"/>
                <w:highlight w:val="none"/>
                <w:u w:val="none"/>
                <w:shd w:val="clear" w:color="auto" w:fill="auto"/>
                <w:lang w:eastAsia="zh-CN"/>
              </w:rPr>
              <w:t>。</w:t>
            </w:r>
          </w:p>
        </w:tc>
      </w:tr>
      <w:tr w14:paraId="7EB2F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22F6E09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挂牌时间</w:t>
            </w:r>
          </w:p>
        </w:tc>
        <w:tc>
          <w:tcPr>
            <w:tcW w:w="8407" w:type="dxa"/>
            <w:gridSpan w:val="2"/>
            <w:noWrap w:val="0"/>
            <w:tcMar>
              <w:top w:w="0" w:type="dxa"/>
              <w:left w:w="300" w:type="dxa"/>
              <w:bottom w:w="0" w:type="dxa"/>
              <w:right w:w="0" w:type="dxa"/>
            </w:tcMar>
            <w:vAlign w:val="center"/>
          </w:tcPr>
          <w:p w14:paraId="69FD2B51">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自公告</w:t>
            </w:r>
            <w:r>
              <w:rPr>
                <w:rFonts w:hint="eastAsia" w:ascii="宋体" w:hAnsi="宋体" w:eastAsia="宋体" w:cs="宋体"/>
                <w:color w:val="333333"/>
                <w:kern w:val="0"/>
                <w:sz w:val="24"/>
                <w:szCs w:val="24"/>
                <w:lang w:val="en-US" w:eastAsia="zh-CN"/>
              </w:rPr>
              <w:t>之</w:t>
            </w:r>
            <w:r>
              <w:rPr>
                <w:rFonts w:hint="eastAsia" w:ascii="宋体" w:hAnsi="宋体" w:eastAsia="宋体" w:cs="宋体"/>
                <w:color w:val="333333"/>
                <w:kern w:val="0"/>
                <w:sz w:val="24"/>
                <w:szCs w:val="24"/>
                <w:lang w:eastAsia="zh-CN"/>
              </w:rPr>
              <w:t>日起</w:t>
            </w:r>
            <w:r>
              <w:rPr>
                <w:rFonts w:hint="eastAsia" w:ascii="宋体" w:hAnsi="宋体" w:eastAsia="宋体" w:cs="宋体"/>
                <w:color w:val="333333"/>
                <w:kern w:val="0"/>
                <w:sz w:val="24"/>
                <w:szCs w:val="24"/>
                <w:lang w:val="en-US" w:eastAsia="zh-CN"/>
              </w:rPr>
              <w:t>10</w:t>
            </w:r>
            <w:r>
              <w:rPr>
                <w:rFonts w:hint="eastAsia" w:ascii="宋体" w:hAnsi="宋体" w:eastAsia="宋体" w:cs="宋体"/>
                <w:color w:val="333333"/>
                <w:kern w:val="0"/>
                <w:sz w:val="24"/>
                <w:szCs w:val="24"/>
                <w:lang w:eastAsia="zh-CN"/>
              </w:rPr>
              <w:t>个工作日（</w:t>
            </w:r>
            <w:r>
              <w:rPr>
                <w:rFonts w:hint="eastAsia" w:ascii="宋体" w:hAnsi="宋体" w:eastAsia="宋体" w:cs="宋体"/>
                <w:color w:val="333333"/>
                <w:kern w:val="0"/>
                <w:sz w:val="24"/>
                <w:szCs w:val="24"/>
                <w:lang w:val="en-US" w:eastAsia="zh-CN"/>
              </w:rPr>
              <w:t>挂牌期满，如未征集到符合条件的意向承租方，不变更招租条件，每次延长信息公告期限10个工作日，最多不超过5个周期</w:t>
            </w:r>
            <w:r>
              <w:rPr>
                <w:rFonts w:hint="eastAsia" w:ascii="宋体" w:hAnsi="宋体" w:eastAsia="宋体" w:cs="宋体"/>
                <w:color w:val="333333"/>
                <w:kern w:val="0"/>
                <w:sz w:val="24"/>
                <w:szCs w:val="24"/>
                <w:lang w:eastAsia="zh-CN"/>
              </w:rPr>
              <w:t>）</w:t>
            </w:r>
          </w:p>
        </w:tc>
      </w:tr>
      <w:tr w14:paraId="5461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7F79B007">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承租方应具</w:t>
            </w:r>
          </w:p>
          <w:p w14:paraId="4B914025">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备的资格条件</w:t>
            </w:r>
          </w:p>
        </w:tc>
        <w:tc>
          <w:tcPr>
            <w:tcW w:w="8407" w:type="dxa"/>
            <w:gridSpan w:val="2"/>
            <w:noWrap w:val="0"/>
            <w:tcMar>
              <w:top w:w="0" w:type="dxa"/>
              <w:left w:w="300" w:type="dxa"/>
              <w:bottom w:w="0" w:type="dxa"/>
              <w:right w:w="0" w:type="dxa"/>
            </w:tcMar>
            <w:vAlign w:val="top"/>
          </w:tcPr>
          <w:p w14:paraId="201FA6C5">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1.意向承租方须为在中华人民共和国境内依法注册成立且有效存续的法人、非法人组织，或具有完全民事行为能力的自然人（包含个体工商户）。</w:t>
            </w:r>
          </w:p>
          <w:p w14:paraId="786E9C85">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意向承租方为法人、非法人组织的，承诺并保证截至报名之日（含当日），意向方其近三年未在“信用中国”（网址：https://www.creditchina.gov.cn/）被列入严重失信主体名单或经营异常名录，近三年未在“中国执行信息公开网”（网址：http://zxgk.court.gov.cn/）被列入失信执行人名单或被限制高消费，近三年未在“国家企业信用信息公示系统”（网址：https://www.gsxt.gov.cn/index.html）被列入严重违法失信名单或经营异常名录（提供网页截图打印件加盖公章，如注册时间不满三年的则按注册之日起算）。</w:t>
            </w:r>
          </w:p>
          <w:p w14:paraId="4B628587">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意向承租方为自然人的，承诺并保证截至报名之日（含当日），近三年未在“中国执行信息公开网”（网址：http://zxgk.court.gov.cn/）被列入失信执行人名单或被限制高消费，未存在人民银行征信中心（https://www.pbccrc.org.cn/）出具的信用报告不良记录（提供网页截图打印件）。</w:t>
            </w:r>
          </w:p>
        </w:tc>
      </w:tr>
      <w:tr w14:paraId="7DCA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404E1FA6">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意向承租方</w:t>
            </w:r>
          </w:p>
          <w:p w14:paraId="6F5B8A49">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需提交材料</w:t>
            </w:r>
          </w:p>
        </w:tc>
        <w:tc>
          <w:tcPr>
            <w:tcW w:w="8407" w:type="dxa"/>
            <w:gridSpan w:val="2"/>
            <w:noWrap w:val="0"/>
            <w:tcMar>
              <w:top w:w="0" w:type="dxa"/>
              <w:left w:w="300" w:type="dxa"/>
              <w:bottom w:w="0" w:type="dxa"/>
              <w:right w:w="0" w:type="dxa"/>
            </w:tcMar>
            <w:vAlign w:val="center"/>
          </w:tcPr>
          <w:p w14:paraId="37FFA725">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意向承租方在办理承租意向登记手续时，须提交下列相关材料，并保证其真实、完整、有效。</w:t>
            </w:r>
          </w:p>
          <w:p w14:paraId="5BC0914E">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法人或非法人组织、个体工商户意向承租方（以下材料均需加盖公章）：</w:t>
            </w:r>
          </w:p>
          <w:p w14:paraId="027D9476">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1.营业执照副本复印件；</w:t>
            </w:r>
          </w:p>
          <w:p w14:paraId="42023943">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2.工商信息查询单；</w:t>
            </w:r>
          </w:p>
          <w:p w14:paraId="1B959C44">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3.法定代表人证明书（或负责人、经营者证明）及第二代居民身份证复印件；</w:t>
            </w:r>
          </w:p>
          <w:p w14:paraId="31DB12EC">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4.法人（或负责人、经营者）授权委托书及被授权人第二代居民身份证复印件；</w:t>
            </w:r>
          </w:p>
          <w:p w14:paraId="32EAA387">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5.承租申请书（向联交所领取）。</w:t>
            </w:r>
          </w:p>
          <w:p w14:paraId="20A57088">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6.截至报名之日（含当日），意向方其近三年未在“信用中国”（网址：https://www.creditchina.gov.cn/）被列入严重失信主体名单或经营异常名录，近三年未在“中国执行信息公开网”（网址：http://zxgk.court.gov.cn/）被列入失信执行人名单或被限制高消费，近三年未在“国家企业信用信息公示系统”（网址：https://www.gsxt.gov.cn/index.html）被列入严重违法失信名单或经营异常名录（提供网页截图打印件加盖公章，如注册时间不满三年的则按注册之日起算）。</w:t>
            </w:r>
          </w:p>
          <w:p w14:paraId="155E3F48">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自然人意向承租方：</w:t>
            </w:r>
          </w:p>
          <w:p w14:paraId="731E47C3">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1.承租申请书（向联交所领取）；</w:t>
            </w:r>
          </w:p>
          <w:p w14:paraId="19FBD844">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2.个人第二代居民身份证复印件。</w:t>
            </w:r>
          </w:p>
          <w:p w14:paraId="45790BC1">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近三年未在“中国执行信息公开网”（网址：http://zxgk.court.gov.cn/）被列入失信执行人名单或被限制高消费，未存在人民银行征信中心（https://www.pbccrc.org.cn/）出具的信用报告不良记录（提供网页截图打印件，签字及加盖手印）。</w:t>
            </w:r>
          </w:p>
        </w:tc>
      </w:tr>
      <w:tr w14:paraId="315D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1CD5120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履约条件</w:t>
            </w:r>
          </w:p>
        </w:tc>
        <w:tc>
          <w:tcPr>
            <w:tcW w:w="8407" w:type="dxa"/>
            <w:gridSpan w:val="2"/>
            <w:noWrap w:val="0"/>
            <w:tcMar>
              <w:top w:w="0" w:type="dxa"/>
              <w:left w:w="300" w:type="dxa"/>
              <w:bottom w:w="0" w:type="dxa"/>
              <w:right w:w="0" w:type="dxa"/>
            </w:tcMar>
            <w:vAlign w:val="top"/>
          </w:tcPr>
          <w:p w14:paraId="09F91E71">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合同签订：承租方应在深圳联交所出具《公开招租结果通知书》之日起的10个工作日内，与出租方签订《租赁合同》及相关协议（含补充协议）。若因承租方原因未能按期签约或拒绝签约，视为承租方违约。出租方有权取消其承租资格，没收其向深圳联交所缴纳的招租保证金，并重新招租该物业，且无需对承租方承担任何赔偿责任。</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2.费用缴纳：承租方应按时足额缴纳租金、保证金等各项费用，确保支付及时、准确，避免逾期产生的违约风险。</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3.证照办理：在物业使用前，承租方需自行承担费用，按照政府相关要求办理物业用途、消防、经营等所需的各类证照和批文，保证合法合规经营。</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4.消防安全：负责物业使用期间的消防安全工作，建立健全消防安全制度，配备必要的消防设施设备，并确保其正常运行，定期组织消防演练，保障人员生命财产安全。</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5.费用承担与结算：租赁经营期间（含免租期），承租方按实际用量结算物业管理费、水电费、卫生费、维护与修缮费用等相关费用。</w:t>
            </w:r>
            <w:r>
              <w:rPr>
                <w:rFonts w:hint="eastAsia" w:ascii="宋体" w:hAnsi="宋体" w:eastAsia="宋体" w:cs="宋体"/>
                <w:color w:val="333333"/>
                <w:kern w:val="0"/>
                <w:sz w:val="24"/>
                <w:szCs w:val="24"/>
                <w:lang w:val="en-US" w:eastAsia="zh-CN"/>
              </w:rPr>
              <w:br w:type="textWrapping"/>
            </w:r>
            <w:r>
              <w:rPr>
                <w:rFonts w:hint="eastAsia" w:ascii="宋体" w:hAnsi="宋体" w:eastAsia="宋体" w:cs="宋体"/>
                <w:color w:val="333333"/>
                <w:kern w:val="0"/>
                <w:sz w:val="24"/>
                <w:szCs w:val="24"/>
                <w:lang w:val="en-US" w:eastAsia="zh-CN"/>
              </w:rPr>
              <w:t>6.履约保证金：履约保证金（租赁押金）为3个月租金（以最终成交价计算），用于担保承租方在租赁期间履行合同义务，租赁期满且承租方无违约行为时，出租方将按约定退还。</w:t>
            </w:r>
          </w:p>
        </w:tc>
      </w:tr>
      <w:tr w14:paraId="104BB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12A373CC">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特别事项说明</w:t>
            </w:r>
          </w:p>
        </w:tc>
        <w:tc>
          <w:tcPr>
            <w:tcW w:w="8407" w:type="dxa"/>
            <w:gridSpan w:val="2"/>
            <w:noWrap w:val="0"/>
            <w:tcMar>
              <w:top w:w="0" w:type="dxa"/>
              <w:left w:w="300" w:type="dxa"/>
              <w:bottom w:w="0" w:type="dxa"/>
              <w:right w:w="0" w:type="dxa"/>
            </w:tcMar>
            <w:vAlign w:val="top"/>
          </w:tcPr>
          <w:p w14:paraId="18F99D5A">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意向承租方在提交报名前，应自行对标的物业进行独立的、充分的尽职调查，包括但不限于物业产权信息、建造标准、当前租赁状况、装修情况等，并应全面、仔细阅读并理解全部招租公告、竞价须知、拟签订的租赁合同（如有提供）等交易文件。承租方理解并确认，其基于自身调查了解所做出的租赁决策及后续履约行为，均系独立判断的结果。因承租方未进行充分核查或理解偏差所导致的任何风险、损失或纠纷，由承租方自行承担。</w:t>
            </w:r>
          </w:p>
          <w:p w14:paraId="353A22D7">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意向承租方报名参加物业承租的，即视为已对标的物业查验、知悉了解并无条件接受物业的全部现状及可能存在的瑕疵（包括已知及未知的瑕疵），并同意承担该瑕疵带来的全部风险。意向承租人明确承诺，在成为承租人后不以标的物业存在瑕疵为由，拒付、扣减租金/费用，或要求出租方（或招租交易机构）承担任何违约或赔偿责任。</w:t>
            </w:r>
          </w:p>
          <w:p w14:paraId="5743C6F0">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承租方应在深圳联交所出具《成交通知书》之日起，按照招租公告规定的时间内与出租方签订《租赁合同》及相关协议（含补充协议）。若因承租方原因未能按期签约或拒绝签约，视为承租方违约。出租方及深圳联交所有权取消其承租资格且不予退还其交纳的招租保证金；同时，出租方有权将该物业再行招租，且无需对承租方承担任何形式的违约或赔偿责任。</w:t>
            </w:r>
          </w:p>
          <w:p w14:paraId="669B42D6">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4.出现以下任何一种情况时，意向承租方已交纳的招租保证金不予退还：</w:t>
            </w:r>
          </w:p>
          <w:p w14:paraId="072D45B0">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意向承租方在参与本次公开招租过程中所作出的任何保证和承诺（包括但不限于其在联交所报名、竞价、成交等交易环节中通过意向承租申请书、竞价须知、租赁合同等书面文件作出的保证和承诺）存在隐瞒、虚假、误导性陈述、重大遗漏、违反或未兑现其保证和承诺的；</w:t>
            </w:r>
          </w:p>
          <w:p w14:paraId="3AAB89C6">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（2）意向承租方在公告截止后单方撤回承租申请的或者作出撤回承租申请实质行为的； </w:t>
            </w:r>
          </w:p>
          <w:p w14:paraId="01DCC2CB">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（3）挂牌期征集到一个符合条件的意向承租方，意向承租方不按招租底价与报价孰高原则成交的；</w:t>
            </w:r>
          </w:p>
          <w:p w14:paraId="11561C7F">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（4）产生两家及以上符合条件的意向承租方时，意向承租方未参加后续网络竞价、综合评审、竞争性谈判或法律法规规定的其他竞争性交易活动的；</w:t>
            </w:r>
          </w:p>
          <w:p w14:paraId="772A6F9E">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（5）在竞价程序中各意向承租方均不应价的； </w:t>
            </w:r>
          </w:p>
          <w:p w14:paraId="100DD791">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（6）采用综合评审方式交易时，意向承租方的报价低于招租底价，或未按招租文件要求进行报价的；意向承租方不按规定提交响应文件的；</w:t>
            </w:r>
          </w:p>
          <w:p w14:paraId="23DAB17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（7）意向承租方未在规定的时间内签署租赁合同及相关协议的； </w:t>
            </w:r>
          </w:p>
          <w:p w14:paraId="27F59E0B">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（8）意向承租方未在规定的时间内支付交易服务费和/或向出租方缴交租赁履约保证金； </w:t>
            </w:r>
          </w:p>
          <w:p w14:paraId="075C5AAC">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（9）意向承租方存在其他违约或违反交易规则、招租公告及相关交易文件要求情形的。</w:t>
            </w:r>
          </w:p>
          <w:p w14:paraId="42BB2113">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5.招租交易机构（深圳联合产权交易所）负责本次招租交易程序的组织工作。出租方在招租公告及招租文件中关于标的物业的描述情况是其真实的意思表示，出租方保证标的物业是指招租人所有、受托管理或掌握实际控制权的，按法律法规可用于租赁的物业。因标的物业的产权情况及描述情况存在的瑕疵、出租方与原承租方的相关物业纠纷、出租方根据原合同及相关规定确定“优先承租权人”的相关事项均与招租交易机构无关。</w:t>
            </w:r>
          </w:p>
          <w:p w14:paraId="0917A1A3">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6</w:t>
            </w:r>
            <w:r>
              <w:rPr>
                <w:rFonts w:hint="default" w:ascii="宋体" w:hAnsi="宋体" w:eastAsia="宋体" w:cs="宋体"/>
                <w:color w:val="333333"/>
                <w:kern w:val="0"/>
                <w:sz w:val="24"/>
                <w:szCs w:val="24"/>
                <w:lang w:val="en-US" w:eastAsia="zh-CN"/>
              </w:rPr>
              <w:t>.现场踏勘联系人：王先生0755-88298021，马先生020-28302270。</w:t>
            </w:r>
          </w:p>
          <w:p w14:paraId="61DF7C07">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7</w:t>
            </w:r>
            <w:r>
              <w:rPr>
                <w:rFonts w:hint="default" w:ascii="宋体" w:hAnsi="宋体" w:eastAsia="宋体" w:cs="宋体"/>
                <w:color w:val="333333"/>
                <w:kern w:val="0"/>
                <w:sz w:val="24"/>
                <w:szCs w:val="24"/>
                <w:lang w:val="en-US" w:eastAsia="zh-CN"/>
              </w:rPr>
              <w:t>.承租方在报名前，应充分知悉物业现状，包括但不限于物业产权信息、建造标准、当前租赁状况、装修情况等，并全面了解物业招租的其他信息，熟悉物业租赁合同条款。</w:t>
            </w:r>
          </w:p>
          <w:p w14:paraId="1A255F27">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8.保证金处置：</w:t>
            </w:r>
          </w:p>
          <w:p w14:paraId="1927A3B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（1）未被确定为承租方的意向方，保证金在承租方确定次日起3个工作日内一次性无息全额原路返还。</w:t>
            </w:r>
          </w:p>
          <w:p w14:paraId="6DA2BF70">
            <w:pPr>
              <w:widowControl/>
              <w:spacing w:line="375" w:lineRule="atLeast"/>
              <w:jc w:val="left"/>
              <w:rPr>
                <w:rFonts w:hint="default"/>
                <w:lang w:val="en-US" w:eastAsia="zh-CN"/>
              </w:rPr>
            </w:pPr>
            <w:r>
              <w:rPr>
                <w:rFonts w:hint="eastAsia" w:ascii="宋体" w:hAnsi="宋体" w:eastAsia="宋体" w:cs="宋体"/>
                <w:color w:val="333333"/>
                <w:kern w:val="0"/>
                <w:sz w:val="24"/>
                <w:szCs w:val="24"/>
                <w:lang w:val="en-US" w:eastAsia="zh-CN"/>
              </w:rPr>
              <w:t>（2）被确定为承租方的意向方交纳的招租保证金，出租方同意在租赁合同签订后，按以下方式处置招租保证金:承租方向深圳联交所支付交易服务费后，招租保证金转付出租方作为履约保证金，如招租保证金不足以支付履约保证金的，承租方须另行补足（如招租保证金高于应支付履约保证金的，超出部分原路无息退还至承租方）</w:t>
            </w:r>
          </w:p>
        </w:tc>
      </w:tr>
      <w:tr w14:paraId="6BD6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395FB3B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5" w:lineRule="atLeast"/>
              <w:ind w:left="0" w:right="0" w:firstLine="0"/>
              <w:jc w:val="center"/>
              <w:rPr>
                <w:rFonts w:ascii="微软雅黑" w:hAnsi="微软雅黑" w:eastAsia="微软雅黑" w:cs="微软雅黑"/>
                <w:i w:val="0"/>
                <w:caps w:val="0"/>
                <w:color w:val="333333"/>
                <w:spacing w:val="0"/>
                <w:sz w:val="16"/>
                <w:szCs w:val="16"/>
              </w:rPr>
            </w:pPr>
            <w:r>
              <w:rPr>
                <w:rFonts w:hint="eastAsia" w:ascii="宋体" w:hAnsi="宋体" w:eastAsia="宋体" w:cs="宋体"/>
                <w:b/>
                <w:i w:val="0"/>
                <w:caps w:val="0"/>
                <w:color w:val="333333"/>
                <w:spacing w:val="0"/>
                <w:kern w:val="0"/>
                <w:sz w:val="24"/>
                <w:szCs w:val="24"/>
                <w:shd w:val="clear" w:color="auto" w:fill="FFFFFF"/>
                <w:lang w:val="en-US" w:eastAsia="zh-CN" w:bidi="ar"/>
              </w:rPr>
              <w:t>意向承租方</w:t>
            </w:r>
          </w:p>
          <w:p w14:paraId="552D008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75" w:lineRule="atLeast"/>
              <w:ind w:left="0" w:leftChars="0" w:right="0" w:rightChars="0" w:firstLine="0" w:firstLineChars="0"/>
              <w:jc w:val="center"/>
              <w:rPr>
                <w:rFonts w:hint="eastAsia" w:ascii="宋体" w:hAnsi="宋体" w:eastAsia="宋体" w:cs="宋体"/>
                <w:b/>
                <w:bCs/>
                <w:color w:val="333333"/>
                <w:kern w:val="0"/>
                <w:sz w:val="24"/>
                <w:szCs w:val="24"/>
                <w:lang w:eastAsia="zh-CN"/>
              </w:rPr>
            </w:pPr>
            <w:r>
              <w:rPr>
                <w:rFonts w:hint="eastAsia" w:ascii="宋体" w:hAnsi="宋体" w:eastAsia="宋体" w:cs="宋体"/>
                <w:b/>
                <w:i w:val="0"/>
                <w:caps w:val="0"/>
                <w:color w:val="333333"/>
                <w:spacing w:val="0"/>
                <w:kern w:val="0"/>
                <w:sz w:val="24"/>
                <w:szCs w:val="24"/>
                <w:shd w:val="clear" w:color="auto" w:fill="FFFFFF"/>
                <w:lang w:val="en-US" w:eastAsia="zh-CN" w:bidi="ar"/>
              </w:rPr>
              <w:t>提交报名材料截止时间</w:t>
            </w:r>
          </w:p>
        </w:tc>
        <w:tc>
          <w:tcPr>
            <w:tcW w:w="8407" w:type="dxa"/>
            <w:gridSpan w:val="2"/>
            <w:noWrap w:val="0"/>
            <w:tcMar>
              <w:top w:w="0" w:type="dxa"/>
              <w:left w:w="300" w:type="dxa"/>
              <w:bottom w:w="0" w:type="dxa"/>
              <w:right w:w="0" w:type="dxa"/>
            </w:tcMar>
            <w:vAlign w:val="center"/>
          </w:tcPr>
          <w:p w14:paraId="3A97D959">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挂牌期满当日北京时间18:00</w:t>
            </w:r>
          </w:p>
        </w:tc>
      </w:tr>
      <w:tr w14:paraId="2525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7667B024">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保证金金额</w:t>
            </w:r>
          </w:p>
          <w:p w14:paraId="1C5E7B03">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（人民币）</w:t>
            </w:r>
          </w:p>
        </w:tc>
        <w:tc>
          <w:tcPr>
            <w:tcW w:w="8407" w:type="dxa"/>
            <w:gridSpan w:val="2"/>
            <w:noWrap w:val="0"/>
            <w:tcMar>
              <w:top w:w="0" w:type="dxa"/>
              <w:left w:w="300" w:type="dxa"/>
              <w:bottom w:w="0" w:type="dxa"/>
              <w:right w:w="0" w:type="dxa"/>
            </w:tcMar>
            <w:vAlign w:val="center"/>
          </w:tcPr>
          <w:p w14:paraId="4D670322">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3</w:t>
            </w:r>
            <w:r>
              <w:rPr>
                <w:rFonts w:hint="eastAsia" w:ascii="宋体" w:hAnsi="宋体" w:cs="宋体"/>
                <w:color w:val="333333"/>
                <w:kern w:val="0"/>
                <w:sz w:val="24"/>
                <w:szCs w:val="24"/>
                <w:lang w:val="en-US" w:eastAsia="zh-CN"/>
              </w:rPr>
              <w:t>82515</w:t>
            </w:r>
            <w:bookmarkStart w:id="0" w:name="_GoBack"/>
            <w:bookmarkEnd w:id="0"/>
            <w:r>
              <w:rPr>
                <w:rFonts w:hint="eastAsia" w:ascii="宋体" w:hAnsi="宋体" w:eastAsia="宋体" w:cs="宋体"/>
                <w:color w:val="333333"/>
                <w:kern w:val="0"/>
                <w:sz w:val="24"/>
                <w:szCs w:val="24"/>
                <w:lang w:val="en-US" w:eastAsia="zh-CN"/>
              </w:rPr>
              <w:t>元</w:t>
            </w:r>
          </w:p>
        </w:tc>
      </w:tr>
      <w:tr w14:paraId="3CB9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tcMar>
              <w:top w:w="0" w:type="dxa"/>
              <w:left w:w="300" w:type="dxa"/>
              <w:bottom w:w="0" w:type="dxa"/>
              <w:right w:w="0" w:type="dxa"/>
            </w:tcMar>
            <w:vAlign w:val="center"/>
          </w:tcPr>
          <w:p w14:paraId="632DB037">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交纳保证金</w:t>
            </w:r>
          </w:p>
          <w:p w14:paraId="5768B88D">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截止时间</w:t>
            </w:r>
          </w:p>
        </w:tc>
        <w:tc>
          <w:tcPr>
            <w:tcW w:w="8407" w:type="dxa"/>
            <w:gridSpan w:val="2"/>
            <w:noWrap w:val="0"/>
            <w:tcMar>
              <w:top w:w="0" w:type="dxa"/>
              <w:left w:w="300" w:type="dxa"/>
              <w:bottom w:w="0" w:type="dxa"/>
              <w:right w:w="0" w:type="dxa"/>
            </w:tcMar>
            <w:vAlign w:val="center"/>
          </w:tcPr>
          <w:p w14:paraId="731E0B5F">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挂牌期满当日北京时间21:30前(以到账时间为准)</w:t>
            </w:r>
          </w:p>
        </w:tc>
      </w:tr>
      <w:tr w14:paraId="4C91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5" w:hRule="atLeast"/>
          <w:tblCellSpacing w:w="0" w:type="dxa"/>
        </w:trPr>
        <w:tc>
          <w:tcPr>
            <w:tcW w:w="2225" w:type="dxa"/>
            <w:vMerge w:val="restart"/>
            <w:noWrap w:val="0"/>
            <w:tcMar>
              <w:top w:w="0" w:type="dxa"/>
              <w:left w:w="300" w:type="dxa"/>
              <w:bottom w:w="0" w:type="dxa"/>
              <w:right w:w="0" w:type="dxa"/>
            </w:tcMar>
            <w:vAlign w:val="center"/>
          </w:tcPr>
          <w:p w14:paraId="723E2DDE">
            <w:pPr>
              <w:widowControl/>
              <w:spacing w:line="375" w:lineRule="atLeast"/>
              <w:ind w:firstLine="241" w:firstLineChars="100"/>
              <w:jc w:val="left"/>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保证金账户</w:t>
            </w:r>
          </w:p>
        </w:tc>
        <w:tc>
          <w:tcPr>
            <w:tcW w:w="1851" w:type="dxa"/>
            <w:noWrap w:val="0"/>
            <w:tcMar>
              <w:top w:w="0" w:type="dxa"/>
              <w:left w:w="300" w:type="dxa"/>
              <w:bottom w:w="0" w:type="dxa"/>
              <w:right w:w="0" w:type="dxa"/>
            </w:tcMar>
            <w:vAlign w:val="center"/>
          </w:tcPr>
          <w:p w14:paraId="7A92B45B">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户  名</w:t>
            </w:r>
          </w:p>
        </w:tc>
        <w:tc>
          <w:tcPr>
            <w:tcW w:w="6556" w:type="dxa"/>
            <w:noWrap w:val="0"/>
            <w:tcMar>
              <w:top w:w="0" w:type="dxa"/>
              <w:left w:w="300" w:type="dxa"/>
              <w:bottom w:w="0" w:type="dxa"/>
              <w:right w:w="0" w:type="dxa"/>
            </w:tcMar>
            <w:vAlign w:val="center"/>
          </w:tcPr>
          <w:p w14:paraId="0D11084A">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深圳联合产权交易所股份有限公司</w:t>
            </w:r>
          </w:p>
        </w:tc>
      </w:tr>
      <w:tr w14:paraId="5108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blCellSpacing w:w="0" w:type="dxa"/>
        </w:trPr>
        <w:tc>
          <w:tcPr>
            <w:tcW w:w="2225" w:type="dxa"/>
            <w:vMerge w:val="continue"/>
            <w:noWrap w:val="0"/>
            <w:tcMar>
              <w:top w:w="0" w:type="dxa"/>
              <w:left w:w="300" w:type="dxa"/>
              <w:bottom w:w="0" w:type="dxa"/>
              <w:right w:w="0" w:type="dxa"/>
            </w:tcMar>
            <w:vAlign w:val="center"/>
          </w:tcPr>
          <w:p w14:paraId="737BC179">
            <w:pPr>
              <w:widowControl/>
              <w:spacing w:line="375" w:lineRule="atLeast"/>
              <w:jc w:val="left"/>
            </w:pPr>
          </w:p>
        </w:tc>
        <w:tc>
          <w:tcPr>
            <w:tcW w:w="1851" w:type="dxa"/>
            <w:noWrap w:val="0"/>
            <w:tcMar>
              <w:top w:w="0" w:type="dxa"/>
              <w:left w:w="300" w:type="dxa"/>
              <w:bottom w:w="0" w:type="dxa"/>
              <w:right w:w="0" w:type="dxa"/>
            </w:tcMar>
            <w:vAlign w:val="center"/>
          </w:tcPr>
          <w:p w14:paraId="687F104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开户银行</w:t>
            </w:r>
          </w:p>
        </w:tc>
        <w:tc>
          <w:tcPr>
            <w:tcW w:w="6556" w:type="dxa"/>
            <w:noWrap w:val="0"/>
            <w:tcMar>
              <w:top w:w="0" w:type="dxa"/>
              <w:left w:w="300" w:type="dxa"/>
              <w:bottom w:w="0" w:type="dxa"/>
              <w:right w:w="0" w:type="dxa"/>
            </w:tcMar>
            <w:vAlign w:val="center"/>
          </w:tcPr>
          <w:p w14:paraId="204C087C">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广东华润银行股份有限公司深圳宝安支行</w:t>
            </w:r>
          </w:p>
        </w:tc>
      </w:tr>
      <w:tr w14:paraId="6FB0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0" w:hRule="atLeast"/>
          <w:tblCellSpacing w:w="0" w:type="dxa"/>
        </w:trPr>
        <w:tc>
          <w:tcPr>
            <w:tcW w:w="2225" w:type="dxa"/>
            <w:vMerge w:val="continue"/>
            <w:noWrap w:val="0"/>
            <w:tcMar>
              <w:top w:w="0" w:type="dxa"/>
              <w:left w:w="300" w:type="dxa"/>
              <w:bottom w:w="0" w:type="dxa"/>
              <w:right w:w="0" w:type="dxa"/>
            </w:tcMar>
            <w:vAlign w:val="center"/>
          </w:tcPr>
          <w:p w14:paraId="6673C736">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4E26C9C9">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开户账号</w:t>
            </w:r>
          </w:p>
        </w:tc>
        <w:tc>
          <w:tcPr>
            <w:tcW w:w="6556" w:type="dxa"/>
            <w:noWrap w:val="0"/>
            <w:tcMar>
              <w:top w:w="0" w:type="dxa"/>
              <w:left w:w="300" w:type="dxa"/>
              <w:bottom w:w="0" w:type="dxa"/>
              <w:right w:w="0" w:type="dxa"/>
            </w:tcMar>
            <w:vAlign w:val="center"/>
          </w:tcPr>
          <w:p w14:paraId="0B98681A">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213223288076100001</w:t>
            </w:r>
          </w:p>
        </w:tc>
      </w:tr>
      <w:tr w14:paraId="0F70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restart"/>
            <w:noWrap w:val="0"/>
            <w:tcMar>
              <w:top w:w="0" w:type="dxa"/>
              <w:left w:w="300" w:type="dxa"/>
              <w:bottom w:w="0" w:type="dxa"/>
              <w:right w:w="0" w:type="dxa"/>
            </w:tcMar>
            <w:vAlign w:val="center"/>
          </w:tcPr>
          <w:p w14:paraId="03CD94C1">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联系方式</w:t>
            </w:r>
          </w:p>
        </w:tc>
        <w:tc>
          <w:tcPr>
            <w:tcW w:w="1851" w:type="dxa"/>
            <w:noWrap w:val="0"/>
            <w:tcMar>
              <w:top w:w="0" w:type="dxa"/>
              <w:left w:w="300" w:type="dxa"/>
              <w:bottom w:w="0" w:type="dxa"/>
              <w:right w:w="0" w:type="dxa"/>
            </w:tcMar>
            <w:vAlign w:val="center"/>
          </w:tcPr>
          <w:p w14:paraId="02D6700D">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业务咨询电话</w:t>
            </w:r>
          </w:p>
        </w:tc>
        <w:tc>
          <w:tcPr>
            <w:tcW w:w="6556" w:type="dxa"/>
            <w:noWrap w:val="0"/>
            <w:tcMar>
              <w:top w:w="0" w:type="dxa"/>
              <w:left w:w="300" w:type="dxa"/>
              <w:bottom w:w="0" w:type="dxa"/>
              <w:right w:w="0" w:type="dxa"/>
            </w:tcMar>
            <w:vAlign w:val="center"/>
          </w:tcPr>
          <w:p w14:paraId="7369354A">
            <w:pPr>
              <w:widowControl/>
              <w:spacing w:line="375" w:lineRule="atLeast"/>
              <w:jc w:val="left"/>
              <w:rPr>
                <w:rFonts w:hint="default" w:ascii="宋体" w:hAnsi="宋体" w:eastAsia="宋体" w:cs="宋体"/>
                <w:color w:val="333333"/>
                <w:kern w:val="0"/>
                <w:sz w:val="24"/>
                <w:szCs w:val="24"/>
                <w:lang w:val="en-US" w:eastAsia="zh-CN"/>
              </w:rPr>
            </w:pPr>
            <w:r>
              <w:rPr>
                <w:rFonts w:hint="default" w:ascii="宋体" w:hAnsi="宋体" w:eastAsia="宋体" w:cs="宋体"/>
                <w:color w:val="333333"/>
                <w:kern w:val="0"/>
                <w:sz w:val="24"/>
                <w:szCs w:val="24"/>
                <w:lang w:val="en-US" w:eastAsia="zh-CN"/>
              </w:rPr>
              <w:t>林小姐：0755-83690743</w:t>
            </w:r>
          </w:p>
          <w:p w14:paraId="0D349A54">
            <w:pPr>
              <w:widowControl/>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 xml:space="preserve">王小姐：0755-26922954 </w:t>
            </w:r>
          </w:p>
        </w:tc>
      </w:tr>
      <w:tr w14:paraId="3AD1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7DC3CA78">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0EDFFA78">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传  真</w:t>
            </w:r>
          </w:p>
        </w:tc>
        <w:tc>
          <w:tcPr>
            <w:tcW w:w="6556" w:type="dxa"/>
            <w:noWrap w:val="0"/>
            <w:tcMar>
              <w:top w:w="0" w:type="dxa"/>
              <w:left w:w="300" w:type="dxa"/>
              <w:bottom w:w="0" w:type="dxa"/>
              <w:right w:w="0" w:type="dxa"/>
            </w:tcMar>
            <w:vAlign w:val="center"/>
          </w:tcPr>
          <w:p w14:paraId="6047B9F4">
            <w:pPr>
              <w:widowControl/>
              <w:spacing w:line="375" w:lineRule="atLeast"/>
              <w:jc w:val="left"/>
              <w:rPr>
                <w:rFonts w:hint="eastAsia"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0755-26577562</w:t>
            </w:r>
          </w:p>
        </w:tc>
      </w:tr>
      <w:tr w14:paraId="64F7A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748C4582">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70C60A5B">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业务投诉电话</w:t>
            </w:r>
          </w:p>
        </w:tc>
        <w:tc>
          <w:tcPr>
            <w:tcW w:w="6556" w:type="dxa"/>
            <w:noWrap w:val="0"/>
            <w:tcMar>
              <w:top w:w="0" w:type="dxa"/>
              <w:left w:w="300" w:type="dxa"/>
              <w:bottom w:w="0" w:type="dxa"/>
              <w:right w:w="0" w:type="dxa"/>
            </w:tcMar>
            <w:vAlign w:val="center"/>
          </w:tcPr>
          <w:p w14:paraId="44B639BB">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0755-83690834</w:t>
            </w:r>
          </w:p>
        </w:tc>
      </w:tr>
      <w:tr w14:paraId="6BBE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704E5EEC">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2CE4AC6D">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联系地址</w:t>
            </w:r>
          </w:p>
        </w:tc>
        <w:tc>
          <w:tcPr>
            <w:tcW w:w="6556" w:type="dxa"/>
            <w:noWrap w:val="0"/>
            <w:tcMar>
              <w:top w:w="0" w:type="dxa"/>
              <w:left w:w="300" w:type="dxa"/>
              <w:bottom w:w="0" w:type="dxa"/>
              <w:right w:w="0" w:type="dxa"/>
            </w:tcMar>
            <w:vAlign w:val="center"/>
          </w:tcPr>
          <w:p w14:paraId="43B909AE">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i w:val="0"/>
                <w:iCs w:val="0"/>
                <w:caps w:val="0"/>
                <w:color w:val="333333"/>
                <w:spacing w:val="0"/>
                <w:sz w:val="24"/>
                <w:szCs w:val="24"/>
                <w:shd w:val="clear" w:color="auto" w:fill="FFFFFF"/>
              </w:rPr>
              <w:t>深圳市南山区沙河西路3185号南山智谷产业园A座1</w:t>
            </w:r>
            <w:r>
              <w:rPr>
                <w:rFonts w:hint="eastAsia" w:ascii="宋体" w:hAnsi="宋体" w:eastAsia="宋体" w:cs="宋体"/>
                <w:i w:val="0"/>
                <w:iCs w:val="0"/>
                <w:caps w:val="0"/>
                <w:color w:val="333333"/>
                <w:spacing w:val="0"/>
                <w:sz w:val="24"/>
                <w:szCs w:val="24"/>
                <w:shd w:val="clear" w:color="auto" w:fill="FFFFFF"/>
                <w:lang w:val="en-US" w:eastAsia="zh-CN"/>
              </w:rPr>
              <w:t>9</w:t>
            </w:r>
            <w:r>
              <w:rPr>
                <w:rFonts w:hint="eastAsia" w:ascii="宋体" w:hAnsi="宋体" w:eastAsia="宋体" w:cs="宋体"/>
                <w:i w:val="0"/>
                <w:iCs w:val="0"/>
                <w:caps w:val="0"/>
                <w:color w:val="333333"/>
                <w:spacing w:val="0"/>
                <w:sz w:val="24"/>
                <w:szCs w:val="24"/>
                <w:shd w:val="clear" w:color="auto" w:fill="FFFFFF"/>
              </w:rPr>
              <w:t>楼</w:t>
            </w:r>
          </w:p>
        </w:tc>
      </w:tr>
      <w:tr w14:paraId="703F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vMerge w:val="continue"/>
            <w:noWrap w:val="0"/>
            <w:vAlign w:val="center"/>
          </w:tcPr>
          <w:p w14:paraId="1CBC282E">
            <w:pPr>
              <w:widowControl/>
              <w:spacing w:line="375" w:lineRule="atLeast"/>
              <w:jc w:val="left"/>
              <w:rPr>
                <w:rFonts w:hint="eastAsia" w:ascii="宋体" w:hAnsi="宋体" w:eastAsia="宋体" w:cs="宋体"/>
                <w:color w:val="333333"/>
                <w:kern w:val="0"/>
                <w:sz w:val="24"/>
                <w:szCs w:val="24"/>
                <w:lang w:eastAsia="zh-CN"/>
              </w:rPr>
            </w:pPr>
          </w:p>
        </w:tc>
        <w:tc>
          <w:tcPr>
            <w:tcW w:w="1851" w:type="dxa"/>
            <w:noWrap w:val="0"/>
            <w:tcMar>
              <w:top w:w="0" w:type="dxa"/>
              <w:left w:w="300" w:type="dxa"/>
              <w:bottom w:w="0" w:type="dxa"/>
              <w:right w:w="0" w:type="dxa"/>
            </w:tcMar>
            <w:vAlign w:val="center"/>
          </w:tcPr>
          <w:p w14:paraId="79D4B017">
            <w:pPr>
              <w:widowControl/>
              <w:spacing w:line="375" w:lineRule="atLeast"/>
              <w:jc w:val="center"/>
              <w:rPr>
                <w:rFonts w:hint="eastAsia" w:ascii="宋体" w:hAnsi="宋体" w:eastAsia="宋体" w:cs="宋体"/>
                <w:b/>
                <w:bCs/>
                <w:color w:val="333333"/>
                <w:kern w:val="0"/>
                <w:sz w:val="24"/>
                <w:szCs w:val="24"/>
                <w:lang w:eastAsia="zh-CN"/>
              </w:rPr>
            </w:pPr>
            <w:r>
              <w:rPr>
                <w:rFonts w:hint="eastAsia" w:ascii="宋体" w:hAnsi="宋体" w:eastAsia="宋体" w:cs="宋体"/>
                <w:b/>
                <w:bCs/>
                <w:color w:val="333333"/>
                <w:kern w:val="0"/>
                <w:sz w:val="24"/>
                <w:szCs w:val="24"/>
                <w:lang w:eastAsia="zh-CN"/>
              </w:rPr>
              <w:t>网</w:t>
            </w:r>
            <w:r>
              <w:rPr>
                <w:rFonts w:hint="eastAsia" w:ascii="宋体" w:hAnsi="宋体" w:eastAsia="宋体" w:cs="宋体"/>
                <w:b/>
                <w:bCs/>
                <w:color w:val="333333"/>
                <w:kern w:val="0"/>
                <w:sz w:val="24"/>
                <w:szCs w:val="24"/>
                <w:lang w:val="en-US" w:eastAsia="zh-CN"/>
              </w:rPr>
              <w:t xml:space="preserve">  </w:t>
            </w:r>
            <w:r>
              <w:rPr>
                <w:rFonts w:hint="eastAsia" w:ascii="宋体" w:hAnsi="宋体" w:eastAsia="宋体" w:cs="宋体"/>
                <w:b/>
                <w:bCs/>
                <w:color w:val="333333"/>
                <w:kern w:val="0"/>
                <w:sz w:val="24"/>
                <w:szCs w:val="24"/>
                <w:lang w:eastAsia="zh-CN"/>
              </w:rPr>
              <w:t>址</w:t>
            </w:r>
          </w:p>
        </w:tc>
        <w:tc>
          <w:tcPr>
            <w:tcW w:w="6556" w:type="dxa"/>
            <w:noWrap w:val="0"/>
            <w:tcMar>
              <w:top w:w="0" w:type="dxa"/>
              <w:left w:w="300" w:type="dxa"/>
              <w:bottom w:w="0" w:type="dxa"/>
              <w:right w:w="0" w:type="dxa"/>
            </w:tcMar>
            <w:vAlign w:val="center"/>
          </w:tcPr>
          <w:p w14:paraId="31E6F543">
            <w:pPr>
              <w:widowControl/>
              <w:spacing w:line="375" w:lineRule="atLeast"/>
              <w:jc w:val="left"/>
              <w:rPr>
                <w:rFonts w:hint="eastAsia" w:ascii="宋体" w:hAnsi="宋体" w:eastAsia="宋体" w:cs="宋体"/>
                <w:color w:val="333333"/>
                <w:kern w:val="0"/>
                <w:sz w:val="24"/>
                <w:szCs w:val="24"/>
                <w:lang w:eastAsia="zh-CN"/>
              </w:rPr>
            </w:pPr>
            <w:r>
              <w:rPr>
                <w:rFonts w:hint="eastAsia" w:ascii="宋体" w:hAnsi="宋体" w:eastAsia="宋体" w:cs="宋体"/>
                <w:color w:val="333333"/>
                <w:kern w:val="0"/>
                <w:sz w:val="24"/>
                <w:szCs w:val="24"/>
                <w:lang w:eastAsia="zh-CN"/>
              </w:rPr>
              <w:t>www.sotcbb.com关注微信公众号sotcbb</w:t>
            </w:r>
          </w:p>
        </w:tc>
      </w:tr>
      <w:tr w14:paraId="4318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2225" w:type="dxa"/>
            <w:noWrap w:val="0"/>
            <w:vAlign w:val="center"/>
          </w:tcPr>
          <w:p w14:paraId="713C5A17">
            <w:pPr>
              <w:widowControl/>
              <w:spacing w:line="375" w:lineRule="atLeast"/>
              <w:jc w:val="center"/>
              <w:rPr>
                <w:rFonts w:hint="default" w:ascii="宋体" w:hAnsi="宋体" w:eastAsia="宋体" w:cs="宋体"/>
                <w:color w:val="333333"/>
                <w:kern w:val="0"/>
                <w:sz w:val="24"/>
                <w:szCs w:val="24"/>
                <w:lang w:val="en-US" w:eastAsia="zh-CN"/>
              </w:rPr>
            </w:pPr>
            <w:r>
              <w:rPr>
                <w:rFonts w:hint="eastAsia" w:ascii="宋体" w:hAnsi="宋体" w:eastAsia="宋体" w:cs="宋体"/>
                <w:b/>
                <w:bCs/>
                <w:color w:val="333333"/>
                <w:kern w:val="0"/>
                <w:sz w:val="24"/>
                <w:szCs w:val="24"/>
                <w:lang w:val="en-US" w:eastAsia="zh-CN"/>
              </w:rPr>
              <w:t>附件</w:t>
            </w:r>
          </w:p>
        </w:tc>
        <w:tc>
          <w:tcPr>
            <w:tcW w:w="8407" w:type="dxa"/>
            <w:gridSpan w:val="2"/>
            <w:noWrap w:val="0"/>
            <w:tcMar>
              <w:top w:w="0" w:type="dxa"/>
              <w:left w:w="300" w:type="dxa"/>
              <w:bottom w:w="0" w:type="dxa"/>
              <w:right w:w="0" w:type="dxa"/>
            </w:tcMar>
            <w:vAlign w:val="center"/>
          </w:tcPr>
          <w:p w14:paraId="3089CD73">
            <w:pPr>
              <w:widowControl/>
              <w:numPr>
                <w:ilvl w:val="0"/>
                <w:numId w:val="0"/>
              </w:numPr>
              <w:spacing w:line="375" w:lineRule="atLeast"/>
              <w:jc w:val="left"/>
              <w:rPr>
                <w:rFonts w:hint="default" w:ascii="宋体" w:hAnsi="宋体" w:eastAsia="宋体" w:cs="宋体"/>
                <w:color w:val="333333"/>
                <w:kern w:val="0"/>
                <w:sz w:val="24"/>
                <w:szCs w:val="24"/>
                <w:lang w:val="en-US" w:eastAsia="zh-CN"/>
              </w:rPr>
            </w:pPr>
            <w:r>
              <w:rPr>
                <w:rFonts w:hint="eastAsia" w:ascii="宋体" w:hAnsi="宋体" w:eastAsia="宋体" w:cs="宋体"/>
                <w:color w:val="333333"/>
                <w:kern w:val="0"/>
                <w:sz w:val="24"/>
                <w:szCs w:val="24"/>
                <w:lang w:val="en-US" w:eastAsia="zh-CN"/>
              </w:rPr>
              <w:t>1.租赁合同模板</w:t>
            </w:r>
          </w:p>
        </w:tc>
      </w:tr>
    </w:tbl>
    <w:p w14:paraId="131ED43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F342BD"/>
    <w:rsid w:val="2C31056E"/>
    <w:rsid w:val="5CF342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附录二级条标题 Char"/>
    <w:basedOn w:val="1"/>
    <w:next w:val="1"/>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Office_12.8.2.19315_F1E327BC-269C-435d-A152-05C5408002CA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2026-07-27T03:49:00Z</dcterms:created>
  <dc:creator>user</dc:creator>
  <cp:lastModifiedBy>user</cp:lastModifiedBy>
  <dcterms:modified xsi:type="dcterms:W3CDTF">2026-07-27T06:14:37Z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2052-12.8.2.19315</vt:lpwstr>
  </property>
  <property fmtid="{D5CDD505-2E9C-101B-9397-08002B2CF9AE}" pid="3" name="ICV">
    <vt:lpwstr>55AA3743F5DA460B972AFD6ABDC8C96E_11</vt:lpwstr>
  </property>
</Properties>
</file>