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outlineLvl w:val="0"/>
        <w:rPr>
          <w:rFonts w:ascii="方正小标宋简体" w:hAnsi="方正小标宋简体" w:eastAsia="方正小标宋简体" w:cs="方正小标宋简体"/>
          <w:kern w:val="36"/>
          <w:sz w:val="44"/>
          <w:szCs w:val="44"/>
          <w:highlight w:val="none"/>
        </w:rPr>
      </w:pPr>
      <w:r>
        <w:rPr>
          <w:rFonts w:hint="eastAsia" w:ascii="方正小标宋简体" w:hAnsi="方正小标宋简体" w:eastAsia="方正小标宋简体" w:cs="方正小标宋简体"/>
          <w:kern w:val="36"/>
          <w:sz w:val="44"/>
          <w:szCs w:val="44"/>
          <w:highlight w:val="none"/>
        </w:rPr>
        <w:t>深圳市大鹏新区智慧旅游项目维保服务</w:t>
      </w:r>
    </w:p>
    <w:p>
      <w:pPr>
        <w:spacing w:line="520" w:lineRule="exact"/>
        <w:jc w:val="center"/>
        <w:outlineLvl w:val="0"/>
        <w:rPr>
          <w:rFonts w:ascii="方正小标宋简体" w:hAnsi="方正小标宋简体" w:eastAsia="方正小标宋简体" w:cs="方正小标宋简体"/>
          <w:kern w:val="36"/>
          <w:sz w:val="44"/>
          <w:szCs w:val="44"/>
          <w:highlight w:val="none"/>
        </w:rPr>
      </w:pPr>
      <w:r>
        <w:rPr>
          <w:rFonts w:hint="eastAsia" w:ascii="方正小标宋简体" w:hAnsi="方正小标宋简体" w:eastAsia="方正小标宋简体" w:cs="方正小标宋简体"/>
          <w:kern w:val="36"/>
          <w:sz w:val="44"/>
          <w:szCs w:val="44"/>
          <w:highlight w:val="none"/>
        </w:rPr>
        <w:t>自行采购公告</w:t>
      </w:r>
    </w:p>
    <w:p>
      <w:pPr>
        <w:widowControl/>
        <w:spacing w:line="520" w:lineRule="exact"/>
        <w:jc w:val="center"/>
        <w:outlineLvl w:val="0"/>
        <w:rPr>
          <w:rFonts w:ascii="FangSong_GB2312" w:hAnsi="FangSong_GB2312" w:eastAsia="FangSong_GB2312" w:cs="FangSong_GB2312"/>
          <w:kern w:val="36"/>
          <w:sz w:val="22"/>
          <w:highlight w:val="none"/>
        </w:rPr>
      </w:pPr>
    </w:p>
    <w:p>
      <w:pPr>
        <w:widowControl/>
        <w:spacing w:line="520" w:lineRule="exact"/>
        <w:ind w:firstLine="640" w:firstLineChars="200"/>
        <w:jc w:val="left"/>
        <w:rPr>
          <w:rFonts w:ascii="黑体" w:hAnsi="黑体" w:eastAsia="黑体" w:cs="Arial"/>
          <w:kern w:val="0"/>
          <w:sz w:val="32"/>
          <w:szCs w:val="32"/>
          <w:highlight w:val="none"/>
        </w:rPr>
      </w:pPr>
      <w:r>
        <w:rPr>
          <w:rFonts w:hint="eastAsia" w:ascii="黑体" w:hAnsi="黑体" w:eastAsia="黑体" w:cs="Arial"/>
          <w:kern w:val="0"/>
          <w:sz w:val="32"/>
          <w:szCs w:val="32"/>
          <w:highlight w:val="none"/>
        </w:rPr>
        <w:t>一、项目信息</w:t>
      </w:r>
    </w:p>
    <w:p>
      <w:pPr>
        <w:spacing w:line="520" w:lineRule="exact"/>
        <w:ind w:firstLine="640" w:firstLineChars="200"/>
        <w:rPr>
          <w:rFonts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rPr>
        <w:t>1.项目名称：深圳市大鹏新区智慧旅游项目维保服务</w:t>
      </w:r>
    </w:p>
    <w:p>
      <w:pPr>
        <w:spacing w:line="520" w:lineRule="exact"/>
        <w:ind w:firstLine="640" w:firstLineChars="200"/>
        <w:rPr>
          <w:rFonts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rPr>
        <w:t>2.采购单位：深圳市大鹏新区政务服务</w:t>
      </w:r>
      <w:r>
        <w:rPr>
          <w:rFonts w:hint="default" w:ascii="FangSong_GB2312" w:hAnsi="FangSong_GB2312" w:eastAsia="FangSong_GB2312" w:cs="FangSong_GB2312"/>
          <w:sz w:val="32"/>
          <w:szCs w:val="32"/>
          <w:highlight w:val="none"/>
        </w:rPr>
        <w:t>和</w:t>
      </w:r>
      <w:r>
        <w:rPr>
          <w:rFonts w:hint="eastAsia" w:ascii="FangSong_GB2312" w:hAnsi="FangSong_GB2312" w:eastAsia="FangSong_GB2312" w:cs="FangSong_GB2312"/>
          <w:sz w:val="32"/>
          <w:szCs w:val="32"/>
          <w:highlight w:val="none"/>
        </w:rPr>
        <w:t>数据管理局</w:t>
      </w:r>
    </w:p>
    <w:p>
      <w:pPr>
        <w:spacing w:line="520" w:lineRule="exact"/>
        <w:ind w:firstLine="640" w:firstLineChars="200"/>
        <w:rPr>
          <w:rFonts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rPr>
        <w:t>3.采购方式：自行采购</w:t>
      </w:r>
    </w:p>
    <w:p>
      <w:pPr>
        <w:spacing w:line="520" w:lineRule="exact"/>
        <w:ind w:firstLine="640" w:firstLineChars="200"/>
        <w:rPr>
          <w:rFonts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rPr>
        <w:t>4.预算金额：人民币</w:t>
      </w:r>
      <w:r>
        <w:rPr>
          <w:rFonts w:hint="eastAsia" w:ascii="FangSong_GB2312" w:hAnsi="FangSong_GB2312" w:eastAsia="FangSong_GB2312" w:cs="FangSong_GB2312"/>
          <w:sz w:val="32"/>
          <w:szCs w:val="32"/>
          <w:highlight w:val="none"/>
          <w:lang w:val="en-US" w:eastAsia="zh-CN"/>
        </w:rPr>
        <w:t>41.54</w:t>
      </w:r>
      <w:r>
        <w:rPr>
          <w:rFonts w:hint="eastAsia" w:ascii="FangSong_GB2312" w:hAnsi="FangSong_GB2312" w:eastAsia="FangSong_GB2312" w:cs="FangSong_GB2312"/>
          <w:sz w:val="32"/>
          <w:szCs w:val="32"/>
          <w:highlight w:val="none"/>
        </w:rPr>
        <w:t>万元</w:t>
      </w:r>
    </w:p>
    <w:p>
      <w:pPr>
        <w:spacing w:line="520" w:lineRule="exact"/>
        <w:ind w:firstLine="640" w:firstLineChars="200"/>
        <w:rPr>
          <w:rFonts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rPr>
        <w:t>5.评审方法：综合评分法</w:t>
      </w:r>
    </w:p>
    <w:p>
      <w:pPr>
        <w:spacing w:line="520" w:lineRule="exact"/>
        <w:ind w:firstLine="640" w:firstLineChars="200"/>
        <w:rPr>
          <w:rFonts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rPr>
        <w:t>6.经办人姓名及其联系方式：张先生，0755-28333499</w:t>
      </w:r>
    </w:p>
    <w:p>
      <w:pPr>
        <w:widowControl/>
        <w:spacing w:line="520" w:lineRule="exact"/>
        <w:ind w:firstLine="640" w:firstLineChars="200"/>
        <w:jc w:val="left"/>
        <w:rPr>
          <w:rFonts w:ascii="黑体" w:hAnsi="黑体" w:eastAsia="黑体" w:cs="Arial"/>
          <w:kern w:val="0"/>
          <w:sz w:val="32"/>
          <w:szCs w:val="32"/>
          <w:highlight w:val="none"/>
        </w:rPr>
      </w:pPr>
      <w:r>
        <w:rPr>
          <w:rFonts w:hint="eastAsia" w:ascii="黑体" w:hAnsi="黑体" w:eastAsia="黑体" w:cs="Arial"/>
          <w:kern w:val="0"/>
          <w:sz w:val="32"/>
          <w:szCs w:val="32"/>
          <w:highlight w:val="none"/>
        </w:rPr>
        <w:t>二、供应商资格要求</w:t>
      </w:r>
    </w:p>
    <w:p>
      <w:pPr>
        <w:spacing w:line="520" w:lineRule="exact"/>
        <w:ind w:firstLine="640" w:firstLineChars="200"/>
        <w:rPr>
          <w:rFonts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rPr>
        <w:t>（一）符合《中华人民共和国政府采购法》第二十二条规定的条件。</w:t>
      </w:r>
    </w:p>
    <w:p>
      <w:pPr>
        <w:spacing w:line="520" w:lineRule="exact"/>
        <w:ind w:firstLine="640" w:firstLineChars="200"/>
        <w:rPr>
          <w:rFonts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rPr>
        <w:t>1.具有独立承担民事责任的能力；</w:t>
      </w:r>
    </w:p>
    <w:p>
      <w:pPr>
        <w:spacing w:line="520" w:lineRule="exact"/>
        <w:ind w:firstLine="640" w:firstLineChars="200"/>
        <w:rPr>
          <w:rFonts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rPr>
        <w:t>2.具有良好的商业信誉和健全的财务会计制度；</w:t>
      </w:r>
    </w:p>
    <w:p>
      <w:pPr>
        <w:spacing w:line="520" w:lineRule="exact"/>
        <w:ind w:firstLine="640" w:firstLineChars="200"/>
        <w:rPr>
          <w:rFonts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rPr>
        <w:t>3.具有履行合同所必需的设备和专业技术能力；</w:t>
      </w:r>
    </w:p>
    <w:p>
      <w:pPr>
        <w:spacing w:line="520" w:lineRule="exact"/>
        <w:ind w:firstLine="640" w:firstLineChars="200"/>
        <w:rPr>
          <w:rFonts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rPr>
        <w:t>4.具有依法缴纳税收和社会保障资金的良好记录；</w:t>
      </w:r>
    </w:p>
    <w:p>
      <w:pPr>
        <w:spacing w:line="520" w:lineRule="exact"/>
        <w:ind w:firstLine="640" w:firstLineChars="200"/>
        <w:rPr>
          <w:rFonts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rPr>
        <w:t>5.参加政府采购活动前三年内，在经营活动中没有重大违法记录；</w:t>
      </w:r>
    </w:p>
    <w:p>
      <w:pPr>
        <w:spacing w:line="520" w:lineRule="exact"/>
        <w:ind w:firstLine="640" w:firstLineChars="200"/>
        <w:rPr>
          <w:rFonts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rPr>
        <w:t>6.法律、行政法规规定的其他条件。</w:t>
      </w:r>
    </w:p>
    <w:p>
      <w:pPr>
        <w:spacing w:line="520" w:lineRule="exact"/>
        <w:ind w:firstLine="640" w:firstLineChars="200"/>
        <w:rPr>
          <w:rFonts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rPr>
        <w:t>（二）承接单位须是在中华人民共和国境内注册，具有独立法人资格或是具有独立承担民事责任的能力的其它组织（独立法人提供营业执照扫描件；非法人组织则提供主管部门颁发或批准成立的证书或其他证明文件扫描件）；总公司或者分公司只允许一家报价，不允许同时参与本项目报价，以分公司名义参与报价的，须提供总公司或具有独立法人的上一级公司出具的愿为其参与本项目报价的行为以及履约等行为承担民事责任的加盖总公司公章的授权函，以及提供总、分公司的营业执照扫描件，原件备查。</w:t>
      </w:r>
    </w:p>
    <w:p>
      <w:pPr>
        <w:spacing w:line="520" w:lineRule="exact"/>
        <w:ind w:firstLine="640" w:firstLineChars="200"/>
        <w:rPr>
          <w:rFonts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rPr>
        <w:t>（三）在近三年内无行贿犯罪记录。</w:t>
      </w:r>
    </w:p>
    <w:p>
      <w:pPr>
        <w:widowControl/>
        <w:spacing w:line="520" w:lineRule="exact"/>
        <w:ind w:firstLine="640" w:firstLineChars="200"/>
        <w:jc w:val="left"/>
        <w:rPr>
          <w:rFonts w:ascii="黑体" w:hAnsi="黑体" w:eastAsia="黑体" w:cs="Arial"/>
          <w:kern w:val="0"/>
          <w:sz w:val="32"/>
          <w:szCs w:val="32"/>
          <w:highlight w:val="none"/>
        </w:rPr>
      </w:pPr>
      <w:r>
        <w:rPr>
          <w:rFonts w:hint="eastAsia" w:ascii="黑体" w:hAnsi="黑体" w:eastAsia="黑体" w:cs="Arial"/>
          <w:kern w:val="0"/>
          <w:sz w:val="32"/>
          <w:szCs w:val="32"/>
          <w:highlight w:val="none"/>
        </w:rPr>
        <w:t>三、项目简介</w:t>
      </w:r>
    </w:p>
    <w:p>
      <w:pPr>
        <w:spacing w:line="520" w:lineRule="exact"/>
        <w:ind w:firstLine="640" w:firstLineChars="200"/>
        <w:rPr>
          <w:rFonts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rPr>
        <w:t>为保证大鹏新区智慧旅游采购项目正常稳定使用，采购相关维保服务。</w:t>
      </w:r>
    </w:p>
    <w:p>
      <w:pPr>
        <w:widowControl/>
        <w:spacing w:line="520" w:lineRule="exact"/>
        <w:ind w:firstLine="640" w:firstLineChars="200"/>
        <w:jc w:val="left"/>
        <w:rPr>
          <w:rFonts w:ascii="黑体" w:hAnsi="黑体" w:eastAsia="黑体" w:cs="Arial"/>
          <w:kern w:val="0"/>
          <w:sz w:val="32"/>
          <w:szCs w:val="32"/>
          <w:highlight w:val="none"/>
        </w:rPr>
      </w:pPr>
      <w:r>
        <w:rPr>
          <w:rFonts w:hint="eastAsia" w:ascii="黑体" w:hAnsi="黑体" w:eastAsia="黑体" w:cs="Arial"/>
          <w:kern w:val="0"/>
          <w:sz w:val="32"/>
          <w:szCs w:val="32"/>
          <w:highlight w:val="none"/>
        </w:rPr>
        <w:t>四、项目服务内容及要求</w:t>
      </w:r>
    </w:p>
    <w:p>
      <w:pPr>
        <w:widowControl/>
        <w:spacing w:line="520" w:lineRule="exact"/>
        <w:ind w:firstLine="640" w:firstLineChars="200"/>
        <w:jc w:val="left"/>
        <w:rPr>
          <w:rFonts w:ascii="FangSong_GB2312" w:hAnsi="FangSong_GB2312" w:eastAsia="FangSong_GB2312" w:cs="FangSong_GB2312"/>
          <w:kern w:val="0"/>
          <w:sz w:val="32"/>
          <w:szCs w:val="32"/>
          <w:highlight w:val="none"/>
        </w:rPr>
      </w:pPr>
      <w:r>
        <w:rPr>
          <w:rFonts w:hint="eastAsia" w:ascii="FangSong_GB2312" w:hAnsi="FangSong_GB2312" w:eastAsia="FangSong_GB2312" w:cs="FangSong_GB2312"/>
          <w:kern w:val="0"/>
          <w:sz w:val="32"/>
          <w:szCs w:val="32"/>
          <w:highlight w:val="none"/>
        </w:rPr>
        <w:t>（一）服务内容</w:t>
      </w:r>
    </w:p>
    <w:tbl>
      <w:tblPr>
        <w:tblStyle w:val="16"/>
        <w:tblW w:w="8833" w:type="dxa"/>
        <w:tblInd w:w="93" w:type="dxa"/>
        <w:tblLayout w:type="fixed"/>
        <w:tblCellMar>
          <w:top w:w="0" w:type="dxa"/>
          <w:left w:w="108" w:type="dxa"/>
          <w:bottom w:w="0" w:type="dxa"/>
          <w:right w:w="108" w:type="dxa"/>
        </w:tblCellMar>
      </w:tblPr>
      <w:tblGrid>
        <w:gridCol w:w="780"/>
        <w:gridCol w:w="1787"/>
        <w:gridCol w:w="2850"/>
        <w:gridCol w:w="1023"/>
        <w:gridCol w:w="975"/>
        <w:gridCol w:w="1418"/>
      </w:tblGrid>
      <w:tr>
        <w:tblPrEx>
          <w:tblCellMar>
            <w:top w:w="0" w:type="dxa"/>
            <w:left w:w="108" w:type="dxa"/>
            <w:bottom w:w="0" w:type="dxa"/>
            <w:right w:w="108" w:type="dxa"/>
          </w:tblCellMar>
        </w:tblPrEx>
        <w:trPr>
          <w:trHeight w:val="465" w:hRule="atLeast"/>
        </w:trPr>
        <w:tc>
          <w:tcPr>
            <w:tcW w:w="780"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spacing w:line="520" w:lineRule="exact"/>
              <w:jc w:val="center"/>
              <w:rPr>
                <w:rFonts w:ascii="FangSong_GB2312" w:hAnsi="FangSong_GB2312" w:eastAsia="FangSong_GB2312" w:cs="FangSong_GB2312"/>
                <w:kern w:val="0"/>
                <w:sz w:val="24"/>
                <w:szCs w:val="24"/>
                <w:highlight w:val="none"/>
              </w:rPr>
            </w:pPr>
            <w:r>
              <w:rPr>
                <w:rFonts w:hint="eastAsia" w:ascii="FangSong_GB2312" w:hAnsi="FangSong_GB2312" w:eastAsia="FangSong_GB2312" w:cs="FangSong_GB2312"/>
                <w:kern w:val="0"/>
                <w:sz w:val="24"/>
                <w:szCs w:val="24"/>
                <w:highlight w:val="none"/>
              </w:rPr>
              <w:t xml:space="preserve">序号 </w:t>
            </w:r>
          </w:p>
        </w:tc>
        <w:tc>
          <w:tcPr>
            <w:tcW w:w="1787" w:type="dxa"/>
            <w:tcBorders>
              <w:top w:val="single" w:color="auto" w:sz="4" w:space="0"/>
              <w:left w:val="nil"/>
              <w:bottom w:val="single" w:color="auto" w:sz="4" w:space="0"/>
              <w:right w:val="single" w:color="auto" w:sz="4" w:space="0"/>
            </w:tcBorders>
            <w:shd w:val="clear" w:color="000000" w:fill="D9D9D9"/>
            <w:vAlign w:val="center"/>
          </w:tcPr>
          <w:p>
            <w:pPr>
              <w:widowControl/>
              <w:spacing w:line="520" w:lineRule="exact"/>
              <w:jc w:val="center"/>
              <w:rPr>
                <w:rFonts w:ascii="FangSong_GB2312" w:hAnsi="FangSong_GB2312" w:eastAsia="FangSong_GB2312" w:cs="FangSong_GB2312"/>
                <w:kern w:val="0"/>
                <w:sz w:val="24"/>
                <w:szCs w:val="24"/>
                <w:highlight w:val="none"/>
              </w:rPr>
            </w:pPr>
            <w:r>
              <w:rPr>
                <w:rFonts w:hint="eastAsia" w:ascii="FangSong_GB2312" w:hAnsi="FangSong_GB2312" w:eastAsia="FangSong_GB2312" w:cs="FangSong_GB2312"/>
                <w:kern w:val="0"/>
                <w:sz w:val="24"/>
                <w:szCs w:val="24"/>
                <w:highlight w:val="none"/>
              </w:rPr>
              <w:t xml:space="preserve">项目名称 </w:t>
            </w:r>
          </w:p>
        </w:tc>
        <w:tc>
          <w:tcPr>
            <w:tcW w:w="2850" w:type="dxa"/>
            <w:tcBorders>
              <w:top w:val="single" w:color="auto" w:sz="4" w:space="0"/>
              <w:left w:val="nil"/>
              <w:bottom w:val="single" w:color="auto" w:sz="4" w:space="0"/>
              <w:right w:val="single" w:color="auto" w:sz="4" w:space="0"/>
            </w:tcBorders>
            <w:shd w:val="clear" w:color="000000" w:fill="D9D9D9"/>
            <w:vAlign w:val="center"/>
          </w:tcPr>
          <w:p>
            <w:pPr>
              <w:widowControl/>
              <w:spacing w:line="520" w:lineRule="exact"/>
              <w:jc w:val="center"/>
              <w:rPr>
                <w:rFonts w:ascii="FangSong_GB2312" w:hAnsi="FangSong_GB2312" w:eastAsia="FangSong_GB2312" w:cs="FangSong_GB2312"/>
                <w:kern w:val="0"/>
                <w:sz w:val="24"/>
                <w:szCs w:val="24"/>
                <w:highlight w:val="none"/>
              </w:rPr>
            </w:pPr>
            <w:r>
              <w:rPr>
                <w:rFonts w:hint="eastAsia" w:ascii="FangSong_GB2312" w:hAnsi="FangSong_GB2312" w:eastAsia="FangSong_GB2312" w:cs="FangSong_GB2312"/>
                <w:kern w:val="0"/>
                <w:sz w:val="24"/>
                <w:szCs w:val="24"/>
                <w:highlight w:val="none"/>
              </w:rPr>
              <w:t>服务子项目</w:t>
            </w:r>
          </w:p>
        </w:tc>
        <w:tc>
          <w:tcPr>
            <w:tcW w:w="1023" w:type="dxa"/>
            <w:tcBorders>
              <w:top w:val="single" w:color="auto" w:sz="4" w:space="0"/>
              <w:left w:val="nil"/>
              <w:bottom w:val="single" w:color="auto" w:sz="4" w:space="0"/>
              <w:right w:val="single" w:color="auto" w:sz="4" w:space="0"/>
            </w:tcBorders>
            <w:shd w:val="clear" w:color="000000" w:fill="D9D9D9"/>
            <w:vAlign w:val="center"/>
          </w:tcPr>
          <w:p>
            <w:pPr>
              <w:widowControl/>
              <w:spacing w:line="520" w:lineRule="exact"/>
              <w:jc w:val="center"/>
              <w:rPr>
                <w:rFonts w:ascii="FangSong_GB2312" w:hAnsi="FangSong_GB2312" w:eastAsia="FangSong_GB2312" w:cs="FangSong_GB2312"/>
                <w:kern w:val="0"/>
                <w:sz w:val="24"/>
                <w:szCs w:val="24"/>
                <w:highlight w:val="none"/>
              </w:rPr>
            </w:pPr>
            <w:r>
              <w:rPr>
                <w:rFonts w:hint="eastAsia" w:ascii="FangSong_GB2312" w:hAnsi="FangSong_GB2312" w:eastAsia="FangSong_GB2312" w:cs="FangSong_GB2312"/>
                <w:kern w:val="0"/>
                <w:sz w:val="24"/>
                <w:szCs w:val="24"/>
                <w:highlight w:val="none"/>
              </w:rPr>
              <w:t xml:space="preserve">单位 </w:t>
            </w:r>
          </w:p>
        </w:tc>
        <w:tc>
          <w:tcPr>
            <w:tcW w:w="975" w:type="dxa"/>
            <w:tcBorders>
              <w:top w:val="single" w:color="auto" w:sz="4" w:space="0"/>
              <w:left w:val="nil"/>
              <w:bottom w:val="single" w:color="auto" w:sz="4" w:space="0"/>
              <w:right w:val="single" w:color="auto" w:sz="4" w:space="0"/>
            </w:tcBorders>
            <w:shd w:val="clear" w:color="000000" w:fill="D9D9D9"/>
            <w:vAlign w:val="center"/>
          </w:tcPr>
          <w:p>
            <w:pPr>
              <w:widowControl/>
              <w:spacing w:line="520" w:lineRule="exact"/>
              <w:jc w:val="center"/>
              <w:rPr>
                <w:rFonts w:ascii="FangSong_GB2312" w:hAnsi="FangSong_GB2312" w:eastAsia="FangSong_GB2312" w:cs="FangSong_GB2312"/>
                <w:kern w:val="0"/>
                <w:sz w:val="24"/>
                <w:szCs w:val="24"/>
                <w:highlight w:val="none"/>
              </w:rPr>
            </w:pPr>
            <w:r>
              <w:rPr>
                <w:rFonts w:hint="eastAsia" w:ascii="FangSong_GB2312" w:hAnsi="FangSong_GB2312" w:eastAsia="FangSong_GB2312" w:cs="FangSong_GB2312"/>
                <w:kern w:val="0"/>
                <w:sz w:val="24"/>
                <w:szCs w:val="24"/>
                <w:highlight w:val="none"/>
              </w:rPr>
              <w:t>数量</w:t>
            </w:r>
          </w:p>
        </w:tc>
        <w:tc>
          <w:tcPr>
            <w:tcW w:w="1418" w:type="dxa"/>
            <w:tcBorders>
              <w:top w:val="single" w:color="auto" w:sz="4" w:space="0"/>
              <w:left w:val="nil"/>
              <w:bottom w:val="single" w:color="auto" w:sz="4" w:space="0"/>
              <w:right w:val="single" w:color="auto" w:sz="4" w:space="0"/>
            </w:tcBorders>
            <w:shd w:val="clear" w:color="000000" w:fill="D9D9D9"/>
            <w:vAlign w:val="center"/>
          </w:tcPr>
          <w:p>
            <w:pPr>
              <w:widowControl/>
              <w:spacing w:line="520" w:lineRule="exact"/>
              <w:jc w:val="center"/>
              <w:rPr>
                <w:rFonts w:ascii="FangSong_GB2312" w:hAnsi="FangSong_GB2312" w:eastAsia="FangSong_GB2312" w:cs="FangSong_GB2312"/>
                <w:kern w:val="0"/>
                <w:sz w:val="24"/>
                <w:szCs w:val="24"/>
                <w:highlight w:val="none"/>
              </w:rPr>
            </w:pPr>
            <w:r>
              <w:rPr>
                <w:rFonts w:hint="eastAsia" w:ascii="FangSong_GB2312" w:hAnsi="FangSong_GB2312" w:eastAsia="FangSong_GB2312" w:cs="FangSong_GB2312"/>
                <w:kern w:val="0"/>
                <w:sz w:val="24"/>
                <w:szCs w:val="24"/>
                <w:highlight w:val="none"/>
              </w:rPr>
              <w:t>备注</w:t>
            </w:r>
          </w:p>
        </w:tc>
      </w:tr>
      <w:tr>
        <w:tblPrEx>
          <w:tblCellMar>
            <w:top w:w="0" w:type="dxa"/>
            <w:left w:w="108" w:type="dxa"/>
            <w:bottom w:w="0" w:type="dxa"/>
            <w:right w:w="108" w:type="dxa"/>
          </w:tblCellMar>
        </w:tblPrEx>
        <w:trPr>
          <w:trHeight w:val="465" w:hRule="atLeast"/>
        </w:trPr>
        <w:tc>
          <w:tcPr>
            <w:tcW w:w="7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FangSong_GB2312" w:hAnsi="FangSong_GB2312" w:eastAsia="FangSong_GB2312" w:cs="FangSong_GB2312"/>
                <w:kern w:val="0"/>
                <w:sz w:val="24"/>
                <w:szCs w:val="24"/>
                <w:highlight w:val="none"/>
              </w:rPr>
            </w:pPr>
            <w:r>
              <w:rPr>
                <w:rFonts w:hint="eastAsia" w:ascii="FangSong_GB2312" w:hAnsi="FangSong_GB2312" w:eastAsia="FangSong_GB2312" w:cs="FangSong_GB2312"/>
                <w:kern w:val="0"/>
                <w:sz w:val="24"/>
                <w:szCs w:val="24"/>
                <w:highlight w:val="none"/>
              </w:rPr>
              <w:t>1</w:t>
            </w:r>
          </w:p>
        </w:tc>
        <w:tc>
          <w:tcPr>
            <w:tcW w:w="178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FangSong_GB2312" w:hAnsi="FangSong_GB2312" w:eastAsia="FangSong_GB2312" w:cs="FangSong_GB2312"/>
                <w:kern w:val="0"/>
                <w:sz w:val="24"/>
                <w:szCs w:val="24"/>
                <w:highlight w:val="none"/>
              </w:rPr>
            </w:pPr>
            <w:r>
              <w:rPr>
                <w:rFonts w:hint="eastAsia" w:ascii="FangSong_GB2312" w:hAnsi="FangSong_GB2312" w:eastAsia="FangSong_GB2312" w:cs="FangSong_GB2312"/>
                <w:kern w:val="0"/>
                <w:sz w:val="24"/>
                <w:szCs w:val="24"/>
                <w:highlight w:val="none"/>
                <w:lang w:eastAsia="zh-CN"/>
              </w:rPr>
              <w:t>系统</w:t>
            </w:r>
            <w:r>
              <w:rPr>
                <w:rFonts w:hint="eastAsia" w:ascii="FangSong_GB2312" w:hAnsi="FangSong_GB2312" w:eastAsia="FangSong_GB2312" w:cs="FangSong_GB2312"/>
                <w:kern w:val="0"/>
                <w:sz w:val="24"/>
                <w:szCs w:val="24"/>
                <w:highlight w:val="none"/>
              </w:rPr>
              <w:t>软件维护服务</w:t>
            </w:r>
          </w:p>
        </w:tc>
        <w:tc>
          <w:tcPr>
            <w:tcW w:w="285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FangSong_GB2312" w:hAnsi="FangSong_GB2312" w:eastAsia="FangSong_GB2312" w:cs="FangSong_GB2312"/>
                <w:kern w:val="0"/>
                <w:sz w:val="24"/>
                <w:szCs w:val="24"/>
                <w:highlight w:val="none"/>
              </w:rPr>
            </w:pPr>
            <w:r>
              <w:rPr>
                <w:rFonts w:hint="eastAsia" w:ascii="FangSong_GB2312" w:hAnsi="FangSong_GB2312" w:eastAsia="FangSong_GB2312" w:cs="FangSong_GB2312"/>
                <w:kern w:val="0"/>
                <w:sz w:val="24"/>
                <w:szCs w:val="24"/>
                <w:highlight w:val="none"/>
              </w:rPr>
              <w:t>智慧旅游主题库开发及采集</w:t>
            </w:r>
          </w:p>
        </w:tc>
        <w:tc>
          <w:tcPr>
            <w:tcW w:w="1023"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FangSong_GB2312" w:hAnsi="FangSong_GB2312" w:eastAsia="FangSong_GB2312" w:cs="FangSong_GB2312"/>
                <w:kern w:val="0"/>
                <w:sz w:val="24"/>
                <w:szCs w:val="24"/>
                <w:highlight w:val="none"/>
              </w:rPr>
            </w:pPr>
            <w:r>
              <w:rPr>
                <w:rFonts w:hint="eastAsia" w:ascii="FangSong_GB2312" w:hAnsi="FangSong_GB2312" w:eastAsia="FangSong_GB2312" w:cs="FangSong_GB2312"/>
                <w:kern w:val="0"/>
                <w:sz w:val="24"/>
                <w:szCs w:val="24"/>
                <w:highlight w:val="none"/>
              </w:rPr>
              <w:t>套</w:t>
            </w:r>
          </w:p>
        </w:tc>
        <w:tc>
          <w:tcPr>
            <w:tcW w:w="975"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FangSong_GB2312" w:hAnsi="FangSong_GB2312" w:eastAsia="FangSong_GB2312" w:cs="FangSong_GB2312"/>
                <w:kern w:val="0"/>
                <w:sz w:val="24"/>
                <w:szCs w:val="24"/>
                <w:highlight w:val="none"/>
              </w:rPr>
            </w:pPr>
            <w:r>
              <w:rPr>
                <w:rFonts w:ascii="FangSong_GB2312" w:hAnsi="FangSong_GB2312" w:eastAsia="FangSong_GB2312" w:cs="FangSong_GB2312"/>
                <w:kern w:val="0"/>
                <w:sz w:val="24"/>
                <w:szCs w:val="24"/>
                <w:highlight w:val="none"/>
              </w:rPr>
              <w:t>1</w:t>
            </w:r>
          </w:p>
        </w:tc>
        <w:tc>
          <w:tcPr>
            <w:tcW w:w="1418" w:type="dxa"/>
            <w:tcBorders>
              <w:top w:val="nil"/>
              <w:left w:val="nil"/>
              <w:bottom w:val="single" w:color="auto" w:sz="4" w:space="0"/>
              <w:right w:val="single" w:color="auto" w:sz="4" w:space="0"/>
            </w:tcBorders>
            <w:vAlign w:val="center"/>
          </w:tcPr>
          <w:p>
            <w:pPr>
              <w:widowControl/>
              <w:spacing w:line="520" w:lineRule="exact"/>
              <w:jc w:val="center"/>
              <w:rPr>
                <w:rFonts w:ascii="FangSong_GB2312" w:hAnsi="FangSong_GB2312" w:eastAsia="FangSong_GB2312" w:cs="FangSong_GB2312"/>
                <w:kern w:val="0"/>
                <w:sz w:val="24"/>
                <w:szCs w:val="24"/>
                <w:highlight w:val="none"/>
              </w:rPr>
            </w:pPr>
          </w:p>
        </w:tc>
      </w:tr>
      <w:tr>
        <w:tblPrEx>
          <w:tblCellMar>
            <w:top w:w="0" w:type="dxa"/>
            <w:left w:w="108" w:type="dxa"/>
            <w:bottom w:w="0" w:type="dxa"/>
            <w:right w:w="108" w:type="dxa"/>
          </w:tblCellMar>
        </w:tblPrEx>
        <w:trPr>
          <w:trHeight w:val="465" w:hRule="atLeast"/>
        </w:trPr>
        <w:tc>
          <w:tcPr>
            <w:tcW w:w="7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FangSong_GB2312" w:hAnsi="FangSong_GB2312" w:eastAsia="FangSong_GB2312" w:cs="FangSong_GB2312"/>
                <w:kern w:val="0"/>
                <w:sz w:val="24"/>
                <w:szCs w:val="24"/>
                <w:highlight w:val="none"/>
              </w:rPr>
            </w:pPr>
          </w:p>
        </w:tc>
        <w:tc>
          <w:tcPr>
            <w:tcW w:w="1787"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FangSong_GB2312" w:hAnsi="FangSong_GB2312" w:eastAsia="FangSong_GB2312" w:cs="FangSong_GB2312"/>
                <w:kern w:val="0"/>
                <w:sz w:val="24"/>
                <w:szCs w:val="24"/>
                <w:highlight w:val="none"/>
              </w:rPr>
            </w:pPr>
          </w:p>
        </w:tc>
        <w:tc>
          <w:tcPr>
            <w:tcW w:w="285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FangSong_GB2312" w:hAnsi="FangSong_GB2312" w:eastAsia="FangSong_GB2312" w:cs="FangSong_GB2312"/>
                <w:kern w:val="0"/>
                <w:sz w:val="24"/>
                <w:szCs w:val="24"/>
                <w:highlight w:val="none"/>
              </w:rPr>
            </w:pPr>
            <w:r>
              <w:rPr>
                <w:rFonts w:hint="eastAsia" w:ascii="FangSong_GB2312" w:hAnsi="FangSong_GB2312" w:eastAsia="FangSong_GB2312" w:cs="FangSong_GB2312"/>
                <w:kern w:val="0"/>
                <w:sz w:val="24"/>
                <w:szCs w:val="24"/>
                <w:highlight w:val="none"/>
              </w:rPr>
              <w:t>旅游大数据分析系统</w:t>
            </w:r>
          </w:p>
        </w:tc>
        <w:tc>
          <w:tcPr>
            <w:tcW w:w="1023"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FangSong_GB2312" w:hAnsi="FangSong_GB2312" w:eastAsia="FangSong_GB2312" w:cs="FangSong_GB2312"/>
                <w:kern w:val="0"/>
                <w:sz w:val="24"/>
                <w:szCs w:val="24"/>
                <w:highlight w:val="none"/>
              </w:rPr>
            </w:pPr>
            <w:r>
              <w:rPr>
                <w:rFonts w:hint="eastAsia" w:ascii="FangSong_GB2312" w:hAnsi="FangSong_GB2312" w:eastAsia="FangSong_GB2312" w:cs="FangSong_GB2312"/>
                <w:kern w:val="0"/>
                <w:sz w:val="24"/>
                <w:szCs w:val="24"/>
                <w:highlight w:val="none"/>
              </w:rPr>
              <w:t>套</w:t>
            </w:r>
          </w:p>
        </w:tc>
        <w:tc>
          <w:tcPr>
            <w:tcW w:w="975"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FangSong_GB2312" w:hAnsi="FangSong_GB2312" w:eastAsia="FangSong_GB2312" w:cs="FangSong_GB2312"/>
                <w:kern w:val="0"/>
                <w:sz w:val="24"/>
                <w:szCs w:val="24"/>
                <w:highlight w:val="none"/>
              </w:rPr>
            </w:pPr>
            <w:r>
              <w:rPr>
                <w:rFonts w:hint="eastAsia" w:ascii="FangSong_GB2312" w:hAnsi="FangSong_GB2312" w:eastAsia="FangSong_GB2312" w:cs="FangSong_GB2312"/>
                <w:kern w:val="0"/>
                <w:sz w:val="24"/>
                <w:szCs w:val="24"/>
                <w:highlight w:val="none"/>
              </w:rPr>
              <w:t>1</w:t>
            </w:r>
          </w:p>
        </w:tc>
        <w:tc>
          <w:tcPr>
            <w:tcW w:w="1418" w:type="dxa"/>
            <w:tcBorders>
              <w:top w:val="nil"/>
              <w:left w:val="nil"/>
              <w:bottom w:val="single" w:color="auto" w:sz="4" w:space="0"/>
              <w:right w:val="single" w:color="auto" w:sz="4" w:space="0"/>
            </w:tcBorders>
            <w:vAlign w:val="center"/>
          </w:tcPr>
          <w:p>
            <w:pPr>
              <w:widowControl/>
              <w:spacing w:line="520" w:lineRule="exact"/>
              <w:jc w:val="center"/>
              <w:rPr>
                <w:rFonts w:ascii="FangSong_GB2312" w:hAnsi="FangSong_GB2312" w:eastAsia="FangSong_GB2312" w:cs="FangSong_GB2312"/>
                <w:kern w:val="0"/>
                <w:sz w:val="24"/>
                <w:szCs w:val="24"/>
                <w:highlight w:val="none"/>
              </w:rPr>
            </w:pPr>
          </w:p>
        </w:tc>
      </w:tr>
      <w:tr>
        <w:tblPrEx>
          <w:tblCellMar>
            <w:top w:w="0" w:type="dxa"/>
            <w:left w:w="108" w:type="dxa"/>
            <w:bottom w:w="0" w:type="dxa"/>
            <w:right w:w="108" w:type="dxa"/>
          </w:tblCellMar>
        </w:tblPrEx>
        <w:trPr>
          <w:trHeight w:val="465" w:hRule="atLeast"/>
        </w:trPr>
        <w:tc>
          <w:tcPr>
            <w:tcW w:w="7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FangSong_GB2312" w:hAnsi="FangSong_GB2312" w:eastAsia="FangSong_GB2312" w:cs="FangSong_GB2312"/>
                <w:kern w:val="0"/>
                <w:sz w:val="24"/>
                <w:szCs w:val="24"/>
                <w:highlight w:val="none"/>
              </w:rPr>
            </w:pPr>
          </w:p>
        </w:tc>
        <w:tc>
          <w:tcPr>
            <w:tcW w:w="1787"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FangSong_GB2312" w:hAnsi="FangSong_GB2312" w:eastAsia="FangSong_GB2312" w:cs="FangSong_GB2312"/>
                <w:kern w:val="0"/>
                <w:sz w:val="24"/>
                <w:szCs w:val="24"/>
                <w:highlight w:val="none"/>
              </w:rPr>
            </w:pPr>
          </w:p>
        </w:tc>
        <w:tc>
          <w:tcPr>
            <w:tcW w:w="285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FangSong_GB2312" w:hAnsi="FangSong_GB2312" w:eastAsia="FangSong_GB2312" w:cs="FangSong_GB2312"/>
                <w:kern w:val="0"/>
                <w:sz w:val="24"/>
                <w:szCs w:val="24"/>
                <w:highlight w:val="none"/>
              </w:rPr>
            </w:pPr>
            <w:r>
              <w:rPr>
                <w:rFonts w:hint="eastAsia" w:ascii="FangSong_GB2312" w:hAnsi="FangSong_GB2312" w:eastAsia="FangSong_GB2312" w:cs="FangSong_GB2312"/>
                <w:kern w:val="0"/>
                <w:sz w:val="24"/>
                <w:szCs w:val="24"/>
                <w:highlight w:val="none"/>
              </w:rPr>
              <w:t>旅游 GIS 系统</w:t>
            </w:r>
          </w:p>
        </w:tc>
        <w:tc>
          <w:tcPr>
            <w:tcW w:w="1023"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FangSong_GB2312" w:hAnsi="FangSong_GB2312" w:eastAsia="FangSong_GB2312" w:cs="FangSong_GB2312"/>
                <w:kern w:val="0"/>
                <w:sz w:val="24"/>
                <w:szCs w:val="24"/>
                <w:highlight w:val="none"/>
              </w:rPr>
            </w:pPr>
            <w:r>
              <w:rPr>
                <w:rFonts w:hint="eastAsia" w:ascii="FangSong_GB2312" w:hAnsi="FangSong_GB2312" w:eastAsia="FangSong_GB2312" w:cs="FangSong_GB2312"/>
                <w:kern w:val="0"/>
                <w:sz w:val="24"/>
                <w:szCs w:val="24"/>
                <w:highlight w:val="none"/>
              </w:rPr>
              <w:t>套</w:t>
            </w:r>
          </w:p>
        </w:tc>
        <w:tc>
          <w:tcPr>
            <w:tcW w:w="975"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FangSong_GB2312" w:hAnsi="FangSong_GB2312" w:eastAsia="FangSong_GB2312" w:cs="FangSong_GB2312"/>
                <w:kern w:val="0"/>
                <w:sz w:val="24"/>
                <w:szCs w:val="24"/>
                <w:highlight w:val="none"/>
              </w:rPr>
            </w:pPr>
            <w:r>
              <w:rPr>
                <w:rFonts w:hint="eastAsia" w:ascii="FangSong_GB2312" w:hAnsi="FangSong_GB2312" w:eastAsia="FangSong_GB2312" w:cs="FangSong_GB2312"/>
                <w:kern w:val="0"/>
                <w:sz w:val="24"/>
                <w:szCs w:val="24"/>
                <w:highlight w:val="none"/>
              </w:rPr>
              <w:t>1</w:t>
            </w:r>
          </w:p>
        </w:tc>
        <w:tc>
          <w:tcPr>
            <w:tcW w:w="1418" w:type="dxa"/>
            <w:tcBorders>
              <w:top w:val="nil"/>
              <w:left w:val="nil"/>
              <w:bottom w:val="single" w:color="auto" w:sz="4" w:space="0"/>
              <w:right w:val="single" w:color="auto" w:sz="4" w:space="0"/>
            </w:tcBorders>
            <w:vAlign w:val="center"/>
          </w:tcPr>
          <w:p>
            <w:pPr>
              <w:widowControl/>
              <w:spacing w:line="520" w:lineRule="exact"/>
              <w:jc w:val="center"/>
              <w:rPr>
                <w:rFonts w:ascii="FangSong_GB2312" w:hAnsi="FangSong_GB2312" w:eastAsia="FangSong_GB2312" w:cs="FangSong_GB2312"/>
                <w:kern w:val="0"/>
                <w:sz w:val="24"/>
                <w:szCs w:val="24"/>
                <w:highlight w:val="none"/>
              </w:rPr>
            </w:pPr>
          </w:p>
        </w:tc>
      </w:tr>
      <w:tr>
        <w:tblPrEx>
          <w:tblCellMar>
            <w:top w:w="0" w:type="dxa"/>
            <w:left w:w="108" w:type="dxa"/>
            <w:bottom w:w="0" w:type="dxa"/>
            <w:right w:w="108" w:type="dxa"/>
          </w:tblCellMar>
        </w:tblPrEx>
        <w:trPr>
          <w:trHeight w:val="46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hint="eastAsia" w:ascii="FangSong_GB2312" w:hAnsi="FangSong_GB2312" w:eastAsia="FangSong_GB2312" w:cs="FangSong_GB2312"/>
                <w:kern w:val="0"/>
                <w:sz w:val="24"/>
                <w:szCs w:val="24"/>
                <w:highlight w:val="none"/>
              </w:rPr>
            </w:pPr>
            <w:r>
              <w:rPr>
                <w:rFonts w:hint="eastAsia" w:ascii="FangSong_GB2312" w:hAnsi="FangSong_GB2312" w:eastAsia="FangSong_GB2312" w:cs="FangSong_GB2312"/>
                <w:kern w:val="0"/>
                <w:sz w:val="24"/>
                <w:szCs w:val="24"/>
                <w:highlight w:val="none"/>
              </w:rPr>
              <w:t>2</w:t>
            </w:r>
          </w:p>
        </w:tc>
        <w:tc>
          <w:tcPr>
            <w:tcW w:w="1787"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hint="eastAsia" w:ascii="FangSong_GB2312" w:hAnsi="FangSong_GB2312" w:eastAsia="FangSong_GB2312" w:cs="FangSong_GB2312"/>
                <w:kern w:val="0"/>
                <w:sz w:val="24"/>
                <w:szCs w:val="24"/>
                <w:highlight w:val="none"/>
              </w:rPr>
            </w:pPr>
            <w:r>
              <w:rPr>
                <w:rFonts w:hint="eastAsia" w:ascii="FangSong_GB2312" w:hAnsi="FangSong_GB2312" w:eastAsia="FangSong_GB2312" w:cs="FangSong_GB2312"/>
                <w:kern w:val="0"/>
                <w:sz w:val="24"/>
                <w:szCs w:val="24"/>
                <w:highlight w:val="none"/>
              </w:rPr>
              <w:t>硬件维护服务</w:t>
            </w:r>
          </w:p>
        </w:tc>
        <w:tc>
          <w:tcPr>
            <w:tcW w:w="2850"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hint="eastAsia" w:ascii="FangSong_GB2312" w:hAnsi="FangSong_GB2312" w:eastAsia="FangSong_GB2312" w:cs="FangSong_GB2312"/>
                <w:kern w:val="0"/>
                <w:sz w:val="24"/>
                <w:szCs w:val="24"/>
                <w:highlight w:val="none"/>
              </w:rPr>
            </w:pPr>
            <w:r>
              <w:rPr>
                <w:rFonts w:hint="eastAsia" w:ascii="FangSong_GB2312" w:hAnsi="FangSong_GB2312" w:eastAsia="FangSong_GB2312" w:cs="FangSong_GB2312"/>
                <w:kern w:val="0"/>
                <w:sz w:val="24"/>
                <w:szCs w:val="24"/>
                <w:highlight w:val="none"/>
                <w:lang w:eastAsia="zh-CN"/>
              </w:rPr>
              <w:t>视频监控配套光缆及其他设施</w:t>
            </w:r>
            <w:r>
              <w:rPr>
                <w:rFonts w:hint="eastAsia" w:ascii="FangSong_GB2312" w:hAnsi="FangSong_GB2312" w:eastAsia="FangSong_GB2312" w:cs="FangSong_GB2312"/>
                <w:kern w:val="0"/>
                <w:sz w:val="24"/>
                <w:szCs w:val="24"/>
                <w:highlight w:val="none"/>
              </w:rPr>
              <w:t>维护服务</w:t>
            </w:r>
          </w:p>
        </w:tc>
        <w:tc>
          <w:tcPr>
            <w:tcW w:w="1023"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FangSong_GB2312" w:hAnsi="FangSong_GB2312" w:eastAsia="FangSong_GB2312" w:cs="FangSong_GB2312"/>
                <w:kern w:val="0"/>
                <w:sz w:val="24"/>
                <w:szCs w:val="24"/>
                <w:highlight w:val="none"/>
              </w:rPr>
            </w:pPr>
            <w:r>
              <w:rPr>
                <w:rFonts w:hint="eastAsia" w:ascii="FangSong_GB2312" w:hAnsi="FangSong_GB2312" w:eastAsia="FangSong_GB2312" w:cs="FangSong_GB2312"/>
                <w:kern w:val="0"/>
                <w:sz w:val="24"/>
                <w:szCs w:val="24"/>
                <w:highlight w:val="none"/>
              </w:rPr>
              <w:t>套</w:t>
            </w:r>
          </w:p>
        </w:tc>
        <w:tc>
          <w:tcPr>
            <w:tcW w:w="975"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FangSong_GB2312" w:hAnsi="FangSong_GB2312" w:eastAsia="FangSong_GB2312" w:cs="FangSong_GB2312"/>
                <w:kern w:val="0"/>
                <w:sz w:val="24"/>
                <w:szCs w:val="24"/>
                <w:highlight w:val="none"/>
              </w:rPr>
            </w:pPr>
            <w:r>
              <w:rPr>
                <w:rFonts w:hint="eastAsia" w:ascii="FangSong_GB2312" w:hAnsi="FangSong_GB2312" w:eastAsia="FangSong_GB2312" w:cs="FangSong_GB2312"/>
                <w:kern w:val="0"/>
                <w:sz w:val="24"/>
                <w:szCs w:val="24"/>
                <w:highlight w:val="none"/>
              </w:rPr>
              <w:t>1</w:t>
            </w:r>
          </w:p>
        </w:tc>
        <w:tc>
          <w:tcPr>
            <w:tcW w:w="1418" w:type="dxa"/>
            <w:tcBorders>
              <w:top w:val="nil"/>
              <w:left w:val="nil"/>
              <w:bottom w:val="single" w:color="auto" w:sz="4" w:space="0"/>
              <w:right w:val="single" w:color="auto" w:sz="4" w:space="0"/>
            </w:tcBorders>
            <w:vAlign w:val="center"/>
          </w:tcPr>
          <w:p>
            <w:pPr>
              <w:widowControl/>
              <w:spacing w:line="520" w:lineRule="exact"/>
              <w:jc w:val="center"/>
              <w:rPr>
                <w:rFonts w:hint="eastAsia" w:ascii="FangSong_GB2312" w:hAnsi="FangSong_GB2312" w:eastAsia="FangSong_GB2312" w:cs="FangSong_GB2312"/>
                <w:kern w:val="0"/>
                <w:sz w:val="24"/>
                <w:szCs w:val="24"/>
                <w:highlight w:val="none"/>
              </w:rPr>
            </w:pPr>
            <w:r>
              <w:rPr>
                <w:rFonts w:hint="eastAsia" w:ascii="FangSong_GB2312" w:hAnsi="FangSong_GB2312" w:eastAsia="FangSong_GB2312" w:cs="FangSong_GB2312"/>
                <w:kern w:val="0"/>
                <w:sz w:val="24"/>
                <w:szCs w:val="24"/>
                <w:highlight w:val="none"/>
              </w:rPr>
              <w:t>共103个监控点位</w:t>
            </w:r>
          </w:p>
        </w:tc>
      </w:tr>
      <w:tr>
        <w:tblPrEx>
          <w:tblCellMar>
            <w:top w:w="0" w:type="dxa"/>
            <w:left w:w="108" w:type="dxa"/>
            <w:bottom w:w="0" w:type="dxa"/>
            <w:right w:w="108" w:type="dxa"/>
          </w:tblCellMar>
        </w:tblPrEx>
        <w:trPr>
          <w:trHeight w:val="465" w:hRule="atLeast"/>
        </w:trPr>
        <w:tc>
          <w:tcPr>
            <w:tcW w:w="780" w:type="dxa"/>
            <w:tcBorders>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hint="eastAsia" w:ascii="FangSong_GB2312" w:hAnsi="FangSong_GB2312" w:eastAsia="FangSong_GB2312" w:cs="FangSong_GB2312"/>
                <w:kern w:val="0"/>
                <w:sz w:val="24"/>
                <w:szCs w:val="24"/>
                <w:highlight w:val="none"/>
                <w:lang w:val="en-US" w:eastAsia="zh-CN"/>
              </w:rPr>
            </w:pPr>
            <w:r>
              <w:rPr>
                <w:rFonts w:hint="eastAsia" w:ascii="FangSong_GB2312" w:hAnsi="FangSong_GB2312" w:eastAsia="FangSong_GB2312" w:cs="FangSong_GB2312"/>
                <w:kern w:val="0"/>
                <w:sz w:val="24"/>
                <w:szCs w:val="24"/>
                <w:highlight w:val="none"/>
                <w:lang w:val="en-US" w:eastAsia="zh-CN"/>
              </w:rPr>
              <w:t>3</w:t>
            </w:r>
          </w:p>
        </w:tc>
        <w:tc>
          <w:tcPr>
            <w:tcW w:w="1787" w:type="dxa"/>
            <w:tcBorders>
              <w:left w:val="nil"/>
              <w:bottom w:val="single" w:color="auto" w:sz="4" w:space="0"/>
              <w:right w:val="single" w:color="auto" w:sz="4" w:space="0"/>
            </w:tcBorders>
            <w:shd w:val="clear" w:color="auto" w:fill="auto"/>
            <w:vAlign w:val="center"/>
          </w:tcPr>
          <w:p>
            <w:pPr>
              <w:widowControl/>
              <w:spacing w:line="520" w:lineRule="exact"/>
              <w:jc w:val="center"/>
              <w:rPr>
                <w:rFonts w:ascii="FangSong_GB2312" w:hAnsi="FangSong_GB2312" w:eastAsia="FangSong_GB2312" w:cs="FangSong_GB2312"/>
                <w:kern w:val="0"/>
                <w:sz w:val="24"/>
                <w:szCs w:val="24"/>
                <w:highlight w:val="none"/>
              </w:rPr>
            </w:pPr>
            <w:r>
              <w:rPr>
                <w:rFonts w:hint="eastAsia" w:ascii="FangSong_GB2312" w:hAnsi="FangSong_GB2312" w:eastAsia="FangSong_GB2312" w:cs="FangSong_GB2312"/>
                <w:kern w:val="0"/>
                <w:sz w:val="24"/>
                <w:szCs w:val="24"/>
                <w:highlight w:val="none"/>
              </w:rPr>
              <w:t>电费和管道租赁服务</w:t>
            </w:r>
          </w:p>
        </w:tc>
        <w:tc>
          <w:tcPr>
            <w:tcW w:w="285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FangSong_GB2312" w:hAnsi="FangSong_GB2312" w:eastAsia="FangSong_GB2312" w:cs="FangSong_GB2312"/>
                <w:kern w:val="0"/>
                <w:sz w:val="24"/>
                <w:szCs w:val="24"/>
                <w:highlight w:val="none"/>
              </w:rPr>
            </w:pPr>
            <w:r>
              <w:rPr>
                <w:rFonts w:hint="eastAsia" w:ascii="FangSong_GB2312" w:hAnsi="FangSong_GB2312" w:eastAsia="FangSong_GB2312" w:cs="FangSong_GB2312"/>
                <w:kern w:val="0"/>
                <w:sz w:val="24"/>
                <w:szCs w:val="24"/>
                <w:highlight w:val="none"/>
              </w:rPr>
              <w:t>监控点位电费及通信管道租赁</w:t>
            </w:r>
          </w:p>
        </w:tc>
        <w:tc>
          <w:tcPr>
            <w:tcW w:w="1023"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FangSong_GB2312" w:hAnsi="FangSong_GB2312" w:eastAsia="FangSong_GB2312" w:cs="FangSong_GB2312"/>
                <w:kern w:val="0"/>
                <w:sz w:val="24"/>
                <w:szCs w:val="24"/>
                <w:highlight w:val="none"/>
              </w:rPr>
            </w:pPr>
            <w:r>
              <w:rPr>
                <w:rFonts w:hint="eastAsia" w:ascii="FangSong_GB2312" w:hAnsi="FangSong_GB2312" w:eastAsia="FangSong_GB2312" w:cs="FangSong_GB2312"/>
                <w:kern w:val="0"/>
                <w:sz w:val="24"/>
                <w:szCs w:val="24"/>
                <w:highlight w:val="none"/>
              </w:rPr>
              <w:t>项</w:t>
            </w:r>
          </w:p>
        </w:tc>
        <w:tc>
          <w:tcPr>
            <w:tcW w:w="975"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FangSong_GB2312" w:hAnsi="FangSong_GB2312" w:eastAsia="FangSong_GB2312" w:cs="FangSong_GB2312"/>
                <w:kern w:val="0"/>
                <w:sz w:val="24"/>
                <w:szCs w:val="24"/>
                <w:highlight w:val="none"/>
              </w:rPr>
            </w:pPr>
            <w:r>
              <w:rPr>
                <w:rFonts w:hint="eastAsia" w:ascii="FangSong_GB2312" w:hAnsi="FangSong_GB2312" w:eastAsia="FangSong_GB2312" w:cs="FangSong_GB2312"/>
                <w:kern w:val="0"/>
                <w:sz w:val="24"/>
                <w:szCs w:val="24"/>
                <w:highlight w:val="none"/>
              </w:rPr>
              <w:t>1</w:t>
            </w:r>
          </w:p>
        </w:tc>
        <w:tc>
          <w:tcPr>
            <w:tcW w:w="1418" w:type="dxa"/>
            <w:tcBorders>
              <w:top w:val="nil"/>
              <w:left w:val="nil"/>
              <w:bottom w:val="single" w:color="auto" w:sz="4" w:space="0"/>
              <w:right w:val="single" w:color="auto" w:sz="4" w:space="0"/>
            </w:tcBorders>
            <w:vAlign w:val="center"/>
          </w:tcPr>
          <w:p>
            <w:pPr>
              <w:widowControl/>
              <w:spacing w:line="520" w:lineRule="exact"/>
              <w:jc w:val="center"/>
              <w:rPr>
                <w:rFonts w:ascii="FangSong_GB2312" w:hAnsi="FangSong_GB2312" w:eastAsia="FangSong_GB2312" w:cs="FangSong_GB2312"/>
                <w:kern w:val="0"/>
                <w:sz w:val="24"/>
                <w:szCs w:val="24"/>
                <w:highlight w:val="none"/>
              </w:rPr>
            </w:pPr>
            <w:r>
              <w:rPr>
                <w:rFonts w:ascii="FangSong_GB2312" w:hAnsi="FangSong_GB2312" w:eastAsia="FangSong_GB2312" w:cs="FangSong_GB2312"/>
                <w:kern w:val="0"/>
                <w:sz w:val="24"/>
                <w:szCs w:val="24"/>
                <w:highlight w:val="none"/>
              </w:rPr>
              <w:t>共</w:t>
            </w:r>
            <w:r>
              <w:rPr>
                <w:rFonts w:hint="eastAsia" w:ascii="FangSong_GB2312" w:hAnsi="FangSong_GB2312" w:eastAsia="FangSong_GB2312" w:cs="FangSong_GB2312"/>
                <w:kern w:val="0"/>
                <w:sz w:val="24"/>
                <w:szCs w:val="24"/>
                <w:highlight w:val="none"/>
              </w:rPr>
              <w:t>1</w:t>
            </w:r>
            <w:r>
              <w:rPr>
                <w:rFonts w:ascii="FangSong_GB2312" w:hAnsi="FangSong_GB2312" w:eastAsia="FangSong_GB2312" w:cs="FangSong_GB2312"/>
                <w:kern w:val="0"/>
                <w:sz w:val="24"/>
                <w:szCs w:val="24"/>
                <w:highlight w:val="none"/>
              </w:rPr>
              <w:t>03个点位</w:t>
            </w:r>
          </w:p>
        </w:tc>
      </w:tr>
    </w:tbl>
    <w:p>
      <w:pPr>
        <w:widowControl/>
        <w:spacing w:line="520" w:lineRule="exact"/>
        <w:ind w:firstLine="640" w:firstLineChars="200"/>
        <w:jc w:val="left"/>
        <w:rPr>
          <w:rFonts w:ascii="FangSong_GB2312" w:hAnsi="FangSong_GB2312" w:eastAsia="FangSong_GB2312" w:cs="FangSong_GB2312"/>
          <w:kern w:val="0"/>
          <w:sz w:val="32"/>
          <w:szCs w:val="32"/>
          <w:highlight w:val="none"/>
        </w:rPr>
      </w:pPr>
      <w:r>
        <w:rPr>
          <w:rFonts w:hint="eastAsia" w:ascii="FangSong_GB2312" w:hAnsi="FangSong_GB2312" w:eastAsia="FangSong_GB2312" w:cs="FangSong_GB2312"/>
          <w:kern w:val="0"/>
          <w:sz w:val="32"/>
          <w:szCs w:val="32"/>
          <w:highlight w:val="none"/>
        </w:rPr>
        <w:t>（二）服务要求</w:t>
      </w:r>
    </w:p>
    <w:p>
      <w:pPr>
        <w:widowControl/>
        <w:spacing w:line="520" w:lineRule="exact"/>
        <w:ind w:firstLine="640" w:firstLineChars="200"/>
        <w:jc w:val="left"/>
        <w:rPr>
          <w:rFonts w:ascii="FangSong_GB2312" w:hAnsi="Arial" w:eastAsia="FangSong_GB2312" w:cs="Arial"/>
          <w:kern w:val="0"/>
          <w:sz w:val="32"/>
          <w:szCs w:val="32"/>
          <w:highlight w:val="none"/>
        </w:rPr>
      </w:pPr>
      <w:r>
        <w:rPr>
          <w:rFonts w:hint="eastAsia" w:ascii="FangSong_GB2312" w:hAnsi="Arial" w:eastAsia="FangSong_GB2312" w:cs="Arial"/>
          <w:kern w:val="0"/>
          <w:sz w:val="32"/>
          <w:szCs w:val="32"/>
          <w:highlight w:val="none"/>
        </w:rPr>
        <w:t>1．</w:t>
      </w:r>
      <w:r>
        <w:rPr>
          <w:rFonts w:hint="eastAsia" w:ascii="FangSong_GB2312" w:hAnsi="Arial" w:eastAsia="FangSong_GB2312" w:cs="Arial"/>
          <w:kern w:val="0"/>
          <w:sz w:val="32"/>
          <w:szCs w:val="32"/>
          <w:highlight w:val="none"/>
          <w:lang w:val="en-US" w:eastAsia="zh-CN"/>
        </w:rPr>
        <w:t>报价方</w:t>
      </w:r>
      <w:r>
        <w:rPr>
          <w:rFonts w:hint="eastAsia" w:ascii="FangSong_GB2312" w:hAnsi="Arial" w:eastAsia="FangSong_GB2312" w:cs="Arial"/>
          <w:kern w:val="0"/>
          <w:sz w:val="32"/>
          <w:szCs w:val="32"/>
          <w:highlight w:val="none"/>
        </w:rPr>
        <w:t>需承诺提供</w:t>
      </w:r>
      <w:r>
        <w:rPr>
          <w:rFonts w:ascii="FangSong_GB2312" w:hAnsi="Arial" w:eastAsia="FangSong_GB2312" w:cs="Arial"/>
          <w:kern w:val="0"/>
          <w:sz w:val="32"/>
          <w:szCs w:val="32"/>
          <w:highlight w:val="none"/>
        </w:rPr>
        <w:t>7</w:t>
      </w:r>
      <w:r>
        <w:rPr>
          <w:rFonts w:hint="eastAsia" w:ascii="FangSong_GB2312" w:hAnsi="Arial" w:eastAsia="FangSong_GB2312" w:cs="Arial"/>
          <w:kern w:val="0"/>
          <w:sz w:val="32"/>
          <w:szCs w:val="32"/>
          <w:highlight w:val="none"/>
        </w:rPr>
        <w:t>×8小时的故障维护服务和技术业务咨询服务，并有专业的技术人员负责及时解决系统出现的任何故障。</w:t>
      </w:r>
    </w:p>
    <w:p>
      <w:pPr>
        <w:widowControl/>
        <w:spacing w:line="520" w:lineRule="exact"/>
        <w:ind w:firstLine="640" w:firstLineChars="200"/>
        <w:jc w:val="left"/>
        <w:rPr>
          <w:rFonts w:ascii="FangSong_GB2312" w:hAnsi="Arial" w:eastAsia="FangSong_GB2312" w:cs="Arial"/>
          <w:kern w:val="0"/>
          <w:sz w:val="32"/>
          <w:szCs w:val="32"/>
          <w:highlight w:val="none"/>
        </w:rPr>
      </w:pPr>
      <w:r>
        <w:rPr>
          <w:rFonts w:hint="eastAsia" w:ascii="FangSong_GB2312" w:hAnsi="Arial" w:eastAsia="FangSong_GB2312" w:cs="Arial"/>
          <w:kern w:val="0"/>
          <w:sz w:val="32"/>
          <w:szCs w:val="32"/>
          <w:highlight w:val="none"/>
        </w:rPr>
        <w:t>2．每月对采购单位进行回访和调查，搜集反馈意见，改进服务质量，提高服务水平。每月综合分析采购单位投诉意见，查找主要问题及其原因，并针对主要问题和原因制定纠正、预防措施，切实整改，并提交每</w:t>
      </w:r>
      <w:r>
        <w:rPr>
          <w:rFonts w:hint="eastAsia" w:ascii="FangSong_GB2312" w:hAnsi="Arial" w:eastAsia="FangSong_GB2312" w:cs="Arial"/>
          <w:kern w:val="0"/>
          <w:sz w:val="32"/>
          <w:szCs w:val="32"/>
          <w:highlight w:val="none"/>
          <w:lang w:eastAsia="zh-CN"/>
        </w:rPr>
        <w:t>季度</w:t>
      </w:r>
      <w:r>
        <w:rPr>
          <w:rFonts w:hint="eastAsia" w:ascii="FangSong_GB2312" w:hAnsi="Arial" w:eastAsia="FangSong_GB2312" w:cs="Arial"/>
          <w:kern w:val="0"/>
          <w:sz w:val="32"/>
          <w:szCs w:val="32"/>
          <w:highlight w:val="none"/>
        </w:rPr>
        <w:t>运行报告。</w:t>
      </w:r>
    </w:p>
    <w:p>
      <w:pPr>
        <w:widowControl/>
        <w:spacing w:line="560" w:lineRule="exact"/>
        <w:ind w:firstLine="640" w:firstLineChars="200"/>
        <w:jc w:val="left"/>
        <w:rPr>
          <w:rFonts w:ascii="FangSong_GB2312" w:hAnsi="Arial" w:eastAsia="FangSong_GB2312" w:cs="Arial"/>
          <w:kern w:val="0"/>
          <w:sz w:val="32"/>
          <w:szCs w:val="32"/>
          <w:highlight w:val="none"/>
        </w:rPr>
      </w:pPr>
      <w:r>
        <w:rPr>
          <w:rFonts w:hint="eastAsia" w:ascii="FangSong_GB2312" w:hAnsi="Arial" w:eastAsia="FangSong_GB2312" w:cs="Arial"/>
          <w:kern w:val="0"/>
          <w:sz w:val="32"/>
          <w:szCs w:val="32"/>
          <w:highlight w:val="none"/>
        </w:rPr>
        <w:t>3．</w:t>
      </w:r>
      <w:r>
        <w:rPr>
          <w:rFonts w:hint="eastAsia" w:ascii="FangSong_GB2312" w:hAnsi="Arial" w:eastAsia="FangSong_GB2312" w:cs="Arial"/>
          <w:kern w:val="0"/>
          <w:sz w:val="32"/>
          <w:szCs w:val="32"/>
          <w:highlight w:val="none"/>
          <w:lang w:eastAsia="zh-CN"/>
        </w:rPr>
        <w:t>视频监控</w:t>
      </w:r>
      <w:r>
        <w:rPr>
          <w:rFonts w:hint="eastAsia" w:ascii="FangSong_GB2312" w:hAnsi="Arial" w:eastAsia="FangSong_GB2312" w:cs="Arial"/>
          <w:kern w:val="0"/>
          <w:sz w:val="32"/>
          <w:szCs w:val="32"/>
          <w:highlight w:val="none"/>
        </w:rPr>
        <w:t>设备维护清单</w:t>
      </w:r>
    </w:p>
    <w:tbl>
      <w:tblPr>
        <w:tblStyle w:val="16"/>
        <w:tblW w:w="9228" w:type="dxa"/>
        <w:tblInd w:w="0" w:type="dxa"/>
        <w:tblLayout w:type="fixed"/>
        <w:tblCellMar>
          <w:top w:w="0" w:type="dxa"/>
          <w:left w:w="108" w:type="dxa"/>
          <w:bottom w:w="0" w:type="dxa"/>
          <w:right w:w="108" w:type="dxa"/>
        </w:tblCellMar>
      </w:tblPr>
      <w:tblGrid>
        <w:gridCol w:w="640"/>
        <w:gridCol w:w="2025"/>
        <w:gridCol w:w="3244"/>
        <w:gridCol w:w="1462"/>
        <w:gridCol w:w="1857"/>
      </w:tblGrid>
      <w:tr>
        <w:tblPrEx>
          <w:tblCellMar>
            <w:top w:w="0" w:type="dxa"/>
            <w:left w:w="108" w:type="dxa"/>
            <w:bottom w:w="0" w:type="dxa"/>
            <w:right w:w="108" w:type="dxa"/>
          </w:tblCellMar>
        </w:tblPrEx>
        <w:trPr>
          <w:trHeight w:val="312" w:hRule="atLeast"/>
        </w:trPr>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b/>
                <w:bCs/>
                <w:kern w:val="0"/>
                <w:sz w:val="24"/>
                <w:szCs w:val="24"/>
                <w:highlight w:val="none"/>
              </w:rPr>
            </w:pPr>
            <w:r>
              <w:rPr>
                <w:rFonts w:hint="eastAsia" w:ascii="仿宋_GB2312" w:hAnsi="仿宋_GB2312" w:eastAsia="仿宋_GB2312" w:cs="仿宋_GB2312"/>
                <w:b/>
                <w:bCs/>
                <w:kern w:val="0"/>
                <w:sz w:val="24"/>
                <w:szCs w:val="24"/>
                <w:highlight w:val="none"/>
              </w:rPr>
              <w:t>序号</w:t>
            </w:r>
          </w:p>
        </w:tc>
        <w:tc>
          <w:tcPr>
            <w:tcW w:w="202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b/>
                <w:bCs/>
                <w:kern w:val="0"/>
                <w:sz w:val="24"/>
                <w:szCs w:val="24"/>
                <w:highlight w:val="none"/>
              </w:rPr>
            </w:pPr>
            <w:r>
              <w:rPr>
                <w:rFonts w:hint="eastAsia" w:ascii="仿宋_GB2312" w:hAnsi="仿宋_GB2312" w:eastAsia="仿宋_GB2312" w:cs="仿宋_GB2312"/>
                <w:b/>
                <w:bCs/>
                <w:kern w:val="0"/>
                <w:sz w:val="24"/>
                <w:szCs w:val="24"/>
                <w:highlight w:val="none"/>
              </w:rPr>
              <w:t>设备类型</w:t>
            </w:r>
          </w:p>
        </w:tc>
        <w:tc>
          <w:tcPr>
            <w:tcW w:w="324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b/>
                <w:bCs/>
                <w:kern w:val="0"/>
                <w:sz w:val="24"/>
                <w:szCs w:val="24"/>
                <w:highlight w:val="none"/>
              </w:rPr>
            </w:pPr>
            <w:r>
              <w:rPr>
                <w:rFonts w:hint="eastAsia" w:ascii="仿宋_GB2312" w:hAnsi="仿宋_GB2312" w:eastAsia="仿宋_GB2312" w:cs="仿宋_GB2312"/>
                <w:b/>
                <w:bCs/>
                <w:kern w:val="0"/>
                <w:sz w:val="24"/>
                <w:szCs w:val="24"/>
                <w:highlight w:val="none"/>
              </w:rPr>
              <w:t>安装地点/部位</w:t>
            </w:r>
          </w:p>
        </w:tc>
        <w:tc>
          <w:tcPr>
            <w:tcW w:w="146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b/>
                <w:bCs/>
                <w:kern w:val="0"/>
                <w:sz w:val="24"/>
                <w:szCs w:val="24"/>
                <w:highlight w:val="none"/>
              </w:rPr>
            </w:pPr>
            <w:r>
              <w:rPr>
                <w:rFonts w:hint="eastAsia" w:ascii="仿宋_GB2312" w:hAnsi="仿宋_GB2312" w:eastAsia="仿宋_GB2312" w:cs="仿宋_GB2312"/>
                <w:b/>
                <w:bCs/>
                <w:kern w:val="0"/>
                <w:sz w:val="24"/>
                <w:szCs w:val="24"/>
                <w:highlight w:val="none"/>
              </w:rPr>
              <w:t>所属道路</w:t>
            </w:r>
          </w:p>
        </w:tc>
        <w:tc>
          <w:tcPr>
            <w:tcW w:w="185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b/>
                <w:bCs/>
                <w:kern w:val="0"/>
                <w:sz w:val="24"/>
                <w:szCs w:val="24"/>
                <w:highlight w:val="none"/>
              </w:rPr>
            </w:pPr>
            <w:r>
              <w:rPr>
                <w:rFonts w:hint="eastAsia" w:ascii="仿宋_GB2312" w:hAnsi="仿宋_GB2312" w:eastAsia="仿宋_GB2312" w:cs="仿宋_GB2312"/>
                <w:b/>
                <w:bCs/>
                <w:kern w:val="0"/>
                <w:sz w:val="24"/>
                <w:szCs w:val="24"/>
                <w:highlight w:val="none"/>
              </w:rPr>
              <w:t>所属景区</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客流量统计枪机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观音山-入口枪机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金沙大道</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观音山</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2</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客流量统计枪机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观音山-出口枪机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金沙大道</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观音山</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3</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高清球机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观音山-广场球机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金沙大道</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观音山</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4</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客流量统计枪机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七娘山-登山口枪机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地质公园路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七娘山</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5</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高清球机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七娘山-登山口球机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地质公园路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七娘山</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6</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客流量统计枪机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地质公园-入口枪机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地质公园路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地质公园</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7</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客流量统计枪机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地质公园-出口枪机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地质公园路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地质公园</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8</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高清球机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地质公园-广场球机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地质公园路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地质公园</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9</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高清球机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集散中心-AB区球机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新大路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新大集散中心</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10</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高清球机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集散中心-CD区球机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新大路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新大集散中心</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11</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客流量统计枪机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所城-西门枪机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鹏程路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所城</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12</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客流量统计枪机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所城-南门枪机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所城南门路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所城</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13</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高清球机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所城-南门球机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所城南门路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所城</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14</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高清球机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所城-东门外广场球机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大鹏东门路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所城</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15</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客流量统计枪机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所城-东门枪机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大鹏东门路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所城</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16</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高清球机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所城-高井广场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大鹏东门路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所城</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17</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高清球机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所城-左棠署广场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大鹏东门路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所城</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18</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高清球机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所城-北门广场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大鹏东门路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所城</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19</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高清球机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东山寺-入口广场球机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大鹏东门路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东山寺</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20</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高清球机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较场尾-海边广场球机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鹏飞路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较场尾</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21</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高清球机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较场尾-白宫沙滩球机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鹏飞路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较场尾</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22</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高清球机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较场尾-鹏飞路球机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鹏飞路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较场尾</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23</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高清球机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较场尾-P1停车场球机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鹏飞路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较场尾</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24</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高清球机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较场尾--ALOHA沙滩球机</w:t>
            </w:r>
          </w:p>
        </w:tc>
        <w:tc>
          <w:tcPr>
            <w:tcW w:w="146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鹏飞路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较场尾</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25</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客流量统计枪机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较场尾-鹏城桥枪机</w:t>
            </w:r>
          </w:p>
        </w:tc>
        <w:tc>
          <w:tcPr>
            <w:tcW w:w="146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鹏飞路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较场尾</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26</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高清球机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较场尾-鹏城人家沙滩球机</w:t>
            </w:r>
          </w:p>
        </w:tc>
        <w:tc>
          <w:tcPr>
            <w:tcW w:w="146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鹏飞路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较场尾</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27</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客流量统计枪机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较场尾-鹏城人家枪机</w:t>
            </w:r>
          </w:p>
        </w:tc>
        <w:tc>
          <w:tcPr>
            <w:tcW w:w="146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鹏飞路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较场尾</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28</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客流量统计枪机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较场尾-北门入口枪机</w:t>
            </w:r>
          </w:p>
        </w:tc>
        <w:tc>
          <w:tcPr>
            <w:tcW w:w="146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鹏飞路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较场尾</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29</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客流量统计枪机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较场尾-北门出口枪机</w:t>
            </w:r>
          </w:p>
        </w:tc>
        <w:tc>
          <w:tcPr>
            <w:tcW w:w="146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鹏飞路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较场尾</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30</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客流量统计枪机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较场尾-河边闸机枪机</w:t>
            </w:r>
          </w:p>
        </w:tc>
        <w:tc>
          <w:tcPr>
            <w:tcW w:w="146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鹏飞路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较场尾</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31</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客流量统计枪机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较场尾-民宿管理中心枪机</w:t>
            </w:r>
          </w:p>
        </w:tc>
        <w:tc>
          <w:tcPr>
            <w:tcW w:w="146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鹏飞路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较场尾</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32</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客流量统计枪机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较场尾-P1停车场枪机</w:t>
            </w:r>
          </w:p>
        </w:tc>
        <w:tc>
          <w:tcPr>
            <w:tcW w:w="146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鹏飞路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较场尾</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33</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客流量统计枪机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较场尾-解放区民宿枪机</w:t>
            </w:r>
          </w:p>
        </w:tc>
        <w:tc>
          <w:tcPr>
            <w:tcW w:w="146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鹏飞路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较场尾</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34</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客流量统计枪机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较场尾-船奇民宿枪机</w:t>
            </w:r>
          </w:p>
        </w:tc>
        <w:tc>
          <w:tcPr>
            <w:tcW w:w="146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鹏飞路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较场尾</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35</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客流量统计枪机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较场尾-南门出入口枪机</w:t>
            </w:r>
          </w:p>
        </w:tc>
        <w:tc>
          <w:tcPr>
            <w:tcW w:w="146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鹏飞路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较场尾</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36</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客流量统计枪机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杨梅坑-沙滩入口枪机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新东路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杨梅坑</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37</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客流量统计枪机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杨梅坑-度假中心枪机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新东路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杨梅坑</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38</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高清球机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杨梅坑-海边沙滩球机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新东路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杨梅坑</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39</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高清球机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杨梅坑-红屋石滩球机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新东路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杨梅坑</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40</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高清球机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杨梅杭-路边球机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新东路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杨梅坑</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41</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客流量统计枪机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杨梅坑岗亭</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新东路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杨梅坑</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42</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高清球机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杨梅坑石拱桥</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新东路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杨梅坑</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43</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高清球机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杨梅坑-鹿嘴沙滩球机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鹿嘴大道</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鹿咀</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44</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高清球机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鹿嘴-悬崖山顶球机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鹿嘴大道</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鹿咀</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45</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高清球机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鹿嘴-餐厅石滩球机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鹿嘴大道</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鹿咀</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46</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客流量统计枪机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鹿嘴-登山口枪机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鹿嘴大道</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鹿咀</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47</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高清球机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大鹏游艇会-球机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新东路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大鹏游艇会</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48</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高清球机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浪骑游艇会-球机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新东路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浪骑游艇会</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49</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高清球机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七星湾游艇会-球机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新东路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七星湾游艇会</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50</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高清球机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官湖--山道入口</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官湖路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官湖</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51</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客流量统计枪机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官湖--山道入口枪机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官湖路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官湖</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52</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客流量统计枪机</w:t>
            </w:r>
          </w:p>
        </w:tc>
        <w:tc>
          <w:tcPr>
            <w:tcW w:w="3244"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官湖主入口枪机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官湖路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官湖</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53</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高清球机</w:t>
            </w:r>
          </w:p>
        </w:tc>
        <w:tc>
          <w:tcPr>
            <w:tcW w:w="3244"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官湖主沙滩球机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官湖路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官湖</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54</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高清球机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金沙湾-沙滩广场球机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金沙大道</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金沙湾</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55</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高清球机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金沙湾-东侧沙滩球机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金沙大道</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金沙湾</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56</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高清球机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金沙湾--西侧沙滩</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金沙大道</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金沙湾</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57</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客流量统计枪机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金沙湾-入口枪机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金沙大道</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金沙湾</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58</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客流量统计枪机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金沙湾-出口枪机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金沙大道</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金沙湾</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59</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高清球机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沙鱼涌--沙滩球机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官湖路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沙鱼涌</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60</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客流量统计枪机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沙鱼涌-入口枪机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官湖路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沙鱼涌</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61</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高清球机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司令部-广场球机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海景路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司令部</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62</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客流量统计枪机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司令部-出入口枪机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海景路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司令部</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63</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客流量统计枪机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玫瑰海岸-西门入口枪机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深葵路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玫瑰海岸</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64</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客流量统计枪机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玫瑰海岸-西门出口枪机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深葵路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玫瑰海岸</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65</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客流量统计枪机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玫瑰海岸-东门入口枪机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深葵路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玫瑰海岸</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66</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客流量统计枪机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玫瑰海岸-东门出口枪机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深葵路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玫瑰海岸</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67</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客流量统计枪机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玫瑰海岸-南门出入口枪机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深葵路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玫瑰海岸</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68</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高清球机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工人度假村-海边沙滩球机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深葵路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工人度假村</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69</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客流量统计枪机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工人度假村-出入口枪机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深葵路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工人度假村</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70</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客流量统计枪机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工人度假村-侧门出入口枪机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深葵路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工人度假村</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71</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客流量统计枪机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东涌-穿越枪机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东涌路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东涌</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72</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高清球机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东涌-海边沙滩球机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东涌路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东涌</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73</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客流量统计枪机</w:t>
            </w:r>
          </w:p>
        </w:tc>
        <w:tc>
          <w:tcPr>
            <w:tcW w:w="3244"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东涌沙滩入口</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东涌路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东涌</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74</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高清球机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西涌-鸿记餐厅球机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南西路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75</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高清球机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西涌-华侨学校球机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南西路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76</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高清球机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西涌-1#球机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南西路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77</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高清球机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西涌-2#球机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eastAsia="zh-CN"/>
              </w:rPr>
              <w:t>西涌景区</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78</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高清球机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西涌-3#球机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南西路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79</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高清球机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西涌-4#球机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南西路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80</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高清球机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西涌-5#球机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南西路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81</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高清球机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西涌-6#球机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南西路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82</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高清球机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西涌-7#球机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南西路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83</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客流量统计枪机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西涌-1#枪机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南西路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84</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客流量统计枪机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西涌-2#枪机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南西路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85</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客流量统计枪机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西涌-3#枪机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南西路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86</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客流量统计枪机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西涌-4#枪机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南西路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87</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客流量统计枪机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西涌-5#枪机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南西路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88</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客流量统计枪机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西涌-6#枪机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南西路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89</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客流量统计枪机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西涌-7#枪机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南西路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90</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客流量统计枪机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西涌-8#枪机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南西路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91</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客流量统计枪机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西涌-9#枪机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南西路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92</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客流量统计枪机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西涌-10#枪机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南西路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93</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客流量统计枪机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西涌-11#枪机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南西路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94</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客流量统计枪机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西涌-12#枪机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南西路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95</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客流量统计枪机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西涌-13#枪机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南西路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96</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客流量统计枪机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西涌-14#枪机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南西路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97</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客流量统计枪机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西涌-15#枪机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南西路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98</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客流量统计枪机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西涌-16#枪机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南西路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99</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客流量统计枪机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西涌-17#枪机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南西路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100</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客流量统计枪机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西涌-18#枪机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南西路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101</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客流量统计枪机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西涌-19#枪机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南西路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102</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客流量统计枪机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西涌-20#枪机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南西路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w:t>
            </w:r>
          </w:p>
        </w:tc>
      </w:tr>
      <w:tr>
        <w:tblPrEx>
          <w:tblCellMar>
            <w:top w:w="0" w:type="dxa"/>
            <w:left w:w="108" w:type="dxa"/>
            <w:bottom w:w="0" w:type="dxa"/>
            <w:right w:w="108" w:type="dxa"/>
          </w:tblCellMar>
        </w:tblPrEx>
        <w:trPr>
          <w:trHeight w:val="31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103</w:t>
            </w: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客流量统计枪机</w:t>
            </w:r>
          </w:p>
        </w:tc>
        <w:tc>
          <w:tcPr>
            <w:tcW w:w="3244"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西涌-21#枪机</w:t>
            </w:r>
          </w:p>
        </w:tc>
        <w:tc>
          <w:tcPr>
            <w:tcW w:w="1462"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南西路</w:t>
            </w:r>
          </w:p>
        </w:tc>
        <w:tc>
          <w:tcPr>
            <w:tcW w:w="1857"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西涌</w:t>
            </w:r>
          </w:p>
        </w:tc>
      </w:tr>
    </w:tbl>
    <w:p>
      <w:pPr>
        <w:pStyle w:val="6"/>
        <w:rPr>
          <w:highlight w:val="none"/>
          <w:lang w:eastAsia="zh-CN"/>
        </w:rPr>
      </w:pPr>
    </w:p>
    <w:p>
      <w:pPr>
        <w:widowControl/>
        <w:spacing w:line="560" w:lineRule="exact"/>
        <w:ind w:firstLine="640" w:firstLineChars="200"/>
        <w:jc w:val="left"/>
        <w:rPr>
          <w:rFonts w:ascii="FangSong_GB2312" w:hAnsi="Arial" w:eastAsia="FangSong_GB2312" w:cs="Arial"/>
          <w:kern w:val="0"/>
          <w:sz w:val="32"/>
          <w:szCs w:val="32"/>
          <w:highlight w:val="none"/>
        </w:rPr>
      </w:pPr>
      <w:r>
        <w:rPr>
          <w:rFonts w:hint="eastAsia" w:ascii="FangSong_GB2312" w:hAnsi="Arial" w:eastAsia="FangSong_GB2312" w:cs="Arial"/>
          <w:kern w:val="0"/>
          <w:sz w:val="32"/>
          <w:szCs w:val="32"/>
          <w:highlight w:val="none"/>
        </w:rPr>
        <w:t>4．为本项目提供的维保服务内容包括日常运作、服务咨询、巡检保养、故障修复、特殊保障。</w:t>
      </w:r>
    </w:p>
    <w:p>
      <w:pPr>
        <w:widowControl/>
        <w:spacing w:line="560" w:lineRule="exact"/>
        <w:ind w:firstLine="640" w:firstLineChars="200"/>
        <w:jc w:val="left"/>
        <w:rPr>
          <w:rFonts w:ascii="FangSong_GB2312" w:hAnsi="Arial" w:eastAsia="FangSong_GB2312" w:cs="Arial"/>
          <w:kern w:val="0"/>
          <w:sz w:val="32"/>
          <w:szCs w:val="32"/>
          <w:highlight w:val="none"/>
        </w:rPr>
      </w:pPr>
      <w:r>
        <w:rPr>
          <w:rFonts w:hint="eastAsia" w:ascii="FangSong_GB2312" w:hAnsi="Arial" w:eastAsia="FangSong_GB2312" w:cs="Arial"/>
          <w:kern w:val="0"/>
          <w:sz w:val="32"/>
          <w:szCs w:val="32"/>
          <w:highlight w:val="none"/>
        </w:rPr>
        <w:t>（1）日常维护</w:t>
      </w:r>
    </w:p>
    <w:p>
      <w:pPr>
        <w:widowControl/>
        <w:spacing w:line="560" w:lineRule="exact"/>
        <w:ind w:firstLine="640" w:firstLineChars="200"/>
        <w:jc w:val="left"/>
        <w:rPr>
          <w:rFonts w:ascii="FangSong_GB2312" w:hAnsi="Arial" w:eastAsia="FangSong_GB2312" w:cs="Arial"/>
          <w:kern w:val="0"/>
          <w:sz w:val="32"/>
          <w:szCs w:val="32"/>
          <w:highlight w:val="none"/>
        </w:rPr>
      </w:pPr>
      <w:r>
        <w:rPr>
          <w:rFonts w:hint="eastAsia" w:ascii="FangSong_GB2312" w:hAnsi="Arial" w:eastAsia="FangSong_GB2312" w:cs="Arial"/>
          <w:kern w:val="0"/>
          <w:sz w:val="32"/>
          <w:szCs w:val="32"/>
          <w:highlight w:val="none"/>
          <w:lang w:val="en-US" w:eastAsia="zh-CN"/>
        </w:rPr>
        <w:t>报价方</w:t>
      </w:r>
      <w:r>
        <w:rPr>
          <w:rFonts w:hint="eastAsia" w:ascii="FangSong_GB2312" w:hAnsi="Arial" w:eastAsia="FangSong_GB2312" w:cs="Arial"/>
          <w:kern w:val="0"/>
          <w:sz w:val="32"/>
          <w:szCs w:val="32"/>
          <w:highlight w:val="none"/>
        </w:rPr>
        <w:t>须提供日常维护，保障系统正常运行。</w:t>
      </w:r>
    </w:p>
    <w:p>
      <w:pPr>
        <w:widowControl/>
        <w:spacing w:line="560" w:lineRule="exact"/>
        <w:ind w:firstLine="640" w:firstLineChars="200"/>
        <w:jc w:val="left"/>
        <w:rPr>
          <w:rFonts w:ascii="FangSong_GB2312" w:hAnsi="Arial" w:eastAsia="FangSong_GB2312" w:cs="Arial"/>
          <w:kern w:val="0"/>
          <w:sz w:val="32"/>
          <w:szCs w:val="32"/>
          <w:highlight w:val="none"/>
        </w:rPr>
      </w:pPr>
      <w:r>
        <w:rPr>
          <w:rFonts w:hint="eastAsia" w:ascii="FangSong_GB2312" w:hAnsi="Arial" w:eastAsia="FangSong_GB2312" w:cs="Arial"/>
          <w:kern w:val="0"/>
          <w:sz w:val="32"/>
          <w:szCs w:val="32"/>
          <w:highlight w:val="none"/>
        </w:rPr>
        <w:t>（2）巡检保养</w:t>
      </w:r>
    </w:p>
    <w:p>
      <w:pPr>
        <w:widowControl/>
        <w:spacing w:line="560" w:lineRule="exact"/>
        <w:ind w:firstLine="640" w:firstLineChars="200"/>
        <w:jc w:val="left"/>
        <w:rPr>
          <w:rFonts w:ascii="FangSong_GB2312" w:hAnsi="Arial" w:eastAsia="FangSong_GB2312" w:cs="Arial"/>
          <w:kern w:val="0"/>
          <w:sz w:val="32"/>
          <w:szCs w:val="32"/>
          <w:highlight w:val="none"/>
        </w:rPr>
      </w:pPr>
      <w:r>
        <w:rPr>
          <w:rFonts w:hint="eastAsia" w:ascii="FangSong_GB2312" w:hAnsi="Arial" w:eastAsia="FangSong_GB2312" w:cs="Arial"/>
          <w:kern w:val="0"/>
          <w:sz w:val="32"/>
          <w:szCs w:val="32"/>
          <w:highlight w:val="none"/>
        </w:rPr>
        <w:t>1）定期巡检服务</w:t>
      </w:r>
    </w:p>
    <w:p>
      <w:pPr>
        <w:widowControl/>
        <w:spacing w:line="560" w:lineRule="exact"/>
        <w:ind w:firstLine="640" w:firstLineChars="200"/>
        <w:jc w:val="left"/>
        <w:rPr>
          <w:rFonts w:ascii="FangSong_GB2312" w:hAnsi="Arial" w:eastAsia="FangSong_GB2312" w:cs="Arial"/>
          <w:kern w:val="0"/>
          <w:sz w:val="32"/>
          <w:szCs w:val="32"/>
          <w:highlight w:val="none"/>
        </w:rPr>
      </w:pPr>
      <w:r>
        <w:rPr>
          <w:rFonts w:hint="eastAsia" w:ascii="FangSong_GB2312" w:hAnsi="Arial" w:eastAsia="FangSong_GB2312" w:cs="Arial"/>
          <w:kern w:val="0"/>
          <w:sz w:val="32"/>
          <w:szCs w:val="32"/>
          <w:highlight w:val="none"/>
        </w:rPr>
        <w:t>每</w:t>
      </w:r>
      <w:r>
        <w:rPr>
          <w:rFonts w:hint="eastAsia" w:ascii="FangSong_GB2312" w:hAnsi="Arial" w:eastAsia="FangSong_GB2312" w:cs="Arial"/>
          <w:kern w:val="0"/>
          <w:sz w:val="32"/>
          <w:szCs w:val="32"/>
          <w:highlight w:val="none"/>
          <w:lang w:eastAsia="zh-CN"/>
        </w:rPr>
        <w:t>季度</w:t>
      </w:r>
      <w:r>
        <w:rPr>
          <w:rFonts w:hint="eastAsia" w:ascii="FangSong_GB2312" w:hAnsi="Arial" w:eastAsia="FangSong_GB2312" w:cs="Arial"/>
          <w:kern w:val="0"/>
          <w:sz w:val="32"/>
          <w:szCs w:val="32"/>
          <w:highlight w:val="none"/>
        </w:rPr>
        <w:t>对大鹏新区20个景区103个点位进行一轮巡检并填写巡检记录表。检查立杆及设备箱有无锈蚀、光纤及电源链路是否正常，一旦发现</w:t>
      </w:r>
      <w:r>
        <w:rPr>
          <w:rFonts w:hint="default" w:ascii="FangSong_GB2312" w:hAnsi="Arial" w:eastAsia="FangSong_GB2312" w:cs="Arial"/>
          <w:kern w:val="0"/>
          <w:sz w:val="32"/>
          <w:szCs w:val="32"/>
          <w:highlight w:val="none"/>
        </w:rPr>
        <w:t>影响正常使用或存在安全隐患</w:t>
      </w:r>
      <w:r>
        <w:rPr>
          <w:rFonts w:hint="eastAsia" w:ascii="FangSong_GB2312" w:hAnsi="Arial" w:eastAsia="FangSong_GB2312" w:cs="Arial"/>
          <w:kern w:val="0"/>
          <w:sz w:val="32"/>
          <w:szCs w:val="32"/>
          <w:highlight w:val="none"/>
        </w:rPr>
        <w:t>应及时更换、维修等。</w:t>
      </w:r>
    </w:p>
    <w:p>
      <w:pPr>
        <w:widowControl/>
        <w:spacing w:line="560" w:lineRule="exact"/>
        <w:ind w:firstLine="640" w:firstLineChars="200"/>
        <w:jc w:val="left"/>
        <w:rPr>
          <w:rFonts w:ascii="FangSong_GB2312" w:hAnsi="Arial" w:eastAsia="FangSong_GB2312" w:cs="Arial"/>
          <w:kern w:val="0"/>
          <w:sz w:val="32"/>
          <w:szCs w:val="32"/>
          <w:highlight w:val="none"/>
        </w:rPr>
      </w:pPr>
      <w:r>
        <w:rPr>
          <w:rFonts w:hint="eastAsia" w:ascii="FangSong_GB2312" w:hAnsi="Arial" w:eastAsia="FangSong_GB2312" w:cs="Arial"/>
          <w:kern w:val="0"/>
          <w:sz w:val="32"/>
          <w:szCs w:val="32"/>
          <w:highlight w:val="none"/>
        </w:rPr>
        <w:t>2）定期抽检服务</w:t>
      </w:r>
    </w:p>
    <w:p>
      <w:pPr>
        <w:widowControl/>
        <w:spacing w:line="560" w:lineRule="exact"/>
        <w:ind w:firstLine="640" w:firstLineChars="200"/>
        <w:jc w:val="left"/>
        <w:rPr>
          <w:rFonts w:ascii="FangSong_GB2312" w:hAnsi="Arial" w:eastAsia="FangSong_GB2312" w:cs="Arial"/>
          <w:kern w:val="0"/>
          <w:sz w:val="32"/>
          <w:szCs w:val="32"/>
          <w:highlight w:val="none"/>
        </w:rPr>
      </w:pPr>
      <w:r>
        <w:rPr>
          <w:rFonts w:hint="eastAsia" w:ascii="FangSong_GB2312" w:hAnsi="Arial" w:eastAsia="FangSong_GB2312" w:cs="Arial"/>
          <w:kern w:val="0"/>
          <w:sz w:val="32"/>
          <w:szCs w:val="32"/>
          <w:highlight w:val="none"/>
        </w:rPr>
        <w:t>每月进行随机抽查，对系统的运行情况进行检测，并填写记录表。</w:t>
      </w:r>
    </w:p>
    <w:p>
      <w:pPr>
        <w:widowControl/>
        <w:spacing w:line="560" w:lineRule="exact"/>
        <w:ind w:firstLine="640" w:firstLineChars="200"/>
        <w:jc w:val="left"/>
        <w:rPr>
          <w:rFonts w:ascii="FangSong_GB2312" w:hAnsi="Arial" w:eastAsia="FangSong_GB2312" w:cs="Arial"/>
          <w:kern w:val="0"/>
          <w:sz w:val="32"/>
          <w:szCs w:val="32"/>
          <w:highlight w:val="none"/>
        </w:rPr>
      </w:pPr>
      <w:r>
        <w:rPr>
          <w:rFonts w:hint="eastAsia" w:ascii="FangSong_GB2312" w:hAnsi="Arial" w:eastAsia="FangSong_GB2312" w:cs="Arial"/>
          <w:kern w:val="0"/>
          <w:sz w:val="32"/>
          <w:szCs w:val="32"/>
          <w:highlight w:val="none"/>
        </w:rPr>
        <w:t>（3）故障修复</w:t>
      </w:r>
    </w:p>
    <w:p>
      <w:pPr>
        <w:widowControl/>
        <w:spacing w:line="560" w:lineRule="exact"/>
        <w:ind w:firstLine="640" w:firstLineChars="200"/>
        <w:jc w:val="left"/>
        <w:rPr>
          <w:rFonts w:ascii="FangSong_GB2312" w:hAnsi="Arial" w:eastAsia="FangSong_GB2312" w:cs="Arial"/>
          <w:kern w:val="0"/>
          <w:sz w:val="32"/>
          <w:szCs w:val="32"/>
          <w:highlight w:val="none"/>
        </w:rPr>
      </w:pPr>
      <w:r>
        <w:rPr>
          <w:rFonts w:hint="eastAsia" w:ascii="仿宋_GB2312" w:hAnsi="Arial" w:eastAsia="仿宋_GB2312" w:cs="Arial"/>
          <w:kern w:val="0"/>
          <w:sz w:val="32"/>
          <w:szCs w:val="32"/>
          <w:highlight w:val="none"/>
          <w:lang w:val="en-US" w:eastAsia="zh-CN"/>
        </w:rPr>
        <w:t>除不可抗力等客观因素外</w:t>
      </w:r>
      <w:r>
        <w:rPr>
          <w:rFonts w:hint="default" w:ascii="仿宋_GB2312" w:hAnsi="Arial" w:eastAsia="仿宋_GB2312" w:cs="Arial"/>
          <w:kern w:val="0"/>
          <w:sz w:val="32"/>
          <w:szCs w:val="32"/>
          <w:highlight w:val="none"/>
          <w:lang w:eastAsia="zh-CN"/>
        </w:rPr>
        <w:t>，</w:t>
      </w:r>
      <w:r>
        <w:rPr>
          <w:rFonts w:hint="eastAsia" w:ascii="FangSong_GB2312" w:hAnsi="Arial" w:eastAsia="FangSong_GB2312" w:cs="Arial"/>
          <w:kern w:val="0"/>
          <w:sz w:val="32"/>
          <w:szCs w:val="32"/>
          <w:highlight w:val="none"/>
          <w:lang w:val="en-US" w:eastAsia="zh-CN"/>
        </w:rPr>
        <w:t>报价方</w:t>
      </w:r>
      <w:r>
        <w:rPr>
          <w:rFonts w:hint="eastAsia" w:ascii="FangSong_GB2312" w:hAnsi="Arial" w:eastAsia="FangSong_GB2312" w:cs="Arial"/>
          <w:kern w:val="0"/>
          <w:sz w:val="32"/>
          <w:szCs w:val="32"/>
          <w:highlight w:val="none"/>
        </w:rPr>
        <w:t>应承担合同期内系统发生故障的抢修任务，</w:t>
      </w:r>
      <w:r>
        <w:rPr>
          <w:rFonts w:hint="eastAsia" w:ascii="FangSong_GB2312" w:hAnsi="Arial" w:eastAsia="FangSong_GB2312" w:cs="Arial"/>
          <w:kern w:val="0"/>
          <w:sz w:val="32"/>
          <w:szCs w:val="32"/>
          <w:highlight w:val="none"/>
          <w:lang w:eastAsia="zh-CN"/>
        </w:rPr>
        <w:t>视频监控</w:t>
      </w:r>
      <w:r>
        <w:rPr>
          <w:rFonts w:hint="eastAsia" w:ascii="FangSong_GB2312" w:hAnsi="Arial" w:eastAsia="FangSong_GB2312" w:cs="Arial"/>
          <w:kern w:val="0"/>
          <w:sz w:val="32"/>
          <w:szCs w:val="32"/>
          <w:highlight w:val="none"/>
        </w:rPr>
        <w:t>在线率</w:t>
      </w:r>
      <w:r>
        <w:rPr>
          <w:rFonts w:hint="eastAsia" w:ascii="FangSong_GB2312" w:hAnsi="Arial" w:eastAsia="FangSong_GB2312" w:cs="Arial"/>
          <w:kern w:val="0"/>
          <w:sz w:val="32"/>
          <w:szCs w:val="32"/>
          <w:highlight w:val="none"/>
          <w:lang w:val="en-US" w:eastAsia="zh-CN"/>
        </w:rPr>
        <w:t>90</w:t>
      </w:r>
      <w:r>
        <w:rPr>
          <w:rFonts w:hint="eastAsia" w:ascii="FangSong_GB2312" w:hAnsi="Arial" w:eastAsia="FangSong_GB2312" w:cs="Arial"/>
          <w:kern w:val="0"/>
          <w:sz w:val="32"/>
          <w:szCs w:val="32"/>
          <w:highlight w:val="none"/>
        </w:rPr>
        <w:t>%以上</w:t>
      </w:r>
      <w:r>
        <w:rPr>
          <w:rFonts w:hint="eastAsia" w:ascii="仿宋_GB2312" w:hAnsi="Arial" w:eastAsia="仿宋_GB2312" w:cs="Arial"/>
          <w:kern w:val="0"/>
          <w:sz w:val="32"/>
          <w:szCs w:val="32"/>
          <w:highlight w:val="none"/>
        </w:rPr>
        <w:t>。</w:t>
      </w:r>
    </w:p>
    <w:p>
      <w:pPr>
        <w:widowControl/>
        <w:spacing w:line="560" w:lineRule="exact"/>
        <w:ind w:firstLine="640" w:firstLineChars="200"/>
        <w:jc w:val="left"/>
        <w:rPr>
          <w:rFonts w:ascii="FangSong_GB2312" w:hAnsi="Arial" w:eastAsia="FangSong_GB2312" w:cs="Arial"/>
          <w:kern w:val="0"/>
          <w:sz w:val="32"/>
          <w:szCs w:val="32"/>
          <w:highlight w:val="none"/>
        </w:rPr>
      </w:pPr>
      <w:r>
        <w:rPr>
          <w:rFonts w:hint="eastAsia" w:ascii="FangSong_GB2312" w:hAnsi="Arial" w:eastAsia="FangSong_GB2312" w:cs="Arial"/>
          <w:kern w:val="0"/>
          <w:sz w:val="32"/>
          <w:szCs w:val="32"/>
          <w:highlight w:val="none"/>
        </w:rPr>
        <w:t>（4）特殊保障</w:t>
      </w:r>
    </w:p>
    <w:p>
      <w:pPr>
        <w:widowControl/>
        <w:spacing w:line="560" w:lineRule="exact"/>
        <w:ind w:firstLine="640" w:firstLineChars="200"/>
        <w:jc w:val="left"/>
        <w:rPr>
          <w:rFonts w:ascii="FangSong_GB2312" w:hAnsi="Arial" w:eastAsia="FangSong_GB2312" w:cs="Arial"/>
          <w:kern w:val="0"/>
          <w:sz w:val="32"/>
          <w:szCs w:val="32"/>
          <w:highlight w:val="none"/>
        </w:rPr>
      </w:pPr>
      <w:r>
        <w:rPr>
          <w:rFonts w:hint="eastAsia" w:ascii="FangSong_GB2312" w:hAnsi="Arial" w:eastAsia="FangSong_GB2312" w:cs="Arial"/>
          <w:kern w:val="0"/>
          <w:sz w:val="32"/>
          <w:szCs w:val="32"/>
          <w:highlight w:val="none"/>
        </w:rPr>
        <w:t>采购单位如有重大事件、临时现场监控等较特殊的保障措施，</w:t>
      </w:r>
      <w:r>
        <w:rPr>
          <w:rFonts w:hint="eastAsia" w:ascii="FangSong_GB2312" w:hAnsi="Arial" w:eastAsia="FangSong_GB2312" w:cs="Arial"/>
          <w:kern w:val="0"/>
          <w:sz w:val="32"/>
          <w:szCs w:val="32"/>
          <w:highlight w:val="none"/>
          <w:lang w:val="en-US" w:eastAsia="zh-CN"/>
        </w:rPr>
        <w:t>报价方</w:t>
      </w:r>
      <w:r>
        <w:rPr>
          <w:rFonts w:hint="eastAsia" w:ascii="FangSong_GB2312" w:hAnsi="Arial" w:eastAsia="FangSong_GB2312" w:cs="Arial"/>
          <w:kern w:val="0"/>
          <w:sz w:val="32"/>
          <w:szCs w:val="32"/>
          <w:highlight w:val="none"/>
        </w:rPr>
        <w:t>必须能按时提供服务。</w:t>
      </w:r>
    </w:p>
    <w:p>
      <w:pPr>
        <w:widowControl/>
        <w:spacing w:line="560" w:lineRule="exact"/>
        <w:ind w:firstLine="640" w:firstLineChars="200"/>
        <w:jc w:val="left"/>
        <w:rPr>
          <w:rFonts w:ascii="FangSong_GB2312" w:hAnsi="Arial" w:eastAsia="FangSong_GB2312" w:cs="Arial"/>
          <w:kern w:val="0"/>
          <w:sz w:val="32"/>
          <w:szCs w:val="32"/>
          <w:highlight w:val="none"/>
        </w:rPr>
      </w:pPr>
      <w:r>
        <w:rPr>
          <w:rFonts w:hint="eastAsia" w:ascii="FangSong_GB2312" w:hAnsi="Arial" w:eastAsia="FangSong_GB2312" w:cs="Arial"/>
          <w:kern w:val="0"/>
          <w:sz w:val="32"/>
          <w:szCs w:val="32"/>
          <w:highlight w:val="none"/>
        </w:rPr>
        <w:t>5．按照国家相关保密法规要求，为用户提供安全、稳定的线路，保证本系统网络的安全、稳定使用。</w:t>
      </w:r>
    </w:p>
    <w:p>
      <w:pPr>
        <w:widowControl/>
        <w:spacing w:line="560" w:lineRule="exact"/>
        <w:ind w:firstLine="640" w:firstLineChars="200"/>
        <w:jc w:val="left"/>
        <w:rPr>
          <w:rFonts w:ascii="FangSong_GB2312" w:hAnsi="Arial" w:eastAsia="FangSong_GB2312" w:cs="Arial"/>
          <w:kern w:val="0"/>
          <w:sz w:val="32"/>
          <w:szCs w:val="32"/>
          <w:highlight w:val="none"/>
        </w:rPr>
      </w:pPr>
      <w:r>
        <w:rPr>
          <w:rFonts w:hint="eastAsia" w:ascii="FangSong_GB2312" w:hAnsi="Arial" w:eastAsia="FangSong_GB2312" w:cs="Arial"/>
          <w:kern w:val="0"/>
          <w:sz w:val="32"/>
          <w:szCs w:val="32"/>
          <w:highlight w:val="none"/>
        </w:rPr>
        <w:t>6．服务时间要求</w:t>
      </w:r>
    </w:p>
    <w:p>
      <w:pPr>
        <w:widowControl/>
        <w:spacing w:line="560" w:lineRule="exact"/>
        <w:ind w:firstLine="640" w:firstLineChars="200"/>
        <w:jc w:val="left"/>
        <w:rPr>
          <w:rFonts w:ascii="FangSong_GB2312" w:hAnsi="Arial" w:eastAsia="FangSong_GB2312" w:cs="Arial"/>
          <w:kern w:val="0"/>
          <w:sz w:val="32"/>
          <w:szCs w:val="32"/>
          <w:highlight w:val="none"/>
        </w:rPr>
      </w:pPr>
      <w:r>
        <w:rPr>
          <w:rFonts w:hint="eastAsia" w:ascii="FangSong_GB2312" w:hAnsi="Arial" w:eastAsia="FangSong_GB2312" w:cs="Arial"/>
          <w:kern w:val="0"/>
          <w:sz w:val="32"/>
          <w:szCs w:val="32"/>
          <w:highlight w:val="none"/>
        </w:rPr>
        <w:t>（1）提供7×8小时服务承诺：</w:t>
      </w:r>
    </w:p>
    <w:p>
      <w:pPr>
        <w:widowControl/>
        <w:spacing w:line="560" w:lineRule="exact"/>
        <w:ind w:firstLine="640" w:firstLineChars="200"/>
        <w:jc w:val="left"/>
        <w:rPr>
          <w:rFonts w:ascii="FangSong_GB2312" w:hAnsi="Arial" w:eastAsia="FangSong_GB2312" w:cs="Arial"/>
          <w:kern w:val="0"/>
          <w:sz w:val="32"/>
          <w:szCs w:val="32"/>
          <w:highlight w:val="none"/>
        </w:rPr>
      </w:pPr>
      <w:r>
        <w:rPr>
          <w:rFonts w:hint="eastAsia" w:ascii="FangSong_GB2312" w:hAnsi="Arial" w:eastAsia="FangSong_GB2312" w:cs="Arial"/>
          <w:kern w:val="0"/>
          <w:sz w:val="32"/>
          <w:szCs w:val="32"/>
          <w:highlight w:val="none"/>
          <w:lang w:val="en-US" w:eastAsia="zh-CN"/>
        </w:rPr>
        <w:t>报价方</w:t>
      </w:r>
      <w:r>
        <w:rPr>
          <w:rFonts w:hint="eastAsia" w:ascii="FangSong_GB2312" w:hAnsi="Arial" w:eastAsia="FangSong_GB2312" w:cs="Arial"/>
          <w:kern w:val="0"/>
          <w:sz w:val="32"/>
          <w:szCs w:val="32"/>
          <w:highlight w:val="none"/>
        </w:rPr>
        <w:t>承诺根据合同服务期限提供7×8小时的故障维护服务和技术业务咨询服务，并由专业的技术人员负责解决相关软硬件故障。</w:t>
      </w:r>
    </w:p>
    <w:p>
      <w:pPr>
        <w:widowControl/>
        <w:spacing w:line="560" w:lineRule="exact"/>
        <w:ind w:firstLine="640" w:firstLineChars="200"/>
        <w:jc w:val="left"/>
        <w:rPr>
          <w:rFonts w:ascii="FangSong_GB2312" w:hAnsi="Arial" w:eastAsia="FangSong_GB2312" w:cs="Arial"/>
          <w:kern w:val="0"/>
          <w:sz w:val="32"/>
          <w:szCs w:val="32"/>
          <w:highlight w:val="none"/>
        </w:rPr>
      </w:pPr>
      <w:r>
        <w:rPr>
          <w:rFonts w:hint="eastAsia" w:ascii="FangSong_GB2312" w:hAnsi="Arial" w:eastAsia="FangSong_GB2312" w:cs="Arial"/>
          <w:kern w:val="0"/>
          <w:sz w:val="32"/>
          <w:szCs w:val="32"/>
          <w:highlight w:val="none"/>
        </w:rPr>
        <w:t>（2）在本合同服务维护范围内，根据故障产生的原因进行分类，针对不同的等级制订不同的修复标准</w:t>
      </w:r>
    </w:p>
    <w:tbl>
      <w:tblPr>
        <w:tblStyle w:val="16"/>
        <w:tblW w:w="9302" w:type="dxa"/>
        <w:tblInd w:w="0" w:type="dxa"/>
        <w:tblLayout w:type="autofit"/>
        <w:tblCellMar>
          <w:top w:w="0" w:type="dxa"/>
          <w:left w:w="0" w:type="dxa"/>
          <w:bottom w:w="0" w:type="dxa"/>
          <w:right w:w="0" w:type="dxa"/>
        </w:tblCellMar>
      </w:tblPr>
      <w:tblGrid>
        <w:gridCol w:w="1337"/>
        <w:gridCol w:w="1785"/>
        <w:gridCol w:w="3420"/>
        <w:gridCol w:w="2760"/>
      </w:tblGrid>
      <w:tr>
        <w:tblPrEx>
          <w:tblCellMar>
            <w:top w:w="0" w:type="dxa"/>
            <w:left w:w="0" w:type="dxa"/>
            <w:bottom w:w="0" w:type="dxa"/>
            <w:right w:w="0" w:type="dxa"/>
          </w:tblCellMar>
        </w:tblPrEx>
        <w:trPr>
          <w:trHeight w:val="648" w:hRule="atLeast"/>
        </w:trPr>
        <w:tc>
          <w:tcPr>
            <w:tcW w:w="1337" w:type="dxa"/>
            <w:tcBorders>
              <w:top w:val="single" w:color="000000" w:sz="8" w:space="0"/>
              <w:left w:val="single" w:color="000000" w:sz="8" w:space="0"/>
              <w:bottom w:val="single" w:color="000000" w:sz="8" w:space="0"/>
              <w:right w:val="single" w:color="000000" w:sz="8" w:space="0"/>
            </w:tcBorders>
            <w:shd w:val="clear" w:color="auto" w:fill="C0C0C0"/>
            <w:tcMar>
              <w:top w:w="15" w:type="dxa"/>
              <w:left w:w="108" w:type="dxa"/>
              <w:bottom w:w="0" w:type="dxa"/>
              <w:right w:w="108" w:type="dxa"/>
            </w:tcMar>
            <w:vAlign w:val="center"/>
          </w:tcPr>
          <w:p>
            <w:pPr>
              <w:spacing w:line="360" w:lineRule="auto"/>
              <w:jc w:val="center"/>
              <w:rPr>
                <w:rFonts w:ascii="FangSong_GB2312" w:hAnsi="Arial" w:eastAsia="FangSong_GB2312" w:cs="Arial"/>
                <w:kern w:val="0"/>
                <w:sz w:val="24"/>
                <w:szCs w:val="24"/>
                <w:highlight w:val="none"/>
              </w:rPr>
            </w:pPr>
            <w:r>
              <w:rPr>
                <w:rFonts w:hint="eastAsia" w:ascii="FangSong_GB2312" w:hAnsi="Arial" w:eastAsia="FangSong_GB2312" w:cs="Arial"/>
                <w:kern w:val="0"/>
                <w:sz w:val="24"/>
                <w:szCs w:val="24"/>
                <w:highlight w:val="none"/>
              </w:rPr>
              <w:t>事件分类</w:t>
            </w:r>
          </w:p>
        </w:tc>
        <w:tc>
          <w:tcPr>
            <w:tcW w:w="1785" w:type="dxa"/>
            <w:tcBorders>
              <w:top w:val="single" w:color="000000" w:sz="8" w:space="0"/>
              <w:left w:val="single" w:color="000000" w:sz="8" w:space="0"/>
              <w:bottom w:val="single" w:color="000000" w:sz="8" w:space="0"/>
              <w:right w:val="single" w:color="000000" w:sz="8" w:space="0"/>
            </w:tcBorders>
            <w:shd w:val="clear" w:color="auto" w:fill="C0C0C0"/>
            <w:tcMar>
              <w:top w:w="15" w:type="dxa"/>
              <w:left w:w="108" w:type="dxa"/>
              <w:bottom w:w="0" w:type="dxa"/>
              <w:right w:w="108" w:type="dxa"/>
            </w:tcMar>
            <w:vAlign w:val="center"/>
          </w:tcPr>
          <w:p>
            <w:pPr>
              <w:spacing w:line="360" w:lineRule="auto"/>
              <w:jc w:val="center"/>
              <w:rPr>
                <w:rFonts w:ascii="FangSong_GB2312" w:hAnsi="Arial" w:eastAsia="FangSong_GB2312" w:cs="Arial"/>
                <w:kern w:val="0"/>
                <w:sz w:val="24"/>
                <w:szCs w:val="24"/>
                <w:highlight w:val="none"/>
              </w:rPr>
            </w:pPr>
            <w:r>
              <w:rPr>
                <w:rFonts w:hint="eastAsia" w:ascii="FangSong_GB2312" w:hAnsi="Arial" w:eastAsia="FangSong_GB2312" w:cs="Arial"/>
                <w:kern w:val="0"/>
                <w:sz w:val="24"/>
                <w:szCs w:val="24"/>
                <w:highlight w:val="none"/>
              </w:rPr>
              <w:t>响应时间</w:t>
            </w:r>
          </w:p>
        </w:tc>
        <w:tc>
          <w:tcPr>
            <w:tcW w:w="3420" w:type="dxa"/>
            <w:tcBorders>
              <w:top w:val="single" w:color="000000" w:sz="8" w:space="0"/>
              <w:left w:val="single" w:color="000000" w:sz="8" w:space="0"/>
              <w:bottom w:val="single" w:color="000000" w:sz="8" w:space="0"/>
              <w:right w:val="single" w:color="000000" w:sz="8" w:space="0"/>
            </w:tcBorders>
            <w:shd w:val="clear" w:color="auto" w:fill="C0C0C0"/>
            <w:tcMar>
              <w:top w:w="15" w:type="dxa"/>
              <w:left w:w="108" w:type="dxa"/>
              <w:bottom w:w="0" w:type="dxa"/>
              <w:right w:w="108" w:type="dxa"/>
            </w:tcMar>
            <w:vAlign w:val="center"/>
          </w:tcPr>
          <w:p>
            <w:pPr>
              <w:spacing w:line="360" w:lineRule="auto"/>
              <w:jc w:val="center"/>
              <w:rPr>
                <w:rFonts w:ascii="FangSong_GB2312" w:hAnsi="Arial" w:eastAsia="FangSong_GB2312" w:cs="Arial"/>
                <w:kern w:val="0"/>
                <w:sz w:val="24"/>
                <w:szCs w:val="24"/>
                <w:highlight w:val="none"/>
              </w:rPr>
            </w:pPr>
            <w:r>
              <w:rPr>
                <w:rFonts w:hint="eastAsia" w:ascii="FangSong_GB2312" w:hAnsi="Arial" w:eastAsia="FangSong_GB2312" w:cs="Arial"/>
                <w:kern w:val="0"/>
                <w:sz w:val="24"/>
                <w:szCs w:val="24"/>
                <w:highlight w:val="none"/>
              </w:rPr>
              <w:t>故障解决目标</w:t>
            </w:r>
          </w:p>
        </w:tc>
        <w:tc>
          <w:tcPr>
            <w:tcW w:w="2760" w:type="dxa"/>
            <w:tcBorders>
              <w:top w:val="single" w:color="000000" w:sz="8" w:space="0"/>
              <w:left w:val="single" w:color="000000" w:sz="8" w:space="0"/>
              <w:bottom w:val="single" w:color="000000" w:sz="8" w:space="0"/>
              <w:right w:val="single" w:color="000000" w:sz="8" w:space="0"/>
            </w:tcBorders>
            <w:shd w:val="clear" w:color="auto" w:fill="C0C0C0"/>
            <w:tcMar>
              <w:top w:w="15" w:type="dxa"/>
              <w:left w:w="108" w:type="dxa"/>
              <w:bottom w:w="0" w:type="dxa"/>
              <w:right w:w="108" w:type="dxa"/>
            </w:tcMar>
            <w:vAlign w:val="center"/>
          </w:tcPr>
          <w:p>
            <w:pPr>
              <w:widowControl/>
              <w:spacing w:line="360" w:lineRule="auto"/>
              <w:jc w:val="center"/>
              <w:rPr>
                <w:rFonts w:ascii="FangSong_GB2312" w:hAnsi="Arial" w:eastAsia="FangSong_GB2312" w:cs="Arial"/>
                <w:kern w:val="0"/>
                <w:sz w:val="24"/>
                <w:szCs w:val="24"/>
                <w:highlight w:val="none"/>
              </w:rPr>
            </w:pPr>
            <w:r>
              <w:rPr>
                <w:rFonts w:hint="eastAsia" w:ascii="FangSong_GB2312" w:hAnsi="Arial" w:eastAsia="FangSong_GB2312" w:cs="Arial"/>
                <w:kern w:val="0"/>
                <w:sz w:val="24"/>
                <w:szCs w:val="24"/>
                <w:highlight w:val="none"/>
              </w:rPr>
              <w:t>备注</w:t>
            </w:r>
          </w:p>
        </w:tc>
      </w:tr>
      <w:tr>
        <w:tblPrEx>
          <w:tblCellMar>
            <w:top w:w="0" w:type="dxa"/>
            <w:left w:w="0" w:type="dxa"/>
            <w:bottom w:w="0" w:type="dxa"/>
            <w:right w:w="0" w:type="dxa"/>
          </w:tblCellMar>
        </w:tblPrEx>
        <w:trPr>
          <w:trHeight w:val="682" w:hRule="atLeast"/>
        </w:trPr>
        <w:tc>
          <w:tcPr>
            <w:tcW w:w="133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rFonts w:ascii="FangSong_GB2312" w:hAnsi="Arial" w:eastAsia="FangSong_GB2312" w:cs="Arial"/>
                <w:kern w:val="0"/>
                <w:sz w:val="24"/>
                <w:szCs w:val="24"/>
                <w:highlight w:val="none"/>
              </w:rPr>
            </w:pPr>
            <w:r>
              <w:rPr>
                <w:rFonts w:hint="eastAsia" w:ascii="FangSong_GB2312" w:hAnsi="Arial" w:eastAsia="FangSong_GB2312" w:cs="Arial"/>
                <w:kern w:val="0"/>
                <w:sz w:val="24"/>
                <w:szCs w:val="24"/>
                <w:highlight w:val="none"/>
              </w:rPr>
              <w:t>一般故障</w:t>
            </w:r>
          </w:p>
        </w:tc>
        <w:tc>
          <w:tcPr>
            <w:tcW w:w="1785"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rFonts w:ascii="FangSong_GB2312" w:hAnsi="Arial" w:eastAsia="FangSong_GB2312" w:cs="Arial"/>
                <w:kern w:val="0"/>
                <w:sz w:val="24"/>
                <w:szCs w:val="24"/>
                <w:highlight w:val="none"/>
              </w:rPr>
            </w:pPr>
            <w:r>
              <w:rPr>
                <w:rFonts w:hint="eastAsia" w:ascii="FangSong_GB2312" w:hAnsi="Arial" w:eastAsia="FangSong_GB2312" w:cs="Arial"/>
                <w:kern w:val="0"/>
                <w:sz w:val="24"/>
                <w:szCs w:val="24"/>
                <w:highlight w:val="none"/>
                <w:lang w:val="en-US" w:eastAsia="zh-CN"/>
              </w:rPr>
              <w:t>6</w:t>
            </w:r>
            <w:r>
              <w:rPr>
                <w:rFonts w:ascii="FangSong_GB2312" w:hAnsi="Arial" w:eastAsia="FangSong_GB2312" w:cs="Arial"/>
                <w:kern w:val="0"/>
                <w:sz w:val="24"/>
                <w:szCs w:val="24"/>
                <w:highlight w:val="none"/>
              </w:rPr>
              <w:t>0</w:t>
            </w:r>
            <w:r>
              <w:rPr>
                <w:rFonts w:hint="eastAsia" w:ascii="FangSong_GB2312" w:hAnsi="Arial" w:eastAsia="FangSong_GB2312" w:cs="Arial"/>
                <w:kern w:val="0"/>
                <w:sz w:val="24"/>
                <w:szCs w:val="24"/>
                <w:highlight w:val="none"/>
              </w:rPr>
              <w:t>分钟</w:t>
            </w:r>
          </w:p>
        </w:tc>
        <w:tc>
          <w:tcPr>
            <w:tcW w:w="342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rFonts w:ascii="FangSong_GB2312" w:hAnsi="Arial" w:eastAsia="FangSong_GB2312" w:cs="Arial"/>
                <w:kern w:val="0"/>
                <w:sz w:val="24"/>
                <w:szCs w:val="24"/>
                <w:highlight w:val="none"/>
              </w:rPr>
            </w:pPr>
            <w:r>
              <w:rPr>
                <w:rFonts w:hint="eastAsia" w:ascii="FangSong_GB2312" w:hAnsi="Arial" w:eastAsia="FangSong_GB2312" w:cs="Arial"/>
                <w:kern w:val="0"/>
                <w:sz w:val="24"/>
                <w:szCs w:val="24"/>
                <w:highlight w:val="none"/>
              </w:rPr>
              <w:t>具备修复条件后</w:t>
            </w:r>
            <w:r>
              <w:rPr>
                <w:rFonts w:hint="eastAsia" w:ascii="FangSong_GB2312" w:hAnsi="Arial" w:eastAsia="FangSong_GB2312" w:cs="Arial"/>
                <w:kern w:val="0"/>
                <w:sz w:val="24"/>
                <w:szCs w:val="24"/>
                <w:highlight w:val="none"/>
                <w:lang w:val="en-US" w:eastAsia="zh-CN"/>
              </w:rPr>
              <w:t>72</w:t>
            </w:r>
            <w:r>
              <w:rPr>
                <w:rFonts w:hint="eastAsia" w:ascii="FangSong_GB2312" w:hAnsi="Arial" w:eastAsia="FangSong_GB2312" w:cs="Arial"/>
                <w:kern w:val="0"/>
                <w:sz w:val="24"/>
                <w:szCs w:val="24"/>
                <w:highlight w:val="none"/>
              </w:rPr>
              <w:t>小时内</w:t>
            </w:r>
          </w:p>
        </w:tc>
        <w:tc>
          <w:tcPr>
            <w:tcW w:w="276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spacing w:line="360" w:lineRule="auto"/>
              <w:jc w:val="center"/>
              <w:rPr>
                <w:rFonts w:ascii="FangSong_GB2312" w:hAnsi="Arial" w:eastAsia="FangSong_GB2312" w:cs="Arial"/>
                <w:kern w:val="0"/>
                <w:sz w:val="24"/>
                <w:szCs w:val="24"/>
                <w:highlight w:val="none"/>
              </w:rPr>
            </w:pPr>
            <w:r>
              <w:rPr>
                <w:rFonts w:hint="eastAsia" w:ascii="FangSong_GB2312" w:hAnsi="Arial" w:eastAsia="FangSong_GB2312" w:cs="Arial"/>
                <w:kern w:val="0"/>
                <w:sz w:val="24"/>
                <w:szCs w:val="24"/>
                <w:highlight w:val="none"/>
              </w:rPr>
              <w:t>特殊情况另行</w:t>
            </w:r>
            <w:r>
              <w:rPr>
                <w:rFonts w:hint="eastAsia" w:ascii="FangSong_GB2312" w:hAnsi="Arial" w:eastAsia="FangSong_GB2312" w:cs="Arial"/>
                <w:kern w:val="0"/>
                <w:sz w:val="24"/>
                <w:szCs w:val="24"/>
                <w:highlight w:val="none"/>
                <w:lang w:eastAsia="zh-CN"/>
              </w:rPr>
              <w:t>向</w:t>
            </w:r>
            <w:r>
              <w:rPr>
                <w:rFonts w:hint="eastAsia" w:ascii="FangSong_GB2312" w:hAnsi="Arial" w:eastAsia="FangSong_GB2312" w:cs="Arial"/>
                <w:kern w:val="0"/>
                <w:sz w:val="24"/>
                <w:szCs w:val="24"/>
                <w:highlight w:val="none"/>
                <w:lang w:val="en-US" w:eastAsia="zh-CN"/>
              </w:rPr>
              <w:t>采购单位</w:t>
            </w:r>
            <w:r>
              <w:rPr>
                <w:rFonts w:hint="eastAsia" w:ascii="FangSong_GB2312" w:hAnsi="Arial" w:eastAsia="FangSong_GB2312" w:cs="Arial"/>
                <w:kern w:val="0"/>
                <w:sz w:val="24"/>
                <w:szCs w:val="24"/>
                <w:highlight w:val="none"/>
              </w:rPr>
              <w:t>报备</w:t>
            </w:r>
          </w:p>
        </w:tc>
      </w:tr>
      <w:tr>
        <w:tblPrEx>
          <w:tblCellMar>
            <w:top w:w="0" w:type="dxa"/>
            <w:left w:w="0" w:type="dxa"/>
            <w:bottom w:w="0" w:type="dxa"/>
            <w:right w:w="0" w:type="dxa"/>
          </w:tblCellMar>
        </w:tblPrEx>
        <w:trPr>
          <w:trHeight w:val="682" w:hRule="atLeast"/>
        </w:trPr>
        <w:tc>
          <w:tcPr>
            <w:tcW w:w="133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rFonts w:ascii="FangSong_GB2312" w:hAnsi="Arial" w:eastAsia="FangSong_GB2312" w:cs="Arial"/>
                <w:kern w:val="0"/>
                <w:sz w:val="24"/>
                <w:szCs w:val="24"/>
                <w:highlight w:val="none"/>
              </w:rPr>
            </w:pPr>
            <w:r>
              <w:rPr>
                <w:rFonts w:hint="eastAsia" w:ascii="FangSong_GB2312" w:hAnsi="Arial" w:eastAsia="FangSong_GB2312" w:cs="Arial"/>
                <w:kern w:val="0"/>
                <w:sz w:val="24"/>
                <w:szCs w:val="24"/>
                <w:highlight w:val="none"/>
              </w:rPr>
              <w:t>主要故障</w:t>
            </w:r>
          </w:p>
        </w:tc>
        <w:tc>
          <w:tcPr>
            <w:tcW w:w="1785"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rFonts w:ascii="FangSong_GB2312" w:hAnsi="Arial" w:eastAsia="FangSong_GB2312" w:cs="Arial"/>
                <w:kern w:val="0"/>
                <w:sz w:val="24"/>
                <w:szCs w:val="24"/>
                <w:highlight w:val="none"/>
              </w:rPr>
            </w:pPr>
            <w:r>
              <w:rPr>
                <w:rFonts w:ascii="FangSong_GB2312" w:hAnsi="Arial" w:eastAsia="FangSong_GB2312" w:cs="Arial"/>
                <w:kern w:val="0"/>
                <w:sz w:val="24"/>
                <w:szCs w:val="24"/>
                <w:highlight w:val="none"/>
              </w:rPr>
              <w:t>45</w:t>
            </w:r>
            <w:r>
              <w:rPr>
                <w:rFonts w:hint="eastAsia" w:ascii="FangSong_GB2312" w:hAnsi="Arial" w:eastAsia="FangSong_GB2312" w:cs="Arial"/>
                <w:kern w:val="0"/>
                <w:sz w:val="24"/>
                <w:szCs w:val="24"/>
                <w:highlight w:val="none"/>
              </w:rPr>
              <w:t>分钟</w:t>
            </w:r>
          </w:p>
        </w:tc>
        <w:tc>
          <w:tcPr>
            <w:tcW w:w="342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rFonts w:ascii="FangSong_GB2312" w:hAnsi="Arial" w:eastAsia="FangSong_GB2312" w:cs="Arial"/>
                <w:kern w:val="0"/>
                <w:sz w:val="24"/>
                <w:szCs w:val="24"/>
                <w:highlight w:val="none"/>
              </w:rPr>
            </w:pPr>
            <w:r>
              <w:rPr>
                <w:rFonts w:hint="eastAsia" w:ascii="FangSong_GB2312" w:hAnsi="Arial" w:eastAsia="FangSong_GB2312" w:cs="Arial"/>
                <w:kern w:val="0"/>
                <w:sz w:val="24"/>
                <w:szCs w:val="24"/>
                <w:highlight w:val="none"/>
              </w:rPr>
              <w:t>具体修复条件后</w:t>
            </w:r>
            <w:r>
              <w:rPr>
                <w:rFonts w:ascii="FangSong_GB2312" w:hAnsi="Arial" w:eastAsia="FangSong_GB2312" w:cs="Arial"/>
                <w:kern w:val="0"/>
                <w:sz w:val="24"/>
                <w:szCs w:val="24"/>
                <w:highlight w:val="none"/>
              </w:rPr>
              <w:t>48</w:t>
            </w:r>
            <w:r>
              <w:rPr>
                <w:rFonts w:hint="eastAsia" w:ascii="FangSong_GB2312" w:hAnsi="Arial" w:eastAsia="FangSong_GB2312" w:cs="Arial"/>
                <w:kern w:val="0"/>
                <w:sz w:val="24"/>
                <w:szCs w:val="24"/>
                <w:highlight w:val="none"/>
              </w:rPr>
              <w:t>小时内</w:t>
            </w:r>
          </w:p>
        </w:tc>
        <w:tc>
          <w:tcPr>
            <w:tcW w:w="276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Arial" w:hAnsi="Arial" w:cs="Arial"/>
                <w:kern w:val="0"/>
                <w:sz w:val="36"/>
                <w:szCs w:val="36"/>
                <w:highlight w:val="none"/>
              </w:rPr>
            </w:pPr>
          </w:p>
        </w:tc>
      </w:tr>
      <w:tr>
        <w:tblPrEx>
          <w:tblCellMar>
            <w:top w:w="0" w:type="dxa"/>
            <w:left w:w="0" w:type="dxa"/>
            <w:bottom w:w="0" w:type="dxa"/>
            <w:right w:w="0" w:type="dxa"/>
          </w:tblCellMar>
        </w:tblPrEx>
        <w:trPr>
          <w:trHeight w:val="682" w:hRule="atLeast"/>
        </w:trPr>
        <w:tc>
          <w:tcPr>
            <w:tcW w:w="133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rFonts w:ascii="FangSong_GB2312" w:hAnsi="Arial" w:eastAsia="FangSong_GB2312" w:cs="Arial"/>
                <w:kern w:val="0"/>
                <w:sz w:val="24"/>
                <w:szCs w:val="24"/>
                <w:highlight w:val="none"/>
              </w:rPr>
            </w:pPr>
            <w:r>
              <w:rPr>
                <w:rFonts w:hint="eastAsia" w:ascii="FangSong_GB2312" w:hAnsi="Arial" w:eastAsia="FangSong_GB2312" w:cs="Arial"/>
                <w:kern w:val="0"/>
                <w:sz w:val="24"/>
                <w:szCs w:val="24"/>
                <w:highlight w:val="none"/>
              </w:rPr>
              <w:t>严重故障</w:t>
            </w:r>
          </w:p>
        </w:tc>
        <w:tc>
          <w:tcPr>
            <w:tcW w:w="1785"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rFonts w:ascii="FangSong_GB2312" w:hAnsi="Arial" w:eastAsia="FangSong_GB2312" w:cs="Arial"/>
                <w:kern w:val="0"/>
                <w:sz w:val="24"/>
                <w:szCs w:val="24"/>
                <w:highlight w:val="none"/>
              </w:rPr>
            </w:pPr>
            <w:r>
              <w:rPr>
                <w:rFonts w:hint="eastAsia" w:ascii="FangSong_GB2312" w:hAnsi="Arial" w:eastAsia="FangSong_GB2312" w:cs="Arial"/>
                <w:kern w:val="0"/>
                <w:sz w:val="24"/>
                <w:szCs w:val="24"/>
                <w:highlight w:val="none"/>
                <w:lang w:val="en-US" w:eastAsia="zh-CN"/>
              </w:rPr>
              <w:t>3</w:t>
            </w:r>
            <w:r>
              <w:rPr>
                <w:rFonts w:ascii="FangSong_GB2312" w:hAnsi="Arial" w:eastAsia="FangSong_GB2312" w:cs="Arial"/>
                <w:kern w:val="0"/>
                <w:sz w:val="24"/>
                <w:szCs w:val="24"/>
                <w:highlight w:val="none"/>
              </w:rPr>
              <w:t>0</w:t>
            </w:r>
            <w:r>
              <w:rPr>
                <w:rFonts w:hint="eastAsia" w:ascii="FangSong_GB2312" w:hAnsi="Arial" w:eastAsia="FangSong_GB2312" w:cs="Arial"/>
                <w:kern w:val="0"/>
                <w:sz w:val="24"/>
                <w:szCs w:val="24"/>
                <w:highlight w:val="none"/>
              </w:rPr>
              <w:t>分钟</w:t>
            </w:r>
          </w:p>
        </w:tc>
        <w:tc>
          <w:tcPr>
            <w:tcW w:w="342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rFonts w:ascii="FangSong_GB2312" w:hAnsi="Arial" w:eastAsia="FangSong_GB2312" w:cs="Arial"/>
                <w:kern w:val="0"/>
                <w:sz w:val="24"/>
                <w:szCs w:val="24"/>
                <w:highlight w:val="none"/>
              </w:rPr>
            </w:pPr>
            <w:r>
              <w:rPr>
                <w:rFonts w:hint="eastAsia" w:ascii="FangSong_GB2312" w:hAnsi="Arial" w:eastAsia="FangSong_GB2312" w:cs="Arial"/>
                <w:kern w:val="0"/>
                <w:sz w:val="24"/>
                <w:szCs w:val="24"/>
                <w:highlight w:val="none"/>
              </w:rPr>
              <w:t>具备修复条件后</w:t>
            </w:r>
            <w:r>
              <w:rPr>
                <w:rFonts w:hint="eastAsia" w:ascii="FangSong_GB2312" w:hAnsi="Arial" w:eastAsia="FangSong_GB2312" w:cs="Arial"/>
                <w:kern w:val="0"/>
                <w:sz w:val="24"/>
                <w:szCs w:val="24"/>
                <w:highlight w:val="none"/>
                <w:lang w:val="en-US" w:eastAsia="zh-CN"/>
              </w:rPr>
              <w:t>24</w:t>
            </w:r>
            <w:r>
              <w:rPr>
                <w:rFonts w:hint="eastAsia" w:ascii="FangSong_GB2312" w:hAnsi="Arial" w:eastAsia="FangSong_GB2312" w:cs="Arial"/>
                <w:kern w:val="0"/>
                <w:sz w:val="24"/>
                <w:szCs w:val="24"/>
                <w:highlight w:val="none"/>
              </w:rPr>
              <w:t>小时内</w:t>
            </w:r>
          </w:p>
        </w:tc>
        <w:tc>
          <w:tcPr>
            <w:tcW w:w="276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Arial" w:hAnsi="Arial" w:cs="Arial"/>
                <w:kern w:val="0"/>
                <w:sz w:val="36"/>
                <w:szCs w:val="36"/>
                <w:highlight w:val="none"/>
              </w:rPr>
            </w:pPr>
          </w:p>
        </w:tc>
      </w:tr>
    </w:tbl>
    <w:p>
      <w:pPr>
        <w:widowControl/>
        <w:spacing w:line="560" w:lineRule="exact"/>
        <w:ind w:firstLine="640" w:firstLineChars="200"/>
        <w:jc w:val="left"/>
        <w:rPr>
          <w:rFonts w:ascii="FangSong_GB2312" w:hAnsi="FangSong_GB2312" w:eastAsia="FangSong_GB2312" w:cs="FangSong_GB2312"/>
          <w:kern w:val="0"/>
          <w:sz w:val="32"/>
          <w:szCs w:val="32"/>
          <w:highlight w:val="none"/>
        </w:rPr>
      </w:pPr>
      <w:r>
        <w:rPr>
          <w:rFonts w:hint="eastAsia" w:ascii="FangSong_GB2312" w:hAnsi="FangSong_GB2312" w:eastAsia="FangSong_GB2312" w:cs="FangSong_GB2312"/>
          <w:kern w:val="0"/>
          <w:sz w:val="32"/>
          <w:szCs w:val="32"/>
          <w:highlight w:val="none"/>
        </w:rPr>
        <w:t>（三）人员要求</w:t>
      </w:r>
    </w:p>
    <w:p>
      <w:pPr>
        <w:widowControl/>
        <w:spacing w:line="560" w:lineRule="exact"/>
        <w:ind w:firstLine="640" w:firstLineChars="200"/>
        <w:jc w:val="left"/>
        <w:rPr>
          <w:rFonts w:ascii="FangSong_GB2312" w:hAnsi="Arial" w:eastAsia="FangSong_GB2312" w:cs="Arial"/>
          <w:kern w:val="0"/>
          <w:sz w:val="32"/>
          <w:szCs w:val="32"/>
          <w:highlight w:val="none"/>
        </w:rPr>
      </w:pPr>
      <w:r>
        <w:rPr>
          <w:rFonts w:ascii="FangSong_GB2312" w:hAnsi="FangSong_GB2312" w:eastAsia="FangSong_GB2312" w:cs="FangSong_GB2312"/>
          <w:kern w:val="0"/>
          <w:sz w:val="32"/>
          <w:szCs w:val="32"/>
          <w:highlight w:val="none"/>
        </w:rPr>
        <w:t>1</w:t>
      </w:r>
      <w:r>
        <w:rPr>
          <w:rFonts w:hint="eastAsia" w:ascii="FangSong_GB2312" w:hAnsi="FangSong_GB2312" w:eastAsia="FangSong_GB2312" w:cs="FangSong_GB2312"/>
          <w:kern w:val="0"/>
          <w:sz w:val="32"/>
          <w:szCs w:val="32"/>
          <w:highlight w:val="none"/>
        </w:rPr>
        <w:t>.提供1位项目负责人，并成立不少于</w:t>
      </w:r>
      <w:r>
        <w:rPr>
          <w:rFonts w:hint="eastAsia" w:ascii="FangSong_GB2312" w:hAnsi="FangSong_GB2312" w:eastAsia="FangSong_GB2312" w:cs="FangSong_GB2312"/>
          <w:kern w:val="0"/>
          <w:sz w:val="32"/>
          <w:szCs w:val="32"/>
          <w:highlight w:val="none"/>
          <w:lang w:val="en-US" w:eastAsia="zh-CN"/>
        </w:rPr>
        <w:t>2</w:t>
      </w:r>
      <w:r>
        <w:rPr>
          <w:rFonts w:hint="eastAsia" w:ascii="FangSong_GB2312" w:hAnsi="FangSong_GB2312" w:eastAsia="FangSong_GB2312" w:cs="FangSong_GB2312"/>
          <w:kern w:val="0"/>
          <w:sz w:val="32"/>
          <w:szCs w:val="32"/>
          <w:highlight w:val="none"/>
        </w:rPr>
        <w:t>人的维保支撑团队，服务内容包括日常软件系统和硬件监控设备的维保、故障修复等，提供</w:t>
      </w:r>
      <w:r>
        <w:rPr>
          <w:rFonts w:hint="eastAsia" w:ascii="FangSong_GB2312" w:hAnsi="Arial" w:eastAsia="FangSong_GB2312" w:cs="Arial"/>
          <w:kern w:val="0"/>
          <w:sz w:val="32"/>
          <w:szCs w:val="32"/>
          <w:highlight w:val="none"/>
        </w:rPr>
        <w:t>7*</w:t>
      </w:r>
      <w:r>
        <w:rPr>
          <w:rFonts w:ascii="FangSong_GB2312" w:hAnsi="Arial" w:eastAsia="FangSong_GB2312" w:cs="Arial"/>
          <w:kern w:val="0"/>
          <w:sz w:val="32"/>
          <w:szCs w:val="32"/>
          <w:highlight w:val="none"/>
        </w:rPr>
        <w:t>8</w:t>
      </w:r>
      <w:r>
        <w:rPr>
          <w:rFonts w:hint="eastAsia" w:ascii="FangSong_GB2312" w:hAnsi="Arial" w:eastAsia="FangSong_GB2312" w:cs="Arial"/>
          <w:kern w:val="0"/>
          <w:sz w:val="32"/>
          <w:szCs w:val="32"/>
          <w:highlight w:val="none"/>
        </w:rPr>
        <w:t>小时的维保服务和技术支持，以保证问题得到有效解决。</w:t>
      </w:r>
    </w:p>
    <w:p>
      <w:pPr>
        <w:widowControl/>
        <w:spacing w:line="560" w:lineRule="exact"/>
        <w:ind w:firstLine="640" w:firstLineChars="200"/>
        <w:jc w:val="left"/>
        <w:rPr>
          <w:rFonts w:ascii="FangSong_GB2312" w:hAnsi="Arial" w:eastAsia="FangSong_GB2312" w:cs="Arial"/>
          <w:kern w:val="0"/>
          <w:sz w:val="32"/>
          <w:szCs w:val="32"/>
          <w:highlight w:val="none"/>
        </w:rPr>
      </w:pPr>
      <w:r>
        <w:rPr>
          <w:rFonts w:ascii="FangSong_GB2312" w:hAnsi="Arial" w:eastAsia="FangSong_GB2312" w:cs="Arial"/>
          <w:kern w:val="0"/>
          <w:sz w:val="32"/>
          <w:szCs w:val="32"/>
          <w:highlight w:val="none"/>
        </w:rPr>
        <w:t>2</w:t>
      </w:r>
      <w:r>
        <w:rPr>
          <w:rFonts w:hint="eastAsia" w:ascii="FangSong_GB2312" w:hAnsi="Arial" w:eastAsia="FangSong_GB2312" w:cs="Arial"/>
          <w:kern w:val="0"/>
          <w:sz w:val="32"/>
          <w:szCs w:val="32"/>
          <w:highlight w:val="none"/>
        </w:rPr>
        <w:t>.</w:t>
      </w:r>
      <w:r>
        <w:rPr>
          <w:rFonts w:hint="eastAsia" w:ascii="FangSong_GB2312" w:hAnsi="Arial" w:eastAsia="FangSong_GB2312" w:cs="Arial"/>
          <w:kern w:val="0"/>
          <w:sz w:val="32"/>
          <w:szCs w:val="32"/>
          <w:highlight w:val="none"/>
          <w:lang w:val="en-US" w:eastAsia="zh-CN"/>
        </w:rPr>
        <w:t>报价方</w:t>
      </w:r>
      <w:r>
        <w:rPr>
          <w:rFonts w:hint="eastAsia" w:ascii="FangSong_GB2312" w:hAnsi="FangSong_GB2312" w:eastAsia="FangSong_GB2312" w:cs="FangSong_GB2312"/>
          <w:kern w:val="0"/>
          <w:sz w:val="32"/>
          <w:szCs w:val="32"/>
          <w:highlight w:val="none"/>
        </w:rPr>
        <w:t>维保团队</w:t>
      </w:r>
      <w:r>
        <w:rPr>
          <w:rFonts w:hint="eastAsia" w:ascii="FangSong_GB2312" w:hAnsi="Arial" w:eastAsia="FangSong_GB2312" w:cs="Arial"/>
          <w:kern w:val="0"/>
          <w:sz w:val="32"/>
          <w:szCs w:val="32"/>
          <w:highlight w:val="none"/>
        </w:rPr>
        <w:t>应严格遵守采购单位的规章制度和保密制度。节假日期间，</w:t>
      </w:r>
      <w:r>
        <w:rPr>
          <w:rFonts w:hint="eastAsia" w:ascii="FangSong_GB2312" w:hAnsi="Arial" w:eastAsia="FangSong_GB2312" w:cs="Arial"/>
          <w:kern w:val="0"/>
          <w:sz w:val="32"/>
          <w:szCs w:val="32"/>
          <w:highlight w:val="none"/>
          <w:lang w:val="en-US" w:eastAsia="zh-CN"/>
        </w:rPr>
        <w:t>报价方</w:t>
      </w:r>
      <w:r>
        <w:rPr>
          <w:rFonts w:hint="eastAsia" w:ascii="FangSong_GB2312" w:hAnsi="Arial" w:eastAsia="FangSong_GB2312" w:cs="Arial"/>
          <w:kern w:val="0"/>
          <w:sz w:val="32"/>
          <w:szCs w:val="32"/>
          <w:highlight w:val="none"/>
        </w:rPr>
        <w:t>应根据具体要求和情况安排人员电话值守，做好系统维保保障工作。</w:t>
      </w:r>
    </w:p>
    <w:p>
      <w:pPr>
        <w:widowControl/>
        <w:spacing w:line="560" w:lineRule="exact"/>
        <w:ind w:firstLine="640" w:firstLineChars="200"/>
        <w:jc w:val="left"/>
        <w:rPr>
          <w:rFonts w:ascii="黑体" w:hAnsi="黑体" w:eastAsia="黑体" w:cs="Arial"/>
          <w:kern w:val="0"/>
          <w:sz w:val="32"/>
          <w:szCs w:val="32"/>
          <w:highlight w:val="none"/>
        </w:rPr>
      </w:pPr>
      <w:r>
        <w:rPr>
          <w:rFonts w:hint="eastAsia" w:ascii="黑体" w:hAnsi="黑体" w:eastAsia="黑体" w:cs="Arial"/>
          <w:kern w:val="0"/>
          <w:sz w:val="32"/>
          <w:szCs w:val="32"/>
          <w:highlight w:val="none"/>
        </w:rPr>
        <w:t>五、商务要求</w:t>
      </w:r>
    </w:p>
    <w:p>
      <w:pPr>
        <w:widowControl/>
        <w:spacing w:line="560" w:lineRule="exact"/>
        <w:ind w:firstLine="640" w:firstLineChars="200"/>
        <w:jc w:val="left"/>
        <w:rPr>
          <w:rFonts w:ascii="FangSong_GB2312" w:hAnsi="FangSong_GB2312" w:eastAsia="FangSong_GB2312" w:cs="FangSong_GB2312"/>
          <w:kern w:val="0"/>
          <w:sz w:val="32"/>
          <w:szCs w:val="32"/>
          <w:highlight w:val="none"/>
        </w:rPr>
      </w:pPr>
      <w:r>
        <w:rPr>
          <w:rFonts w:hint="eastAsia" w:ascii="FangSong_GB2312" w:hAnsi="FangSong_GB2312" w:eastAsia="FangSong_GB2312" w:cs="FangSong_GB2312"/>
          <w:kern w:val="0"/>
          <w:sz w:val="32"/>
          <w:szCs w:val="32"/>
          <w:highlight w:val="none"/>
        </w:rPr>
        <w:t>（一）服务期限</w:t>
      </w:r>
    </w:p>
    <w:p>
      <w:pPr>
        <w:widowControl/>
        <w:spacing w:line="560" w:lineRule="exact"/>
        <w:ind w:firstLine="640" w:firstLineChars="200"/>
        <w:jc w:val="left"/>
        <w:rPr>
          <w:rFonts w:ascii="FangSong_GB2312" w:hAnsi="FangSong_GB2312" w:eastAsia="FangSong_GB2312" w:cs="FangSong_GB2312"/>
          <w:kern w:val="0"/>
          <w:sz w:val="32"/>
          <w:szCs w:val="32"/>
          <w:highlight w:val="none"/>
        </w:rPr>
      </w:pPr>
      <w:r>
        <w:rPr>
          <w:rFonts w:hint="eastAsia" w:ascii="FangSong_GB2312" w:hAnsi="FangSong_GB2312" w:eastAsia="FangSong_GB2312" w:cs="FangSong_GB2312"/>
          <w:kern w:val="0"/>
          <w:sz w:val="32"/>
          <w:szCs w:val="32"/>
          <w:highlight w:val="none"/>
        </w:rPr>
        <w:t>自合同签订之日起满1年。合同结束前，在</w:t>
      </w:r>
      <w:r>
        <w:rPr>
          <w:rFonts w:hint="eastAsia" w:ascii="FangSong_GB2312" w:hAnsi="FangSong_GB2312" w:eastAsia="FangSong_GB2312" w:cs="FangSong_GB2312"/>
          <w:kern w:val="0"/>
          <w:sz w:val="32"/>
          <w:szCs w:val="32"/>
          <w:highlight w:val="none"/>
          <w:lang w:eastAsia="zh-CN"/>
        </w:rPr>
        <w:t>主体</w:t>
      </w:r>
      <w:r>
        <w:rPr>
          <w:rFonts w:hint="eastAsia" w:ascii="FangSong_GB2312" w:hAnsi="FangSong_GB2312" w:eastAsia="FangSong_GB2312" w:cs="FangSong_GB2312"/>
          <w:kern w:val="0"/>
          <w:sz w:val="32"/>
          <w:szCs w:val="32"/>
          <w:highlight w:val="none"/>
        </w:rPr>
        <w:t>内容保持不变的情况下，</w:t>
      </w:r>
      <w:r>
        <w:rPr>
          <w:rFonts w:hint="eastAsia" w:ascii="FangSong_GB2312" w:hAnsi="FangSong_GB2312" w:eastAsia="FangSong_GB2312" w:cs="FangSong_GB2312"/>
          <w:kern w:val="0"/>
          <w:sz w:val="32"/>
          <w:szCs w:val="32"/>
          <w:highlight w:val="none"/>
          <w:lang w:eastAsia="zh-CN"/>
        </w:rPr>
        <w:t>采购</w:t>
      </w:r>
      <w:r>
        <w:rPr>
          <w:rFonts w:hint="eastAsia" w:ascii="FangSong_GB2312" w:hAnsi="FangSong_GB2312" w:eastAsia="FangSong_GB2312" w:cs="FangSong_GB2312"/>
          <w:kern w:val="0"/>
          <w:sz w:val="32"/>
          <w:szCs w:val="32"/>
          <w:highlight w:val="none"/>
        </w:rPr>
        <w:t>方可视履约情况选择与</w:t>
      </w:r>
      <w:r>
        <w:rPr>
          <w:rFonts w:hint="eastAsia" w:ascii="FangSong_GB2312" w:hAnsi="Arial" w:eastAsia="FangSong_GB2312" w:cs="Arial"/>
          <w:kern w:val="0"/>
          <w:sz w:val="32"/>
          <w:szCs w:val="32"/>
          <w:highlight w:val="none"/>
          <w:lang w:val="en-US" w:eastAsia="zh-CN"/>
        </w:rPr>
        <w:t>报价方</w:t>
      </w:r>
      <w:r>
        <w:rPr>
          <w:rFonts w:hint="eastAsia" w:ascii="FangSong_GB2312" w:hAnsi="FangSong_GB2312" w:eastAsia="FangSong_GB2312" w:cs="FangSong_GB2312"/>
          <w:kern w:val="0"/>
          <w:sz w:val="32"/>
          <w:szCs w:val="32"/>
          <w:highlight w:val="none"/>
        </w:rPr>
        <w:t>续签合同，续签次数不超过2次，每次合同期限不超过一年。</w:t>
      </w:r>
    </w:p>
    <w:p>
      <w:pPr>
        <w:widowControl/>
        <w:numPr>
          <w:ilvl w:val="0"/>
          <w:numId w:val="1"/>
        </w:numPr>
        <w:spacing w:line="560" w:lineRule="exact"/>
        <w:ind w:firstLine="640" w:firstLineChars="200"/>
        <w:jc w:val="left"/>
        <w:rPr>
          <w:rFonts w:ascii="FangSong_GB2312" w:hAnsi="FangSong_GB2312" w:eastAsia="FangSong_GB2312" w:cs="FangSong_GB2312"/>
          <w:kern w:val="0"/>
          <w:sz w:val="32"/>
          <w:szCs w:val="32"/>
          <w:highlight w:val="none"/>
          <w:u w:val="single"/>
        </w:rPr>
      </w:pPr>
      <w:r>
        <w:rPr>
          <w:rFonts w:hint="eastAsia" w:ascii="FangSong_GB2312" w:hAnsi="FangSong_GB2312" w:eastAsia="FangSong_GB2312" w:cs="FangSong_GB2312"/>
          <w:kern w:val="0"/>
          <w:sz w:val="32"/>
          <w:szCs w:val="32"/>
          <w:highlight w:val="none"/>
        </w:rPr>
        <w:t>服务地点</w:t>
      </w:r>
    </w:p>
    <w:p>
      <w:pPr>
        <w:widowControl/>
        <w:spacing w:line="560" w:lineRule="exact"/>
        <w:ind w:firstLine="640" w:firstLineChars="200"/>
        <w:jc w:val="left"/>
        <w:rPr>
          <w:rFonts w:ascii="FangSong_GB2312" w:hAnsi="FangSong_GB2312" w:eastAsia="FangSong_GB2312" w:cs="FangSong_GB2312"/>
          <w:kern w:val="0"/>
          <w:sz w:val="32"/>
          <w:szCs w:val="32"/>
          <w:highlight w:val="none"/>
          <w:u w:val="single"/>
        </w:rPr>
      </w:pPr>
      <w:r>
        <w:rPr>
          <w:rFonts w:hint="eastAsia" w:ascii="FangSong_GB2312" w:hAnsi="FangSong_GB2312" w:eastAsia="FangSong_GB2312" w:cs="FangSong_GB2312"/>
          <w:kern w:val="0"/>
          <w:sz w:val="32"/>
          <w:szCs w:val="32"/>
          <w:highlight w:val="none"/>
        </w:rPr>
        <w:t>深圳市大鹏新区管理委员会。</w:t>
      </w:r>
    </w:p>
    <w:p>
      <w:pPr>
        <w:widowControl/>
        <w:numPr>
          <w:ilvl w:val="0"/>
          <w:numId w:val="1"/>
        </w:numPr>
        <w:spacing w:line="560" w:lineRule="exact"/>
        <w:ind w:firstLine="640" w:firstLineChars="200"/>
        <w:jc w:val="left"/>
        <w:rPr>
          <w:rFonts w:ascii="FangSong_GB2312" w:hAnsi="FangSong_GB2312" w:eastAsia="FangSong_GB2312" w:cs="FangSong_GB2312"/>
          <w:bCs/>
          <w:sz w:val="32"/>
          <w:szCs w:val="32"/>
          <w:highlight w:val="none"/>
        </w:rPr>
      </w:pPr>
      <w:r>
        <w:rPr>
          <w:rFonts w:hint="eastAsia" w:ascii="FangSong_GB2312" w:hAnsi="FangSong_GB2312" w:eastAsia="FangSong_GB2312" w:cs="FangSong_GB2312"/>
          <w:kern w:val="0"/>
          <w:sz w:val="32"/>
          <w:szCs w:val="32"/>
          <w:highlight w:val="none"/>
        </w:rPr>
        <w:t>付款方式</w:t>
      </w:r>
    </w:p>
    <w:p>
      <w:pPr>
        <w:tabs>
          <w:tab w:val="left" w:pos="851"/>
        </w:tabs>
        <w:spacing w:line="560" w:lineRule="exact"/>
        <w:ind w:firstLine="640" w:firstLineChars="200"/>
        <w:rPr>
          <w:rFonts w:ascii="FangSong_GB2312" w:hAnsi="Arial" w:eastAsia="FangSong_GB2312" w:cs="Arial"/>
          <w:kern w:val="0"/>
          <w:sz w:val="32"/>
          <w:szCs w:val="32"/>
          <w:highlight w:val="none"/>
        </w:rPr>
      </w:pPr>
      <w:r>
        <w:rPr>
          <w:rFonts w:ascii="FangSong_GB2312" w:hAnsi="Arial" w:eastAsia="FangSong_GB2312" w:cs="Arial"/>
          <w:kern w:val="0"/>
          <w:sz w:val="32"/>
          <w:szCs w:val="32"/>
          <w:highlight w:val="none"/>
        </w:rPr>
        <w:t>按大鹏新区发展和财政局相关规定，由甲乙双方自行协商付款方式。</w:t>
      </w:r>
    </w:p>
    <w:p>
      <w:pPr>
        <w:widowControl/>
        <w:spacing w:line="560" w:lineRule="exact"/>
        <w:ind w:firstLine="640" w:firstLineChars="200"/>
        <w:jc w:val="left"/>
        <w:rPr>
          <w:rFonts w:ascii="黑体" w:hAnsi="黑体" w:eastAsia="黑体" w:cs="Arial"/>
          <w:kern w:val="0"/>
          <w:sz w:val="32"/>
          <w:szCs w:val="32"/>
          <w:highlight w:val="none"/>
        </w:rPr>
      </w:pPr>
      <w:r>
        <w:rPr>
          <w:rFonts w:hint="eastAsia" w:ascii="黑体" w:hAnsi="黑体" w:eastAsia="黑体" w:cs="Arial"/>
          <w:kern w:val="0"/>
          <w:sz w:val="32"/>
          <w:szCs w:val="32"/>
          <w:highlight w:val="none"/>
        </w:rPr>
        <w:t>六、报价文件需准备的资料</w:t>
      </w:r>
    </w:p>
    <w:p>
      <w:pPr>
        <w:widowControl/>
        <w:spacing w:line="560" w:lineRule="exact"/>
        <w:ind w:firstLine="640" w:firstLineChars="200"/>
        <w:jc w:val="left"/>
        <w:rPr>
          <w:rFonts w:ascii="FangSong_GB2312" w:hAnsi="FangSong_GB2312" w:eastAsia="FangSong_GB2312" w:cs="FangSong_GB2312"/>
          <w:kern w:val="0"/>
          <w:sz w:val="32"/>
          <w:szCs w:val="32"/>
          <w:highlight w:val="none"/>
        </w:rPr>
      </w:pPr>
      <w:r>
        <w:rPr>
          <w:rFonts w:hint="eastAsia" w:ascii="FangSong_GB2312" w:hAnsi="FangSong_GB2312" w:eastAsia="FangSong_GB2312" w:cs="FangSong_GB2312"/>
          <w:kern w:val="0"/>
          <w:sz w:val="32"/>
          <w:szCs w:val="32"/>
          <w:highlight w:val="none"/>
        </w:rPr>
        <w:t>（一）报价方需提供企业法人营业执照正本或副本复印件加盖报价单位公章；</w:t>
      </w:r>
    </w:p>
    <w:p>
      <w:pPr>
        <w:widowControl/>
        <w:spacing w:line="560" w:lineRule="exact"/>
        <w:ind w:firstLine="640" w:firstLineChars="200"/>
        <w:jc w:val="left"/>
        <w:rPr>
          <w:rFonts w:ascii="FangSong_GB2312" w:hAnsi="FangSong_GB2312" w:eastAsia="FangSong_GB2312" w:cs="FangSong_GB2312"/>
          <w:kern w:val="0"/>
          <w:sz w:val="32"/>
          <w:szCs w:val="32"/>
          <w:highlight w:val="none"/>
        </w:rPr>
      </w:pPr>
      <w:r>
        <w:rPr>
          <w:rFonts w:hint="eastAsia" w:ascii="FangSong_GB2312" w:hAnsi="FangSong_GB2312" w:eastAsia="FangSong_GB2312" w:cs="FangSong_GB2312"/>
          <w:kern w:val="0"/>
          <w:sz w:val="32"/>
          <w:szCs w:val="32"/>
          <w:highlight w:val="none"/>
        </w:rPr>
        <w:t>（二）报价方需提供法定代表人资格证明书、法定代表人身份证扫描件，法人不到场的需提供法定代表授权委托书及授权委托人身份证扫描件；</w:t>
      </w:r>
    </w:p>
    <w:p>
      <w:pPr>
        <w:widowControl/>
        <w:spacing w:line="560" w:lineRule="exact"/>
        <w:ind w:firstLine="640" w:firstLineChars="200"/>
        <w:jc w:val="left"/>
        <w:rPr>
          <w:rFonts w:ascii="FangSong_GB2312" w:hAnsi="FangSong_GB2312" w:eastAsia="FangSong_GB2312" w:cs="FangSong_GB2312"/>
          <w:kern w:val="0"/>
          <w:sz w:val="32"/>
          <w:szCs w:val="32"/>
          <w:highlight w:val="none"/>
        </w:rPr>
      </w:pPr>
      <w:r>
        <w:rPr>
          <w:rFonts w:hint="eastAsia" w:ascii="FangSong_GB2312" w:hAnsi="FangSong_GB2312" w:eastAsia="FangSong_GB2312" w:cs="FangSong_GB2312"/>
          <w:kern w:val="0"/>
          <w:sz w:val="32"/>
          <w:szCs w:val="32"/>
          <w:highlight w:val="none"/>
        </w:rPr>
        <w:t>（三）报价方需提供报价明细文件，本项目的报价以人民币计算，报价明细（含税）包含报价单位名称、单位地址、报价经办人姓名及其联系方式、每项单价、合计金额等并加盖报价单位公章；</w:t>
      </w:r>
    </w:p>
    <w:p>
      <w:pPr>
        <w:widowControl/>
        <w:spacing w:line="560" w:lineRule="exact"/>
        <w:ind w:firstLine="640" w:firstLineChars="200"/>
        <w:rPr>
          <w:rFonts w:ascii="FangSong_GB2312" w:hAnsi="FangSong_GB2312" w:eastAsia="FangSong_GB2312" w:cs="FangSong_GB2312"/>
          <w:sz w:val="32"/>
          <w:szCs w:val="32"/>
          <w:highlight w:val="none"/>
        </w:rPr>
      </w:pPr>
      <w:r>
        <w:rPr>
          <w:rFonts w:hint="eastAsia" w:ascii="FangSong_GB2312" w:hAnsi="FangSong_GB2312" w:eastAsia="FangSong_GB2312" w:cs="FangSong_GB2312"/>
          <w:kern w:val="0"/>
          <w:sz w:val="32"/>
          <w:szCs w:val="32"/>
          <w:highlight w:val="none"/>
        </w:rPr>
        <w:t>（四）报价方需提供单位背景、项目经验、荣誉等证明文件；</w:t>
      </w:r>
    </w:p>
    <w:p>
      <w:pPr>
        <w:widowControl/>
        <w:spacing w:line="560" w:lineRule="exact"/>
        <w:ind w:firstLine="640" w:firstLineChars="200"/>
        <w:jc w:val="left"/>
        <w:rPr>
          <w:rFonts w:ascii="FangSong_GB2312" w:hAnsi="FangSong_GB2312" w:eastAsia="FangSong_GB2312" w:cs="FangSong_GB2312"/>
          <w:kern w:val="0"/>
          <w:sz w:val="32"/>
          <w:szCs w:val="32"/>
          <w:highlight w:val="none"/>
        </w:rPr>
      </w:pPr>
      <w:r>
        <w:rPr>
          <w:rFonts w:hint="eastAsia" w:ascii="FangSong_GB2312" w:hAnsi="FangSong_GB2312" w:eastAsia="FangSong_GB2312" w:cs="FangSong_GB2312"/>
          <w:kern w:val="0"/>
          <w:sz w:val="32"/>
          <w:szCs w:val="32"/>
          <w:highlight w:val="none"/>
        </w:rPr>
        <w:t>（五）报价方需按服务要求提供拟执行该项目的服务方案。</w:t>
      </w:r>
    </w:p>
    <w:p>
      <w:pPr>
        <w:widowControl/>
        <w:spacing w:line="560" w:lineRule="exact"/>
        <w:ind w:firstLine="640" w:firstLineChars="200"/>
        <w:rPr>
          <w:highlight w:val="none"/>
        </w:rPr>
      </w:pPr>
      <w:r>
        <w:rPr>
          <w:rFonts w:hint="eastAsia" w:ascii="FangSong_GB2312" w:hAnsi="FangSong_GB2312" w:eastAsia="FangSong_GB2312" w:cs="FangSong_GB2312"/>
          <w:kern w:val="0"/>
          <w:sz w:val="32"/>
          <w:szCs w:val="32"/>
          <w:highlight w:val="none"/>
        </w:rPr>
        <w:t>（六）</w:t>
      </w:r>
      <w:r>
        <w:rPr>
          <w:rFonts w:hint="eastAsia" w:ascii="FangSong_GB2312" w:hAnsi="FangSong_GB2312" w:eastAsia="FangSong_GB2312" w:cs="FangSong_GB2312"/>
          <w:sz w:val="32"/>
          <w:szCs w:val="32"/>
          <w:highlight w:val="none"/>
        </w:rPr>
        <w:t>报价方需提供报价文件扫描件（光盘形式）。</w:t>
      </w:r>
    </w:p>
    <w:p>
      <w:pPr>
        <w:widowControl/>
        <w:spacing w:line="560" w:lineRule="exact"/>
        <w:ind w:firstLine="640" w:firstLineChars="200"/>
        <w:jc w:val="left"/>
        <w:rPr>
          <w:rFonts w:ascii="黑体" w:hAnsi="黑体" w:eastAsia="黑体" w:cs="Arial"/>
          <w:kern w:val="0"/>
          <w:sz w:val="32"/>
          <w:szCs w:val="32"/>
          <w:highlight w:val="none"/>
        </w:rPr>
      </w:pPr>
      <w:r>
        <w:rPr>
          <w:rFonts w:hint="eastAsia" w:ascii="黑体" w:hAnsi="黑体" w:eastAsia="黑体" w:cs="Arial"/>
          <w:kern w:val="0"/>
          <w:sz w:val="32"/>
          <w:szCs w:val="32"/>
          <w:highlight w:val="none"/>
        </w:rPr>
        <w:t>七、报价文件的递交</w:t>
      </w:r>
    </w:p>
    <w:p>
      <w:pPr>
        <w:widowControl/>
        <w:spacing w:line="560" w:lineRule="exact"/>
        <w:ind w:firstLine="640" w:firstLineChars="200"/>
        <w:rPr>
          <w:rFonts w:hint="eastAsia" w:ascii="FangSong_GB2312" w:hAnsi="FangSong_GB2312" w:eastAsia="FangSong_GB2312" w:cs="FangSong_GB2312"/>
          <w:kern w:val="0"/>
          <w:sz w:val="32"/>
          <w:szCs w:val="32"/>
          <w:highlight w:val="none"/>
        </w:rPr>
      </w:pPr>
      <w:r>
        <w:rPr>
          <w:rFonts w:hint="eastAsia" w:ascii="FangSong_GB2312" w:hAnsi="FangSong_GB2312" w:eastAsia="FangSong_GB2312" w:cs="FangSong_GB2312"/>
          <w:kern w:val="0"/>
          <w:sz w:val="32"/>
          <w:szCs w:val="32"/>
          <w:highlight w:val="none"/>
        </w:rPr>
        <w:t>1.报价文件递交的截止时间：凡有意参与报价者，请于</w:t>
      </w:r>
      <w:r>
        <w:rPr>
          <w:rFonts w:hint="default" w:ascii="FangSong_GB2312" w:hAnsi="FangSong_GB2312" w:eastAsia="FangSong_GB2312" w:cs="FangSong_GB2312"/>
          <w:kern w:val="0"/>
          <w:sz w:val="32"/>
          <w:szCs w:val="32"/>
          <w:highlight w:val="none"/>
        </w:rPr>
        <w:t>2025</w:t>
      </w:r>
      <w:r>
        <w:rPr>
          <w:rFonts w:hint="eastAsia" w:ascii="FangSong_GB2312" w:hAnsi="FangSong_GB2312" w:eastAsia="FangSong_GB2312" w:cs="FangSong_GB2312"/>
          <w:kern w:val="0"/>
          <w:sz w:val="32"/>
          <w:szCs w:val="32"/>
          <w:highlight w:val="none"/>
        </w:rPr>
        <w:t>年</w:t>
      </w:r>
      <w:r>
        <w:rPr>
          <w:rFonts w:hint="default" w:ascii="FangSong_GB2312" w:hAnsi="FangSong_GB2312" w:eastAsia="FangSong_GB2312" w:cs="FangSong_GB2312"/>
          <w:kern w:val="0"/>
          <w:sz w:val="32"/>
          <w:szCs w:val="32"/>
          <w:highlight w:val="none"/>
        </w:rPr>
        <w:t>1</w:t>
      </w:r>
      <w:r>
        <w:rPr>
          <w:rFonts w:hint="eastAsia" w:ascii="FangSong_GB2312" w:hAnsi="FangSong_GB2312" w:eastAsia="FangSong_GB2312" w:cs="FangSong_GB2312"/>
          <w:kern w:val="0"/>
          <w:sz w:val="32"/>
          <w:szCs w:val="32"/>
          <w:highlight w:val="none"/>
        </w:rPr>
        <w:t>月</w:t>
      </w:r>
      <w:r>
        <w:rPr>
          <w:rFonts w:hint="eastAsia" w:ascii="FangSong_GB2312" w:hAnsi="FangSong_GB2312" w:eastAsia="FangSong_GB2312" w:cs="FangSong_GB2312"/>
          <w:kern w:val="0"/>
          <w:sz w:val="32"/>
          <w:szCs w:val="32"/>
          <w:highlight w:val="none"/>
          <w:lang w:val="en-US" w:eastAsia="zh-CN"/>
        </w:rPr>
        <w:t>24</w:t>
      </w:r>
      <w:r>
        <w:rPr>
          <w:rFonts w:hint="eastAsia" w:ascii="FangSong_GB2312" w:hAnsi="FangSong_GB2312" w:eastAsia="FangSong_GB2312" w:cs="FangSong_GB2312"/>
          <w:kern w:val="0"/>
          <w:sz w:val="32"/>
          <w:szCs w:val="32"/>
          <w:highlight w:val="none"/>
        </w:rPr>
        <w:t>日下午17:30前（法定公休日、法定节假日除外），每日上午9：00至12：00，下午14：00至17：30，提交报价及相关文件。快递方式及通过采购系统报价提交报价文件的收件截止时间同为上述时间。</w:t>
      </w:r>
    </w:p>
    <w:p>
      <w:pPr>
        <w:widowControl/>
        <w:spacing w:line="560" w:lineRule="exact"/>
        <w:ind w:firstLine="640" w:firstLineChars="200"/>
        <w:rPr>
          <w:rFonts w:hint="eastAsia" w:ascii="FangSong_GB2312" w:hAnsi="Arial" w:eastAsia="FangSong_GB2312" w:cs="Arial"/>
          <w:kern w:val="0"/>
          <w:sz w:val="32"/>
          <w:szCs w:val="32"/>
          <w:highlight w:val="none"/>
        </w:rPr>
      </w:pPr>
      <w:r>
        <w:rPr>
          <w:rFonts w:hint="eastAsia" w:ascii="FangSong_GB2312" w:hAnsi="FangSong_GB2312" w:eastAsia="FangSong_GB2312" w:cs="FangSong_GB2312"/>
          <w:kern w:val="0"/>
          <w:sz w:val="32"/>
          <w:szCs w:val="32"/>
          <w:highlight w:val="none"/>
        </w:rPr>
        <w:t>2.纸质报价</w:t>
      </w:r>
      <w:r>
        <w:rPr>
          <w:rFonts w:hint="eastAsia" w:ascii="FangSong_GB2312" w:hAnsi="Arial" w:eastAsia="FangSong_GB2312" w:cs="Arial"/>
          <w:kern w:val="0"/>
          <w:sz w:val="32"/>
          <w:szCs w:val="32"/>
          <w:highlight w:val="none"/>
        </w:rPr>
        <w:t>递交地址（建议邮寄）：深圳市大鹏新区金岭路1号管理服务指挥中心二楼办公室。</w:t>
      </w:r>
    </w:p>
    <w:p>
      <w:pPr>
        <w:widowControl/>
        <w:shd w:val="clear" w:color="auto" w:fill="FFFFFF"/>
        <w:spacing w:line="560" w:lineRule="exact"/>
        <w:ind w:firstLine="640" w:firstLineChars="200"/>
      </w:pP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报价方应按报价文件资料清单</w:t>
      </w:r>
      <w:r>
        <w:rPr>
          <w:rFonts w:hint="eastAsia" w:ascii="仿宋_GB2312" w:hAnsi="仿宋_GB2312" w:eastAsia="仿宋_GB2312" w:cs="仿宋_GB2312"/>
          <w:color w:val="auto"/>
          <w:kern w:val="0"/>
          <w:sz w:val="32"/>
          <w:szCs w:val="32"/>
          <w:highlight w:val="none"/>
          <w:lang w:val="en-US" w:eastAsia="zh-Hans"/>
        </w:rPr>
        <w:t>密封</w:t>
      </w:r>
      <w:r>
        <w:rPr>
          <w:rFonts w:hint="eastAsia" w:ascii="仿宋_GB2312" w:hAnsi="仿宋_GB2312" w:eastAsia="仿宋_GB2312" w:cs="仿宋_GB2312"/>
          <w:color w:val="auto"/>
          <w:kern w:val="0"/>
          <w:sz w:val="32"/>
          <w:szCs w:val="32"/>
          <w:highlight w:val="none"/>
        </w:rPr>
        <w:t>提交，有关文件加盖公章和骑缝章</w:t>
      </w:r>
      <w:r>
        <w:rPr>
          <w:rFonts w:hint="eastAsia" w:ascii="仿宋_GB2312" w:hAnsi="仿宋_GB2312" w:eastAsia="仿宋_GB2312" w:cs="仿宋_GB2312"/>
          <w:color w:val="auto"/>
          <w:kern w:val="0"/>
          <w:sz w:val="32"/>
          <w:szCs w:val="32"/>
          <w:highlight w:val="none"/>
          <w:lang w:eastAsia="zh-CN"/>
        </w:rPr>
        <w:t>并提交</w:t>
      </w:r>
      <w:r>
        <w:rPr>
          <w:rFonts w:hint="eastAsia" w:ascii="仿宋_GB2312" w:hAnsi="仿宋_GB2312" w:eastAsia="仿宋_GB2312" w:cs="仿宋_GB2312"/>
          <w:color w:val="auto"/>
          <w:kern w:val="0"/>
          <w:sz w:val="32"/>
          <w:szCs w:val="32"/>
          <w:highlight w:val="none"/>
          <w:lang w:val="en-US" w:eastAsia="zh-CN"/>
        </w:rPr>
        <w:t>PDF版报价材料</w:t>
      </w:r>
      <w:r>
        <w:rPr>
          <w:rFonts w:hint="eastAsia" w:ascii="仿宋_GB2312" w:hAnsi="仿宋_GB2312" w:eastAsia="仿宋_GB2312" w:cs="仿宋_GB2312"/>
          <w:color w:val="auto"/>
          <w:kern w:val="0"/>
          <w:sz w:val="32"/>
          <w:szCs w:val="32"/>
          <w:highlight w:val="none"/>
        </w:rPr>
        <w:t>。</w:t>
      </w:r>
    </w:p>
    <w:p>
      <w:pPr>
        <w:widowControl/>
        <w:spacing w:line="560" w:lineRule="exact"/>
        <w:ind w:firstLine="642" w:firstLineChars="200"/>
        <w:rPr>
          <w:rFonts w:ascii="FangSong_GB2312" w:hAnsi="Arial" w:eastAsia="FangSong_GB2312" w:cs="Arial"/>
          <w:b/>
          <w:bCs/>
          <w:kern w:val="0"/>
          <w:sz w:val="32"/>
          <w:szCs w:val="32"/>
          <w:highlight w:val="none"/>
        </w:rPr>
      </w:pPr>
      <w:r>
        <w:rPr>
          <w:rFonts w:hint="eastAsia" w:ascii="FangSong_GB2312" w:hAnsi="Arial" w:eastAsia="FangSong_GB2312" w:cs="Arial"/>
          <w:b/>
          <w:bCs/>
          <w:kern w:val="0"/>
          <w:sz w:val="32"/>
          <w:szCs w:val="32"/>
          <w:highlight w:val="none"/>
        </w:rPr>
        <w:t>八、评选方法</w:t>
      </w:r>
    </w:p>
    <w:p>
      <w:pPr>
        <w:widowControl/>
        <w:spacing w:line="560" w:lineRule="exact"/>
        <w:ind w:firstLine="640" w:firstLineChars="200"/>
        <w:jc w:val="left"/>
        <w:rPr>
          <w:rFonts w:ascii="FangSong_GB2312" w:hAnsi="Arial" w:eastAsia="FangSong_GB2312" w:cs="Arial"/>
          <w:kern w:val="0"/>
          <w:sz w:val="32"/>
          <w:szCs w:val="32"/>
          <w:highlight w:val="none"/>
        </w:rPr>
      </w:pPr>
      <w:r>
        <w:rPr>
          <w:rFonts w:hint="eastAsia" w:ascii="FangSong_GB2312" w:hAnsi="Arial" w:eastAsia="FangSong_GB2312" w:cs="Arial"/>
          <w:kern w:val="0"/>
          <w:sz w:val="32"/>
          <w:szCs w:val="32"/>
          <w:highlight w:val="none"/>
        </w:rPr>
        <w:t>本次评选采用综合评分法，</w:t>
      </w:r>
      <w:r>
        <w:rPr>
          <w:rFonts w:hint="default" w:ascii="FangSong_GB2312" w:hAnsi="Arial" w:eastAsia="FangSong_GB2312" w:cs="Arial"/>
          <w:kern w:val="0"/>
          <w:sz w:val="32"/>
          <w:szCs w:val="32"/>
          <w:highlight w:val="none"/>
        </w:rPr>
        <w:t>采购小组</w:t>
      </w:r>
      <w:r>
        <w:rPr>
          <w:rFonts w:hint="eastAsia" w:ascii="FangSong_GB2312" w:hAnsi="Arial" w:eastAsia="FangSong_GB2312" w:cs="Arial"/>
          <w:kern w:val="0"/>
          <w:sz w:val="32"/>
          <w:szCs w:val="32"/>
          <w:highlight w:val="none"/>
        </w:rPr>
        <w:t>对每个通过资格性检查和符合性检查的报价单位进行评审，评分项涵盖价格、技术、商务及其他等。</w:t>
      </w:r>
    </w:p>
    <w:p>
      <w:pPr>
        <w:widowControl/>
        <w:spacing w:line="560" w:lineRule="exact"/>
        <w:ind w:firstLine="640" w:firstLineChars="200"/>
        <w:jc w:val="left"/>
        <w:rPr>
          <w:highlight w:val="none"/>
        </w:rPr>
      </w:pPr>
      <w:r>
        <w:rPr>
          <w:rFonts w:hint="eastAsia" w:ascii="FangSong_GB2312" w:hAnsi="Arial" w:eastAsia="FangSong_GB2312" w:cs="Arial"/>
          <w:kern w:val="0"/>
          <w:sz w:val="32"/>
          <w:szCs w:val="32"/>
          <w:highlight w:val="none"/>
        </w:rPr>
        <w:t>成交评判标准：按照评分规则进行量化打分，原则上以总得分最高的报价单位作为项目承接单位，若候选单位得分相同则报价较低者为项目承接单位，若得分且报价相同则项目经验得分较高者为项目承接单位。</w:t>
      </w:r>
    </w:p>
    <w:p>
      <w:pPr>
        <w:widowControl/>
        <w:spacing w:line="560" w:lineRule="exact"/>
        <w:ind w:firstLine="640" w:firstLineChars="200"/>
        <w:jc w:val="left"/>
        <w:rPr>
          <w:rFonts w:hint="eastAsia" w:ascii="FangSong_GB2312" w:hAnsi="FangSong_GB2312" w:eastAsia="FangSong_GB2312" w:cs="FangSong_GB2312"/>
          <w:kern w:val="0"/>
          <w:sz w:val="32"/>
          <w:szCs w:val="32"/>
          <w:highlight w:val="none"/>
        </w:rPr>
      </w:pPr>
      <w:r>
        <w:rPr>
          <w:rFonts w:hint="eastAsia" w:ascii="FangSong_GB2312" w:hAnsi="FangSong_GB2312" w:eastAsia="FangSong_GB2312" w:cs="FangSong_GB2312"/>
          <w:kern w:val="0"/>
          <w:sz w:val="32"/>
          <w:szCs w:val="32"/>
          <w:highlight w:val="none"/>
        </w:rPr>
        <w:t>评分细则：</w:t>
      </w:r>
    </w:p>
    <w:tbl>
      <w:tblPr>
        <w:tblStyle w:val="16"/>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61"/>
        <w:gridCol w:w="1370"/>
        <w:gridCol w:w="709"/>
        <w:gridCol w:w="5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14:textFill>
                  <w14:solidFill>
                    <w14:schemeClr w14:val="tx1"/>
                  </w14:solidFill>
                </w14:textFill>
              </w:rPr>
              <w:t>序号</w:t>
            </w:r>
          </w:p>
        </w:tc>
        <w:tc>
          <w:tcPr>
            <w:tcW w:w="2131" w:type="dxa"/>
            <w:gridSpan w:val="2"/>
            <w:tcBorders>
              <w:top w:val="single" w:color="auto" w:sz="4" w:space="0"/>
              <w:left w:val="nil"/>
              <w:bottom w:val="single" w:color="auto" w:sz="4" w:space="0"/>
              <w:right w:val="single" w:color="auto" w:sz="4" w:space="0"/>
            </w:tcBorders>
            <w:vAlign w:val="center"/>
          </w:tcPr>
          <w:p>
            <w:pPr>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评分项</w:t>
            </w:r>
          </w:p>
        </w:tc>
        <w:tc>
          <w:tcPr>
            <w:tcW w:w="6040" w:type="dxa"/>
            <w:gridSpan w:val="2"/>
            <w:tcBorders>
              <w:top w:val="single" w:color="auto" w:sz="4" w:space="0"/>
              <w:left w:val="nil"/>
              <w:bottom w:val="single" w:color="auto" w:sz="4" w:space="0"/>
              <w:right w:val="single" w:color="auto" w:sz="4" w:space="0"/>
            </w:tcBorders>
            <w:vAlign w:val="center"/>
          </w:tcPr>
          <w:p>
            <w:pPr>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lang w:val="en-US" w:eastAsia="zh-CN"/>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08" w:type="dxa"/>
            <w:vMerge w:val="restart"/>
            <w:tcBorders>
              <w:top w:val="nil"/>
              <w:left w:val="single" w:color="auto" w:sz="4" w:space="0"/>
              <w:right w:val="single" w:color="auto" w:sz="4" w:space="0"/>
            </w:tcBorders>
            <w:vAlign w:val="center"/>
          </w:tcPr>
          <w:p>
            <w:pPr>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1</w:t>
            </w:r>
          </w:p>
        </w:tc>
        <w:tc>
          <w:tcPr>
            <w:tcW w:w="2131" w:type="dxa"/>
            <w:gridSpan w:val="2"/>
            <w:tcBorders>
              <w:top w:val="single" w:color="auto" w:sz="4" w:space="0"/>
              <w:left w:val="nil"/>
              <w:bottom w:val="single" w:color="auto" w:sz="4" w:space="0"/>
              <w:right w:val="single" w:color="auto" w:sz="4" w:space="0"/>
            </w:tcBorders>
            <w:vAlign w:val="center"/>
          </w:tcPr>
          <w:p>
            <w:pPr>
              <w:jc w:val="center"/>
              <w:rPr>
                <w:rFonts w:hint="default" w:ascii="宋体" w:hAnsi="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价格部分</w:t>
            </w:r>
          </w:p>
        </w:tc>
        <w:tc>
          <w:tcPr>
            <w:tcW w:w="6040"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default" w:ascii="宋体" w:hAnsi="宋体" w:eastAsia="宋体" w:cs="Times New Roman"/>
                <w:color w:val="000000" w:themeColor="text1"/>
                <w:sz w:val="21"/>
                <w:szCs w:val="22"/>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left w:val="single" w:color="auto" w:sz="4" w:space="0"/>
              <w:right w:val="single" w:color="auto" w:sz="4" w:space="0"/>
            </w:tcBorders>
            <w:vAlign w:val="center"/>
          </w:tcPr>
          <w:p>
            <w:pPr>
              <w:widowControl/>
              <w:jc w:val="left"/>
              <w:rPr>
                <w:rFonts w:ascii="宋体" w:hAnsi="宋体"/>
                <w:b/>
                <w:bCs/>
                <w:color w:val="000000" w:themeColor="text1"/>
                <w:szCs w:val="21"/>
                <w14:textFill>
                  <w14:solidFill>
                    <w14:schemeClr w14:val="tx1"/>
                  </w14:solidFill>
                </w14:textFill>
              </w:rPr>
            </w:pPr>
          </w:p>
        </w:tc>
        <w:tc>
          <w:tcPr>
            <w:tcW w:w="8171" w:type="dxa"/>
            <w:gridSpan w:val="4"/>
            <w:tcBorders>
              <w:top w:val="single" w:color="auto" w:sz="4" w:space="0"/>
              <w:left w:val="nil"/>
              <w:bottom w:val="single" w:color="auto" w:sz="4" w:space="0"/>
              <w:right w:val="single" w:color="auto" w:sz="4" w:space="0"/>
            </w:tcBorders>
            <w:vAlign w:val="center"/>
          </w:tcPr>
          <w:p>
            <w:pPr>
              <w:pStyle w:val="30"/>
              <w:ind w:firstLine="0" w:firstLineChars="0"/>
              <w:jc w:val="left"/>
              <w:rPr>
                <w:rFonts w:hint="eastAsia" w:ascii="宋体" w:hAnsi="宋体"/>
                <w:color w:val="000000" w:themeColor="text1"/>
                <w:szCs w:val="22"/>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价</w:t>
            </w:r>
            <w:r>
              <w:rPr>
                <w:rFonts w:hint="default" w:ascii="宋体" w:hAnsi="宋体" w:eastAsia="宋体" w:cs="Times New Roman"/>
                <w:color w:val="000000" w:themeColor="text1"/>
                <w:sz w:val="21"/>
                <w:szCs w:val="22"/>
                <w14:textFill>
                  <w14:solidFill>
                    <w14:schemeClr w14:val="tx1"/>
                  </w14:solidFill>
                </w14:textFill>
              </w:rPr>
              <w:t>格分=[1-（报价方报价-最低报价）/最低报价]×价格权重×100</w:t>
            </w:r>
            <w:r>
              <w:rPr>
                <w:rFonts w:hint="default" w:ascii="宋体" w:hAnsi="宋体" w:eastAsia="宋体"/>
                <w:color w:val="000000" w:themeColor="text1"/>
                <w:szCs w:val="22"/>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left w:val="single" w:color="auto" w:sz="4" w:space="0"/>
              <w:right w:val="single" w:color="auto" w:sz="4" w:space="0"/>
            </w:tcBorders>
            <w:vAlign w:val="center"/>
          </w:tcPr>
          <w:p>
            <w:pPr>
              <w:widowControl/>
              <w:jc w:val="left"/>
              <w:rPr>
                <w:rFonts w:ascii="宋体" w:hAnsi="宋体"/>
                <w:b/>
                <w:bCs/>
                <w:color w:val="000000" w:themeColor="text1"/>
                <w:szCs w:val="21"/>
                <w14:textFill>
                  <w14:solidFill>
                    <w14:schemeClr w14:val="tx1"/>
                  </w14:solidFill>
                </w14:textFill>
              </w:rPr>
            </w:pPr>
          </w:p>
        </w:tc>
        <w:tc>
          <w:tcPr>
            <w:tcW w:w="8171" w:type="dxa"/>
            <w:gridSpan w:val="4"/>
            <w:tcBorders>
              <w:top w:val="single" w:color="auto" w:sz="4" w:space="0"/>
              <w:left w:val="nil"/>
              <w:bottom w:val="single" w:color="auto" w:sz="4" w:space="0"/>
              <w:right w:val="single" w:color="auto" w:sz="4" w:space="0"/>
            </w:tcBorders>
            <w:vAlign w:val="center"/>
          </w:tcPr>
          <w:p>
            <w:pPr>
              <w:pStyle w:val="30"/>
              <w:ind w:firstLine="0" w:firstLineChars="0"/>
              <w:jc w:val="left"/>
              <w:rPr>
                <w:rFonts w:hint="eastAsia" w:ascii="宋体" w:hAnsi="宋体"/>
                <w:color w:val="000000" w:themeColor="text1"/>
                <w:szCs w:val="22"/>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当价格分&lt;0时，取0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left w:val="single" w:color="auto" w:sz="4" w:space="0"/>
              <w:right w:val="single" w:color="auto" w:sz="4" w:space="0"/>
            </w:tcBorders>
            <w:vAlign w:val="center"/>
          </w:tcPr>
          <w:p>
            <w:pPr>
              <w:widowControl/>
              <w:jc w:val="left"/>
              <w:rPr>
                <w:rFonts w:ascii="宋体" w:hAnsi="宋体"/>
                <w:b/>
                <w:bCs/>
                <w:color w:val="000000" w:themeColor="text1"/>
                <w:szCs w:val="21"/>
                <w14:textFill>
                  <w14:solidFill>
                    <w14:schemeClr w14:val="tx1"/>
                  </w14:solidFill>
                </w14:textFill>
              </w:rPr>
            </w:pPr>
          </w:p>
        </w:tc>
        <w:tc>
          <w:tcPr>
            <w:tcW w:w="8171" w:type="dxa"/>
            <w:gridSpan w:val="4"/>
            <w:tcBorders>
              <w:top w:val="single" w:color="auto" w:sz="4" w:space="0"/>
              <w:left w:val="nil"/>
              <w:bottom w:val="single" w:color="auto" w:sz="4" w:space="0"/>
              <w:right w:val="single" w:color="auto" w:sz="4" w:space="0"/>
            </w:tcBorders>
            <w:vAlign w:val="center"/>
          </w:tcPr>
          <w:p>
            <w:pPr>
              <w:pStyle w:val="30"/>
              <w:ind w:firstLine="0" w:firstLineChars="0"/>
              <w:jc w:val="left"/>
              <w:rPr>
                <w:rFonts w:hint="eastAsia" w:ascii="仿宋_GB2312" w:hAnsi="仿宋_GB2312" w:eastAsia="仿宋_GB2312" w:cs="仿宋_GB2312"/>
                <w:sz w:val="24"/>
                <w:szCs w:val="24"/>
                <w:highlight w:val="none"/>
              </w:rPr>
            </w:pPr>
            <w:r>
              <w:rPr>
                <w:rFonts w:hint="eastAsia" w:ascii="宋体" w:hAnsi="宋体" w:eastAsia="宋体" w:cs="Times New Roman"/>
                <w:color w:val="000000" w:themeColor="text1"/>
                <w:sz w:val="21"/>
                <w:szCs w:val="22"/>
                <w14:textFill>
                  <w14:solidFill>
                    <w14:schemeClr w14:val="tx1"/>
                  </w14:solidFill>
                </w14:textFill>
              </w:rPr>
              <w:t>计分公式依据：《深圳市政府采购评标委员会和评标方法暂行规定》二十一条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restart"/>
            <w:tcBorders>
              <w:top w:val="nil"/>
              <w:left w:val="single" w:color="auto" w:sz="4" w:space="0"/>
              <w:bottom w:val="single" w:color="auto" w:sz="4" w:space="0"/>
              <w:right w:val="single" w:color="auto" w:sz="4" w:space="0"/>
            </w:tcBorders>
            <w:vAlign w:val="center"/>
          </w:tcPr>
          <w:p>
            <w:pPr>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2</w:t>
            </w:r>
          </w:p>
        </w:tc>
        <w:tc>
          <w:tcPr>
            <w:tcW w:w="2131"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技术服务部分</w:t>
            </w:r>
          </w:p>
        </w:tc>
        <w:tc>
          <w:tcPr>
            <w:tcW w:w="6040"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
                <w:bCs/>
                <w:color w:val="000000" w:themeColor="text1"/>
                <w:szCs w:val="21"/>
                <w14:textFill>
                  <w14:solidFill>
                    <w14:schemeClr w14:val="tx1"/>
                  </w14:solidFill>
                </w14:textFill>
              </w:rPr>
            </w:pPr>
          </w:p>
        </w:tc>
        <w:tc>
          <w:tcPr>
            <w:tcW w:w="761"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1370"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评分因素</w:t>
            </w: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b/>
                <w:bCs/>
                <w:color w:val="000000" w:themeColor="text1"/>
                <w:lang w:val="en-US" w:eastAsia="zh-CN"/>
                <w14:textFill>
                  <w14:solidFill>
                    <w14:schemeClr w14:val="tx1"/>
                  </w14:solidFill>
                </w14:textFill>
              </w:rPr>
              <w:t>分值</w:t>
            </w:r>
          </w:p>
        </w:tc>
        <w:tc>
          <w:tcPr>
            <w:tcW w:w="5331"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
                <w:bCs/>
                <w:color w:val="000000" w:themeColor="text1"/>
                <w:szCs w:val="21"/>
                <w14:textFill>
                  <w14:solidFill>
                    <w14:schemeClr w14:val="tx1"/>
                  </w14:solidFill>
                </w14:textFill>
              </w:rPr>
            </w:pPr>
          </w:p>
        </w:tc>
        <w:tc>
          <w:tcPr>
            <w:tcW w:w="761"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（1）</w:t>
            </w:r>
          </w:p>
        </w:tc>
        <w:tc>
          <w:tcPr>
            <w:tcW w:w="1370"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维保方案</w:t>
            </w:r>
          </w:p>
        </w:tc>
        <w:tc>
          <w:tcPr>
            <w:tcW w:w="709" w:type="dxa"/>
            <w:tcBorders>
              <w:top w:val="single" w:color="auto" w:sz="4" w:space="0"/>
              <w:left w:val="nil"/>
              <w:bottom w:val="single" w:color="auto" w:sz="4" w:space="0"/>
              <w:right w:val="single" w:color="auto" w:sz="4" w:space="0"/>
            </w:tcBorders>
            <w:vAlign w:val="center"/>
          </w:tcPr>
          <w:p>
            <w:pPr>
              <w:pStyle w:val="2"/>
              <w:ind w:firstLine="0"/>
              <w:jc w:val="center"/>
              <w:rPr>
                <w:rFonts w:ascii="宋体" w:hAnsi="宋体"/>
                <w:color w:val="000000" w:themeColor="text1"/>
                <w14:textFill>
                  <w14:solidFill>
                    <w14:schemeClr w14:val="tx1"/>
                  </w14:solidFill>
                </w14:textFill>
              </w:rPr>
            </w:pPr>
            <w:r>
              <w:rPr>
                <w:rFonts w:ascii="宋体" w:hAnsi="宋体"/>
                <w:color w:val="000000" w:themeColor="text1"/>
                <w:kern w:val="2"/>
                <w:sz w:val="21"/>
                <w:szCs w:val="21"/>
                <w14:textFill>
                  <w14:solidFill>
                    <w14:schemeClr w14:val="tx1"/>
                  </w14:solidFill>
                </w14:textFill>
              </w:rPr>
              <w:t>10</w:t>
            </w:r>
          </w:p>
        </w:tc>
        <w:tc>
          <w:tcPr>
            <w:tcW w:w="5331"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1、评审内容：</w:t>
            </w:r>
          </w:p>
          <w:p>
            <w:pPr>
              <w:jc w:val="lef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根据招标文件的需求和投标文件响应情况进行评分：</w:t>
            </w:r>
          </w:p>
          <w:p>
            <w:pPr>
              <w:jc w:val="lef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（1）需求分析；</w:t>
            </w:r>
          </w:p>
          <w:p>
            <w:pPr>
              <w:jc w:val="lef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（2）维保工作方法；</w:t>
            </w:r>
          </w:p>
          <w:p>
            <w:pPr>
              <w:jc w:val="lef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（3）维保工作流程；</w:t>
            </w:r>
          </w:p>
          <w:p>
            <w:pPr>
              <w:jc w:val="lef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2、评审标准：</w:t>
            </w:r>
          </w:p>
          <w:p>
            <w:pPr>
              <w:jc w:val="lef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满足以上3项要求得70%，满足以上2项要求得40%，满足以上1项要求得20%，其他不得分。</w:t>
            </w:r>
          </w:p>
          <w:p>
            <w:pPr>
              <w:jc w:val="lef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在此基础上，</w:t>
            </w:r>
            <w:r>
              <w:rPr>
                <w:rFonts w:hint="eastAsia" w:ascii="宋体" w:hAnsi="宋体" w:eastAsia="宋体"/>
                <w:color w:val="000000" w:themeColor="text1"/>
                <w:lang w:eastAsia="zh-CN"/>
                <w14:textFill>
                  <w14:solidFill>
                    <w14:schemeClr w14:val="tx1"/>
                  </w14:solidFill>
                </w14:textFill>
              </w:rPr>
              <w:t>采购小组</w:t>
            </w:r>
            <w:r>
              <w:rPr>
                <w:rFonts w:hint="eastAsia" w:ascii="宋体" w:hAnsi="宋体" w:eastAsia="宋体"/>
                <w:color w:val="000000" w:themeColor="text1"/>
                <w14:textFill>
                  <w14:solidFill>
                    <w14:schemeClr w14:val="tx1"/>
                  </w14:solidFill>
                </w14:textFill>
              </w:rPr>
              <w:t>根据各供应商的具体响应内容按照量化的评审因素指标进一步评审。</w:t>
            </w:r>
          </w:p>
          <w:p>
            <w:pPr>
              <w:jc w:val="lef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优：有具体、合理的时间节点和步骤；有具体、合理的人员安排及明确的分工；对突发情况有具体、合理的应对措施的得30%；</w:t>
            </w:r>
          </w:p>
          <w:p>
            <w:pPr>
              <w:jc w:val="lef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良：有合理的时间节点和步骤；有合理的人员安排及明确的分工；对突发情况有合理应对措施的得20%；</w:t>
            </w:r>
          </w:p>
          <w:p>
            <w:pPr>
              <w:jc w:val="lef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中：时间节点和步骤表述不清晰；人员安排及分工表述不清晰；对突发情况的应对措施表述不清晰的得10%。</w:t>
            </w:r>
          </w:p>
          <w:p>
            <w:pPr>
              <w:jc w:val="lef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差：方案存在内容严重缺失、不合理、不清晰任一情形的，不得分。</w:t>
            </w:r>
          </w:p>
          <w:p>
            <w:pPr>
              <w:jc w:val="left"/>
              <w:rPr>
                <w:rFonts w:ascii="宋体" w:hAnsi="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
                <w:bCs/>
                <w:color w:val="000000" w:themeColor="text1"/>
                <w:szCs w:val="21"/>
                <w14:textFill>
                  <w14:solidFill>
                    <w14:schemeClr w14:val="tx1"/>
                  </w14:solidFill>
                </w14:textFill>
              </w:rPr>
            </w:pPr>
          </w:p>
        </w:tc>
        <w:tc>
          <w:tcPr>
            <w:tcW w:w="761" w:type="dxa"/>
            <w:tcBorders>
              <w:top w:val="single" w:color="auto" w:sz="4" w:space="0"/>
              <w:left w:val="nil"/>
              <w:bottom w:val="single" w:color="auto" w:sz="4" w:space="0"/>
              <w:right w:val="single" w:color="auto" w:sz="4" w:space="0"/>
            </w:tcBorders>
            <w:vAlign w:val="center"/>
          </w:tcPr>
          <w:p>
            <w:pPr>
              <w:jc w:val="center"/>
              <w:rPr>
                <w:rFonts w:hint="default" w:ascii="宋体" w:hAnsi="宋体"/>
                <w:color w:val="000000" w:themeColor="text1"/>
                <w14:textFill>
                  <w14:solidFill>
                    <w14:schemeClr w14:val="tx1"/>
                  </w14:solidFill>
                </w14:textFill>
              </w:rPr>
            </w:pPr>
            <w:r>
              <w:rPr>
                <w:rFonts w:hint="default"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2</w:t>
            </w:r>
            <w:r>
              <w:rPr>
                <w:rFonts w:hint="default" w:ascii="宋体" w:hAnsi="宋体"/>
                <w:color w:val="000000" w:themeColor="text1"/>
                <w14:textFill>
                  <w14:solidFill>
                    <w14:schemeClr w14:val="tx1"/>
                  </w14:solidFill>
                </w14:textFill>
              </w:rPr>
              <w:t>）</w:t>
            </w:r>
          </w:p>
        </w:tc>
        <w:tc>
          <w:tcPr>
            <w:tcW w:w="1370"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项目重点难点分析、应对措施及相关的合理化建议</w:t>
            </w:r>
          </w:p>
        </w:tc>
        <w:tc>
          <w:tcPr>
            <w:tcW w:w="709" w:type="dxa"/>
            <w:tcBorders>
              <w:top w:val="single" w:color="auto" w:sz="4" w:space="0"/>
              <w:left w:val="nil"/>
              <w:bottom w:val="single" w:color="auto" w:sz="4" w:space="0"/>
              <w:right w:val="single" w:color="auto" w:sz="4" w:space="0"/>
            </w:tcBorders>
            <w:vAlign w:val="center"/>
          </w:tcPr>
          <w:p>
            <w:pPr>
              <w:jc w:val="center"/>
              <w:rPr>
                <w:rFonts w:hint="default" w:ascii="宋体" w:hAnsi="宋体"/>
                <w:color w:val="000000" w:themeColor="text1"/>
                <w14:textFill>
                  <w14:solidFill>
                    <w14:schemeClr w14:val="tx1"/>
                  </w14:solidFill>
                </w14:textFill>
              </w:rPr>
            </w:pPr>
            <w:r>
              <w:rPr>
                <w:rFonts w:hint="default" w:ascii="宋体" w:hAnsi="宋体"/>
                <w:color w:val="000000" w:themeColor="text1"/>
                <w14:textFill>
                  <w14:solidFill>
                    <w14:schemeClr w14:val="tx1"/>
                  </w14:solidFill>
                </w14:textFill>
              </w:rPr>
              <w:t>8</w:t>
            </w:r>
          </w:p>
        </w:tc>
        <w:tc>
          <w:tcPr>
            <w:tcW w:w="5331"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Times New Roman"/>
                <w:color w:val="000000" w:themeColor="text1"/>
                <w:sz w:val="21"/>
                <w:szCs w:val="22"/>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1、评审内容：</w:t>
            </w:r>
            <w:r>
              <w:rPr>
                <w:rFonts w:hint="eastAsia" w:ascii="宋体" w:hAnsi="宋体" w:eastAsia="宋体" w:cs="Times New Roman"/>
                <w:color w:val="000000" w:themeColor="text1"/>
                <w:sz w:val="21"/>
                <w:szCs w:val="22"/>
                <w14:textFill>
                  <w14:solidFill>
                    <w14:schemeClr w14:val="tx1"/>
                  </w14:solidFill>
                </w14:textFill>
              </w:rPr>
              <w:br w:type="textWrapping"/>
            </w:r>
            <w:r>
              <w:rPr>
                <w:rFonts w:hint="eastAsia" w:ascii="宋体" w:hAnsi="宋体" w:eastAsia="宋体" w:cs="Times New Roman"/>
                <w:color w:val="000000" w:themeColor="text1"/>
                <w:sz w:val="21"/>
                <w:szCs w:val="22"/>
                <w:lang w:eastAsia="zh-CN"/>
                <w14:textFill>
                  <w14:solidFill>
                    <w14:schemeClr w14:val="tx1"/>
                  </w14:solidFill>
                </w14:textFill>
              </w:rPr>
              <w:t>报价方</w:t>
            </w:r>
            <w:r>
              <w:rPr>
                <w:rFonts w:hint="eastAsia" w:ascii="宋体" w:hAnsi="宋体" w:eastAsia="宋体" w:cs="Times New Roman"/>
                <w:color w:val="000000" w:themeColor="text1"/>
                <w:sz w:val="21"/>
                <w:szCs w:val="22"/>
                <w14:textFill>
                  <w14:solidFill>
                    <w14:schemeClr w14:val="tx1"/>
                  </w14:solidFill>
                </w14:textFill>
              </w:rPr>
              <w:t>提供的项目重点难点分析、应对措施及相关的合理化建议须包含以下内容：</w:t>
            </w:r>
          </w:p>
          <w:p>
            <w:pPr>
              <w:jc w:val="left"/>
              <w:rPr>
                <w:rFonts w:hint="eastAsia" w:ascii="宋体" w:hAnsi="宋体" w:eastAsia="宋体" w:cs="Times New Roman"/>
                <w:color w:val="000000" w:themeColor="text1"/>
                <w:sz w:val="21"/>
                <w:szCs w:val="22"/>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 xml:space="preserve">（1）项目重难点分析； </w:t>
            </w:r>
          </w:p>
          <w:p>
            <w:pPr>
              <w:jc w:val="left"/>
              <w:rPr>
                <w:rFonts w:hint="eastAsia" w:ascii="宋体" w:hAnsi="宋体" w:eastAsia="宋体" w:cs="Times New Roman"/>
                <w:color w:val="000000" w:themeColor="text1"/>
                <w:sz w:val="21"/>
                <w:szCs w:val="22"/>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 xml:space="preserve">（2）项目重难点解决方案； </w:t>
            </w:r>
          </w:p>
          <w:p>
            <w:pPr>
              <w:jc w:val="left"/>
              <w:rPr>
                <w:rFonts w:hint="eastAsia" w:ascii="宋体" w:hAnsi="宋体" w:eastAsia="宋体" w:cs="Times New Roman"/>
                <w:color w:val="000000" w:themeColor="text1"/>
                <w:sz w:val="21"/>
                <w:szCs w:val="22"/>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（3）配套的合理化建议；</w:t>
            </w:r>
            <w:r>
              <w:rPr>
                <w:rFonts w:hint="eastAsia" w:ascii="宋体" w:hAnsi="宋体" w:eastAsia="宋体" w:cs="Times New Roman"/>
                <w:color w:val="000000" w:themeColor="text1"/>
                <w:sz w:val="21"/>
                <w:szCs w:val="22"/>
                <w14:textFill>
                  <w14:solidFill>
                    <w14:schemeClr w14:val="tx1"/>
                  </w14:solidFill>
                </w14:textFill>
              </w:rPr>
              <w:br w:type="textWrapping"/>
            </w:r>
            <w:r>
              <w:rPr>
                <w:rFonts w:hint="eastAsia" w:ascii="宋体" w:hAnsi="宋体" w:eastAsia="宋体" w:cs="Times New Roman"/>
                <w:color w:val="000000" w:themeColor="text1"/>
                <w:sz w:val="21"/>
                <w:szCs w:val="22"/>
                <w14:textFill>
                  <w14:solidFill>
                    <w14:schemeClr w14:val="tx1"/>
                  </w14:solidFill>
                </w14:textFill>
              </w:rPr>
              <w:t>2、评审标准：</w:t>
            </w:r>
            <w:r>
              <w:rPr>
                <w:rFonts w:hint="eastAsia" w:ascii="宋体" w:hAnsi="宋体" w:eastAsia="宋体" w:cs="Times New Roman"/>
                <w:color w:val="000000" w:themeColor="text1"/>
                <w:sz w:val="21"/>
                <w:szCs w:val="22"/>
                <w14:textFill>
                  <w14:solidFill>
                    <w14:schemeClr w14:val="tx1"/>
                  </w14:solidFill>
                </w14:textFill>
              </w:rPr>
              <w:br w:type="textWrapping"/>
            </w:r>
            <w:r>
              <w:rPr>
                <w:rFonts w:hint="eastAsia" w:ascii="宋体" w:hAnsi="宋体" w:eastAsia="宋体" w:cs="Times New Roman"/>
                <w:color w:val="000000" w:themeColor="text1"/>
                <w:sz w:val="21"/>
                <w:szCs w:val="22"/>
                <w14:textFill>
                  <w14:solidFill>
                    <w14:schemeClr w14:val="tx1"/>
                  </w14:solidFill>
                </w14:textFill>
              </w:rPr>
              <w:t>满足以上3项要求得70%，满足以上2项要求得40%，满足以上1项要求得20%，其他不得分。</w:t>
            </w:r>
          </w:p>
          <w:p>
            <w:pPr>
              <w:jc w:val="left"/>
              <w:rPr>
                <w:rFonts w:hint="eastAsia" w:ascii="宋体" w:hAnsi="宋体" w:eastAsia="宋体" w:cs="Times New Roman"/>
                <w:color w:val="000000" w:themeColor="text1"/>
                <w:sz w:val="21"/>
                <w:szCs w:val="22"/>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在此基础上，</w:t>
            </w:r>
            <w:r>
              <w:rPr>
                <w:rFonts w:hint="eastAsia" w:ascii="宋体" w:hAnsi="宋体" w:eastAsia="宋体" w:cs="Times New Roman"/>
                <w:color w:val="000000" w:themeColor="text1"/>
                <w:sz w:val="21"/>
                <w:szCs w:val="22"/>
                <w:lang w:eastAsia="zh-CN"/>
                <w14:textFill>
                  <w14:solidFill>
                    <w14:schemeClr w14:val="tx1"/>
                  </w14:solidFill>
                </w14:textFill>
              </w:rPr>
              <w:t>采购小组</w:t>
            </w:r>
            <w:r>
              <w:rPr>
                <w:rFonts w:hint="eastAsia" w:ascii="宋体" w:hAnsi="宋体" w:eastAsia="宋体" w:cs="Times New Roman"/>
                <w:color w:val="000000" w:themeColor="text1"/>
                <w:sz w:val="21"/>
                <w:szCs w:val="22"/>
                <w14:textFill>
                  <w14:solidFill>
                    <w14:schemeClr w14:val="tx1"/>
                  </w14:solidFill>
                </w14:textFill>
              </w:rPr>
              <w:t>根据各供应商的具体响应内容按照量化的评审因素指标进一步评审。</w:t>
            </w:r>
          </w:p>
          <w:p>
            <w:pPr>
              <w:jc w:val="left"/>
              <w:rPr>
                <w:rFonts w:hint="eastAsia" w:ascii="宋体" w:hAnsi="宋体" w:eastAsia="宋体" w:cs="Times New Roman"/>
                <w:color w:val="000000" w:themeColor="text1"/>
                <w:sz w:val="21"/>
                <w:szCs w:val="22"/>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优：项目重点难点分析透彻、应对措施及相关的合理化建议完善的得30%；</w:t>
            </w:r>
          </w:p>
          <w:p>
            <w:pPr>
              <w:jc w:val="left"/>
              <w:rPr>
                <w:rFonts w:hint="eastAsia" w:ascii="宋体" w:hAnsi="宋体" w:eastAsia="宋体" w:cs="Times New Roman"/>
                <w:color w:val="000000" w:themeColor="text1"/>
                <w:sz w:val="21"/>
                <w:szCs w:val="22"/>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良：项目重点难点分析较透彻、应对措施及相关的合理化建议较完善的得20%；</w:t>
            </w:r>
          </w:p>
          <w:p>
            <w:pPr>
              <w:jc w:val="left"/>
              <w:rPr>
                <w:rFonts w:hint="eastAsia" w:ascii="宋体" w:hAnsi="宋体" w:eastAsia="宋体" w:cs="Times New Roman"/>
                <w:color w:val="000000" w:themeColor="text1"/>
                <w:sz w:val="21"/>
                <w:szCs w:val="22"/>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中：项目重点难点分析一般、应对措施及相关的合理化建议一般的得10%；</w:t>
            </w:r>
          </w:p>
          <w:p>
            <w:pPr>
              <w:jc w:val="left"/>
              <w:rPr>
                <w:rFonts w:hint="eastAsia" w:ascii="宋体" w:hAnsi="宋体" w:eastAsia="宋体" w:cs="Times New Roman"/>
                <w:color w:val="000000" w:themeColor="text1"/>
                <w:sz w:val="21"/>
                <w:szCs w:val="22"/>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差：项目重点难点分析不透彻、应对措施及相关的合理化建议不完善的不得分。</w:t>
            </w:r>
          </w:p>
          <w:p>
            <w:pPr>
              <w:jc w:val="left"/>
              <w:rPr>
                <w:rFonts w:hint="eastAsia" w:ascii="宋体" w:hAnsi="宋体" w:eastAsia="宋体"/>
                <w:color w:val="000000" w:themeColor="text1"/>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
                <w:bCs/>
                <w:color w:val="000000" w:themeColor="text1"/>
                <w:szCs w:val="21"/>
                <w14:textFill>
                  <w14:solidFill>
                    <w14:schemeClr w14:val="tx1"/>
                  </w14:solidFill>
                </w14:textFill>
              </w:rPr>
            </w:pPr>
          </w:p>
        </w:tc>
        <w:tc>
          <w:tcPr>
            <w:tcW w:w="761"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default" w:ascii="宋体" w:hAnsi="宋体"/>
                <w:color w:val="000000" w:themeColor="text1"/>
                <w14:textFill>
                  <w14:solidFill>
                    <w14:schemeClr w14:val="tx1"/>
                  </w14:solidFill>
                </w14:textFill>
              </w:rPr>
              <w:t>（3）</w:t>
            </w:r>
          </w:p>
        </w:tc>
        <w:tc>
          <w:tcPr>
            <w:tcW w:w="1370"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质量保障措施</w:t>
            </w:r>
          </w:p>
        </w:tc>
        <w:tc>
          <w:tcPr>
            <w:tcW w:w="709" w:type="dxa"/>
            <w:tcBorders>
              <w:top w:val="single" w:color="auto" w:sz="4" w:space="0"/>
              <w:left w:val="nil"/>
              <w:bottom w:val="single" w:color="auto" w:sz="4" w:space="0"/>
              <w:right w:val="single" w:color="auto" w:sz="4" w:space="0"/>
            </w:tcBorders>
            <w:vAlign w:val="center"/>
          </w:tcPr>
          <w:p>
            <w:pPr>
              <w:jc w:val="center"/>
              <w:rPr>
                <w:rFonts w:hint="default" w:ascii="宋体" w:hAnsi="宋体"/>
                <w:color w:val="000000" w:themeColor="text1"/>
                <w14:textFill>
                  <w14:solidFill>
                    <w14:schemeClr w14:val="tx1"/>
                  </w14:solidFill>
                </w14:textFill>
              </w:rPr>
            </w:pPr>
            <w:r>
              <w:rPr>
                <w:rFonts w:hint="default" w:ascii="宋体" w:hAnsi="宋体"/>
                <w:color w:val="000000" w:themeColor="text1"/>
                <w14:textFill>
                  <w14:solidFill>
                    <w14:schemeClr w14:val="tx1"/>
                  </w14:solidFill>
                </w14:textFill>
              </w:rPr>
              <w:t>7</w:t>
            </w:r>
          </w:p>
        </w:tc>
        <w:tc>
          <w:tcPr>
            <w:tcW w:w="5331"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Times New Roman"/>
                <w:color w:val="000000" w:themeColor="text1"/>
                <w:sz w:val="21"/>
                <w:szCs w:val="22"/>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1、评审内容：</w:t>
            </w:r>
          </w:p>
          <w:p>
            <w:pPr>
              <w:jc w:val="left"/>
              <w:rPr>
                <w:rFonts w:hint="eastAsia" w:ascii="宋体" w:hAnsi="宋体" w:eastAsia="宋体" w:cs="Times New Roman"/>
                <w:color w:val="000000" w:themeColor="text1"/>
                <w:sz w:val="21"/>
                <w:szCs w:val="22"/>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（1）实施组织计划；</w:t>
            </w:r>
          </w:p>
          <w:p>
            <w:pPr>
              <w:jc w:val="left"/>
              <w:rPr>
                <w:rFonts w:hint="eastAsia" w:ascii="宋体" w:hAnsi="宋体" w:eastAsia="宋体" w:cs="Times New Roman"/>
                <w:color w:val="000000" w:themeColor="text1"/>
                <w:sz w:val="21"/>
                <w:szCs w:val="22"/>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 xml:space="preserve">（2）服务质量保障措施； </w:t>
            </w:r>
          </w:p>
          <w:p>
            <w:pPr>
              <w:jc w:val="left"/>
              <w:rPr>
                <w:rFonts w:hint="eastAsia" w:ascii="宋体" w:hAnsi="宋体" w:eastAsia="宋体" w:cs="Times New Roman"/>
                <w:color w:val="000000" w:themeColor="text1"/>
                <w:sz w:val="21"/>
                <w:szCs w:val="22"/>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2、评审标准：</w:t>
            </w:r>
          </w:p>
          <w:p>
            <w:pPr>
              <w:jc w:val="left"/>
              <w:rPr>
                <w:rFonts w:hint="eastAsia" w:ascii="宋体" w:hAnsi="宋体" w:eastAsia="宋体" w:cs="Times New Roman"/>
                <w:color w:val="000000" w:themeColor="text1"/>
                <w:sz w:val="21"/>
                <w:szCs w:val="22"/>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满足以上2项要求得70%，满足以上1项要求得30%，其他不得分。在此基础上，</w:t>
            </w:r>
            <w:r>
              <w:rPr>
                <w:rFonts w:hint="eastAsia" w:ascii="宋体" w:hAnsi="宋体" w:eastAsia="宋体" w:cs="Times New Roman"/>
                <w:color w:val="000000" w:themeColor="text1"/>
                <w:sz w:val="21"/>
                <w:szCs w:val="22"/>
                <w:lang w:eastAsia="zh-CN"/>
                <w14:textFill>
                  <w14:solidFill>
                    <w14:schemeClr w14:val="tx1"/>
                  </w14:solidFill>
                </w14:textFill>
              </w:rPr>
              <w:t>采购小组</w:t>
            </w:r>
            <w:r>
              <w:rPr>
                <w:rFonts w:hint="eastAsia" w:ascii="宋体" w:hAnsi="宋体" w:eastAsia="宋体" w:cs="Times New Roman"/>
                <w:color w:val="000000" w:themeColor="text1"/>
                <w:sz w:val="21"/>
                <w:szCs w:val="22"/>
                <w14:textFill>
                  <w14:solidFill>
                    <w14:schemeClr w14:val="tx1"/>
                  </w14:solidFill>
                </w14:textFill>
              </w:rPr>
              <w:t>根据各供应商的具体响应内容按照量化的评审因素指标进一步评审。</w:t>
            </w:r>
          </w:p>
          <w:p>
            <w:pPr>
              <w:jc w:val="left"/>
              <w:rPr>
                <w:rFonts w:hint="eastAsia" w:ascii="宋体" w:hAnsi="宋体" w:eastAsia="宋体" w:cs="Times New Roman"/>
                <w:color w:val="000000" w:themeColor="text1"/>
                <w:sz w:val="21"/>
                <w:szCs w:val="22"/>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优：方案内容完整、科学合理、清晰准确，得30%；</w:t>
            </w:r>
          </w:p>
          <w:p>
            <w:pPr>
              <w:jc w:val="left"/>
              <w:rPr>
                <w:rFonts w:hint="eastAsia" w:ascii="宋体" w:hAnsi="宋体" w:eastAsia="宋体" w:cs="Times New Roman"/>
                <w:color w:val="000000" w:themeColor="text1"/>
                <w:sz w:val="21"/>
                <w:szCs w:val="22"/>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良：方案内容较为完整、较为合理、较为清晰，得20%；</w:t>
            </w:r>
          </w:p>
          <w:p>
            <w:pPr>
              <w:jc w:val="left"/>
              <w:rPr>
                <w:rFonts w:hint="eastAsia" w:ascii="宋体" w:hAnsi="宋体" w:eastAsia="宋体" w:cs="Times New Roman"/>
                <w:color w:val="000000" w:themeColor="text1"/>
                <w:sz w:val="21"/>
                <w:szCs w:val="22"/>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中：方案内容有部分缺少、基本合理、基本清晰，得10%；</w:t>
            </w:r>
          </w:p>
          <w:p>
            <w:pPr>
              <w:jc w:val="left"/>
              <w:rPr>
                <w:rFonts w:hint="eastAsia" w:ascii="宋体" w:hAnsi="宋体" w:eastAsia="宋体" w:cs="Times New Roman"/>
                <w:color w:val="000000" w:themeColor="text1"/>
                <w:sz w:val="21"/>
                <w:szCs w:val="22"/>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差：服务方案存在内容严重缺失、不合理、不清晰任一情形的，不得分。</w:t>
            </w:r>
          </w:p>
          <w:p>
            <w:pPr>
              <w:jc w:val="left"/>
              <w:rPr>
                <w:rFonts w:hint="eastAsia" w:ascii="宋体" w:hAnsi="宋体" w:eastAsia="宋体"/>
                <w:color w:val="000000" w:themeColor="text1"/>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
                <w:bCs/>
                <w:color w:val="000000" w:themeColor="text1"/>
                <w:szCs w:val="21"/>
                <w14:textFill>
                  <w14:solidFill>
                    <w14:schemeClr w14:val="tx1"/>
                  </w14:solidFill>
                </w14:textFill>
              </w:rPr>
            </w:pPr>
          </w:p>
        </w:tc>
        <w:tc>
          <w:tcPr>
            <w:tcW w:w="761"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default" w:ascii="宋体" w:hAnsi="宋体"/>
                <w:color w:val="000000" w:themeColor="text1"/>
                <w14:textFill>
                  <w14:solidFill>
                    <w14:schemeClr w14:val="tx1"/>
                  </w14:solidFill>
                </w14:textFill>
              </w:rPr>
              <w:t>（4）</w:t>
            </w:r>
          </w:p>
        </w:tc>
        <w:tc>
          <w:tcPr>
            <w:tcW w:w="1370" w:type="dxa"/>
            <w:tcBorders>
              <w:top w:val="single" w:color="auto" w:sz="4" w:space="0"/>
              <w:left w:val="nil"/>
              <w:bottom w:val="single" w:color="auto" w:sz="4" w:space="0"/>
              <w:right w:val="single" w:color="auto" w:sz="4" w:space="0"/>
            </w:tcBorders>
            <w:vAlign w:val="center"/>
          </w:tcPr>
          <w:p>
            <w:pPr>
              <w:jc w:val="center"/>
              <w:rPr>
                <w:rFonts w:hint="default" w:ascii="宋体" w:hAnsi="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拟安排的项目负责人情况（仅限一人）</w:t>
            </w: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10</w:t>
            </w:r>
          </w:p>
        </w:tc>
        <w:tc>
          <w:tcPr>
            <w:tcW w:w="5331"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Times New Roman"/>
                <w:color w:val="000000" w:themeColor="text1"/>
                <w:sz w:val="21"/>
                <w:szCs w:val="22"/>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拟安排的项目负责人必须是投标单位的在职人员，以社保为准，否则不得分。在此基础上，以下2项累加计分：</w:t>
            </w:r>
          </w:p>
          <w:p>
            <w:pPr>
              <w:jc w:val="left"/>
              <w:rPr>
                <w:rFonts w:hint="eastAsia" w:ascii="宋体" w:hAnsi="宋体" w:eastAsia="宋体" w:cs="Times New Roman"/>
                <w:color w:val="000000" w:themeColor="text1"/>
                <w:sz w:val="21"/>
                <w:szCs w:val="22"/>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（一）评分内容：</w:t>
            </w:r>
          </w:p>
          <w:p>
            <w:pPr>
              <w:jc w:val="left"/>
              <w:rPr>
                <w:rFonts w:hint="eastAsia" w:ascii="宋体" w:hAnsi="宋体" w:eastAsia="宋体" w:cs="Times New Roman"/>
                <w:color w:val="000000" w:themeColor="text1"/>
                <w:sz w:val="21"/>
                <w:szCs w:val="22"/>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1、具备人力资源和社会保障部、工业和信息化部颁发的信息系统项目管理师、系统集成项目管理工程师证书和软件设计师证书，得50%；</w:t>
            </w:r>
          </w:p>
          <w:p>
            <w:pPr>
              <w:jc w:val="left"/>
              <w:rPr>
                <w:rFonts w:hint="eastAsia" w:ascii="宋体" w:hAnsi="宋体" w:eastAsia="宋体" w:cs="Times New Roman"/>
                <w:color w:val="000000" w:themeColor="text1"/>
                <w:sz w:val="21"/>
                <w:szCs w:val="22"/>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2、自2022年1月1日至本项目投标截止之日（以合同签订日期为准），作为项目负责人承接过政府部门或事业单位的信息化建设经验，每提供1项得25%，最高不超过50%。</w:t>
            </w:r>
          </w:p>
          <w:p>
            <w:pPr>
              <w:jc w:val="left"/>
              <w:rPr>
                <w:rFonts w:hint="eastAsia" w:ascii="宋体" w:hAnsi="宋体" w:eastAsia="宋体" w:cs="Times New Roman"/>
                <w:color w:val="000000" w:themeColor="text1"/>
                <w:sz w:val="21"/>
                <w:szCs w:val="22"/>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（二）评分依据：</w:t>
            </w:r>
          </w:p>
          <w:p>
            <w:pPr>
              <w:jc w:val="left"/>
              <w:rPr>
                <w:rFonts w:hint="eastAsia" w:ascii="宋体" w:hAnsi="宋体" w:eastAsia="宋体" w:cs="Times New Roman"/>
                <w:color w:val="000000" w:themeColor="text1"/>
                <w:sz w:val="21"/>
                <w:szCs w:val="22"/>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1、提供报价方为其缴纳的近3个月加盖社保部门公章的社保证明（社保不中断，如报价截止日上一个月的社保证明因社保部门原因暂时无法取得，则可往前顺延一个月；报价方成立时间不足三个月的，按成立时限提供社保证明）；</w:t>
            </w:r>
          </w:p>
          <w:p>
            <w:pPr>
              <w:jc w:val="left"/>
              <w:rPr>
                <w:rFonts w:hint="eastAsia" w:ascii="宋体" w:hAnsi="宋体" w:eastAsia="宋体" w:cs="Times New Roman"/>
                <w:color w:val="000000" w:themeColor="text1"/>
                <w:sz w:val="21"/>
                <w:szCs w:val="22"/>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2、提供人员证书扫描件，原件备查。</w:t>
            </w:r>
          </w:p>
          <w:p>
            <w:pPr>
              <w:jc w:val="left"/>
              <w:rPr>
                <w:rFonts w:hint="eastAsia" w:ascii="宋体" w:hAnsi="宋体" w:eastAsia="宋体" w:cs="Times New Roman"/>
                <w:color w:val="000000" w:themeColor="text1"/>
                <w:sz w:val="21"/>
                <w:szCs w:val="22"/>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3、涉及考察人员工作经验的，要求提供项目合同关键信息作为得分依据，若合同内未体现项目负责人姓名和项目负责人岗位的，需提供甲方开具的拟派项目负责人的相关证明。</w:t>
            </w:r>
          </w:p>
          <w:p>
            <w:pPr>
              <w:jc w:val="left"/>
              <w:rPr>
                <w:rFonts w:hint="eastAsia" w:ascii="宋体" w:hAnsi="宋体" w:eastAsia="宋体"/>
                <w:color w:val="000000" w:themeColor="text1"/>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备注：以上资料均要求提供扫描件，原件备查，评分中出现无证明资料或证书过期或</w:t>
            </w:r>
            <w:r>
              <w:rPr>
                <w:rFonts w:hint="eastAsia" w:ascii="宋体" w:hAnsi="宋体" w:eastAsia="宋体" w:cs="Times New Roman"/>
                <w:color w:val="000000" w:themeColor="text1"/>
                <w:sz w:val="21"/>
                <w:szCs w:val="22"/>
                <w:lang w:eastAsia="zh-CN"/>
                <w14:textFill>
                  <w14:solidFill>
                    <w14:schemeClr w14:val="tx1"/>
                  </w14:solidFill>
                </w14:textFill>
              </w:rPr>
              <w:t>采购小组</w:t>
            </w:r>
            <w:r>
              <w:rPr>
                <w:rFonts w:hint="eastAsia" w:ascii="宋体" w:hAnsi="宋体" w:eastAsia="宋体" w:cs="Times New Roman"/>
                <w:color w:val="000000" w:themeColor="text1"/>
                <w:sz w:val="21"/>
                <w:szCs w:val="22"/>
                <w14:textFill>
                  <w14:solidFill>
                    <w14:schemeClr w14:val="tx1"/>
                  </w14:solidFill>
                </w14:textFill>
              </w:rPr>
              <w:t>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
                <w:bCs/>
                <w:color w:val="000000" w:themeColor="text1"/>
                <w:szCs w:val="21"/>
                <w14:textFill>
                  <w14:solidFill>
                    <w14:schemeClr w14:val="tx1"/>
                  </w14:solidFill>
                </w14:textFill>
              </w:rPr>
            </w:pPr>
          </w:p>
        </w:tc>
        <w:tc>
          <w:tcPr>
            <w:tcW w:w="761"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default" w:ascii="宋体" w:hAnsi="宋体" w:eastAsia="宋体"/>
                <w:color w:val="000000" w:themeColor="text1"/>
                <w14:textFill>
                  <w14:solidFill>
                    <w14:schemeClr w14:val="tx1"/>
                  </w14:solidFill>
                </w14:textFill>
              </w:rPr>
              <w:t>（5）</w:t>
            </w:r>
          </w:p>
        </w:tc>
        <w:tc>
          <w:tcPr>
            <w:tcW w:w="1370"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拟安排的项目维保团队成员情况（不含项目负责人）</w:t>
            </w: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10</w:t>
            </w:r>
          </w:p>
        </w:tc>
        <w:tc>
          <w:tcPr>
            <w:tcW w:w="5331" w:type="dxa"/>
            <w:tcBorders>
              <w:top w:val="single" w:color="auto" w:sz="4" w:space="0"/>
              <w:left w:val="nil"/>
              <w:bottom w:val="single" w:color="auto" w:sz="4" w:space="0"/>
              <w:right w:val="single" w:color="auto" w:sz="4" w:space="0"/>
            </w:tcBorders>
            <w:vAlign w:val="center"/>
          </w:tcPr>
          <w:p>
            <w:pPr>
              <w:wordWrap/>
              <w:jc w:val="left"/>
              <w:rPr>
                <w:rFonts w:hint="eastAsia" w:ascii="宋体" w:hAnsi="宋体" w:eastAsia="宋体" w:cs="Times New Roman"/>
                <w:color w:val="000000" w:themeColor="text1"/>
                <w:sz w:val="21"/>
                <w:szCs w:val="22"/>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拟安排的项目团队成员（项目负责人除外）需是</w:t>
            </w:r>
            <w:r>
              <w:rPr>
                <w:rFonts w:hint="eastAsia" w:ascii="宋体" w:hAnsi="宋体" w:eastAsia="宋体" w:cs="Times New Roman"/>
                <w:color w:val="000000" w:themeColor="text1"/>
                <w:sz w:val="21"/>
                <w:szCs w:val="22"/>
                <w:lang w:eastAsia="zh-CN"/>
                <w14:textFill>
                  <w14:solidFill>
                    <w14:schemeClr w14:val="tx1"/>
                  </w14:solidFill>
                </w14:textFill>
              </w:rPr>
              <w:t>报价方</w:t>
            </w:r>
            <w:r>
              <w:rPr>
                <w:rFonts w:hint="eastAsia" w:ascii="宋体" w:hAnsi="宋体" w:eastAsia="宋体" w:cs="Times New Roman"/>
                <w:color w:val="000000" w:themeColor="text1"/>
                <w:sz w:val="21"/>
                <w:szCs w:val="22"/>
                <w14:textFill>
                  <w14:solidFill>
                    <w14:schemeClr w14:val="tx1"/>
                  </w14:solidFill>
                </w14:textFill>
              </w:rPr>
              <w:t>自有员工，以社保为准，否则不得分。在此基础上，以下5项累加计分。</w:t>
            </w:r>
          </w:p>
          <w:p>
            <w:pPr>
              <w:wordWrap/>
              <w:jc w:val="left"/>
              <w:rPr>
                <w:rFonts w:hint="eastAsia" w:ascii="宋体" w:hAnsi="宋体" w:eastAsia="宋体" w:cs="Times New Roman"/>
                <w:color w:val="000000" w:themeColor="text1"/>
                <w:sz w:val="21"/>
                <w:szCs w:val="22"/>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（一）评分内容：</w:t>
            </w:r>
          </w:p>
          <w:p>
            <w:pPr>
              <w:jc w:val="left"/>
              <w:rPr>
                <w:rFonts w:hint="eastAsia" w:ascii="宋体" w:hAnsi="宋体" w:eastAsia="宋体" w:cs="Times New Roman"/>
                <w:color w:val="000000" w:themeColor="text1"/>
                <w:sz w:val="21"/>
                <w:szCs w:val="22"/>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考察项目团队成员情况，具备拥有以下类别证书的：</w:t>
            </w:r>
          </w:p>
          <w:p>
            <w:pPr>
              <w:jc w:val="left"/>
              <w:rPr>
                <w:rFonts w:hint="eastAsia" w:ascii="宋体" w:hAnsi="宋体" w:eastAsia="宋体" w:cs="Times New Roman"/>
                <w:color w:val="000000" w:themeColor="text1"/>
                <w:sz w:val="21"/>
                <w:szCs w:val="22"/>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1、团队成员中具有信息系统项目管理师证书的成员，提供</w:t>
            </w:r>
            <w:r>
              <w:rPr>
                <w:rFonts w:hint="eastAsia" w:ascii="宋体" w:hAnsi="宋体" w:eastAsia="宋体" w:cs="Times New Roman"/>
                <w:color w:val="000000" w:themeColor="text1"/>
                <w:sz w:val="21"/>
                <w:szCs w:val="22"/>
                <w:lang w:val="en-US" w:eastAsia="zh-CN"/>
                <w14:textFill>
                  <w14:solidFill>
                    <w14:schemeClr w14:val="tx1"/>
                  </w14:solidFill>
                </w14:textFill>
              </w:rPr>
              <w:t>1</w:t>
            </w:r>
            <w:r>
              <w:rPr>
                <w:rFonts w:hint="eastAsia" w:ascii="宋体" w:hAnsi="宋体" w:eastAsia="宋体" w:cs="Times New Roman"/>
                <w:color w:val="000000" w:themeColor="text1"/>
                <w:sz w:val="21"/>
                <w:szCs w:val="22"/>
                <w14:textFill>
                  <w14:solidFill>
                    <w14:schemeClr w14:val="tx1"/>
                  </w14:solidFill>
                </w14:textFill>
              </w:rPr>
              <w:t>名得</w:t>
            </w:r>
            <w:r>
              <w:rPr>
                <w:rFonts w:hint="eastAsia" w:ascii="宋体" w:hAnsi="宋体" w:eastAsia="宋体" w:cs="Times New Roman"/>
                <w:color w:val="000000" w:themeColor="text1"/>
                <w:sz w:val="21"/>
                <w:szCs w:val="22"/>
                <w:lang w:val="en-US" w:eastAsia="zh-CN"/>
                <w14:textFill>
                  <w14:solidFill>
                    <w14:schemeClr w14:val="tx1"/>
                  </w14:solidFill>
                </w14:textFill>
              </w:rPr>
              <w:t>2</w:t>
            </w:r>
            <w:r>
              <w:rPr>
                <w:rFonts w:hint="eastAsia" w:ascii="宋体" w:hAnsi="宋体" w:eastAsia="宋体" w:cs="Times New Roman"/>
                <w:color w:val="000000" w:themeColor="text1"/>
                <w:sz w:val="21"/>
                <w:szCs w:val="22"/>
                <w14:textFill>
                  <w14:solidFill>
                    <w14:schemeClr w14:val="tx1"/>
                  </w14:solidFill>
                </w14:textFill>
              </w:rPr>
              <w:t>0</w:t>
            </w:r>
            <w:r>
              <w:rPr>
                <w:rFonts w:hint="eastAsia" w:ascii="宋体" w:hAnsi="宋体" w:eastAsia="宋体" w:cs="Times New Roman"/>
                <w:color w:val="000000" w:themeColor="text1"/>
                <w:sz w:val="21"/>
                <w:szCs w:val="22"/>
                <w:lang w:val="en-US" w:eastAsia="zh-CN"/>
                <w14:textFill>
                  <w14:solidFill>
                    <w14:schemeClr w14:val="tx1"/>
                  </w14:solidFill>
                </w14:textFill>
              </w:rPr>
              <w:t>%</w:t>
            </w:r>
            <w:r>
              <w:rPr>
                <w:rFonts w:hint="eastAsia" w:ascii="宋体" w:hAnsi="宋体" w:eastAsia="宋体" w:cs="Times New Roman"/>
                <w:color w:val="000000" w:themeColor="text1"/>
                <w:sz w:val="21"/>
                <w:szCs w:val="22"/>
                <w14:textFill>
                  <w14:solidFill>
                    <w14:schemeClr w14:val="tx1"/>
                  </w14:solidFill>
                </w14:textFill>
              </w:rPr>
              <w:t>，最高得</w:t>
            </w:r>
            <w:r>
              <w:rPr>
                <w:rFonts w:hint="eastAsia" w:ascii="宋体" w:hAnsi="宋体" w:eastAsia="宋体" w:cs="Times New Roman"/>
                <w:color w:val="000000" w:themeColor="text1"/>
                <w:sz w:val="21"/>
                <w:szCs w:val="22"/>
                <w:lang w:val="en-US" w:eastAsia="zh-CN"/>
                <w14:textFill>
                  <w14:solidFill>
                    <w14:schemeClr w14:val="tx1"/>
                  </w14:solidFill>
                </w14:textFill>
              </w:rPr>
              <w:t>40%</w:t>
            </w:r>
            <w:r>
              <w:rPr>
                <w:rFonts w:hint="eastAsia" w:ascii="宋体" w:hAnsi="宋体" w:eastAsia="宋体" w:cs="Times New Roman"/>
                <w:color w:val="000000" w:themeColor="text1"/>
                <w:sz w:val="21"/>
                <w:szCs w:val="22"/>
                <w14:textFill>
                  <w14:solidFill>
                    <w14:schemeClr w14:val="tx1"/>
                  </w14:solidFill>
                </w14:textFill>
              </w:rPr>
              <w:t xml:space="preserve">； </w:t>
            </w:r>
          </w:p>
          <w:p>
            <w:pPr>
              <w:jc w:val="left"/>
              <w:rPr>
                <w:rFonts w:hint="eastAsia" w:ascii="宋体" w:hAnsi="宋体" w:eastAsia="宋体" w:cs="Times New Roman"/>
                <w:color w:val="000000" w:themeColor="text1"/>
                <w:sz w:val="21"/>
                <w:szCs w:val="22"/>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2、团队成员中具有系统架构设计师证书的成员，提供1名得2</w:t>
            </w:r>
            <w:r>
              <w:rPr>
                <w:rFonts w:hint="eastAsia" w:ascii="宋体" w:hAnsi="宋体" w:eastAsia="宋体" w:cs="Times New Roman"/>
                <w:color w:val="000000" w:themeColor="text1"/>
                <w:sz w:val="21"/>
                <w:szCs w:val="22"/>
                <w:lang w:val="en-US" w:eastAsia="zh-CN"/>
                <w14:textFill>
                  <w14:solidFill>
                    <w14:schemeClr w14:val="tx1"/>
                  </w14:solidFill>
                </w14:textFill>
              </w:rPr>
              <w:t>0%</w:t>
            </w:r>
            <w:r>
              <w:rPr>
                <w:rFonts w:hint="eastAsia" w:ascii="宋体" w:hAnsi="宋体" w:eastAsia="宋体" w:cs="Times New Roman"/>
                <w:color w:val="000000" w:themeColor="text1"/>
                <w:sz w:val="21"/>
                <w:szCs w:val="22"/>
                <w14:textFill>
                  <w14:solidFill>
                    <w14:schemeClr w14:val="tx1"/>
                  </w14:solidFill>
                </w14:textFill>
              </w:rPr>
              <w:t>，最高得分20</w:t>
            </w:r>
            <w:r>
              <w:rPr>
                <w:rFonts w:hint="eastAsia" w:ascii="宋体" w:hAnsi="宋体" w:eastAsia="宋体" w:cs="Times New Roman"/>
                <w:color w:val="000000" w:themeColor="text1"/>
                <w:sz w:val="21"/>
                <w:szCs w:val="22"/>
                <w:lang w:val="en-US" w:eastAsia="zh-CN"/>
                <w14:textFill>
                  <w14:solidFill>
                    <w14:schemeClr w14:val="tx1"/>
                  </w14:solidFill>
                </w14:textFill>
              </w:rPr>
              <w:t>%</w:t>
            </w:r>
            <w:r>
              <w:rPr>
                <w:rFonts w:hint="eastAsia" w:ascii="宋体" w:hAnsi="宋体" w:eastAsia="宋体" w:cs="Times New Roman"/>
                <w:color w:val="000000" w:themeColor="text1"/>
                <w:sz w:val="21"/>
                <w:szCs w:val="22"/>
                <w14:textFill>
                  <w14:solidFill>
                    <w14:schemeClr w14:val="tx1"/>
                  </w14:solidFill>
                </w14:textFill>
              </w:rPr>
              <w:t>；</w:t>
            </w:r>
          </w:p>
          <w:p>
            <w:pPr>
              <w:jc w:val="left"/>
              <w:rPr>
                <w:rFonts w:hint="eastAsia" w:ascii="宋体" w:hAnsi="宋体" w:eastAsia="宋体" w:cs="Times New Roman"/>
                <w:color w:val="000000" w:themeColor="text1"/>
                <w:sz w:val="21"/>
                <w:szCs w:val="22"/>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3、团队成员中具有</w:t>
            </w:r>
            <w:r>
              <w:rPr>
                <w:rFonts w:hint="eastAsia" w:ascii="宋体" w:hAnsi="宋体" w:eastAsia="宋体" w:cs="Times New Roman"/>
                <w:color w:val="000000" w:themeColor="text1"/>
                <w:sz w:val="21"/>
                <w:szCs w:val="22"/>
                <w:lang w:eastAsia="zh-CN"/>
                <w14:textFill>
                  <w14:solidFill>
                    <w14:schemeClr w14:val="tx1"/>
                  </w14:solidFill>
                </w14:textFill>
              </w:rPr>
              <w:t>系统集成项目管理工程师</w:t>
            </w:r>
            <w:r>
              <w:rPr>
                <w:rFonts w:hint="eastAsia" w:ascii="宋体" w:hAnsi="宋体" w:eastAsia="宋体" w:cs="Times New Roman"/>
                <w:color w:val="000000" w:themeColor="text1"/>
                <w:sz w:val="21"/>
                <w:szCs w:val="22"/>
                <w14:textFill>
                  <w14:solidFill>
                    <w14:schemeClr w14:val="tx1"/>
                  </w14:solidFill>
                </w14:textFill>
              </w:rPr>
              <w:t>证书的成员，每提供</w:t>
            </w:r>
            <w:r>
              <w:rPr>
                <w:rFonts w:hint="eastAsia" w:ascii="宋体" w:hAnsi="宋体" w:eastAsia="宋体" w:cs="Times New Roman"/>
                <w:color w:val="000000" w:themeColor="text1"/>
                <w:sz w:val="21"/>
                <w:szCs w:val="22"/>
                <w:lang w:val="en-US" w:eastAsia="zh-CN"/>
                <w14:textFill>
                  <w14:solidFill>
                    <w14:schemeClr w14:val="tx1"/>
                  </w14:solidFill>
                </w14:textFill>
              </w:rPr>
              <w:t>1</w:t>
            </w:r>
            <w:r>
              <w:rPr>
                <w:rFonts w:hint="eastAsia" w:ascii="宋体" w:hAnsi="宋体" w:eastAsia="宋体" w:cs="Times New Roman"/>
                <w:color w:val="000000" w:themeColor="text1"/>
                <w:sz w:val="21"/>
                <w:szCs w:val="22"/>
                <w14:textFill>
                  <w14:solidFill>
                    <w14:schemeClr w14:val="tx1"/>
                  </w14:solidFill>
                </w14:textFill>
              </w:rPr>
              <w:t>名得20</w:t>
            </w:r>
            <w:r>
              <w:rPr>
                <w:rFonts w:hint="eastAsia" w:ascii="宋体" w:hAnsi="宋体" w:eastAsia="宋体" w:cs="Times New Roman"/>
                <w:color w:val="000000" w:themeColor="text1"/>
                <w:sz w:val="21"/>
                <w:szCs w:val="22"/>
                <w:lang w:val="en-US" w:eastAsia="zh-CN"/>
                <w14:textFill>
                  <w14:solidFill>
                    <w14:schemeClr w14:val="tx1"/>
                  </w14:solidFill>
                </w14:textFill>
              </w:rPr>
              <w:t>%</w:t>
            </w:r>
            <w:r>
              <w:rPr>
                <w:rFonts w:hint="eastAsia" w:ascii="宋体" w:hAnsi="宋体" w:eastAsia="宋体" w:cs="Times New Roman"/>
                <w:color w:val="000000" w:themeColor="text1"/>
                <w:sz w:val="21"/>
                <w:szCs w:val="22"/>
                <w14:textFill>
                  <w14:solidFill>
                    <w14:schemeClr w14:val="tx1"/>
                  </w14:solidFill>
                </w14:textFill>
              </w:rPr>
              <w:t>，本项最高得20</w:t>
            </w:r>
            <w:r>
              <w:rPr>
                <w:rFonts w:hint="eastAsia" w:ascii="宋体" w:hAnsi="宋体" w:eastAsia="宋体" w:cs="Times New Roman"/>
                <w:color w:val="000000" w:themeColor="text1"/>
                <w:sz w:val="21"/>
                <w:szCs w:val="22"/>
                <w:lang w:val="en-US" w:eastAsia="zh-CN"/>
                <w14:textFill>
                  <w14:solidFill>
                    <w14:schemeClr w14:val="tx1"/>
                  </w14:solidFill>
                </w14:textFill>
              </w:rPr>
              <w:t>%</w:t>
            </w:r>
            <w:r>
              <w:rPr>
                <w:rFonts w:hint="eastAsia" w:ascii="宋体" w:hAnsi="宋体" w:eastAsia="宋体" w:cs="Times New Roman"/>
                <w:color w:val="000000" w:themeColor="text1"/>
                <w:sz w:val="21"/>
                <w:szCs w:val="22"/>
                <w:lang w:eastAsia="zh-CN"/>
                <w14:textFill>
                  <w14:solidFill>
                    <w14:schemeClr w14:val="tx1"/>
                  </w14:solidFill>
                </w14:textFill>
              </w:rPr>
              <w:t>；</w:t>
            </w:r>
            <w:r>
              <w:rPr>
                <w:rFonts w:hint="eastAsia" w:ascii="宋体" w:hAnsi="宋体" w:eastAsia="宋体" w:cs="Times New Roman"/>
                <w:color w:val="000000" w:themeColor="text1"/>
                <w:sz w:val="21"/>
                <w:szCs w:val="22"/>
                <w14:textFill>
                  <w14:solidFill>
                    <w14:schemeClr w14:val="tx1"/>
                  </w14:solidFill>
                </w14:textFill>
              </w:rPr>
              <w:t xml:space="preserve"> </w:t>
            </w:r>
          </w:p>
          <w:p>
            <w:pPr>
              <w:jc w:val="left"/>
              <w:rPr>
                <w:rFonts w:hint="eastAsia" w:ascii="宋体" w:hAnsi="宋体" w:eastAsia="宋体" w:cs="Times New Roman"/>
                <w:color w:val="000000" w:themeColor="text1"/>
                <w:sz w:val="21"/>
                <w:szCs w:val="22"/>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4、团队成员自20</w:t>
            </w:r>
            <w:r>
              <w:rPr>
                <w:rFonts w:hint="eastAsia" w:ascii="宋体" w:hAnsi="宋体" w:eastAsia="宋体" w:cs="Times New Roman"/>
                <w:color w:val="000000" w:themeColor="text1"/>
                <w:sz w:val="21"/>
                <w:szCs w:val="22"/>
                <w:lang w:val="en-US" w:eastAsia="zh-CN"/>
                <w14:textFill>
                  <w14:solidFill>
                    <w14:schemeClr w14:val="tx1"/>
                  </w14:solidFill>
                </w14:textFill>
              </w:rPr>
              <w:t>22</w:t>
            </w:r>
            <w:r>
              <w:rPr>
                <w:rFonts w:hint="eastAsia" w:ascii="宋体" w:hAnsi="宋体" w:eastAsia="宋体" w:cs="Times New Roman"/>
                <w:color w:val="000000" w:themeColor="text1"/>
                <w:sz w:val="21"/>
                <w:szCs w:val="22"/>
                <w14:textFill>
                  <w14:solidFill>
                    <w14:schemeClr w14:val="tx1"/>
                  </w14:solidFill>
                </w14:textFill>
              </w:rPr>
              <w:t>年1月1日至本项目投标截止之日（以合同签订日期为准）作为项目团队成员参加过政府部门或事业单位的信息化建设或运维经验的，每1人满足得10</w:t>
            </w:r>
            <w:r>
              <w:rPr>
                <w:rFonts w:hint="eastAsia" w:ascii="宋体" w:hAnsi="宋体" w:eastAsia="宋体" w:cs="Times New Roman"/>
                <w:color w:val="000000" w:themeColor="text1"/>
                <w:sz w:val="21"/>
                <w:szCs w:val="22"/>
                <w:lang w:val="en-US" w:eastAsia="zh-CN"/>
                <w14:textFill>
                  <w14:solidFill>
                    <w14:schemeClr w14:val="tx1"/>
                  </w14:solidFill>
                </w14:textFill>
              </w:rPr>
              <w:t>%</w:t>
            </w:r>
            <w:r>
              <w:rPr>
                <w:rFonts w:hint="eastAsia" w:ascii="宋体" w:hAnsi="宋体" w:eastAsia="宋体" w:cs="Times New Roman"/>
                <w:color w:val="000000" w:themeColor="text1"/>
                <w:sz w:val="21"/>
                <w:szCs w:val="22"/>
                <w14:textFill>
                  <w14:solidFill>
                    <w14:schemeClr w14:val="tx1"/>
                  </w14:solidFill>
                </w14:textFill>
              </w:rPr>
              <w:t>，最高得</w:t>
            </w:r>
            <w:r>
              <w:rPr>
                <w:rFonts w:hint="eastAsia" w:ascii="宋体" w:hAnsi="宋体" w:eastAsia="宋体" w:cs="Times New Roman"/>
                <w:color w:val="000000" w:themeColor="text1"/>
                <w:sz w:val="21"/>
                <w:szCs w:val="22"/>
                <w:lang w:val="en-US" w:eastAsia="zh-CN"/>
                <w14:textFill>
                  <w14:solidFill>
                    <w14:schemeClr w14:val="tx1"/>
                  </w14:solidFill>
                </w14:textFill>
              </w:rPr>
              <w:t>2</w:t>
            </w:r>
            <w:r>
              <w:rPr>
                <w:rFonts w:hint="eastAsia" w:ascii="宋体" w:hAnsi="宋体" w:eastAsia="宋体" w:cs="Times New Roman"/>
                <w:color w:val="000000" w:themeColor="text1"/>
                <w:sz w:val="21"/>
                <w:szCs w:val="22"/>
                <w14:textFill>
                  <w14:solidFill>
                    <w14:schemeClr w14:val="tx1"/>
                  </w14:solidFill>
                </w14:textFill>
              </w:rPr>
              <w:t>0</w:t>
            </w:r>
            <w:r>
              <w:rPr>
                <w:rFonts w:hint="eastAsia" w:ascii="宋体" w:hAnsi="宋体" w:eastAsia="宋体" w:cs="Times New Roman"/>
                <w:color w:val="000000" w:themeColor="text1"/>
                <w:sz w:val="21"/>
                <w:szCs w:val="22"/>
                <w:lang w:val="en-US" w:eastAsia="zh-CN"/>
                <w14:textFill>
                  <w14:solidFill>
                    <w14:schemeClr w14:val="tx1"/>
                  </w14:solidFill>
                </w14:textFill>
              </w:rPr>
              <w:t>%</w:t>
            </w:r>
            <w:r>
              <w:rPr>
                <w:rFonts w:hint="eastAsia" w:ascii="宋体" w:hAnsi="宋体" w:eastAsia="宋体" w:cs="Times New Roman"/>
                <w:color w:val="000000" w:themeColor="text1"/>
                <w:sz w:val="21"/>
                <w:szCs w:val="22"/>
                <w14:textFill>
                  <w14:solidFill>
                    <w14:schemeClr w14:val="tx1"/>
                  </w14:solidFill>
                </w14:textFill>
              </w:rPr>
              <w:t>；否则不得分。</w:t>
            </w:r>
          </w:p>
          <w:p>
            <w:pPr>
              <w:jc w:val="left"/>
              <w:rPr>
                <w:rFonts w:hint="eastAsia" w:ascii="宋体" w:hAnsi="宋体" w:eastAsia="宋体" w:cs="Times New Roman"/>
                <w:color w:val="000000" w:themeColor="text1"/>
                <w:sz w:val="21"/>
                <w:szCs w:val="22"/>
                <w14:textFill>
                  <w14:solidFill>
                    <w14:schemeClr w14:val="tx1"/>
                  </w14:solidFill>
                </w14:textFill>
              </w:rPr>
            </w:pPr>
          </w:p>
          <w:p>
            <w:pPr>
              <w:wordWrap/>
              <w:jc w:val="left"/>
              <w:rPr>
                <w:rFonts w:hint="eastAsia" w:ascii="宋体" w:hAnsi="宋体" w:eastAsia="宋体" w:cs="Times New Roman"/>
                <w:color w:val="000000" w:themeColor="text1"/>
                <w:sz w:val="21"/>
                <w:szCs w:val="22"/>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各证书需对应不同团队成员，</w:t>
            </w:r>
            <w:r>
              <w:rPr>
                <w:rFonts w:hint="eastAsia" w:ascii="宋体" w:hAnsi="宋体" w:eastAsia="宋体" w:cs="Times New Roman"/>
                <w:color w:val="000000" w:themeColor="text1"/>
                <w:sz w:val="21"/>
                <w:szCs w:val="22"/>
                <w:lang w:val="en-US" w:eastAsia="zh-CN"/>
                <w14:textFill>
                  <w14:solidFill>
                    <w14:schemeClr w14:val="tx1"/>
                  </w14:solidFill>
                </w14:textFill>
              </w:rPr>
              <w:t>1</w:t>
            </w:r>
            <w:r>
              <w:rPr>
                <w:rFonts w:hint="eastAsia" w:ascii="宋体" w:hAnsi="宋体" w:eastAsia="宋体" w:cs="Times New Roman"/>
                <w:color w:val="000000" w:themeColor="text1"/>
                <w:sz w:val="21"/>
                <w:szCs w:val="22"/>
                <w14:textFill>
                  <w14:solidFill>
                    <w14:schemeClr w14:val="tx1"/>
                  </w14:solidFill>
                </w14:textFill>
              </w:rPr>
              <w:t>人具备多项证书的，只按其中一项算。</w:t>
            </w:r>
          </w:p>
          <w:p>
            <w:pPr>
              <w:wordWrap/>
              <w:jc w:val="left"/>
              <w:rPr>
                <w:rFonts w:hint="eastAsia" w:ascii="宋体" w:hAnsi="宋体" w:eastAsia="宋体" w:cs="Times New Roman"/>
                <w:color w:val="000000" w:themeColor="text1"/>
                <w:sz w:val="21"/>
                <w:szCs w:val="22"/>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（二）评分依据：</w:t>
            </w:r>
          </w:p>
          <w:p>
            <w:pPr>
              <w:jc w:val="left"/>
              <w:rPr>
                <w:rFonts w:hint="eastAsia" w:ascii="宋体" w:hAnsi="宋体" w:eastAsia="宋体" w:cs="Times New Roman"/>
                <w:color w:val="000000" w:themeColor="text1"/>
                <w:sz w:val="21"/>
                <w:szCs w:val="22"/>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1、提供报价方为其缴纳的近3个月加盖社保部门公章的社保证明（社保不中断，如报价截止日上一个月的社保证明因社保部门原因暂时无法取得，则可往前顺延一个月；报价方成立时间不足三个月的，按成立时限提供社保证明）；</w:t>
            </w:r>
          </w:p>
          <w:p>
            <w:pPr>
              <w:wordWrap/>
              <w:spacing w:line="240" w:lineRule="auto"/>
              <w:jc w:val="left"/>
              <w:rPr>
                <w:rFonts w:hint="eastAsia" w:ascii="宋体" w:hAnsi="宋体" w:eastAsia="宋体" w:cs="Times New Roman"/>
                <w:color w:val="000000" w:themeColor="text1"/>
                <w:sz w:val="21"/>
                <w:szCs w:val="22"/>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2、提供相关证书的扫描件；</w:t>
            </w:r>
          </w:p>
          <w:p>
            <w:pPr>
              <w:wordWrap/>
              <w:spacing w:line="240" w:lineRule="auto"/>
              <w:jc w:val="left"/>
              <w:rPr>
                <w:rFonts w:hint="eastAsia" w:ascii="宋体" w:hAnsi="宋体" w:eastAsia="宋体" w:cs="Times New Roman"/>
                <w:color w:val="000000" w:themeColor="text1"/>
                <w:sz w:val="21"/>
                <w:szCs w:val="22"/>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3、涉及考察人员工作经验的，要求提供项目合同关键信息作为得分依据，通过合同关键信息无法判断是否得分的，还须同时提供合同甲方出具的证明文件；</w:t>
            </w:r>
          </w:p>
          <w:p>
            <w:pPr>
              <w:wordWrap/>
              <w:spacing w:line="240" w:lineRule="auto"/>
              <w:jc w:val="left"/>
              <w:rPr>
                <w:rFonts w:hint="eastAsia" w:ascii="宋体" w:hAnsi="宋体" w:eastAsia="宋体" w:cs="Times New Roman"/>
                <w:color w:val="000000" w:themeColor="text1"/>
                <w:sz w:val="21"/>
                <w:szCs w:val="22"/>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4、以上资料均要求提供扫描件，原件备查。</w:t>
            </w:r>
          </w:p>
          <w:p>
            <w:pPr>
              <w:jc w:val="left"/>
              <w:rPr>
                <w:rFonts w:hint="eastAsia" w:ascii="宋体" w:hAnsi="宋体" w:eastAsia="宋体"/>
                <w:color w:val="000000" w:themeColor="text1"/>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备注：以上资料均要求提供扫描件，原件备查，评分中出现无证明资料或证书过期或</w:t>
            </w:r>
            <w:r>
              <w:rPr>
                <w:rFonts w:hint="eastAsia" w:ascii="宋体" w:hAnsi="宋体" w:eastAsia="宋体" w:cs="Times New Roman"/>
                <w:color w:val="000000" w:themeColor="text1"/>
                <w:sz w:val="21"/>
                <w:szCs w:val="22"/>
                <w:lang w:eastAsia="zh-CN"/>
                <w14:textFill>
                  <w14:solidFill>
                    <w14:schemeClr w14:val="tx1"/>
                  </w14:solidFill>
                </w14:textFill>
              </w:rPr>
              <w:t>采购小组</w:t>
            </w:r>
            <w:r>
              <w:rPr>
                <w:rFonts w:hint="eastAsia" w:ascii="宋体" w:hAnsi="宋体" w:eastAsia="宋体" w:cs="Times New Roman"/>
                <w:color w:val="000000" w:themeColor="text1"/>
                <w:sz w:val="21"/>
                <w:szCs w:val="22"/>
                <w14:textFill>
                  <w14:solidFill>
                    <w14:schemeClr w14:val="tx1"/>
                  </w14:solidFill>
                </w14:textFill>
              </w:rPr>
              <w:t>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nil"/>
              <w:left w:val="single" w:color="auto" w:sz="4" w:space="0"/>
              <w:bottom w:val="single" w:color="auto" w:sz="4" w:space="0"/>
              <w:right w:val="single" w:color="auto" w:sz="4" w:space="0"/>
            </w:tcBorders>
            <w:vAlign w:val="center"/>
          </w:tcPr>
          <w:p>
            <w:pPr>
              <w:widowControl/>
              <w:jc w:val="left"/>
              <w:rPr>
                <w:rFonts w:ascii="宋体" w:hAnsi="宋体"/>
                <w:b/>
                <w:bCs/>
                <w:color w:val="000000" w:themeColor="text1"/>
                <w:szCs w:val="21"/>
                <w14:textFill>
                  <w14:solidFill>
                    <w14:schemeClr w14:val="tx1"/>
                  </w14:solidFill>
                </w14:textFill>
              </w:rPr>
            </w:pPr>
          </w:p>
        </w:tc>
        <w:tc>
          <w:tcPr>
            <w:tcW w:w="761" w:type="dxa"/>
            <w:tcBorders>
              <w:top w:val="single" w:color="auto" w:sz="4" w:space="0"/>
              <w:left w:val="nil"/>
              <w:bottom w:val="single" w:color="auto" w:sz="4" w:space="0"/>
              <w:right w:val="single" w:color="auto" w:sz="4" w:space="0"/>
            </w:tcBorders>
            <w:vAlign w:val="center"/>
          </w:tcPr>
          <w:p>
            <w:pPr>
              <w:jc w:val="left"/>
              <w:rPr>
                <w:rFonts w:hint="default" w:ascii="宋体" w:hAnsi="宋体"/>
                <w:color w:val="000000" w:themeColor="text1"/>
                <w14:textFill>
                  <w14:solidFill>
                    <w14:schemeClr w14:val="tx1"/>
                  </w14:solidFill>
                </w14:textFill>
              </w:rPr>
            </w:pPr>
            <w:r>
              <w:rPr>
                <w:rFonts w:hint="default" w:ascii="宋体" w:hAnsi="宋体" w:eastAsia="宋体" w:cs="Times New Roman"/>
                <w:color w:val="000000" w:themeColor="text1"/>
                <w:sz w:val="21"/>
                <w:szCs w:val="22"/>
                <w14:textFill>
                  <w14:solidFill>
                    <w14:schemeClr w14:val="tx1"/>
                  </w14:solidFill>
                </w14:textFill>
              </w:rPr>
              <w:t>（6）</w:t>
            </w:r>
          </w:p>
        </w:tc>
        <w:tc>
          <w:tcPr>
            <w:tcW w:w="1370"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themeColor="text1"/>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服务网点（场地）</w:t>
            </w:r>
          </w:p>
        </w:tc>
        <w:tc>
          <w:tcPr>
            <w:tcW w:w="709"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themeColor="text1"/>
                <w14:textFill>
                  <w14:solidFill>
                    <w14:schemeClr w14:val="tx1"/>
                  </w14:solidFill>
                </w14:textFill>
              </w:rPr>
            </w:pPr>
            <w:r>
              <w:rPr>
                <w:rFonts w:hint="eastAsia" w:ascii="仿宋_GB2312" w:hAnsi="仿宋_GB2312" w:eastAsia="仿宋_GB2312" w:cs="仿宋_GB2312"/>
                <w:sz w:val="24"/>
                <w:szCs w:val="24"/>
                <w:highlight w:val="none"/>
                <w:lang w:val="en-US" w:eastAsia="zh-CN"/>
              </w:rPr>
              <w:t>2</w:t>
            </w:r>
          </w:p>
        </w:tc>
        <w:tc>
          <w:tcPr>
            <w:tcW w:w="5331"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Times New Roman"/>
                <w:color w:val="000000" w:themeColor="text1"/>
                <w:sz w:val="21"/>
                <w:szCs w:val="22"/>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1.评审标准：</w:t>
            </w:r>
          </w:p>
          <w:p>
            <w:pPr>
              <w:jc w:val="left"/>
              <w:rPr>
                <w:rFonts w:hint="eastAsia" w:ascii="宋体" w:hAnsi="宋体" w:eastAsia="宋体" w:cs="Times New Roman"/>
                <w:color w:val="000000" w:themeColor="text1"/>
                <w:sz w:val="21"/>
                <w:szCs w:val="22"/>
                <w14:textFill>
                  <w14:solidFill>
                    <w14:schemeClr w14:val="tx1"/>
                  </w14:solidFill>
                </w14:textFill>
              </w:rPr>
            </w:pPr>
            <w:r>
              <w:rPr>
                <w:rFonts w:hint="eastAsia" w:ascii="宋体" w:hAnsi="宋体" w:eastAsia="宋体" w:cs="Times New Roman"/>
                <w:color w:val="000000" w:themeColor="text1"/>
                <w:sz w:val="21"/>
                <w:szCs w:val="22"/>
                <w:lang w:val="en-US" w:eastAsia="zh-CN"/>
                <w14:textFill>
                  <w14:solidFill>
                    <w14:schemeClr w14:val="tx1"/>
                  </w14:solidFill>
                </w14:textFill>
              </w:rPr>
              <w:t>报价方</w:t>
            </w:r>
            <w:r>
              <w:rPr>
                <w:rFonts w:hint="eastAsia" w:ascii="宋体" w:hAnsi="宋体" w:eastAsia="宋体" w:cs="Times New Roman"/>
                <w:color w:val="000000" w:themeColor="text1"/>
                <w:sz w:val="21"/>
                <w:szCs w:val="22"/>
                <w14:textFill>
                  <w14:solidFill>
                    <w14:schemeClr w14:val="tx1"/>
                  </w14:solidFill>
                </w14:textFill>
              </w:rPr>
              <w:t>承诺中标后提供本地（深圳市）服务网点得100分。</w:t>
            </w:r>
          </w:p>
          <w:p>
            <w:pPr>
              <w:jc w:val="left"/>
              <w:rPr>
                <w:rFonts w:hint="eastAsia" w:ascii="宋体" w:hAnsi="宋体" w:eastAsia="宋体" w:cs="Times New Roman"/>
                <w:color w:val="000000" w:themeColor="text1"/>
                <w:sz w:val="21"/>
                <w:szCs w:val="22"/>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2.证明文件：</w:t>
            </w:r>
          </w:p>
          <w:p>
            <w:pPr>
              <w:jc w:val="left"/>
              <w:rPr>
                <w:rFonts w:hint="eastAsia" w:ascii="宋体" w:hAnsi="宋体" w:eastAsia="宋体" w:cs="Times New Roman"/>
                <w:color w:val="000000" w:themeColor="text1"/>
                <w:sz w:val="21"/>
                <w:szCs w:val="22"/>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①报价方须提供营业执照或办公场所的房产证明或租赁合同或者加盖报价方公章的承诺书（承诺书内容包含中标后设立本地服务场地，格式自拟），原件备查；</w:t>
            </w:r>
          </w:p>
          <w:p>
            <w:pPr>
              <w:jc w:val="left"/>
              <w:rPr>
                <w:rFonts w:hint="eastAsia" w:ascii="宋体" w:hAnsi="宋体" w:eastAsia="宋体" w:cs="Times New Roman"/>
                <w:color w:val="000000" w:themeColor="text1"/>
                <w:sz w:val="21"/>
                <w:szCs w:val="22"/>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②要求提供承诺书（格式自定）作为得分依据。未提供相关证明材料或者提供的证明材料不符合要求或提供的证明材料不清晰评审</w:t>
            </w:r>
            <w:r>
              <w:rPr>
                <w:rFonts w:hint="eastAsia" w:ascii="宋体" w:hAnsi="宋体" w:eastAsia="宋体" w:cs="Times New Roman"/>
                <w:color w:val="000000" w:themeColor="text1"/>
                <w:sz w:val="21"/>
                <w:szCs w:val="22"/>
                <w:lang w:eastAsia="zh-CN"/>
                <w14:textFill>
                  <w14:solidFill>
                    <w14:schemeClr w14:val="tx1"/>
                  </w14:solidFill>
                </w14:textFill>
              </w:rPr>
              <w:t>采购小组</w:t>
            </w:r>
            <w:r>
              <w:rPr>
                <w:rFonts w:hint="eastAsia" w:ascii="宋体" w:hAnsi="宋体" w:eastAsia="宋体" w:cs="Times New Roman"/>
                <w:color w:val="000000" w:themeColor="text1"/>
                <w:sz w:val="21"/>
                <w:szCs w:val="22"/>
                <w14:textFill>
                  <w14:solidFill>
                    <w14:schemeClr w14:val="tx1"/>
                  </w14:solidFill>
                </w14:textFill>
              </w:rPr>
              <w:t>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0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3</w:t>
            </w:r>
          </w:p>
        </w:tc>
        <w:tc>
          <w:tcPr>
            <w:tcW w:w="2131"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default" w:ascii="宋体" w:hAnsi="宋体"/>
                <w:color w:val="000000" w:themeColor="text1"/>
                <w14:textFill>
                  <w14:solidFill>
                    <w14:schemeClr w14:val="tx1"/>
                  </w14:solidFill>
                </w14:textFill>
              </w:rPr>
              <w:t>商务</w:t>
            </w:r>
            <w:r>
              <w:rPr>
                <w:rFonts w:hint="default" w:ascii="宋体" w:hAnsi="宋体" w:eastAsia="宋体"/>
                <w:color w:val="000000" w:themeColor="text1"/>
                <w14:textFill>
                  <w14:solidFill>
                    <w14:schemeClr w14:val="tx1"/>
                  </w14:solidFill>
                </w14:textFill>
              </w:rPr>
              <w:t>部分</w:t>
            </w:r>
          </w:p>
        </w:tc>
        <w:tc>
          <w:tcPr>
            <w:tcW w:w="6040"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themeColor="text1"/>
                <w:szCs w:val="21"/>
                <w14:textFill>
                  <w14:solidFill>
                    <w14:schemeClr w14:val="tx1"/>
                  </w14:solidFill>
                </w14:textFill>
              </w:rPr>
            </w:pPr>
          </w:p>
        </w:tc>
        <w:tc>
          <w:tcPr>
            <w:tcW w:w="761"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1370"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评分因素</w:t>
            </w:r>
          </w:p>
        </w:tc>
        <w:tc>
          <w:tcPr>
            <w:tcW w:w="709" w:type="dxa"/>
            <w:tcBorders>
              <w:top w:val="single" w:color="auto" w:sz="4" w:space="0"/>
              <w:left w:val="nil"/>
              <w:bottom w:val="single" w:color="auto" w:sz="4" w:space="0"/>
              <w:right w:val="single" w:color="auto" w:sz="4" w:space="0"/>
            </w:tcBorders>
            <w:vAlign w:val="center"/>
          </w:tcPr>
          <w:p>
            <w:pPr>
              <w:jc w:val="left"/>
              <w:rPr>
                <w:rFonts w:ascii="宋体" w:hAnsi="宋体"/>
                <w:color w:val="000000" w:themeColor="text1"/>
                <w14:textFill>
                  <w14:solidFill>
                    <w14:schemeClr w14:val="tx1"/>
                  </w14:solidFill>
                </w14:textFill>
              </w:rPr>
            </w:pPr>
            <w:r>
              <w:rPr>
                <w:rFonts w:hint="eastAsia" w:ascii="宋体" w:hAnsi="宋体"/>
                <w:b/>
                <w:bCs/>
                <w:color w:val="000000" w:themeColor="text1"/>
                <w:lang w:val="en-US" w:eastAsia="zh-CN"/>
                <w14:textFill>
                  <w14:solidFill>
                    <w14:schemeClr w14:val="tx1"/>
                  </w14:solidFill>
                </w14:textFill>
              </w:rPr>
              <w:t>分值</w:t>
            </w:r>
          </w:p>
        </w:tc>
        <w:tc>
          <w:tcPr>
            <w:tcW w:w="5331"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themeColor="text1"/>
                <w:szCs w:val="21"/>
                <w14:textFill>
                  <w14:solidFill>
                    <w14:schemeClr w14:val="tx1"/>
                  </w14:solidFill>
                </w14:textFill>
              </w:rPr>
            </w:pPr>
          </w:p>
        </w:tc>
        <w:tc>
          <w:tcPr>
            <w:tcW w:w="761"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（1）</w:t>
            </w:r>
          </w:p>
        </w:tc>
        <w:tc>
          <w:tcPr>
            <w:tcW w:w="1370"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资格证书</w:t>
            </w: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w:t>
            </w:r>
          </w:p>
        </w:tc>
        <w:tc>
          <w:tcPr>
            <w:tcW w:w="5331"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Times New Roman"/>
                <w:color w:val="000000" w:themeColor="text1"/>
                <w:sz w:val="21"/>
                <w:szCs w:val="22"/>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1、评审标准：</w:t>
            </w:r>
            <w:r>
              <w:rPr>
                <w:rFonts w:hint="eastAsia" w:ascii="宋体" w:hAnsi="宋体" w:eastAsia="宋体" w:cs="Times New Roman"/>
                <w:color w:val="000000" w:themeColor="text1"/>
                <w:sz w:val="21"/>
                <w:szCs w:val="22"/>
                <w14:textFill>
                  <w14:solidFill>
                    <w14:schemeClr w14:val="tx1"/>
                  </w14:solidFill>
                </w14:textFill>
              </w:rPr>
              <w:br w:type="textWrapping"/>
            </w:r>
            <w:r>
              <w:rPr>
                <w:rFonts w:hint="eastAsia" w:ascii="宋体" w:hAnsi="宋体" w:eastAsia="宋体" w:cs="Times New Roman"/>
                <w:color w:val="000000" w:themeColor="text1"/>
                <w:sz w:val="21"/>
                <w:szCs w:val="22"/>
                <w:lang w:eastAsia="zh-CN"/>
                <w14:textFill>
                  <w14:solidFill>
                    <w14:schemeClr w14:val="tx1"/>
                  </w14:solidFill>
                </w14:textFill>
              </w:rPr>
              <w:t>报价方</w:t>
            </w:r>
            <w:r>
              <w:rPr>
                <w:rFonts w:hint="eastAsia" w:ascii="宋体" w:hAnsi="宋体" w:eastAsia="宋体" w:cs="Times New Roman"/>
                <w:color w:val="000000" w:themeColor="text1"/>
                <w:sz w:val="21"/>
                <w:szCs w:val="22"/>
                <w14:textFill>
                  <w14:solidFill>
                    <w14:schemeClr w14:val="tx1"/>
                  </w14:solidFill>
                </w14:textFill>
              </w:rPr>
              <w:t>具有以下认证证书：</w:t>
            </w:r>
          </w:p>
          <w:p>
            <w:pPr>
              <w:jc w:val="left"/>
              <w:rPr>
                <w:rFonts w:hint="eastAsia" w:ascii="宋体" w:hAnsi="宋体" w:eastAsia="宋体" w:cs="Times New Roman"/>
                <w:color w:val="000000" w:themeColor="text1"/>
                <w:sz w:val="21"/>
                <w:szCs w:val="22"/>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（1）具有质量管理体系认证证书，得20%；</w:t>
            </w:r>
          </w:p>
          <w:p>
            <w:pPr>
              <w:jc w:val="left"/>
              <w:rPr>
                <w:rFonts w:hint="eastAsia" w:ascii="宋体" w:hAnsi="宋体" w:eastAsia="宋体" w:cs="Times New Roman"/>
                <w:color w:val="000000" w:themeColor="text1"/>
                <w:sz w:val="21"/>
                <w:szCs w:val="22"/>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（2）具有环境管理体系认证证书，得20%；</w:t>
            </w:r>
          </w:p>
          <w:p>
            <w:pPr>
              <w:jc w:val="left"/>
              <w:rPr>
                <w:rFonts w:hint="eastAsia" w:ascii="宋体" w:hAnsi="宋体" w:eastAsia="宋体" w:cs="Times New Roman"/>
                <w:color w:val="000000" w:themeColor="text1"/>
                <w:sz w:val="21"/>
                <w:szCs w:val="22"/>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（3）具有信息安全管理体系认证证书，得20%；</w:t>
            </w:r>
          </w:p>
          <w:p>
            <w:pPr>
              <w:jc w:val="left"/>
              <w:rPr>
                <w:rFonts w:hint="eastAsia" w:ascii="宋体" w:hAnsi="宋体" w:eastAsia="宋体" w:cs="Times New Roman"/>
                <w:color w:val="000000" w:themeColor="text1"/>
                <w:sz w:val="21"/>
                <w:szCs w:val="22"/>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（4）具有信息技术服务管理体系认证证书，得20%；</w:t>
            </w:r>
          </w:p>
          <w:p>
            <w:pPr>
              <w:jc w:val="left"/>
              <w:rPr>
                <w:rFonts w:hint="eastAsia" w:ascii="宋体" w:hAnsi="宋体" w:eastAsia="宋体" w:cs="Times New Roman"/>
                <w:color w:val="000000" w:themeColor="text1"/>
                <w:sz w:val="21"/>
                <w:szCs w:val="22"/>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（5）具有职业健康安全管理体系认证证书，得20%；</w:t>
            </w:r>
          </w:p>
          <w:p>
            <w:pPr>
              <w:jc w:val="left"/>
              <w:rPr>
                <w:rFonts w:hint="eastAsia" w:ascii="宋体" w:hAnsi="宋体" w:eastAsia="宋体"/>
                <w:color w:val="000000" w:themeColor="text1"/>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最高得100%。</w:t>
            </w:r>
            <w:r>
              <w:rPr>
                <w:rFonts w:hint="eastAsia" w:ascii="宋体" w:hAnsi="宋体" w:eastAsia="宋体" w:cs="Times New Roman"/>
                <w:color w:val="000000" w:themeColor="text1"/>
                <w:sz w:val="21"/>
                <w:szCs w:val="22"/>
                <w14:textFill>
                  <w14:solidFill>
                    <w14:schemeClr w14:val="tx1"/>
                  </w14:solidFill>
                </w14:textFill>
              </w:rPr>
              <w:br w:type="textWrapping"/>
            </w:r>
            <w:r>
              <w:rPr>
                <w:rFonts w:hint="eastAsia" w:ascii="宋体" w:hAnsi="宋体" w:eastAsia="宋体" w:cs="Times New Roman"/>
                <w:color w:val="000000" w:themeColor="text1"/>
                <w:sz w:val="21"/>
                <w:szCs w:val="22"/>
                <w14:textFill>
                  <w14:solidFill>
                    <w14:schemeClr w14:val="tx1"/>
                  </w14:solidFill>
                </w14:textFill>
              </w:rPr>
              <w:t>2、证明文件：</w:t>
            </w:r>
            <w:r>
              <w:rPr>
                <w:rFonts w:hint="eastAsia" w:ascii="宋体" w:hAnsi="宋体" w:eastAsia="宋体" w:cs="Times New Roman"/>
                <w:color w:val="000000" w:themeColor="text1"/>
                <w:sz w:val="21"/>
                <w:szCs w:val="22"/>
                <w14:textFill>
                  <w14:solidFill>
                    <w14:schemeClr w14:val="tx1"/>
                  </w14:solidFill>
                </w14:textFill>
              </w:rPr>
              <w:br w:type="textWrapping"/>
            </w:r>
            <w:r>
              <w:rPr>
                <w:rFonts w:hint="eastAsia" w:ascii="宋体" w:hAnsi="宋体" w:eastAsia="宋体" w:cs="Times New Roman"/>
                <w:color w:val="000000" w:themeColor="text1"/>
                <w:sz w:val="21"/>
                <w:szCs w:val="22"/>
                <w14:textFill>
                  <w14:solidFill>
                    <w14:schemeClr w14:val="tx1"/>
                  </w14:solidFill>
                </w14:textFill>
              </w:rPr>
              <w:t>同时提供有效的证书及国家认证认可监督管理委员会官方网站(http://www.cnca.gov.cn/)查询截图，原件备查，未提供证明材料或者提供的证明材料不符合要求或提供的证明材料不清晰评审</w:t>
            </w:r>
            <w:r>
              <w:rPr>
                <w:rFonts w:hint="eastAsia" w:ascii="宋体" w:hAnsi="宋体" w:eastAsia="宋体" w:cs="Times New Roman"/>
                <w:color w:val="000000" w:themeColor="text1"/>
                <w:sz w:val="21"/>
                <w:szCs w:val="22"/>
                <w:lang w:eastAsia="zh-CN"/>
                <w14:textFill>
                  <w14:solidFill>
                    <w14:schemeClr w14:val="tx1"/>
                  </w14:solidFill>
                </w14:textFill>
              </w:rPr>
              <w:t>采购小组</w:t>
            </w:r>
            <w:r>
              <w:rPr>
                <w:rFonts w:hint="eastAsia" w:ascii="宋体" w:hAnsi="宋体" w:eastAsia="宋体" w:cs="Times New Roman"/>
                <w:color w:val="000000" w:themeColor="text1"/>
                <w:sz w:val="21"/>
                <w:szCs w:val="22"/>
                <w14:textFill>
                  <w14:solidFill>
                    <w14:schemeClr w14:val="tx1"/>
                  </w14:solidFill>
                </w14:textFill>
              </w:rPr>
              <w:t>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themeColor="text1"/>
                <w:szCs w:val="21"/>
                <w14:textFill>
                  <w14:solidFill>
                    <w14:schemeClr w14:val="tx1"/>
                  </w14:solidFill>
                </w14:textFill>
              </w:rPr>
            </w:pPr>
          </w:p>
        </w:tc>
        <w:tc>
          <w:tcPr>
            <w:tcW w:w="761" w:type="dxa"/>
            <w:tcBorders>
              <w:top w:val="single" w:color="auto" w:sz="4" w:space="0"/>
              <w:left w:val="nil"/>
              <w:bottom w:val="single" w:color="auto" w:sz="4" w:space="0"/>
              <w:right w:val="single" w:color="auto" w:sz="4" w:space="0"/>
            </w:tcBorders>
            <w:vAlign w:val="center"/>
          </w:tcPr>
          <w:p>
            <w:pPr>
              <w:jc w:val="left"/>
              <w:rPr>
                <w:rFonts w:ascii="宋体" w:hAnsi="宋体"/>
                <w:color w:val="000000" w:themeColor="text1"/>
                <w14:textFill>
                  <w14:solidFill>
                    <w14:schemeClr w14:val="tx1"/>
                  </w14:solidFill>
                </w14:textFill>
              </w:rPr>
            </w:pPr>
            <w:r>
              <w:rPr>
                <w:rFonts w:hint="default" w:ascii="宋体" w:hAnsi="宋体" w:eastAsia="宋体" w:cs="Times New Roman"/>
                <w:color w:val="000000" w:themeColor="text1"/>
                <w:sz w:val="21"/>
                <w:szCs w:val="22"/>
                <w14:textFill>
                  <w14:solidFill>
                    <w14:schemeClr w14:val="tx1"/>
                  </w14:solidFill>
                </w14:textFill>
              </w:rPr>
              <w:t>（2）</w:t>
            </w:r>
          </w:p>
        </w:tc>
        <w:tc>
          <w:tcPr>
            <w:tcW w:w="1370"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报价方同类项目业绩情况</w:t>
            </w: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eastAsia="宋体" w:cs="Times New Roman"/>
                <w:color w:val="000000" w:themeColor="text1"/>
                <w:sz w:val="21"/>
                <w:szCs w:val="22"/>
                <w:lang w:val="en-US" w:eastAsia="zh-CN"/>
                <w14:textFill>
                  <w14:solidFill>
                    <w14:schemeClr w14:val="tx1"/>
                  </w14:solidFill>
                </w14:textFill>
              </w:rPr>
              <w:t>8</w:t>
            </w:r>
          </w:p>
        </w:tc>
        <w:tc>
          <w:tcPr>
            <w:tcW w:w="5331"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olor w:val="000000" w:themeColor="text1"/>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1、评审标准：</w:t>
            </w:r>
            <w:r>
              <w:rPr>
                <w:rFonts w:hint="eastAsia" w:ascii="宋体" w:hAnsi="宋体" w:eastAsia="宋体" w:cs="Times New Roman"/>
                <w:color w:val="000000" w:themeColor="text1"/>
                <w:sz w:val="21"/>
                <w:szCs w:val="22"/>
                <w14:textFill>
                  <w14:solidFill>
                    <w14:schemeClr w14:val="tx1"/>
                  </w14:solidFill>
                </w14:textFill>
              </w:rPr>
              <w:br w:type="textWrapping"/>
            </w:r>
            <w:r>
              <w:rPr>
                <w:rFonts w:hint="eastAsia" w:ascii="宋体" w:hAnsi="宋体" w:eastAsia="宋体" w:cs="Times New Roman"/>
                <w:color w:val="000000" w:themeColor="text1"/>
                <w:sz w:val="21"/>
                <w:szCs w:val="22"/>
                <w14:textFill>
                  <w14:solidFill>
                    <w14:schemeClr w14:val="tx1"/>
                  </w14:solidFill>
                </w14:textFill>
              </w:rPr>
              <w:t>报价方自202</w:t>
            </w:r>
            <w:r>
              <w:rPr>
                <w:rFonts w:hint="eastAsia" w:ascii="宋体" w:hAnsi="宋体" w:eastAsia="宋体" w:cs="Times New Roman"/>
                <w:color w:val="000000" w:themeColor="text1"/>
                <w:sz w:val="21"/>
                <w:szCs w:val="22"/>
                <w:lang w:val="en-US" w:eastAsia="zh-CN"/>
                <w14:textFill>
                  <w14:solidFill>
                    <w14:schemeClr w14:val="tx1"/>
                  </w14:solidFill>
                </w14:textFill>
              </w:rPr>
              <w:t>2</w:t>
            </w:r>
            <w:r>
              <w:rPr>
                <w:rFonts w:hint="eastAsia" w:ascii="宋体" w:hAnsi="宋体" w:eastAsia="宋体" w:cs="Times New Roman"/>
                <w:color w:val="000000" w:themeColor="text1"/>
                <w:sz w:val="21"/>
                <w:szCs w:val="22"/>
                <w14:textFill>
                  <w14:solidFill>
                    <w14:schemeClr w14:val="tx1"/>
                  </w14:solidFill>
                </w14:textFill>
              </w:rPr>
              <w:t>年1月1日至本项目报价截止之日，承接过政府部门或事业单位的信息化建设或维护类项目的，每提供一个得</w:t>
            </w:r>
            <w:r>
              <w:rPr>
                <w:rFonts w:hint="eastAsia" w:ascii="宋体" w:hAnsi="宋体" w:eastAsia="宋体" w:cs="Times New Roman"/>
                <w:color w:val="000000" w:themeColor="text1"/>
                <w:sz w:val="21"/>
                <w:szCs w:val="22"/>
                <w:lang w:val="en-US" w:eastAsia="zh-CN"/>
                <w14:textFill>
                  <w14:solidFill>
                    <w14:schemeClr w14:val="tx1"/>
                  </w14:solidFill>
                </w14:textFill>
              </w:rPr>
              <w:t>25</w:t>
            </w:r>
            <w:r>
              <w:rPr>
                <w:rFonts w:hint="eastAsia" w:ascii="宋体" w:hAnsi="宋体" w:eastAsia="宋体" w:cs="Times New Roman"/>
                <w:color w:val="000000" w:themeColor="text1"/>
                <w:sz w:val="21"/>
                <w:szCs w:val="22"/>
                <w14:textFill>
                  <w14:solidFill>
                    <w14:schemeClr w14:val="tx1"/>
                  </w14:solidFill>
                </w14:textFill>
              </w:rPr>
              <w:t>%，最高得100%。</w:t>
            </w:r>
            <w:r>
              <w:rPr>
                <w:rFonts w:hint="eastAsia" w:ascii="宋体" w:hAnsi="宋体" w:eastAsia="宋体" w:cs="Times New Roman"/>
                <w:color w:val="000000" w:themeColor="text1"/>
                <w:sz w:val="21"/>
                <w:szCs w:val="22"/>
                <w14:textFill>
                  <w14:solidFill>
                    <w14:schemeClr w14:val="tx1"/>
                  </w14:solidFill>
                </w14:textFill>
              </w:rPr>
              <w:br w:type="textWrapping"/>
            </w:r>
            <w:r>
              <w:rPr>
                <w:rFonts w:hint="eastAsia" w:ascii="宋体" w:hAnsi="宋体" w:eastAsia="宋体" w:cs="Times New Roman"/>
                <w:color w:val="000000" w:themeColor="text1"/>
                <w:sz w:val="21"/>
                <w:szCs w:val="22"/>
                <w14:textFill>
                  <w14:solidFill>
                    <w14:schemeClr w14:val="tx1"/>
                  </w14:solidFill>
                </w14:textFill>
              </w:rPr>
              <w:t>2、证明文件：</w:t>
            </w:r>
            <w:r>
              <w:rPr>
                <w:rFonts w:hint="eastAsia" w:ascii="宋体" w:hAnsi="宋体" w:eastAsia="宋体" w:cs="Times New Roman"/>
                <w:color w:val="000000" w:themeColor="text1"/>
                <w:sz w:val="21"/>
                <w:szCs w:val="22"/>
                <w14:textFill>
                  <w14:solidFill>
                    <w14:schemeClr w14:val="tx1"/>
                  </w14:solidFill>
                </w14:textFill>
              </w:rPr>
              <w:br w:type="textWrapping"/>
            </w:r>
            <w:r>
              <w:rPr>
                <w:rFonts w:hint="eastAsia" w:ascii="宋体" w:hAnsi="宋体" w:eastAsia="宋体" w:cs="Times New Roman"/>
                <w:color w:val="000000" w:themeColor="text1"/>
                <w:sz w:val="21"/>
                <w:szCs w:val="22"/>
                <w14:textFill>
                  <w14:solidFill>
                    <w14:schemeClr w14:val="tx1"/>
                  </w14:solidFill>
                </w14:textFill>
              </w:rPr>
              <w:t>提供项目合同关键页或中标通知书的扫描件，原件备查。评分中出现无证明资料或</w:t>
            </w:r>
            <w:r>
              <w:rPr>
                <w:rFonts w:hint="eastAsia" w:ascii="宋体" w:hAnsi="宋体" w:eastAsia="宋体" w:cs="Times New Roman"/>
                <w:color w:val="000000" w:themeColor="text1"/>
                <w:sz w:val="21"/>
                <w:szCs w:val="22"/>
                <w:lang w:eastAsia="zh-CN"/>
                <w14:textFill>
                  <w14:solidFill>
                    <w14:schemeClr w14:val="tx1"/>
                  </w14:solidFill>
                </w14:textFill>
              </w:rPr>
              <w:t>采购小组</w:t>
            </w:r>
            <w:r>
              <w:rPr>
                <w:rFonts w:hint="eastAsia" w:ascii="宋体" w:hAnsi="宋体" w:eastAsia="宋体" w:cs="Times New Roman"/>
                <w:color w:val="000000" w:themeColor="text1"/>
                <w:sz w:val="21"/>
                <w:szCs w:val="22"/>
                <w14:textFill>
                  <w14:solidFill>
                    <w14:schemeClr w14:val="tx1"/>
                  </w14:solidFill>
                </w14:textFill>
              </w:rPr>
              <w:t>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themeColor="text1"/>
                <w:szCs w:val="21"/>
                <w14:textFill>
                  <w14:solidFill>
                    <w14:schemeClr w14:val="tx1"/>
                  </w14:solidFill>
                </w14:textFill>
              </w:rPr>
            </w:pPr>
          </w:p>
        </w:tc>
        <w:tc>
          <w:tcPr>
            <w:tcW w:w="761" w:type="dxa"/>
            <w:tcBorders>
              <w:top w:val="single" w:color="auto" w:sz="4" w:space="0"/>
              <w:left w:val="nil"/>
              <w:bottom w:val="single" w:color="auto" w:sz="4" w:space="0"/>
              <w:right w:val="single" w:color="auto" w:sz="4" w:space="0"/>
            </w:tcBorders>
            <w:vAlign w:val="center"/>
          </w:tcPr>
          <w:p>
            <w:pPr>
              <w:jc w:val="left"/>
              <w:rPr>
                <w:rFonts w:ascii="宋体" w:hAnsi="宋体"/>
                <w:color w:val="000000" w:themeColor="text1"/>
                <w14:textFill>
                  <w14:solidFill>
                    <w14:schemeClr w14:val="tx1"/>
                  </w14:solidFill>
                </w14:textFill>
              </w:rPr>
            </w:pPr>
            <w:r>
              <w:rPr>
                <w:rFonts w:hint="default" w:ascii="宋体" w:hAnsi="宋体" w:eastAsia="宋体" w:cs="Times New Roman"/>
                <w:color w:val="000000" w:themeColor="text1"/>
                <w:sz w:val="21"/>
                <w:szCs w:val="22"/>
                <w14:textFill>
                  <w14:solidFill>
                    <w14:schemeClr w14:val="tx1"/>
                  </w14:solidFill>
                </w14:textFill>
              </w:rPr>
              <w:t>（3）</w:t>
            </w:r>
          </w:p>
        </w:tc>
        <w:tc>
          <w:tcPr>
            <w:tcW w:w="1370"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eastAsia="宋体" w:cs="Times New Roman"/>
                <w:color w:val="000000" w:themeColor="text1"/>
                <w:sz w:val="21"/>
                <w:szCs w:val="22"/>
                <w:lang w:eastAsia="zh-CN"/>
                <w14:textFill>
                  <w14:solidFill>
                    <w14:schemeClr w14:val="tx1"/>
                  </w14:solidFill>
                </w14:textFill>
              </w:rPr>
              <w:t>报价方</w:t>
            </w:r>
            <w:r>
              <w:rPr>
                <w:rFonts w:hint="eastAsia" w:ascii="宋体" w:hAnsi="宋体" w:eastAsia="宋体" w:cs="Times New Roman"/>
                <w:color w:val="000000" w:themeColor="text1"/>
                <w:sz w:val="21"/>
                <w:szCs w:val="22"/>
                <w14:textFill>
                  <w14:solidFill>
                    <w14:schemeClr w14:val="tx1"/>
                  </w14:solidFill>
                </w14:textFill>
              </w:rPr>
              <w:t>自主知识产权产品（创新、设计）情况</w:t>
            </w: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eastAsia="宋体" w:cs="Times New Roman"/>
                <w:color w:val="000000" w:themeColor="text1"/>
                <w:sz w:val="21"/>
                <w:szCs w:val="22"/>
                <w:lang w:val="en-US" w:eastAsia="zh-CN"/>
                <w14:textFill>
                  <w14:solidFill>
                    <w14:schemeClr w14:val="tx1"/>
                  </w14:solidFill>
                </w14:textFill>
              </w:rPr>
              <w:t>1</w:t>
            </w:r>
            <w:r>
              <w:rPr>
                <w:rFonts w:hint="eastAsia" w:ascii="宋体" w:hAnsi="宋体" w:eastAsia="宋体" w:cs="Times New Roman"/>
                <w:color w:val="000000" w:themeColor="text1"/>
                <w:sz w:val="21"/>
                <w:szCs w:val="22"/>
                <w:lang w:eastAsia="zh-CN"/>
                <w14:textFill>
                  <w14:solidFill>
                    <w14:schemeClr w14:val="tx1"/>
                  </w14:solidFill>
                </w14:textFill>
              </w:rPr>
              <w:t>2</w:t>
            </w:r>
          </w:p>
        </w:tc>
        <w:tc>
          <w:tcPr>
            <w:tcW w:w="5331" w:type="dxa"/>
            <w:tcBorders>
              <w:top w:val="single" w:color="auto" w:sz="4" w:space="0"/>
              <w:left w:val="nil"/>
              <w:bottom w:val="single" w:color="auto" w:sz="4" w:space="0"/>
              <w:right w:val="single" w:color="auto" w:sz="4" w:space="0"/>
            </w:tcBorders>
            <w:vAlign w:val="top"/>
          </w:tcPr>
          <w:p>
            <w:pPr>
              <w:jc w:val="left"/>
              <w:rPr>
                <w:rFonts w:hint="eastAsia" w:ascii="宋体" w:hAnsi="宋体" w:eastAsia="宋体" w:cs="Times New Roman"/>
                <w:color w:val="000000" w:themeColor="text1"/>
                <w:sz w:val="21"/>
                <w:szCs w:val="22"/>
                <w14:textFill>
                  <w14:solidFill>
                    <w14:schemeClr w14:val="tx1"/>
                  </w14:solidFill>
                </w14:textFill>
              </w:rPr>
            </w:pPr>
            <w:r>
              <w:rPr>
                <w:rFonts w:hint="eastAsia" w:ascii="宋体" w:hAnsi="宋体" w:eastAsia="宋体" w:cs="Times New Roman"/>
                <w:color w:val="000000" w:themeColor="text1"/>
                <w:sz w:val="21"/>
                <w:szCs w:val="22"/>
                <w:lang w:val="en-US" w:eastAsia="zh-CN"/>
                <w14:textFill>
                  <w14:solidFill>
                    <w14:schemeClr w14:val="tx1"/>
                  </w14:solidFill>
                </w14:textFill>
              </w:rPr>
              <w:t>1.</w:t>
            </w:r>
            <w:r>
              <w:rPr>
                <w:rFonts w:hint="eastAsia" w:ascii="宋体" w:hAnsi="宋体" w:eastAsia="宋体" w:cs="Times New Roman"/>
                <w:color w:val="000000" w:themeColor="text1"/>
                <w:sz w:val="21"/>
                <w:szCs w:val="22"/>
                <w14:textFill>
                  <w14:solidFill>
                    <w14:schemeClr w14:val="tx1"/>
                  </w14:solidFill>
                </w14:textFill>
              </w:rPr>
              <w:t xml:space="preserve">评分内容： </w:t>
            </w:r>
          </w:p>
          <w:p>
            <w:pPr>
              <w:jc w:val="left"/>
              <w:rPr>
                <w:rFonts w:hint="eastAsia" w:ascii="宋体" w:hAnsi="宋体" w:eastAsia="宋体" w:cs="Times New Roman"/>
                <w:color w:val="000000" w:themeColor="text1"/>
                <w:sz w:val="21"/>
                <w:szCs w:val="22"/>
                <w14:textFill>
                  <w14:solidFill>
                    <w14:schemeClr w14:val="tx1"/>
                  </w14:solidFill>
                </w14:textFill>
              </w:rPr>
            </w:pPr>
            <w:r>
              <w:rPr>
                <w:rFonts w:hint="eastAsia" w:ascii="宋体" w:hAnsi="宋体" w:eastAsia="宋体" w:cs="Times New Roman"/>
                <w:color w:val="000000" w:themeColor="text1"/>
                <w:sz w:val="21"/>
                <w:szCs w:val="22"/>
                <w:lang w:eastAsia="zh-CN"/>
                <w14:textFill>
                  <w14:solidFill>
                    <w14:schemeClr w14:val="tx1"/>
                  </w14:solidFill>
                </w14:textFill>
              </w:rPr>
              <w:t>报价方</w:t>
            </w:r>
            <w:r>
              <w:rPr>
                <w:rFonts w:hint="eastAsia" w:ascii="宋体" w:hAnsi="宋体" w:eastAsia="宋体" w:cs="Times New Roman"/>
                <w:color w:val="000000" w:themeColor="text1"/>
                <w:sz w:val="21"/>
                <w:szCs w:val="22"/>
                <w14:textFill>
                  <w14:solidFill>
                    <w14:schemeClr w14:val="tx1"/>
                  </w14:solidFill>
                </w14:textFill>
              </w:rPr>
              <w:t>获得国家版权局颁发的</w:t>
            </w:r>
            <w:r>
              <w:rPr>
                <w:rFonts w:hint="eastAsia" w:ascii="宋体" w:hAnsi="宋体" w:eastAsia="宋体" w:cs="Times New Roman"/>
                <w:color w:val="000000" w:themeColor="text1"/>
                <w:sz w:val="21"/>
                <w:szCs w:val="22"/>
                <w:lang w:val="en-US" w:eastAsia="zh-CN"/>
                <w14:textFill>
                  <w14:solidFill>
                    <w14:schemeClr w14:val="tx1"/>
                  </w14:solidFill>
                </w14:textFill>
              </w:rPr>
              <w:t>含</w:t>
            </w:r>
            <w:r>
              <w:rPr>
                <w:rFonts w:hint="eastAsia" w:ascii="宋体" w:hAnsi="宋体" w:eastAsia="宋体" w:cs="Times New Roman"/>
                <w:color w:val="000000" w:themeColor="text1"/>
                <w:sz w:val="21"/>
                <w:szCs w:val="22"/>
                <w:lang w:eastAsia="zh-CN"/>
                <w14:textFill>
                  <w14:solidFill>
                    <w14:schemeClr w14:val="tx1"/>
                  </w14:solidFill>
                </w14:textFill>
              </w:rPr>
              <w:t>“运维管理”</w:t>
            </w:r>
            <w:r>
              <w:rPr>
                <w:rFonts w:hint="eastAsia" w:ascii="宋体" w:hAnsi="宋体" w:eastAsia="宋体" w:cs="Times New Roman"/>
                <w:color w:val="000000" w:themeColor="text1"/>
                <w:sz w:val="21"/>
                <w:szCs w:val="22"/>
                <w:lang w:val="en-US" w:eastAsia="zh-CN"/>
                <w14:textFill>
                  <w14:solidFill>
                    <w14:schemeClr w14:val="tx1"/>
                  </w14:solidFill>
                </w14:textFill>
              </w:rPr>
              <w:t>或</w:t>
            </w:r>
            <w:r>
              <w:rPr>
                <w:rFonts w:hint="eastAsia" w:ascii="宋体" w:hAnsi="宋体" w:eastAsia="宋体" w:cs="Times New Roman"/>
                <w:color w:val="000000" w:themeColor="text1"/>
                <w:sz w:val="21"/>
                <w:szCs w:val="22"/>
                <w:lang w:eastAsia="zh-CN"/>
                <w14:textFill>
                  <w14:solidFill>
                    <w14:schemeClr w14:val="tx1"/>
                  </w14:solidFill>
                </w14:textFill>
              </w:rPr>
              <w:t>“</w:t>
            </w:r>
            <w:r>
              <w:rPr>
                <w:rFonts w:hint="eastAsia" w:ascii="宋体" w:hAnsi="宋体" w:eastAsia="宋体" w:cs="Times New Roman"/>
                <w:color w:val="000000" w:themeColor="text1"/>
                <w:sz w:val="21"/>
                <w:szCs w:val="22"/>
                <w:lang w:val="en-US" w:eastAsia="zh-CN"/>
                <w14:textFill>
                  <w14:solidFill>
                    <w14:schemeClr w14:val="tx1"/>
                  </w14:solidFill>
                </w14:textFill>
              </w:rPr>
              <w:t>大</w:t>
            </w:r>
            <w:r>
              <w:rPr>
                <w:rFonts w:hint="eastAsia" w:ascii="宋体" w:hAnsi="宋体" w:eastAsia="宋体" w:cs="Times New Roman"/>
                <w:color w:val="000000" w:themeColor="text1"/>
                <w:sz w:val="21"/>
                <w:szCs w:val="22"/>
                <w14:textFill>
                  <w14:solidFill>
                    <w14:schemeClr w14:val="tx1"/>
                  </w14:solidFill>
                </w14:textFill>
              </w:rPr>
              <w:t>数据分析</w:t>
            </w:r>
            <w:r>
              <w:rPr>
                <w:rFonts w:hint="eastAsia" w:ascii="宋体" w:hAnsi="宋体" w:eastAsia="宋体" w:cs="Times New Roman"/>
                <w:color w:val="000000" w:themeColor="text1"/>
                <w:sz w:val="21"/>
                <w:szCs w:val="22"/>
                <w:lang w:eastAsia="zh-CN"/>
                <w14:textFill>
                  <w14:solidFill>
                    <w14:schemeClr w14:val="tx1"/>
                  </w14:solidFill>
                </w14:textFill>
              </w:rPr>
              <w:t>”</w:t>
            </w:r>
            <w:r>
              <w:rPr>
                <w:rFonts w:hint="eastAsia" w:ascii="宋体" w:hAnsi="宋体" w:eastAsia="宋体" w:cs="Times New Roman"/>
                <w:color w:val="000000" w:themeColor="text1"/>
                <w:sz w:val="21"/>
                <w:szCs w:val="22"/>
                <w:lang w:val="en-US" w:eastAsia="zh-CN"/>
                <w14:textFill>
                  <w14:solidFill>
                    <w14:schemeClr w14:val="tx1"/>
                  </w14:solidFill>
                </w14:textFill>
              </w:rPr>
              <w:t>或</w:t>
            </w:r>
            <w:r>
              <w:rPr>
                <w:rFonts w:hint="eastAsia" w:ascii="宋体" w:hAnsi="宋体" w:eastAsia="宋体" w:cs="Times New Roman"/>
                <w:color w:val="000000" w:themeColor="text1"/>
                <w:sz w:val="21"/>
                <w:szCs w:val="22"/>
                <w:lang w:eastAsia="zh-CN"/>
                <w14:textFill>
                  <w14:solidFill>
                    <w14:schemeClr w14:val="tx1"/>
                  </w14:solidFill>
                </w14:textFill>
              </w:rPr>
              <w:t>“</w:t>
            </w:r>
            <w:r>
              <w:rPr>
                <w:rFonts w:hint="eastAsia" w:ascii="宋体" w:hAnsi="宋体" w:eastAsia="宋体" w:cs="Times New Roman"/>
                <w:color w:val="000000" w:themeColor="text1"/>
                <w:sz w:val="21"/>
                <w:szCs w:val="22"/>
                <w14:textFill>
                  <w14:solidFill>
                    <w14:schemeClr w14:val="tx1"/>
                  </w14:solidFill>
                </w14:textFill>
              </w:rPr>
              <w:t>信息</w:t>
            </w:r>
            <w:r>
              <w:rPr>
                <w:rFonts w:hint="eastAsia" w:ascii="宋体" w:hAnsi="宋体" w:eastAsia="宋体" w:cs="Times New Roman"/>
                <w:color w:val="000000" w:themeColor="text1"/>
                <w:sz w:val="21"/>
                <w:szCs w:val="22"/>
                <w:lang w:val="en-US" w:eastAsia="zh-CN"/>
                <w14:textFill>
                  <w14:solidFill>
                    <w14:schemeClr w14:val="tx1"/>
                  </w14:solidFill>
                </w14:textFill>
              </w:rPr>
              <w:t>采集</w:t>
            </w:r>
            <w:r>
              <w:rPr>
                <w:rFonts w:hint="eastAsia" w:ascii="宋体" w:hAnsi="宋体" w:eastAsia="宋体" w:cs="Times New Roman"/>
                <w:color w:val="000000" w:themeColor="text1"/>
                <w:sz w:val="21"/>
                <w:szCs w:val="22"/>
                <w:lang w:eastAsia="zh-CN"/>
                <w14:textFill>
                  <w14:solidFill>
                    <w14:schemeClr w14:val="tx1"/>
                  </w14:solidFill>
                </w14:textFill>
              </w:rPr>
              <w:t>”</w:t>
            </w:r>
            <w:r>
              <w:rPr>
                <w:rFonts w:hint="eastAsia" w:ascii="宋体" w:hAnsi="宋体" w:eastAsia="宋体" w:cs="Times New Roman"/>
                <w:color w:val="000000" w:themeColor="text1"/>
                <w:sz w:val="21"/>
                <w:szCs w:val="22"/>
                <w:lang w:val="en-US" w:eastAsia="zh-CN"/>
                <w14:textFill>
                  <w14:solidFill>
                    <w14:schemeClr w14:val="tx1"/>
                  </w14:solidFill>
                </w14:textFill>
              </w:rPr>
              <w:t>或</w:t>
            </w:r>
            <w:r>
              <w:rPr>
                <w:rFonts w:hint="eastAsia" w:ascii="宋体" w:hAnsi="宋体" w:eastAsia="宋体" w:cs="Times New Roman"/>
                <w:color w:val="000000" w:themeColor="text1"/>
                <w:sz w:val="21"/>
                <w:szCs w:val="22"/>
                <w:lang w:eastAsia="zh-CN"/>
                <w14:textFill>
                  <w14:solidFill>
                    <w14:schemeClr w14:val="tx1"/>
                  </w14:solidFill>
                </w14:textFill>
              </w:rPr>
              <w:t>“数据主题库”</w:t>
            </w:r>
            <w:r>
              <w:rPr>
                <w:rFonts w:hint="eastAsia" w:ascii="宋体" w:hAnsi="宋体" w:eastAsia="宋体" w:cs="Times New Roman"/>
                <w:color w:val="000000" w:themeColor="text1"/>
                <w:sz w:val="21"/>
                <w:szCs w:val="22"/>
                <w:lang w:val="en-US" w:eastAsia="zh-CN"/>
                <w14:textFill>
                  <w14:solidFill>
                    <w14:schemeClr w14:val="tx1"/>
                  </w14:solidFill>
                </w14:textFill>
              </w:rPr>
              <w:t>或“数据运行监管”关键字</w:t>
            </w:r>
            <w:r>
              <w:rPr>
                <w:rFonts w:hint="eastAsia" w:ascii="宋体" w:hAnsi="宋体" w:eastAsia="宋体" w:cs="Times New Roman"/>
                <w:color w:val="000000" w:themeColor="text1"/>
                <w:sz w:val="21"/>
                <w:szCs w:val="22"/>
                <w14:textFill>
                  <w14:solidFill>
                    <w14:schemeClr w14:val="tx1"/>
                  </w14:solidFill>
                </w14:textFill>
              </w:rPr>
              <w:t>的软件著作权登记证书：每一项得</w:t>
            </w:r>
            <w:r>
              <w:rPr>
                <w:rFonts w:hint="eastAsia" w:ascii="宋体" w:hAnsi="宋体" w:eastAsia="宋体" w:cs="Times New Roman"/>
                <w:color w:val="000000" w:themeColor="text1"/>
                <w:sz w:val="21"/>
                <w:szCs w:val="22"/>
                <w:lang w:val="en-US" w:eastAsia="zh-CN"/>
                <w14:textFill>
                  <w14:solidFill>
                    <w14:schemeClr w14:val="tx1"/>
                  </w14:solidFill>
                </w14:textFill>
              </w:rPr>
              <w:t>25</w:t>
            </w:r>
            <w:r>
              <w:rPr>
                <w:rFonts w:hint="eastAsia" w:ascii="宋体" w:hAnsi="宋体" w:eastAsia="宋体" w:cs="Times New Roman"/>
                <w:color w:val="000000" w:themeColor="text1"/>
                <w:sz w:val="21"/>
                <w:szCs w:val="22"/>
                <w14:textFill>
                  <w14:solidFill>
                    <w14:schemeClr w14:val="tx1"/>
                  </w14:solidFill>
                </w14:textFill>
              </w:rPr>
              <w:t xml:space="preserve">%，本项最高得100%。 </w:t>
            </w:r>
          </w:p>
          <w:p>
            <w:pPr>
              <w:jc w:val="left"/>
              <w:rPr>
                <w:rFonts w:hint="eastAsia" w:ascii="宋体" w:hAnsi="宋体" w:eastAsia="宋体" w:cs="Times New Roman"/>
                <w:color w:val="000000" w:themeColor="text1"/>
                <w:sz w:val="21"/>
                <w:szCs w:val="22"/>
                <w14:textFill>
                  <w14:solidFill>
                    <w14:schemeClr w14:val="tx1"/>
                  </w14:solidFill>
                </w14:textFill>
              </w:rPr>
            </w:pPr>
            <w:r>
              <w:rPr>
                <w:rFonts w:hint="eastAsia" w:ascii="宋体" w:hAnsi="宋体" w:eastAsia="宋体" w:cs="Times New Roman"/>
                <w:color w:val="000000" w:themeColor="text1"/>
                <w:sz w:val="21"/>
                <w:szCs w:val="22"/>
                <w:lang w:val="en-US" w:eastAsia="zh-CN"/>
                <w14:textFill>
                  <w14:solidFill>
                    <w14:schemeClr w14:val="tx1"/>
                  </w14:solidFill>
                </w14:textFill>
              </w:rPr>
              <w:t>2.</w:t>
            </w:r>
            <w:r>
              <w:rPr>
                <w:rFonts w:hint="eastAsia" w:ascii="宋体" w:hAnsi="宋体" w:eastAsia="宋体" w:cs="Times New Roman"/>
                <w:color w:val="000000" w:themeColor="text1"/>
                <w:sz w:val="21"/>
                <w:szCs w:val="22"/>
                <w14:textFill>
                  <w14:solidFill>
                    <w14:schemeClr w14:val="tx1"/>
                  </w14:solidFill>
                </w14:textFill>
              </w:rPr>
              <w:t xml:space="preserve">评分依据：提供相关证书扫描件作为得分依据，原件备查。 </w:t>
            </w:r>
          </w:p>
          <w:p>
            <w:pPr>
              <w:wordWrap/>
              <w:jc w:val="left"/>
              <w:rPr>
                <w:rFonts w:hint="eastAsia" w:ascii="宋体" w:hAnsi="宋体" w:eastAsia="宋体"/>
                <w:b w:val="0"/>
                <w:bCs w:val="0"/>
                <w:color w:val="000000" w:themeColor="text1"/>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备注：评分中出现无证明资料或证书过期或</w:t>
            </w:r>
            <w:r>
              <w:rPr>
                <w:rFonts w:hint="eastAsia" w:ascii="宋体" w:hAnsi="宋体" w:eastAsia="宋体" w:cs="Times New Roman"/>
                <w:color w:val="000000" w:themeColor="text1"/>
                <w:sz w:val="21"/>
                <w:szCs w:val="22"/>
                <w:lang w:eastAsia="zh-CN"/>
                <w14:textFill>
                  <w14:solidFill>
                    <w14:schemeClr w14:val="tx1"/>
                  </w14:solidFill>
                </w14:textFill>
              </w:rPr>
              <w:t>采购小组</w:t>
            </w:r>
            <w:r>
              <w:rPr>
                <w:rFonts w:hint="eastAsia" w:ascii="宋体" w:hAnsi="宋体" w:eastAsia="宋体" w:cs="Times New Roman"/>
                <w:color w:val="000000" w:themeColor="text1"/>
                <w:sz w:val="21"/>
                <w:szCs w:val="22"/>
                <w14:textFill>
                  <w14:solidFill>
                    <w14:schemeClr w14:val="tx1"/>
                  </w14:solidFill>
                </w14:textFill>
              </w:rPr>
              <w:t>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08" w:type="dxa"/>
            <w:vMerge w:val="restart"/>
            <w:tcBorders>
              <w:top w:val="nil"/>
              <w:left w:val="single" w:color="auto" w:sz="4" w:space="0"/>
              <w:bottom w:val="single" w:color="auto" w:sz="4" w:space="0"/>
              <w:right w:val="single" w:color="auto" w:sz="4" w:space="0"/>
            </w:tcBorders>
            <w:vAlign w:val="center"/>
          </w:tcPr>
          <w:p>
            <w:pPr>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4</w:t>
            </w:r>
          </w:p>
        </w:tc>
        <w:tc>
          <w:tcPr>
            <w:tcW w:w="2131"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eastAsia="宋体" w:cs="Times New Roman"/>
                <w:color w:val="000000" w:themeColor="text1"/>
                <w:sz w:val="21"/>
                <w:szCs w:val="22"/>
                <w:lang w:eastAsia="zh-CN"/>
                <w14:textFill>
                  <w14:solidFill>
                    <w14:schemeClr w14:val="tx1"/>
                  </w14:solidFill>
                </w14:textFill>
              </w:rPr>
              <w:t>其他</w:t>
            </w:r>
          </w:p>
        </w:tc>
        <w:tc>
          <w:tcPr>
            <w:tcW w:w="6040" w:type="dxa"/>
            <w:gridSpan w:val="2"/>
            <w:tcBorders>
              <w:top w:val="single" w:color="auto" w:sz="4" w:space="0"/>
              <w:left w:val="nil"/>
              <w:bottom w:val="single" w:color="auto" w:sz="4" w:space="0"/>
              <w:right w:val="single" w:color="auto" w:sz="4" w:space="0"/>
            </w:tcBorders>
            <w:vAlign w:val="center"/>
          </w:tcPr>
          <w:p>
            <w:pPr>
              <w:ind w:left="0"/>
              <w:jc w:val="center"/>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
                <w:bCs/>
                <w:color w:val="000000" w:themeColor="text1"/>
                <w:szCs w:val="21"/>
                <w14:textFill>
                  <w14:solidFill>
                    <w14:schemeClr w14:val="tx1"/>
                  </w14:solidFill>
                </w14:textFill>
              </w:rPr>
            </w:pPr>
          </w:p>
        </w:tc>
        <w:tc>
          <w:tcPr>
            <w:tcW w:w="761"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1370"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评分因素</w:t>
            </w: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b/>
                <w:bCs/>
                <w:color w:val="000000" w:themeColor="text1"/>
                <w:lang w:val="en-US" w:eastAsia="zh-CN"/>
                <w14:textFill>
                  <w14:solidFill>
                    <w14:schemeClr w14:val="tx1"/>
                  </w14:solidFill>
                </w14:textFill>
              </w:rPr>
              <w:t>分值</w:t>
            </w:r>
          </w:p>
        </w:tc>
        <w:tc>
          <w:tcPr>
            <w:tcW w:w="5331"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
                <w:bCs/>
                <w:color w:val="000000" w:themeColor="text1"/>
                <w:szCs w:val="21"/>
                <w14:textFill>
                  <w14:solidFill>
                    <w14:schemeClr w14:val="tx1"/>
                  </w14:solidFill>
                </w14:textFill>
              </w:rPr>
            </w:pPr>
          </w:p>
        </w:tc>
        <w:tc>
          <w:tcPr>
            <w:tcW w:w="761" w:type="dxa"/>
            <w:tcBorders>
              <w:top w:val="single" w:color="auto" w:sz="4" w:space="0"/>
              <w:left w:val="nil"/>
              <w:bottom w:val="single" w:color="auto" w:sz="4" w:space="0"/>
              <w:right w:val="single" w:color="auto" w:sz="4" w:space="0"/>
            </w:tcBorders>
            <w:vAlign w:val="center"/>
          </w:tcPr>
          <w:p>
            <w:pPr>
              <w:jc w:val="left"/>
              <w:rPr>
                <w:rFonts w:ascii="宋体" w:hAnsi="宋体"/>
                <w:color w:val="000000" w:themeColor="text1"/>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w:t>
            </w:r>
            <w:r>
              <w:rPr>
                <w:rFonts w:hint="default" w:ascii="宋体" w:hAnsi="宋体" w:eastAsia="宋体" w:cs="Times New Roman"/>
                <w:color w:val="000000" w:themeColor="text1"/>
                <w:sz w:val="21"/>
                <w:szCs w:val="22"/>
                <w14:textFill>
                  <w14:solidFill>
                    <w14:schemeClr w14:val="tx1"/>
                  </w14:solidFill>
                </w14:textFill>
              </w:rPr>
              <w:t>1）</w:t>
            </w:r>
          </w:p>
        </w:tc>
        <w:tc>
          <w:tcPr>
            <w:tcW w:w="1370"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诚信档案</w:t>
            </w: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5</w:t>
            </w:r>
          </w:p>
        </w:tc>
        <w:tc>
          <w:tcPr>
            <w:tcW w:w="5331"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Times New Roman"/>
                <w:color w:val="000000" w:themeColor="text1"/>
                <w:sz w:val="21"/>
                <w:szCs w:val="22"/>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一、评审标准：</w:t>
            </w:r>
          </w:p>
          <w:p>
            <w:pPr>
              <w:jc w:val="left"/>
              <w:rPr>
                <w:rFonts w:hint="eastAsia" w:ascii="宋体" w:hAnsi="宋体" w:eastAsia="宋体" w:cs="Times New Roman"/>
                <w:color w:val="000000" w:themeColor="text1"/>
                <w:sz w:val="21"/>
                <w:szCs w:val="22"/>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对报价方在政府采购领域诚信情况进行评审，报价方不存在不诚信的情况，且出具诚信承诺函（格式自拟），得100%。</w:t>
            </w:r>
          </w:p>
          <w:p>
            <w:pPr>
              <w:jc w:val="left"/>
              <w:rPr>
                <w:rFonts w:hint="eastAsia" w:ascii="宋体" w:hAnsi="宋体" w:eastAsia="宋体" w:cs="Times New Roman"/>
                <w:color w:val="000000" w:themeColor="text1"/>
                <w:sz w:val="21"/>
                <w:szCs w:val="22"/>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二、证明文件：</w:t>
            </w:r>
          </w:p>
          <w:p>
            <w:pPr>
              <w:jc w:val="left"/>
              <w:rPr>
                <w:rFonts w:hint="eastAsia" w:ascii="宋体" w:hAnsi="宋体" w:eastAsia="宋体" w:cs="Times New Roman"/>
                <w:color w:val="000000" w:themeColor="text1"/>
                <w:sz w:val="21"/>
                <w:szCs w:val="22"/>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1.须提供加盖报价方公章的《诚信承诺函》；</w:t>
            </w:r>
          </w:p>
          <w:p>
            <w:pPr>
              <w:jc w:val="left"/>
              <w:rPr>
                <w:rFonts w:hint="eastAsia" w:ascii="宋体" w:hAnsi="宋体" w:eastAsia="宋体"/>
                <w:color w:val="000000" w:themeColor="text1"/>
                <w14:textFill>
                  <w14:solidFill>
                    <w14:schemeClr w14:val="tx1"/>
                  </w14:solidFill>
                </w14:textFill>
              </w:rPr>
            </w:pPr>
            <w:r>
              <w:rPr>
                <w:rFonts w:hint="eastAsia" w:ascii="宋体" w:hAnsi="宋体" w:eastAsia="宋体" w:cs="Times New Roman"/>
                <w:color w:val="000000" w:themeColor="text1"/>
                <w:sz w:val="21"/>
                <w:szCs w:val="22"/>
                <w14:textFill>
                  <w14:solidFill>
                    <w14:schemeClr w14:val="tx1"/>
                  </w14:solidFill>
                </w14:textFill>
              </w:rPr>
              <w:t>2.未提供证明材料或者提供的证明材料不符合要求，以及提供的证明材料不清晰导致无法辨认的，不得分。</w:t>
            </w:r>
          </w:p>
        </w:tc>
      </w:tr>
    </w:tbl>
    <w:p>
      <w:pPr>
        <w:pStyle w:val="2"/>
      </w:pPr>
    </w:p>
    <w:p>
      <w:pPr>
        <w:spacing w:line="560" w:lineRule="exact"/>
        <w:rPr>
          <w:rFonts w:ascii="FangSong_GB2312" w:hAnsi="Arial" w:eastAsia="FangSong_GB2312" w:cs="Arial"/>
          <w:b/>
          <w:bCs/>
          <w:kern w:val="0"/>
          <w:sz w:val="32"/>
          <w:szCs w:val="32"/>
          <w:highlight w:val="none"/>
        </w:rPr>
      </w:pPr>
      <w:r>
        <w:rPr>
          <w:rFonts w:hint="eastAsia" w:ascii="FangSong_GB2312" w:hAnsi="Arial" w:eastAsia="FangSong_GB2312" w:cs="Arial"/>
          <w:b/>
          <w:bCs/>
          <w:kern w:val="0"/>
          <w:sz w:val="32"/>
          <w:szCs w:val="32"/>
          <w:highlight w:val="none"/>
        </w:rPr>
        <w:t>九、采购结果的公开</w:t>
      </w:r>
    </w:p>
    <w:p>
      <w:pPr>
        <w:widowControl/>
        <w:shd w:val="clear" w:color="auto" w:fill="auto"/>
        <w:spacing w:line="500" w:lineRule="exact"/>
        <w:ind w:firstLine="640" w:firstLineChars="200"/>
        <w:rPr>
          <w:rFonts w:hint="eastAsia" w:ascii="FangSong_GB2312" w:hAnsi="Arial" w:eastAsia="FangSong_GB2312" w:cs="Arial"/>
          <w:kern w:val="0"/>
          <w:sz w:val="32"/>
          <w:szCs w:val="32"/>
          <w:highlight w:val="none"/>
        </w:rPr>
      </w:pPr>
      <w:r>
        <w:rPr>
          <w:rFonts w:hint="eastAsia" w:ascii="FangSong_GB2312" w:hAnsi="Arial" w:eastAsia="FangSong_GB2312" w:cs="Arial"/>
          <w:kern w:val="0"/>
          <w:sz w:val="32"/>
          <w:szCs w:val="32"/>
          <w:highlight w:val="none"/>
        </w:rPr>
        <w:t>采购结果公开时间具体以我局在深圳</w:t>
      </w:r>
      <w:r>
        <w:rPr>
          <w:rFonts w:hint="eastAsia" w:ascii="FangSong_GB2312" w:hAnsi="Arial" w:eastAsia="FangSong_GB2312" w:cs="Arial"/>
          <w:kern w:val="0"/>
          <w:sz w:val="32"/>
          <w:szCs w:val="32"/>
          <w:highlight w:val="none"/>
          <w:lang w:eastAsia="zh-CN"/>
        </w:rPr>
        <w:t>政府采购</w:t>
      </w:r>
      <w:r>
        <w:rPr>
          <w:rFonts w:hint="eastAsia" w:ascii="FangSong_GB2312" w:hAnsi="Arial" w:eastAsia="FangSong_GB2312" w:cs="Arial"/>
          <w:kern w:val="0"/>
          <w:sz w:val="32"/>
          <w:szCs w:val="32"/>
          <w:highlight w:val="none"/>
        </w:rPr>
        <w:t>网站发布的采购结果公告为准。</w:t>
      </w:r>
    </w:p>
    <w:p>
      <w:pPr>
        <w:pStyle w:val="8"/>
        <w:rPr>
          <w:rFonts w:hint="eastAsia" w:ascii="FangSong_GB2312" w:hAnsi="Arial" w:eastAsia="FangSong_GB2312" w:cs="Arial"/>
          <w:kern w:val="0"/>
          <w:sz w:val="32"/>
          <w:szCs w:val="32"/>
          <w:highlight w:val="none"/>
        </w:rPr>
      </w:pPr>
    </w:p>
    <w:p>
      <w:pPr>
        <w:pStyle w:val="9"/>
        <w:rPr>
          <w:rFonts w:hint="eastAsia"/>
        </w:rPr>
      </w:pPr>
    </w:p>
    <w:p>
      <w:pPr>
        <w:widowControl/>
        <w:spacing w:line="560" w:lineRule="exact"/>
        <w:ind w:firstLine="480"/>
        <w:jc w:val="right"/>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深圳市大鹏新区政务服务</w:t>
      </w:r>
      <w:r>
        <w:rPr>
          <w:rFonts w:hint="eastAsia" w:ascii="仿宋_GB2312" w:hAnsi="Arial" w:eastAsia="仿宋_GB2312" w:cs="Arial"/>
          <w:color w:val="000000" w:themeColor="text1"/>
          <w:kern w:val="0"/>
          <w:sz w:val="32"/>
          <w:szCs w:val="32"/>
          <w:lang w:eastAsia="zh-CN"/>
          <w14:textFill>
            <w14:solidFill>
              <w14:schemeClr w14:val="tx1"/>
            </w14:solidFill>
          </w14:textFill>
        </w:rPr>
        <w:t>和</w:t>
      </w:r>
      <w:r>
        <w:rPr>
          <w:rFonts w:hint="eastAsia" w:ascii="仿宋_GB2312" w:hAnsi="Arial" w:eastAsia="仿宋_GB2312" w:cs="Arial"/>
          <w:color w:val="000000" w:themeColor="text1"/>
          <w:kern w:val="0"/>
          <w:sz w:val="32"/>
          <w:szCs w:val="32"/>
          <w14:textFill>
            <w14:solidFill>
              <w14:schemeClr w14:val="tx1"/>
            </w14:solidFill>
          </w14:textFill>
        </w:rPr>
        <w:t>数据管理局</w:t>
      </w:r>
    </w:p>
    <w:p>
      <w:pPr>
        <w:widowControl/>
        <w:spacing w:line="560" w:lineRule="exact"/>
        <w:ind w:firstLine="480"/>
        <w:jc w:val="center"/>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lang w:val="en-US" w:eastAsia="zh-CN"/>
          <w14:textFill>
            <w14:solidFill>
              <w14:schemeClr w14:val="tx1"/>
            </w14:solidFill>
          </w14:textFill>
        </w:rPr>
        <w:t xml:space="preserve">                  </w:t>
      </w:r>
      <w:r>
        <w:rPr>
          <w:rFonts w:hint="eastAsia" w:ascii="仿宋_GB2312" w:hAnsi="Arial" w:eastAsia="仿宋_GB2312" w:cs="Arial"/>
          <w:color w:val="000000" w:themeColor="text1"/>
          <w:kern w:val="0"/>
          <w:sz w:val="32"/>
          <w:szCs w:val="32"/>
          <w14:textFill>
            <w14:solidFill>
              <w14:schemeClr w14:val="tx1"/>
            </w14:solidFill>
          </w14:textFill>
        </w:rPr>
        <w:t>20</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25</w:t>
      </w:r>
      <w:r>
        <w:rPr>
          <w:rFonts w:hint="eastAsia" w:ascii="仿宋_GB2312" w:hAnsi="Arial" w:eastAsia="仿宋_GB2312" w:cs="Arial"/>
          <w:color w:val="000000" w:themeColor="text1"/>
          <w:kern w:val="0"/>
          <w:sz w:val="32"/>
          <w:szCs w:val="32"/>
          <w14:textFill>
            <w14:solidFill>
              <w14:schemeClr w14:val="tx1"/>
            </w14:solidFill>
          </w14:textFill>
        </w:rPr>
        <w:t>年</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1</w:t>
      </w:r>
      <w:r>
        <w:rPr>
          <w:rFonts w:hint="eastAsia" w:ascii="仿宋_GB2312" w:hAnsi="Arial" w:eastAsia="仿宋_GB2312" w:cs="Arial"/>
          <w:color w:val="000000" w:themeColor="text1"/>
          <w:kern w:val="0"/>
          <w:sz w:val="32"/>
          <w:szCs w:val="32"/>
          <w14:textFill>
            <w14:solidFill>
              <w14:schemeClr w14:val="tx1"/>
            </w14:solidFill>
          </w14:textFill>
        </w:rPr>
        <w:t>月</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20</w:t>
      </w:r>
      <w:r>
        <w:rPr>
          <w:rFonts w:hint="eastAsia" w:ascii="仿宋_GB2312" w:hAnsi="Arial" w:eastAsia="仿宋_GB2312" w:cs="Arial"/>
          <w:color w:val="000000" w:themeColor="text1"/>
          <w:kern w:val="0"/>
          <w:sz w:val="32"/>
          <w:szCs w:val="32"/>
          <w14:textFill>
            <w14:solidFill>
              <w14:schemeClr w14:val="tx1"/>
            </w14:solidFill>
          </w14:textFill>
        </w:rPr>
        <w:t>日</w:t>
      </w:r>
    </w:p>
    <w:p>
      <w:pPr>
        <w:pStyle w:val="8"/>
        <w:spacing w:line="560" w:lineRule="exact"/>
        <w:ind w:left="0" w:leftChars="0" w:firstLine="4800" w:firstLineChars="1500"/>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Arial Unicode MS">
    <w:altName w:val="Arial"/>
    <w:panose1 w:val="020B0604020202020204"/>
    <w:charset w:val="86"/>
    <w:family w:val="swiss"/>
    <w:pitch w:val="default"/>
    <w:sig w:usb0="00000000" w:usb1="00000000" w:usb2="0000003F" w:usb3="00000000" w:csb0="003F01FF"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FangSong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810F07"/>
    <w:multiLevelType w:val="singleLevel"/>
    <w:tmpl w:val="C2810F0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D75"/>
    <w:rsid w:val="00010B76"/>
    <w:rsid w:val="000405A1"/>
    <w:rsid w:val="000550D6"/>
    <w:rsid w:val="0006161F"/>
    <w:rsid w:val="000831A8"/>
    <w:rsid w:val="000E05B3"/>
    <w:rsid w:val="000E347D"/>
    <w:rsid w:val="000E57DC"/>
    <w:rsid w:val="00101A59"/>
    <w:rsid w:val="0010487F"/>
    <w:rsid w:val="00125CAD"/>
    <w:rsid w:val="00126DEB"/>
    <w:rsid w:val="00136774"/>
    <w:rsid w:val="001375C7"/>
    <w:rsid w:val="0015519D"/>
    <w:rsid w:val="00160E66"/>
    <w:rsid w:val="0018056D"/>
    <w:rsid w:val="00186300"/>
    <w:rsid w:val="001D7AB8"/>
    <w:rsid w:val="001E02B0"/>
    <w:rsid w:val="001E09FB"/>
    <w:rsid w:val="001F790C"/>
    <w:rsid w:val="0020174C"/>
    <w:rsid w:val="00211A07"/>
    <w:rsid w:val="002120BD"/>
    <w:rsid w:val="00215E91"/>
    <w:rsid w:val="00224492"/>
    <w:rsid w:val="00225A25"/>
    <w:rsid w:val="00226C9D"/>
    <w:rsid w:val="00235B49"/>
    <w:rsid w:val="0024371B"/>
    <w:rsid w:val="00254242"/>
    <w:rsid w:val="00261E15"/>
    <w:rsid w:val="00262DA3"/>
    <w:rsid w:val="00271BAE"/>
    <w:rsid w:val="00282399"/>
    <w:rsid w:val="00284EFA"/>
    <w:rsid w:val="002A4E70"/>
    <w:rsid w:val="002B64D0"/>
    <w:rsid w:val="002B67E6"/>
    <w:rsid w:val="002C3F7C"/>
    <w:rsid w:val="00306C73"/>
    <w:rsid w:val="003151A0"/>
    <w:rsid w:val="00331376"/>
    <w:rsid w:val="003402A1"/>
    <w:rsid w:val="0034564E"/>
    <w:rsid w:val="003546EF"/>
    <w:rsid w:val="00366A56"/>
    <w:rsid w:val="00370B77"/>
    <w:rsid w:val="003804F9"/>
    <w:rsid w:val="00382D1D"/>
    <w:rsid w:val="00382D95"/>
    <w:rsid w:val="00387B13"/>
    <w:rsid w:val="003C1DB5"/>
    <w:rsid w:val="003D0250"/>
    <w:rsid w:val="003D6D6A"/>
    <w:rsid w:val="00437C12"/>
    <w:rsid w:val="004517D9"/>
    <w:rsid w:val="00461EA4"/>
    <w:rsid w:val="00463C8E"/>
    <w:rsid w:val="00484ADA"/>
    <w:rsid w:val="00493872"/>
    <w:rsid w:val="004B2A72"/>
    <w:rsid w:val="00506D0B"/>
    <w:rsid w:val="0051387E"/>
    <w:rsid w:val="00561CFC"/>
    <w:rsid w:val="00586C55"/>
    <w:rsid w:val="00596615"/>
    <w:rsid w:val="005B62C1"/>
    <w:rsid w:val="005E497E"/>
    <w:rsid w:val="00606465"/>
    <w:rsid w:val="006066D0"/>
    <w:rsid w:val="00612CDE"/>
    <w:rsid w:val="00644DD3"/>
    <w:rsid w:val="0064726F"/>
    <w:rsid w:val="00664987"/>
    <w:rsid w:val="00664C52"/>
    <w:rsid w:val="00691B69"/>
    <w:rsid w:val="00692775"/>
    <w:rsid w:val="006A7F9C"/>
    <w:rsid w:val="006D3ABF"/>
    <w:rsid w:val="007147D8"/>
    <w:rsid w:val="007169DF"/>
    <w:rsid w:val="00717598"/>
    <w:rsid w:val="00736527"/>
    <w:rsid w:val="007438F1"/>
    <w:rsid w:val="00782D75"/>
    <w:rsid w:val="007916F9"/>
    <w:rsid w:val="00794B2C"/>
    <w:rsid w:val="007A00E2"/>
    <w:rsid w:val="007C40C1"/>
    <w:rsid w:val="007C5C0A"/>
    <w:rsid w:val="007D7626"/>
    <w:rsid w:val="007E4136"/>
    <w:rsid w:val="008107D5"/>
    <w:rsid w:val="00812933"/>
    <w:rsid w:val="00813989"/>
    <w:rsid w:val="0082334C"/>
    <w:rsid w:val="00844285"/>
    <w:rsid w:val="00886312"/>
    <w:rsid w:val="00897505"/>
    <w:rsid w:val="008B39B8"/>
    <w:rsid w:val="008E2B3A"/>
    <w:rsid w:val="008F559F"/>
    <w:rsid w:val="00913B63"/>
    <w:rsid w:val="00945F26"/>
    <w:rsid w:val="00986E43"/>
    <w:rsid w:val="009A764D"/>
    <w:rsid w:val="009B4F6B"/>
    <w:rsid w:val="009B7F92"/>
    <w:rsid w:val="009D568D"/>
    <w:rsid w:val="009E501B"/>
    <w:rsid w:val="00A141D2"/>
    <w:rsid w:val="00A24E34"/>
    <w:rsid w:val="00A26761"/>
    <w:rsid w:val="00A42BF4"/>
    <w:rsid w:val="00A75D8C"/>
    <w:rsid w:val="00A95046"/>
    <w:rsid w:val="00B25031"/>
    <w:rsid w:val="00B250DD"/>
    <w:rsid w:val="00B33F0E"/>
    <w:rsid w:val="00B64B78"/>
    <w:rsid w:val="00B956EA"/>
    <w:rsid w:val="00BE216B"/>
    <w:rsid w:val="00BE3E75"/>
    <w:rsid w:val="00BF769F"/>
    <w:rsid w:val="00C171E1"/>
    <w:rsid w:val="00C250D0"/>
    <w:rsid w:val="00C62F0C"/>
    <w:rsid w:val="00C8054B"/>
    <w:rsid w:val="00C84A04"/>
    <w:rsid w:val="00C91A6B"/>
    <w:rsid w:val="00C97980"/>
    <w:rsid w:val="00CB25EB"/>
    <w:rsid w:val="00CD27D8"/>
    <w:rsid w:val="00CD750F"/>
    <w:rsid w:val="00CF1B64"/>
    <w:rsid w:val="00CF7E27"/>
    <w:rsid w:val="00D22206"/>
    <w:rsid w:val="00D25AB0"/>
    <w:rsid w:val="00D3401B"/>
    <w:rsid w:val="00D42A66"/>
    <w:rsid w:val="00D476C6"/>
    <w:rsid w:val="00D8479D"/>
    <w:rsid w:val="00DB5B93"/>
    <w:rsid w:val="00DC5643"/>
    <w:rsid w:val="00DD3190"/>
    <w:rsid w:val="00DF6E30"/>
    <w:rsid w:val="00E1309A"/>
    <w:rsid w:val="00E36FE2"/>
    <w:rsid w:val="00E65AD4"/>
    <w:rsid w:val="00E65F9B"/>
    <w:rsid w:val="00E92540"/>
    <w:rsid w:val="00E944AF"/>
    <w:rsid w:val="00EA43D5"/>
    <w:rsid w:val="00EB585F"/>
    <w:rsid w:val="00ED7E52"/>
    <w:rsid w:val="00EF5B2C"/>
    <w:rsid w:val="00F1544A"/>
    <w:rsid w:val="00F24EAC"/>
    <w:rsid w:val="00F3586F"/>
    <w:rsid w:val="00F360A8"/>
    <w:rsid w:val="00F429E2"/>
    <w:rsid w:val="00F61CB7"/>
    <w:rsid w:val="00F76821"/>
    <w:rsid w:val="00FA1717"/>
    <w:rsid w:val="00FE4A4F"/>
    <w:rsid w:val="00FE5306"/>
    <w:rsid w:val="03BF19B5"/>
    <w:rsid w:val="0578082C"/>
    <w:rsid w:val="066F33AC"/>
    <w:rsid w:val="07324ED5"/>
    <w:rsid w:val="0CFB10D3"/>
    <w:rsid w:val="0E0C4203"/>
    <w:rsid w:val="0EFBB899"/>
    <w:rsid w:val="0F92009F"/>
    <w:rsid w:val="10903B70"/>
    <w:rsid w:val="12210ED4"/>
    <w:rsid w:val="12A63D52"/>
    <w:rsid w:val="14FB45C6"/>
    <w:rsid w:val="15413FBC"/>
    <w:rsid w:val="16273291"/>
    <w:rsid w:val="17CB9966"/>
    <w:rsid w:val="17E6BAE2"/>
    <w:rsid w:val="1C0F36ED"/>
    <w:rsid w:val="1DFB0F76"/>
    <w:rsid w:val="1FFF5507"/>
    <w:rsid w:val="25856763"/>
    <w:rsid w:val="278A75DF"/>
    <w:rsid w:val="28B541DE"/>
    <w:rsid w:val="29173B4E"/>
    <w:rsid w:val="2A765BCC"/>
    <w:rsid w:val="2A8E6BA7"/>
    <w:rsid w:val="2DAFF27E"/>
    <w:rsid w:val="2E761B4E"/>
    <w:rsid w:val="2FF92E4B"/>
    <w:rsid w:val="318B634B"/>
    <w:rsid w:val="328C23B4"/>
    <w:rsid w:val="33CE8979"/>
    <w:rsid w:val="364E5687"/>
    <w:rsid w:val="375B5F5A"/>
    <w:rsid w:val="37FFC175"/>
    <w:rsid w:val="38594E66"/>
    <w:rsid w:val="38606610"/>
    <w:rsid w:val="39C17425"/>
    <w:rsid w:val="3A7B2AE2"/>
    <w:rsid w:val="3C2926B2"/>
    <w:rsid w:val="3C4E0107"/>
    <w:rsid w:val="3DFE4314"/>
    <w:rsid w:val="3ECA01FE"/>
    <w:rsid w:val="3F1B9E38"/>
    <w:rsid w:val="3FE35A04"/>
    <w:rsid w:val="3FF3329C"/>
    <w:rsid w:val="40B35993"/>
    <w:rsid w:val="43631612"/>
    <w:rsid w:val="44605D74"/>
    <w:rsid w:val="44720BAA"/>
    <w:rsid w:val="45044D34"/>
    <w:rsid w:val="460858DB"/>
    <w:rsid w:val="46881EB7"/>
    <w:rsid w:val="47846B0A"/>
    <w:rsid w:val="48F55D8A"/>
    <w:rsid w:val="49A52B51"/>
    <w:rsid w:val="4A065923"/>
    <w:rsid w:val="4C0B18FF"/>
    <w:rsid w:val="4C760322"/>
    <w:rsid w:val="4DFAAC63"/>
    <w:rsid w:val="504E6969"/>
    <w:rsid w:val="52D77E1D"/>
    <w:rsid w:val="561C5C67"/>
    <w:rsid w:val="56FF9041"/>
    <w:rsid w:val="58256309"/>
    <w:rsid w:val="5B0B20BD"/>
    <w:rsid w:val="5B855F4B"/>
    <w:rsid w:val="5B8B7290"/>
    <w:rsid w:val="5C191E64"/>
    <w:rsid w:val="5E442DA5"/>
    <w:rsid w:val="5ED32C7B"/>
    <w:rsid w:val="5ED811A5"/>
    <w:rsid w:val="5EFDE68D"/>
    <w:rsid w:val="5F8F74AA"/>
    <w:rsid w:val="60AC4BD0"/>
    <w:rsid w:val="628966B6"/>
    <w:rsid w:val="63E550EA"/>
    <w:rsid w:val="646F1559"/>
    <w:rsid w:val="67A93226"/>
    <w:rsid w:val="67BED850"/>
    <w:rsid w:val="67F54DDE"/>
    <w:rsid w:val="6A3918DE"/>
    <w:rsid w:val="6A520C91"/>
    <w:rsid w:val="6B1669BE"/>
    <w:rsid w:val="6B517D09"/>
    <w:rsid w:val="6BBB5BA2"/>
    <w:rsid w:val="6CFD1BF2"/>
    <w:rsid w:val="6E6F4F5A"/>
    <w:rsid w:val="6F37826A"/>
    <w:rsid w:val="6FDDA3C7"/>
    <w:rsid w:val="6FDEEDFB"/>
    <w:rsid w:val="70CA288C"/>
    <w:rsid w:val="720F3149"/>
    <w:rsid w:val="72881C96"/>
    <w:rsid w:val="752D100F"/>
    <w:rsid w:val="758836B0"/>
    <w:rsid w:val="75FF5793"/>
    <w:rsid w:val="7620781C"/>
    <w:rsid w:val="77285B0E"/>
    <w:rsid w:val="779F876E"/>
    <w:rsid w:val="77DED82B"/>
    <w:rsid w:val="77FF4ECB"/>
    <w:rsid w:val="78DCFF5B"/>
    <w:rsid w:val="7B73DEEF"/>
    <w:rsid w:val="7BF786BD"/>
    <w:rsid w:val="7BFF8646"/>
    <w:rsid w:val="7C3155DB"/>
    <w:rsid w:val="7C3F81AA"/>
    <w:rsid w:val="7CBBB8D2"/>
    <w:rsid w:val="7D775606"/>
    <w:rsid w:val="7DB9CDF8"/>
    <w:rsid w:val="7F2AFE22"/>
    <w:rsid w:val="7F6564D0"/>
    <w:rsid w:val="7F6B2E91"/>
    <w:rsid w:val="7FB6A884"/>
    <w:rsid w:val="7FBF6291"/>
    <w:rsid w:val="7FF977CA"/>
    <w:rsid w:val="7FFF2B8B"/>
    <w:rsid w:val="7FFFA723"/>
    <w:rsid w:val="9BFFBDE4"/>
    <w:rsid w:val="A1D3C46E"/>
    <w:rsid w:val="AEFD5092"/>
    <w:rsid w:val="B3FBB464"/>
    <w:rsid w:val="B74C3BD2"/>
    <w:rsid w:val="B7B774CB"/>
    <w:rsid w:val="B9FA8910"/>
    <w:rsid w:val="C7FF4215"/>
    <w:rsid w:val="CD7A1E6A"/>
    <w:rsid w:val="CDFFFE10"/>
    <w:rsid w:val="D7E74C60"/>
    <w:rsid w:val="DEE7D98E"/>
    <w:rsid w:val="DFB50D01"/>
    <w:rsid w:val="DFFA094A"/>
    <w:rsid w:val="DFFFD033"/>
    <w:rsid w:val="E67A4DE7"/>
    <w:rsid w:val="ECBFE6A0"/>
    <w:rsid w:val="F33D937B"/>
    <w:rsid w:val="F6F318DC"/>
    <w:rsid w:val="F77F442D"/>
    <w:rsid w:val="F9FFD1A0"/>
    <w:rsid w:val="FA7B19EA"/>
    <w:rsid w:val="FB5D024F"/>
    <w:rsid w:val="FBC86184"/>
    <w:rsid w:val="FBD7CD1D"/>
    <w:rsid w:val="FEFAB290"/>
    <w:rsid w:val="FF4E55FC"/>
    <w:rsid w:val="FF7E6622"/>
    <w:rsid w:val="FFBF05D7"/>
    <w:rsid w:val="FFCA2E5B"/>
    <w:rsid w:val="FFCF9D8C"/>
    <w:rsid w:val="FFEC231B"/>
    <w:rsid w:val="FFEF178A"/>
    <w:rsid w:val="FFFF41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4"/>
    <w:next w:val="1"/>
    <w:semiHidden/>
    <w:unhideWhenUsed/>
    <w:qFormat/>
    <w:uiPriority w:val="9"/>
    <w:pPr>
      <w:spacing w:before="0" w:beforeAutospacing="1" w:after="0" w:afterAutospacing="1"/>
      <w:jc w:val="left"/>
    </w:pPr>
    <w:rPr>
      <w:rFonts w:hint="eastAsia" w:ascii="宋体" w:hAnsi="宋体" w:eastAsia="宋体" w:cs="宋体"/>
      <w:kern w:val="0"/>
      <w:sz w:val="27"/>
      <w:szCs w:val="27"/>
      <w:lang w:val="en-US" w:eastAsia="zh-CN" w:bidi="ar"/>
    </w:rPr>
  </w:style>
  <w:style w:type="paragraph" w:styleId="4">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kern w:val="0"/>
      <w:sz w:val="20"/>
      <w:szCs w:val="20"/>
      <w:lang w:val="zh-CN"/>
    </w:rPr>
  </w:style>
  <w:style w:type="paragraph" w:styleId="5">
    <w:name w:val="annotation text"/>
    <w:basedOn w:val="1"/>
    <w:link w:val="23"/>
    <w:qFormat/>
    <w:uiPriority w:val="0"/>
    <w:pPr>
      <w:jc w:val="left"/>
    </w:pPr>
  </w:style>
  <w:style w:type="paragraph" w:styleId="6">
    <w:name w:val="Body Text"/>
    <w:basedOn w:val="1"/>
    <w:next w:val="7"/>
    <w:link w:val="25"/>
    <w:qFormat/>
    <w:uiPriority w:val="1"/>
    <w:pPr>
      <w:ind w:left="106"/>
      <w:jc w:val="left"/>
    </w:pPr>
    <w:rPr>
      <w:rFonts w:ascii="Arial Unicode MS" w:hAnsi="Arial Unicode MS" w:eastAsia="Arial Unicode MS"/>
      <w:kern w:val="0"/>
      <w:sz w:val="16"/>
      <w:szCs w:val="16"/>
      <w:lang w:eastAsia="en-US"/>
    </w:rPr>
  </w:style>
  <w:style w:type="paragraph" w:styleId="7">
    <w:name w:val="Quote"/>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styleId="8">
    <w:name w:val="Plain Text"/>
    <w:basedOn w:val="1"/>
    <w:next w:val="9"/>
    <w:qFormat/>
    <w:uiPriority w:val="0"/>
    <w:rPr>
      <w:rFonts w:ascii="宋体" w:hAnsi="Courier New"/>
      <w:szCs w:val="20"/>
    </w:rPr>
  </w:style>
  <w:style w:type="paragraph" w:customStyle="1" w:styleId="9">
    <w:name w:val="Default"/>
    <w:next w:val="10"/>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1">
    <w:name w:val="Balloon Text"/>
    <w:basedOn w:val="1"/>
    <w:link w:val="29"/>
    <w:qFormat/>
    <w:uiPriority w:val="0"/>
    <w:rPr>
      <w:sz w:val="18"/>
      <w:szCs w:val="18"/>
    </w:rPr>
  </w:style>
  <w:style w:type="paragraph" w:styleId="12">
    <w:name w:val="footer"/>
    <w:basedOn w:val="1"/>
    <w:link w:val="22"/>
    <w:qFormat/>
    <w:uiPriority w:val="99"/>
    <w:pPr>
      <w:tabs>
        <w:tab w:val="center" w:pos="4153"/>
        <w:tab w:val="right" w:pos="8306"/>
      </w:tabs>
      <w:snapToGrid w:val="0"/>
      <w:jc w:val="left"/>
    </w:pPr>
    <w:rPr>
      <w:sz w:val="18"/>
      <w:szCs w:val="18"/>
    </w:rPr>
  </w:style>
  <w:style w:type="paragraph" w:styleId="13">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5"/>
    <w:next w:val="5"/>
    <w:link w:val="24"/>
    <w:qFormat/>
    <w:uiPriority w:val="0"/>
    <w:rPr>
      <w:b/>
      <w:bCs/>
    </w:rPr>
  </w:style>
  <w:style w:type="character" w:styleId="18">
    <w:name w:val="annotation reference"/>
    <w:basedOn w:val="17"/>
    <w:qFormat/>
    <w:uiPriority w:val="0"/>
    <w:rPr>
      <w:sz w:val="21"/>
      <w:szCs w:val="21"/>
    </w:rPr>
  </w:style>
  <w:style w:type="paragraph" w:customStyle="1" w:styleId="19">
    <w:name w:val="p0"/>
    <w:basedOn w:val="1"/>
    <w:qFormat/>
    <w:uiPriority w:val="0"/>
    <w:pPr>
      <w:widowControl/>
    </w:pPr>
    <w:rPr>
      <w:kern w:val="0"/>
      <w:szCs w:val="21"/>
    </w:rPr>
  </w:style>
  <w:style w:type="paragraph" w:styleId="20">
    <w:name w:val="List Paragraph"/>
    <w:basedOn w:val="1"/>
    <w:qFormat/>
    <w:uiPriority w:val="0"/>
    <w:pPr>
      <w:ind w:firstLine="420" w:firstLineChars="200"/>
    </w:pPr>
  </w:style>
  <w:style w:type="character" w:customStyle="1" w:styleId="21">
    <w:name w:val="页眉 字符"/>
    <w:basedOn w:val="17"/>
    <w:link w:val="13"/>
    <w:qFormat/>
    <w:uiPriority w:val="99"/>
    <w:rPr>
      <w:rFonts w:ascii="Calibri" w:hAnsi="Calibri" w:eastAsia="宋体" w:cs="Times New Roman"/>
      <w:kern w:val="2"/>
      <w:sz w:val="18"/>
      <w:szCs w:val="18"/>
    </w:rPr>
  </w:style>
  <w:style w:type="character" w:customStyle="1" w:styleId="22">
    <w:name w:val="页脚 字符"/>
    <w:basedOn w:val="17"/>
    <w:link w:val="12"/>
    <w:qFormat/>
    <w:uiPriority w:val="99"/>
    <w:rPr>
      <w:rFonts w:ascii="Calibri" w:hAnsi="Calibri" w:eastAsia="宋体" w:cs="Times New Roman"/>
      <w:kern w:val="2"/>
      <w:sz w:val="18"/>
      <w:szCs w:val="18"/>
    </w:rPr>
  </w:style>
  <w:style w:type="character" w:customStyle="1" w:styleId="23">
    <w:name w:val="批注文字 字符"/>
    <w:basedOn w:val="17"/>
    <w:link w:val="5"/>
    <w:qFormat/>
    <w:uiPriority w:val="0"/>
    <w:rPr>
      <w:rFonts w:ascii="Calibri" w:hAnsi="Calibri" w:eastAsia="宋体" w:cs="Times New Roman"/>
      <w:kern w:val="2"/>
      <w:sz w:val="21"/>
      <w:szCs w:val="22"/>
    </w:rPr>
  </w:style>
  <w:style w:type="character" w:customStyle="1" w:styleId="24">
    <w:name w:val="批注主题 字符"/>
    <w:basedOn w:val="23"/>
    <w:link w:val="15"/>
    <w:qFormat/>
    <w:uiPriority w:val="0"/>
    <w:rPr>
      <w:rFonts w:ascii="Calibri" w:hAnsi="Calibri" w:eastAsia="宋体" w:cs="Times New Roman"/>
      <w:b/>
      <w:bCs/>
      <w:kern w:val="2"/>
      <w:sz w:val="21"/>
      <w:szCs w:val="22"/>
    </w:rPr>
  </w:style>
  <w:style w:type="character" w:customStyle="1" w:styleId="25">
    <w:name w:val="正文文本 字符"/>
    <w:basedOn w:val="17"/>
    <w:link w:val="6"/>
    <w:qFormat/>
    <w:uiPriority w:val="1"/>
    <w:rPr>
      <w:rFonts w:ascii="Arial Unicode MS" w:hAnsi="Arial Unicode MS" w:eastAsia="Arial Unicode MS" w:cs="Times New Roman"/>
      <w:sz w:val="16"/>
      <w:szCs w:val="16"/>
      <w:lang w:eastAsia="en-US"/>
    </w:rPr>
  </w:style>
  <w:style w:type="paragraph" w:customStyle="1" w:styleId="26">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
    <w:name w:val="Table Paragraph"/>
    <w:basedOn w:val="1"/>
    <w:qFormat/>
    <w:uiPriority w:val="1"/>
    <w:pPr>
      <w:jc w:val="left"/>
    </w:pPr>
    <w:rPr>
      <w:rFonts w:asciiTheme="minorHAnsi" w:hAnsiTheme="minorHAnsi" w:eastAsiaTheme="minorEastAsia" w:cstheme="minorBidi"/>
      <w:kern w:val="0"/>
      <w:sz w:val="22"/>
      <w:lang w:eastAsia="en-US"/>
    </w:rPr>
  </w:style>
  <w:style w:type="table" w:customStyle="1" w:styleId="28">
    <w:name w:val="Table Normal"/>
    <w:semiHidden/>
    <w:qFormat/>
    <w:uiPriority w:val="2"/>
    <w:pPr>
      <w:widowControl w:val="0"/>
    </w:pPr>
    <w:rPr>
      <w:rFonts w:eastAsia="Times New Roman"/>
      <w:sz w:val="22"/>
      <w:szCs w:val="22"/>
      <w:lang w:eastAsia="en-US"/>
    </w:rPr>
    <w:tblPr>
      <w:tblCellMar>
        <w:top w:w="0" w:type="dxa"/>
        <w:left w:w="0" w:type="dxa"/>
        <w:bottom w:w="0" w:type="dxa"/>
        <w:right w:w="0" w:type="dxa"/>
      </w:tblCellMar>
    </w:tblPr>
  </w:style>
  <w:style w:type="character" w:customStyle="1" w:styleId="29">
    <w:name w:val="批注框文本 字符"/>
    <w:basedOn w:val="17"/>
    <w:link w:val="11"/>
    <w:qFormat/>
    <w:uiPriority w:val="0"/>
    <w:rPr>
      <w:rFonts w:ascii="Calibri" w:hAnsi="Calibri" w:eastAsia="宋体" w:cs="Times New Roman"/>
      <w:kern w:val="2"/>
      <w:sz w:val="18"/>
      <w:szCs w:val="18"/>
    </w:rPr>
  </w:style>
  <w:style w:type="paragraph" w:customStyle="1" w:styleId="30">
    <w:name w:val="列出段落1"/>
    <w:basedOn w:val="1"/>
    <w:semiHidden/>
    <w:qFormat/>
    <w:uiPriority w:val="0"/>
    <w:pPr>
      <w:ind w:firstLine="420" w:firstLineChars="200"/>
    </w:pPr>
    <w:rPr>
      <w:rFonts w:ascii="Times New Roman" w:hAnsi="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7625</Words>
  <Characters>8019</Characters>
  <Lines>69</Lines>
  <Paragraphs>19</Paragraphs>
  <TotalTime>24</TotalTime>
  <ScaleCrop>false</ScaleCrop>
  <LinksUpToDate>false</LinksUpToDate>
  <CharactersWithSpaces>8052</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2023-10-25T09:00:00Z</dcterms:created>
  <dc:creator>Administrator</dc:creator>
  <cp:lastModifiedBy>李旖旎</cp:lastModifiedBy>
  <cp:lastPrinted>2025-01-20T18:07:00Z</cp:lastPrinted>
  <dcterms:modified xsi:type="dcterms:W3CDTF">2025-01-20T19:33:03Z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34323194834F471C8DF0D4FB44A78A22_13</vt:lpwstr>
  </property>
  <property fmtid="{D5CDD505-2E9C-101B-9397-08002B2CF9AE}" pid="4" name="KSOTemplateDocerSaveRecord">
    <vt:lpwstr>eyJoZGlkIjoiOGM4YzE3MzQ3ZDI4ZDdkODZkNjM2NjA4NDhiZTU0YzMifQ==</vt:lpwstr>
  </property>
</Properties>
</file>