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特别警示条款</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313" w:afterLines="100" w:line="400" w:lineRule="exact"/>
        <w:ind w:firstLine="420" w:firstLineChars="200"/>
        <w:jc w:val="both"/>
        <w:textAlignment w:val="auto"/>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1"/>
        <w:gridCol w:w="77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序号</w:t>
            </w:r>
          </w:p>
        </w:tc>
        <w:tc>
          <w:tcPr>
            <w:tcW w:w="77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kern w:val="2"/>
                <w:sz w:val="21"/>
                <w:szCs w:val="21"/>
                <w:lang w:eastAsia="zh-CN"/>
              </w:rPr>
            </w:pPr>
            <w:r>
              <w:rPr>
                <w:rFonts w:ascii="宋体" w:eastAsia="宋体" w:hAnsi="宋体" w:cs="宋体" w:hint="eastAsia"/>
                <w:b/>
                <w:bCs/>
                <w:color w:val="FF0000"/>
                <w:kern w:val="2"/>
                <w:sz w:val="21"/>
                <w:szCs w:val="21"/>
                <w:lang w:eastAsia="zh-CN"/>
              </w:rPr>
              <w:t>供应商参与投标（响应）禁止情形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w:t>
            </w:r>
          </w:p>
        </w:tc>
        <w:tc>
          <w:tcPr>
            <w:tcW w:w="77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与其他投标（响应）供应商的法定代表人、主要经营负责人、投标（响应）授权代表人、项目负责人、主要技术人员为</w:t>
            </w:r>
            <w:r>
              <w:rPr>
                <w:rFonts w:ascii="宋体" w:eastAsia="宋体" w:hAnsi="宋体" w:cs="宋体" w:hint="eastAsia"/>
                <w:b/>
                <w:bCs/>
                <w:color w:val="FF0000"/>
                <w:kern w:val="2"/>
                <w:sz w:val="21"/>
                <w:szCs w:val="21"/>
                <w:lang w:eastAsia="zh-CN"/>
              </w:rPr>
              <w:t>同一人、属同一单位或者在同一单位缴纳社会保险</w:t>
            </w:r>
            <w:r>
              <w:rPr>
                <w:rFonts w:ascii="宋体" w:eastAsia="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w:t>
            </w:r>
          </w:p>
        </w:tc>
        <w:tc>
          <w:tcPr>
            <w:tcW w:w="77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参与本项目政府采购（自行采购）活动时，与其他投标（响应）供应商存在单位负责人为</w:t>
            </w:r>
            <w:r>
              <w:rPr>
                <w:rFonts w:ascii="宋体" w:eastAsia="宋体" w:hAnsi="宋体" w:cs="宋体" w:hint="eastAsia"/>
                <w:b/>
                <w:bCs/>
                <w:color w:val="FF0000"/>
                <w:kern w:val="2"/>
                <w:sz w:val="21"/>
                <w:szCs w:val="21"/>
                <w:lang w:eastAsia="zh-CN"/>
              </w:rPr>
              <w:t>同一人或直接控股、管理关系</w:t>
            </w:r>
            <w:r>
              <w:rPr>
                <w:rFonts w:ascii="宋体" w:eastAsia="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3</w:t>
            </w:r>
          </w:p>
        </w:tc>
        <w:tc>
          <w:tcPr>
            <w:tcW w:w="77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与其他投标（响应）供应商的投标（响应）文件或部分投标（响应）文件</w:t>
            </w:r>
            <w:r>
              <w:rPr>
                <w:rFonts w:ascii="宋体" w:eastAsia="宋体" w:hAnsi="宋体" w:cs="宋体" w:hint="eastAsia"/>
                <w:b/>
                <w:bCs/>
                <w:color w:val="FF0000"/>
                <w:kern w:val="2"/>
                <w:sz w:val="21"/>
                <w:szCs w:val="21"/>
                <w:lang w:eastAsia="zh-CN"/>
              </w:rPr>
              <w:t>相互混装或存在非正常一致</w:t>
            </w:r>
            <w:r>
              <w:rPr>
                <w:rFonts w:ascii="宋体" w:eastAsia="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4</w:t>
            </w:r>
          </w:p>
        </w:tc>
        <w:tc>
          <w:tcPr>
            <w:tcW w:w="77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与其他投标（响应）供应商的投标（响应）文件由</w:t>
            </w:r>
            <w:r>
              <w:rPr>
                <w:rFonts w:ascii="宋体" w:eastAsia="宋体" w:hAnsi="宋体" w:cs="宋体" w:hint="eastAsia"/>
                <w:b/>
                <w:bCs/>
                <w:color w:val="FF0000"/>
                <w:kern w:val="2"/>
                <w:sz w:val="21"/>
                <w:szCs w:val="21"/>
                <w:lang w:eastAsia="zh-CN"/>
              </w:rPr>
              <w:t>同一单位或者同一人编制</w:t>
            </w:r>
            <w:r>
              <w:rPr>
                <w:rFonts w:ascii="宋体" w:eastAsia="宋体" w:hAnsi="宋体" w:cs="宋体" w:hint="eastAsia"/>
                <w:color w:val="FF0000"/>
                <w:kern w:val="2"/>
                <w:sz w:val="21"/>
                <w:szCs w:val="21"/>
                <w:lang w:eastAsia="zh-CN"/>
              </w:rPr>
              <w:t>，或者使用</w:t>
            </w:r>
            <w:r>
              <w:rPr>
                <w:rFonts w:ascii="宋体" w:eastAsia="宋体" w:hAnsi="宋体" w:cs="宋体" w:hint="eastAsia"/>
                <w:b/>
                <w:bCs/>
                <w:color w:val="FF0000"/>
                <w:kern w:val="2"/>
                <w:sz w:val="21"/>
                <w:szCs w:val="21"/>
                <w:lang w:eastAsia="zh-CN"/>
              </w:rPr>
              <w:t>同一设备编制</w:t>
            </w:r>
            <w:r>
              <w:rPr>
                <w:rFonts w:ascii="宋体" w:eastAsia="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w:t>
            </w:r>
          </w:p>
        </w:tc>
        <w:tc>
          <w:tcPr>
            <w:tcW w:w="77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提供</w:t>
            </w:r>
            <w:r>
              <w:rPr>
                <w:rFonts w:ascii="宋体" w:eastAsia="宋体" w:hAnsi="宋体" w:cs="宋体" w:hint="eastAsia"/>
                <w:b/>
                <w:bCs/>
                <w:color w:val="FF0000"/>
                <w:kern w:val="2"/>
                <w:sz w:val="21"/>
                <w:szCs w:val="21"/>
                <w:lang w:eastAsia="zh-CN"/>
              </w:rPr>
              <w:t>未经出具机构核实</w:t>
            </w:r>
            <w:r>
              <w:rPr>
                <w:rFonts w:ascii="宋体" w:eastAsia="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6</w:t>
            </w:r>
          </w:p>
        </w:tc>
        <w:tc>
          <w:tcPr>
            <w:tcW w:w="7711" w:type="dxa"/>
            <w:tcBorders>
              <w:tl2br w:val="nil"/>
              <w:tr2bl w:val="nil"/>
            </w:tcBorders>
            <w:noWrap w:val="0"/>
            <w:vAlign w:val="center"/>
          </w:tcPr>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擅自将投标（响应）密钥或电子营业执照出借他人使用或未妥善保管。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二、参照《深圳经济特区政府采购条例实施细则》第七十五条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三、参照《深圳经济特区政府采购条例实施细则》第七十七条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投标（响应）供应商不能提供项目负责人或者主要技术人员的劳动合同、社会保险等劳动关系证明材料的，视为存在前款第（三）项规定的情形。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20" w:firstLineChars="200"/>
        <w:jc w:val="both"/>
        <w:textAlignment w:val="auto"/>
        <w:rPr>
          <w:rFonts w:ascii="Calibri" w:eastAsia="宋体" w:hAnsi="Calibri" w:hint="eastAsia"/>
          <w:b/>
          <w:color w:val="FF0000"/>
          <w:kern w:val="2"/>
          <w:sz w:val="21"/>
          <w:szCs w:val="22"/>
          <w:lang w:eastAsia="zh-CN"/>
        </w:rPr>
      </w:pPr>
      <w:r>
        <w:rPr>
          <w:rFonts w:ascii="Calibri" w:eastAsia="宋体" w:hAnsi="Calibri" w:cstheme="minorBidi" w:hint="eastAsia"/>
          <w:b/>
          <w:color w:val="FF0000"/>
          <w:kern w:val="2"/>
          <w:sz w:val="21"/>
          <w:szCs w:val="22"/>
          <w:lang w:eastAsia="zh-CN"/>
        </w:rPr>
        <w:t>四、请投标（响应）供应商阅读《政府采购（自行采购）违法行为风险知悉确认书》（内容详见“投标（响应）文件附件（信息不公开部分）”中节点“投标（响应）供应商认为需要加以说明的其他内容”，并经各投标（响应）供应商负责人签字并加盖单位公章后，扫描上传至投标（响应）文件一并提交。注：该风险知悉确认书用于对供应商违法行为的警示，不作为供应商资格性审查及符合性审查条件。</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响应）文件制作工具创建投标（响应）文件时，该工具将自动在投标（响应）文件中记录文件创建标识码，同时提取投标（响应）文件制作电脑的网卡MAC地址、硬盘序列号、CPU序列号、主板序列号和工具标识号，经加密生成文件制作机器码并在投标（响应）文件中记录。文件制作机器码一致表明不同供应商使用了同一设备编制投标（响应）文件，文件创建标识码一致表明不同供应商的投标（响应）文件为同一份文件，IP地址一致表明上传投标（响应）文件时使用了相同的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为避免出现不同供应商投标（响应）文件的文件制作机器码、文件创建标识码、IP地址一致的异常情况，建议各供应商编制、上传投标（响应）文件时不要使用公共电脑设备或公共网络。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响应）供应商的投标（响应）文件由同一单位或者同一人编制，或者由同一人分阶段参与编制的，或者由同一单位工作人员为两家以上（含两家）供应商进行同一项投标（响应）活动的，属于串通投标（响应）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取消参与本市政府采购（自行采购）资格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，请各供应商独立编制、上传投标（响应）文件，妥善保管和使用电子秘钥。</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360" w:lineRule="auto"/>
        <w:ind w:firstLine="400" w:firstLineChars="200"/>
        <w:textAlignment w:val="auto"/>
        <w:rPr>
          <w:rFonts w:ascii="Calibri" w:eastAsia="宋体" w:hAnsi="Calibri" w:hint="eastAsia"/>
          <w:bCs/>
          <w:color w:val="FF0000"/>
          <w:kern w:val="2"/>
          <w:sz w:val="20"/>
          <w:szCs w:val="20"/>
          <w:lang w:eastAsia="zh-CN"/>
        </w:rPr>
      </w:pPr>
    </w:p>
    <w:p>
      <w:pPr>
        <w:keepNext w:val="0"/>
        <w:keepLines w:val="0"/>
        <w:pageBreakBefore w:val="0"/>
        <w:widowControl/>
        <w:kinsoku/>
        <w:wordWrap/>
        <w:overflowPunct/>
        <w:topLinePunct w:val="0"/>
        <w:autoSpaceDE/>
        <w:autoSpaceDN/>
        <w:bidi w:val="0"/>
        <w:adjustRightInd/>
        <w:snapToGrid/>
        <w:spacing w:beforeAutospacing="1" w:afterAutospacing="1"/>
        <w:jc w:val="left"/>
        <w:textAlignment w:val="auto"/>
        <w:outlineLvl w:val="9"/>
        <w:rPr>
          <w:rFonts w:ascii="黑体" w:eastAsia="黑体" w:hAnsi="宋体" w:cs="黑体" w:hint="eastAsia"/>
          <w:sz w:val="40"/>
          <w:szCs w:val="40"/>
          <w:lang w:eastAsia="zh-CN"/>
        </w:rPr>
        <w:sectPr>
          <w:headerReference w:type="default" r:id="rId4"/>
          <w:footerReference w:type="default" r:id="rId5"/>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p>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eastAsia="黑体" w:hAnsi="宋体" w:cs="黑体"/>
          <w:sz w:val="40"/>
          <w:szCs w:val="40"/>
          <w:lang w:eastAsia="zh-CN"/>
        </w:rPr>
      </w:pPr>
      <w:r>
        <w:rPr>
          <w:rFonts w:ascii="黑体" w:eastAsia="黑体" w:hAnsi="宋体" w:cs="黑体" w:hint="eastAsia"/>
          <w:sz w:val="40"/>
          <w:szCs w:val="40"/>
          <w:lang w:eastAsia="zh-CN"/>
        </w:rPr>
        <w:t>征集文件信息</w:t>
      </w:r>
    </w:p>
    <w:tbl>
      <w:tblPr>
        <w:tblStyle w:val="TableNormal"/>
        <w:tblW w:w="5000" w:type="pct"/>
        <w:jc w:val="center"/>
        <w:tblCellSpacing w:w="0" w:type="dxa"/>
        <w:tblLayout w:type="fixed"/>
        <w:tblCellMar>
          <w:top w:w="36" w:type="dxa"/>
          <w:left w:w="36" w:type="dxa"/>
          <w:bottom w:w="36" w:type="dxa"/>
          <w:right w:w="36" w:type="dxa"/>
        </w:tblCellMar>
      </w:tblPr>
      <w:tblGrid>
        <w:gridCol w:w="1796"/>
        <w:gridCol w:w="6582"/>
      </w:tblGrid>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96"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项目编号：</w:t>
            </w:r>
          </w:p>
        </w:tc>
        <w:tc>
          <w:tcPr>
            <w:tcW w:w="6582" w:type="dxa"/>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BAZXCG-2025-00488</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96"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项目名称：</w:t>
            </w:r>
          </w:p>
        </w:tc>
        <w:tc>
          <w:tcPr>
            <w:tcW w:w="6582" w:type="dxa"/>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深圳市宝安区公共卫生服务中心开办新安分中心厨房设备采购项目</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96"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包</w:t>
            </w:r>
            <w:r>
              <w:rPr>
                <w:rFonts w:ascii="Calibri" w:eastAsia="宋体" w:hAnsi="Calibri" w:cstheme="minorBidi" w:hint="eastAsia"/>
                <w:kern w:val="2"/>
                <w:sz w:val="30"/>
                <w:szCs w:val="30"/>
                <w:lang w:eastAsia="zh-CN"/>
              </w:rPr>
              <w:t xml:space="preserve">    </w:t>
            </w:r>
            <w:r>
              <w:rPr>
                <w:rFonts w:ascii="Calibri" w:eastAsia="宋体" w:hAnsi="Calibri" w:cstheme="minorBidi"/>
                <w:kern w:val="2"/>
                <w:sz w:val="30"/>
                <w:szCs w:val="30"/>
                <w:lang w:eastAsia="zh-CN"/>
              </w:rPr>
              <w:t>号：</w:t>
            </w:r>
          </w:p>
        </w:tc>
        <w:tc>
          <w:tcPr>
            <w:tcW w:w="6582" w:type="dxa"/>
            <w:vAlign w:val="center"/>
          </w:tcPr>
          <w:p>
            <w:pPr>
              <w:widowControl w:val="0"/>
              <w:jc w:val="both"/>
              <w:rPr>
                <w:rFonts w:ascii="Calibri" w:eastAsia="宋体" w:hAnsi="Calibri"/>
                <w:kern w:val="2"/>
                <w:sz w:val="30"/>
                <w:szCs w:val="30"/>
                <w:lang w:eastAsia="zh-CN"/>
              </w:rPr>
            </w:pPr>
            <w:r>
              <w:rPr>
                <w:rFonts w:ascii="Calibri" w:eastAsia="宋体" w:hAnsi="Calibri" w:cstheme="minorBidi"/>
                <w:kern w:val="2"/>
                <w:sz w:val="30"/>
                <w:szCs w:val="30"/>
                <w:lang w:eastAsia="zh-CN"/>
              </w:rPr>
              <w:t>A</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96"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项目类型：</w:t>
            </w:r>
          </w:p>
        </w:tc>
        <w:tc>
          <w:tcPr>
            <w:tcW w:w="6582" w:type="dxa"/>
            <w:vAlign w:val="center"/>
          </w:tcPr>
          <w:p>
            <w:pPr>
              <w:widowControl w:val="0"/>
              <w:jc w:val="both"/>
              <w:rPr>
                <w:rFonts w:ascii="Calibri" w:eastAsia="宋体" w:hAnsi="Calibri"/>
                <w:kern w:val="2"/>
                <w:sz w:val="30"/>
                <w:szCs w:val="30"/>
                <w:lang w:eastAsia="zh-CN"/>
              </w:rPr>
            </w:pPr>
            <w:r>
              <w:rPr>
                <w:rFonts w:ascii="Calibri" w:eastAsia="宋体" w:hAnsi="Calibri" w:cstheme="minorBidi" w:hint="eastAsia"/>
                <w:kern w:val="2"/>
                <w:sz w:val="30"/>
                <w:szCs w:val="30"/>
                <w:lang w:eastAsia="zh-CN"/>
              </w:rPr>
              <w:t>货物</w:t>
            </w:r>
            <w:r>
              <w:rPr>
                <w:rFonts w:ascii="Calibri" w:eastAsia="宋体" w:hAnsi="Calibri" w:cstheme="minorBidi"/>
                <w:kern w:val="2"/>
                <w:sz w:val="30"/>
                <w:szCs w:val="30"/>
                <w:lang w:eastAsia="zh-CN"/>
              </w:rPr>
              <w:t>类</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96"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采购方式：</w:t>
            </w:r>
          </w:p>
        </w:tc>
        <w:tc>
          <w:tcPr>
            <w:tcW w:w="6582" w:type="dxa"/>
            <w:vAlign w:val="center"/>
          </w:tcPr>
          <w:p>
            <w:pPr>
              <w:widowControl w:val="0"/>
              <w:jc w:val="both"/>
              <w:rPr>
                <w:rFonts w:ascii="Calibri" w:eastAsia="宋体" w:hAnsi="Calibri" w:hint="eastAsia"/>
                <w:kern w:val="2"/>
                <w:sz w:val="30"/>
                <w:szCs w:val="30"/>
                <w:lang w:eastAsia="zh-CN"/>
              </w:rPr>
            </w:pPr>
            <w:r>
              <w:rPr>
                <w:rFonts w:ascii="Calibri" w:eastAsia="宋体" w:hAnsi="Calibri" w:cstheme="minorBidi" w:hint="eastAsia"/>
                <w:kern w:val="2"/>
                <w:sz w:val="30"/>
                <w:szCs w:val="30"/>
                <w:lang w:eastAsia="zh-CN"/>
              </w:rPr>
              <w:t>公开征集</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96"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货币类型：</w:t>
            </w:r>
          </w:p>
        </w:tc>
        <w:tc>
          <w:tcPr>
            <w:tcW w:w="6582" w:type="dxa"/>
            <w:vAlign w:val="center"/>
          </w:tcPr>
          <w:p>
            <w:pPr>
              <w:widowControl w:val="0"/>
              <w:jc w:val="both"/>
              <w:rPr>
                <w:rFonts w:ascii="Calibri" w:eastAsia="宋体" w:hAnsi="Calibri"/>
                <w:kern w:val="2"/>
                <w:sz w:val="30"/>
                <w:szCs w:val="30"/>
                <w:lang w:eastAsia="zh-CN"/>
              </w:rPr>
            </w:pPr>
            <w:r>
              <w:rPr>
                <w:rFonts w:ascii="Calibri" w:eastAsia="宋体" w:hAnsi="Calibri" w:cstheme="minorBidi"/>
                <w:kern w:val="2"/>
                <w:sz w:val="30"/>
                <w:szCs w:val="30"/>
                <w:lang w:eastAsia="zh-CN"/>
              </w:rPr>
              <w:t>人民币</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96" w:type="dxa"/>
            <w:vAlign w:val="center"/>
          </w:tcPr>
          <w:p>
            <w:pPr>
              <w:widowControl w:val="0"/>
              <w:jc w:val="right"/>
              <w:rPr>
                <w:rFonts w:ascii="Calibri" w:eastAsia="宋体" w:hAnsi="Calibri"/>
                <w:kern w:val="2"/>
                <w:sz w:val="30"/>
                <w:szCs w:val="30"/>
                <w:lang w:eastAsia="zh-CN"/>
              </w:rPr>
            </w:pPr>
            <w:r>
              <w:rPr>
                <w:rFonts w:ascii="Calibri" w:eastAsia="宋体" w:hAnsi="Calibri" w:cstheme="minorBidi" w:hint="eastAsia"/>
                <w:kern w:val="2"/>
                <w:sz w:val="30"/>
                <w:szCs w:val="30"/>
                <w:lang w:eastAsia="zh-CN"/>
              </w:rPr>
              <w:t>评审</w:t>
            </w:r>
            <w:r>
              <w:rPr>
                <w:rFonts w:ascii="Calibri" w:eastAsia="宋体" w:hAnsi="Calibri" w:cstheme="minorBidi"/>
                <w:kern w:val="2"/>
                <w:sz w:val="30"/>
                <w:szCs w:val="30"/>
                <w:lang w:eastAsia="zh-CN"/>
              </w:rPr>
              <w:t>方法：</w:t>
            </w:r>
          </w:p>
        </w:tc>
        <w:tc>
          <w:tcPr>
            <w:tcW w:w="6582" w:type="dxa"/>
            <w:vAlign w:val="center"/>
          </w:tcPr>
          <w:p>
            <w:pPr>
              <w:widowControl w:val="0"/>
              <w:jc w:val="both"/>
              <w:rPr>
                <w:rFonts w:ascii="Calibri" w:eastAsia="宋体" w:hAnsi="Calibri"/>
                <w:kern w:val="2"/>
                <w:sz w:val="30"/>
                <w:szCs w:val="30"/>
                <w:lang w:eastAsia="zh-CN"/>
              </w:rPr>
            </w:pPr>
            <w:r>
              <w:rPr>
                <w:rFonts w:ascii="宋体" w:eastAsia="宋体" w:hAnsi="宋体" w:cs="宋体"/>
                <w:sz w:val="30"/>
                <w:szCs w:val="30"/>
                <w:lang w:eastAsia="zh-CN" w:bidi="ar"/>
              </w:rPr>
              <w:t>综合评分法</w:t>
            </w:r>
          </w:p>
        </w:tc>
      </w:tr>
    </w:tbl>
    <w:p>
      <w:pPr>
        <w:widowControl w:val="0"/>
        <w:tabs>
          <w:tab w:val="left" w:pos="2790"/>
        </w:tabs>
        <w:snapToGrid w:val="0"/>
        <w:spacing w:line="440" w:lineRule="exact"/>
        <w:jc w:val="left"/>
        <w:rPr>
          <w:rFonts w:ascii="宋体" w:eastAsia="宋体" w:hAnsi="宋体"/>
          <w:kern w:val="2"/>
          <w:sz w:val="30"/>
          <w:szCs w:val="30"/>
          <w:lang w:eastAsia="zh-CN"/>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36"/>
        <w:gridCol w:w="778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Calibri" w:eastAsia="宋体" w:hAnsi="Calibri" w:cstheme="minorBidi"/>
                <w:kern w:val="2"/>
                <w:sz w:val="21"/>
                <w:szCs w:val="21"/>
                <w:lang w:eastAsia="zh-CN"/>
              </w:rPr>
              <w:t>供应商不符合项目资格要求，</w:t>
            </w:r>
            <w:r>
              <w:rPr>
                <w:rFonts w:ascii="宋体" w:eastAsia="宋体" w:hAnsi="宋体" w:cs="宋体"/>
                <w:sz w:val="21"/>
                <w:szCs w:val="21"/>
                <w:lang w:eastAsia="zh-CN"/>
              </w:rPr>
              <w:t>或未提交相应的资格证明资料（详见</w:t>
            </w:r>
            <w:r>
              <w:rPr>
                <w:rFonts w:ascii="宋体" w:eastAsia="宋体" w:hAnsi="宋体" w:cs="宋体" w:hint="eastAsia"/>
                <w:sz w:val="21"/>
                <w:szCs w:val="21"/>
                <w:lang w:eastAsia="zh-CN"/>
              </w:rPr>
              <w:t>征集公告</w:t>
            </w:r>
            <w:r>
              <w:rPr>
                <w:rFonts w:ascii="宋体" w:eastAsia="宋体" w:hAnsi="宋体" w:hint="eastAsia"/>
                <w:kern w:val="2"/>
                <w:sz w:val="21"/>
                <w:szCs w:val="21"/>
                <w:lang w:eastAsia="zh-CN"/>
              </w:rPr>
              <w:t>供应商资格要求，即申请人的资格要求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34"/>
        <w:gridCol w:w="7788"/>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70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b/>
                <w:kern w:val="2"/>
                <w:sz w:val="21"/>
                <w:szCs w:val="22"/>
                <w:highlight w:val="yellow"/>
                <w:lang w:eastAsia="zh-CN"/>
              </w:rPr>
            </w:pPr>
            <w:r>
              <w:rPr>
                <w:rFonts w:ascii="Calibri" w:eastAsia="宋体" w:hAnsi="Calibri" w:cstheme="minorBidi" w:hint="eastAsia"/>
                <w:kern w:val="2"/>
                <w:sz w:val="21"/>
                <w:szCs w:val="22"/>
                <w:lang w:eastAsia="zh-CN"/>
              </w:rPr>
              <w:t>不得将一个包的内容拆开应答；</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2</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对同一项目应答时，不得提供两套以上的应答方案（征集文件另有规定的除外）；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3</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分项报价或应答总价不得高于</w:t>
            </w:r>
            <w:bookmarkStart w:id="0" w:name="_Hlk71832186"/>
            <w:r>
              <w:rPr>
                <w:rFonts w:ascii="Calibri" w:eastAsia="宋体" w:hAnsi="Calibri" w:cstheme="minorBidi" w:hint="eastAsia"/>
                <w:kern w:val="2"/>
                <w:sz w:val="21"/>
                <w:szCs w:val="22"/>
                <w:lang w:eastAsia="zh-CN"/>
              </w:rPr>
              <w:t>相应预算金额（或设定的预算金额下的最高限价）</w:t>
            </w:r>
            <w:bookmarkEnd w:id="0"/>
            <w:r>
              <w:rPr>
                <w:rFonts w:ascii="Calibri" w:eastAsia="宋体" w:hAnsi="Calibr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4</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hint="eastAsia"/>
                <w:kern w:val="2"/>
                <w:sz w:val="21"/>
                <w:szCs w:val="22"/>
                <w:lang w:eastAsia="zh-CN"/>
              </w:rPr>
              <w:t>评审委员会认为供应商的报价明显低于其他通过符合性审查供应商的报价，有可能影响产品质量或者不能诚信履约的，应当要求其在评审现场合理的时间内提供书面说明，必要时提交相关证明材料；在此情况下，供应商仍不能证明其报价合理性的（评审委员会成员对供应商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5</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所投货物、服务在技术、商务等方面没有实质性满足征集文件要求</w:t>
            </w:r>
            <w:r>
              <w:rPr>
                <w:rFonts w:ascii="Calibri" w:eastAsia="宋体" w:hAnsi="Calibri" w:hint="eastAsia"/>
                <w:kern w:val="2"/>
                <w:sz w:val="21"/>
                <w:szCs w:val="22"/>
                <w:lang w:eastAsia="zh-CN"/>
              </w:rPr>
              <w:t>的</w:t>
            </w:r>
            <w:r>
              <w:rPr>
                <w:rFonts w:ascii="Calibri" w:eastAsia="宋体" w:hAnsi="Calibri" w:cstheme="minorBidi" w:hint="eastAsia"/>
                <w:kern w:val="2"/>
                <w:sz w:val="21"/>
                <w:szCs w:val="22"/>
                <w:lang w:eastAsia="zh-CN"/>
              </w:rPr>
              <w:t>（是否实质性满足征集文件要求，由评审委员会根据实质性条款响应情况做出评判；若征集文件未设置实质性条款，不得据此做投标（响应）无效处理）；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6</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未按征集文件所提供的样式填写《投标（响应）函》；未按征集文件所提供的《自行采购投标（响应）及履约承诺函》进行承诺；未按征集文件对投标（响应）文件组成的要求提供投标（响应）文件；</w:t>
            </w:r>
            <w:r>
              <w:rPr>
                <w:rFonts w:ascii="Calibri" w:eastAsia="宋体" w:hAnsi="Calibri"/>
                <w:kern w:val="2"/>
                <w:sz w:val="21"/>
                <w:szCs w:val="22"/>
                <w:lang w:eastAsia="zh-CN"/>
              </w:rPr>
              <w:t xml:space="preserve"> </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7</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采购标的/所投产品/货物清单/报价等任意一类有缺漏项或响应不全，或者对征集文件规定的项目需求内容或者需求数量进行修改，评审委员会判定投标（响应）不满足采购需求；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8</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投标（响应）文件存在列放位置错误，导致属于信息公开情形的没有被公开；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9</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投标（响应）文件电子文档不得带病毒；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10</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2"/>
                <w:lang w:eastAsia="zh-CN"/>
              </w:rPr>
              <w:t>投标（响应）文件用不属于本公司的电子密钥或电子营业执照进行加密的；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11</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宋体" w:eastAsia="宋体" w:hAnsi="宋体" w:cstheme="minorBidi"/>
                <w:kern w:val="2"/>
                <w:sz w:val="21"/>
                <w:szCs w:val="22"/>
                <w:lang w:eastAsia="zh-CN"/>
              </w:rPr>
              <w:t>不同供应商</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“文件制作机器码”一致的；</w:t>
            </w:r>
            <w:r>
              <w:rPr>
                <w:rFonts w:ascii="Calibri" w:eastAsia="宋体" w:hAnsi="Calibri" w:cstheme="minorBidi"/>
                <w:kern w:val="2"/>
                <w:sz w:val="21"/>
                <w:szCs w:val="21"/>
                <w:lang w:eastAsia="zh-CN"/>
              </w:rPr>
              <w:t xml:space="preserve"> </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hint="eastAsia"/>
                <w:kern w:val="2"/>
                <w:sz w:val="21"/>
                <w:szCs w:val="22"/>
                <w:lang w:eastAsia="zh-CN"/>
              </w:rPr>
              <w:t>12</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宋体" w:eastAsia="宋体" w:hAnsi="宋体"/>
                <w:kern w:val="2"/>
                <w:sz w:val="21"/>
                <w:szCs w:val="22"/>
                <w:lang w:eastAsia="zh-CN"/>
              </w:rPr>
            </w:pPr>
            <w:r>
              <w:rPr>
                <w:rFonts w:ascii="宋体" w:eastAsia="宋体" w:hAnsi="宋体" w:cstheme="minorBidi"/>
                <w:kern w:val="2"/>
                <w:sz w:val="21"/>
                <w:szCs w:val="22"/>
                <w:lang w:eastAsia="zh-CN"/>
              </w:rPr>
              <w:t>不同供应商</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“文件创建标识码”一致的</w:t>
            </w:r>
            <w:r>
              <w:rPr>
                <w:rFonts w:ascii="宋体" w:eastAsia="宋体" w:hAnsi="宋体"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hint="eastAsia"/>
                <w:kern w:val="2"/>
                <w:sz w:val="21"/>
                <w:szCs w:val="22"/>
                <w:lang w:eastAsia="zh-CN"/>
              </w:rPr>
              <w:t>13</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pPr>
        <w:widowControl w:val="0"/>
        <w:tabs>
          <w:tab w:val="left" w:pos="2790"/>
        </w:tabs>
        <w:snapToGrid w:val="0"/>
        <w:jc w:val="left"/>
        <w:rPr>
          <w:rFonts w:ascii="Calibri" w:eastAsia="宋体" w:hAnsi="Calibri" w:hint="eastAsia"/>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jc w:val="both"/>
        <w:rPr>
          <w:rFonts w:ascii="黑体" w:eastAsia="黑体" w:hAnsi="黑体" w:hint="eastAsia"/>
          <w:kern w:val="2"/>
          <w:sz w:val="40"/>
          <w:szCs w:val="40"/>
          <w:lang w:eastAsia="zh-CN"/>
        </w:rPr>
      </w:pPr>
      <w:r>
        <w:rPr>
          <w:rFonts w:ascii="黑体" w:eastAsia="黑体" w:hAnsi="黑体" w:cstheme="minorBidi" w:hint="eastAsia"/>
          <w:kern w:val="2"/>
          <w:sz w:val="40"/>
          <w:szCs w:val="40"/>
          <w:lang w:eastAsia="zh-CN"/>
        </w:rPr>
        <w:br w:type="page"/>
      </w:r>
    </w:p>
    <w:p>
      <w:pPr>
        <w:keepNext w:val="0"/>
        <w:keepLines w:val="0"/>
        <w:pageBreakBefore w:val="0"/>
        <w:widowControl/>
        <w:kinsoku/>
        <w:wordWrap/>
        <w:overflowPunct/>
        <w:topLinePunct w:val="0"/>
        <w:autoSpaceDE/>
        <w:autoSpaceDN/>
        <w:bidi w:val="0"/>
        <w:adjustRightInd/>
        <w:snapToGrid/>
        <w:spacing w:before="100" w:beforeAutospacing="1" w:afterAutospacing="1"/>
        <w:jc w:val="center"/>
        <w:textAlignment w:val="auto"/>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评审信息</w:t>
      </w:r>
    </w:p>
    <w:p>
      <w:pPr>
        <w:widowControl w:val="0"/>
        <w:jc w:val="both"/>
        <w:rPr>
          <w:rFonts w:ascii="Calibri" w:eastAsia="宋体" w:hAnsi="Calibri"/>
          <w:kern w:val="2"/>
          <w:sz w:val="21"/>
          <w:szCs w:val="22"/>
          <w:lang w:eastAsia="zh-CN"/>
        </w:rPr>
      </w:pPr>
      <w:r>
        <w:rPr>
          <w:rFonts w:ascii="宋体" w:eastAsia="宋体" w:hAnsi="宋体" w:cstheme="minorBidi" w:hint="eastAsia"/>
          <w:b/>
          <w:bCs/>
          <w:kern w:val="2"/>
          <w:sz w:val="21"/>
          <w:szCs w:val="22"/>
          <w:lang w:eastAsia="zh-CN"/>
        </w:rPr>
        <w:t>评审</w:t>
      </w:r>
      <w:r>
        <w:rPr>
          <w:rFonts w:ascii="宋体" w:eastAsia="宋体" w:hAnsi="宋体" w:cstheme="minorBidi"/>
          <w:b/>
          <w:bCs/>
          <w:kern w:val="2"/>
          <w:sz w:val="21"/>
          <w:szCs w:val="22"/>
          <w:lang w:eastAsia="zh-CN"/>
        </w:rPr>
        <w:t>方法：综合评分法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hint="eastAsia"/>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是指投标（响应）文件满足征集文件全部实质性要求，且按照评审因素的量化指标评审得分最高的供应商为成交候选人的评审方法。</w:t>
      </w:r>
    </w:p>
    <w:p>
      <w:pPr>
        <w:widowControl w:val="0"/>
        <w:spacing w:line="360" w:lineRule="auto"/>
        <w:jc w:val="both"/>
        <w:rPr>
          <w:rFonts w:ascii="Calibri" w:eastAsia="宋体" w:hAnsi="Calibri"/>
          <w:b/>
          <w:bCs/>
          <w:kern w:val="2"/>
          <w:szCs w:val="22"/>
          <w:lang w:eastAsia="zh-CN"/>
        </w:rPr>
      </w:pPr>
    </w:p>
    <w:p>
      <w:pPr>
        <w:widowControl w:val="0"/>
        <w:ind w:firstLine="420"/>
        <w:jc w:val="both"/>
        <w:rPr>
          <w:rFonts w:ascii="Calibri" w:eastAsia="宋体" w:hAnsi="Calibri"/>
          <w:kern w:val="2"/>
          <w:sz w:val="21"/>
          <w:szCs w:val="22"/>
          <w:lang w:eastAsia="zh-CN"/>
        </w:rPr>
      </w:pPr>
      <w:r>
        <w:rPr>
          <w:rFonts w:ascii="宋体" w:eastAsia="宋体" w:hAnsi="宋体" w:cstheme="minorBidi"/>
          <w:kern w:val="2"/>
          <w:sz w:val="21"/>
          <w:szCs w:val="22"/>
          <w:lang w:eastAsia="zh-CN"/>
        </w:rPr>
        <w:t>价格分计算方法：</w:t>
      </w:r>
    </w:p>
    <w:p>
      <w:pPr>
        <w:widowControl w:val="0"/>
        <w:jc w:val="both"/>
        <w:rPr>
          <w:rFonts w:ascii="Calibri" w:eastAsia="宋体" w:hAnsi="Calibri" w:hint="eastAsia"/>
          <w:kern w:val="2"/>
          <w:sz w:val="21"/>
          <w:szCs w:val="22"/>
          <w:lang w:eastAsia="zh-CN"/>
        </w:rPr>
      </w:pPr>
      <w:r>
        <w:rPr>
          <w:rFonts w:ascii="宋体" w:eastAsia="宋体" w:hAnsi="宋体" w:cstheme="minorBidi"/>
          <w:kern w:val="2"/>
          <w:sz w:val="21"/>
          <w:szCs w:val="22"/>
          <w:lang w:eastAsia="zh-CN"/>
        </w:rPr>
        <w:t>采用低价优先法计算，即满足</w:t>
      </w:r>
      <w:r>
        <w:rPr>
          <w:rFonts w:ascii="宋体" w:eastAsia="宋体" w:hAnsi="宋体" w:cstheme="minorBidi" w:hint="eastAsia"/>
          <w:kern w:val="2"/>
          <w:sz w:val="21"/>
          <w:szCs w:val="22"/>
          <w:lang w:eastAsia="zh-CN"/>
        </w:rPr>
        <w:t>征集文件</w:t>
      </w:r>
      <w:r>
        <w:rPr>
          <w:rFonts w:ascii="宋体" w:eastAsia="宋体" w:hAnsi="宋体" w:cstheme="minorBidi"/>
          <w:kern w:val="2"/>
          <w:sz w:val="21"/>
          <w:szCs w:val="22"/>
          <w:lang w:eastAsia="zh-CN"/>
        </w:rPr>
        <w:t>要求且</w:t>
      </w:r>
      <w:r>
        <w:rPr>
          <w:rFonts w:ascii="宋体" w:eastAsia="宋体" w:hAnsi="宋体" w:cstheme="minorBidi" w:hint="eastAsia"/>
          <w:kern w:val="2"/>
          <w:sz w:val="21"/>
          <w:szCs w:val="22"/>
          <w:lang w:eastAsia="zh-CN"/>
        </w:rPr>
        <w:t>投标（响应）</w:t>
      </w:r>
      <w:r>
        <w:rPr>
          <w:rFonts w:ascii="宋体" w:eastAsia="宋体" w:hAnsi="宋体" w:cstheme="minorBidi"/>
          <w:kern w:val="2"/>
          <w:sz w:val="21"/>
          <w:szCs w:val="22"/>
          <w:lang w:eastAsia="zh-CN"/>
        </w:rPr>
        <w:t>价格最低的</w:t>
      </w:r>
      <w:r>
        <w:rPr>
          <w:rFonts w:ascii="Calibri" w:eastAsia="宋体" w:hAnsi="Calibri" w:cstheme="minorBidi" w:hint="eastAsia"/>
          <w:kern w:val="2"/>
          <w:sz w:val="21"/>
          <w:szCs w:val="21"/>
          <w:lang w:eastAsia="zh-CN"/>
        </w:rPr>
        <w:t>投标（响应）</w:t>
      </w:r>
      <w:r>
        <w:rPr>
          <w:rFonts w:ascii="宋体" w:eastAsia="宋体" w:hAnsi="宋体" w:cstheme="minorBidi"/>
          <w:kern w:val="2"/>
          <w:sz w:val="21"/>
          <w:szCs w:val="22"/>
          <w:lang w:eastAsia="zh-CN"/>
        </w:rPr>
        <w:t>报价为</w:t>
      </w: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基准价，其价格分为满分。其他</w:t>
      </w:r>
      <w:r>
        <w:rPr>
          <w:rFonts w:ascii="宋体" w:eastAsia="宋体" w:hAnsi="宋体" w:cstheme="minorBidi" w:hint="eastAsia"/>
          <w:kern w:val="2"/>
          <w:sz w:val="21"/>
          <w:szCs w:val="22"/>
          <w:lang w:eastAsia="zh-CN"/>
        </w:rPr>
        <w:t>供应商</w:t>
      </w:r>
      <w:r>
        <w:rPr>
          <w:rFonts w:ascii="宋体" w:eastAsia="宋体" w:hAnsi="宋体" w:cstheme="minorBidi"/>
          <w:kern w:val="2"/>
          <w:sz w:val="21"/>
          <w:szCs w:val="22"/>
          <w:lang w:eastAsia="zh-CN"/>
        </w:rPr>
        <w:t>的价格分统一按照下列公式计算：</w:t>
      </w:r>
      <w:r>
        <w:rPr>
          <w:rFonts w:ascii="Calibri" w:eastAsia="宋体" w:hAnsi="Calibri" w:cstheme="minorBidi"/>
          <w:kern w:val="2"/>
          <w:sz w:val="21"/>
          <w:szCs w:val="22"/>
          <w:lang w:eastAsia="zh-CN"/>
        </w:rPr>
        <w:t xml:space="preserve"> </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投标（响应）</w:t>
      </w:r>
      <w:r>
        <w:rPr>
          <w:rFonts w:ascii="宋体" w:eastAsia="宋体" w:hAnsi="宋体" w:cstheme="minorBidi"/>
          <w:kern w:val="2"/>
          <w:sz w:val="21"/>
          <w:szCs w:val="22"/>
          <w:lang w:eastAsia="zh-CN"/>
        </w:rPr>
        <w:t>报价得分</w:t>
      </w:r>
      <w:r>
        <w:rPr>
          <w:rFonts w:ascii="Calibri" w:eastAsia="宋体" w:hAnsi="Calibri" w:cstheme="minorBidi"/>
          <w:kern w:val="2"/>
          <w:sz w:val="21"/>
          <w:szCs w:val="22"/>
          <w:lang w:eastAsia="zh-CN"/>
        </w:rPr>
        <w:t>=(</w:t>
      </w: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基准价／</w:t>
      </w:r>
      <w:r>
        <w:rPr>
          <w:rFonts w:ascii="Calibri" w:eastAsia="宋体" w:hAnsi="Calibri" w:cstheme="minorBidi" w:hint="eastAsia"/>
          <w:kern w:val="2"/>
          <w:sz w:val="21"/>
          <w:szCs w:val="21"/>
          <w:lang w:eastAsia="zh-CN"/>
        </w:rPr>
        <w:t>投标（响应）</w:t>
      </w:r>
      <w:r>
        <w:rPr>
          <w:rFonts w:ascii="宋体" w:eastAsia="宋体" w:hAnsi="宋体" w:cstheme="minorBidi"/>
          <w:kern w:val="2"/>
          <w:sz w:val="21"/>
          <w:szCs w:val="22"/>
          <w:lang w:eastAsia="zh-CN"/>
        </w:rPr>
        <w:t>报价</w:t>
      </w:r>
      <w:r>
        <w:rPr>
          <w:rFonts w:ascii="Calibri" w:eastAsia="宋体" w:hAnsi="Calibri" w:cstheme="minorBidi"/>
          <w:kern w:val="2"/>
          <w:sz w:val="21"/>
          <w:szCs w:val="22"/>
          <w:lang w:eastAsia="zh-CN"/>
        </w:rPr>
        <w:t xml:space="preserve">)×100 </w:t>
      </w:r>
    </w:p>
    <w:p>
      <w:pPr>
        <w:widowControl w:val="0"/>
        <w:jc w:val="both"/>
        <w:rPr>
          <w:rFonts w:ascii="Calibri" w:eastAsia="宋体" w:hAnsi="Calibri" w:hint="eastAsia"/>
          <w:kern w:val="2"/>
          <w:sz w:val="21"/>
          <w:szCs w:val="22"/>
          <w:lang w:eastAsia="zh-CN"/>
        </w:rPr>
      </w:pP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总得分＝</w:t>
      </w:r>
      <w:r>
        <w:rPr>
          <w:rFonts w:ascii="Calibri" w:eastAsia="宋体" w:hAnsi="Calibri" w:cstheme="minorBidi"/>
          <w:kern w:val="2"/>
          <w:sz w:val="21"/>
          <w:szCs w:val="22"/>
          <w:lang w:eastAsia="zh-CN"/>
        </w:rPr>
        <w:t>F1×A1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 xml:space="preserve">Fn×An </w:t>
      </w:r>
    </w:p>
    <w:p>
      <w:pPr>
        <w:widowControl w:val="0"/>
        <w:jc w:val="both"/>
        <w:rPr>
          <w:rFonts w:ascii="宋体" w:eastAsia="宋体" w:hAnsi="宋体" w:hint="eastAsia"/>
          <w:kern w:val="2"/>
          <w:sz w:val="21"/>
          <w:szCs w:val="22"/>
          <w:lang w:eastAsia="zh-CN"/>
        </w:rPr>
      </w:pPr>
      <w:r>
        <w:rPr>
          <w:rFonts w:ascii="Calibri" w:eastAsia="宋体" w:hAnsi="Calibri" w:cstheme="minorBidi"/>
          <w:kern w:val="2"/>
          <w:sz w:val="21"/>
          <w:szCs w:val="22"/>
          <w:lang w:eastAsia="zh-CN"/>
        </w:rPr>
        <w:t>F1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F2……Fn</w:t>
      </w:r>
      <w:r>
        <w:rPr>
          <w:rFonts w:ascii="宋体" w:eastAsia="宋体" w:hAnsi="宋体" w:cstheme="minorBidi"/>
          <w:kern w:val="2"/>
          <w:sz w:val="21"/>
          <w:szCs w:val="22"/>
          <w:lang w:eastAsia="zh-CN"/>
        </w:rPr>
        <w:t xml:space="preserve">分别为各项评审因素的得分； </w:t>
      </w:r>
    </w:p>
    <w:p>
      <w:pPr>
        <w:widowControl w:val="0"/>
        <w:jc w:val="both"/>
        <w:rPr>
          <w:rFonts w:ascii="宋体" w:eastAsia="宋体" w:hAnsi="宋体" w:hint="eastAsia"/>
          <w:kern w:val="2"/>
          <w:sz w:val="21"/>
          <w:szCs w:val="22"/>
          <w:lang w:eastAsia="zh-CN"/>
        </w:rPr>
      </w:pP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 xml:space="preserve">……An </w:t>
      </w:r>
      <w:r>
        <w:rPr>
          <w:rFonts w:ascii="宋体" w:eastAsia="宋体" w:hAnsi="宋体" w:cstheme="minorBidi"/>
          <w:kern w:val="2"/>
          <w:sz w:val="21"/>
          <w:szCs w:val="22"/>
          <w:lang w:eastAsia="zh-CN"/>
        </w:rPr>
        <w:t>分别为各项评审因素所占的权重</w:t>
      </w: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An</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1)</w:t>
      </w:r>
      <w:r>
        <w:rPr>
          <w:rFonts w:ascii="宋体" w:eastAsia="宋体" w:hAnsi="宋体" w:cstheme="minorBidi"/>
          <w:kern w:val="2"/>
          <w:sz w:val="21"/>
          <w:szCs w:val="22"/>
          <w:lang w:eastAsia="zh-CN"/>
        </w:rPr>
        <w:t xml:space="preserve">。 </w:t>
      </w:r>
    </w:p>
    <w:p>
      <w:pPr>
        <w:widowControl w:val="0"/>
        <w:jc w:val="both"/>
        <w:rPr>
          <w:rFonts w:ascii="Calibri" w:eastAsia="宋体" w:hAnsi="Calibri" w:hint="eastAsia"/>
          <w:kern w:val="2"/>
          <w:sz w:val="21"/>
          <w:szCs w:val="22"/>
          <w:lang w:eastAsia="zh-CN"/>
        </w:rPr>
      </w:pP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过程中，不得去掉报价中的最高报价和最低报价。</w:t>
      </w:r>
      <w:r>
        <w:rPr>
          <w:rFonts w:ascii="Calibri" w:eastAsia="宋体" w:hAnsi="Calibri" w:cstheme="minorBidi"/>
          <w:kern w:val="2"/>
          <w:sz w:val="21"/>
          <w:szCs w:val="22"/>
          <w:lang w:eastAsia="zh-CN"/>
        </w:rPr>
        <w:t xml:space="preserve"> </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因落实政府采购政策进行价格调整的，以调整后的价格计算评审基准价和应答报价。</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b/>
          <w:bCs/>
          <w:color w:val="FF0000"/>
          <w:kern w:val="2"/>
          <w:sz w:val="21"/>
          <w:szCs w:val="22"/>
          <w:lang w:eastAsia="zh-CN"/>
        </w:rPr>
        <w:t>注：供应商的“投标（响应）技术响应”“技术要求偏离表中偏离情况”等必须与客观实际保持一致，响应不实且情节严重的，经查实，将依法记入供应商诚信档案或受到行政处罚。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p>
    <w:tbl>
      <w:tblPr>
        <w:tblStyle w:val="TableNormal"/>
        <w:tblpPr w:leftFromText="180" w:rightFromText="180" w:vertAnchor="text" w:horzAnchor="page" w:tblpX="1534" w:tblpY="302"/>
        <w:tblOverlap w:val="never"/>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56"/>
        <w:gridCol w:w="659"/>
        <w:gridCol w:w="1312"/>
        <w:gridCol w:w="803"/>
        <w:gridCol w:w="5132"/>
      </w:tblGrid>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90"/>
          <w:tblCellSpacing w:w="0" w:type="dxa"/>
        </w:trPr>
        <w:tc>
          <w:tcPr>
            <w:tcW w:w="684"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序号</w:t>
            </w:r>
          </w:p>
        </w:tc>
        <w:tc>
          <w:tcPr>
            <w:tcW w:w="2913" w:type="dxa"/>
            <w:gridSpan w:val="3"/>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评分项</w:t>
            </w:r>
          </w:p>
        </w:tc>
        <w:tc>
          <w:tcPr>
            <w:tcW w:w="5481"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权重(%)</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val="restart"/>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1</w:t>
            </w:r>
          </w:p>
        </w:tc>
        <w:tc>
          <w:tcPr>
            <w:tcW w:w="2913" w:type="dxa"/>
            <w:gridSpan w:val="3"/>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价格</w:t>
            </w:r>
          </w:p>
        </w:tc>
        <w:tc>
          <w:tcPr>
            <w:tcW w:w="54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30</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8394" w:type="dxa"/>
            <w:gridSpan w:val="4"/>
            <w:tcBorders>
              <w:top w:val="single" w:sz="8" w:space="0" w:color="000000"/>
              <w:left w:val="single" w:sz="8" w:space="0" w:color="000000"/>
              <w:bottom w:val="single" w:sz="8" w:space="0" w:color="000000"/>
              <w:right w:val="single" w:sz="8" w:space="0" w:color="000000"/>
            </w:tcBorders>
            <w:noWrap w:val="0"/>
            <w:vAlign w:val="top"/>
          </w:tcPr>
          <w:p>
            <w:pPr>
              <w:widowControl w:val="0"/>
              <w:jc w:val="both"/>
              <w:rPr>
                <w:rFonts w:ascii="宋体" w:eastAsia="宋体" w:hAnsi="Calibri"/>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val="restart"/>
            <w:tcBorders>
              <w:top w:val="single" w:sz="8" w:space="0" w:color="000000"/>
              <w:left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2</w:t>
            </w:r>
          </w:p>
        </w:tc>
        <w:tc>
          <w:tcPr>
            <w:tcW w:w="2913" w:type="dxa"/>
            <w:gridSpan w:val="3"/>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技术部分</w:t>
            </w:r>
          </w:p>
        </w:tc>
        <w:tc>
          <w:tcPr>
            <w:tcW w:w="54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67</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8394" w:type="dxa"/>
            <w:gridSpan w:val="4"/>
            <w:tcBorders>
              <w:top w:val="single" w:sz="8" w:space="0" w:color="000000"/>
              <w:left w:val="single" w:sz="8" w:space="0" w:color="000000"/>
              <w:bottom w:val="single" w:sz="8" w:space="0" w:color="000000"/>
              <w:right w:val="single" w:sz="8" w:space="0" w:color="000000"/>
            </w:tcBorders>
            <w:noWrap w:val="0"/>
            <w:vAlign w:val="top"/>
          </w:tcPr>
          <w:p>
            <w:pPr>
              <w:widowControl w:val="0"/>
              <w:jc w:val="both"/>
              <w:rPr>
                <w:rFonts w:ascii="宋体" w:eastAsia="宋体" w:hAnsi="Calibri"/>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shd w:val="clear" w:color="auto" w:fill="E6EFFA"/>
            <w:noWrap w:val="0"/>
            <w:vAlign w:val="center"/>
          </w:tcPr>
          <w:p>
            <w:pPr>
              <w:widowControl w:val="0"/>
              <w:jc w:val="center"/>
              <w:rPr>
                <w:rFonts w:ascii="宋体" w:eastAsia="宋体" w:hAnsi="Calibri"/>
                <w:b/>
                <w:bCs/>
                <w:color w:val="0000FF"/>
                <w:kern w:val="2"/>
                <w:szCs w:val="22"/>
                <w:lang w:eastAsia="zh-CN"/>
              </w:rPr>
            </w:pPr>
          </w:p>
        </w:tc>
        <w:tc>
          <w:tcPr>
            <w:tcW w:w="68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138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84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548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b/>
                <w:kern w:val="2"/>
                <w:sz w:val="21"/>
                <w:szCs w:val="21"/>
                <w:lang w:eastAsia="zh-CN"/>
              </w:rPr>
            </w:pPr>
            <w:r>
              <w:rPr>
                <w:rFonts w:ascii="宋体" w:eastAsia="宋体" w:hAnsi="宋体" w:cstheme="minorBidi" w:hint="eastAsia"/>
                <w:bCs/>
                <w:kern w:val="2"/>
                <w:sz w:val="21"/>
                <w:szCs w:val="21"/>
                <w:lang w:eastAsia="zh-CN"/>
              </w:rPr>
              <w:t>“▲”参数响应</w:t>
            </w:r>
            <w:r>
              <w:rPr>
                <w:rFonts w:ascii="宋体" w:eastAsia="宋体" w:hAnsi="宋体" w:cstheme="minorBidi"/>
                <w:bCs/>
                <w:kern w:val="2"/>
                <w:sz w:val="21"/>
                <w:szCs w:val="21"/>
                <w:lang w:eastAsia="zh-CN"/>
              </w:rPr>
              <w:t>情况评价</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30</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用户需求书：四、技术要求》</w:t>
            </w:r>
            <w:r>
              <w:rPr>
                <w:rFonts w:ascii="宋体" w:eastAsia="宋体" w:hAnsi="宋体" w:cs="宋体" w:hint="eastAsia"/>
                <w:sz w:val="21"/>
                <w:szCs w:val="21"/>
                <w:lang w:eastAsia="zh-CN"/>
              </w:rPr>
              <w:t>内容中的</w:t>
            </w:r>
            <w:r>
              <w:rPr>
                <w:rFonts w:ascii="宋体" w:eastAsia="宋体" w:hAnsi="宋体" w:cs="宋体" w:hint="eastAsia"/>
                <w:b/>
                <w:bCs/>
                <w:sz w:val="21"/>
                <w:szCs w:val="21"/>
                <w:lang w:eastAsia="zh-CN"/>
              </w:rPr>
              <w:t>“▲”参数响应</w:t>
            </w:r>
            <w:r>
              <w:rPr>
                <w:rFonts w:ascii="宋体" w:eastAsia="宋体" w:hAnsi="宋体" w:cs="宋体" w:hint="eastAsia"/>
                <w:sz w:val="21"/>
                <w:szCs w:val="21"/>
                <w:lang w:eastAsia="zh-CN"/>
              </w:rPr>
              <w:t>情况。</w:t>
            </w:r>
          </w:p>
          <w:p>
            <w:pPr>
              <w:widowControl w:val="0"/>
              <w:snapToGrid w:val="0"/>
              <w:jc w:val="both"/>
              <w:rPr>
                <w:rFonts w:ascii="宋体" w:eastAsia="宋体" w:hAnsi="宋体" w:cs="宋体" w:hint="eastAsia"/>
                <w:color w:val="0000FF"/>
                <w:sz w:val="21"/>
                <w:szCs w:val="21"/>
                <w:lang w:eastAsia="zh-CN"/>
              </w:rPr>
            </w:pPr>
            <w:r>
              <w:rPr>
                <w:rFonts w:ascii="宋体" w:eastAsia="宋体" w:hAnsi="宋体" w:cs="宋体" w:hint="eastAsia"/>
                <w:color w:val="0000FF"/>
                <w:sz w:val="21"/>
                <w:szCs w:val="21"/>
                <w:lang w:eastAsia="zh-CN"/>
              </w:rPr>
              <w:t>（二）评审依据：</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以投标文件《技术要求偏离表》为评审依据，完全符合招标要求的，得100分。每1“▲”参数不符合招标要求（或缺漏）的扣25分，最低得0分。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非“</w:t>
            </w:r>
            <w:r>
              <w:rPr>
                <w:rFonts w:ascii="宋体" w:eastAsia="宋体" w:hAnsi="宋体" w:cstheme="minorBidi" w:hint="eastAsia"/>
                <w:bCs/>
                <w:kern w:val="2"/>
                <w:sz w:val="21"/>
                <w:szCs w:val="21"/>
                <w:lang w:eastAsia="zh-CN"/>
              </w:rPr>
              <w:t>▲”参数</w:t>
            </w:r>
            <w:r>
              <w:rPr>
                <w:rFonts w:ascii="宋体" w:eastAsia="宋体" w:hAnsi="宋体" w:cstheme="minorBidi" w:hint="eastAsia"/>
                <w:kern w:val="2"/>
                <w:sz w:val="21"/>
                <w:szCs w:val="21"/>
                <w:lang w:eastAsia="zh-CN"/>
              </w:rPr>
              <w:t>响应情况评价</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15</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widowControl/>
              <w:spacing w:line="300" w:lineRule="exact"/>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widowControl/>
              <w:spacing w:line="300" w:lineRule="exact"/>
              <w:jc w:val="left"/>
              <w:rPr>
                <w:rFonts w:ascii="宋体" w:eastAsia="宋体" w:hAnsi="宋体" w:cs="宋体"/>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用户需求书：四、技术要求》</w:t>
            </w:r>
            <w:r>
              <w:rPr>
                <w:rFonts w:ascii="宋体" w:eastAsia="宋体" w:hAnsi="宋体" w:cs="宋体" w:hint="eastAsia"/>
                <w:sz w:val="21"/>
                <w:szCs w:val="21"/>
                <w:lang w:eastAsia="zh-CN"/>
              </w:rPr>
              <w:t>内容中的</w:t>
            </w:r>
            <w:r>
              <w:rPr>
                <w:rFonts w:ascii="宋体" w:eastAsia="宋体" w:hAnsi="宋体" w:cs="宋体" w:hint="eastAsia"/>
                <w:b/>
                <w:sz w:val="21"/>
                <w:szCs w:val="21"/>
                <w:lang w:eastAsia="zh-CN"/>
              </w:rPr>
              <w:t>非“▲”参数响应</w:t>
            </w:r>
            <w:r>
              <w:rPr>
                <w:rFonts w:ascii="宋体" w:eastAsia="宋体" w:hAnsi="宋体" w:cs="宋体" w:hint="eastAsia"/>
                <w:sz w:val="21"/>
                <w:szCs w:val="21"/>
                <w:lang w:eastAsia="zh-CN"/>
              </w:rPr>
              <w:t>情况。</w:t>
            </w:r>
          </w:p>
          <w:p>
            <w:pPr>
              <w:widowControl w:val="0"/>
              <w:spacing w:line="300" w:lineRule="exact"/>
              <w:jc w:val="both"/>
              <w:rPr>
                <w:rFonts w:ascii="宋体" w:eastAsia="宋体" w:hAnsi="宋体" w:cs="宋体"/>
                <w:color w:val="0000FF"/>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autoSpaceDE w:val="0"/>
              <w:autoSpaceDN w:val="0"/>
              <w:adjustRightInd w:val="0"/>
              <w:spacing w:line="300" w:lineRule="exact"/>
              <w:jc w:val="left"/>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以投标文件《技术要求偏离表》为评审依据，完全符合招标要求的，得100分。每1项非“▲”参数不符合招标要求（或缺漏）的扣0.39分，最低得0分。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3</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项目组织实施方案</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widowControl w:val="0"/>
              <w:wordWrap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（一）评审内容：</w:t>
            </w:r>
          </w:p>
          <w:p>
            <w:pPr>
              <w:widowControl w:val="0"/>
              <w:autoSpaceDE w:val="0"/>
              <w:autoSpaceDN w:val="0"/>
              <w:ind w:firstLine="210" w:firstLineChars="10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根据投标人针对本项目提供项目实施方案进行评审，包括但不限于以下内容：</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1.实施方案；</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2.供货计划；</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3.管理体系；</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4.质量控制体系；</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5.验收方案。</w:t>
            </w:r>
          </w:p>
          <w:p>
            <w:pPr>
              <w:widowControl w:val="0"/>
              <w:autoSpaceDE w:val="0"/>
              <w:autoSpaceDN w:val="0"/>
              <w:jc w:val="both"/>
              <w:textAlignment w:val="bottom"/>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（二）评分标准：</w:t>
            </w:r>
          </w:p>
          <w:p>
            <w:pPr>
              <w:widowControl w:val="0"/>
              <w:autoSpaceDE w:val="0"/>
              <w:autoSpaceDN w:val="0"/>
              <w:ind w:firstLine="210" w:firstLineChars="10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1.提供的方案内容包含上述全部内容的得60分；包含上述任意4项内容的得50分；包含上述任意3项内容的得40分；包含上述任意2项内容的得30分；包含上述任意1项内容的得20分，其余不得分。</w:t>
            </w:r>
          </w:p>
          <w:p>
            <w:pPr>
              <w:widowControl w:val="0"/>
              <w:autoSpaceDE w:val="0"/>
              <w:autoSpaceDN w:val="0"/>
              <w:ind w:firstLine="210" w:firstLineChars="10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2.在此基础上，评审委员根据各供应商的具体响应内容按照量化的评审因素指标进一步评审：</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（1）评审为优（如响应内容全面、清晰、针对性强、科学合理、可操作性强）的，得40分；</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（2）评审为良（如响应内容较全面、较清晰、针对性较强、较科学合理、可操作性较强）的，得25分；</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（3）评审为中（如响应内容基本完整，针对性一般，可操作性一般）的，得10分；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（4）评审为差（如响应内容缺失或与项目关联度不大）的，不得分。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w:t>
            </w:r>
          </w:p>
        </w:tc>
        <w:tc>
          <w:tcPr>
            <w:tcW w:w="1386"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keepNext w:val="0"/>
              <w:keepLines w:val="0"/>
              <w:pageBreakBefore w:val="0"/>
              <w:widowControl/>
              <w:kinsoku/>
              <w:overflowPunct/>
              <w:topLinePunct w:val="0"/>
              <w:bidi w:val="0"/>
              <w:spacing w:line="360" w:lineRule="exact"/>
              <w:ind w:left="0" w:leftChars="0"/>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项目重点难点分析、应对措施及相关的合理化建议</w:t>
            </w:r>
          </w:p>
        </w:tc>
        <w:tc>
          <w:tcPr>
            <w:tcW w:w="841"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keepNext w:val="0"/>
              <w:keepLines w:val="0"/>
              <w:pageBreakBefore w:val="0"/>
              <w:widowControl/>
              <w:kinsoku/>
              <w:overflowPunct/>
              <w:topLinePunct w:val="0"/>
              <w:bidi w:val="0"/>
              <w:spacing w:line="360" w:lineRule="exact"/>
              <w:ind w:left="0" w:leftChars="0"/>
              <w:jc w:val="center"/>
              <w:rPr>
                <w:rFonts w:ascii="宋体" w:eastAsia="宋体" w:hAnsi="宋体" w:cs="宋体" w:hint="eastAsia"/>
                <w:kern w:val="2"/>
                <w:sz w:val="21"/>
                <w:lang w:eastAsia="zh-CN"/>
              </w:rPr>
            </w:pPr>
            <w:r>
              <w:rPr>
                <w:rFonts w:ascii="宋体" w:eastAsia="宋体" w:hAnsi="宋体" w:cstheme="minorBidi" w:hint="eastAsia"/>
                <w:kern w:val="2"/>
                <w:sz w:val="21"/>
                <w:szCs w:val="21"/>
                <w:lang w:eastAsia="zh-CN"/>
              </w:rPr>
              <w:t>5</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wordWrap w:val="0"/>
              <w:overflowPunct/>
              <w:topLinePunct w:val="0"/>
              <w:bidi w:val="0"/>
              <w:spacing w:line="360" w:lineRule="exact"/>
              <w:ind w:left="0" w:leftChars="0"/>
              <w:jc w:val="both"/>
              <w:rPr>
                <w:rFonts w:ascii="宋体" w:eastAsia="宋体" w:hAnsi="宋体"/>
                <w:kern w:val="2"/>
                <w:sz w:val="21"/>
                <w:szCs w:val="21"/>
                <w:lang w:eastAsia="zh-CN"/>
              </w:rPr>
            </w:pPr>
            <w:r>
              <w:rPr>
                <w:rFonts w:ascii="宋体" w:eastAsia="宋体" w:hAnsi="宋体" w:cs="宋体" w:hint="eastAsia"/>
                <w:b/>
                <w:bCs/>
                <w:kern w:val="2"/>
                <w:sz w:val="21"/>
                <w:szCs w:val="21"/>
                <w:lang w:eastAsia="zh-CN"/>
              </w:rPr>
              <w:t>（一）评审内容</w:t>
            </w:r>
            <w:r>
              <w:rPr>
                <w:rFonts w:ascii="宋体" w:eastAsia="宋体" w:hAnsi="宋体" w:cstheme="minorBidi" w:hint="eastAsia"/>
                <w:kern w:val="2"/>
                <w:sz w:val="21"/>
                <w:szCs w:val="21"/>
                <w:lang w:eastAsia="zh-CN"/>
              </w:rPr>
              <w:t>：</w:t>
            </w:r>
          </w:p>
          <w:p>
            <w:pPr>
              <w:keepNext w:val="0"/>
              <w:keepLines w:val="0"/>
              <w:pageBreakBefore w:val="0"/>
              <w:widowControl w:val="0"/>
              <w:kinsoku/>
              <w:overflowPunct/>
              <w:topLinePunct w:val="0"/>
              <w:autoSpaceDE w:val="0"/>
              <w:autoSpaceDN w:val="0"/>
              <w:bidi w:val="0"/>
              <w:adjustRightInd w:val="0"/>
              <w:spacing w:line="360" w:lineRule="exact"/>
              <w:ind w:left="0" w:leftChars="0"/>
              <w:jc w:val="both"/>
              <w:rPr>
                <w:rFonts w:ascii="宋体" w:eastAsia="宋体" w:hAnsi="宋体"/>
                <w:sz w:val="21"/>
                <w:szCs w:val="21"/>
                <w:lang w:eastAsia="zh-CN"/>
              </w:rPr>
            </w:pPr>
            <w:r>
              <w:rPr>
                <w:rFonts w:ascii="宋体" w:eastAsia="宋体" w:hAnsi="宋体" w:cstheme="minorBidi" w:hint="eastAsia"/>
                <w:sz w:val="21"/>
                <w:szCs w:val="21"/>
                <w:lang w:eastAsia="zh-CN"/>
              </w:rPr>
              <w:t>考察投标人提供的</w:t>
            </w:r>
            <w:r>
              <w:rPr>
                <w:rFonts w:ascii="宋体" w:eastAsia="宋体" w:hAnsi="宋体" w:cstheme="minorBidi" w:hint="eastAsia"/>
                <w:kern w:val="2"/>
                <w:sz w:val="21"/>
                <w:szCs w:val="21"/>
                <w:lang w:eastAsia="zh-CN"/>
              </w:rPr>
              <w:t>项目重点难点分析、应对措施及相关的合理化建议</w:t>
            </w:r>
            <w:r>
              <w:rPr>
                <w:rFonts w:ascii="宋体" w:eastAsia="宋体" w:hAnsi="宋体" w:cstheme="minorBidi" w:hint="eastAsia"/>
                <w:sz w:val="21"/>
                <w:szCs w:val="21"/>
                <w:lang w:eastAsia="zh-CN"/>
              </w:rPr>
              <w:t>，包含以下内容：</w:t>
            </w:r>
          </w:p>
          <w:p>
            <w:pPr>
              <w:keepNext w:val="0"/>
              <w:keepLines w:val="0"/>
              <w:pageBreakBefore w:val="0"/>
              <w:widowControl w:val="0"/>
              <w:numPr>
                <w:ilvl w:val="12"/>
                <w:numId w:val="0"/>
              </w:numPr>
              <w:kinsoku/>
              <w:overflowPunct/>
              <w:topLinePunct w:val="0"/>
              <w:autoSpaceDE w:val="0"/>
              <w:autoSpaceDN w:val="0"/>
              <w:bidi w:val="0"/>
              <w:adjustRightInd w:val="0"/>
              <w:spacing w:line="360" w:lineRule="exact"/>
              <w:ind w:left="0" w:firstLine="0" w:leftChars="0"/>
              <w:jc w:val="both"/>
              <w:rPr>
                <w:rFonts w:ascii="宋体" w:eastAsia="宋体" w:hAnsi="宋体" w:hint="eastAsia"/>
                <w:sz w:val="21"/>
                <w:szCs w:val="21"/>
                <w:lang w:eastAsia="zh-CN"/>
              </w:rPr>
            </w:pPr>
            <w:r>
              <w:rPr>
                <w:rFonts w:ascii="宋体" w:eastAsia="宋体" w:hAnsi="宋体" w:cstheme="minorBidi" w:hint="eastAsia"/>
                <w:sz w:val="21"/>
                <w:szCs w:val="21"/>
                <w:lang w:eastAsia="zh-CN"/>
              </w:rPr>
              <w:t>1.项目重点分析</w:t>
            </w:r>
          </w:p>
          <w:p>
            <w:pPr>
              <w:keepNext w:val="0"/>
              <w:keepLines w:val="0"/>
              <w:pageBreakBefore w:val="0"/>
              <w:widowControl w:val="0"/>
              <w:numPr>
                <w:ilvl w:val="12"/>
                <w:numId w:val="0"/>
              </w:numPr>
              <w:kinsoku/>
              <w:overflowPunct/>
              <w:topLinePunct w:val="0"/>
              <w:autoSpaceDE w:val="0"/>
              <w:autoSpaceDN w:val="0"/>
              <w:bidi w:val="0"/>
              <w:adjustRightInd w:val="0"/>
              <w:spacing w:line="360" w:lineRule="exact"/>
              <w:ind w:left="0" w:firstLine="0" w:leftChars="0"/>
              <w:jc w:val="both"/>
              <w:rPr>
                <w:rFonts w:ascii="宋体" w:eastAsia="宋体" w:hAnsi="宋体"/>
                <w:sz w:val="21"/>
                <w:szCs w:val="21"/>
                <w:lang w:eastAsia="zh-CN"/>
              </w:rPr>
            </w:pPr>
            <w:r>
              <w:rPr>
                <w:rFonts w:ascii="宋体" w:eastAsia="宋体" w:hAnsi="宋体" w:cstheme="minorBidi" w:hint="eastAsia"/>
                <w:sz w:val="21"/>
                <w:szCs w:val="21"/>
                <w:lang w:eastAsia="zh-CN"/>
              </w:rPr>
              <w:t>2.项目难点分析；</w:t>
            </w:r>
          </w:p>
          <w:p>
            <w:pPr>
              <w:keepNext w:val="0"/>
              <w:keepLines w:val="0"/>
              <w:pageBreakBefore w:val="0"/>
              <w:widowControl w:val="0"/>
              <w:kinsoku/>
              <w:overflowPunct/>
              <w:topLinePunct w:val="0"/>
              <w:autoSpaceDE w:val="0"/>
              <w:autoSpaceDN w:val="0"/>
              <w:bidi w:val="0"/>
              <w:adjustRightInd w:val="0"/>
              <w:spacing w:line="360" w:lineRule="exact"/>
              <w:ind w:left="0" w:leftChars="0"/>
              <w:jc w:val="both"/>
              <w:rPr>
                <w:rFonts w:ascii="宋体" w:eastAsia="宋体" w:hAnsi="宋体"/>
                <w:sz w:val="21"/>
                <w:szCs w:val="21"/>
                <w:lang w:eastAsia="zh-CN"/>
              </w:rPr>
            </w:pPr>
            <w:r>
              <w:rPr>
                <w:rFonts w:ascii="宋体" w:eastAsia="宋体" w:hAnsi="宋体" w:cstheme="minorBidi" w:hint="eastAsia"/>
                <w:sz w:val="21"/>
                <w:szCs w:val="21"/>
                <w:lang w:eastAsia="zh-CN"/>
              </w:rPr>
              <w:t>3.针对项目重点难点逐项提出应对措施；</w:t>
            </w:r>
          </w:p>
          <w:p>
            <w:pPr>
              <w:keepNext w:val="0"/>
              <w:keepLines w:val="0"/>
              <w:pageBreakBefore w:val="0"/>
              <w:widowControl w:val="0"/>
              <w:kinsoku/>
              <w:overflowPunct/>
              <w:topLinePunct w:val="0"/>
              <w:autoSpaceDE w:val="0"/>
              <w:autoSpaceDN w:val="0"/>
              <w:bidi w:val="0"/>
              <w:adjustRightInd w:val="0"/>
              <w:spacing w:line="360" w:lineRule="exact"/>
              <w:ind w:left="0" w:leftChars="0"/>
              <w:jc w:val="both"/>
              <w:rPr>
                <w:rFonts w:ascii="宋体" w:eastAsia="宋体" w:hAnsi="宋体"/>
                <w:sz w:val="21"/>
                <w:szCs w:val="21"/>
                <w:lang w:eastAsia="zh-CN"/>
              </w:rPr>
            </w:pPr>
            <w:r>
              <w:rPr>
                <w:rFonts w:ascii="宋体" w:eastAsia="宋体" w:hAnsi="宋体" w:cstheme="minorBidi" w:hint="eastAsia"/>
                <w:sz w:val="21"/>
                <w:szCs w:val="21"/>
                <w:lang w:eastAsia="zh-CN"/>
              </w:rPr>
              <w:t>4.相关的合理化建议。</w:t>
            </w:r>
          </w:p>
          <w:p>
            <w:pPr>
              <w:keepNext w:val="0"/>
              <w:keepLines w:val="0"/>
              <w:pageBreakBefore w:val="0"/>
              <w:widowControl/>
              <w:kinsoku/>
              <w:overflowPunct/>
              <w:topLinePunct w:val="0"/>
              <w:bidi w:val="0"/>
              <w:snapToGrid w:val="0"/>
              <w:spacing w:line="360" w:lineRule="exact"/>
              <w:ind w:left="0" w:leftChars="0"/>
              <w:jc w:val="left"/>
              <w:rPr>
                <w:rFonts w:ascii="宋体" w:eastAsia="宋体" w:hAnsi="宋体"/>
                <w:b/>
                <w:bCs/>
                <w:sz w:val="21"/>
                <w:szCs w:val="21"/>
                <w:lang w:eastAsia="zh-CN"/>
              </w:rPr>
            </w:pPr>
            <w:r>
              <w:rPr>
                <w:rFonts w:ascii="宋体" w:eastAsia="宋体" w:hAnsi="宋体" w:cstheme="minorBidi" w:hint="eastAsia"/>
                <w:b/>
                <w:bCs/>
                <w:sz w:val="21"/>
                <w:szCs w:val="21"/>
                <w:lang w:eastAsia="zh-CN"/>
              </w:rPr>
              <w:t>（二）评审标准：</w:t>
            </w:r>
          </w:p>
          <w:p>
            <w:pPr>
              <w:keepNext w:val="0"/>
              <w:keepLines w:val="0"/>
              <w:pageBreakBefore w:val="0"/>
              <w:widowControl w:val="0"/>
              <w:kinsoku/>
              <w:overflowPunct/>
              <w:topLinePunct w:val="0"/>
              <w:bidi w:val="0"/>
              <w:spacing w:line="360" w:lineRule="exact"/>
              <w:ind w:left="0" w:firstLine="0" w:leftChars="0" w:firstLineChars="0"/>
              <w:jc w:val="both"/>
              <w:rPr>
                <w:rFonts w:ascii="宋体" w:eastAsia="宋体" w:hAnsi="宋体"/>
                <w:kern w:val="2"/>
                <w:sz w:val="21"/>
                <w:szCs w:val="21"/>
                <w:lang w:eastAsia="zh-CN"/>
              </w:rPr>
            </w:pPr>
            <w:r>
              <w:rPr>
                <w:rFonts w:ascii="宋体" w:eastAsia="宋体" w:hAnsi="宋体" w:cs="宋体" w:hint="eastAsia"/>
                <w:kern w:val="2"/>
                <w:sz w:val="21"/>
                <w:szCs w:val="21"/>
                <w:lang w:eastAsia="zh-CN"/>
              </w:rPr>
              <w:t>1.提供的方案内容包含上述全部内容的得60分；包含上述任意3项内容的得45分；包含上述任意2项内容的得30分；包含上述任意1项内容的得15分，其余不得分。</w:t>
            </w:r>
          </w:p>
          <w:p>
            <w:pPr>
              <w:keepNext w:val="0"/>
              <w:keepLines w:val="0"/>
              <w:pageBreakBefore w:val="0"/>
              <w:widowControl w:val="0"/>
              <w:kinsoku/>
              <w:overflowPunct/>
              <w:topLinePunct w:val="0"/>
              <w:bidi w:val="0"/>
              <w:spacing w:line="360" w:lineRule="exact"/>
              <w:ind w:left="0" w:firstLine="0" w:leftChars="0" w:firstLineChars="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2.在此基础上，评审委员根据各供应商的具体响应内容按照量化的评审因素指标进一步评审：</w:t>
            </w:r>
          </w:p>
          <w:p>
            <w:pPr>
              <w:keepNext w:val="0"/>
              <w:keepLines w:val="0"/>
              <w:pageBreakBefore w:val="0"/>
              <w:widowControl w:val="0"/>
              <w:kinsoku/>
              <w:overflowPunct/>
              <w:topLinePunct w:val="0"/>
              <w:bidi w:val="0"/>
              <w:spacing w:line="360" w:lineRule="exact"/>
              <w:ind w:left="0" w:firstLine="0" w:leftChars="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宋体" w:hint="eastAsia"/>
                <w:kern w:val="2"/>
                <w:sz w:val="21"/>
                <w:szCs w:val="21"/>
                <w:lang w:eastAsia="zh-CN"/>
              </w:rPr>
              <w:t>评审为优（</w:t>
            </w:r>
            <w:r>
              <w:rPr>
                <w:rFonts w:ascii="宋体" w:eastAsia="宋体" w:hAnsi="宋体" w:cstheme="minorBidi" w:hint="eastAsia"/>
                <w:sz w:val="21"/>
                <w:szCs w:val="21"/>
                <w:lang w:eastAsia="zh-CN"/>
              </w:rPr>
              <w:t>重点、难点分析全面，应对措施可行性高，相关建议科学合理）的</w:t>
            </w:r>
            <w:r>
              <w:rPr>
                <w:rFonts w:ascii="宋体" w:eastAsia="宋体" w:hAnsi="宋体" w:cstheme="minorBidi" w:hint="eastAsia"/>
                <w:kern w:val="2"/>
                <w:sz w:val="21"/>
                <w:szCs w:val="21"/>
                <w:lang w:eastAsia="zh-CN"/>
              </w:rPr>
              <w:t>，得40分；</w:t>
            </w:r>
          </w:p>
          <w:p>
            <w:pPr>
              <w:keepNext w:val="0"/>
              <w:keepLines w:val="0"/>
              <w:pageBreakBefore w:val="0"/>
              <w:widowControl w:val="0"/>
              <w:kinsoku/>
              <w:overflowPunct/>
              <w:topLinePunct w:val="0"/>
              <w:bidi w:val="0"/>
              <w:spacing w:line="360" w:lineRule="exact"/>
              <w:ind w:left="0" w:firstLine="0" w:leftChars="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宋体" w:hint="eastAsia"/>
                <w:kern w:val="2"/>
                <w:sz w:val="21"/>
                <w:szCs w:val="21"/>
                <w:lang w:eastAsia="zh-CN"/>
              </w:rPr>
              <w:t>评审为良（</w:t>
            </w:r>
            <w:r>
              <w:rPr>
                <w:rFonts w:ascii="宋体" w:eastAsia="宋体" w:hAnsi="宋体" w:cstheme="minorBidi" w:hint="eastAsia"/>
                <w:sz w:val="21"/>
                <w:szCs w:val="21"/>
                <w:lang w:eastAsia="zh-CN"/>
              </w:rPr>
              <w:t>重点、难点分析比较全面，应对措施可行性较高，相关建议比较合理）的</w:t>
            </w:r>
            <w:r>
              <w:rPr>
                <w:rFonts w:ascii="宋体" w:eastAsia="宋体" w:hAnsi="宋体" w:cstheme="minorBidi" w:hint="eastAsia"/>
                <w:kern w:val="2"/>
                <w:sz w:val="21"/>
                <w:szCs w:val="21"/>
                <w:lang w:eastAsia="zh-CN"/>
              </w:rPr>
              <w:t>，得25分；</w:t>
            </w:r>
          </w:p>
          <w:p>
            <w:pPr>
              <w:keepNext w:val="0"/>
              <w:keepLines w:val="0"/>
              <w:pageBreakBefore w:val="0"/>
              <w:widowControl w:val="0"/>
              <w:kinsoku/>
              <w:overflowPunct/>
              <w:topLinePunct w:val="0"/>
              <w:bidi w:val="0"/>
              <w:spacing w:line="360" w:lineRule="exact"/>
              <w:ind w:left="0" w:firstLine="0" w:leftChars="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宋体" w:hint="eastAsia"/>
                <w:kern w:val="2"/>
                <w:sz w:val="21"/>
                <w:szCs w:val="21"/>
                <w:lang w:eastAsia="zh-CN"/>
              </w:rPr>
              <w:t>评审为中（</w:t>
            </w:r>
            <w:r>
              <w:rPr>
                <w:rFonts w:ascii="宋体" w:eastAsia="宋体" w:hAnsi="宋体" w:cstheme="minorBidi" w:hint="eastAsia"/>
                <w:sz w:val="21"/>
                <w:szCs w:val="21"/>
                <w:lang w:eastAsia="zh-CN"/>
              </w:rPr>
              <w:t>重点、难点分析不够全面，应对措施可行性一般，相关建议不够合理）的</w:t>
            </w:r>
            <w:r>
              <w:rPr>
                <w:rFonts w:ascii="宋体" w:eastAsia="宋体" w:hAnsi="宋体" w:cstheme="minorBidi" w:hint="eastAsia"/>
                <w:kern w:val="2"/>
                <w:sz w:val="21"/>
                <w:szCs w:val="21"/>
                <w:lang w:eastAsia="zh-CN"/>
              </w:rPr>
              <w:t>，得10分；</w:t>
            </w:r>
          </w:p>
          <w:p>
            <w:pPr>
              <w:widowControl w:val="0"/>
              <w:snapToGrid w:val="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宋体" w:hint="eastAsia"/>
                <w:kern w:val="2"/>
                <w:sz w:val="21"/>
                <w:szCs w:val="21"/>
                <w:lang w:eastAsia="zh-CN"/>
              </w:rPr>
              <w:t>评审为差（</w:t>
            </w:r>
            <w:r>
              <w:rPr>
                <w:rFonts w:ascii="宋体" w:eastAsia="宋体" w:hAnsi="宋体" w:cstheme="minorBidi" w:hint="eastAsia"/>
                <w:sz w:val="21"/>
                <w:szCs w:val="21"/>
                <w:lang w:eastAsia="zh-CN"/>
              </w:rPr>
              <w:t>重点、难点分析不全面，应对措施可行性低，相关建议不合理）的</w:t>
            </w:r>
            <w:r>
              <w:rPr>
                <w:rFonts w:ascii="宋体" w:eastAsia="宋体" w:hAnsi="宋体" w:cstheme="minorBidi" w:hint="eastAsia"/>
                <w:kern w:val="2"/>
                <w:sz w:val="21"/>
                <w:szCs w:val="21"/>
                <w:lang w:eastAsia="zh-CN"/>
              </w:rPr>
              <w:t>，得0分。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售后服务方案</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eastAsia="宋体" w:hint="eastAsia"/>
                <w:kern w:val="2"/>
                <w:sz w:val="21"/>
                <w:szCs w:val="21"/>
                <w:lang w:eastAsia="zh-CN"/>
              </w:rPr>
            </w:pPr>
            <w:r>
              <w:rPr>
                <w:rFonts w:ascii="Calibri" w:eastAsia="宋体" w:hAnsi="Calibri" w:cstheme="minorBidi" w:hint="eastAsia"/>
                <w:kern w:val="2"/>
                <w:sz w:val="21"/>
                <w:szCs w:val="21"/>
                <w:lang w:eastAsia="zh-CN"/>
              </w:rPr>
              <w:t>5</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widowControl w:val="0"/>
              <w:wordWrap w:val="0"/>
              <w:spacing w:after="6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（一）评审内容：</w:t>
            </w:r>
          </w:p>
          <w:p>
            <w:pPr>
              <w:widowControl w:val="0"/>
              <w:autoSpaceDE w:val="0"/>
              <w:autoSpaceDN w:val="0"/>
              <w:ind w:firstLine="210" w:firstLineChars="10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根据投标人提供的售后服务方案进行评审，包含但不限于以下内容：</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1.响应时间；</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2.服务内容；</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3.维修应急方案；</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4.培训计划。</w:t>
            </w:r>
          </w:p>
          <w:p>
            <w:pPr>
              <w:widowControl w:val="0"/>
              <w:autoSpaceDE w:val="0"/>
              <w:autoSpaceDN w:val="0"/>
              <w:jc w:val="both"/>
              <w:textAlignment w:val="bottom"/>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（二）评审标准：</w:t>
            </w:r>
          </w:p>
          <w:p>
            <w:pPr>
              <w:widowControl w:val="0"/>
              <w:ind w:firstLine="210" w:firstLineChars="1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1.提供的方案内容包含上述全部内容的得60分；包含上述任意3项内容的得45分；包含上述任意2项内容的得30分；包含上述任意1项内容的得15分，其余不得分。</w:t>
            </w:r>
          </w:p>
          <w:p>
            <w:pPr>
              <w:widowControl w:val="0"/>
              <w:autoSpaceDE w:val="0"/>
              <w:autoSpaceDN w:val="0"/>
              <w:ind w:firstLine="210" w:firstLineChars="10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2.在此基础上，评审委员根据各供应商的具体响应内容按照量化的评审因素指标进一步评审：</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（1）评审为优（如响应内容全面、清晰、针对性强、科学合理、可操作性强）的，加40分；</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（2）评审为良（如响应内容较全面、较清晰、针对性较强、较科学合理、可操作性较强）的，加25分；</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（3）评审为中（如响应内容基本完整，针对性一般，可操作性一般）的，加10分；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（4）评审为差（如响应内容缺失或与项目关联度不大）的，加0分。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6</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政府采购节能环保产品情况</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eastAsia="宋体"/>
                <w:kern w:val="2"/>
                <w:sz w:val="21"/>
                <w:szCs w:val="21"/>
                <w:lang w:eastAsia="zh-CN"/>
              </w:rPr>
            </w:pPr>
            <w:r>
              <w:rPr>
                <w:rFonts w:ascii="Calibri" w:eastAsia="宋体" w:hAnsi="Calibri" w:cstheme="minorBidi" w:hint="eastAsia"/>
                <w:kern w:val="2"/>
                <w:sz w:val="21"/>
                <w:szCs w:val="21"/>
                <w:lang w:eastAsia="zh-CN"/>
              </w:rPr>
              <w:t>1</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7</w:t>
            </w:r>
          </w:p>
        </w:tc>
        <w:tc>
          <w:tcPr>
            <w:tcW w:w="1386"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绿色采购情况</w:t>
            </w:r>
          </w:p>
        </w:tc>
        <w:tc>
          <w:tcPr>
            <w:tcW w:w="841"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wordWrap w:val="0"/>
              <w:jc w:val="center"/>
              <w:textAlignment w:val="top"/>
              <w:rPr>
                <w:rFonts w:eastAsia="宋体" w:hint="eastAsia"/>
                <w:kern w:val="2"/>
                <w:sz w:val="21"/>
                <w:szCs w:val="21"/>
                <w:lang w:eastAsia="zh-CN"/>
              </w:rPr>
            </w:pPr>
            <w:r>
              <w:rPr>
                <w:rFonts w:ascii="Calibri" w:eastAsia="宋体" w:hAnsi="Calibri" w:cstheme="minorBidi" w:hint="eastAsia"/>
                <w:kern w:val="2"/>
                <w:sz w:val="21"/>
                <w:szCs w:val="21"/>
                <w:lang w:eastAsia="zh-CN"/>
              </w:rPr>
              <w:t>1</w:t>
            </w:r>
          </w:p>
        </w:tc>
        <w:tc>
          <w:tcPr>
            <w:tcW w:w="5481" w:type="dxa"/>
            <w:tcBorders>
              <w:top w:val="single" w:sz="8" w:space="0" w:color="000000"/>
              <w:left w:val="single" w:sz="8" w:space="0" w:color="000000"/>
              <w:bottom w:val="single" w:sz="8" w:space="0" w:color="000000"/>
              <w:right w:val="single" w:sz="8" w:space="0" w:color="000000"/>
            </w:tcBorders>
            <w:shd w:val="clear" w:color="auto" w:fill="auto"/>
            <w:noWrap w:val="0"/>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widowControl w:val="0"/>
              <w:snapToGrid w:val="0"/>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投标人提供符合相关要求的承诺函得100分（格式自定，应在《自行采购投标及履约承诺函》外另起承诺函）可视为符合规定，无需提供检测报告、认证报告。未提供或不符合的不得分。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wordWrap w:val="0"/>
              <w:jc w:val="center"/>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8</w:t>
            </w:r>
          </w:p>
        </w:tc>
        <w:tc>
          <w:tcPr>
            <w:tcW w:w="1386"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wordWrap w:val="0"/>
              <w:spacing w:after="60" w:line="360" w:lineRule="auto"/>
              <w:jc w:val="center"/>
              <w:textAlignment w:val="top"/>
              <w:rPr>
                <w:rFonts w:ascii="Calibri" w:eastAsia="宋体" w:hAnsi="Calibri" w:hint="eastAsia"/>
                <w:kern w:val="2"/>
                <w:sz w:val="21"/>
                <w:szCs w:val="21"/>
                <w:lang w:eastAsia="zh-CN"/>
              </w:rPr>
            </w:pPr>
            <w:r>
              <w:rPr>
                <w:rFonts w:ascii="宋体" w:eastAsia="宋体" w:hAnsi="宋体" w:cs="宋体" w:hint="eastAsia"/>
                <w:kern w:val="2"/>
                <w:sz w:val="21"/>
                <w:szCs w:val="22"/>
                <w:lang w:eastAsia="zh-CN"/>
              </w:rPr>
              <w:t>同类业绩</w:t>
            </w:r>
          </w:p>
        </w:tc>
        <w:tc>
          <w:tcPr>
            <w:tcW w:w="841"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wordWrap w:val="0"/>
              <w:spacing w:line="360" w:lineRule="auto"/>
              <w:jc w:val="center"/>
              <w:textAlignment w:val="top"/>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5</w:t>
            </w:r>
          </w:p>
        </w:tc>
        <w:tc>
          <w:tcPr>
            <w:tcW w:w="5481" w:type="dxa"/>
            <w:tcBorders>
              <w:top w:val="single" w:sz="8" w:space="0" w:color="000000"/>
              <w:left w:val="single" w:sz="8" w:space="0" w:color="000000"/>
              <w:bottom w:val="single" w:sz="8" w:space="0" w:color="000000"/>
              <w:right w:val="single" w:sz="8" w:space="0" w:color="000000"/>
            </w:tcBorders>
            <w:shd w:val="clear" w:color="auto" w:fill="auto"/>
            <w:noWrap w:val="0"/>
            <w:vAlign w:val="top"/>
          </w:tcPr>
          <w:p>
            <w:pPr>
              <w:widowControl w:val="0"/>
              <w:wordWrap w:val="0"/>
              <w:spacing w:after="6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（一）评审内容：</w:t>
            </w:r>
          </w:p>
          <w:p>
            <w:pPr>
              <w:widowControl w:val="0"/>
              <w:wordWrap w:val="0"/>
              <w:spacing w:after="60"/>
              <w:ind w:firstLine="210" w:firstLineChars="1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自2022年1月1日至本项目投标截止日（以合同签订时间为准），承担过国家机关或事业单位厨房设备的销售或供货业绩，且履约验收证明（验收报告）显示为合格（或以上）评价，每提供一个业绩得50分，最高得100分。</w:t>
            </w:r>
          </w:p>
          <w:p>
            <w:pPr>
              <w:widowControl w:val="0"/>
              <w:autoSpaceDE w:val="0"/>
              <w:autoSpaceDN w:val="0"/>
              <w:jc w:val="both"/>
              <w:textAlignment w:val="bottom"/>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（二）评分依据：</w:t>
            </w:r>
          </w:p>
          <w:p>
            <w:pPr>
              <w:widowControl/>
              <w:wordWrap w:val="0"/>
              <w:ind w:firstLine="210" w:firstLineChars="10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1、提供：1）项目合同关键页扫描件（包括但不限于：合同名称页、合同主要内容页、合同签订日期页、合同双方签字盖章以及对应发票扫描件）；2）履约验收证明，需加盖合同甲方公章或业务章；</w:t>
            </w:r>
          </w:p>
          <w:p>
            <w:pPr>
              <w:widowControl/>
              <w:wordWrap w:val="0"/>
              <w:ind w:firstLine="210" w:firstLineChars="100"/>
              <w:jc w:val="both"/>
              <w:textAlignment w:val="top"/>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bidi="ar"/>
              </w:rPr>
              <w:t>未按要求提供相关证明材料（或相关证明材料无法判断是否符合评分要求）的不计得分，原件备查。</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val="restart"/>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hint="eastAsia"/>
                <w:b/>
                <w:bCs/>
                <w:color w:val="0000FF"/>
                <w:kern w:val="2"/>
                <w:szCs w:val="22"/>
                <w:lang w:eastAsia="zh-CN"/>
              </w:rPr>
            </w:pPr>
            <w:r>
              <w:rPr>
                <w:rFonts w:ascii="宋体" w:eastAsia="宋体" w:hAnsi="宋体" w:cs="宋体" w:hint="eastAsia"/>
                <w:b/>
                <w:bCs/>
                <w:color w:val="0000FF"/>
                <w:szCs w:val="22"/>
                <w:lang w:eastAsia="zh-CN" w:bidi="ar"/>
              </w:rPr>
              <w:t>4</w:t>
            </w:r>
          </w:p>
        </w:tc>
        <w:tc>
          <w:tcPr>
            <w:tcW w:w="2913" w:type="dxa"/>
            <w:gridSpan w:val="3"/>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bidi="ar"/>
              </w:rPr>
              <w:t>诚信情况</w:t>
            </w:r>
          </w:p>
        </w:tc>
        <w:tc>
          <w:tcPr>
            <w:tcW w:w="54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hint="eastAsia"/>
                <w:b/>
                <w:bCs/>
                <w:color w:val="0000FF"/>
                <w:kern w:val="2"/>
                <w:szCs w:val="22"/>
                <w:lang w:eastAsia="zh-CN"/>
              </w:rPr>
            </w:pPr>
            <w:r>
              <w:rPr>
                <w:rFonts w:ascii="Calibri" w:eastAsia="宋体" w:hAnsi="Calibri" w:cstheme="minorBidi" w:hint="eastAsia"/>
                <w:b/>
                <w:bCs/>
                <w:color w:val="0000FF"/>
                <w:kern w:val="2"/>
                <w:szCs w:val="22"/>
                <w:lang w:eastAsia="zh-CN"/>
              </w:rPr>
              <w:t>3</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8394" w:type="dxa"/>
            <w:gridSpan w:val="4"/>
            <w:tcBorders>
              <w:top w:val="single" w:sz="8" w:space="0" w:color="000000"/>
              <w:left w:val="single" w:sz="8" w:space="0" w:color="000000"/>
              <w:bottom w:val="single" w:sz="8" w:space="0" w:color="000000"/>
              <w:right w:val="single" w:sz="8" w:space="0" w:color="000000"/>
            </w:tcBorders>
            <w:noWrap w:val="0"/>
            <w:vAlign w:val="top"/>
          </w:tcPr>
          <w:p>
            <w:pPr>
              <w:widowControl w:val="0"/>
              <w:jc w:val="both"/>
              <w:rPr>
                <w:rFonts w:ascii="宋体" w:eastAsia="宋体" w:hAnsi="Calibri"/>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val="0"/>
              <w:jc w:val="center"/>
              <w:rPr>
                <w:rFonts w:ascii="宋体" w:eastAsia="宋体" w:hAnsi="Calibri"/>
                <w:b/>
                <w:bCs/>
                <w:color w:val="0000FF"/>
                <w:kern w:val="2"/>
                <w:szCs w:val="22"/>
                <w:lang w:eastAsia="zh-CN"/>
              </w:rPr>
            </w:pPr>
          </w:p>
        </w:tc>
        <w:tc>
          <w:tcPr>
            <w:tcW w:w="68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138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84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548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1</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诚信情况</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2"/>
                <w:lang w:eastAsia="zh-CN"/>
              </w:rPr>
              <w:t>3</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widowControl w:val="0"/>
              <w:wordWrap w:val="0"/>
              <w:spacing w:line="360" w:lineRule="auto"/>
              <w:ind w:firstLine="480" w:firstLineChars="20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idowControl w:val="0"/>
              <w:wordWrap w:val="0"/>
              <w:spacing w:line="360" w:lineRule="auto"/>
              <w:ind w:firstLine="480" w:firstLineChars="200"/>
              <w:jc w:val="both"/>
              <w:rPr>
                <w:rFonts w:ascii="Calibri" w:eastAsia="宋体" w:hAnsi="Calibri"/>
                <w:b/>
                <w:bCs/>
                <w:kern w:val="2"/>
                <w:szCs w:val="22"/>
                <w:lang w:eastAsia="zh-CN"/>
              </w:rPr>
            </w:pPr>
            <w:r>
              <w:rPr>
                <w:rFonts w:ascii="Calibri" w:eastAsia="宋体" w:hAnsi="Calibri" w:cstheme="minorBidi" w:hint="eastAsia"/>
                <w:kern w:val="2"/>
                <w:szCs w:val="22"/>
                <w:highlight w:val="yellow"/>
                <w:lang w:eastAsia="zh-CN"/>
              </w:rPr>
              <w:t>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r>
    </w:tbl>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both"/>
        <w:rPr>
          <w:rFonts w:ascii="Calibri" w:eastAsia="宋体" w:hAnsi="Calibri" w:hint="eastAsia"/>
          <w:b/>
          <w:kern w:val="2"/>
          <w:sz w:val="120"/>
          <w:szCs w:val="120"/>
          <w:lang w:eastAsia="zh-CN"/>
        </w:rPr>
      </w:pPr>
      <w:r>
        <w:rPr>
          <w:rFonts w:ascii="Calibri" w:eastAsia="宋体" w:hAnsi="Calibri" w:cstheme="minorBidi" w:hint="eastAsia"/>
          <w:b/>
          <w:kern w:val="2"/>
          <w:sz w:val="120"/>
          <w:szCs w:val="120"/>
          <w:lang w:eastAsia="zh-CN"/>
        </w:rPr>
        <w:br w:type="page"/>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hint="eastAsia"/>
          <w:b/>
          <w:kern w:val="2"/>
          <w:sz w:val="120"/>
          <w:szCs w:val="120"/>
          <w:lang w:eastAsia="zh-CN"/>
        </w:rPr>
      </w:pPr>
      <w:r>
        <w:rPr>
          <w:rFonts w:ascii="Calibri" w:eastAsia="宋体" w:hAnsi="Calibri" w:cstheme="minorBidi" w:hint="eastAsia"/>
          <w:b/>
          <w:kern w:val="2"/>
          <w:sz w:val="120"/>
          <w:szCs w:val="120"/>
          <w:lang w:eastAsia="zh-CN"/>
        </w:rPr>
        <w:t>征集文件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深圳公共资源交易中心</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   录</w:t>
      </w: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  专用条款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征集公告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投标（响应）文件组成要求及格式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征集文件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投标（响应）文件的编制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投标（响应）文件的递交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公开征集失败的后续处理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第十一章  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征集公告</w:t>
      </w:r>
    </w:p>
    <w:p>
      <w:pPr>
        <w:widowControl w:val="0"/>
        <w:snapToGrid w:val="0"/>
        <w:spacing w:line="300" w:lineRule="exact"/>
        <w:jc w:val="both"/>
        <w:rPr>
          <w:rFonts w:ascii="Arial" w:eastAsia="宋体" w:hAnsi="Arial"/>
          <w:kern w:val="2"/>
          <w:sz w:val="21"/>
          <w:szCs w:val="21"/>
          <w:lang w:eastAsia="zh-CN"/>
        </w:rPr>
      </w:pPr>
      <w:r>
        <w:rPr>
          <w:rFonts w:ascii="Arial" w:eastAsia="宋体" w:hAnsi="Arial" w:hint="eastAsia"/>
          <w:b/>
          <w:bCs/>
          <w:kern w:val="2"/>
          <w:sz w:val="21"/>
          <w:szCs w:val="21"/>
          <w:lang w:eastAsia="zh-CN"/>
        </w:rPr>
        <w:t>申请人的资格要求：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2.本项目不接受联合体投标（响应），不接受供应商选用进口产品参与投标（由供应商在《自行采购投标（响应）及履约承诺函》中作出声明；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3.参与本项目政府采购（自行采购）活动时不存在被有关部门禁止参与政府采购（自行采购）活动且在有效期内的情况（由供应商在《自行采购投标（响应）及履约承诺函》中作出声明）；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4.具备《中华人民共和国政府采购法》第二十二条第一款的条件（由供应商在《自行采购投标（响应）及履约承诺函》中作出声明）；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5.未被列入失信被执行人、重大税收违法案件当事人名单、政府采购严重违法失信行为记录名单（由供应商在《自行采购投标（响应）及履约承诺函》中作出声明）；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kern w:val="2"/>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Calibri" w:eastAsia="宋体" w:hAnsi="Calibri"/>
          <w:kern w:val="2"/>
          <w:sz w:val="21"/>
          <w:szCs w:val="22"/>
          <w:lang w:eastAsia="zh-CN"/>
        </w:rPr>
      </w:pPr>
      <w:r>
        <w:rPr>
          <w:rFonts w:ascii="宋体" w:eastAsia="宋体" w:hAnsi="宋体" w:cs="宋体" w:hint="eastAsia"/>
          <w:sz w:val="21"/>
          <w:szCs w:val="21"/>
          <w:lang w:eastAsia="zh-C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1"/>
        </w:numPr>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供应商投标（上传投标（响应）文件）必须先行办理注册手续。</w:t>
      </w:r>
    </w:p>
    <w:p>
      <w:pPr>
        <w:widowControl w:val="0"/>
        <w:numPr>
          <w:ilvl w:val="0"/>
          <w:numId w:val="0"/>
        </w:numPr>
        <w:ind w:left="0" w:firstLine="660" w:firstLineChars="300"/>
        <w:jc w:val="both"/>
        <w:rPr>
          <w:rFonts w:ascii="Calibri" w:eastAsia="宋体" w:hAnsi="Calibri"/>
          <w:kern w:val="2"/>
          <w:sz w:val="22"/>
          <w:szCs w:val="18"/>
          <w:lang w:eastAsia="zh-CN"/>
        </w:rPr>
      </w:pPr>
      <w:r>
        <w:rPr>
          <w:rFonts w:ascii="Calibri" w:eastAsia="宋体" w:hAnsi="Calibri" w:cstheme="minorBidi" w:hint="eastAsia"/>
          <w:kern w:val="2"/>
          <w:sz w:val="22"/>
          <w:szCs w:val="18"/>
          <w:lang w:eastAsia="zh-CN"/>
        </w:rPr>
        <w:t>完整公告内容详见：</w:t>
      </w:r>
      <w:hyperlink r:id="rId6" w:history="1">
        <w:r>
          <w:rPr>
            <w:rFonts w:ascii="Calibri" w:eastAsia="宋体" w:hAnsi="Calibri" w:cstheme="minorBidi" w:hint="eastAsia"/>
            <w:color w:val="FF0000"/>
            <w:kern w:val="2"/>
            <w:sz w:val="22"/>
            <w:szCs w:val="18"/>
            <w:lang w:eastAsia="zh-CN"/>
          </w:rPr>
          <w:t>深圳交易集团官网（szexgrp.com）</w:t>
        </w:r>
      </w:hyperlink>
    </w:p>
    <w:p>
      <w:pPr>
        <w:widowControl w:val="0"/>
        <w:jc w:val="both"/>
        <w:rPr>
          <w:rFonts w:ascii="宋体" w:eastAsia="宋体" w:hAnsi="宋体" w:hint="eastAsia"/>
          <w:b/>
          <w:bCs/>
          <w:sz w:val="28"/>
          <w:szCs w:val="28"/>
          <w:lang w:eastAsia="zh-CN"/>
        </w:rPr>
      </w:pPr>
      <w:r>
        <w:rPr>
          <w:rFonts w:ascii="宋体" w:eastAsia="宋体" w:hAnsi="宋体" w:hint="eastAsia"/>
          <w:b/>
          <w:bCs/>
          <w:sz w:val="28"/>
          <w:szCs w:val="28"/>
          <w:lang w:eastAsia="zh-CN"/>
        </w:rPr>
        <w:br w:type="page"/>
      </w: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1" w:name="_Hlk71926094"/>
      <w:r>
        <w:rPr>
          <w:rFonts w:ascii="宋体" w:eastAsia="宋体" w:hAnsi="宋体" w:hint="eastAsia"/>
          <w:b/>
          <w:bCs/>
          <w:sz w:val="28"/>
          <w:szCs w:val="28"/>
          <w:lang w:eastAsia="zh-CN"/>
        </w:rPr>
        <w:t>对通用条款的补充内容及其他关键信息</w:t>
      </w:r>
      <w:bookmarkEnd w:id="1"/>
    </w:p>
    <w:p>
      <w:pPr>
        <w:keepNext/>
        <w:keepLines/>
        <w:widowControl w:val="0"/>
        <w:adjustRightInd w:val="0"/>
        <w:spacing w:before="156" w:beforeLines="50" w:after="156" w:afterLines="50"/>
        <w:jc w:val="center"/>
        <w:textAlignment w:val="baseline"/>
        <w:outlineLvl w:val="2"/>
        <w:rPr>
          <w:rFonts w:ascii="宋体" w:eastAsia="宋体" w:hAnsi="宋体" w:hint="eastAsia"/>
          <w:b/>
          <w:bCs/>
          <w:lang w:eastAsia="zh-CN"/>
        </w:rPr>
      </w:pPr>
      <w:bookmarkStart w:id="2" w:name="_Toc100052364"/>
      <w:bookmarkStart w:id="3" w:name="_Toc73518117"/>
      <w:bookmarkStart w:id="4" w:name="_Toc60631620"/>
      <w:bookmarkStart w:id="5" w:name="_Toc101074876"/>
      <w:bookmarkStart w:id="6" w:name="_Toc60560625"/>
      <w:bookmarkStart w:id="7" w:name="_Toc73517639"/>
      <w:bookmarkStart w:id="8" w:name="_Toc73521635"/>
      <w:bookmarkStart w:id="9" w:name="_Toc73521547"/>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893"/>
        <w:gridCol w:w="1582"/>
        <w:gridCol w:w="6047"/>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通用条款序号</w:t>
            </w:r>
          </w:p>
        </w:tc>
        <w:tc>
          <w:tcPr>
            <w:tcW w:w="1755" w:type="dxa"/>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涉及事项</w:t>
            </w:r>
          </w:p>
        </w:tc>
        <w:tc>
          <w:tcPr>
            <w:tcW w:w="6795" w:type="dxa"/>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1755"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679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b/>
                <w:bCs/>
                <w:kern w:val="2"/>
                <w:sz w:val="21"/>
                <w:szCs w:val="22"/>
                <w:lang w:eastAsia="zh-CN"/>
              </w:rPr>
              <w:t>深圳市宝安区公共卫生服务中心</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政府集中采购机构</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本文件所述的“政府集中采购机构”</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深圳公共资源交易中心</w:t>
            </w:r>
            <w:r>
              <w:rPr>
                <w:rFonts w:ascii="Arial" w:eastAsia="宋体" w:hAnsi="Arial" w:hint="eastAsia"/>
                <w:kern w:val="2"/>
                <w:sz w:val="21"/>
                <w:lang w:eastAsia="zh-CN"/>
              </w:rPr>
              <w:t>。本项目具体由深圳公共资源交易中心（深圳交易集团有限公司宝安分公司）执行</w:t>
            </w:r>
            <w:r>
              <w:rPr>
                <w:rFonts w:ascii="Arial" w:eastAsia="宋体" w:hAnsi="Arial" w:hint="eastAsia"/>
                <w:bCs/>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5</w:t>
            </w:r>
            <w:r>
              <w:rPr>
                <w:rFonts w:ascii="宋体" w:eastAsia="宋体" w:hAnsi="宋体" w:cstheme="minorBidi"/>
                <w:kern w:val="2"/>
                <w:sz w:val="21"/>
                <w:szCs w:val="22"/>
                <w:lang w:eastAsia="zh-CN"/>
              </w:rPr>
              <w:t>.3</w:t>
            </w:r>
          </w:p>
        </w:tc>
        <w:tc>
          <w:tcPr>
            <w:tcW w:w="1755"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联合体投标（响应）</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详见第一章  征集公告  申请人的资格要求：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9</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踏勘现场</w:t>
            </w:r>
          </w:p>
        </w:tc>
        <w:tc>
          <w:tcPr>
            <w:tcW w:w="6795" w:type="dxa"/>
            <w:vAlign w:val="center"/>
          </w:tcPr>
          <w:p>
            <w:pPr>
              <w:widowControl w:val="0"/>
              <w:snapToGrid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标前会议</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征集文件的澄清和修改</w:t>
            </w:r>
          </w:p>
        </w:tc>
        <w:tc>
          <w:tcPr>
            <w:tcW w:w="6795"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不晚于投标（响应）截止日三日前，供应商有义务在招标期间在政府集中采购机构网站浏览与本项目有关的澄清和修改信息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投标（响应）有效期</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投标（响应）有效期：从投标（响应）截止之日起</w:t>
            </w:r>
            <w:r>
              <w:rPr>
                <w:rFonts w:ascii="宋体" w:eastAsia="宋体" w:hAnsi="宋体" w:hint="eastAsia"/>
                <w:b/>
                <w:color w:val="0000FF"/>
                <w:kern w:val="2"/>
                <w:u w:val="single"/>
                <w:lang w:eastAsia="zh-CN"/>
              </w:rPr>
              <w:t xml:space="preserve"> 120 </w:t>
            </w:r>
            <w:r>
              <w:rPr>
                <w:rFonts w:ascii="宋体" w:eastAsia="宋体" w:hAnsi="宋体" w:cs="Arial" w:hint="eastAsia"/>
                <w:kern w:val="2"/>
                <w:sz w:val="21"/>
                <w:szCs w:val="21"/>
                <w:lang w:eastAsia="zh-CN"/>
              </w:rPr>
              <w:t>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供应商的替代方案</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投标（响应）文件的大小</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投标（响应）文件大小不得超过 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1755" w:type="dxa"/>
            <w:vAlign w:val="center"/>
          </w:tcPr>
          <w:p>
            <w:pPr>
              <w:widowControl w:val="0"/>
              <w:jc w:val="center"/>
              <w:rPr>
                <w:rFonts w:ascii="宋体" w:eastAsia="宋体" w:hAnsi="宋体"/>
                <w:kern w:val="2"/>
                <w:sz w:val="21"/>
                <w:szCs w:val="22"/>
                <w:lang w:eastAsia="zh-CN"/>
              </w:rPr>
            </w:pPr>
            <w:bookmarkStart w:id="10" w:name="_Hlk71664860"/>
            <w:r>
              <w:rPr>
                <w:rFonts w:ascii="宋体" w:eastAsia="宋体" w:hAnsi="宋体" w:cstheme="minorBidi" w:hint="eastAsia"/>
                <w:kern w:val="2"/>
                <w:sz w:val="21"/>
                <w:szCs w:val="22"/>
                <w:lang w:eastAsia="zh-CN"/>
              </w:rPr>
              <w:t>样品、现场演示、方案讲解</w:t>
            </w:r>
            <w:bookmarkEnd w:id="10"/>
          </w:p>
        </w:tc>
        <w:tc>
          <w:tcPr>
            <w:tcW w:w="6795"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评审方法</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b/>
                <w:bCs/>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定标方法</w:t>
            </w:r>
          </w:p>
        </w:tc>
        <w:tc>
          <w:tcPr>
            <w:tcW w:w="6795" w:type="dxa"/>
            <w:vAlign w:val="center"/>
          </w:tcPr>
          <w:p>
            <w:pPr>
              <w:widowControl w:val="0"/>
              <w:jc w:val="left"/>
              <w:rPr>
                <w:rFonts w:ascii="宋体" w:eastAsia="宋体" w:hAnsi="宋体" w:hint="eastAsia"/>
                <w:b/>
                <w:bCs/>
                <w:kern w:val="2"/>
                <w:sz w:val="21"/>
                <w:szCs w:val="22"/>
                <w:highlight w:val="yellow"/>
                <w:lang w:eastAsia="zh-CN"/>
              </w:rPr>
            </w:pPr>
            <w:r>
              <w:rPr>
                <w:rFonts w:ascii="宋体" w:eastAsia="宋体" w:hAnsi="宋体" w:hint="eastAsia"/>
                <w:b/>
                <w:bCs/>
                <w:kern w:val="2"/>
                <w:sz w:val="21"/>
                <w:szCs w:val="21"/>
                <w:highlight w:val="yellow"/>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履约担保</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52.8</w:t>
            </w:r>
          </w:p>
        </w:tc>
        <w:tc>
          <w:tcPr>
            <w:tcW w:w="1755"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投诉</w:t>
            </w:r>
          </w:p>
        </w:tc>
        <w:tc>
          <w:tcPr>
            <w:tcW w:w="6795"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bookmarkEnd w:id="2"/>
      <w:bookmarkEnd w:id="3"/>
      <w:bookmarkEnd w:id="4"/>
      <w:bookmarkEnd w:id="5"/>
      <w:bookmarkEnd w:id="6"/>
      <w:bookmarkEnd w:id="7"/>
      <w:bookmarkEnd w:id="8"/>
      <w:bookmarkEnd w:id="9"/>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56" w:beforeLines="50" w:after="156"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1、评审定标信息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2"/>
        <w:gridCol w:w="3232"/>
        <w:gridCol w:w="244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评审方法</w:t>
            </w:r>
          </w:p>
        </w:tc>
        <w:tc>
          <w:tcPr>
            <w:tcW w:w="3235" w:type="dxa"/>
          </w:tcPr>
          <w:p>
            <w:pPr>
              <w:widowControl w:val="0"/>
              <w:jc w:val="center"/>
              <w:rPr>
                <w:rFonts w:ascii="Calibri" w:eastAsia="宋体" w:hAnsi="Calibri"/>
                <w:kern w:val="2"/>
                <w:sz w:val="21"/>
                <w:szCs w:val="22"/>
                <w:lang w:eastAsia="zh-CN"/>
              </w:rPr>
            </w:pPr>
            <w:r>
              <w:rPr>
                <w:rFonts w:ascii="Wingdings" w:eastAsia="宋体" w:hAnsi="Wingdings" w:cstheme="minorBidi"/>
                <w:kern w:val="2"/>
                <w:sz w:val="21"/>
                <w:szCs w:val="22"/>
                <w:lang w:eastAsia="zh-CN"/>
              </w:rPr>
              <w:sym w:font="Wingdings" w:char="F0FE"/>
            </w:r>
            <w:r>
              <w:rPr>
                <w:rFonts w:ascii="Calibri" w:eastAsia="宋体" w:hAnsi="Calibri" w:cstheme="minorBidi" w:hint="eastAsia"/>
                <w:kern w:val="2"/>
                <w:sz w:val="21"/>
                <w:szCs w:val="22"/>
                <w:lang w:eastAsia="zh-CN"/>
              </w:rPr>
              <w:t>综合评分法</w:t>
            </w:r>
          </w:p>
        </w:tc>
        <w:tc>
          <w:tcPr>
            <w:tcW w:w="2450" w:type="dxa"/>
          </w:tcPr>
          <w:p>
            <w:pPr>
              <w:widowControl w:val="0"/>
              <w:jc w:val="center"/>
              <w:rPr>
                <w:rFonts w:ascii="Calibri" w:eastAsia="宋体" w:hAnsi="Calibri" w:hint="eastAsia"/>
                <w:kern w:val="2"/>
                <w:sz w:val="21"/>
                <w:szCs w:val="22"/>
                <w:lang w:eastAsia="zh-CN"/>
              </w:rPr>
            </w:pPr>
            <w:r>
              <w:rPr>
                <w:rFonts w:ascii="Wingdings" w:eastAsia="宋体" w:hAnsi="Wingdings" w:cstheme="minorBidi"/>
                <w:kern w:val="2"/>
                <w:sz w:val="21"/>
                <w:szCs w:val="22"/>
                <w:lang w:eastAsia="zh-CN"/>
              </w:rPr>
              <w:sym w:font="Wingdings" w:char="F0A8"/>
            </w:r>
            <w:r>
              <w:rPr>
                <w:rFonts w:eastAsia="宋体" w:hAnsi="Calibri" w:cstheme="minorBidi" w:hint="eastAsia"/>
                <w:kern w:val="2"/>
                <w:sz w:val="21"/>
                <w:szCs w:val="22"/>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候选中标（成交）供应商家数</w:t>
            </w:r>
          </w:p>
        </w:tc>
        <w:tc>
          <w:tcPr>
            <w:tcW w:w="3235"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2450" w:type="dxa"/>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c>
          <w:tcPr>
            <w:tcW w:w="2844"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中标（成交）供应商家数</w:t>
            </w:r>
          </w:p>
        </w:tc>
        <w:tc>
          <w:tcPr>
            <w:tcW w:w="3235"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2450" w:type="dxa"/>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w:t>
            </w:r>
          </w:p>
        </w:tc>
      </w:tr>
    </w:tbl>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（二）其他事项</w:t>
      </w:r>
    </w:p>
    <w:p>
      <w:pPr>
        <w:widowControl w:val="0"/>
        <w:ind w:firstLine="420" w:firstLineChars="200"/>
        <w:jc w:val="both"/>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：供应商提供的货物（以征集文件用户需求书“货物清单明细”的“货物名称”一栏为准）全部均由优惠主体制造，则对其投标（响应）总价给予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 xml:space="preserve">/  </w:t>
      </w:r>
      <w:r>
        <w:rPr>
          <w:rFonts w:ascii="Calibri" w:eastAsia="宋体" w:hAnsi="Calibri" w:cstheme="minorBidi"/>
          <w:color w:val="FF0000"/>
          <w:kern w:val="2"/>
          <w:sz w:val="21"/>
          <w:szCs w:val="22"/>
          <w:lang w:eastAsia="zh-CN"/>
        </w:rPr>
        <w:t>%</w:t>
      </w:r>
      <w:r>
        <w:rPr>
          <w:rFonts w:ascii="Calibri" w:eastAsia="宋体" w:hAnsi="Calibri" w:cstheme="minorBidi" w:hint="eastAsia"/>
          <w:color w:val="000000"/>
          <w:kern w:val="2"/>
          <w:sz w:val="21"/>
          <w:szCs w:val="22"/>
          <w:lang w:eastAsia="zh-CN"/>
        </w:rPr>
        <w:t>（10%~20%）</w:t>
      </w:r>
      <w:r>
        <w:rPr>
          <w:rFonts w:ascii="Calibri" w:eastAsia="宋体" w:hAnsi="Calibri" w:cstheme="minorBidi" w:hint="eastAsia"/>
          <w:kern w:val="2"/>
          <w:sz w:val="21"/>
          <w:szCs w:val="22"/>
          <w:lang w:eastAsia="zh-CN"/>
        </w:rPr>
        <w:t>的扣除，用扣除后的价格参与评审。满足多项优惠政策的供应商，不重复享受多项价格扣除政策。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优惠主体制造是指货物由优惠主体生产且使用该优惠主体商号或者注册商标；供应商提供的货物既有优惠主体制造货物，又有非优惠主体制造货物的，不给予价格扣除。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bookmarkStart w:id="11" w:name="_Hlk71970739"/>
      <w:r>
        <w:rPr>
          <w:rFonts w:ascii="宋体" w:eastAsia="宋体" w:hAnsi="宋体" w:cs="宋体" w:hint="eastAsia"/>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11"/>
      <w:r>
        <w:rPr>
          <w:rFonts w:ascii="宋体" w:eastAsia="宋体" w:hAnsi="宋体" w:cs="宋体" w:hint="eastAsia"/>
          <w:b/>
          <w:bCs/>
          <w:color w:val="FF0000"/>
          <w:kern w:val="2"/>
          <w:sz w:val="21"/>
          <w:szCs w:val="21"/>
          <w:lang w:eastAsia="zh-CN"/>
        </w:rPr>
        <w:t>《中小企业声明函》中相关企业（货物制造商）所属行业应当与采购标的所属行业相一致，</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以征集文件第一册第三章用户需求书“货物清单明细”的“标的所属行业”一栏为准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（4）小型企业、微型企业、残疾人福利性单位作为优惠主体的认定资料为《中小企业声明函》、《残疾人福利性单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征集文件第一册专用条款第四章“投标（响应）文件组成要求及格式”中“3.投标（响应）供应商情况及资格证明文件”章节提供的格式）。</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（5）享受价格扣除获得政府采购合同的，小微企业不得将合同分包给大中型企业。</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2、关于政府采购订单融资政策</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为深入贯彻落实国家深化政府采购（自行采购）制度改革精神，充分发挥政府采购（自行采购）扶持中小企业发展的政策功能，缓解中小微企业融资难、融资贵的问题，参照《深圳市财政局关于加大力度运用政府采购订单融资政策支持企业发展的通知》要求，参与深圳市政府采购（自行采购）活动供应商可凭借所获取的深圳市政府采购（自行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Calibri" w:eastAsia="宋体" w:hAnsi="Calibri" w:hint="eastAsia"/>
          <w:b/>
          <w:bCs/>
          <w:color w:val="FF0000"/>
          <w:kern w:val="2"/>
          <w:sz w:val="21"/>
          <w:szCs w:val="22"/>
          <w:lang w:eastAsia="zh-CN"/>
        </w:rPr>
      </w:pPr>
      <w:r>
        <w:rPr>
          <w:rFonts w:ascii="Calibri" w:eastAsia="宋体" w:hAnsi="Calibri" w:cstheme="minorBidi" w:hint="eastAsia"/>
          <w:b/>
          <w:bCs/>
          <w:color w:val="FF0000"/>
          <w:kern w:val="2"/>
          <w:sz w:val="21"/>
          <w:szCs w:val="22"/>
          <w:lang w:eastAsia="zh-CN"/>
        </w:rPr>
        <w:t>3、本项目为代理服务项目，将向中标（成交）供应商收取代理服务费。</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中标（成交）供应商在领取《中标（成交）通知书》之前须向深圳公共资源交易中心（深圳交易集团有限公司宝安分公司）交纳代理服务费。若因中标（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）供应商交纳代理服务费所产生的时间影响到合同签订的，由中标（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）供应商自行承担责任。代理服务费标准参照下列标准收取。</w:t>
      </w:r>
      <w:r>
        <w:rPr>
          <w:rFonts w:ascii="Calibri" w:eastAsia="宋体" w:hAnsi="Calibri" w:cstheme="minorBidi" w:hint="eastAsia"/>
          <w:b/>
          <w:color w:val="FF0000"/>
          <w:kern w:val="2"/>
          <w:sz w:val="21"/>
          <w:szCs w:val="22"/>
          <w:lang w:eastAsia="zh-CN"/>
        </w:rPr>
        <w:t>本项目类型为</w:t>
      </w:r>
      <w:r>
        <w:rPr>
          <w:rFonts w:ascii="Calibri" w:eastAsia="宋体" w:hAnsi="Calibri" w:cstheme="minorBidi" w:hint="eastAsia"/>
          <w:b/>
          <w:color w:val="FF0000"/>
          <w:kern w:val="2"/>
          <w:sz w:val="21"/>
          <w:szCs w:val="22"/>
          <w:u w:val="single"/>
          <w:lang w:eastAsia="zh-CN"/>
        </w:rPr>
        <w:t>货物采购</w:t>
      </w:r>
      <w:r>
        <w:rPr>
          <w:rFonts w:ascii="Calibri" w:eastAsia="宋体" w:hAnsi="Calibri" w:cstheme="minorBidi" w:hint="eastAsia"/>
          <w:b/>
          <w:color w:val="FF0000"/>
          <w:kern w:val="2"/>
          <w:sz w:val="21"/>
          <w:szCs w:val="22"/>
          <w:lang w:eastAsia="zh-CN"/>
        </w:rPr>
        <w:t>：</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（1）代理服务费以《中标（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）通知书》确定的中标（成交）金额作为计算基数，按差额定率累进法计算。</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（2）中标（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5"/>
        <w:gridCol w:w="1799"/>
        <w:gridCol w:w="1799"/>
        <w:gridCol w:w="179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）金额</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货物采购</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服务采购</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100万元以下</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1.1%</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0.45%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0.25%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0.25%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0.1%</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1亿元（含）-5亿元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5亿元（含）-10亿元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0.035%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0.035%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10亿元（含）-50亿元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0.006%</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0.006%</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100亿元（含）以上</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0.004%</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0.004%</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0.004%</w:t>
            </w:r>
          </w:p>
        </w:tc>
      </w:tr>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备注：1.每宗交易代理服务费不低于 5000 元；</w:t>
      </w:r>
    </w:p>
    <w:p>
      <w:pPr>
        <w:widowControl w:val="0"/>
        <w:ind w:firstLine="420" w:firstLineChars="200"/>
        <w:jc w:val="both"/>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2"/>
          <w:lang w:eastAsia="zh-CN"/>
        </w:rPr>
        <w:t>2.对于报总价的采购类项目，中标（成交）价为中标（成交）金额；对于报单价、折扣或费率的采购类项目，中标（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color w:val="FF0000"/>
          <w:kern w:val="2"/>
          <w:sz w:val="21"/>
          <w:szCs w:val="22"/>
          <w:lang w:eastAsia="zh-CN"/>
        </w:rPr>
      </w:pP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numPr>
          <w:ilvl w:val="0"/>
          <w:numId w:val="2"/>
        </w:numPr>
        <w:wordWrap w:val="0"/>
        <w:ind w:firstLine="420" w:firstLineChars="200"/>
        <w:jc w:val="both"/>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2"/>
          <w:lang w:eastAsia="zh-CN"/>
        </w:rPr>
        <w:t>中标（成交）供应商中标（成交）后，必须按规定采用银行对公转账方式向深圳交易集团有限公司直接交纳代理服务费，交纳信息及要求按照缴款（付款）通知书执行。</w:t>
      </w:r>
    </w:p>
    <w:p>
      <w:pPr>
        <w:widowControl w:val="0"/>
        <w:numPr>
          <w:ilvl w:val="0"/>
          <w:numId w:val="0"/>
        </w:numPr>
        <w:wordWrap w:val="0"/>
        <w:ind w:left="0" w:firstLine="0"/>
        <w:jc w:val="both"/>
        <w:rPr>
          <w:rFonts w:ascii="Calibri" w:eastAsia="宋体" w:hAnsi="Calibri" w:hint="eastAsia"/>
          <w:b/>
          <w:bCs/>
          <w:kern w:val="2"/>
          <w:sz w:val="21"/>
          <w:szCs w:val="22"/>
          <w:lang w:eastAsia="zh-CN"/>
        </w:rPr>
      </w:pPr>
    </w:p>
    <w:p>
      <w:pPr>
        <w:widowControl/>
        <w:jc w:val="left"/>
        <w:rPr>
          <w:rFonts w:ascii="宋体" w:eastAsia="黑体" w:hAnsi="宋体"/>
          <w:bCs/>
          <w:kern w:val="44"/>
          <w:sz w:val="28"/>
          <w:szCs w:val="44"/>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78"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665"/>
        <w:gridCol w:w="5223"/>
        <w:gridCol w:w="2448"/>
      </w:tblGrid>
      <w:tr>
        <w:tblPrEx>
          <w:tblW w:w="5000" w:type="pct"/>
          <w:jc w:val="center"/>
          <w:tblLayout w:type="fixed"/>
          <w:tblCellMar>
            <w:top w:w="15" w:type="dxa"/>
            <w:left w:w="15" w:type="dxa"/>
            <w:bottom w:w="15" w:type="dxa"/>
            <w:right w:w="15" w:type="dxa"/>
          </w:tblCellMar>
        </w:tblPrEx>
        <w:trPr>
          <w:trHeight w:val="552"/>
          <w:jc w:val="center"/>
        </w:trPr>
        <w:tc>
          <w:tcPr>
            <w:tcW w:w="710" w:type="dxa"/>
            <w:tcBorders>
              <w:top w:val="single" w:sz="4" w:space="0" w:color="000000"/>
              <w:left w:val="single" w:sz="4" w:space="0" w:color="000000"/>
              <w:bottom w:val="single" w:sz="4" w:space="0" w:color="auto"/>
              <w:right w:val="single" w:sz="4" w:space="0" w:color="auto"/>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5599" w:type="dxa"/>
            <w:tcBorders>
              <w:top w:val="single" w:sz="4" w:space="0" w:color="000000"/>
              <w:left w:val="single" w:sz="4" w:space="0" w:color="auto"/>
              <w:bottom w:val="single" w:sz="4" w:space="0" w:color="auto"/>
              <w:right w:val="single" w:sz="4" w:space="0" w:color="000000"/>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采购项目名称</w:t>
            </w:r>
          </w:p>
        </w:tc>
        <w:tc>
          <w:tcPr>
            <w:tcW w:w="2622" w:type="dxa"/>
            <w:tcBorders>
              <w:top w:val="single" w:sz="4" w:space="0" w:color="000000"/>
              <w:left w:val="single" w:sz="4" w:space="0" w:color="000000"/>
              <w:bottom w:val="single" w:sz="4" w:space="0" w:color="auto"/>
              <w:right w:val="single" w:sz="4" w:space="0" w:color="000000"/>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预算金额（元）</w:t>
            </w:r>
          </w:p>
        </w:tc>
      </w:tr>
      <w:tr>
        <w:tblPrEx>
          <w:tblW w:w="5000" w:type="pct"/>
          <w:jc w:val="center"/>
          <w:tblLayout w:type="fixed"/>
          <w:tblCellMar>
            <w:top w:w="15" w:type="dxa"/>
            <w:left w:w="15" w:type="dxa"/>
            <w:bottom w:w="15" w:type="dxa"/>
            <w:right w:w="15" w:type="dxa"/>
          </w:tblCellMar>
        </w:tblPrEx>
        <w:trPr>
          <w:trHeight w:val="1036"/>
          <w:jc w:val="center"/>
        </w:trPr>
        <w:tc>
          <w:tcPr>
            <w:tcW w:w="71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hint="eastAsia"/>
                <w:kern w:val="2"/>
                <w:lang w:eastAsia="zh-CN"/>
              </w:rPr>
            </w:pPr>
            <w:r>
              <w:rPr>
                <w:rFonts w:ascii="宋体" w:eastAsia="宋体" w:hAnsi="宋体" w:cstheme="minorBidi" w:hint="eastAsia"/>
                <w:kern w:val="2"/>
                <w:lang w:eastAsia="zh-CN"/>
              </w:rPr>
              <w:t>1</w:t>
            </w:r>
          </w:p>
        </w:tc>
        <w:tc>
          <w:tcPr>
            <w:tcW w:w="5599" w:type="dxa"/>
            <w:tcBorders>
              <w:top w:val="single" w:sz="4" w:space="0" w:color="auto"/>
              <w:left w:val="single" w:sz="4" w:space="0" w:color="auto"/>
              <w:bottom w:val="single" w:sz="4" w:space="0" w:color="auto"/>
              <w:right w:val="single" w:sz="4" w:space="0" w:color="000000"/>
            </w:tcBorders>
            <w:vAlign w:val="center"/>
          </w:tcPr>
          <w:p>
            <w:pPr>
              <w:widowControl w:val="0"/>
              <w:jc w:val="center"/>
              <w:rPr>
                <w:rFonts w:ascii="Calibri" w:eastAsia="宋体" w:hAnsi="Calibri" w:hint="eastAsia"/>
                <w:kern w:val="2"/>
                <w:sz w:val="21"/>
                <w:szCs w:val="22"/>
                <w:lang w:eastAsia="zh-CN"/>
              </w:rPr>
            </w:pPr>
            <w:r>
              <w:rPr>
                <w:rFonts w:ascii="宋体" w:eastAsia="宋体" w:hAnsi="宋体" w:cstheme="minorBidi" w:hint="eastAsia"/>
                <w:kern w:val="2"/>
                <w:lang w:eastAsia="zh-CN"/>
              </w:rPr>
              <w:t>深圳市宝安区公共卫生服务中心开办新安分中心厨房设备采购项目</w:t>
            </w:r>
          </w:p>
        </w:tc>
        <w:tc>
          <w:tcPr>
            <w:tcW w:w="2622" w:type="dxa"/>
            <w:tcBorders>
              <w:top w:val="single" w:sz="4" w:space="0" w:color="auto"/>
              <w:left w:val="single" w:sz="4" w:space="0" w:color="000000"/>
              <w:bottom w:val="single" w:sz="4" w:space="0" w:color="auto"/>
              <w:right w:val="single" w:sz="4" w:space="0" w:color="auto"/>
            </w:tcBorders>
            <w:vAlign w:val="center"/>
          </w:tcPr>
          <w:p>
            <w:pPr>
              <w:widowControl w:val="0"/>
              <w:jc w:val="center"/>
              <w:rPr>
                <w:rFonts w:ascii="宋体" w:eastAsia="宋体" w:hAnsi="宋体" w:hint="eastAsia"/>
                <w:kern w:val="2"/>
                <w:lang w:eastAsia="zh-CN"/>
              </w:rPr>
            </w:pPr>
            <w:r>
              <w:rPr>
                <w:rFonts w:ascii="仿宋_GB2312" w:eastAsia="仿宋_GB2312" w:hAnsi="华文仿宋" w:cstheme="minorBidi" w:hint="eastAsia"/>
                <w:kern w:val="2"/>
                <w:sz w:val="28"/>
                <w:szCs w:val="28"/>
                <w:lang w:eastAsia="zh-CN"/>
              </w:rPr>
              <w:t>398600.00</w:t>
            </w:r>
          </w:p>
        </w:tc>
      </w:tr>
    </w:tbl>
    <w:p>
      <w:pPr>
        <w:keepNext/>
        <w:keepLines/>
        <w:widowControl w:val="0"/>
        <w:numPr>
          <w:ilvl w:val="0"/>
          <w:numId w:val="3"/>
        </w:numPr>
        <w:tabs>
          <w:tab w:val="left" w:pos="1680"/>
        </w:tabs>
        <w:spacing w:before="260" w:after="78"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货物需求明细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5"/>
        <w:gridCol w:w="2343"/>
        <w:gridCol w:w="586"/>
        <w:gridCol w:w="592"/>
        <w:gridCol w:w="581"/>
        <w:gridCol w:w="747"/>
        <w:gridCol w:w="995"/>
        <w:gridCol w:w="211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31"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137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货物名称（标的名称）</w:t>
            </w:r>
          </w:p>
        </w:tc>
        <w:tc>
          <w:tcPr>
            <w:tcW w:w="34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347"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341"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是否接受进口</w:t>
            </w:r>
          </w:p>
        </w:tc>
        <w:tc>
          <w:tcPr>
            <w:tcW w:w="438"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是否专门面向中小企业</w:t>
            </w:r>
          </w:p>
        </w:tc>
        <w:tc>
          <w:tcPr>
            <w:tcW w:w="584"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标的所属行业</w:t>
            </w:r>
          </w:p>
        </w:tc>
        <w:tc>
          <w:tcPr>
            <w:tcW w:w="1239" w:type="pc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color w:val="FF0000"/>
                <w:kern w:val="2"/>
                <w:sz w:val="21"/>
                <w:szCs w:val="21"/>
                <w:lang w:eastAsia="zh-CN"/>
              </w:rPr>
              <w:t>单价限价金额(元)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w:t>
            </w:r>
          </w:p>
        </w:tc>
        <w:tc>
          <w:tcPr>
            <w:tcW w:w="1373" w:type="pct"/>
            <w:vAlign w:val="center"/>
          </w:tcPr>
          <w:p>
            <w:pPr>
              <w:keepNext w:val="0"/>
              <w:keepLines w:val="0"/>
              <w:widowControl/>
              <w:suppressLineNumbers w:val="0"/>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大单星盆台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restart"/>
            <w:vAlign w:val="center"/>
          </w:tcPr>
          <w:p>
            <w:pPr>
              <w:widowControl w:val="0"/>
              <w:jc w:val="center"/>
              <w:rPr>
                <w:rFonts w:ascii="Calibri" w:eastAsia="宋体" w:hAnsi="Calibri"/>
                <w:b/>
                <w:bCs/>
                <w:kern w:val="2"/>
                <w:sz w:val="21"/>
                <w:szCs w:val="21"/>
                <w:lang w:eastAsia="zh-CN"/>
              </w:rPr>
            </w:pPr>
            <w:r>
              <w:rPr>
                <w:rFonts w:ascii="Calibri" w:eastAsia="宋体" w:hAnsi="Calibri" w:cstheme="minorBidi" w:hint="eastAsia"/>
                <w:b/>
                <w:bCs/>
                <w:color w:val="FF0000"/>
                <w:kern w:val="2"/>
                <w:sz w:val="21"/>
                <w:szCs w:val="21"/>
                <w:lang w:eastAsia="zh-CN"/>
              </w:rPr>
              <w:t>拒绝进口</w:t>
            </w:r>
          </w:p>
        </w:tc>
        <w:tc>
          <w:tcPr>
            <w:tcW w:w="438"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是</w:t>
            </w:r>
          </w:p>
        </w:tc>
        <w:tc>
          <w:tcPr>
            <w:tcW w:w="584"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工业</w:t>
            </w: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3450.00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2</w:t>
            </w:r>
          </w:p>
        </w:tc>
        <w:tc>
          <w:tcPr>
            <w:tcW w:w="1373" w:type="pct"/>
            <w:vAlign w:val="center"/>
          </w:tcPr>
          <w:p>
            <w:pPr>
              <w:keepNext w:val="0"/>
              <w:keepLines w:val="0"/>
              <w:widowControl/>
              <w:suppressLineNumbers w:val="0"/>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大双星盆台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lang w:eastAsia="zh-CN"/>
              </w:rPr>
            </w:pPr>
          </w:p>
        </w:tc>
        <w:tc>
          <w:tcPr>
            <w:tcW w:w="438" w:type="pct"/>
            <w:vMerge/>
            <w:vAlign w:val="center"/>
          </w:tcPr>
          <w:p>
            <w:pPr>
              <w:widowControl w:val="0"/>
              <w:jc w:val="center"/>
              <w:rPr>
                <w:rFonts w:ascii="Calibri" w:eastAsia="宋体" w:hAnsi="Calibri" w:hint="eastAsia"/>
                <w:b/>
                <w:bCs/>
                <w:color w:val="FF0000"/>
                <w:kern w:val="2"/>
                <w:sz w:val="21"/>
                <w:szCs w:val="21"/>
                <w:lang w:eastAsia="zh-CN"/>
              </w:rPr>
            </w:pPr>
          </w:p>
        </w:tc>
        <w:tc>
          <w:tcPr>
            <w:tcW w:w="584" w:type="pct"/>
            <w:vMerge/>
            <w:vAlign w:val="center"/>
          </w:tcPr>
          <w:p>
            <w:pPr>
              <w:widowControl w:val="0"/>
              <w:jc w:val="center"/>
              <w:rPr>
                <w:rFonts w:ascii="Calibri" w:eastAsia="宋体" w:hAnsi="Calibri" w:hint="eastAsia"/>
                <w:b/>
                <w:bCs/>
                <w:color w:val="FF0000"/>
                <w:kern w:val="2"/>
                <w:sz w:val="21"/>
                <w:szCs w:val="21"/>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3380.00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3</w:t>
            </w:r>
          </w:p>
        </w:tc>
        <w:tc>
          <w:tcPr>
            <w:tcW w:w="1373" w:type="pct"/>
            <w:vAlign w:val="center"/>
          </w:tcPr>
          <w:p>
            <w:pPr>
              <w:keepNext w:val="0"/>
              <w:keepLines w:val="0"/>
              <w:widowControl/>
              <w:suppressLineNumbers w:val="0"/>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留样雪柜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kern w:val="2"/>
                <w:sz w:val="21"/>
                <w:szCs w:val="21"/>
                <w:lang w:eastAsia="zh-CN"/>
              </w:rPr>
            </w:pPr>
          </w:p>
        </w:tc>
        <w:tc>
          <w:tcPr>
            <w:tcW w:w="438" w:type="pct"/>
            <w:vMerge/>
            <w:vAlign w:val="center"/>
          </w:tcPr>
          <w:p>
            <w:pPr>
              <w:widowControl w:val="0"/>
              <w:jc w:val="center"/>
              <w:rPr>
                <w:rFonts w:ascii="Calibri" w:eastAsia="宋体" w:hAnsi="Calibri" w:hint="eastAsia"/>
                <w:b/>
                <w:bCs/>
                <w:kern w:val="2"/>
                <w:sz w:val="21"/>
                <w:szCs w:val="21"/>
                <w:lang w:eastAsia="zh-CN"/>
              </w:rPr>
            </w:pPr>
          </w:p>
        </w:tc>
        <w:tc>
          <w:tcPr>
            <w:tcW w:w="584" w:type="pct"/>
            <w:vMerge/>
            <w:vAlign w:val="center"/>
          </w:tcPr>
          <w:p>
            <w:pPr>
              <w:widowControl w:val="0"/>
              <w:jc w:val="center"/>
              <w:rPr>
                <w:rFonts w:ascii="Calibri" w:eastAsia="宋体" w:hAnsi="Calibri" w:hint="eastAsia"/>
                <w:b/>
                <w:bCs/>
                <w:kern w:val="2"/>
                <w:sz w:val="21"/>
                <w:szCs w:val="21"/>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3417.00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4</w:t>
            </w:r>
          </w:p>
        </w:tc>
        <w:tc>
          <w:tcPr>
            <w:tcW w:w="1373" w:type="pct"/>
            <w:vAlign w:val="center"/>
          </w:tcPr>
          <w:p>
            <w:pPr>
              <w:keepNext w:val="0"/>
              <w:keepLines w:val="0"/>
              <w:widowControl/>
              <w:suppressLineNumbers w:val="0"/>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工作台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lang w:eastAsia="zh-CN"/>
              </w:rPr>
            </w:pPr>
          </w:p>
        </w:tc>
        <w:tc>
          <w:tcPr>
            <w:tcW w:w="438" w:type="pct"/>
            <w:vMerge/>
            <w:vAlign w:val="center"/>
          </w:tcPr>
          <w:p>
            <w:pPr>
              <w:widowControl w:val="0"/>
              <w:jc w:val="center"/>
              <w:rPr>
                <w:rFonts w:ascii="Calibri" w:eastAsia="宋体" w:hAnsi="Calibri" w:hint="eastAsia"/>
                <w:b/>
                <w:bCs/>
                <w:kern w:val="2"/>
                <w:sz w:val="21"/>
                <w:szCs w:val="21"/>
                <w:lang w:eastAsia="zh-CN"/>
              </w:rPr>
            </w:pPr>
          </w:p>
        </w:tc>
        <w:tc>
          <w:tcPr>
            <w:tcW w:w="584" w:type="pct"/>
            <w:vMerge/>
            <w:vAlign w:val="center"/>
          </w:tcPr>
          <w:p>
            <w:pPr>
              <w:widowControl w:val="0"/>
              <w:jc w:val="center"/>
              <w:rPr>
                <w:rFonts w:ascii="Calibri" w:eastAsia="宋体" w:hAnsi="Calibri" w:hint="eastAsia"/>
                <w:b/>
                <w:bCs/>
                <w:kern w:val="2"/>
                <w:sz w:val="21"/>
                <w:szCs w:val="21"/>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2686.00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四门冷藏冷冻冰箱</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9171.00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双层工作台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2686.00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工作台柜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5836.00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地架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1847.00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板架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2540.00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挂墙单洗手星盆1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1156.00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洗地龙头</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3612.00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灶头灭火装置</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16635.00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燃气单头平头炉</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6762.00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燃气单门蒸柜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12184.00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燃气单头大炒炉</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12139.00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燃气单头小炒炉</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11176.00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燃气双头煲仔炉</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4800.00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油网烟罩连灯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2310.00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489.00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刀具砧板消毒柜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8650.00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程控数显商用电开水器1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1611.00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拼板3</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挂墙单洗手星盆2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1156.00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单星盆台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2557.00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面粉台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2718.00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面粉车</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平台雪柜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5337.00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食品添加剂柜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2408.00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挂墙吊柜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3900.00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煎饼炉</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2460.00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双层四盘电炉下连八盘钢醒发箱</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6521.00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油网烟罩</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1993.00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饼盘车</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3057.00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压面机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3927.00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搅拌机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6948.00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双动和面机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8180.00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回收台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1200.00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星盆台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3450.00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程控数显商用电开水器2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1611.00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方通架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2240.00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热循环风高温消毒柜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6464.00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方形工作台柜1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3600.00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电热保温柜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6575.00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保温汤饭桶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4446.00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托板</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3603.00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方形工作台柜2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3700.00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厨余回收柜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5088.00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平板推车</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灭蝇灯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566.00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紫外线消毒灯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497.00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风幕机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不锈钢板</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630.00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隔油网</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食品温度测量计</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支</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磅称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488.00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白胶桶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保鲜盒</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周转箱1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72.00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铁耳菜筐</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电饭锅</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生铁锅1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268.00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生铁锅2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白色塑料圆胶砧板</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457.00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290.00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圆汤桶3</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长方形脚踩式垃圾桶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片刀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猪肉刀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骨刀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弯刀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不锈钢长柄炸厘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木柄漏壳</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出口装钢炸厘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宽边油格</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柄耳钢复底煎锅</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295.00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喷火枪</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油石</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耐高热手套1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脚踏式胶垃圾桶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开罐器</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长方筲箕</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钢多用刨</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味盅1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味盅2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钢炒壳</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2号钢炒铲</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汤袋</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扎</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不锈钢蒸饭盆</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不锈钢蒸包盆</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124.00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不锈钢菜盘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份数盆连盖</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冲孔钢蒸笼</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长面刀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厨秤</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382.00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台秤</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191.00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土司盒（不粘）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锯（黑塑料柄）</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铝饼盘烤盘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长杆</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中号苏棍</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煎蛋器（固定柄）</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厨师细牙刀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煎铲</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支</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喷壶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支</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上钢边笼</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印花防油纸杯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羊毛刷1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胶刮板</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胶量杯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羊毛刷2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条</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红木刮刀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耐高热手套2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75.00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不锈钢水刮</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地刷套装</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72.00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周转箱2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白色半筒水鞋</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74.00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单桶榨水车</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钢玻璃刮连夹</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餐盘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9.10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筷子</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半圆食品夹</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圆形食品夹</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搁盘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长孔厨匙</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圆形打菜勺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打饭勺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真空保温壶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方形防滑托盘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圆形防滑托盘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四方翘脚碗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汤锅（玻璃盖）</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双耳汤炉碗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带盖汤盘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小菜蝶1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小菜蝶2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长形盘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装菜碗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大号拌面碗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鼓型小碗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螺纹碗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树叶碟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船型盘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四方碟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酱碗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钢盆</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异形带格盘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锅架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汤壳</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支</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漏壳</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支</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汤锅</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自助调料碟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水杯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防烫碟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蒸菜碗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边深碗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球形大盘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调料汤匙</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水壶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菜盒1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菜盒2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单门消毒柜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2200.00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油烟净化器</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15852.00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172</w:t>
            </w:r>
          </w:p>
        </w:tc>
        <w:tc>
          <w:tcPr>
            <w:tcW w:w="1373" w:type="pct"/>
            <w:vAlign w:val="center"/>
          </w:tcPr>
          <w:p>
            <w:pPr>
              <w:keepNext w:val="0"/>
              <w:keepLines w:val="0"/>
              <w:widowControl/>
              <w:suppressLineNumbers w:val="0"/>
              <w:jc w:val="both"/>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燃气管道系统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等线" w:eastAsia="等线" w:hAnsi="等线" w:cs="等线"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等线" w:eastAsia="等线" w:hAnsi="等线" w:cs="等线"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color w:val="000000"/>
                <w:kern w:val="2"/>
                <w:sz w:val="22"/>
                <w:szCs w:val="22"/>
                <w:lang w:eastAsia="zh-CN" w:bidi="ar"/>
              </w:rPr>
            </w:pPr>
            <w:r>
              <w:rPr>
                <w:rFonts w:ascii="等线" w:eastAsia="等线" w:hAnsi="等线" w:cs="等线" w:hint="eastAsia"/>
                <w:color w:val="000000"/>
                <w:sz w:val="22"/>
                <w:szCs w:val="22"/>
                <w:lang w:eastAsia="zh-CN" w:bidi="ar"/>
              </w:rPr>
              <w:t>58122.00</w:t>
            </w:r>
          </w:p>
        </w:tc>
      </w:tr>
    </w:tbl>
    <w:p>
      <w:pPr>
        <w:widowControl w:val="0"/>
        <w:numPr>
          <w:ilvl w:val="0"/>
          <w:numId w:val="0"/>
        </w:numPr>
        <w:spacing w:before="260" w:after="260" w:line="240" w:lineRule="auto"/>
        <w:ind w:left="0" w:firstLine="0"/>
        <w:jc w:val="both"/>
        <w:outlineLvl w:val="2"/>
        <w:rPr>
          <w:rFonts w:ascii="宋体" w:eastAsia="宋体" w:hAnsi="宋体"/>
          <w:kern w:val="2"/>
          <w:sz w:val="21"/>
          <w:szCs w:val="32"/>
          <w:lang w:eastAsia="zh-CN"/>
        </w:rPr>
      </w:pP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 xml:space="preserve">备注：1.备注栏注明“拒绝进口”的产品不接受投标（响应）供应商选用进口产品参与投标（响应）；注明“接受进口”的产品允许投标（响应）供应商选用进口产品参与投标（响应），但不排斥国内产品。 </w:t>
      </w:r>
    </w:p>
    <w:p>
      <w:pPr>
        <w:widowControl w:val="0"/>
        <w:numPr>
          <w:ilvl w:val="0"/>
          <w:numId w:val="4"/>
        </w:numPr>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4"/>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★如注明有单价限价金额的产品，投标（响应）供应商对该产品的单价报价不得超过单价限价金额，否则将作投标</w:t>
      </w:r>
      <w:r>
        <w:rPr>
          <w:rFonts w:ascii="宋体" w:eastAsia="宋体" w:hAnsi="宋体" w:cstheme="minorBidi" w:hint="eastAsia"/>
          <w:b/>
          <w:color w:val="FF0000"/>
          <w:kern w:val="2"/>
          <w:sz w:val="21"/>
          <w:szCs w:val="21"/>
          <w:lang w:eastAsia="zh-CN"/>
        </w:rPr>
        <w:t>（响应）</w:t>
      </w:r>
      <w:r>
        <w:rPr>
          <w:rFonts w:ascii="宋体" w:eastAsia="宋体" w:hAnsi="宋体" w:hint="eastAsia"/>
          <w:b/>
          <w:color w:val="FF0000"/>
          <w:kern w:val="2"/>
          <w:sz w:val="21"/>
          <w:szCs w:val="21"/>
          <w:lang w:eastAsia="zh-CN"/>
        </w:rPr>
        <w:t>无效处理。</w:t>
      </w:r>
    </w:p>
    <w:p>
      <w:pPr>
        <w:widowControl w:val="0"/>
        <w:numPr>
          <w:ilvl w:val="0"/>
          <w:numId w:val="4"/>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widowControl w:val="0"/>
        <w:ind w:firstLine="420" w:firstLineChars="200"/>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1"/>
          <w:lang w:eastAsia="zh-CN"/>
        </w:rPr>
        <w:t>5、本项目核心产品为：</w:t>
      </w:r>
      <w:r>
        <w:rPr>
          <w:rFonts w:ascii="宋体" w:eastAsia="宋体" w:hAnsi="宋体" w:cstheme="minorBidi" w:hint="eastAsia"/>
          <w:b/>
          <w:color w:val="FF0000"/>
          <w:kern w:val="2"/>
          <w:sz w:val="21"/>
          <w:szCs w:val="21"/>
          <w:u w:val="single"/>
          <w:lang w:eastAsia="zh-CN"/>
        </w:rPr>
        <w:t xml:space="preserve">  51、紫外线消毒灯  </w:t>
      </w:r>
      <w:r>
        <w:rPr>
          <w:rFonts w:ascii="宋体" w:eastAsia="宋体" w:hAnsi="宋体" w:cstheme="minorBidi" w:hint="eastAsia"/>
          <w:b/>
          <w:color w:val="FF0000"/>
          <w:kern w:val="2"/>
          <w:sz w:val="21"/>
          <w:szCs w:val="21"/>
          <w:lang w:eastAsia="zh-CN"/>
        </w:rPr>
        <w:t>。</w:t>
      </w:r>
    </w:p>
    <w:p>
      <w:pPr>
        <w:widowControl w:val="0"/>
        <w:ind w:firstLine="420" w:firstLineChars="200"/>
        <w:jc w:val="both"/>
        <w:rPr>
          <w:rFonts w:ascii="Calibri" w:eastAsia="宋体" w:hAnsi="Calibri"/>
          <w:color w:val="FF0000"/>
          <w:kern w:val="2"/>
          <w:sz w:val="21"/>
          <w:szCs w:val="22"/>
          <w:lang w:eastAsia="zh-CN"/>
        </w:rPr>
      </w:pPr>
    </w:p>
    <w:p>
      <w:pPr>
        <w:widowControl w:val="0"/>
        <w:ind w:firstLine="420" w:firstLineChars="200"/>
        <w:jc w:val="both"/>
        <w:rPr>
          <w:rFonts w:ascii="Calibri" w:eastAsia="宋体" w:hAnsi="Calibri"/>
          <w:color w:val="FF0000"/>
          <w:kern w:val="2"/>
          <w:sz w:val="21"/>
          <w:szCs w:val="22"/>
          <w:lang w:eastAsia="zh-CN"/>
        </w:rPr>
      </w:pPr>
    </w:p>
    <w:p>
      <w:pPr>
        <w:keepNext/>
        <w:keepLines/>
        <w:widowControl w:val="0"/>
        <w:tabs>
          <w:tab w:val="left" w:pos="1680"/>
        </w:tabs>
        <w:spacing w:before="260" w:after="78" w:afterLines="25"/>
        <w:jc w:val="center"/>
        <w:outlineLvl w:val="2"/>
        <w:rPr>
          <w:rFonts w:ascii="Arial" w:eastAsia="宋体" w:hAnsi="Arial" w:hint="eastAsia"/>
          <w:b/>
          <w:bCs/>
          <w:kern w:val="2"/>
          <w:sz w:val="32"/>
          <w:szCs w:val="32"/>
          <w:lang w:eastAsia="zh-CN"/>
        </w:rPr>
      </w:pPr>
      <w:bookmarkStart w:id="12" w:name="_Toc128884461"/>
      <w:r>
        <w:rPr>
          <w:rFonts w:ascii="Arial" w:eastAsia="宋体" w:hAnsi="Arial" w:hint="eastAsia"/>
          <w:b/>
          <w:bCs/>
          <w:kern w:val="2"/>
          <w:sz w:val="32"/>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
        <w:gridCol w:w="778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483"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483" w:type="dxa"/>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本项目征集文件中所有带★号条款内容</w:t>
            </w:r>
          </w:p>
        </w:tc>
      </w:tr>
      <w:bookmarkEnd w:id="12"/>
    </w:tbl>
    <w:p>
      <w:pPr>
        <w:widowControl w:val="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注：上表所列内容为不可负偏离条款，负偏离将视为未实质性满足征集文件要求作投标无效处理。</w:t>
      </w:r>
    </w:p>
    <w:p>
      <w:pPr>
        <w:widowControl w:val="0"/>
        <w:spacing w:line="360" w:lineRule="auto"/>
        <w:jc w:val="both"/>
        <w:rPr>
          <w:rFonts w:ascii="Calibri" w:eastAsia="宋体" w:hAnsi="Calibri"/>
          <w:b/>
          <w:bCs/>
          <w:kern w:val="2"/>
          <w:szCs w:val="22"/>
          <w:lang w:eastAsia="zh-CN"/>
        </w:rPr>
      </w:pPr>
    </w:p>
    <w:p>
      <w:pPr>
        <w:keepNext/>
        <w:keepLines/>
        <w:widowControl w:val="0"/>
        <w:tabs>
          <w:tab w:val="left" w:pos="1680"/>
        </w:tabs>
        <w:spacing w:before="260" w:after="78" w:afterLines="25"/>
        <w:jc w:val="center"/>
        <w:outlineLvl w:val="2"/>
        <w:rPr>
          <w:rFonts w:ascii="Arial" w:eastAsia="宋体" w:hAnsi="Arial" w:hint="eastAsia"/>
          <w:b/>
          <w:bCs/>
          <w:kern w:val="2"/>
          <w:sz w:val="32"/>
          <w:szCs w:val="32"/>
          <w:lang w:eastAsia="zh-CN"/>
        </w:rPr>
      </w:pPr>
    </w:p>
    <w:p>
      <w:pPr>
        <w:widowControl w:val="0"/>
        <w:ind w:firstLine="420" w:firstLineChars="20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keepNext/>
        <w:keepLines/>
        <w:widowControl w:val="0"/>
        <w:tabs>
          <w:tab w:val="left" w:pos="1680"/>
        </w:tabs>
        <w:spacing w:before="260" w:after="78" w:afterLines="25"/>
        <w:jc w:val="center"/>
        <w:outlineLvl w:val="2"/>
        <w:rPr>
          <w:rFonts w:ascii="Arial" w:eastAsia="宋体" w:hAnsi="Arial" w:hint="eastAsia"/>
          <w:b/>
          <w:bCs/>
          <w:color w:val="FF0000"/>
          <w:kern w:val="2"/>
          <w:sz w:val="32"/>
          <w:szCs w:val="32"/>
          <w:lang w:eastAsia="zh-CN"/>
        </w:rPr>
      </w:pPr>
    </w:p>
    <w:p>
      <w:pPr>
        <w:keepNext/>
        <w:keepLines/>
        <w:widowControl w:val="0"/>
        <w:tabs>
          <w:tab w:val="left" w:pos="1680"/>
        </w:tabs>
        <w:spacing w:before="260" w:after="78" w:afterLines="25"/>
        <w:jc w:val="center"/>
        <w:outlineLvl w:val="2"/>
        <w:rPr>
          <w:rFonts w:ascii="Calibri" w:eastAsia="宋体" w:hAnsi="Calibri"/>
          <w:b/>
          <w:color w:val="FF0000"/>
          <w:kern w:val="2"/>
          <w:sz w:val="21"/>
          <w:szCs w:val="22"/>
          <w:lang w:eastAsia="zh-CN"/>
        </w:rPr>
      </w:pPr>
      <w:r>
        <w:rPr>
          <w:rFonts w:ascii="Arial" w:eastAsia="宋体" w:hAnsi="Arial" w:hint="eastAsia"/>
          <w:b/>
          <w:bCs/>
          <w:color w:val="FF0000"/>
          <w:kern w:val="2"/>
          <w:sz w:val="32"/>
          <w:szCs w:val="32"/>
          <w:lang w:eastAsia="zh-CN"/>
        </w:rPr>
        <w:t>★四、商务要求</w:t>
      </w:r>
    </w:p>
    <w:p>
      <w:pPr>
        <w:widowControl w:val="0"/>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本部分内容为项目正常开展的基本要求，均为★号条款要求，不作为评分准则中的评分内容，如未响应或出现负偏离的，将作投标（响应）无效处理；</w:t>
      </w:r>
    </w:p>
    <w:p>
      <w:pPr>
        <w:widowControl w:val="0"/>
        <w:spacing w:after="78" w:afterLines="25" w:line="300" w:lineRule="auto"/>
        <w:jc w:val="both"/>
        <w:rPr>
          <w:rFonts w:ascii="Arial" w:eastAsia="宋体" w:hAnsi="Arial"/>
          <w:kern w:val="2"/>
          <w:sz w:val="21"/>
          <w:lang w:eastAsia="zh-CN"/>
        </w:rPr>
      </w:pPr>
    </w:p>
    <w:tbl>
      <w:tblPr>
        <w:tblStyle w:val="TableNormal"/>
        <w:tblpPr w:leftFromText="180" w:rightFromText="180" w:vertAnchor="text" w:horzAnchor="page" w:tblpX="1900" w:tblpY="130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8"/>
        <w:gridCol w:w="1412"/>
        <w:gridCol w:w="629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840"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序号</w:t>
            </w:r>
          </w:p>
        </w:tc>
        <w:tc>
          <w:tcPr>
            <w:tcW w:w="1457"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商务需求项</w:t>
            </w:r>
          </w:p>
        </w:tc>
        <w:tc>
          <w:tcPr>
            <w:tcW w:w="6523"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招标商务要求</w:t>
            </w:r>
          </w:p>
        </w:tc>
      </w:tr>
      <w:tr>
        <w:tblPrEx>
          <w:tblW w:w="5000" w:type="pct"/>
          <w:tblInd w:w="0" w:type="dxa"/>
          <w:tblLayout w:type="fixed"/>
          <w:tblCellMar>
            <w:top w:w="0" w:type="dxa"/>
            <w:left w:w="108" w:type="dxa"/>
            <w:bottom w:w="0" w:type="dxa"/>
            <w:right w:w="108" w:type="dxa"/>
          </w:tblCellMar>
        </w:tblPrEx>
        <w:trPr>
          <w:trHeight w:val="280"/>
        </w:trPr>
        <w:tc>
          <w:tcPr>
            <w:tcW w:w="8820" w:type="dxa"/>
            <w:gridSpan w:val="3"/>
            <w:noWrap w:val="0"/>
            <w:vAlign w:val="top"/>
          </w:tcPr>
          <w:p>
            <w:pPr>
              <w:widowControl w:val="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（一）免费保修期内售后服务要求</w:t>
            </w:r>
          </w:p>
        </w:tc>
      </w:tr>
      <w:tr>
        <w:tblPrEx>
          <w:tblW w:w="5000" w:type="pct"/>
          <w:tblInd w:w="0" w:type="dxa"/>
          <w:tblLayout w:type="fixed"/>
          <w:tblCellMar>
            <w:top w:w="0" w:type="dxa"/>
            <w:left w:w="108" w:type="dxa"/>
            <w:bottom w:w="0" w:type="dxa"/>
            <w:right w:w="108" w:type="dxa"/>
          </w:tblCellMar>
        </w:tblPrEx>
        <w:trPr>
          <w:trHeight w:val="317"/>
        </w:trPr>
        <w:tc>
          <w:tcPr>
            <w:tcW w:w="840"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1</w:t>
            </w:r>
          </w:p>
        </w:tc>
        <w:tc>
          <w:tcPr>
            <w:tcW w:w="1457" w:type="dxa"/>
            <w:noWrap w:val="0"/>
            <w:vAlign w:val="top"/>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维修响应及故障解决时间</w:t>
            </w:r>
          </w:p>
        </w:tc>
        <w:tc>
          <w:tcPr>
            <w:tcW w:w="6523" w:type="dxa"/>
            <w:noWrap w:val="0"/>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bCs/>
                <w:kern w:val="2"/>
                <w:sz w:val="21"/>
                <w:szCs w:val="21"/>
                <w:lang w:eastAsia="zh-CN"/>
              </w:rPr>
              <w:t>在免费保修期内，一旦发生质量问题，中标人保证在接到通知</w:t>
            </w: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小时内赶到现场进行修理或更换。</w:t>
            </w:r>
          </w:p>
        </w:tc>
      </w:tr>
      <w:tr>
        <w:tblPrEx>
          <w:tblW w:w="5000" w:type="pct"/>
          <w:tblInd w:w="0" w:type="dxa"/>
          <w:tblLayout w:type="fixed"/>
          <w:tblCellMar>
            <w:top w:w="0" w:type="dxa"/>
            <w:left w:w="108" w:type="dxa"/>
            <w:bottom w:w="0" w:type="dxa"/>
            <w:right w:w="108" w:type="dxa"/>
          </w:tblCellMar>
        </w:tblPrEx>
        <w:trPr>
          <w:trHeight w:val="320"/>
        </w:trPr>
        <w:tc>
          <w:tcPr>
            <w:tcW w:w="840" w:type="dxa"/>
            <w:vMerge w:val="restart"/>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1457" w:type="dxa"/>
            <w:vMerge w:val="restart"/>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免费保修期</w:t>
            </w:r>
          </w:p>
        </w:tc>
        <w:tc>
          <w:tcPr>
            <w:tcW w:w="6523" w:type="dxa"/>
            <w:noWrap w:val="0"/>
            <w:vAlign w:val="top"/>
          </w:tcPr>
          <w:p>
            <w:pPr>
              <w:widowControl w:val="0"/>
              <w:jc w:val="both"/>
              <w:rPr>
                <w:rFonts w:ascii="Calibri" w:eastAsia="宋体" w:hAnsi="Calibri"/>
                <w:b/>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bCs/>
                <w:kern w:val="2"/>
                <w:sz w:val="21"/>
                <w:szCs w:val="21"/>
                <w:lang w:eastAsia="zh-CN"/>
              </w:rPr>
              <w:t>.</w:t>
            </w:r>
            <w:r>
              <w:rPr>
                <w:rFonts w:ascii="Calibri" w:eastAsia="宋体" w:hAnsi="Calibri" w:cstheme="minorBidi" w:hint="eastAsia"/>
                <w:bCs/>
                <w:kern w:val="2"/>
                <w:sz w:val="21"/>
                <w:szCs w:val="21"/>
                <w:lang w:eastAsia="zh-CN"/>
              </w:rPr>
              <w:t>货物免费保修期</w:t>
            </w:r>
            <w:r>
              <w:rPr>
                <w:rFonts w:ascii="Calibri" w:eastAsia="宋体" w:hAnsi="Calibri" w:cstheme="minorBidi" w:hint="eastAsia"/>
                <w:bCs/>
                <w:kern w:val="2"/>
                <w:sz w:val="21"/>
                <w:szCs w:val="21"/>
                <w:u w:val="single"/>
                <w:lang w:eastAsia="zh-CN"/>
              </w:rPr>
              <w:t xml:space="preserve">  1  </w:t>
            </w:r>
            <w:r>
              <w:rPr>
                <w:rFonts w:ascii="Calibri" w:eastAsia="宋体" w:hAnsi="Calibri" w:cstheme="minorBidi" w:hint="eastAsia"/>
                <w:bCs/>
                <w:kern w:val="2"/>
                <w:sz w:val="21"/>
                <w:szCs w:val="21"/>
                <w:lang w:eastAsia="zh-CN"/>
              </w:rPr>
              <w:t>年，时间自最终验收合格并交付使用之日起计算。</w:t>
            </w:r>
          </w:p>
        </w:tc>
      </w:tr>
      <w:tr>
        <w:tblPrEx>
          <w:tblW w:w="5000" w:type="pct"/>
          <w:tblInd w:w="0" w:type="dxa"/>
          <w:tblLayout w:type="fixed"/>
          <w:tblCellMar>
            <w:top w:w="0" w:type="dxa"/>
            <w:left w:w="108" w:type="dxa"/>
            <w:bottom w:w="0" w:type="dxa"/>
            <w:right w:w="108" w:type="dxa"/>
          </w:tblCellMar>
        </w:tblPrEx>
        <w:trPr>
          <w:trHeight w:val="523"/>
        </w:trPr>
        <w:tc>
          <w:tcPr>
            <w:tcW w:w="840" w:type="dxa"/>
            <w:vMerge/>
            <w:noWrap w:val="0"/>
            <w:vAlign w:val="center"/>
          </w:tcPr>
          <w:p>
            <w:pPr>
              <w:widowControl w:val="0"/>
              <w:jc w:val="center"/>
              <w:rPr>
                <w:rFonts w:ascii="Calibri" w:eastAsia="宋体" w:hAnsi="Calibri"/>
                <w:b/>
                <w:kern w:val="2"/>
                <w:sz w:val="21"/>
                <w:szCs w:val="22"/>
                <w:lang w:eastAsia="zh-CN"/>
              </w:rPr>
            </w:pPr>
          </w:p>
        </w:tc>
        <w:tc>
          <w:tcPr>
            <w:tcW w:w="1457" w:type="dxa"/>
            <w:vMerge/>
            <w:noWrap w:val="0"/>
            <w:vAlign w:val="center"/>
          </w:tcPr>
          <w:p>
            <w:pPr>
              <w:widowControl w:val="0"/>
              <w:jc w:val="both"/>
              <w:rPr>
                <w:rFonts w:ascii="Calibri" w:eastAsia="宋体" w:hAnsi="Calibri"/>
                <w:kern w:val="2"/>
                <w:sz w:val="21"/>
                <w:szCs w:val="22"/>
                <w:lang w:eastAsia="zh-CN"/>
              </w:rPr>
            </w:pPr>
          </w:p>
        </w:tc>
        <w:tc>
          <w:tcPr>
            <w:tcW w:w="6523" w:type="dxa"/>
            <w:noWrap w:val="0"/>
            <w:vAlign w:val="center"/>
          </w:tcPr>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r>
              <w:rPr>
                <w:rFonts w:ascii="Calibri" w:eastAsia="宋体" w:hAnsi="Calibri" w:cstheme="minorBidi"/>
                <w:bCs/>
                <w:kern w:val="2"/>
                <w:sz w:val="21"/>
                <w:szCs w:val="21"/>
                <w:lang w:eastAsia="zh-CN"/>
              </w:rPr>
              <w:t>.</w:t>
            </w:r>
            <w:r>
              <w:rPr>
                <w:rFonts w:ascii="Calibri" w:eastAsia="宋体" w:hAnsi="Calibri" w:cstheme="minorBidi" w:hint="eastAsia"/>
                <w:bCs/>
                <w:kern w:val="2"/>
                <w:sz w:val="21"/>
                <w:szCs w:val="21"/>
                <w:lang w:eastAsia="zh-CN"/>
              </w:rPr>
              <w:t>免费保修期内，</w:t>
            </w:r>
            <w:r>
              <w:rPr>
                <w:rFonts w:ascii="Calibri" w:eastAsia="宋体" w:hAnsi="Calibri" w:cstheme="minorBidi" w:hint="eastAsia"/>
                <w:color w:val="000000"/>
                <w:kern w:val="2"/>
                <w:sz w:val="21"/>
                <w:szCs w:val="21"/>
                <w:lang w:eastAsia="zh-CN"/>
              </w:rPr>
              <w:t>所有服务及配件全部免费。</w:t>
            </w:r>
          </w:p>
        </w:tc>
      </w:tr>
      <w:tr>
        <w:tblPrEx>
          <w:tblW w:w="5000" w:type="pct"/>
          <w:tblInd w:w="0" w:type="dxa"/>
          <w:tblLayout w:type="fixed"/>
          <w:tblCellMar>
            <w:top w:w="0" w:type="dxa"/>
            <w:left w:w="108" w:type="dxa"/>
            <w:bottom w:w="0" w:type="dxa"/>
            <w:right w:w="108" w:type="dxa"/>
          </w:tblCellMar>
        </w:tblPrEx>
        <w:trPr>
          <w:trHeight w:val="523"/>
        </w:trPr>
        <w:tc>
          <w:tcPr>
            <w:tcW w:w="840"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4</w:t>
            </w:r>
          </w:p>
        </w:tc>
        <w:tc>
          <w:tcPr>
            <w:tcW w:w="1457"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kern w:val="2"/>
                <w:sz w:val="21"/>
                <w:szCs w:val="21"/>
                <w:lang w:eastAsia="zh-CN"/>
              </w:rPr>
              <w:t>安装调试</w:t>
            </w:r>
          </w:p>
        </w:tc>
        <w:tc>
          <w:tcPr>
            <w:tcW w:w="6523" w:type="dxa"/>
            <w:noWrap w:val="0"/>
            <w:vAlign w:val="center"/>
          </w:tcPr>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投标人应派有经验的技术人员到现场进行安装、调试，直到设备正常使用。</w:t>
            </w:r>
          </w:p>
        </w:tc>
      </w:tr>
      <w:tr>
        <w:tblPrEx>
          <w:tblW w:w="5000" w:type="pct"/>
          <w:tblInd w:w="0" w:type="dxa"/>
          <w:tblLayout w:type="fixed"/>
          <w:tblCellMar>
            <w:top w:w="0" w:type="dxa"/>
            <w:left w:w="108" w:type="dxa"/>
            <w:bottom w:w="0" w:type="dxa"/>
            <w:right w:w="108" w:type="dxa"/>
          </w:tblCellMar>
        </w:tblPrEx>
        <w:trPr>
          <w:trHeight w:val="454"/>
        </w:trPr>
        <w:tc>
          <w:tcPr>
            <w:tcW w:w="8820" w:type="dxa"/>
            <w:gridSpan w:val="3"/>
            <w:noWrap w:val="0"/>
            <w:vAlign w:val="center"/>
          </w:tcPr>
          <w:p>
            <w:pPr>
              <w:widowControl w:val="0"/>
              <w:spacing w:line="360" w:lineRule="exact"/>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（二）免费保修期外售后服务要求</w:t>
            </w:r>
          </w:p>
        </w:tc>
      </w:tr>
      <w:tr>
        <w:tblPrEx>
          <w:tblW w:w="5000" w:type="pct"/>
          <w:tblInd w:w="0"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1</w:t>
            </w:r>
          </w:p>
        </w:tc>
        <w:tc>
          <w:tcPr>
            <w:tcW w:w="1457" w:type="dxa"/>
            <w:noWrap w:val="0"/>
            <w:vAlign w:val="center"/>
          </w:tcPr>
          <w:p>
            <w:pPr>
              <w:widowControl w:val="0"/>
              <w:spacing w:line="360" w:lineRule="exact"/>
              <w:jc w:val="center"/>
              <w:rPr>
                <w:rFonts w:ascii="宋体" w:eastAsia="宋体" w:hAnsi="宋体"/>
                <w:b/>
                <w:color w:val="000000"/>
                <w:kern w:val="2"/>
                <w:sz w:val="20"/>
                <w:szCs w:val="20"/>
                <w:lang w:eastAsia="zh-CN"/>
              </w:rPr>
            </w:pPr>
            <w:r>
              <w:rPr>
                <w:rFonts w:ascii="宋体" w:eastAsia="宋体" w:hAnsi="宋体" w:cs="宋体" w:hint="eastAsia"/>
                <w:b/>
                <w:bCs/>
                <w:color w:val="000000"/>
                <w:kern w:val="2"/>
                <w:sz w:val="20"/>
                <w:szCs w:val="20"/>
                <w:lang w:eastAsia="zh-CN"/>
              </w:rPr>
              <w:t>维修零配件、消耗品和延续保修合同的报价</w:t>
            </w:r>
          </w:p>
        </w:tc>
        <w:tc>
          <w:tcPr>
            <w:tcW w:w="6523" w:type="dxa"/>
            <w:noWrap w:val="0"/>
            <w:vAlign w:val="center"/>
          </w:tcPr>
          <w:p>
            <w:pPr>
              <w:widowControl w:val="0"/>
              <w:spacing w:line="240" w:lineRule="auto"/>
              <w:jc w:val="both"/>
              <w:rPr>
                <w:rFonts w:ascii="宋体" w:eastAsia="宋体" w:hAnsi="宋体"/>
                <w:b/>
                <w:color w:val="000000"/>
                <w:kern w:val="2"/>
                <w:sz w:val="21"/>
                <w:szCs w:val="22"/>
                <w:lang w:eastAsia="zh-CN"/>
              </w:rPr>
            </w:pPr>
            <w:r>
              <w:rPr>
                <w:rFonts w:eastAsia="宋体" w:hint="eastAsia"/>
                <w:bCs/>
                <w:kern w:val="2"/>
                <w:sz w:val="21"/>
                <w:szCs w:val="21"/>
                <w:lang w:eastAsia="zh-CN"/>
              </w:rPr>
              <w:t>由设备制造商提供售后服务， 1 小时内响应， 24 小时维修到位，并在48小时内消除故障（不可抗力情况除外）。消耗品和零配件供应及时，特殊情况下可提供备用机。在境内有相对应的零配件保税库，于中标后出具证明文件。</w:t>
            </w:r>
          </w:p>
        </w:tc>
      </w:tr>
      <w:tr>
        <w:tblPrEx>
          <w:tblW w:w="5000" w:type="pct"/>
          <w:tblInd w:w="0" w:type="dxa"/>
          <w:tblLayout w:type="fixed"/>
          <w:tblCellMar>
            <w:top w:w="0" w:type="dxa"/>
            <w:left w:w="108" w:type="dxa"/>
            <w:bottom w:w="0" w:type="dxa"/>
            <w:right w:w="108" w:type="dxa"/>
          </w:tblCellMar>
        </w:tblPrEx>
        <w:trPr>
          <w:trHeight w:val="454"/>
        </w:trPr>
        <w:tc>
          <w:tcPr>
            <w:tcW w:w="8820" w:type="dxa"/>
            <w:gridSpan w:val="3"/>
            <w:noWrap w:val="0"/>
            <w:vAlign w:val="center"/>
          </w:tcPr>
          <w:p>
            <w:pPr>
              <w:widowControl w:val="0"/>
              <w:spacing w:line="360" w:lineRule="exact"/>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（三）其他商务要求</w:t>
            </w:r>
          </w:p>
        </w:tc>
      </w:tr>
      <w:tr>
        <w:tblPrEx>
          <w:tblW w:w="5000" w:type="pct"/>
          <w:tblInd w:w="0"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1</w:t>
            </w:r>
          </w:p>
        </w:tc>
        <w:tc>
          <w:tcPr>
            <w:tcW w:w="1457"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违约责任</w:t>
            </w: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1.中标人不能交货的，需偿付不能交货部分货款的5 %的违约金并按主管部门相关规定处理。</w:t>
            </w:r>
          </w:p>
        </w:tc>
      </w:tr>
      <w:tr>
        <w:tblPrEx>
          <w:tblW w:w="5000" w:type="pct"/>
          <w:tblInd w:w="0"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2.中标人逾期交货的，应当承担继续履行、采取补救措施或者赔偿损失等违约责任</w:t>
            </w:r>
          </w:p>
        </w:tc>
      </w:tr>
      <w:tr>
        <w:tblPrEx>
          <w:tblW w:w="5000" w:type="pct"/>
          <w:tblInd w:w="0"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3.中标人所交付产品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tblPrEx>
          <w:tblW w:w="5000" w:type="pct"/>
          <w:tblInd w:w="0"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2</w:t>
            </w:r>
          </w:p>
        </w:tc>
        <w:tc>
          <w:tcPr>
            <w:tcW w:w="1457"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报价要求</w:t>
            </w: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1.本项目财政预算控制金额及最高限价为人民币‌叁拾玖万捌仟陆佰元整（¥398600.00），超出本项目财政预算控制金额及最高限价的投标报价将导致其投标无效。</w:t>
            </w:r>
          </w:p>
        </w:tc>
      </w:tr>
      <w:tr>
        <w:tblPrEx>
          <w:tblW w:w="5000" w:type="pct"/>
          <w:tblInd w:w="0"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2.</w:t>
            </w:r>
            <w:r>
              <w:rPr>
                <w:rFonts w:ascii="Calibri" w:eastAsia="宋体" w:hAnsi="Calibri" w:hint="eastAsia"/>
                <w:bCs/>
                <w:kern w:val="2"/>
                <w:sz w:val="21"/>
                <w:szCs w:val="21"/>
                <w:lang w:eastAsia="zh-CN"/>
              </w:rPr>
              <w:t>本项目报投标总价，</w:t>
            </w:r>
            <w:r>
              <w:rPr>
                <w:rFonts w:eastAsia="宋体" w:hint="eastAsia"/>
                <w:bCs/>
                <w:kern w:val="2"/>
                <w:sz w:val="21"/>
                <w:szCs w:val="21"/>
                <w:lang w:eastAsia="zh-CN"/>
              </w:rPr>
              <w:t xml:space="preserve">投标总价必须是完成该项目的一切费用总和，包括设备费、运输费、装卸费、保险费、技术培训费、设备安装费、调试费、售后服务费、国家规定的各项税费等全部费用。项目结算时不做任何单价或费用的调整。 </w:t>
            </w:r>
          </w:p>
        </w:tc>
      </w:tr>
      <w:tr>
        <w:tblPrEx>
          <w:tblW w:w="5000" w:type="pct"/>
          <w:tblInd w:w="0"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3</w:t>
            </w:r>
          </w:p>
        </w:tc>
        <w:tc>
          <w:tcPr>
            <w:tcW w:w="1457"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交货及付款要求</w:t>
            </w:r>
          </w:p>
        </w:tc>
        <w:tc>
          <w:tcPr>
            <w:tcW w:w="6523" w:type="dxa"/>
            <w:noWrap w:val="0"/>
            <w:vAlign w:val="center"/>
          </w:tcPr>
          <w:p>
            <w:pPr>
              <w:widowControl w:val="0"/>
              <w:spacing w:line="36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1.履约时间：投标供应商在签订合同之日起</w:t>
            </w:r>
            <w:r>
              <w:rPr>
                <w:rFonts w:ascii="Calibri" w:eastAsia="宋体" w:hAnsi="Calibri" w:cstheme="minorBidi"/>
                <w:kern w:val="2"/>
                <w:sz w:val="21"/>
                <w:szCs w:val="22"/>
                <w:lang w:eastAsia="zh-CN"/>
              </w:rPr>
              <w:t>30</w:t>
            </w:r>
            <w:r>
              <w:rPr>
                <w:rFonts w:ascii="Calibri" w:eastAsia="宋体" w:hAnsi="Calibri" w:cstheme="minorBidi" w:hint="eastAsia"/>
                <w:kern w:val="2"/>
                <w:sz w:val="21"/>
                <w:szCs w:val="22"/>
                <w:lang w:eastAsia="zh-CN"/>
              </w:rPr>
              <w:t>天内交货，在规定安装日起30个日历日内完成安装，安装时间由采购人确定；交货地点：</w:t>
            </w:r>
            <w:r>
              <w:rPr>
                <w:rFonts w:ascii="Calibri" w:eastAsia="宋体" w:hAnsi="Calibri" w:cstheme="minorBidi" w:hint="eastAsia"/>
                <w:bCs/>
                <w:kern w:val="2"/>
                <w:sz w:val="21"/>
                <w:szCs w:val="21"/>
                <w:lang w:eastAsia="zh-CN"/>
              </w:rPr>
              <w:t>采购人指定地点</w:t>
            </w:r>
            <w:r>
              <w:rPr>
                <w:rFonts w:ascii="Calibri" w:eastAsia="宋体" w:hAnsi="Calibri" w:cstheme="minorBidi" w:hint="eastAsia"/>
                <w:kern w:val="2"/>
                <w:sz w:val="21"/>
                <w:szCs w:val="22"/>
                <w:lang w:eastAsia="zh-CN"/>
              </w:rPr>
              <w:t>。</w:t>
            </w:r>
          </w:p>
        </w:tc>
      </w:tr>
      <w:tr>
        <w:tblPrEx>
          <w:tblW w:w="5000" w:type="pct"/>
          <w:tblInd w:w="0" w:type="dxa"/>
          <w:tblLayout w:type="fixed"/>
          <w:tblCellMar>
            <w:top w:w="0" w:type="dxa"/>
            <w:left w:w="108" w:type="dxa"/>
            <w:bottom w:w="0" w:type="dxa"/>
            <w:right w:w="108" w:type="dxa"/>
          </w:tblCellMar>
        </w:tblPrEx>
        <w:trPr>
          <w:trHeight w:val="449"/>
        </w:trPr>
        <w:tc>
          <w:tcPr>
            <w:tcW w:w="840"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6523" w:type="dxa"/>
            <w:noWrap w:val="0"/>
            <w:vAlign w:val="center"/>
          </w:tcPr>
          <w:p>
            <w:pPr>
              <w:widowControl w:val="0"/>
              <w:spacing w:line="360" w:lineRule="exact"/>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 xml:space="preserve">2.付款期限和方式：首付款：支付比例30%，签订合同后10个工作日（15个日历日）内，中标人提供合同货款30%的正规增值税专用发票，采购人收到发票后，在10个工作日（最长不超过15个工作日）内支付合同货款30%给中标人。若中标人不提供境内供货货物结算款等额正规增值税专用发票的，采购人有权拒绝付款。  </w:t>
            </w:r>
          </w:p>
          <w:p>
            <w:pPr>
              <w:widowControl w:val="0"/>
              <w:spacing w:line="36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尾款：支付比例70%，全部货物现场安装及调试完毕并验收合格，中标人提供合同货款70%的正规增值税专用发票给采购人作为报账凭证，采购人收到发票后，在10个工作日（最长不超过15个工作日）内支付合同货款70%给中标人。若中标人不提供境内供货货物结算款等额正规增值税专用发票的，采购人有权拒绝付款。</w:t>
            </w:r>
          </w:p>
        </w:tc>
      </w:tr>
      <w:tr>
        <w:tblPrEx>
          <w:tblW w:w="5000" w:type="pct"/>
          <w:tblInd w:w="0" w:type="dxa"/>
          <w:tblLayout w:type="fixed"/>
          <w:tblCellMar>
            <w:top w:w="0" w:type="dxa"/>
            <w:left w:w="108" w:type="dxa"/>
            <w:bottom w:w="0" w:type="dxa"/>
            <w:right w:w="108" w:type="dxa"/>
          </w:tblCellMar>
        </w:tblPrEx>
        <w:trPr>
          <w:trHeight w:val="449"/>
        </w:trPr>
        <w:tc>
          <w:tcPr>
            <w:tcW w:w="840"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6523" w:type="dxa"/>
            <w:noWrap w:val="0"/>
            <w:vAlign w:val="center"/>
          </w:tcPr>
          <w:p>
            <w:pPr>
              <w:widowControl w:val="0"/>
              <w:spacing w:line="360" w:lineRule="exact"/>
              <w:jc w:val="both"/>
              <w:rPr>
                <w:rFonts w:ascii="Calibri" w:eastAsia="宋体" w:hAnsi="Calibri"/>
                <w:kern w:val="2"/>
                <w:sz w:val="21"/>
                <w:szCs w:val="22"/>
                <w:lang w:eastAsia="zh-CN"/>
              </w:rPr>
            </w:pPr>
            <w:r>
              <w:rPr>
                <w:rFonts w:eastAsia="宋体" w:hint="eastAsia"/>
                <w:kern w:val="2"/>
                <w:sz w:val="21"/>
                <w:lang w:eastAsia="zh-CN"/>
              </w:rPr>
              <w:t>3.如遇政策影响或审批延迟，未能及时付款的，采购人不承担任何责任，中标人对此明确知悉并同意接受，中标人同意不以此为由追究采购人任何责任，也不得以此为由不履行合同约定的义务。</w:t>
            </w:r>
          </w:p>
        </w:tc>
      </w:tr>
      <w:tr>
        <w:tblPrEx>
          <w:tblW w:w="5000" w:type="pct"/>
          <w:tblInd w:w="0"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4</w:t>
            </w:r>
          </w:p>
        </w:tc>
        <w:tc>
          <w:tcPr>
            <w:tcW w:w="1457" w:type="dxa"/>
            <w:noWrap w:val="0"/>
            <w:vAlign w:val="center"/>
          </w:tcPr>
          <w:p>
            <w:pPr>
              <w:widowControl w:val="0"/>
              <w:spacing w:line="360" w:lineRule="exact"/>
              <w:jc w:val="center"/>
              <w:rPr>
                <w:rFonts w:ascii="宋体" w:eastAsia="宋体" w:hAnsi="宋体" w:cs="宋体" w:hint="eastAsia"/>
                <w:b/>
                <w:color w:val="000000"/>
                <w:kern w:val="2"/>
                <w:sz w:val="20"/>
                <w:szCs w:val="20"/>
                <w:lang w:eastAsia="zh-CN"/>
              </w:rPr>
            </w:pPr>
            <w:r>
              <w:rPr>
                <w:rFonts w:ascii="宋体" w:eastAsia="宋体" w:hAnsi="宋体" w:cs="宋体" w:hint="eastAsia"/>
                <w:b/>
                <w:color w:val="000000"/>
                <w:kern w:val="2"/>
                <w:sz w:val="20"/>
                <w:szCs w:val="20"/>
                <w:lang w:eastAsia="zh-CN"/>
              </w:rPr>
              <w:t>验收条件</w:t>
            </w:r>
          </w:p>
        </w:tc>
        <w:tc>
          <w:tcPr>
            <w:tcW w:w="6523" w:type="dxa"/>
            <w:noWrap w:val="0"/>
            <w:vAlign w:val="center"/>
          </w:tcPr>
          <w:p>
            <w:pPr>
              <w:widowControl w:val="0"/>
              <w:spacing w:line="360" w:lineRule="exact"/>
              <w:jc w:val="both"/>
              <w:rPr>
                <w:rFonts w:eastAsia="宋体" w:hint="eastAsia"/>
                <w:kern w:val="2"/>
                <w:sz w:val="21"/>
                <w:lang w:eastAsia="zh-CN"/>
              </w:rPr>
            </w:pPr>
            <w:r>
              <w:rPr>
                <w:rFonts w:eastAsia="宋体" w:hint="eastAsia"/>
                <w:kern w:val="2"/>
                <w:sz w:val="21"/>
                <w:lang w:eastAsia="zh-CN"/>
              </w:rPr>
              <w:t>1.由采购人按合同和招标、投标文件约定的要求和标准及中华人民共和国现行的验收规范和评定标准进行交货验收。</w:t>
            </w:r>
          </w:p>
          <w:p>
            <w:pPr>
              <w:widowControl w:val="0"/>
              <w:spacing w:line="360" w:lineRule="exact"/>
              <w:jc w:val="both"/>
              <w:rPr>
                <w:rFonts w:eastAsia="宋体" w:hint="eastAsia"/>
                <w:kern w:val="2"/>
                <w:sz w:val="21"/>
                <w:lang w:eastAsia="zh-CN"/>
              </w:rPr>
            </w:pPr>
            <w:r>
              <w:rPr>
                <w:rFonts w:eastAsia="宋体" w:hint="eastAsia"/>
                <w:kern w:val="2"/>
                <w:sz w:val="21"/>
                <w:lang w:eastAsia="zh-CN"/>
              </w:rPr>
              <w:t>2.投标人货物经过双方检验认可后，签署验收报告，产品保修期自验收合格之日起算。</w:t>
            </w:r>
          </w:p>
          <w:p>
            <w:pPr>
              <w:widowControl w:val="0"/>
              <w:spacing w:line="360" w:lineRule="exact"/>
              <w:jc w:val="both"/>
              <w:rPr>
                <w:rFonts w:eastAsia="宋体" w:hint="eastAsia"/>
                <w:kern w:val="2"/>
                <w:sz w:val="21"/>
                <w:lang w:eastAsia="zh-CN"/>
              </w:rPr>
            </w:pPr>
            <w:r>
              <w:rPr>
                <w:rFonts w:eastAsia="宋体" w:hint="eastAsia"/>
                <w:kern w:val="2"/>
                <w:sz w:val="21"/>
                <w:lang w:eastAsia="zh-CN"/>
              </w:rPr>
              <w:t>3.当满足以下条件时，采购人才向中标人签发货物验收报告：</w:t>
            </w:r>
          </w:p>
          <w:p>
            <w:pPr>
              <w:widowControl w:val="0"/>
              <w:spacing w:line="360" w:lineRule="exact"/>
              <w:jc w:val="both"/>
              <w:rPr>
                <w:rFonts w:eastAsia="宋体" w:hint="eastAsia"/>
                <w:kern w:val="2"/>
                <w:sz w:val="21"/>
                <w:lang w:eastAsia="zh-CN"/>
              </w:rPr>
            </w:pPr>
            <w:r>
              <w:rPr>
                <w:rFonts w:eastAsia="宋体" w:hint="eastAsia"/>
                <w:kern w:val="2"/>
                <w:sz w:val="21"/>
                <w:lang w:eastAsia="zh-CN"/>
              </w:rPr>
              <w:t>4.产品全新,外观无伤痕变形或明显修饰痕迹。</w:t>
            </w:r>
          </w:p>
          <w:p>
            <w:pPr>
              <w:widowControl w:val="0"/>
              <w:spacing w:line="360" w:lineRule="exact"/>
              <w:jc w:val="both"/>
              <w:rPr>
                <w:rFonts w:eastAsia="宋体" w:hint="eastAsia"/>
                <w:kern w:val="2"/>
                <w:sz w:val="21"/>
                <w:lang w:eastAsia="zh-CN"/>
              </w:rPr>
            </w:pPr>
            <w:r>
              <w:rPr>
                <w:rFonts w:eastAsia="宋体" w:hint="eastAsia"/>
                <w:kern w:val="2"/>
                <w:sz w:val="21"/>
                <w:lang w:eastAsia="zh-CN"/>
              </w:rPr>
              <w:t>5.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pPr>
              <w:widowControl w:val="0"/>
              <w:spacing w:line="360" w:lineRule="exact"/>
              <w:jc w:val="both"/>
              <w:rPr>
                <w:rFonts w:eastAsia="宋体" w:hint="eastAsia"/>
                <w:kern w:val="2"/>
                <w:sz w:val="21"/>
                <w:lang w:eastAsia="zh-CN"/>
              </w:rPr>
            </w:pPr>
            <w:r>
              <w:rPr>
                <w:rFonts w:eastAsia="宋体" w:hint="eastAsia"/>
                <w:kern w:val="2"/>
                <w:sz w:val="21"/>
                <w:lang w:eastAsia="zh-CN"/>
              </w:rPr>
              <w:t>6.技术文件资料、备件等已按规定数量移交完毕。</w:t>
            </w:r>
          </w:p>
          <w:p>
            <w:pPr>
              <w:widowControl w:val="0"/>
              <w:spacing w:line="360" w:lineRule="exact"/>
              <w:jc w:val="both"/>
              <w:rPr>
                <w:rFonts w:eastAsia="宋体" w:hint="eastAsia"/>
                <w:kern w:val="2"/>
                <w:sz w:val="21"/>
                <w:lang w:eastAsia="zh-CN"/>
              </w:rPr>
            </w:pPr>
            <w:r>
              <w:rPr>
                <w:rFonts w:eastAsia="宋体" w:hint="eastAsia"/>
                <w:kern w:val="2"/>
                <w:sz w:val="21"/>
                <w:lang w:eastAsia="zh-CN"/>
              </w:rPr>
              <w:t>7.按照招标书要求及投标文件提供的技术要求验收必须合格。</w:t>
            </w:r>
          </w:p>
          <w:p>
            <w:pPr>
              <w:widowControl w:val="0"/>
              <w:spacing w:line="360" w:lineRule="exact"/>
              <w:jc w:val="both"/>
              <w:rPr>
                <w:rFonts w:eastAsia="宋体" w:hint="eastAsia"/>
                <w:kern w:val="2"/>
                <w:sz w:val="21"/>
                <w:lang w:eastAsia="zh-CN"/>
              </w:rPr>
            </w:pPr>
            <w:r>
              <w:rPr>
                <w:rFonts w:eastAsia="宋体" w:hint="eastAsia"/>
                <w:kern w:val="2"/>
                <w:sz w:val="21"/>
                <w:lang w:eastAsia="zh-CN"/>
              </w:rPr>
              <w:t>8.投标人提供的各种文件载明的内容必须真实，其技术数据采购人有权要求投标人无偿提供采购人认可的第三方按照双方同意的试验方法进行检测。检测结果必须证明投标人提供的技术数据是真实的，否则视为不合格。</w:t>
            </w:r>
          </w:p>
          <w:p>
            <w:pPr>
              <w:widowControl w:val="0"/>
              <w:spacing w:line="360" w:lineRule="exact"/>
              <w:jc w:val="both"/>
              <w:rPr>
                <w:rFonts w:eastAsia="宋体" w:hint="eastAsia"/>
                <w:kern w:val="2"/>
                <w:sz w:val="21"/>
                <w:lang w:eastAsia="zh-CN"/>
              </w:rPr>
            </w:pPr>
            <w:r>
              <w:rPr>
                <w:rFonts w:eastAsia="宋体" w:hint="eastAsia"/>
                <w:kern w:val="2"/>
                <w:sz w:val="21"/>
                <w:lang w:eastAsia="zh-CN"/>
              </w:rPr>
              <w:t>9.货物具备产品合格证。</w:t>
            </w:r>
          </w:p>
          <w:p>
            <w:pPr>
              <w:widowControl w:val="0"/>
              <w:spacing w:line="360" w:lineRule="exact"/>
              <w:jc w:val="both"/>
              <w:rPr>
                <w:rFonts w:eastAsia="宋体" w:hint="eastAsia"/>
                <w:kern w:val="2"/>
                <w:sz w:val="21"/>
                <w:lang w:eastAsia="zh-CN"/>
              </w:rPr>
            </w:pPr>
            <w:r>
              <w:rPr>
                <w:rFonts w:eastAsia="宋体" w:hint="eastAsia"/>
                <w:kern w:val="2"/>
                <w:sz w:val="21"/>
                <w:lang w:eastAsia="zh-CN"/>
              </w:rPr>
              <w:t>10.在货物安装调试合格后，所有技术指标达到技术规范书要求，经验收合格后，双方共同签署验收报告。</w:t>
            </w:r>
          </w:p>
        </w:tc>
      </w:tr>
      <w:tr>
        <w:tblPrEx>
          <w:tblW w:w="5000" w:type="pct"/>
          <w:tblInd w:w="0"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5</w:t>
            </w:r>
          </w:p>
        </w:tc>
        <w:tc>
          <w:tcPr>
            <w:tcW w:w="1457"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b/>
                <w:kern w:val="2"/>
                <w:sz w:val="20"/>
                <w:szCs w:val="20"/>
                <w:lang w:eastAsia="zh-CN"/>
              </w:rPr>
              <w:t>培训</w:t>
            </w:r>
          </w:p>
        </w:tc>
        <w:tc>
          <w:tcPr>
            <w:tcW w:w="6523" w:type="dxa"/>
            <w:noWrap w:val="0"/>
            <w:vAlign w:val="top"/>
          </w:tcPr>
          <w:p>
            <w:pPr>
              <w:widowControl/>
              <w:spacing w:line="360" w:lineRule="exact"/>
              <w:jc w:val="left"/>
              <w:rPr>
                <w:rFonts w:eastAsia="宋体" w:hint="eastAsia"/>
                <w:kern w:val="2"/>
                <w:sz w:val="21"/>
                <w:lang w:eastAsia="zh-CN"/>
              </w:rPr>
            </w:pPr>
            <w:r>
              <w:rPr>
                <w:rFonts w:eastAsia="宋体" w:hint="eastAsia"/>
                <w:kern w:val="2"/>
                <w:sz w:val="21"/>
                <w:lang w:eastAsia="zh-CN"/>
              </w:rPr>
              <w:t>1.投标供应商应派专业技术人员免费对采购单位指定人员进行定期培训及指导，直至其完全掌握设备的基本故障处理技术。</w:t>
            </w:r>
          </w:p>
        </w:tc>
      </w:tr>
      <w:tr>
        <w:tblPrEx>
          <w:tblW w:w="5000" w:type="pct"/>
          <w:tblInd w:w="0"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1457" w:type="dxa"/>
            <w:vMerge/>
            <w:noWrap w:val="0"/>
            <w:vAlign w:val="center"/>
          </w:tcPr>
          <w:p>
            <w:pPr>
              <w:widowControl w:val="0"/>
              <w:spacing w:line="360" w:lineRule="exact"/>
              <w:jc w:val="both"/>
              <w:rPr>
                <w:rFonts w:ascii="宋体" w:eastAsia="宋体" w:hAnsi="宋体"/>
                <w:b/>
                <w:kern w:val="2"/>
                <w:sz w:val="20"/>
                <w:szCs w:val="20"/>
                <w:lang w:eastAsia="zh-CN"/>
              </w:rPr>
            </w:pPr>
          </w:p>
        </w:tc>
        <w:tc>
          <w:tcPr>
            <w:tcW w:w="6523" w:type="dxa"/>
            <w:noWrap w:val="0"/>
            <w:vAlign w:val="top"/>
          </w:tcPr>
          <w:p>
            <w:pPr>
              <w:widowControl/>
              <w:spacing w:line="360" w:lineRule="exact"/>
              <w:jc w:val="left"/>
              <w:rPr>
                <w:rFonts w:eastAsia="宋体" w:hint="eastAsia"/>
                <w:kern w:val="2"/>
                <w:sz w:val="21"/>
                <w:lang w:eastAsia="zh-CN"/>
              </w:rPr>
            </w:pPr>
            <w:r>
              <w:rPr>
                <w:rFonts w:eastAsia="宋体" w:hint="eastAsia"/>
                <w:kern w:val="2"/>
                <w:sz w:val="21"/>
                <w:lang w:eastAsia="zh-CN"/>
              </w:rPr>
              <w:t>2.现场培训：投标供应商应提供现场技术培训，保证使用人员正常操作设备的各种功能。</w:t>
            </w:r>
          </w:p>
        </w:tc>
      </w:tr>
      <w:tr>
        <w:tblPrEx>
          <w:tblW w:w="5000" w:type="pct"/>
          <w:tblInd w:w="0"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hint="eastAsia"/>
                <w:b/>
                <w:kern w:val="2"/>
                <w:sz w:val="21"/>
                <w:szCs w:val="22"/>
                <w:lang w:eastAsia="zh-CN"/>
              </w:rPr>
            </w:pPr>
            <w:r>
              <w:rPr>
                <w:rFonts w:ascii="Calibri" w:eastAsia="宋体" w:hAnsi="Calibri" w:cstheme="minorBidi" w:hint="eastAsia"/>
                <w:b/>
                <w:kern w:val="2"/>
                <w:sz w:val="21"/>
                <w:szCs w:val="22"/>
                <w:lang w:eastAsia="zh-CN"/>
              </w:rPr>
              <w:t>6</w:t>
            </w:r>
          </w:p>
        </w:tc>
        <w:tc>
          <w:tcPr>
            <w:tcW w:w="1457" w:type="dxa"/>
            <w:noWrap w:val="0"/>
            <w:vAlign w:val="center"/>
          </w:tcPr>
          <w:p>
            <w:pPr>
              <w:widowControl w:val="0"/>
              <w:spacing w:line="360" w:lineRule="exact"/>
              <w:jc w:val="center"/>
              <w:rPr>
                <w:rFonts w:ascii="宋体" w:eastAsia="宋体" w:hAnsi="宋体"/>
                <w:b/>
                <w:kern w:val="2"/>
                <w:sz w:val="21"/>
                <w:szCs w:val="22"/>
                <w:lang w:eastAsia="zh-CN"/>
              </w:rPr>
            </w:pPr>
            <w:r>
              <w:rPr>
                <w:rFonts w:ascii="宋体" w:eastAsia="宋体" w:hAnsi="宋体" w:cstheme="minorBidi"/>
                <w:b/>
                <w:kern w:val="2"/>
                <w:sz w:val="20"/>
                <w:szCs w:val="20"/>
                <w:lang w:eastAsia="zh-CN"/>
              </w:rPr>
              <w:t>其他</w:t>
            </w:r>
          </w:p>
        </w:tc>
        <w:tc>
          <w:tcPr>
            <w:tcW w:w="6523" w:type="dxa"/>
            <w:noWrap w:val="0"/>
            <w:vAlign w:val="center"/>
          </w:tcPr>
          <w:p>
            <w:pPr>
              <w:widowControl/>
              <w:spacing w:line="360" w:lineRule="exact"/>
              <w:jc w:val="left"/>
              <w:rPr>
                <w:rFonts w:eastAsia="宋体" w:hint="eastAsia"/>
                <w:kern w:val="2"/>
                <w:sz w:val="21"/>
                <w:lang w:eastAsia="zh-CN"/>
              </w:rPr>
            </w:pPr>
            <w:r>
              <w:rPr>
                <w:rFonts w:eastAsia="宋体" w:hint="eastAsia"/>
                <w:kern w:val="2"/>
                <w:sz w:val="21"/>
                <w:lang w:eastAsia="zh-CN"/>
              </w:rPr>
              <w:t>投标供应商应按其投标文件中的承诺，进行其他售后服务工作。</w:t>
            </w:r>
          </w:p>
        </w:tc>
      </w:tr>
    </w:tbl>
    <w:p>
      <w:pPr>
        <w:widowControl w:val="0"/>
        <w:spacing w:before="260" w:after="260" w:line="240" w:lineRule="auto"/>
        <w:jc w:val="both"/>
        <w:outlineLvl w:val="2"/>
        <w:rPr>
          <w:rFonts w:ascii="宋体" w:eastAsia="宋体" w:hAnsi="宋体"/>
          <w:kern w:val="2"/>
          <w:sz w:val="21"/>
          <w:szCs w:val="32"/>
          <w:lang w:eastAsia="zh-CN"/>
        </w:rPr>
      </w:pPr>
    </w:p>
    <w:p>
      <w:pPr>
        <w:widowControl/>
        <w:jc w:val="left"/>
        <w:rPr>
          <w:rFonts w:ascii="Arial" w:eastAsia="宋体" w:hAnsi="Arial"/>
          <w:kern w:val="2"/>
          <w:sz w:val="21"/>
          <w:lang w:eastAsia="zh-CN"/>
        </w:rPr>
      </w:pPr>
    </w:p>
    <w:p>
      <w:pPr>
        <w:keepNext/>
        <w:keepLines/>
        <w:widowControl w:val="0"/>
        <w:tabs>
          <w:tab w:val="left" w:pos="1680"/>
        </w:tabs>
        <w:spacing w:before="260" w:after="78"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将导致投标（响应）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需求中如出现品牌信息仅供参考，不作为参数要求，目的只为供应商更清楚地了解采购需求，供应商可提供其他品牌设备投标（响应）。</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4、评分时，如对一项采购技术要求（以划分框为准）中的内容存在两处（或以上）负偏离的，在评分时只作一项负偏离扣分。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w:t>
      </w:r>
      <w:r>
        <w:rPr>
          <w:rFonts w:ascii="Calibri" w:eastAsia="宋体" w:hAnsi="Calibri" w:hint="eastAsia"/>
          <w:color w:val="FF0000"/>
          <w:kern w:val="2"/>
          <w:sz w:val="21"/>
          <w:szCs w:val="21"/>
          <w:lang w:eastAsia="zh-CN"/>
        </w:rPr>
        <w:t>征集文件</w:t>
      </w:r>
      <w:r>
        <w:rPr>
          <w:rFonts w:ascii="Calibri" w:eastAsia="宋体" w:hAnsi="Calibri"/>
          <w:color w:val="FF0000"/>
          <w:kern w:val="2"/>
          <w:sz w:val="21"/>
          <w:szCs w:val="21"/>
          <w:lang w:eastAsia="zh-CN"/>
        </w:rPr>
        <w:t>产品技术参数如涉及相关既定值、单向范围值、区间范围值的，</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（1）涉及相关既定值的，例：招标技术参数要求值为“20L”，</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（2）涉及相关单向范围值的，例：招标技术参数要求的单向范围值为“≥6m”，除有特别注明以外，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技术参数响应值与招标技术参数要求范围值完全一致的（如响应为“≥6m”）或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技术参数响应值大于招标技术参数要求范围值的（如响应为“≥5”或“＞5”等）或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技术参数响应值为招标技术参数要求范围值内的任意值的（如响应为“7m”或“6.5m”等）均视为符合要求，</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hint="eastAsia"/>
          <w:color w:val="FF0000"/>
          <w:kern w:val="2"/>
          <w:sz w:val="21"/>
          <w:szCs w:val="21"/>
          <w:lang w:eastAsia="zh-CN"/>
        </w:rPr>
      </w:pPr>
      <w:r>
        <w:rPr>
          <w:rFonts w:ascii="Calibri" w:eastAsia="宋体" w:hAnsi="Calibri"/>
          <w:color w:val="FF0000"/>
          <w:kern w:val="2"/>
          <w:sz w:val="21"/>
          <w:szCs w:val="21"/>
          <w:lang w:eastAsia="zh-CN"/>
        </w:rPr>
        <w:t>（3）涉及相关区间范围值的，例：招标技术参数要求的区间范围值为“0-20ML”，除有特别注明以外，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技术参数响应值与招标技术参数要求范围值完全一致的（如响应为“0-20ML”）或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技术参数响应值大于招标技术参数要求范围值的（如响应为“0-21ML”或“-1-20ML”或“0-25ML”等）均视为符合要求，</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技术参数响应值小于招标技术参数要求范围值的（如响应为“0-15ML”或“1-12ML ”或 “9-20ML”或“9ML” 等）均视为负偏离。</w:t>
      </w:r>
      <w:r>
        <w:rPr>
          <w:rFonts w:ascii="Calibri" w:eastAsia="宋体" w:hAnsi="Calibri" w:hint="eastAsia"/>
          <w:color w:val="FF0000"/>
          <w:kern w:val="2"/>
          <w:sz w:val="21"/>
          <w:szCs w:val="21"/>
          <w:lang w:eastAsia="zh-CN"/>
        </w:rPr>
        <w:t xml:space="preserve">   </w:t>
      </w:r>
    </w:p>
    <w:p>
      <w:pPr>
        <w:widowControl w:val="0"/>
        <w:jc w:val="both"/>
        <w:rPr>
          <w:rFonts w:ascii="宋体" w:eastAsia="黑体" w:hAnsi="宋体"/>
          <w:bCs/>
          <w:kern w:val="44"/>
          <w:sz w:val="28"/>
          <w:szCs w:val="44"/>
          <w:lang w:eastAsia="zh-CN"/>
        </w:rPr>
      </w:pPr>
    </w:p>
    <w:p>
      <w:pPr>
        <w:widowControl w:val="0"/>
        <w:spacing w:before="260" w:after="260" w:line="240" w:lineRule="auto"/>
        <w:jc w:val="both"/>
        <w:outlineLvl w:val="2"/>
        <w:rPr>
          <w:rFonts w:ascii="宋体" w:eastAsia="黑体" w:hAnsi="宋体"/>
          <w:bCs/>
          <w:kern w:val="44"/>
          <w:sz w:val="28"/>
          <w:szCs w:val="44"/>
          <w:lang w:eastAsia="zh-CN"/>
        </w:rPr>
      </w:pPr>
    </w:p>
    <w:p>
      <w:pPr>
        <w:widowControl w:val="0"/>
        <w:jc w:val="both"/>
        <w:rPr>
          <w:rFonts w:ascii="Calibri" w:eastAsia="宋体" w:hAnsi="Calibri"/>
          <w:kern w:val="2"/>
          <w:sz w:val="21"/>
          <w:szCs w:val="22"/>
          <w:lang w:eastAsia="zh-CN"/>
        </w:rPr>
      </w:pPr>
    </w:p>
    <w:tbl>
      <w:tblPr>
        <w:tblStyle w:val="TableNormal"/>
        <w:tblpPr w:leftFromText="180" w:rightFromText="180" w:vertAnchor="text" w:horzAnchor="page" w:tblpX="1589" w:tblpY="430"/>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695"/>
        <w:gridCol w:w="1340"/>
        <w:gridCol w:w="6487"/>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85"/>
        </w:trPr>
        <w:tc>
          <w:tcPr>
            <w:tcW w:w="408" w:type="pct"/>
            <w:tcBorders>
              <w:top w:val="nil"/>
              <w:left w:val="single" w:sz="8" w:space="0" w:color="000000"/>
              <w:bottom w:val="nil"/>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序号</w:t>
            </w:r>
          </w:p>
        </w:tc>
        <w:tc>
          <w:tcPr>
            <w:tcW w:w="786" w:type="pct"/>
            <w:tcBorders>
              <w:top w:val="nil"/>
              <w:left w:val="nil"/>
              <w:bottom w:val="nil"/>
              <w:right w:val="single" w:sz="8"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物品名称</w:t>
            </w:r>
          </w:p>
        </w:tc>
        <w:tc>
          <w:tcPr>
            <w:tcW w:w="3804" w:type="pct"/>
            <w:tcBorders>
              <w:top w:val="nil"/>
              <w:left w:val="nil"/>
              <w:bottom w:val="nil"/>
              <w:right w:val="single" w:sz="8"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招标技术参数</w:t>
            </w:r>
          </w:p>
        </w:tc>
      </w:tr>
      <w:tr>
        <w:tblPrEx>
          <w:tblW w:w="5000" w:type="pct"/>
          <w:tblInd w:w="0" w:type="dxa"/>
          <w:shd w:val="clear" w:color="auto" w:fill="auto"/>
          <w:tblLayout w:type="fixed"/>
          <w:tblCellMar>
            <w:top w:w="0" w:type="dxa"/>
            <w:left w:w="108" w:type="dxa"/>
            <w:bottom w:w="0" w:type="dxa"/>
            <w:right w:w="108" w:type="dxa"/>
          </w:tblCellMar>
        </w:tblPrEx>
        <w:trPr>
          <w:trHeight w:val="551"/>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大单星盆台</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1.1规格：（1000mm*700mm*810mm+150mm）±10%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1.2材质：台面采用304#1.2mm(±0.5mm)厚不锈钢板，星斗304#1.0mm(±0.5mm)，台脚（38mm*38mm*1.0mm）±0.5mm不锈钢方管，横管（30mm*30mm*0.8mm）±0.5mm不锈钢方管，配全钢可调子弹脚及龙头。</w:t>
            </w:r>
          </w:p>
        </w:tc>
      </w:tr>
      <w:tr>
        <w:tblPrEx>
          <w:tblW w:w="5000" w:type="pct"/>
          <w:tblInd w:w="0" w:type="dxa"/>
          <w:shd w:val="clear" w:color="auto" w:fill="auto"/>
          <w:tblLayout w:type="fixed"/>
          <w:tblCellMar>
            <w:top w:w="0" w:type="dxa"/>
            <w:left w:w="108" w:type="dxa"/>
            <w:bottom w:w="0" w:type="dxa"/>
            <w:right w:w="108" w:type="dxa"/>
          </w:tblCellMar>
        </w:tblPrEx>
        <w:trPr>
          <w:trHeight w:val="457"/>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大双星盆台</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2.1规格：(1200mm*700mm0*810mm+150mm)±10%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2.2材质：台面采用304#1.2mm(±0.5mm)厚不锈钢板，星斗304#1.0mm(±0.5mm)，台脚(38mm*38mm*1.0mm)±0.5mm不锈钢方管，横管(30mm*30mm*0.8mm)±0.5mm不锈钢方管，配全钢可调子弹脚及龙头。</w:t>
            </w:r>
          </w:p>
        </w:tc>
      </w:tr>
      <w:tr>
        <w:tblPrEx>
          <w:tblW w:w="5000" w:type="pct"/>
          <w:tblInd w:w="0" w:type="dxa"/>
          <w:shd w:val="clear" w:color="auto" w:fill="auto"/>
          <w:tblLayout w:type="fixed"/>
          <w:tblCellMar>
            <w:top w:w="0" w:type="dxa"/>
            <w:left w:w="108" w:type="dxa"/>
            <w:bottom w:w="0" w:type="dxa"/>
            <w:right w:w="108" w:type="dxa"/>
          </w:tblCellMar>
        </w:tblPrEx>
        <w:trPr>
          <w:trHeight w:val="348"/>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留样雪柜</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3.1规格：(530mm*590mm*1620mm)±10%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3.2制冷方式：直冷，温度：(0℃-10℃)±10%。</w:t>
            </w:r>
          </w:p>
        </w:tc>
      </w:tr>
      <w:tr>
        <w:tblPrEx>
          <w:tblW w:w="5000" w:type="pct"/>
          <w:tblInd w:w="0" w:type="dxa"/>
          <w:shd w:val="clear" w:color="auto" w:fill="auto"/>
          <w:tblLayout w:type="fixed"/>
          <w:tblCellMar>
            <w:top w:w="0" w:type="dxa"/>
            <w:left w:w="108" w:type="dxa"/>
            <w:bottom w:w="0" w:type="dxa"/>
            <w:right w:w="108" w:type="dxa"/>
          </w:tblCellMar>
        </w:tblPrEx>
        <w:trPr>
          <w:trHeight w:val="398"/>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4.1规格：(1500mm*700mm*810mm)±10%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材质：台面采用304#1.2mm(±0.5mm)厚不锈钢板加木板，面板底部边框采用(30mm*30mm*0.8mm)±0.5mm厚不锈钢管加固，层板304#1.0mm(±0.5mm)厚不锈钢板,加强筋采用不锈钢板，台脚采(38mm*38mm*1.0mm)±0.5mm不锈钢方管，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459"/>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四门冷藏冷冻冰箱</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5.1规格：(1220mm*692mm*1910mm)±10%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5.2制冷方式：直冷，温度：【(-5℃）-10℃】±10%,【(-15℃）-6℃】±10%。</w:t>
            </w:r>
          </w:p>
        </w:tc>
      </w:tr>
      <w:tr>
        <w:tblPrEx>
          <w:tblW w:w="5000" w:type="pct"/>
          <w:tblInd w:w="0" w:type="dxa"/>
          <w:shd w:val="clear" w:color="auto" w:fill="auto"/>
          <w:tblLayout w:type="fixed"/>
          <w:tblCellMar>
            <w:top w:w="0" w:type="dxa"/>
            <w:left w:w="108" w:type="dxa"/>
            <w:bottom w:w="0" w:type="dxa"/>
            <w:right w:w="108" w:type="dxa"/>
          </w:tblCellMar>
        </w:tblPrEx>
        <w:trPr>
          <w:trHeight w:val="433"/>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6.1规格(1500mm*700mm*810mm)±10%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材质：台面采用304#1.2mm(±0.5mm)厚不锈钢板加木板，面板底部边框采用(30mm*30mm*0.8mm)±0.5mm厚不锈钢管加固，层板304#1.0mm(±0.5mm)厚不锈钢板,加强筋采用不锈钢板，台脚采(38mm*38mm*1.0mm)±0.5mm不锈钢方管，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468"/>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工作台柜</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7.1规格：(1500mm*700mm*810mm)±10%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7.2材质：台面采用304#1.2mm(±0.5mm)厚不锈钢板加木板，面板底部边框采用(30mm*30mm*0.8mm)±0.5mm厚不锈钢管，柜身及门304#1.0mm(±0.5mm)厚不锈钢板，层板304#1.0mm(±0.5mm)厚不锈钢板，加强筋采用不锈钢板，配全钢重力脚。</w:t>
            </w: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地架</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8.1规格：(1200mm*600mm*150mm)±10%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8.2材质：层板采用304#1.0mm(±0.5mm)厚不锈钢板，底部加不锈钢板加强筋，立柱采用(38mm*38mm*1.0mm)±0.5mm不锈钢方通，配全钢可调子弹脚。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459"/>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板架</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9.1规格:(1100mm*450mm*1500mm)±10%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9.2材质：层板采用304#1.0mm(±0.5mm)厚不锈钢板，底部加不锈钢板加强筋，立柱采用(38mm*38mm*1.0mm)±0.5mm不锈钢方通，配全钢可调子弹脚。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536"/>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挂墙单洗手星盆1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10.1规格：(400mm*350mm*250mm)±10%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10.2材质：面板采用304#1.2mm(±0.5mm)厚不锈钢板，围板及星斗304#1.0mmm厚(±0.5mm)，配感应龙头，功率：220V/0.2KW(±10%)。</w:t>
            </w:r>
          </w:p>
        </w:tc>
      </w:tr>
      <w:tr>
        <w:tblPrEx>
          <w:tblW w:w="5000" w:type="pct"/>
          <w:tblInd w:w="0" w:type="dxa"/>
          <w:shd w:val="clear" w:color="auto" w:fill="auto"/>
          <w:tblLayout w:type="fixed"/>
          <w:tblCellMar>
            <w:top w:w="0" w:type="dxa"/>
            <w:left w:w="108" w:type="dxa"/>
            <w:bottom w:w="0" w:type="dxa"/>
            <w:right w:w="108" w:type="dxa"/>
          </w:tblCellMar>
        </w:tblPrEx>
        <w:trPr>
          <w:trHeight w:val="406"/>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洗地龙头</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11.1规格：10米长(±10%)</w:t>
            </w:r>
          </w:p>
        </w:tc>
      </w:tr>
      <w:tr>
        <w:tblPrEx>
          <w:tblW w:w="5000" w:type="pct"/>
          <w:tblInd w:w="0" w:type="dxa"/>
          <w:shd w:val="clear" w:color="auto" w:fill="auto"/>
          <w:tblLayout w:type="fixed"/>
          <w:tblCellMar>
            <w:top w:w="0" w:type="dxa"/>
            <w:left w:w="108" w:type="dxa"/>
            <w:bottom w:w="0" w:type="dxa"/>
            <w:right w:w="108" w:type="dxa"/>
          </w:tblCellMar>
        </w:tblPrEx>
        <w:trPr>
          <w:trHeight w:val="9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11.2材质：低碳钢材喷涂,黑色纹面液压管，360度活动。</w:t>
            </w:r>
          </w:p>
        </w:tc>
      </w:tr>
      <w:tr>
        <w:tblPrEx>
          <w:tblW w:w="5000" w:type="pct"/>
          <w:tblInd w:w="0" w:type="dxa"/>
          <w:shd w:val="clear" w:color="auto" w:fill="auto"/>
          <w:tblLayout w:type="fixed"/>
          <w:tblCellMar>
            <w:top w:w="0" w:type="dxa"/>
            <w:left w:w="108" w:type="dxa"/>
            <w:bottom w:w="0" w:type="dxa"/>
            <w:right w:w="108" w:type="dxa"/>
          </w:tblCellMar>
        </w:tblPrEx>
        <w:trPr>
          <w:trHeight w:val="9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color w:val="000000"/>
                <w:kern w:val="2"/>
                <w:sz w:val="22"/>
                <w:szCs w:val="22"/>
                <w:lang w:eastAsia="zh-CN"/>
              </w:rPr>
            </w:pPr>
            <w:r>
              <w:rPr>
                <w:rFonts w:ascii="宋体" w:eastAsia="宋体" w:hAnsi="宋体" w:cs="宋体"/>
                <w:b/>
                <w:bCs/>
                <w:color w:val="FF0000"/>
                <w:kern w:val="2"/>
                <w:sz w:val="22"/>
                <w:szCs w:val="22"/>
                <w:lang w:eastAsia="zh-CN"/>
              </w:rPr>
              <w:t>★投标时提供所投产品获得国家认可的认证机构出具的处于有效期内的节水产品认证证书。</w:t>
            </w:r>
          </w:p>
        </w:tc>
      </w:tr>
      <w:tr>
        <w:tblPrEx>
          <w:tblW w:w="5000" w:type="pct"/>
          <w:tblInd w:w="0" w:type="dxa"/>
          <w:shd w:val="clear" w:color="auto" w:fill="auto"/>
          <w:tblLayout w:type="fixed"/>
          <w:tblCellMar>
            <w:top w:w="0" w:type="dxa"/>
            <w:left w:w="108" w:type="dxa"/>
            <w:bottom w:w="0" w:type="dxa"/>
            <w:right w:w="108" w:type="dxa"/>
          </w:tblCellMar>
        </w:tblPrEx>
        <w:trPr>
          <w:trHeight w:val="436"/>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灶头灭火装置</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12.1规格：单甁组；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12.2工作温度: (4℃-55℃)±10%；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12.3.装置的最大工作压力0.9MPa(±10%)贮存压力：13Mpa(±10%)；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12.4.喷射时间：(13-15s)±10%；喷射延迟时间：2.0s(±10%);喷嘴工作压力：单瓶组0.24MPa(±10%);冷却水喷嘴工作压力：单瓶组0.05MPa(±10%)；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12.5.灭火剂保质期:8年 驱动气瓶标有：驱动气体名称：氮气（N2）;充装压力：13MPa(20°C)(±10%)；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12.6药剂喷洒时间:(13-15秒)±10%。灭火时间:(3-5秒)±10%。</w:t>
            </w:r>
          </w:p>
        </w:tc>
      </w:tr>
      <w:tr>
        <w:tblPrEx>
          <w:tblW w:w="5000" w:type="pct"/>
          <w:tblInd w:w="0" w:type="dxa"/>
          <w:shd w:val="clear" w:color="auto" w:fill="auto"/>
          <w:tblLayout w:type="fixed"/>
          <w:tblCellMar>
            <w:top w:w="0" w:type="dxa"/>
            <w:left w:w="108" w:type="dxa"/>
            <w:bottom w:w="0" w:type="dxa"/>
            <w:right w:w="108" w:type="dxa"/>
          </w:tblCellMar>
        </w:tblPrEx>
        <w:trPr>
          <w:trHeight w:val="414"/>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燃气单头平头炉</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13.1规格：(650mm*700mm*550mm)±10%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材质：炉面用304#1.2mm(±0.5mm)厚不锈钢板,背板、前板、侧板采用304#1.0mm(±0.5mm)厚不锈钢；炉面不锈钢板与下加钢板之间及炉膛内采用高级耐火棉隔热；炉体骨加40mm*40mm的角铁，炉膛采用2.0mm(±0.5mm)厚A3铁板,炉膛内用耐火砖砌结火位，≥4寸高效节能燃烧器，摇摆水龙头、电子点火，热电偶熄火保护，功率：220V/0.55KW(±10%)。</w:t>
            </w: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燃气单门蒸柜</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14.1规格：(650mm*930mm*1850mm)±10%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14.2材质：上柜柜身采用304#1.0mm(±0.5mm)厚不锈钢板，下柜身采用304#1.0mm(±0.5mm)厚不锈钢板，水胆采用1.5mm(±0.5mm)厚不锈钢板，自动进水系统装置，电子点火，热电偶熄火保护，配节能炉头,功率：220V/0.55KW(±10%)。</w:t>
            </w:r>
          </w:p>
        </w:tc>
      </w:tr>
      <w:tr>
        <w:tblPrEx>
          <w:tblW w:w="5000" w:type="pct"/>
          <w:tblInd w:w="0" w:type="dxa"/>
          <w:shd w:val="clear" w:color="auto" w:fill="auto"/>
          <w:tblLayout w:type="fixed"/>
          <w:tblCellMar>
            <w:top w:w="0" w:type="dxa"/>
            <w:left w:w="108" w:type="dxa"/>
            <w:bottom w:w="0" w:type="dxa"/>
            <w:right w:w="108" w:type="dxa"/>
          </w:tblCellMar>
        </w:tblPrEx>
        <w:trPr>
          <w:trHeight w:val="489"/>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燃气单头大炒炉</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15.1规格(1100mm*1220mm*810mm+400mm)±10%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材质：炉面用304#1.2mm(±0.5mm)厚不锈钢板,背板、前板、侧板采用304#1.0mm(±0.5mm)厚不锈钢；炉面不锈钢板与下加钢板之间及炉膛内采用高级耐火棉隔热；炉体骨加50*50的角铁，炉膛采用2.0mm(±0.5mm)厚A3铁板,炉膛内用耐火砖砌结火位，5寸高效节能燃烧器，摇摆水龙头、电子点火，热电偶熄火保护，功率：220V/0.55KW(±10%)。</w:t>
            </w: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燃气单头小炒炉</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16.1规格(1100mm*1220mm*810mm+400mm)±10%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材质：炉面用304#1.2mm(±0.5mm)厚不锈钢板,背板、前板、侧板采用304#1.0mm(±0.5mm)厚不锈钢；炉面不锈钢板与下加钢板之间及炉膛内采用高级耐火棉隔热；炉体骨加50*50的角铁，炉膛采用2.0mm(±0.5mm)厚A3铁板,炉膛内用耐火砖砌结火位，4寸高效节能燃烧器，摇摆水龙头、电子点火，热电偶熄火保护，功率：220V/0.55KW(±10%)。</w:t>
            </w:r>
          </w:p>
        </w:tc>
      </w:tr>
      <w:tr>
        <w:tblPrEx>
          <w:tblW w:w="5000" w:type="pct"/>
          <w:tblInd w:w="0" w:type="dxa"/>
          <w:shd w:val="clear" w:color="auto" w:fill="auto"/>
          <w:tblLayout w:type="fixed"/>
          <w:tblCellMar>
            <w:top w:w="0" w:type="dxa"/>
            <w:left w:w="108" w:type="dxa"/>
            <w:bottom w:w="0" w:type="dxa"/>
            <w:right w:w="108" w:type="dxa"/>
          </w:tblCellMar>
        </w:tblPrEx>
        <w:trPr>
          <w:trHeight w:val="450"/>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燃气双头煲仔炉</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17.1规格：(450mm*1220mm*810mm+150mm)±10%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17.2材质：炉面板用304#1.2mm(±0.5mm)不锈钢板,其它采用304#1.0mm(±0.5mm)不锈钢；立柱(38mm*38mm*1.0mm)±0.5mm管，配可调子弹脚，文华炉头。</w:t>
            </w:r>
          </w:p>
        </w:tc>
      </w:tr>
      <w:tr>
        <w:tblPrEx>
          <w:tblW w:w="5000" w:type="pct"/>
          <w:tblInd w:w="0" w:type="dxa"/>
          <w:shd w:val="clear" w:color="auto" w:fill="auto"/>
          <w:tblLayout w:type="fixed"/>
          <w:tblCellMar>
            <w:top w:w="0" w:type="dxa"/>
            <w:left w:w="108" w:type="dxa"/>
            <w:bottom w:w="0" w:type="dxa"/>
            <w:right w:w="108" w:type="dxa"/>
          </w:tblCellMar>
        </w:tblPrEx>
        <w:trPr>
          <w:trHeight w:val="430"/>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油网烟罩连灯</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18.1规格：(5800mm*1350mm*510mm)±10%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18.2材质：壳体采用304#1.0mm(±0.5mm)厚不锈钢板，配防水LED照明装置。</w:t>
            </w: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19.1规格：(700mm*350mm)±10%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19.2材质：采用304#1.2mm(±0.5mm)厚不锈钢板。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413"/>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20.1规格：(400mm*1220mm)±10%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20.2材质：采用304#1.2mm(±0.5mm)厚不锈钢板。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刀具砧板消毒柜</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21.1规格：(1500mm*800mm*810mm)±10%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21.2材质：不锈钢柜身，容量：</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20把刀+</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4块砧板（砧板厚度10cm/5cm)，功率：220V/1.62KW(±10%)</w:t>
            </w:r>
          </w:p>
        </w:tc>
      </w:tr>
      <w:tr>
        <w:tblPrEx>
          <w:tblW w:w="5000" w:type="pct"/>
          <w:tblInd w:w="0" w:type="dxa"/>
          <w:shd w:val="clear" w:color="auto" w:fill="auto"/>
          <w:tblLayout w:type="fixed"/>
          <w:tblCellMar>
            <w:top w:w="0" w:type="dxa"/>
            <w:left w:w="108" w:type="dxa"/>
            <w:bottom w:w="0" w:type="dxa"/>
            <w:right w:w="108" w:type="dxa"/>
          </w:tblCellMar>
        </w:tblPrEx>
        <w:trPr>
          <w:trHeight w:val="451"/>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程控数显商用电开水器1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22.1规格：(463mm*282mm*797mm)±10%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22.2材质：不锈钢外壳，供水量：90L/H(±10%)，功率：380V/9KW(±10%),温度显示：程控显屏，配挂墙架。</w:t>
            </w:r>
          </w:p>
        </w:tc>
      </w:tr>
      <w:tr>
        <w:tblPrEx>
          <w:tblW w:w="5000" w:type="pct"/>
          <w:tblInd w:w="0" w:type="dxa"/>
          <w:shd w:val="clear" w:color="auto" w:fill="auto"/>
          <w:tblLayout w:type="fixed"/>
          <w:tblCellMar>
            <w:top w:w="0" w:type="dxa"/>
            <w:left w:w="108" w:type="dxa"/>
            <w:bottom w:w="0" w:type="dxa"/>
            <w:right w:w="108" w:type="dxa"/>
          </w:tblCellMar>
        </w:tblPrEx>
        <w:trPr>
          <w:trHeight w:val="461"/>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拼板3</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23.1规格：(450mm*400mm)±10%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23.2材质：采用304#1.2mm(±0.5mm)厚不锈钢板。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385"/>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挂墙单洗手星盆2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24.1规格：(400mm*350mm*250mm)±10%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24.2材质：面板采用304#1.2mm(±0.5mm)厚不锈钢板，围板及星斗304#1.0mmm厚(±0.5mm)，配感应龙头，功率：220V/0.2KW(±10%)。</w:t>
            </w:r>
          </w:p>
        </w:tc>
      </w:tr>
      <w:tr>
        <w:tblPrEx>
          <w:tblW w:w="5000" w:type="pct"/>
          <w:tblInd w:w="0" w:type="dxa"/>
          <w:shd w:val="clear" w:color="auto" w:fill="auto"/>
          <w:tblLayout w:type="fixed"/>
          <w:tblCellMar>
            <w:top w:w="0" w:type="dxa"/>
            <w:left w:w="108" w:type="dxa"/>
            <w:bottom w:w="0" w:type="dxa"/>
            <w:right w:w="108" w:type="dxa"/>
          </w:tblCellMar>
        </w:tblPrEx>
        <w:trPr>
          <w:trHeight w:val="460"/>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25.1规格(600mm*600mm*810mm+150mm)±10%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25.2材质：台面采用304#1.2mm(±0.5mm)厚不锈钢板，星斗304#1.0mm(±0.5mm)，台脚(38mm*38mm*1.0mm)±0.5mm不锈钢方管，横管(30mm*30mm*0.8mm)±0.5mm不锈钢方管，配全钢可调子弹脚及龙头。</w:t>
            </w:r>
          </w:p>
        </w:tc>
      </w:tr>
      <w:tr>
        <w:tblPrEx>
          <w:tblW w:w="5000" w:type="pct"/>
          <w:tblInd w:w="0" w:type="dxa"/>
          <w:shd w:val="clear" w:color="auto" w:fill="auto"/>
          <w:tblLayout w:type="fixed"/>
          <w:tblCellMar>
            <w:top w:w="0" w:type="dxa"/>
            <w:left w:w="108" w:type="dxa"/>
            <w:bottom w:w="0" w:type="dxa"/>
            <w:right w:w="108" w:type="dxa"/>
          </w:tblCellMar>
        </w:tblPrEx>
        <w:trPr>
          <w:trHeight w:val="430"/>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面粉台</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26.1规格：(1200mm*600mm*810mm+150mm)±10%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26.2材质：台面采用304#1.2mm(±0.5mm)厚不锈钢板加木板，面板底部边框采用(30mm*30mm*0.8mm)±0.5mm厚不锈钢管加固，台脚采(50mm*50mm*1.2mm)±0.5mm不锈钢方管，配全钢可调子弹脚。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面粉车</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27.1规格：(500mm*500mm*500mm)±10%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27.2材质：柜体采用304#1.2mm(±0.5mm)厚不锈钢板，盖板采用1.0mm(±0.5mm)厚不锈钢，配4寸万向脚轮，其中2个带刹车。</w:t>
            </w:r>
          </w:p>
        </w:tc>
      </w:tr>
      <w:tr>
        <w:tblPrEx>
          <w:tblW w:w="5000" w:type="pct"/>
          <w:tblInd w:w="0" w:type="dxa"/>
          <w:shd w:val="clear" w:color="auto" w:fill="auto"/>
          <w:tblLayout w:type="fixed"/>
          <w:tblCellMar>
            <w:top w:w="0" w:type="dxa"/>
            <w:left w:w="108" w:type="dxa"/>
            <w:bottom w:w="0" w:type="dxa"/>
            <w:right w:w="108" w:type="dxa"/>
          </w:tblCellMar>
        </w:tblPrEx>
        <w:trPr>
          <w:trHeight w:val="365"/>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平台雪柜</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28.1规格：(1200mm*600mm*810mm+150mm)±10%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28.2制冷方式：直冷，温度：【(-15℃）-（-6℃)】±10%。</w:t>
            </w: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食品添加剂柜</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29.1规格：(600mm*350mm*600mm)±10%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29.2材质：柜体采用304#1.2mm(±0.5mm)厚不锈钢板，门板采用304#1.0mm(±0.5mm)厚不锈板，加强筋采用304#1.0mm(±0.5mm)厚不锈钢板。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422"/>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挂墙吊柜</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30.1规格：(1200mm*350mm*600mm)±10%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30.2材质：柜体采用304#1.2mm(±0.5mm)厚不锈钢板，门板采用304#1.0mm(±0.5mm)厚不锈板，加强筋采用304#1.0mm(±0.5mm)厚不锈钢板。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煎饼炉</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31.1规格：(760mm*640mm*770mm)±10%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31.2功率：380V/4.5KW(±10%)</w:t>
            </w:r>
          </w:p>
        </w:tc>
      </w:tr>
      <w:tr>
        <w:tblPrEx>
          <w:tblW w:w="5000" w:type="pct"/>
          <w:tblInd w:w="0" w:type="dxa"/>
          <w:shd w:val="clear" w:color="auto" w:fill="auto"/>
          <w:tblLayout w:type="fixed"/>
          <w:tblCellMar>
            <w:top w:w="0" w:type="dxa"/>
            <w:left w:w="108" w:type="dxa"/>
            <w:bottom w:w="0" w:type="dxa"/>
            <w:right w:w="108" w:type="dxa"/>
          </w:tblCellMar>
        </w:tblPrEx>
        <w:trPr>
          <w:trHeight w:val="393"/>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双层四盘电炉下连八盘钢醒发箱</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32.1规格：(1210mm*815mm*1725mm)±10%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32.2功率：380V/19.8KW(±10%)。</w:t>
            </w: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33.1规格：(2000mm*1000mm*510mm)±10%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33.2材质：壳体采用304#1.0mm(±0.5mm)厚不锈钢板。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356"/>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饼盘车</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34.1规格：(465mm*600mm*1800mm)±10%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34.2材质：柜体采用304#1.0mm(±0.5mm)厚不锈钢板冲孔板，每层承托板采用304#1.5mm(±0.5mm)厚不锈钢板，立柱(38mm*38mm*1.0mm)±0.5mm不锈钢方管，配</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4寸静音万向脚轮，其中2个带刹车。</w:t>
            </w:r>
          </w:p>
        </w:tc>
      </w:tr>
      <w:tr>
        <w:tblPrEx>
          <w:tblW w:w="5000" w:type="pct"/>
          <w:tblInd w:w="0" w:type="dxa"/>
          <w:shd w:val="clear" w:color="auto" w:fill="auto"/>
          <w:tblLayout w:type="fixed"/>
          <w:tblCellMar>
            <w:top w:w="0" w:type="dxa"/>
            <w:left w:w="108" w:type="dxa"/>
            <w:bottom w:w="0" w:type="dxa"/>
            <w:right w:w="108" w:type="dxa"/>
          </w:tblCellMar>
        </w:tblPrEx>
        <w:trPr>
          <w:trHeight w:val="414"/>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压面机</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35.1规格：(480mm*415mm*960mm)±10%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35.2压面宽度：150mm(±10%),压面厚度：(0.5-5mm)±10%,生产能力：(20-25kg/h)±10%，功率：220V/1.1KW(±10%)。</w:t>
            </w:r>
          </w:p>
        </w:tc>
      </w:tr>
      <w:tr>
        <w:tblPrEx>
          <w:tblW w:w="5000" w:type="pct"/>
          <w:tblInd w:w="0" w:type="dxa"/>
          <w:shd w:val="clear" w:color="auto" w:fill="auto"/>
          <w:tblLayout w:type="fixed"/>
          <w:tblCellMar>
            <w:top w:w="0" w:type="dxa"/>
            <w:left w:w="108" w:type="dxa"/>
            <w:bottom w:w="0" w:type="dxa"/>
            <w:right w:w="108" w:type="dxa"/>
          </w:tblCellMar>
        </w:tblPrEx>
        <w:trPr>
          <w:trHeight w:val="442"/>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搅拌机</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36.1规格：(565mm*445mm*725mm)±10%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36.2料桶容积：20L(±10%)，最大和面量：6kg(±10%)，功率：380V/0.75KW(±10%)。</w:t>
            </w:r>
          </w:p>
        </w:tc>
      </w:tr>
      <w:tr>
        <w:tblPrEx>
          <w:tblW w:w="5000" w:type="pct"/>
          <w:tblInd w:w="0" w:type="dxa"/>
          <w:shd w:val="clear" w:color="auto" w:fill="auto"/>
          <w:tblLayout w:type="fixed"/>
          <w:tblCellMar>
            <w:top w:w="0" w:type="dxa"/>
            <w:left w:w="108" w:type="dxa"/>
            <w:bottom w:w="0" w:type="dxa"/>
            <w:right w:w="108" w:type="dxa"/>
          </w:tblCellMar>
        </w:tblPrEx>
        <w:trPr>
          <w:trHeight w:val="498"/>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双动和面机</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37.1规格：(700mm*450mm*780mm)±10%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37.2料桶容积：21L(±10%)，最大和面量：8kg(±10%)，功率：380V/0.75KW(±10%)。</w:t>
            </w:r>
          </w:p>
        </w:tc>
      </w:tr>
      <w:tr>
        <w:tblPrEx>
          <w:tblW w:w="5000" w:type="pct"/>
          <w:tblInd w:w="0" w:type="dxa"/>
          <w:shd w:val="clear" w:color="auto" w:fill="auto"/>
          <w:tblLayout w:type="fixed"/>
          <w:tblCellMar>
            <w:top w:w="0" w:type="dxa"/>
            <w:left w:w="108" w:type="dxa"/>
            <w:bottom w:w="0" w:type="dxa"/>
            <w:right w:w="108" w:type="dxa"/>
          </w:tblCellMar>
        </w:tblPrEx>
        <w:trPr>
          <w:trHeight w:val="458"/>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回收台</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38.1规格：(1300mm*700mm*810mm)±10%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38.2材质：台面采用304#1.2mm(±0.5mm)厚不锈钢板，面板底部边框采用(30mm*30mm*0.8mm)±0.5mm厚不锈钢管加固，台脚采(38mm*38mm*1.0mm)±0.5mm不锈钢方管，配全钢可调子弹脚。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星盆台</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39.1规格：(1000mm*700mm*810mm+150mm)±10%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39.2材质：台面采用304#1.2mm(±0.5mm)厚不锈钢板，星斗304#1.0mm(±0.5mm)，台脚(38mm*38mm*1.0mm)±0.5mm不锈钢方管，横管(30mm*30mm*0.8mm)±0.5mm不锈钢方管，配全钢可调子弹脚及龙头。</w:t>
            </w:r>
          </w:p>
        </w:tc>
      </w:tr>
      <w:tr>
        <w:tblPrEx>
          <w:tblW w:w="5000" w:type="pct"/>
          <w:tblInd w:w="0" w:type="dxa"/>
          <w:shd w:val="clear" w:color="auto" w:fill="auto"/>
          <w:tblLayout w:type="fixed"/>
          <w:tblCellMar>
            <w:top w:w="0" w:type="dxa"/>
            <w:left w:w="108" w:type="dxa"/>
            <w:bottom w:w="0" w:type="dxa"/>
            <w:right w:w="108" w:type="dxa"/>
          </w:tblCellMar>
        </w:tblPrEx>
        <w:trPr>
          <w:trHeight w:val="338"/>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程控数显商用电开水器2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40.1规格：(463mm*282mm*797mm)±10%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40.2材质：不锈钢外壳，供水量：90L/H(±10%)，功率：380V/9KW(±10%),温度显示：程控显屏，配挂墙架。</w:t>
            </w:r>
          </w:p>
        </w:tc>
      </w:tr>
      <w:tr>
        <w:tblPrEx>
          <w:tblW w:w="5000" w:type="pct"/>
          <w:tblInd w:w="0" w:type="dxa"/>
          <w:shd w:val="clear" w:color="auto" w:fill="auto"/>
          <w:tblLayout w:type="fixed"/>
          <w:tblCellMar>
            <w:top w:w="0" w:type="dxa"/>
            <w:left w:w="108" w:type="dxa"/>
            <w:bottom w:w="0" w:type="dxa"/>
            <w:right w:w="108" w:type="dxa"/>
          </w:tblCellMar>
        </w:tblPrEx>
        <w:trPr>
          <w:trHeight w:val="477"/>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方通架</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41.1规格：(900mm*450mm*1500mm)±10%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41.2材质：横管采用(25mm*12mm*0.8mm)±0.5mm不锈钢扁通，立柱采用(38mm*38mm*1.0mm)±0.5mm不锈钢方通，配全钢可调子弹脚。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393"/>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热循环风高温消毒柜</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42.1规格：(1170mm*520mm*1900mm)±10%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42.2不锈钢柜身，配全钢重力脚，容量：680L(±10%)功率：220V/2.2KW(±10%)。</w:t>
            </w: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方形工作台柜1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43.1规格：(600mm*700mm*810mm)±10%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43.2材质：台面采用304#1.2mm(±0.5mm)厚不锈钢板加木板，面板底部边框采用(30mm*30mm*0.8mm)±0.5mm厚不锈钢管，柜身及门304#1.0mm(±0.5mm)厚不锈钢板，层板304#1.0mm(±0.5mm)厚不锈钢板，加强筋采用不锈钢板，配全钢重力脚。</w:t>
            </w:r>
          </w:p>
        </w:tc>
      </w:tr>
      <w:tr>
        <w:tblPrEx>
          <w:tblW w:w="5000" w:type="pct"/>
          <w:tblInd w:w="0" w:type="dxa"/>
          <w:shd w:val="clear" w:color="auto" w:fill="auto"/>
          <w:tblLayout w:type="fixed"/>
          <w:tblCellMar>
            <w:top w:w="0" w:type="dxa"/>
            <w:left w:w="108" w:type="dxa"/>
            <w:bottom w:w="0" w:type="dxa"/>
            <w:right w:w="108" w:type="dxa"/>
          </w:tblCellMar>
        </w:tblPrEx>
        <w:trPr>
          <w:trHeight w:val="402"/>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电热保温柜</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44.1规格：(1800mm*700mm*810mm)±10%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44.2材质：台面采用304#1.2mm(±0.5mm)厚不锈钢板，水槽304#1.0mm(±0.5mm)厚不锈钢板板，围板及门采用304#1.0mm(±0.5mm)厚不锈钢板，配重力脚，工作指示灯，不锈钢发热管，功率：220V/6KW(±10%)。</w:t>
            </w:r>
          </w:p>
        </w:tc>
      </w:tr>
      <w:tr>
        <w:tblPrEx>
          <w:tblW w:w="5000" w:type="pct"/>
          <w:tblInd w:w="0" w:type="dxa"/>
          <w:shd w:val="clear" w:color="auto" w:fill="auto"/>
          <w:tblLayout w:type="fixed"/>
          <w:tblCellMar>
            <w:top w:w="0" w:type="dxa"/>
            <w:left w:w="108" w:type="dxa"/>
            <w:bottom w:w="0" w:type="dxa"/>
            <w:right w:w="108" w:type="dxa"/>
          </w:tblCellMar>
        </w:tblPrEx>
        <w:trPr>
          <w:trHeight w:val="320"/>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保温汤饭桶1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45.1规格：(600mm*700mm*810mm)±10%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45.2材质：台面采用304#1.2mm(±0.5mm)厚不锈钢板，水槽304#1.0mm(±0.5mm)厚不锈钢板板，围板及门采用304#1.0mm(±0.5mm)厚不锈钢板，配重力脚，工作指示灯，不锈钢发热管，功率：220V/2KW(±10%)。</w:t>
            </w: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托板</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46.1规格：(3550mm*250mm*30mm)±10%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46.2材质：采用304#1.0mm(±0.5mm)厚不锈钢板。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367"/>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方形工作台柜2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47.1规格：(700mm*700mm*810mm)±10%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47.2材质：台面采用304#1.2mm(±0.5mm)厚不锈钢板加木板，面板底部边框采用(30mm*30mm*0.8mm)±0.5mm厚不锈钢管，柜身及门304#1.0mm(±0.5mm)厚不锈钢板，层板304#1.0mm(±0.5mm)厚不锈钢板，加强筋采用不锈钢板，配全钢重力脚。</w:t>
            </w: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厨余回收柜</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48.1规格：(600mm*600mm*810mm)±10%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48.2材质：台面采用304#1.2mm(±0.5mm)厚不锈钢板，柜身及门304#1.0mm(±0.5mm)厚不锈钢板，加强筋采用不锈钢板，配全钢重力脚。</w:t>
            </w: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平板推车</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49.1规格：(500mm*500mm*750mm)±10%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49.2材质：面板采用304#1.2mm(±0.5mm)厚不锈钢板，配</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4寸脚轮。</w:t>
            </w:r>
          </w:p>
        </w:tc>
      </w:tr>
      <w:tr>
        <w:tblPrEx>
          <w:tblW w:w="5000" w:type="pct"/>
          <w:tblInd w:w="0" w:type="dxa"/>
          <w:shd w:val="clear" w:color="auto" w:fill="auto"/>
          <w:tblLayout w:type="fixed"/>
          <w:tblCellMar>
            <w:top w:w="0" w:type="dxa"/>
            <w:left w:w="108" w:type="dxa"/>
            <w:bottom w:w="0" w:type="dxa"/>
            <w:right w:w="108" w:type="dxa"/>
          </w:tblCellMar>
        </w:tblPrEx>
        <w:trPr>
          <w:trHeight w:val="331"/>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灭蝇灯</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50.1规格：6W(±10%)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50.2使用面积约：35㎡(±10%)。</w:t>
            </w:r>
          </w:p>
        </w:tc>
      </w:tr>
      <w:tr>
        <w:tblPrEx>
          <w:tblW w:w="5000" w:type="pct"/>
          <w:tblInd w:w="0" w:type="dxa"/>
          <w:shd w:val="clear" w:color="auto" w:fill="auto"/>
          <w:tblLayout w:type="fixed"/>
          <w:tblCellMar>
            <w:top w:w="0" w:type="dxa"/>
            <w:left w:w="108" w:type="dxa"/>
            <w:bottom w:w="0" w:type="dxa"/>
            <w:right w:w="108" w:type="dxa"/>
          </w:tblCellMar>
        </w:tblPrEx>
        <w:trPr>
          <w:trHeight w:val="838"/>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紫外线消毒灯</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51.1.采用吊顶式安装，一体化的高强度材质外壳，表面为光滑型、无缝隙，无裸露铆钉，不得占用地面、墙面空间，并具有LED照明功能。</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▲51.2具有消毒报警功能，消毒功能即将失效/已经失效应有明显的指示。</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51.3.设备具有遥控、人工集中控制、定时集中控制等功能，可根据不同使用场所要求配置。</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▲51.4.外观尺寸采用标准吊顶尺寸（1200mm*600mm*100mm）±10%,可以直接嵌入到吊顶内，也可采用吊装安装，产品厚度≤100mm，需适应2种以上安装要求。</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▲51.5.LED照明时间可达</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20000小时，紫外线灯管使用寿命可达</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5000小时</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51.6.正常工作条件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51.6.1环境温度：5℃-40℃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51.6.2相对湿度：≤80%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51.6.3大气压力：86KPa-106KPa</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51.6.4电源：电压 AC220V 频率 50Hz</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51.6.5安全防护分类：Ⅰ类设备</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51.6.6 消毒空间（m3）：≤50；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51.6.7机内紫外线辐射强度（μW/cm2）≥50；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51.6.8循环消毒风量(m3/h) ：≥200；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51.6.9机外紫外线泄漏强度（μW/cm2）：≤1；   </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51.6.10消毒时空气中的臭氧含量(mg/m3)：≤0.16；</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51.6.11消毒后空气中的平均细菌总数（cfu/ m3）：≤200；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51.6.12噪声(dB )：≤50；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51.6.13输入功率（VA）：≤180；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51.6.14消毒时间（h）：≤ 2；</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51.6.15消毒效果:</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▲51.6.15.1对白色葡萄球菌（8032）的杀灭率≥99.90%。</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51.6.15.2对空气中自然菌的消亡率≥90%。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hint="eastAsia"/>
                <w:b/>
                <w:bCs/>
                <w:color w:val="FF0000"/>
                <w:kern w:val="2"/>
                <w:sz w:val="21"/>
                <w:szCs w:val="21"/>
                <w:lang w:eastAsia="zh-CN"/>
              </w:rPr>
              <w:t>★</w:t>
            </w:r>
            <w:r>
              <w:rPr>
                <w:rFonts w:ascii="宋体" w:eastAsia="宋体" w:hAnsi="宋体" w:cs="宋体" w:hint="eastAsia"/>
                <w:b/>
                <w:bCs/>
                <w:color w:val="FF0000"/>
                <w:sz w:val="22"/>
                <w:szCs w:val="22"/>
                <w:lang w:eastAsia="zh-CN" w:bidi="ar"/>
              </w:rPr>
              <w:t>51.7.符合：GB28235-2020《紫外线消毒器卫生要求》的使用条款的要求。</w:t>
            </w: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风幕机</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52.1规格：(1800mm*188mm*221mm)±10%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52.2功率：220V/0.35KW(±10%)。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不锈钢板</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53.1采用304#1.0mm(±0.5mm)厚。</w:t>
            </w: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隔油网</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54.1规格：(500mm*500mm*50mm)±10%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54.2材质：采用0.6mm(±0.5mm)厚不锈钢板制作。</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55.1功率：220V/550W(±10%)。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挂钟</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56.1规格:Φ350mm(±10%)。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食品温度测量计</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57.1规格：【(-50℃）-300℃】±10% ，材质：不锈钢杆。</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磅称</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58.1规格：500千克(±10%)，材质：铁质。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台称</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59.1规格：30千克(±10%)，材质：铁质。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白胶桶</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60.1规格：65L(±10%)，材质：塑胶。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保鲜盒</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61.1规格：(345mm*230mm*120mm)±10%,材质：塑胶。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周转箱1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62.1规格：(500mm*360mm*175mm)±10%,材质：塑胶。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铁耳菜筐</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63.1规格：(560mm*390mm*290mm)±10%,材质：塑胶。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电饭锅</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64.1规格：5L(±10%)，材质：铁铝合金内胆。</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特加厚生铁锅1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65.1规格：Φ80厘米(±10%),材质：铁质。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特加厚生铁锅2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66.1规格：Φ45厘米(±10%),材质：铁质。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白色塑料圆胶砧板</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67.2规格：(45CM*10CM)±10%，材质：塑胶。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68.1规格：(40CM*40CM)±10%，材质：不锈钢。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69.1规格：(25CM*25CM)±10%，材质：不锈钢。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圆汤桶3</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70.1规格：(20CM*20CM)±10%，材质：不锈钢。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长方形脚踩式垃圾桶</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71.1规格：70升(±10%)，材质：塑胶。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片刀</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72.1规格：(312mm*80mm)±10%，材质：不锈钢。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猪肉刀</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73.1规格：(312mm*80mm)±10%，材质：不锈钢。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骨刀</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74.1规格：(304mm*80mm)±10%，材质：不锈钢。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弯刀</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75.1规格：(308mm*128mm)±10%，材质：不锈钢木柄。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不锈钢长柄炸厘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76.1规格：30cm(±10%)。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木柄漏壳</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77.1规格：28cm(±10%)，材质：不锈钢。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出口装钢炸厘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78.1规格：8寸(±10%)，材质：不锈钢。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宽边油格</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79.1规格：10寸(±10%)，材质：不锈钢。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柄耳钢复底煎锅</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80.1规格：(Φ300mm*H49mm)±10%，材质：复合材质。</w:t>
            </w:r>
          </w:p>
        </w:tc>
      </w:tr>
      <w:tr>
        <w:tblPrEx>
          <w:tblW w:w="5000" w:type="pct"/>
          <w:tblInd w:w="0" w:type="dxa"/>
          <w:shd w:val="clear" w:color="auto" w:fill="auto"/>
          <w:tblLayout w:type="fixed"/>
          <w:tblCellMar>
            <w:top w:w="0" w:type="dxa"/>
            <w:left w:w="108" w:type="dxa"/>
            <w:bottom w:w="0" w:type="dxa"/>
            <w:right w:w="108" w:type="dxa"/>
          </w:tblCellMar>
        </w:tblPrEx>
        <w:trPr>
          <w:trHeight w:val="349"/>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喷火枪</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81.1规格：(131mm*65mm)±10%，材质：黄铜。</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油石</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82.1规格：(180mm*60mm*30mm)±10%，材质：碳化硅。</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耐高热手套1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83.1规格：(385mm*150mm)±10%，材质：隔热棉。</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脚踏式胶垃圾桶</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84.1规格：40L(±10%)，材质：塑胶。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开罐器</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85.1规格：(220mm*60mm)±10%，材质：合金刀头。</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长方筲箕</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86.1规格：(406mm*297mm*106mm)±10%，材质：塑胶。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94"/>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钢多用刨</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87.1规格：长220mm(±10%)，材质：不锈钢。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88.1规格：(140mm*90mm)±10%，材质：不锈钢。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89.1规格：(100mm*80mm)±10%，材质：不锈钢。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钢炒壳</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90.1规格：(520mm*130mm)±10%，材质：不锈钢。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2号钢炒铲</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91.1规格：(530mm*120mm)±10%，材质：不锈钢木柄。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汤袋</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92.1规格：(12mm*16mm)±10%，材质：布质。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不锈钢蒸饭盆</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93.1规格：(600mm*400mm*48mm)±10%。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不锈钢蒸包盆</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94.1规格：(600mm*400mm*48mm)±10%。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不锈钢菜盘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95.1规格：(500mm*400mm*50mm)±10%。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份数盆连盖</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96.1规格：(530mm*325mm*100mm)±10%；材质：不锈钢。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冲孔钢蒸笼</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97.1规格：(520mm*100mm)±10%，材质：不锈钢。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长面刀</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98.1规格：12寸(±10%)，材质：不锈钢。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厨秤</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99.1规格：500g(±10%)，材质：铁质。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台秤</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100.1规格：8kg(±10%)，材质：铁质。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土司盒（不粘）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101.1规格：(327mm*121mm*121mm)±10%；材质：碳钢。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锯（黑塑料柄）</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102.1规格：(380mm*25mm)±10%；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铝饼盘烤盘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103.1规格：(600mm*400mm*48mm)±10%。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长杆</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104.1规格：(300mm*25mm)±10%；材质：木质。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中号苏棍</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105.1规格：(400mm*30mm)±10%；材质：木质。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煎蛋器（固定柄）</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106.1规格：(90mm*17mm)±10%；材质：不锈钢。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厨师细牙刀</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107.1规格：14寸(±10%)，材质：不锈钢。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煎铲</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108.1规格：(315mm*70mm)±10%，材质：不锈钢。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喷壶</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109.1规格：容量500mi(±10%)，材质：塑胶。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上钢边笼</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110.1规格：(175mm*72mm)±10%，材质：木质。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印花防油纸杯</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111.1规格：Φ80mm(±10%)，材质：纸质。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羊毛刷1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112.1规格：6寸(±10%)，材质：软毛木柄。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胶刮板</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113.1规格：(195mm*125mm)±10%，材质：塑胶。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胶量杯</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114.1规格2000ml(±10%)，材质：塑胶。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羊毛刷2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115.1规格：3寸(±10%)，材质：软毛木柄。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红木刮刀</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116.1规格：5寸(±10%)，材质：不锈钢木柄。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耐高热手套2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117.1规格：(280mm*180mm)±10%，材质：隔热棉。</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不锈钢水刮</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118.1规格：长度600mm(±10%)。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地刷套装</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119.1规格：长度260mm(±10%)，材质：塑胶。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周转箱2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120.1规格：(560mm*420mm*230mm)±10%，材质：塑胶。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白色半筒水鞋</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121.1规格：41码(±10%)，材质：塑胶。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单桶榨水车</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122.1规格：(610mm*420mm*930mm)±10%，材质：塑胶。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钢玻璃刮连夹</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123.1规格：长350mm(±10%)，材质：不锈钢。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餐盘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124.1规格：六格(±10%)，材质：不锈钢。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汤碗</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125.1规格：11.5CM(±10%)，材质：不锈钢。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126.1规格：64mm*40mm*30mm，材质：不锈钢。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筷子</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127.1规格：28cm(±10%)，材质：不锈钢。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半圆食品夹</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128.1规格：12寸(±10%)，材质：不锈钢。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圆形食品夹</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129.1规格：12寸(±10%)，材质：不锈钢。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搁盘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130.1规格：13.8寸(±10%)，材质：不锈钢。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长孔厨匙</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131.1规格：长度1950mm(±10%)，材质：不锈钢。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圆形打菜勺</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132.1规格：16寸(±10%)，材质：不锈钢。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打饭勺</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133.1规格：16寸(±10%)，材质：不锈钢。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真空保温壶</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134.1规格：2L(±10%)，材质：不锈钢。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方形防滑托盘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135.1规格：(380mm*515mm)±10%，材质：塑胶。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圆形防滑托盘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136.1规格：Φ355mm(±10%)，材质：塑胶。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四方翘脚碗</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137.1规格：10寸(±10%)，材质：瓷质。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汤锅（玻璃盖）</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138.1规格：12寸(±10%)，材质：瓷质。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双耳汤炉碗</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139.1规格：6寸(±10%)，材质：瓷质。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带盖汤盘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140.1规格：10.5寸(±10%)，材质：瓷质。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小菜蝶1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141.1规格：8.5寸(±10%)，材质：瓷质。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小菜蝶2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142.1规格：10寸(±10%)，材质：瓷质。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菜碟</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143.1规格：12寸(±10%)，材质：不锈钢。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长形盘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144.1规格：18寸(±10%)，材质：瓷质。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装菜碗</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145.1规格：10寸(±10%)，材质：瓷质。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大号拌面碗</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146.1规格：23.5cm(±10%)，材质：塑胶。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鼓型小碗</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147.1规格：20寸(±10%)，材质：瓷质。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螺纹碗</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148.1规格：16寸(±10%)，材质：瓷质。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树叶碟</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149.1规格：16.5寸(±10%)，材质：瓷质。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船型盘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150.1规格：14寸(±10%)，材质：瓷质。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四方碟</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151.1规格：14寸(±10%)，材质：瓷质。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酱碗</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152.1规格：15寸(±10%)，材质：瓷质。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钢盆</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153.1规格：3(05mm*265mm*78mm)±10%，材质：不锈钢。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异形带格盘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154.1规格：(280mm*243mm*78mm)±10%，材质：不锈钢。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锅架</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155.1规格：(212mm*212mm*75mm)±10%，材质：不锈钢。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汤壳</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156.1规格：(260mm*69mm)±10%，材质：不锈钢。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漏壳</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157.1规格：(260mm*69mm)±10%，材质：不锈钢。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汤锅</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158.1规格：(180mm*100mm)±10%，材质：瓷质。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自助调料碟</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159.1规格：3寸(±10%)，材质：瓷质。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小菜碟</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160.1规格：6寸(±10%)，材质：瓷质。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水杯</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161.1规格：2寸(±10%)，材质：瓷质。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防烫碟</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162.1规格：7寸(±10%)，材质：瓷质。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蒸菜碗</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163.1规格：3寸(±10%)，材质：瓷质。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边深碗</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164.1规格：8寸(±10%)，材质：瓷质。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球形大盘</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165.1规格：12寸(±10%)，材质：瓷质。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调料汤匙</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166.1规格：长度170mm(±10%)，材质：瓷质。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水壶</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167.1规格：容量1000ml(±10%)，材质：玻璃。</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菜盒1</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168.1规格：Φ155mm(±10%)，材质：不锈钢。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菜盒2</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169.1规格：Φ320mm(±10%)，材质：不锈钢。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单门消毒柜</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170.1规格：(550mm*430mm*1650mm)±10%。</w:t>
            </w:r>
          </w:p>
        </w:tc>
      </w:tr>
      <w:tr>
        <w:tblPrEx>
          <w:tblW w:w="5000" w:type="pct"/>
          <w:tblInd w:w="0" w:type="dxa"/>
          <w:shd w:val="clear" w:color="auto" w:fill="auto"/>
          <w:tblLayout w:type="fixed"/>
          <w:tblCellMar>
            <w:top w:w="0" w:type="dxa"/>
            <w:left w:w="108" w:type="dxa"/>
            <w:bottom w:w="0" w:type="dxa"/>
            <w:right w:w="108" w:type="dxa"/>
          </w:tblCellMar>
        </w:tblPrEx>
        <w:trPr>
          <w:trHeight w:val="336"/>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171.1规格：(980mm*1505mm*750mm)±10%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171.2不锈钢外壳，处理风量：12000m³/H(±10%)。</w:t>
            </w:r>
          </w:p>
        </w:tc>
      </w:tr>
      <w:tr>
        <w:tblPrEx>
          <w:tblW w:w="5000" w:type="pct"/>
          <w:tblInd w:w="0" w:type="dxa"/>
          <w:shd w:val="clear" w:color="auto" w:fill="auto"/>
          <w:tblLayout w:type="fixed"/>
          <w:tblCellMar>
            <w:top w:w="0" w:type="dxa"/>
            <w:left w:w="108" w:type="dxa"/>
            <w:bottom w:w="0" w:type="dxa"/>
            <w:right w:w="108" w:type="dxa"/>
          </w:tblCellMar>
        </w:tblPrEx>
        <w:trPr>
          <w:trHeight w:val="605"/>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燃气管道系统</w:t>
            </w: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172.1智能计量箱：规格要求：G10.5G低压；2r型过滤器、铜球阀、电磁阀、表箱、温压传感器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172.2皮膜表：带远传/预付费</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172.3紧急切断阀配线，规格：RVV-3+0.75，紧急切断阀配线及金属软管</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172.4螺纹球阀，规格：DN50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172.5螺纹球阀,规格：DN25</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172.5螺纹球阀,规格：DN15</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172.6镀锌钢管,规格：DN50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172.7镀锌钢管,规格：DN40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172.8镀锌钢管,规格：DN25</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172.9镀锌钢管,规格：DN15</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172.10穿墙套管,规格：DN80,PVC穿墙套管(含热收缩套)</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172.11压力表,规格：0-0.01ipa</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172.12泄露报警器,规格：点对点式1回路</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172.13报警器连接线</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145G计量箱电源，通讯线</w:t>
            </w:r>
          </w:p>
        </w:tc>
      </w:tr>
    </w:tbl>
    <w:p>
      <w:pPr>
        <w:widowControl w:val="0"/>
        <w:jc w:val="both"/>
        <w:rPr>
          <w:rFonts w:ascii="Calibri" w:eastAsia="宋体" w:hAnsi="Calibri"/>
          <w:kern w:val="2"/>
          <w:sz w:val="21"/>
          <w:szCs w:val="22"/>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p>
      <w:pPr>
        <w:widowControl w:val="0"/>
        <w:spacing w:line="360" w:lineRule="auto"/>
        <w:jc w:val="both"/>
        <w:rPr>
          <w:rFonts w:ascii="Calibri" w:eastAsia="宋体" w:hAnsi="Calibri"/>
          <w:kern w:val="2"/>
          <w:szCs w:val="22"/>
          <w:lang w:eastAsia="zh-CN"/>
        </w:rPr>
      </w:pPr>
    </w:p>
    <w:p>
      <w:pPr>
        <w:keepNext/>
        <w:keepLines/>
        <w:pageBreakBefore w:val="0"/>
        <w:widowControl w:val="0"/>
        <w:kinsoku/>
        <w:wordWrap/>
        <w:overflowPunct/>
        <w:topLinePunct w:val="0"/>
        <w:autoSpaceDE/>
        <w:autoSpaceDN/>
        <w:bidi w:val="0"/>
        <w:adjustRightInd/>
        <w:snapToGrid/>
        <w:spacing w:before="156" w:beforeLines="50" w:after="156" w:afterLines="50" w:line="416" w:lineRule="auto"/>
        <w:jc w:val="center"/>
        <w:textAlignment w:val="auto"/>
        <w:outlineLvl w:val="2"/>
        <w:rPr>
          <w:rFonts w:ascii="宋体" w:eastAsia="宋体" w:hAnsi="宋体"/>
          <w:kern w:val="2"/>
          <w:sz w:val="28"/>
          <w:szCs w:val="28"/>
          <w:lang w:eastAsia="zh-CN"/>
        </w:rPr>
      </w:pPr>
      <w:r>
        <w:rPr>
          <w:rFonts w:ascii="宋体" w:eastAsia="宋体" w:hAnsi="宋体" w:cstheme="minorBidi" w:hint="eastAsia"/>
          <w:kern w:val="2"/>
          <w:sz w:val="28"/>
          <w:szCs w:val="28"/>
          <w:lang w:eastAsia="zh-CN"/>
        </w:rPr>
        <w:t>六、其他重要条款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投标（响应）报价采用包干制，应包括成本、法定税费和相应的利润，应涵盖本项目采购范围和征集文件所列的各项内容中所述的全部。由供应商根据招标需求自行测算投标（响应）报价；一经中标（成交），投标（响应）报价即作为中标（成交）单位与采购人签订的合同金额。</w:t>
      </w:r>
    </w:p>
    <w:p>
      <w:pPr>
        <w:widowControl w:val="0"/>
        <w:spacing w:before="78" w:beforeLines="25" w:after="78" w:afterLines="25"/>
        <w:ind w:firstLine="393" w:firstLineChars="187"/>
        <w:jc w:val="both"/>
        <w:rPr>
          <w:rFonts w:ascii="宋体" w:eastAsia="宋体" w:hAnsi="宋体"/>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、供应商应充分了解项目的位置、情况、道路及任何其它足以影响投标（响应）报价的情况，任何因忽视或误解项目情况而导致的索赔或服务期限延长申请将不获批准。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供应商不得期望通过索赔等方式获取补偿，否则，除可能遭到拒绝外，还可能将被作为不良行为记录在案，并可能影响其以后参加政府采购的项目投标（响应）。各供应商在投标（响应）报价时，应充分考虑投标（响应）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4、除政府采购（自行采购）合同继续履行将损害国家利益和社会公共利益外，双方当事人不得擅自变更、中止或者终止合同。</w:t>
      </w:r>
    </w:p>
    <w:p>
      <w:pPr>
        <w:widowControl w:val="0"/>
        <w:ind w:firstLine="420" w:firstLineChars="200"/>
        <w:jc w:val="both"/>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jc w:val="left"/>
        <w:rPr>
          <w:rFonts w:ascii="宋体" w:eastAsia="黑体" w:hAnsi="宋体"/>
          <w:bCs/>
          <w:kern w:val="44"/>
          <w:sz w:val="28"/>
          <w:szCs w:val="44"/>
          <w:lang w:eastAsia="zh-CN"/>
        </w:rPr>
      </w:pPr>
    </w:p>
    <w:p>
      <w:pPr>
        <w:widowControl w:val="0"/>
        <w:jc w:val="both"/>
        <w:rPr>
          <w:rFonts w:ascii="宋体" w:eastAsia="宋体" w:hAnsi="宋体" w:hint="eastAsia"/>
          <w:b/>
          <w:bCs/>
          <w:sz w:val="28"/>
          <w:szCs w:val="28"/>
          <w:lang w:eastAsia="zh-CN"/>
        </w:rPr>
      </w:pPr>
      <w:r>
        <w:rPr>
          <w:rFonts w:ascii="宋体" w:eastAsia="宋体" w:hAnsi="宋体" w:hint="eastAsia"/>
          <w:b/>
          <w:bCs/>
          <w:sz w:val="28"/>
          <w:szCs w:val="28"/>
          <w:lang w:eastAsia="zh-CN"/>
        </w:rPr>
        <w:br w:type="page"/>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w:t>
      </w:r>
      <w:r>
        <w:rPr>
          <w:rFonts w:ascii="宋体" w:eastAsia="宋体" w:hAnsi="宋体"/>
          <w:b/>
          <w:bCs/>
          <w:sz w:val="28"/>
          <w:szCs w:val="28"/>
          <w:lang w:eastAsia="zh-CN"/>
        </w:rPr>
        <w:t xml:space="preserve"> </w:t>
      </w:r>
      <w:r>
        <w:rPr>
          <w:rFonts w:ascii="宋体" w:eastAsia="宋体" w:hAnsi="宋体" w:hint="eastAsia"/>
          <w:b/>
          <w:bCs/>
          <w:sz w:val="28"/>
          <w:szCs w:val="28"/>
          <w:lang w:eastAsia="zh-CN"/>
        </w:rPr>
        <w:t xml:space="preserve"> 投标（响应）文件组成要求及格式</w:t>
      </w:r>
    </w:p>
    <w:p>
      <w:pPr>
        <w:widowControl w:val="0"/>
        <w:jc w:val="both"/>
        <w:outlineLvl w:val="2"/>
        <w:rPr>
          <w:rFonts w:ascii="黑体" w:eastAsia="黑体" w:hAnsi="Calibri"/>
          <w:b/>
          <w:bCs/>
          <w:color w:val="FF0000"/>
          <w:kern w:val="2"/>
          <w:sz w:val="28"/>
          <w:szCs w:val="22"/>
          <w:lang w:eastAsia="zh-CN"/>
        </w:rPr>
      </w:pPr>
      <w:r>
        <w:rPr>
          <w:rFonts w:ascii="黑体" w:eastAsia="黑体" w:hAnsi="Calibri" w:cstheme="minorBidi" w:hint="eastAsia"/>
          <w:b/>
          <w:bCs/>
          <w:color w:val="FF0000"/>
          <w:kern w:val="2"/>
          <w:sz w:val="28"/>
          <w:szCs w:val="22"/>
          <w:lang w:eastAsia="zh-CN"/>
        </w:rPr>
        <w:t>特别提醒：</w:t>
      </w:r>
    </w:p>
    <w:p>
      <w:pPr>
        <w:widowControl w:val="0"/>
        <w:ind w:firstLine="480" w:firstLineChars="20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投标（响应）文件正文将对外公开，投标（响应）文件附件不公开。供应商在编辑投标（响应）文件时，在投标（响应）文件目录中属于本节点内容的必须在本节点中填写，填写到其他节点或附件的将可能导致投标（响应）无效，一切后果由供应商自行承担。</w:t>
      </w:r>
    </w:p>
    <w:p>
      <w:pPr>
        <w:widowControl w:val="0"/>
        <w:jc w:val="both"/>
        <w:rPr>
          <w:rFonts w:ascii="宋体" w:eastAsia="宋体" w:hAnsi="宋体" w:cs="宋体" w:hint="eastAsia"/>
          <w:b/>
          <w:bCs/>
          <w:color w:val="FF0000"/>
          <w:kern w:val="2"/>
          <w:sz w:val="28"/>
          <w:szCs w:val="22"/>
          <w:lang w:eastAsia="zh-CN"/>
        </w:rPr>
      </w:pPr>
      <w:r>
        <w:rPr>
          <w:rFonts w:ascii="宋体" w:eastAsia="宋体" w:hAnsi="宋体" w:cs="宋体" w:hint="eastAsia"/>
          <w:kern w:val="2"/>
          <w:szCs w:val="22"/>
          <w:lang w:eastAsia="zh-CN"/>
        </w:rPr>
        <w:t xml:space="preserve">    投标（响应）文件正文（信息公开部分）必须编制于“正文（公开部分）”部分，投标（响应）文件附件（非信息公开部分）必须编制于“附件（不公开部分）”部分。</w:t>
      </w:r>
    </w:p>
    <w:p>
      <w:pPr>
        <w:widowControl w:val="0"/>
        <w:ind w:firstLine="480" w:firstLineChars="200"/>
        <w:jc w:val="both"/>
        <w:rPr>
          <w:rFonts w:ascii="宋体" w:eastAsia="宋体" w:hAnsi="宋体" w:hint="eastAsia"/>
          <w:b/>
          <w:color w:val="FF0000"/>
          <w:kern w:val="2"/>
          <w:sz w:val="28"/>
          <w:szCs w:val="28"/>
          <w:lang w:eastAsia="zh-CN"/>
        </w:rPr>
      </w:pPr>
      <w:bookmarkStart w:id="13" w:name="_Hlk72257167"/>
      <w:r>
        <w:rPr>
          <w:rFonts w:ascii="宋体" w:eastAsia="宋体" w:hAnsi="宋体" w:cs="宋体" w:hint="eastAsia"/>
          <w:kern w:val="2"/>
          <w:szCs w:val="22"/>
          <w:lang w:eastAsia="zh-CN"/>
        </w:rPr>
        <w:t>政府集中采购机构公布投标（响应）文件正文（信息公开部分）时为计算机截取信息自动公布，</w:t>
      </w:r>
      <w:r>
        <w:rPr>
          <w:rFonts w:ascii="宋体" w:eastAsia="宋体" w:hAnsi="宋体" w:cs="宋体" w:hint="eastAsia"/>
          <w:b/>
          <w:bCs/>
          <w:kern w:val="2"/>
          <w:szCs w:val="22"/>
          <w:lang w:eastAsia="zh-CN"/>
        </w:rPr>
        <w:t>如供应商误将涉及个人隐私的信息放入投标（响应）文件正文，相关后果由供应商自负；</w:t>
      </w:r>
      <w:r>
        <w:rPr>
          <w:rFonts w:ascii="宋体" w:eastAsia="宋体" w:hAnsi="宋体" w:cs="宋体" w:hint="eastAsia"/>
          <w:kern w:val="2"/>
          <w:szCs w:val="22"/>
          <w:highlight w:val="yellow"/>
          <w:lang w:eastAsia="zh-CN"/>
        </w:rPr>
        <w:t>如供应商将必须放于投标（响应）文件正文（信息公开部分）的内容放入投标（响应）文件附件（非信息公开部分），将作投标（响应）无效处理。</w:t>
      </w:r>
      <w:bookmarkEnd w:id="13"/>
    </w:p>
    <w:p>
      <w:pPr>
        <w:widowControl w:val="0"/>
        <w:jc w:val="both"/>
        <w:rPr>
          <w:rFonts w:ascii="宋体" w:eastAsia="宋体" w:hAnsi="宋体"/>
          <w:kern w:val="2"/>
          <w:szCs w:val="22"/>
          <w:lang w:eastAsia="zh-CN"/>
        </w:rPr>
      </w:pPr>
      <w:bookmarkStart w:id="14" w:name="_Hlk72263559"/>
      <w:bookmarkStart w:id="15" w:name="_Hlk72257771"/>
      <w:r>
        <w:rPr>
          <w:rFonts w:ascii="宋体" w:eastAsia="宋体" w:hAnsi="宋体" w:cstheme="minorBidi" w:hint="eastAsia"/>
          <w:kern w:val="2"/>
          <w:szCs w:val="22"/>
          <w:lang w:eastAsia="zh-CN"/>
        </w:rPr>
        <w:t>投标（响应）文件组成：</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1.投标（响应）文件正文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bookmarkStart w:id="16" w:name="_Hlk72070784"/>
      <w:r>
        <w:rPr>
          <w:rFonts w:ascii="Calibri" w:eastAsia="宋体" w:hAnsi="Calibri" w:cstheme="minorBidi" w:hint="eastAsia"/>
          <w:kern w:val="2"/>
          <w:sz w:val="21"/>
          <w:szCs w:val="21"/>
          <w:lang w:eastAsia="zh-CN"/>
        </w:rPr>
        <w:t>投标（响应）函</w:t>
      </w:r>
      <w:bookmarkEnd w:id="16"/>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w:t>
      </w:r>
      <w:bookmarkStart w:id="17" w:name="_Hlk72062521"/>
      <w:r>
        <w:rPr>
          <w:rFonts w:ascii="Calibri" w:eastAsia="宋体" w:hAnsi="Calibri" w:cstheme="minorBidi" w:hint="eastAsia"/>
          <w:kern w:val="2"/>
          <w:sz w:val="21"/>
          <w:szCs w:val="21"/>
          <w:lang w:eastAsia="zh-CN"/>
        </w:rPr>
        <w:t>自行采购投标（响应）及履约承诺函</w:t>
      </w:r>
      <w:bookmarkEnd w:id="17"/>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）投标（响应）供应商情况及资格证明文件；</w:t>
      </w:r>
    </w:p>
    <w:p>
      <w:pPr>
        <w:widowControl w:val="0"/>
        <w:ind w:left="821" w:firstLine="1418" w:leftChars="342" w:firstLineChars="675"/>
        <w:jc w:val="both"/>
        <w:rPr>
          <w:rFonts w:ascii="Calibri" w:eastAsia="宋体" w:hAnsi="Calibri"/>
          <w:kern w:val="2"/>
          <w:sz w:val="21"/>
          <w:szCs w:val="21"/>
          <w:lang w:eastAsia="zh-CN"/>
        </w:rPr>
      </w:pPr>
      <w:bookmarkStart w:id="18" w:name="_Hlk72257201"/>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4</w:t>
      </w:r>
      <w:r>
        <w:rPr>
          <w:rFonts w:ascii="Calibri" w:eastAsia="宋体" w:hAnsi="Calibri" w:cstheme="minorBidi" w:hint="eastAsia"/>
          <w:kern w:val="2"/>
          <w:sz w:val="21"/>
          <w:szCs w:val="21"/>
          <w:lang w:eastAsia="zh-CN"/>
        </w:rPr>
        <w:t>）</w:t>
      </w:r>
      <w:bookmarkEnd w:id="18"/>
      <w:r>
        <w:rPr>
          <w:rFonts w:ascii="Calibri" w:eastAsia="宋体" w:hAnsi="Calibri" w:cstheme="minorBidi" w:hint="eastAsia"/>
          <w:kern w:val="2"/>
          <w:sz w:val="21"/>
          <w:szCs w:val="21"/>
          <w:lang w:eastAsia="zh-CN"/>
        </w:rPr>
        <w:t>投标（响应）供应商认为需要加以说明的其他内容（公开）；</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2.投标（响应）文件附件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（1）供应商基本情况表；</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（2）法定代表人（负责人）证明书；</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（3）投标（响应）文件签署授权委托书；</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（4）</w:t>
      </w:r>
      <w:r>
        <w:rPr>
          <w:rFonts w:ascii="Calibri" w:eastAsia="宋体" w:hAnsi="Calibri" w:cstheme="minorBidi"/>
          <w:kern w:val="2"/>
          <w:sz w:val="21"/>
          <w:szCs w:val="21"/>
          <w:lang w:eastAsia="zh-CN"/>
        </w:rPr>
        <w:t>实质性条款响应情况表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（5）技术要求偏离表；</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（6）项目详细报价；</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（7）项目组织实施方案；</w:t>
      </w:r>
    </w:p>
    <w:p>
      <w:pPr>
        <w:widowControl w:val="0"/>
        <w:ind w:left="821" w:firstLine="1418" w:leftChars="342" w:firstLineChars="675"/>
        <w:jc w:val="both"/>
        <w:rPr>
          <w:rFonts w:ascii="宋体" w:eastAsia="宋体" w:hAnsi="宋体" w:hint="eastAsia"/>
          <w:kern w:val="2"/>
          <w:sz w:val="21"/>
          <w:szCs w:val="21"/>
          <w:lang w:eastAsia="zh-CN"/>
        </w:rPr>
      </w:pPr>
      <w:r>
        <w:rPr>
          <w:rFonts w:ascii="Calibri" w:eastAsia="宋体" w:hAnsi="Calibri" w:cstheme="minorBidi" w:hint="eastAsia"/>
          <w:kern w:val="2"/>
          <w:sz w:val="21"/>
          <w:szCs w:val="21"/>
          <w:lang w:eastAsia="zh-CN"/>
        </w:rPr>
        <w:t>（8）</w:t>
      </w:r>
      <w:r>
        <w:rPr>
          <w:rFonts w:ascii="宋体" w:eastAsia="宋体" w:hAnsi="宋体" w:cstheme="minorBidi" w:hint="eastAsia"/>
          <w:kern w:val="2"/>
          <w:sz w:val="21"/>
          <w:szCs w:val="21"/>
          <w:lang w:eastAsia="zh-CN"/>
        </w:rPr>
        <w:t>项目重点难点分析、应对措施及相关的合理化建议；</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（9）</w:t>
      </w:r>
      <w:r>
        <w:rPr>
          <w:rFonts w:ascii="宋体" w:eastAsia="宋体" w:hAnsi="宋体" w:cs="宋体" w:hint="eastAsia"/>
          <w:kern w:val="2"/>
          <w:sz w:val="21"/>
          <w:szCs w:val="21"/>
          <w:lang w:eastAsia="zh-CN"/>
        </w:rPr>
        <w:t>售后服务方案；</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（10）政府采购节能环保产品情况；</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（11）绿色采购情况；</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（12）</w:t>
      </w:r>
      <w:r>
        <w:rPr>
          <w:rFonts w:ascii="宋体" w:eastAsia="宋体" w:hAnsi="宋体" w:cs="宋体" w:hint="eastAsia"/>
          <w:kern w:val="2"/>
          <w:sz w:val="21"/>
          <w:szCs w:val="22"/>
          <w:lang w:eastAsia="zh-CN"/>
        </w:rPr>
        <w:t>同类业绩</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theme="minorBidi" w:hint="eastAsia"/>
          <w:kern w:val="2"/>
          <w:sz w:val="21"/>
          <w:szCs w:val="21"/>
          <w:lang w:eastAsia="zh-CN"/>
        </w:rPr>
        <w:t>（13）</w:t>
      </w:r>
      <w:r>
        <w:rPr>
          <w:rFonts w:ascii="Calibri" w:eastAsia="宋体" w:hAnsi="Calibri" w:cstheme="minorBidi" w:hint="eastAsia"/>
          <w:kern w:val="2"/>
          <w:sz w:val="21"/>
          <w:szCs w:val="21"/>
          <w:lang w:eastAsia="zh-CN"/>
        </w:rPr>
        <w:t>投标（响应）供应商认为需要加以说明的其他内容；</w:t>
      </w:r>
    </w:p>
    <w:p>
      <w:pPr>
        <w:widowControl w:val="0"/>
        <w:jc w:val="both"/>
        <w:rPr>
          <w:rFonts w:ascii="仿宋_GB2312" w:eastAsia="仿宋_GB2312" w:hAnsi="Calibri"/>
          <w:kern w:val="2"/>
          <w:szCs w:val="22"/>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1.本项目为网上电子投标（响应）项目，投标（响应）文件不需法人或授权委托人另行签字，无需加盖单位公章，征集文件另有规定的除外。</w:t>
      </w:r>
    </w:p>
    <w:p>
      <w:pPr>
        <w:widowControl w:val="0"/>
        <w:snapToGrid w:val="0"/>
        <w:spacing w:after="78" w:afterLines="25"/>
        <w:ind w:firstLine="420" w:firstLineChars="200"/>
        <w:jc w:val="both"/>
        <w:rPr>
          <w:rFonts w:ascii="宋体" w:eastAsia="黑体" w:hAnsi="宋体"/>
          <w:bCs/>
          <w:kern w:val="44"/>
          <w:sz w:val="32"/>
          <w:szCs w:val="3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r>
        <w:rPr>
          <w:rFonts w:ascii="宋体" w:eastAsia="宋体" w:hAnsi="宋体" w:cstheme="minorBidi" w:hint="eastAsia"/>
          <w:b/>
          <w:kern w:val="2"/>
          <w:szCs w:val="28"/>
          <w:lang w:eastAsia="zh-CN"/>
        </w:rPr>
        <w:t>。</w:t>
      </w:r>
      <w:bookmarkEnd w:id="14"/>
      <w:bookmarkEnd w:id="15"/>
      <w:r>
        <w:rPr>
          <w:rFonts w:ascii="宋体" w:eastAsia="黑体" w:hAnsi="宋体"/>
          <w:bCs/>
          <w:kern w:val="44"/>
          <w:sz w:val="32"/>
          <w:szCs w:val="32"/>
          <w:lang w:eastAsia="zh-CN"/>
        </w:rPr>
        <w:br w:type="page"/>
      </w:r>
    </w:p>
    <w:p>
      <w:pPr>
        <w:widowControl/>
        <w:jc w:val="left"/>
        <w:outlineLvl w:val="2"/>
        <w:rPr>
          <w:rFonts w:ascii="宋体" w:eastAsia="宋体" w:hAnsi="宋体" w:cs="宋体"/>
          <w:b/>
          <w:color w:val="FF0000"/>
          <w:sz w:val="32"/>
          <w:szCs w:val="32"/>
          <w:lang w:eastAsia="zh-CN"/>
        </w:rPr>
      </w:pPr>
      <w:r>
        <w:rPr>
          <w:rFonts w:ascii="宋体" w:eastAsia="宋体" w:hAnsi="宋体" w:cs="宋体" w:hint="eastAsia"/>
          <w:b/>
          <w:color w:val="FF0000"/>
          <w:sz w:val="32"/>
          <w:szCs w:val="32"/>
          <w:lang w:eastAsia="zh-CN"/>
        </w:rPr>
        <w:t>（一）投标（响应）文件正文（信息公开部分）</w:t>
      </w:r>
    </w:p>
    <w:p>
      <w:pPr>
        <w:keepNext/>
        <w:keepLines/>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b/>
          <w:bCs/>
          <w:szCs w:val="20"/>
          <w:lang w:eastAsia="zh-CN"/>
        </w:rPr>
        <w:t>1.</w:t>
      </w:r>
      <w:r>
        <w:rPr>
          <w:rFonts w:ascii="宋体" w:eastAsia="宋体" w:hAnsi="宋体" w:hint="eastAsia"/>
          <w:b/>
          <w:bCs/>
          <w:szCs w:val="20"/>
          <w:lang w:eastAsia="zh-CN"/>
        </w:rPr>
        <w:t>投标（响应）函</w:t>
      </w:r>
    </w:p>
    <w:p>
      <w:pPr>
        <w:widowControl w:val="0"/>
        <w:snapToGrid w:val="0"/>
        <w:spacing w:line="360" w:lineRule="auto"/>
        <w:jc w:val="both"/>
        <w:rPr>
          <w:rFonts w:ascii="Arial" w:eastAsia="宋体" w:hAnsi="Arial"/>
          <w:kern w:val="2"/>
          <w:sz w:val="21"/>
          <w:lang w:eastAsia="zh-CN"/>
        </w:rPr>
      </w:pPr>
    </w:p>
    <w:p>
      <w:pPr>
        <w:widowControl w:val="0"/>
        <w:spacing w:line="360" w:lineRule="auto"/>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深圳公共资源交易中心  </w:t>
      </w:r>
    </w:p>
    <w:p>
      <w:pPr>
        <w:widowControl w:val="0"/>
        <w:ind w:firstLine="420" w:firstLineChars="200"/>
        <w:jc w:val="both"/>
        <w:rPr>
          <w:rFonts w:ascii="宋体" w:eastAsia="宋体" w:hAnsi="宋体"/>
          <w:kern w:val="2"/>
          <w:sz w:val="21"/>
          <w:szCs w:val="21"/>
          <w:lang w:eastAsia="zh-CN"/>
        </w:rPr>
      </w:pPr>
      <w:bookmarkStart w:id="19"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BAZXCG-2025-00488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深圳市宝安区公共卫生服务中心开办新安分中心厨房设备采购项目  </w:t>
      </w:r>
      <w:r>
        <w:rPr>
          <w:rFonts w:ascii="Calibri" w:eastAsia="宋体" w:hAnsi="Calibri" w:cstheme="minorBidi" w:hint="eastAsia"/>
          <w:kern w:val="2"/>
          <w:sz w:val="21"/>
          <w:szCs w:val="21"/>
          <w:lang w:eastAsia="zh-CN"/>
        </w:rPr>
        <w:t>项目的征集文件，参照《深圳经济特区政府采购条例》和《深圳网上政府采购管理暂行办法》等有关规定，我单位经研究上述征集文件的专用条款及通用条款后，</w:t>
      </w:r>
      <w:bookmarkStart w:id="20" w:name="_Hlk72263588"/>
      <w:r>
        <w:rPr>
          <w:rFonts w:ascii="Calibri" w:eastAsia="宋体" w:hAnsi="Calibri" w:cstheme="minorBidi" w:hint="eastAsia"/>
          <w:kern w:val="2"/>
          <w:sz w:val="21"/>
          <w:szCs w:val="21"/>
          <w:lang w:eastAsia="zh-CN"/>
        </w:rPr>
        <w:t>愿意按照征集文件要求承包上述项目并修补其任何缺陷。</w:t>
      </w:r>
      <w:bookmarkEnd w:id="2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1" w:name="_Hlk73819847"/>
      <w:r>
        <w:rPr>
          <w:rFonts w:ascii="宋体" w:eastAsia="宋体" w:hAnsi="宋体" w:cstheme="minorBidi" w:hint="eastAsia"/>
          <w:kern w:val="2"/>
          <w:sz w:val="21"/>
          <w:szCs w:val="21"/>
          <w:lang w:eastAsia="zh-CN"/>
        </w:rPr>
        <w:t>投标（响应）价格见</w:t>
      </w:r>
      <w:r>
        <w:rPr>
          <w:rFonts w:ascii="Calibri" w:eastAsia="宋体" w:hAnsi="Calibri" w:cstheme="minorBidi" w:hint="eastAsia"/>
          <w:kern w:val="2"/>
          <w:sz w:val="21"/>
          <w:szCs w:val="21"/>
          <w:lang w:eastAsia="zh-CN"/>
        </w:rPr>
        <w:t>投标（响应）书编制软件中《开标一览表》中填写的投标（响应）总价。</w:t>
      </w:r>
      <w:bookmarkEnd w:id="2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3、如果我单位中标（成交），我单位将按照征集文件的要求足额提交履约担保。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4、我单位同意所递交的投标（响应）文件在“对通用条款的补充内容”中明确的投标（响应）有效期内有效，在此期间内我单位的投标（响应）有可能中标（成交），我方将受此约束。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5、除非另外达成协议并生效，贵单位的中标（成交）通知书和本投标（响应）文件将构成合同的重要内容。</w:t>
      </w:r>
    </w:p>
    <w:p>
      <w:pPr>
        <w:widowControl w:val="0"/>
        <w:ind w:left="480" w:firstLine="0" w:leftChars="20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6、我单位理解贵单位将不受必须接受所收到的最低报价或其它任何投标（响应）文件的约束。</w:t>
      </w:r>
      <w:bookmarkEnd w:id="19"/>
    </w:p>
    <w:p>
      <w:pPr>
        <w:widowControl w:val="0"/>
        <w:ind w:left="480" w:firstLine="0" w:leftChars="200" w:firstLineChars="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供应商：</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单位地址：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p>
    <w:p>
      <w:pPr>
        <w:widowControl/>
        <w:snapToGrid w:val="0"/>
        <w:spacing w:line="360" w:lineRule="auto"/>
        <w:ind w:firstLine="630" w:firstLineChars="300"/>
        <w:jc w:val="left"/>
        <w:rPr>
          <w:rFonts w:ascii="Arial" w:eastAsia="宋体" w:hAnsi="Arial"/>
          <w:kern w:val="2"/>
          <w:sz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Cs w:val="22"/>
          <w:lang w:eastAsia="zh-CN"/>
        </w:rPr>
        <w:t xml:space="preserve"> </w:t>
      </w:r>
      <w:r>
        <w:rPr>
          <w:rFonts w:ascii="Arial" w:eastAsia="宋体" w:hAnsi="Arial"/>
          <w:kern w:val="2"/>
          <w:sz w:val="21"/>
          <w:lang w:eastAsia="zh-CN"/>
        </w:rPr>
        <w:br w:type="page"/>
      </w:r>
    </w:p>
    <w:p>
      <w:pPr>
        <w:keepNext/>
        <w:keepLines/>
        <w:pageBreakBefore/>
        <w:widowControl w:val="0"/>
        <w:kinsoku/>
        <w:wordWrap/>
        <w:overflowPunct/>
        <w:topLinePunct w:val="0"/>
        <w:autoSpaceDE/>
        <w:autoSpaceDN/>
        <w:bidi w:val="0"/>
        <w:adjustRightInd w:val="0"/>
        <w:snapToGrid w:val="0"/>
        <w:spacing w:line="240" w:lineRule="exact"/>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2.自行采购投标（响应）及履约承诺函</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深圳公共资源交易中心</w:t>
      </w:r>
    </w:p>
    <w:p>
      <w:pPr>
        <w:keepNext w:val="0"/>
        <w:keepLines w:val="0"/>
        <w:pageBreakBefore w:val="0"/>
        <w:widowControl w:val="0"/>
        <w:kinsoku/>
        <w:wordWrap/>
        <w:overflowPunct/>
        <w:topLinePunct w:val="0"/>
        <w:autoSpaceDE/>
        <w:autoSpaceDN/>
        <w:bidi w:val="0"/>
        <w:adjustRightInd/>
        <w:snapToGrid/>
        <w:spacing w:line="240" w:lineRule="exact"/>
        <w:ind w:right="-815"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我单位承诺：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1.我单位参与本项目</w:t>
      </w:r>
      <w:r>
        <w:rPr>
          <w:rFonts w:ascii="宋体" w:eastAsia="宋体" w:hAnsi="宋体" w:cstheme="minorBidi" w:hint="eastAsia"/>
          <w:kern w:val="2"/>
          <w:sz w:val="21"/>
          <w:szCs w:val="22"/>
          <w:lang w:eastAsia="zh-CN"/>
        </w:rPr>
        <w:t>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政府采购活动时不存在被有关部门禁止参与政府采购（自行采购）活动且在有效期内的情况。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Calibri" w:eastAsia="宋体" w:hAnsi="Calibri" w:hint="eastAsia"/>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Calibri" w:eastAsia="宋体" w:hAnsi="Calibri" w:hint="eastAsia"/>
          <w:kern w:val="2"/>
          <w:sz w:val="21"/>
          <w:szCs w:val="22"/>
          <w:lang w:eastAsia="zh-CN"/>
        </w:rPr>
      </w:pPr>
      <w:r>
        <w:rPr>
          <w:rFonts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参与该项目投标（响应），严格遵守政府采购相关法律，不造假，不围标、串标、陪标。我单位已清楚，如违反上述要求，投标（响应）将作无效处理，被列入不良记录名单并在网上曝光，同时将被提请政府采购（自行采购）主管部门给予一定年限内禁止参与政府采购（自行采购）活动或其他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7.我单位如果中标（成交），做到守信，不偷工减料，依照本项目征集文件需求内容、签署的采购合同及本单位在投标（响应）中所作的一切承诺履约。我单位对本项目的报价负责，中标（成交）后将严格按照本项目征集文件需求、签署的采购合同及我单位在投标（响应）中所作的全部承诺履行。</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成交）资格时，愿意接受主管部门的处理处罚。若我单位中标（成交）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8.我单位已认真核实了投标（响应）文件的全部内容，所有资料均为真实资料。我单位对投标（响应）文件中全部投标（响应）资料的真实性负责，如被证实我单位的投标（响应）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9.我单位承诺中标（成交）后项目不转包，未经采购人同意不进行分包。</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cs="宋体"/>
          <w:b/>
          <w:sz w:val="21"/>
          <w:szCs w:val="21"/>
          <w:lang w:eastAsia="zh-CN"/>
        </w:rPr>
      </w:pPr>
      <w:r>
        <w:rPr>
          <w:rFonts w:ascii="宋体" w:eastAsia="宋体" w:hAnsi="宋体" w:cstheme="minorBidi" w:hint="eastAsia"/>
          <w:kern w:val="2"/>
          <w:sz w:val="21"/>
          <w:szCs w:val="22"/>
          <w:lang w:eastAsia="zh-CN"/>
        </w:rPr>
        <w:t>11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工业和信息化部关于印发&lt;绿色数据中心政府采购需求标准（试行）&gt;的通知》（财库〔2023〕7号）</w:t>
      </w:r>
      <w:r>
        <w:rPr>
          <w:rFonts w:eastAsia="宋体" w:hAnsi="Calibri" w:cstheme="minorBidi" w:hint="eastAsia"/>
          <w:kern w:val="2"/>
          <w:sz w:val="21"/>
          <w:szCs w:val="22"/>
          <w:lang w:eastAsia="zh-CN"/>
        </w:rPr>
        <w:t>要求。若所投产品涉及国家强制性标准的，所投产品应符合国家强制性标准相关要求。</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hint="eastAsia"/>
          <w:bCs/>
          <w:kern w:val="2"/>
          <w:sz w:val="21"/>
          <w:szCs w:val="22"/>
          <w:lang w:eastAsia="zh-CN"/>
        </w:rPr>
      </w:pPr>
      <w:r>
        <w:rPr>
          <w:rFonts w:ascii="宋体" w:eastAsia="宋体" w:hAnsi="宋体" w:cs="宋体" w:hint="eastAsia"/>
          <w:bCs/>
          <w:sz w:val="21"/>
          <w:szCs w:val="21"/>
          <w:lang w:eastAsia="zh-CN"/>
        </w:rPr>
        <w:t>12.</w:t>
      </w:r>
      <w:r>
        <w:rPr>
          <w:rFonts w:ascii="宋体" w:eastAsia="宋体" w:hAnsi="宋体" w:cstheme="minorBidi" w:hint="eastAsia"/>
          <w:bCs/>
          <w:kern w:val="2"/>
          <w:sz w:val="21"/>
          <w:szCs w:val="22"/>
          <w:lang w:eastAsia="zh-CN"/>
        </w:rPr>
        <w:t>我单位已知悉并同意中标（成交）结果信息公示（公开）的内容。</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13.我单位保证，符合《中华人民共和国政府采购法实施条例》第十八条规定，与其他投标（响应）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响应）、恶意串通或者视为串通投标（响应）的情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14.我单位清楚，如存在违反投标（响应）承诺行为情节严重的，将参照《深圳市财政局关于印发&lt;深圳市财政局政府采购供应商信用信息管理办法&gt;的通知》，依法被列入失信信息。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both"/>
        <w:textAlignment w:val="auto"/>
        <w:rPr>
          <w:rFonts w:ascii="宋体" w:eastAsia="宋体" w:hAnsi="宋体"/>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jc w:val="both"/>
        <w:textAlignment w:val="auto"/>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1"/>
          <w:lang w:eastAsia="zh-CN"/>
        </w:rPr>
        <w:t>供应商：</w:t>
      </w:r>
      <w:r>
        <w:rPr>
          <w:rFonts w:ascii="Calibri" w:eastAsia="宋体" w:hAnsi="Calibri" w:cstheme="minorBidi" w:hint="eastAsia"/>
          <w:color w:val="FF0000"/>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theme="minorBidi" w:hint="eastAsia"/>
          <w:color w:val="FF0000"/>
          <w:kern w:val="2"/>
          <w:sz w:val="21"/>
          <w:szCs w:val="21"/>
          <w:lang w:eastAsia="zh-CN"/>
        </w:rPr>
        <w:t xml:space="preserve">                                                日期：</w:t>
      </w:r>
      <w:r>
        <w:rPr>
          <w:rFonts w:ascii="宋体" w:eastAsia="宋体" w:hAnsi="宋体" w:cstheme="minorBidi" w:hint="eastAsia"/>
          <w:color w:val="FF0000"/>
          <w:kern w:val="2"/>
          <w:sz w:val="21"/>
          <w:szCs w:val="21"/>
          <w:u w:val="single"/>
          <w:lang w:eastAsia="zh-CN"/>
        </w:rPr>
        <w:t xml:space="preserve">    </w:t>
      </w:r>
      <w:r>
        <w:rPr>
          <w:rFonts w:ascii="宋体" w:eastAsia="宋体" w:hAnsi="宋体" w:cstheme="minorBidi" w:hint="eastAsia"/>
          <w:color w:val="FF0000"/>
          <w:kern w:val="2"/>
          <w:sz w:val="21"/>
          <w:szCs w:val="21"/>
          <w:lang w:eastAsia="zh-CN"/>
        </w:rPr>
        <w:t>年</w:t>
      </w:r>
      <w:r>
        <w:rPr>
          <w:rFonts w:ascii="宋体" w:eastAsia="宋体" w:hAnsi="宋体" w:cstheme="minorBidi" w:hint="eastAsia"/>
          <w:color w:val="FF0000"/>
          <w:kern w:val="2"/>
          <w:sz w:val="21"/>
          <w:szCs w:val="21"/>
          <w:u w:val="single"/>
          <w:lang w:eastAsia="zh-CN"/>
        </w:rPr>
        <w:t xml:space="preserve">   </w:t>
      </w:r>
      <w:r>
        <w:rPr>
          <w:rFonts w:ascii="宋体" w:eastAsia="宋体" w:hAnsi="宋体" w:cstheme="minorBidi" w:hint="eastAsia"/>
          <w:color w:val="FF0000"/>
          <w:kern w:val="2"/>
          <w:sz w:val="21"/>
          <w:szCs w:val="21"/>
          <w:lang w:eastAsia="zh-CN"/>
        </w:rPr>
        <w:t>月</w:t>
      </w:r>
      <w:r>
        <w:rPr>
          <w:rFonts w:ascii="宋体" w:eastAsia="宋体" w:hAnsi="宋体" w:cstheme="minorBidi" w:hint="eastAsia"/>
          <w:color w:val="FF0000"/>
          <w:kern w:val="2"/>
          <w:sz w:val="21"/>
          <w:szCs w:val="21"/>
          <w:u w:val="single"/>
          <w:lang w:eastAsia="zh-CN"/>
        </w:rPr>
        <w:t xml:space="preserve">   </w:t>
      </w:r>
      <w:r>
        <w:rPr>
          <w:rFonts w:ascii="宋体" w:eastAsia="宋体" w:hAnsi="宋体" w:cstheme="minorBidi" w:hint="eastAsia"/>
          <w:color w:val="FF0000"/>
          <w:kern w:val="2"/>
          <w:sz w:val="21"/>
          <w:szCs w:val="21"/>
          <w:lang w:eastAsia="zh-CN"/>
        </w:rPr>
        <w:t>日</w:t>
      </w:r>
      <w:r>
        <w:rPr>
          <w:rFonts w:ascii="宋体" w:eastAsia="宋体" w:hAnsi="宋体" w:cs="宋体" w:hint="eastAsia"/>
          <w:kern w:val="2"/>
          <w:lang w:eastAsia="zh-CN"/>
        </w:rPr>
        <w:t xml:space="preserve">                                                </w:t>
      </w:r>
    </w:p>
    <w:p>
      <w:pPr>
        <w:keepNext/>
        <w:keepLines/>
        <w:pageBreakBefore/>
        <w:widowControl w:val="0"/>
        <w:numPr>
          <w:ilvl w:val="0"/>
          <w:numId w:val="0"/>
        </w:numPr>
        <w:adjustRightInd w:val="0"/>
        <w:snapToGrid w:val="0"/>
        <w:spacing w:line="360" w:lineRule="auto"/>
        <w:ind w:left="0" w:firstLine="0"/>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3.投标（响应）供应商情况及资格证明文件</w:t>
      </w:r>
    </w:p>
    <w:p>
      <w:pPr>
        <w:widowControl w:val="0"/>
        <w:ind w:firstLine="2640" w:firstLineChars="1100"/>
        <w:jc w:val="both"/>
        <w:outlineLvl w:val="3"/>
        <w:rPr>
          <w:rFonts w:ascii="黑体" w:eastAsia="黑体" w:hAnsi="宋体"/>
          <w:bCs/>
          <w:szCs w:val="32"/>
          <w:lang w:eastAsia="zh-CN"/>
        </w:rPr>
      </w:pPr>
      <w:bookmarkStart w:id="22" w:name="_Hlk72257590"/>
      <w:r>
        <w:rPr>
          <w:rFonts w:ascii="黑体" w:eastAsia="黑体" w:hAnsi="宋体" w:cstheme="minorBidi" w:hint="eastAsia"/>
          <w:bCs/>
          <w:szCs w:val="32"/>
          <w:lang w:eastAsia="zh-CN"/>
        </w:rPr>
        <w:t>（一）投标（响应）供应商资格证明文件</w:t>
      </w:r>
    </w:p>
    <w:p>
      <w:pPr>
        <w:widowControl w:val="0"/>
        <w:spacing w:before="156"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（特别提示：投标（响应）供应商须按本征集文件第一册第一章招标公告 “申请人的资格要求”（即投标（响应）供应商资格要求）提供相关的资格证明资料，未提供或提供不完整、不符合要求的，将作投标无效处理，其中要求提供《自行采购投标（响应）及履约承诺函》《供应商基本情况表》且已在规定章节中提供的，此处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3" w:name="_Hlk72257908"/>
      <w:r>
        <w:rPr>
          <w:rFonts w:ascii="黑体" w:eastAsia="黑体" w:hAnsi="宋体" w:cstheme="minorBidi" w:hint="eastAsia"/>
          <w:bCs/>
          <w:szCs w:val="32"/>
          <w:lang w:eastAsia="zh-CN"/>
        </w:rPr>
        <w:t>（二）中小企业声明函、残疾人福利性单位声明函及监狱企业声明函</w:t>
      </w:r>
    </w:p>
    <w:bookmarkEnd w:id="22"/>
    <w:p>
      <w:pPr>
        <w:widowControl w:val="0"/>
        <w:jc w:val="left"/>
        <w:outlineLvl w:val="9"/>
        <w:rPr>
          <w:rFonts w:ascii="黑体" w:eastAsia="黑体" w:hAnsi="宋体"/>
          <w:bCs/>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填写指引：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color w:val="FF0000"/>
          <w:kern w:val="2"/>
          <w:sz w:val="21"/>
          <w:szCs w:val="21"/>
          <w:lang w:eastAsia="zh-CN"/>
        </w:rPr>
      </w:pPr>
      <w:r>
        <w:rPr>
          <w:rFonts w:ascii="黑体" w:eastAsia="黑体" w:hAnsi="宋体" w:cstheme="minorBidi" w:hint="eastAsia"/>
          <w:bCs/>
          <w:color w:val="FF0000"/>
          <w:sz w:val="21"/>
          <w:szCs w:val="21"/>
          <w:lang w:eastAsia="zh-CN"/>
        </w:rPr>
        <w:t>1、该部分内容由投标（响应）供应商根据自身实际情况填写，不符合要求的投标（响应）供应商可以不填写或直接删除相应的声明函。</w:t>
      </w:r>
      <w:r>
        <w:rPr>
          <w:rFonts w:ascii="黑体" w:eastAsia="黑体" w:hAnsi="黑体" w:cstheme="minorBidi" w:hint="eastAsia"/>
          <w:color w:val="FF0000"/>
          <w:kern w:val="2"/>
          <w:sz w:val="21"/>
          <w:szCs w:val="21"/>
          <w:lang w:eastAsia="zh-CN"/>
        </w:rPr>
        <w:t>投标（响应）供应商提供的声明函不属实的，属于提供虚假资料谋取中标，参照《中华人民共和国政府采购法》等国家有关规定追究相应责任。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满足多项优惠政策的投标（响应）供应商，不重复享受多项价格扣除政策。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征集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四处，在“采购文件中明确的所属行业”下划线处填写采购标的对应的中小企业划分标准所属行业（所属行业以征集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u w:val="single"/>
          <w:lang w:eastAsia="zh-CN"/>
        </w:rPr>
        <w:t>货物制造商名称</w:t>
      </w:r>
      <w:r>
        <w:rPr>
          <w:rFonts w:ascii="黑体" w:eastAsia="黑体" w:hAnsi="宋体" w:cstheme="minorBidi" w:hint="eastAsia"/>
          <w:b/>
          <w:color w:val="FF0000"/>
          <w:sz w:val="21"/>
          <w:szCs w:val="21"/>
          <w:lang w:eastAsia="zh-CN"/>
        </w:rPr>
        <w:t>。</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both"/>
        <w:textAlignment w:val="auto"/>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both"/>
        <w:textAlignment w:val="auto"/>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（5）声明是监狱企业须填写《监狱企业声明函》的三项内容（填写位置的字体已加粗），具体参照以上《中小企业声明函》填写要求执行。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Calibri" w:eastAsia="宋体" w:hAnsi="Calibri"/>
          <w:kern w:val="2"/>
          <w:sz w:val="21"/>
          <w:szCs w:val="21"/>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Calibri" w:eastAsia="宋体" w:hAnsi="Calibri"/>
          <w:kern w:val="2"/>
          <w:sz w:val="21"/>
          <w:szCs w:val="22"/>
          <w:lang w:eastAsia="zh-CN"/>
        </w:rPr>
      </w:pPr>
    </w:p>
    <w:p>
      <w:pPr>
        <w:widowControl w:val="0"/>
        <w:numPr>
          <w:ilvl w:val="0"/>
          <w:numId w:val="5"/>
        </w:numPr>
        <w:jc w:val="center"/>
        <w:outlineLvl w:val="9"/>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numPr>
          <w:ilvl w:val="0"/>
          <w:numId w:val="0"/>
        </w:numPr>
        <w:spacing w:line="360" w:lineRule="auto"/>
        <w:ind w:left="0" w:firstLine="0"/>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本公司（联合体）郑重声明，参照《政府采购促进中小企业发展管理办法》（财库﹝2020﹞46号）的规定，本公司（联合体）参加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（企业名称，要求制造商本身所属行业应当与征集文件要求的行业相一致）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（企业名称，要求制造商本身所属行业应当与征集文件要求的行业相一致）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24" w:name="_Hlk73562203"/>
      <w:r>
        <w:rPr>
          <w:rFonts w:ascii="宋体" w:eastAsia="宋体" w:hAnsi="宋体" w:cs="宋体" w:hint="eastAsia"/>
          <w:kern w:val="2"/>
          <w:sz w:val="21"/>
          <w:szCs w:val="21"/>
          <w:lang w:eastAsia="zh-CN"/>
        </w:rPr>
        <w:t>本投标（响应）供应商对上述声明内容的真实性负责。如有虚假，将依法承担相应责任。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eastAsia="宋体" w:hint="eastAsia"/>
          <w:kern w:val="2"/>
          <w:lang w:eastAsia="zh-CN"/>
        </w:rPr>
      </w:pPr>
      <w:r>
        <w:rPr>
          <w:rFonts w:ascii="宋体" w:eastAsia="宋体" w:hAnsi="宋体" w:cs="宋体" w:hint="eastAsia"/>
          <w:kern w:val="2"/>
          <w:sz w:val="21"/>
          <w:szCs w:val="21"/>
          <w:lang w:eastAsia="zh-CN"/>
        </w:rPr>
        <w:t>本投标（响应）供应商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号）第二十条规定，投标（响应）供应商按照本办法规定提供声明函内容不实的，属于提供虚假材料谋取中标，依照《政府采购法》等政府采购有关法律法规规定追究相应责任。</w:t>
      </w:r>
      <w:bookmarkEnd w:id="24"/>
    </w:p>
    <w:p>
      <w:pPr>
        <w:widowControl w:val="0"/>
        <w:ind w:firstLine="420" w:firstLineChars="200"/>
        <w:jc w:val="both"/>
        <w:outlineLvl w:val="9"/>
        <w:rPr>
          <w:rFonts w:ascii="宋体" w:eastAsia="宋体" w:hAnsi="宋体"/>
          <w:bCs/>
          <w:color w:val="FF0000"/>
          <w:sz w:val="21"/>
          <w:szCs w:val="21"/>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25" w:name="_Hlk73562331"/>
      <w:bookmarkStart w:id="26" w:name="_Hlk73562245"/>
      <w:r>
        <w:rPr>
          <w:rFonts w:ascii="宋体" w:eastAsia="宋体" w:hAnsi="宋体" w:cs="宋体" w:hint="eastAsia"/>
          <w:kern w:val="2"/>
          <w:sz w:val="21"/>
          <w:szCs w:val="21"/>
          <w:lang w:eastAsia="zh-CN"/>
        </w:rPr>
        <w:t>本单位郑重声明，参照《财政部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响应）供应商已知悉《财政部民政部中国残疾人联合会关于促进残疾人就业政府采购政策的通知》（财库〔2017〕141号）的规定，承诺提供的声明函内容是真实的，如提供声明函内容不实，则依法追究相关法律责任。</w:t>
      </w:r>
      <w:bookmarkEnd w:id="25"/>
    </w:p>
    <w:bookmarkEnd w:id="26"/>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本投标（响应）供应商郑重声明，参照《财政部司法部关于政府采购支持监狱企业发展有关问题的通知》（财库〔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号）的规定，本投标（响应）供应商</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 xml:space="preserve">监狱企业  </w:t>
      </w:r>
      <w:r>
        <w:rPr>
          <w:rFonts w:ascii="宋体" w:eastAsia="宋体" w:hAnsi="宋体" w:cstheme="minorBidi"/>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 xml:space="preserve">监狱企业  </w:t>
      </w:r>
      <w:r>
        <w:rPr>
          <w:rFonts w:ascii="宋体" w:eastAsia="宋体" w:hAnsi="宋体"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投标（响应）供应商</w:t>
      </w:r>
      <w:r>
        <w:rPr>
          <w:rFonts w:ascii="宋体" w:eastAsia="宋体" w:hAnsi="宋体" w:cstheme="minorBidi"/>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3"/>
    </w:p>
    <w:p>
      <w:pPr>
        <w:widowControl w:val="0"/>
        <w:wordWrap w:val="0"/>
        <w:spacing w:after="78" w:afterLines="25" w:line="300" w:lineRule="auto"/>
        <w:ind w:right="420" w:firstLine="4410" w:firstLineChars="2100"/>
        <w:jc w:val="right"/>
        <w:rPr>
          <w:rFonts w:ascii="宋体" w:eastAsia="宋体" w:hAnsi="宋体" w:hint="eastAsia"/>
          <w:b/>
          <w:bCs/>
          <w:szCs w:val="20"/>
          <w:lang w:eastAsia="zh-CN"/>
        </w:rPr>
      </w:pPr>
      <w:r>
        <w:rPr>
          <w:rFonts w:ascii="Arial" w:eastAsia="宋体" w:hAnsi="Arial" w:hint="eastAsia"/>
          <w:kern w:val="2"/>
          <w:sz w:val="21"/>
          <w:szCs w:val="21"/>
          <w:lang w:eastAsia="zh-CN"/>
        </w:rPr>
        <w:t xml:space="preserve"> </w:t>
      </w:r>
    </w:p>
    <w:p>
      <w:pPr>
        <w:widowControl w:val="0"/>
        <w:spacing w:after="78" w:afterLines="25" w:line="300" w:lineRule="auto"/>
        <w:jc w:val="both"/>
        <w:rPr>
          <w:rFonts w:ascii="Arial" w:eastAsia="宋体" w:hAnsi="Arial"/>
          <w:kern w:val="2"/>
          <w:lang w:eastAsia="zh-CN"/>
        </w:rPr>
      </w:pPr>
    </w:p>
    <w:p>
      <w:pPr>
        <w:widowControl w:val="0"/>
        <w:jc w:val="both"/>
        <w:rPr>
          <w:rFonts w:ascii="Calibri" w:eastAsia="宋体" w:hAnsi="Calibri"/>
          <w:kern w:val="2"/>
          <w:sz w:val="21"/>
          <w:szCs w:val="22"/>
          <w:lang w:eastAsia="zh-CN"/>
        </w:rPr>
      </w:pPr>
    </w:p>
    <w:p>
      <w:pPr>
        <w:widowControl w:val="0"/>
        <w:spacing w:before="260" w:after="260" w:line="240" w:lineRule="auto"/>
        <w:jc w:val="center"/>
        <w:outlineLvl w:val="2"/>
        <w:rPr>
          <w:rFonts w:ascii="黑体" w:eastAsia="黑体" w:hAnsi="宋体"/>
          <w:kern w:val="2"/>
          <w:lang w:eastAsia="zh-CN"/>
        </w:rPr>
      </w:pPr>
      <w:r>
        <w:rPr>
          <w:rFonts w:ascii="黑体" w:eastAsia="黑体" w:hAnsi="宋体" w:cstheme="minorBidi" w:hint="eastAsia"/>
          <w:kern w:val="2"/>
          <w:lang w:eastAsia="zh-CN"/>
        </w:rPr>
        <w:t>4、投标（响应）供应商认为需要加以说明的其他内容（公开）（格式自定）</w:t>
      </w:r>
    </w:p>
    <w:p>
      <w:pPr>
        <w:widowControl w:val="0"/>
        <w:spacing w:after="78" w:afterLines="25" w:line="300" w:lineRule="auto"/>
        <w:jc w:val="both"/>
        <w:rPr>
          <w:rFonts w:ascii="Arial" w:eastAsia="宋体" w:hAnsi="Arial"/>
          <w:kern w:val="2"/>
          <w:lang w:eastAsia="zh-CN"/>
        </w:rPr>
      </w:pPr>
      <w:r>
        <w:rPr>
          <w:rFonts w:ascii="Calibri" w:eastAsia="宋体" w:hAnsi="Calibri" w:cstheme="minorBidi" w:hint="eastAsia"/>
          <w:kern w:val="2"/>
          <w:sz w:val="21"/>
          <w:szCs w:val="22"/>
          <w:lang w:eastAsia="zh-CN"/>
        </w:rPr>
        <w:t>（特别提示：投标（响应）供应商须按本征集文件评标信息中这一评审因素要求，提供证明资料）</w:t>
      </w:r>
    </w:p>
    <w:p>
      <w:pPr>
        <w:widowControl w:val="0"/>
        <w:spacing w:after="78" w:afterLines="25" w:line="300" w:lineRule="auto"/>
        <w:jc w:val="center"/>
        <w:rPr>
          <w:rFonts w:ascii="Arial" w:eastAsia="宋体" w:hAnsi="Arial" w:hint="eastAsia"/>
          <w:b/>
          <w:kern w:val="2"/>
          <w:lang w:eastAsia="zh-CN"/>
        </w:rPr>
      </w:pPr>
    </w:p>
    <w:p>
      <w:pPr>
        <w:widowControl w:val="0"/>
        <w:ind w:firstLine="720" w:firstLineChars="300"/>
        <w:jc w:val="center"/>
        <w:rPr>
          <w:rFonts w:ascii="Calibri" w:eastAsia="宋体" w:hAnsi="Calibri"/>
          <w:b/>
          <w:color w:val="FF0000"/>
          <w:kern w:val="2"/>
          <w:szCs w:val="22"/>
          <w:lang w:eastAsia="zh-CN"/>
        </w:rPr>
      </w:pPr>
      <w:r>
        <w:rPr>
          <w:rFonts w:ascii="Calibri" w:eastAsia="宋体" w:hAnsi="Calibri" w:cstheme="minorBidi" w:hint="eastAsia"/>
          <w:b/>
          <w:color w:val="FF0000"/>
          <w:kern w:val="2"/>
          <w:szCs w:val="22"/>
          <w:lang w:eastAsia="zh-CN"/>
        </w:rPr>
        <w:t>（信息公开部分的内容到此为止！以下为信息不公开部分。）</w:t>
      </w:r>
    </w:p>
    <w:p>
      <w:pPr>
        <w:widowControl/>
        <w:jc w:val="left"/>
        <w:rPr>
          <w:rFonts w:ascii="Arial" w:eastAsia="宋体" w:hAnsi="Arial"/>
          <w:kern w:val="2"/>
          <w:sz w:val="21"/>
          <w:lang w:eastAsia="zh-CN"/>
        </w:rPr>
      </w:pPr>
      <w:r>
        <w:rPr>
          <w:rFonts w:ascii="Arial" w:eastAsia="宋体" w:hAnsi="Arial"/>
          <w:kern w:val="2"/>
          <w:sz w:val="21"/>
          <w:lang w:eastAsia="zh-CN"/>
        </w:rPr>
        <w:br w:type="page"/>
      </w:r>
    </w:p>
    <w:p>
      <w:pPr>
        <w:widowControl w:val="0"/>
        <w:spacing w:after="78" w:afterLines="25" w:line="300" w:lineRule="auto"/>
        <w:jc w:val="both"/>
        <w:outlineLvl w:val="9"/>
        <w:rPr>
          <w:rFonts w:ascii="Arial" w:eastAsia="宋体" w:hAnsi="Arial"/>
          <w:b/>
          <w:color w:val="FF0000"/>
          <w:kern w:val="2"/>
          <w:sz w:val="32"/>
          <w:szCs w:val="32"/>
          <w:lang w:eastAsia="zh-CN"/>
        </w:rPr>
      </w:pPr>
      <w:r>
        <w:rPr>
          <w:rFonts w:ascii="Arial" w:eastAsia="宋体" w:hAnsi="Arial" w:hint="eastAsia"/>
          <w:b/>
          <w:color w:val="FF0000"/>
          <w:kern w:val="2"/>
          <w:sz w:val="32"/>
          <w:szCs w:val="32"/>
          <w:lang w:eastAsia="zh-CN"/>
        </w:rPr>
        <w:t>（二）投标（响应）文件附件（信息不公开部分）</w:t>
      </w:r>
    </w:p>
    <w:p>
      <w:pPr>
        <w:widowControl w:val="0"/>
        <w:snapToGrid w:val="0"/>
        <w:spacing w:before="0" w:after="0" w:line="240" w:lineRule="auto"/>
        <w:ind w:left="0" w:firstLine="0" w:leftChars="0" w:firstLineChars="0"/>
        <w:jc w:val="center"/>
        <w:outlineLvl w:val="3"/>
        <w:rPr>
          <w:rFonts w:ascii="黑体" w:eastAsia="黑体" w:hAnsi="宋体" w:hint="eastAsia"/>
          <w:bCs/>
          <w:kern w:val="2"/>
          <w:szCs w:val="32"/>
          <w:lang w:eastAsia="zh-CN"/>
        </w:rPr>
      </w:pPr>
      <w:r>
        <w:rPr>
          <w:rFonts w:ascii="黑体" w:eastAsia="黑体" w:hAnsi="宋体" w:hint="eastAsia"/>
          <w:bCs/>
          <w:kern w:val="2"/>
          <w:szCs w:val="32"/>
          <w:lang w:eastAsia="zh-CN"/>
        </w:rPr>
        <w:t>一、供应商基本情况表</w:t>
      </w:r>
    </w:p>
    <w:p>
      <w:pPr>
        <w:widowControl w:val="0"/>
        <w:spacing w:line="240" w:lineRule="auto"/>
        <w:ind w:firstLine="0" w:firstLineChars="0"/>
        <w:jc w:val="both"/>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填表单位：（加盖单位公章）</w:t>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643"/>
        <w:gridCol w:w="1526"/>
        <w:gridCol w:w="907"/>
        <w:gridCol w:w="752"/>
        <w:gridCol w:w="1142"/>
        <w:gridCol w:w="1429"/>
        <w:gridCol w:w="141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采购人</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项目名称</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62"/>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投标（响应）供应商</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供应商统一社会信用代码</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bottom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序号</w:t>
            </w:r>
          </w:p>
        </w:tc>
        <w:tc>
          <w:tcPr>
            <w:tcW w:w="2266" w:type="dxa"/>
            <w:gridSpan w:val="2"/>
            <w:tcBorders>
              <w:bottom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职务</w:t>
            </w:r>
          </w:p>
        </w:tc>
        <w:tc>
          <w:tcPr>
            <w:tcW w:w="941" w:type="dxa"/>
            <w:tcBorders>
              <w:bottom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姓名</w:t>
            </w:r>
          </w:p>
        </w:tc>
        <w:tc>
          <w:tcPr>
            <w:tcW w:w="1977" w:type="dxa"/>
            <w:gridSpan w:val="2"/>
            <w:tcBorders>
              <w:bottom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身份证号码</w:t>
            </w:r>
          </w:p>
        </w:tc>
        <w:tc>
          <w:tcPr>
            <w:tcW w:w="1489" w:type="dxa"/>
            <w:tcBorders>
              <w:bottom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劳动合同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关系单位</w:t>
            </w:r>
          </w:p>
        </w:tc>
        <w:tc>
          <w:tcPr>
            <w:tcW w:w="1475" w:type="dxa"/>
            <w:tcBorders>
              <w:bottom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缴纳社会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1153"/>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法定代表人/单位负责人/主要经营负责人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3</w:t>
            </w:r>
          </w:p>
        </w:tc>
        <w:tc>
          <w:tcPr>
            <w:tcW w:w="2266" w:type="dxa"/>
            <w:gridSpan w:val="2"/>
            <w:tcBorders>
              <w:top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项目负责人</w:t>
            </w:r>
          </w:p>
        </w:tc>
        <w:tc>
          <w:tcPr>
            <w:tcW w:w="941" w:type="dxa"/>
            <w:tcBorders>
              <w:top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4</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主要技术人员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5</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leftChars="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投标文件编制人员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rPr>
          <w:trHeight w:val="510"/>
        </w:trPr>
        <w:tc>
          <w:tcPr>
            <w:tcW w:w="730" w:type="dxa"/>
            <w:tcBorders>
              <w:bottom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序号</w:t>
            </w:r>
          </w:p>
        </w:tc>
        <w:tc>
          <w:tcPr>
            <w:tcW w:w="2266" w:type="dxa"/>
            <w:gridSpan w:val="2"/>
            <w:tcBorders>
              <w:bottom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关联关系类型</w:t>
            </w:r>
          </w:p>
        </w:tc>
        <w:tc>
          <w:tcPr>
            <w:tcW w:w="1726" w:type="dxa"/>
            <w:gridSpan w:val="2"/>
            <w:tcBorders>
              <w:bottom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关联主体名称</w:t>
            </w:r>
          </w:p>
        </w:tc>
        <w:tc>
          <w:tcPr>
            <w:tcW w:w="4156" w:type="dxa"/>
            <w:gridSpan w:val="3"/>
            <w:tcBorders>
              <w:bottom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备注</w:t>
            </w:r>
          </w:p>
        </w:tc>
      </w:tr>
      <w:tr>
        <w:tblPrEx>
          <w:tblW w:w="5000" w:type="pct"/>
          <w:tblInd w:w="0" w:type="dxa"/>
          <w:tblLayout w:type="fixed"/>
          <w:tblCellMar>
            <w:top w:w="0" w:type="dxa"/>
            <w:left w:w="108" w:type="dxa"/>
            <w:bottom w:w="0" w:type="dxa"/>
            <w:right w:w="108" w:type="dxa"/>
          </w:tblCellMar>
        </w:tblPrEx>
        <w:trPr>
          <w:trHeight w:val="169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说明：同一关联关系类型有多个主体的，应分行填写。</w:t>
            </w:r>
          </w:p>
        </w:tc>
      </w:tr>
    </w:tbl>
    <w:p>
      <w:pPr>
        <w:widowControl w:val="0"/>
        <w:snapToGrid w:val="0"/>
        <w:spacing w:line="240" w:lineRule="auto"/>
        <w:ind w:firstLine="0" w:firstLineChars="0"/>
        <w:jc w:val="left"/>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备注：</w:t>
      </w:r>
      <w:r>
        <w:rPr>
          <w:rFonts w:ascii="方正仿宋_GBK" w:eastAsia="方正仿宋_GBK" w:hAnsi="方正仿宋_GBK" w:cs="方正仿宋_GBK" w:hint="eastAsia"/>
          <w:b/>
          <w:bCs/>
          <w:color w:val="0000FF"/>
          <w:kern w:val="2"/>
          <w:lang w:eastAsia="zh-CN"/>
        </w:rPr>
        <w:t>鼓励</w:t>
      </w:r>
      <w:r>
        <w:rPr>
          <w:rFonts w:ascii="方正仿宋_GBK" w:eastAsia="方正仿宋_GBK" w:hAnsi="方正仿宋_GBK" w:cs="方正仿宋_GBK" w:hint="eastAsia"/>
          <w:b/>
          <w:bCs/>
          <w:kern w:val="2"/>
          <w:lang w:eastAsia="zh-CN"/>
        </w:rPr>
        <w:t>投标（响应）供应商在投标（响应）文件中要求投标（响应）供应商提供法定代表人、投标（响应）授权代表人、项目负责人（如有）最近一个月的社保缴纳证明，以及企业股权关系证明。</w:t>
      </w:r>
    </w:p>
    <w:p>
      <w:pPr>
        <w:widowControl w:val="0"/>
        <w:jc w:val="both"/>
        <w:rPr>
          <w:rFonts w:ascii="黑体" w:eastAsia="黑体" w:hAnsi="Calibri" w:hint="eastAsia"/>
          <w:kern w:val="2"/>
          <w:szCs w:val="22"/>
          <w:lang w:eastAsia="zh-CN"/>
        </w:rPr>
      </w:pPr>
      <w:r>
        <w:rPr>
          <w:rFonts w:ascii="黑体" w:eastAsia="黑体" w:hAnsi="Calibri" w:cstheme="minorBidi" w:hint="eastAsia"/>
          <w:kern w:val="2"/>
          <w:szCs w:val="22"/>
          <w:lang w:eastAsia="zh-CN"/>
        </w:rPr>
        <w:br w:type="page"/>
      </w:r>
    </w:p>
    <w:p>
      <w:pPr>
        <w:keepNext/>
        <w:keepLines/>
        <w:pageBreakBefore/>
        <w:widowControl w:val="0"/>
        <w:adjustRightInd w:val="0"/>
        <w:snapToGrid w:val="0"/>
        <w:spacing w:line="360" w:lineRule="auto"/>
        <w:jc w:val="center"/>
        <w:textAlignment w:val="baseline"/>
        <w:outlineLvl w:val="3"/>
        <w:rPr>
          <w:rFonts w:ascii="黑体" w:eastAsia="黑体" w:hAnsi="Calibri"/>
          <w:kern w:val="2"/>
          <w:szCs w:val="22"/>
          <w:lang w:eastAsia="zh-CN"/>
        </w:rPr>
      </w:pPr>
      <w:r>
        <w:rPr>
          <w:rFonts w:ascii="黑体" w:eastAsia="黑体" w:hAnsi="宋体" w:cstheme="minorBidi" w:hint="eastAsia"/>
          <w:bCs/>
          <w:kern w:val="2"/>
          <w:szCs w:val="32"/>
          <w:lang w:eastAsia="zh-CN"/>
        </w:rPr>
        <w:t>二、</w:t>
      </w:r>
      <w:bookmarkStart w:id="27" w:name="_Hlk72092499"/>
      <w:r>
        <w:rPr>
          <w:rFonts w:ascii="黑体" w:eastAsia="黑体" w:hAnsi="宋体" w:cstheme="minorBidi" w:hint="eastAsia"/>
          <w:bCs/>
          <w:kern w:val="2"/>
          <w:szCs w:val="32"/>
          <w:lang w:eastAsia="zh-CN"/>
        </w:rPr>
        <w:t>法定代表人（负责人）证明书</w:t>
      </w:r>
      <w:bookmarkEnd w:id="27"/>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说明：1、法定代表人为投标（响应）供应商（企业事业单位、国家机关、社会团体）的主要行政负责人。</w:t>
      </w:r>
    </w:p>
    <w:p>
      <w:pPr>
        <w:widowControl w:val="0"/>
        <w:numPr>
          <w:ilvl w:val="0"/>
          <w:numId w:val="6"/>
        </w:numPr>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6"/>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w:t>
      </w:r>
      <w:r>
        <w:rPr>
          <w:rFonts w:ascii="Calibri" w:eastAsia="宋体" w:hAnsi="Calibri" w:cstheme="minorBidi" w:hint="eastAsia"/>
          <w:kern w:val="2"/>
          <w:sz w:val="21"/>
          <w:szCs w:val="21"/>
          <w:lang w:eastAsia="zh-CN"/>
        </w:rPr>
        <w:t>（响应）</w:t>
      </w:r>
      <w:r>
        <w:rPr>
          <w:rFonts w:ascii="Calibri" w:eastAsia="宋体" w:hAnsi="Calibri" w:cstheme="minorBidi" w:hint="eastAsia"/>
          <w:kern w:val="2"/>
          <w:sz w:val="21"/>
          <w:szCs w:val="21"/>
          <w:lang w:eastAsia="zh-Hans"/>
        </w:rPr>
        <w:t>授权代表为法定代表人（负责人）的，无需提供</w:t>
      </w:r>
      <w:r>
        <w:rPr>
          <w:rFonts w:ascii="Calibri" w:eastAsia="宋体" w:hAnsi="Calibri" w:cstheme="minorBidi" w:hint="eastAsia"/>
          <w:kern w:val="2"/>
          <w:sz w:val="21"/>
          <w:szCs w:val="21"/>
          <w:lang w:eastAsia="zh-CN"/>
        </w:rPr>
        <w:t>《投标（响应）文件签署授权委托书》</w:t>
      </w:r>
      <w:r>
        <w:rPr>
          <w:rFonts w:ascii="Calibri" w:eastAsia="宋体" w:hAnsi="Calibri" w:cstheme="minorBidi" w:hint="eastAsia"/>
          <w:kern w:val="2"/>
          <w:sz w:val="21"/>
          <w:szCs w:val="21"/>
          <w:lang w:eastAsia="zh-Hans"/>
        </w:rPr>
        <w:t>。</w:t>
      </w:r>
    </w:p>
    <w:p>
      <w:pPr>
        <w:widowControl w:val="0"/>
        <w:numPr>
          <w:ilvl w:val="0"/>
          <w:numId w:val="6"/>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证件扫描件正面</w:t>
            </w:r>
          </w:p>
          <w:p>
            <w:pPr>
              <w:widowControl w:val="0"/>
              <w:spacing w:line="360" w:lineRule="auto"/>
              <w:jc w:val="center"/>
              <w:rPr>
                <w:rFonts w:ascii="Calibri" w:eastAsia="宋体" w:hAnsi="Calibri" w:hint="eastAsia"/>
                <w:b/>
                <w:bCs/>
                <w:kern w:val="2"/>
                <w:szCs w:val="22"/>
                <w:lang w:eastAsia="zh-CN"/>
              </w:rPr>
            </w:pPr>
          </w:p>
          <w:p>
            <w:pPr>
              <w:widowControl w:val="0"/>
              <w:spacing w:line="360" w:lineRule="auto"/>
              <w:jc w:val="center"/>
              <w:rPr>
                <w:rFonts w:ascii="Calibri" w:eastAsia="宋体" w:hAnsi="Calibri"/>
                <w:kern w:val="2"/>
                <w:szCs w:val="22"/>
                <w:lang w:eastAsia="zh-CN"/>
              </w:rPr>
            </w:pPr>
          </w:p>
          <w:p>
            <w:pPr>
              <w:widowControl w:val="0"/>
              <w:spacing w:line="360" w:lineRule="auto"/>
              <w:jc w:val="center"/>
              <w:rPr>
                <w:rFonts w:ascii="Calibri" w:eastAsia="宋体" w:hAnsi="Calibri"/>
                <w:kern w:val="2"/>
                <w:szCs w:val="22"/>
                <w:lang w:eastAsia="zh-CN"/>
              </w:rPr>
            </w:pPr>
          </w:p>
          <w:p>
            <w:pPr>
              <w:widowControl w:val="0"/>
              <w:spacing w:line="360" w:lineRule="auto"/>
              <w:jc w:val="center"/>
              <w:rPr>
                <w:rFonts w:ascii="Calibri" w:eastAsia="宋体" w:hAnsi="Calibri"/>
                <w:kern w:val="2"/>
                <w:szCs w:val="22"/>
                <w:lang w:eastAsia="zh-CN"/>
              </w:rPr>
            </w:pPr>
          </w:p>
          <w:p>
            <w:pPr>
              <w:widowControl w:val="0"/>
              <w:spacing w:line="360" w:lineRule="auto"/>
              <w:jc w:val="center"/>
              <w:rPr>
                <w:rFonts w:ascii="Calibri" w:eastAsia="宋体" w:hAnsi="Calibri"/>
                <w:kern w:val="2"/>
                <w:szCs w:val="22"/>
                <w:lang w:eastAsia="zh-CN"/>
              </w:rPr>
            </w:pPr>
          </w:p>
          <w:p>
            <w:pPr>
              <w:widowControl w:val="0"/>
              <w:spacing w:line="360" w:lineRule="auto"/>
              <w:jc w:val="center"/>
              <w:rPr>
                <w:rFonts w:ascii="Calibri" w:eastAsia="宋体" w:hAnsi="Calibri"/>
                <w:kern w:val="2"/>
                <w:szCs w:val="22"/>
                <w:lang w:eastAsia="zh-CN"/>
              </w:rPr>
            </w:pPr>
          </w:p>
          <w:p>
            <w:pPr>
              <w:widowControl w:val="0"/>
              <w:spacing w:line="360" w:lineRule="auto"/>
              <w:jc w:val="center"/>
              <w:rPr>
                <w:rFonts w:ascii="Calibri" w:eastAsia="宋体" w:hAnsi="Calibri"/>
                <w:kern w:val="2"/>
                <w:szCs w:val="22"/>
                <w:lang w:eastAsia="zh-CN"/>
              </w:rPr>
            </w:pPr>
          </w:p>
        </w:tc>
        <w:tc>
          <w:tcPr>
            <w:tcW w:w="4265" w:type="dxa"/>
            <w:vAlign w:val="top"/>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证件扫描件反面</w:t>
            </w:r>
          </w:p>
          <w:p>
            <w:pPr>
              <w:widowControl w:val="0"/>
              <w:spacing w:line="360" w:lineRule="auto"/>
              <w:jc w:val="center"/>
              <w:rPr>
                <w:rFonts w:ascii="Calibri" w:eastAsia="宋体" w:hAnsi="Calibri" w:hint="eastAsia"/>
                <w:b/>
                <w:bCs/>
                <w:kern w:val="2"/>
                <w:szCs w:val="22"/>
                <w:lang w:eastAsia="zh-CN"/>
              </w:rPr>
            </w:pPr>
          </w:p>
          <w:p>
            <w:pPr>
              <w:widowControl w:val="0"/>
              <w:spacing w:line="360" w:lineRule="auto"/>
              <w:jc w:val="center"/>
              <w:rPr>
                <w:rFonts w:ascii="Calibri" w:eastAsia="宋体" w:hAnsi="Calibri" w:hint="eastAsia"/>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hint="eastAsia"/>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响应）供应商核实贵单位法定代表人、本项目投标（响应）授权代表人、项目负责人（如有）、主要技术人员（如有）等是否在贵单位缴纳社会保险。</w:t>
      </w:r>
    </w:p>
    <w:p>
      <w:pPr>
        <w:widowControl w:val="0"/>
        <w:jc w:val="both"/>
        <w:rPr>
          <w:rFonts w:ascii="黑体" w:eastAsia="黑体" w:hAnsi="Calibri" w:hint="eastAsia"/>
          <w:lang w:eastAsia="zh-CN"/>
        </w:rPr>
      </w:pPr>
      <w:r>
        <w:rPr>
          <w:rFonts w:ascii="黑体" w:eastAsia="黑体" w:hAnsi="Calibri" w:cstheme="minorBidi" w:hint="eastAsia"/>
          <w:lang w:eastAsia="zh-CN"/>
        </w:rPr>
        <w:br w:type="page"/>
      </w:r>
    </w:p>
    <w:p>
      <w:pPr>
        <w:keepNext/>
        <w:keepLines/>
        <w:pageBreakBefore/>
        <w:widowControl w:val="0"/>
        <w:adjustRightInd w:val="0"/>
        <w:snapToGrid w:val="0"/>
        <w:spacing w:line="360" w:lineRule="auto"/>
        <w:jc w:val="center"/>
        <w:textAlignment w:val="baseline"/>
        <w:outlineLvl w:val="3"/>
        <w:rPr>
          <w:rFonts w:ascii="黑体" w:eastAsia="黑体" w:hAnsi="Calibri"/>
          <w:lang w:eastAsia="zh-CN"/>
        </w:rPr>
      </w:pPr>
      <w:r>
        <w:rPr>
          <w:rFonts w:ascii="黑体" w:eastAsia="黑体" w:hAnsi="宋体" w:cstheme="minorBidi" w:hint="eastAsia"/>
          <w:bCs/>
          <w:kern w:val="2"/>
          <w:szCs w:val="32"/>
          <w:lang w:eastAsia="zh-CN"/>
        </w:rPr>
        <w:t>三、投标（响应）文件签署授权委托书</w:t>
      </w:r>
    </w:p>
    <w:p>
      <w:pPr>
        <w:widowControl w:val="0"/>
        <w:ind w:firstLine="480" w:firstLineChars="200"/>
        <w:jc w:val="both"/>
        <w:rPr>
          <w:rFonts w:ascii="Calibri" w:eastAsia="宋体" w:hAnsi="Calibri"/>
          <w:b/>
          <w:kern w:val="2"/>
          <w:szCs w:val="22"/>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（投标（响应）供应商名称）的法定代表人（负责人），现授权委托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（姓名）为我单位签署本项目已递交的投标（响应）文件的法定代表人（负责人）的授权委托代理人，代理人全权代表我所签署的本项目已递交的投标（响应）文件内容我均承认。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widowControl w:val="0"/>
              <w:jc w:val="center"/>
              <w:rPr>
                <w:rFonts w:ascii="Calibri" w:eastAsia="宋体" w:hAnsi="Calibri" w:hint="eastAsia"/>
                <w:kern w:val="2"/>
                <w:sz w:val="21"/>
                <w:szCs w:val="22"/>
                <w:lang w:eastAsia="zh-CN"/>
              </w:rPr>
            </w:pPr>
            <w:r>
              <w:rPr>
                <w:rFonts w:eastAsia="宋体" w:hAnsi="Calibri" w:cstheme="minorBidi" w:hint="eastAsia"/>
                <w:kern w:val="2"/>
                <w:sz w:val="21"/>
                <w:szCs w:val="22"/>
                <w:lang w:eastAsia="zh-CN"/>
              </w:rPr>
              <w:t>证件扫描件正面</w:t>
            </w:r>
          </w:p>
          <w:p>
            <w:pPr>
              <w:widowControl w:val="0"/>
              <w:spacing w:line="360" w:lineRule="auto"/>
              <w:jc w:val="center"/>
              <w:rPr>
                <w:rFonts w:ascii="Calibri" w:eastAsia="宋体" w:hAnsi="Calibri" w:hint="eastAsia"/>
                <w:b/>
                <w:bCs/>
                <w:kern w:val="2"/>
                <w:szCs w:val="22"/>
                <w:lang w:eastAsia="zh-CN"/>
              </w:rPr>
            </w:pPr>
          </w:p>
          <w:p>
            <w:pPr>
              <w:widowControl w:val="0"/>
              <w:spacing w:line="360" w:lineRule="auto"/>
              <w:jc w:val="center"/>
              <w:rPr>
                <w:rFonts w:ascii="Calibri" w:eastAsia="宋体" w:hAnsi="Calibri"/>
                <w:kern w:val="2"/>
                <w:szCs w:val="22"/>
                <w:lang w:eastAsia="zh-CN"/>
              </w:rPr>
            </w:pPr>
          </w:p>
          <w:p>
            <w:pPr>
              <w:widowControl w:val="0"/>
              <w:spacing w:line="360" w:lineRule="auto"/>
              <w:jc w:val="center"/>
              <w:rPr>
                <w:rFonts w:ascii="Calibri" w:eastAsia="宋体" w:hAnsi="Calibri"/>
                <w:kern w:val="2"/>
                <w:szCs w:val="22"/>
                <w:lang w:eastAsia="zh-CN"/>
              </w:rPr>
            </w:pPr>
          </w:p>
          <w:p>
            <w:pPr>
              <w:widowControl w:val="0"/>
              <w:spacing w:line="360" w:lineRule="auto"/>
              <w:jc w:val="center"/>
              <w:rPr>
                <w:rFonts w:ascii="Calibri" w:eastAsia="宋体" w:hAnsi="Calibri"/>
                <w:kern w:val="2"/>
                <w:szCs w:val="22"/>
                <w:lang w:eastAsia="zh-CN"/>
              </w:rPr>
            </w:pPr>
          </w:p>
          <w:p>
            <w:pPr>
              <w:widowControl w:val="0"/>
              <w:spacing w:line="360" w:lineRule="auto"/>
              <w:jc w:val="center"/>
              <w:rPr>
                <w:rFonts w:ascii="Calibri" w:eastAsia="宋体" w:hAnsi="Calibri"/>
                <w:kern w:val="2"/>
                <w:szCs w:val="22"/>
                <w:lang w:eastAsia="zh-CN"/>
              </w:rPr>
            </w:pPr>
          </w:p>
          <w:p>
            <w:pPr>
              <w:widowControl w:val="0"/>
              <w:spacing w:line="360" w:lineRule="auto"/>
              <w:jc w:val="center"/>
              <w:rPr>
                <w:rFonts w:ascii="Calibri" w:eastAsia="宋体" w:hAnsi="Calibri"/>
                <w:kern w:val="2"/>
                <w:szCs w:val="22"/>
                <w:lang w:eastAsia="zh-CN"/>
              </w:rPr>
            </w:pPr>
          </w:p>
          <w:p>
            <w:pPr>
              <w:widowControl w:val="0"/>
              <w:spacing w:line="360" w:lineRule="auto"/>
              <w:jc w:val="center"/>
              <w:rPr>
                <w:rFonts w:ascii="Calibri" w:eastAsia="宋体" w:hAnsi="Calibri"/>
                <w:kern w:val="2"/>
                <w:szCs w:val="22"/>
                <w:lang w:eastAsia="zh-CN"/>
              </w:rPr>
            </w:pPr>
          </w:p>
        </w:tc>
        <w:tc>
          <w:tcPr>
            <w:tcW w:w="4265" w:type="dxa"/>
            <w:vAlign w:val="top"/>
          </w:tcPr>
          <w:p>
            <w:pPr>
              <w:widowControl w:val="0"/>
              <w:jc w:val="center"/>
              <w:rPr>
                <w:rFonts w:ascii="Calibri" w:eastAsia="宋体" w:hAnsi="Calibri" w:hint="eastAsia"/>
                <w:kern w:val="2"/>
                <w:sz w:val="21"/>
                <w:szCs w:val="22"/>
                <w:lang w:eastAsia="zh-CN"/>
              </w:rPr>
            </w:pPr>
            <w:r>
              <w:rPr>
                <w:rFonts w:eastAsia="宋体" w:hAnsi="Calibri" w:cstheme="minorBidi" w:hint="eastAsia"/>
                <w:kern w:val="2"/>
                <w:sz w:val="21"/>
                <w:szCs w:val="22"/>
                <w:lang w:eastAsia="zh-CN"/>
              </w:rPr>
              <w:t>证件扫描件反面</w:t>
            </w:r>
          </w:p>
          <w:p>
            <w:pPr>
              <w:widowControl w:val="0"/>
              <w:spacing w:line="360" w:lineRule="auto"/>
              <w:jc w:val="center"/>
              <w:rPr>
                <w:rFonts w:ascii="Calibri" w:eastAsia="宋体" w:hAnsi="Calibri" w:hint="eastAsia"/>
                <w:b/>
                <w:bCs/>
                <w:kern w:val="2"/>
                <w:szCs w:val="22"/>
                <w:lang w:eastAsia="zh-CN"/>
              </w:rPr>
            </w:pPr>
          </w:p>
          <w:p>
            <w:pPr>
              <w:widowControl w:val="0"/>
              <w:spacing w:line="360" w:lineRule="auto"/>
              <w:jc w:val="center"/>
              <w:rPr>
                <w:rFonts w:ascii="Calibri" w:eastAsia="宋体" w:hAnsi="Calibri" w:hint="eastAsia"/>
                <w:kern w:val="2"/>
                <w:szCs w:val="22"/>
                <w:lang w:eastAsia="zh-CN"/>
              </w:rPr>
            </w:pPr>
          </w:p>
        </w:tc>
      </w:tr>
    </w:tbl>
    <w:p>
      <w:pPr>
        <w:widowControl w:val="0"/>
        <w:jc w:val="both"/>
        <w:rPr>
          <w:rFonts w:ascii="黑体" w:eastAsia="黑体" w:hAnsi="黑体" w:cs="黑体" w:hint="eastAsia"/>
          <w:b/>
          <w:bCs/>
          <w:kern w:val="2"/>
          <w:lang w:eastAsia="zh-CN"/>
        </w:rPr>
      </w:pPr>
    </w:p>
    <w:p>
      <w:pPr>
        <w:widowControl w:val="0"/>
        <w:spacing w:line="360" w:lineRule="auto"/>
        <w:jc w:val="both"/>
        <w:rPr>
          <w:rFonts w:ascii="Arial" w:eastAsia="宋体" w:hAnsi="Arial"/>
          <w:kern w:val="2"/>
          <w:sz w:val="21"/>
          <w:szCs w:val="21"/>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响应）供应商核实贵单位法定代表人、本项目投标（响应）授权代表人、项目负责人（如有）、主要技术人员（如有）等是否在贵单位缴纳社会保险。</w:t>
      </w:r>
    </w:p>
    <w:p>
      <w:pPr>
        <w:widowControl w:val="0"/>
        <w:spacing w:line="500" w:lineRule="exact"/>
        <w:ind w:firstLine="420" w:firstLineChars="200"/>
        <w:jc w:val="both"/>
        <w:rPr>
          <w:rFonts w:ascii="Arial" w:eastAsia="宋体" w:hAnsi="Arial"/>
          <w:kern w:val="2"/>
          <w:sz w:val="21"/>
          <w:lang w:eastAsia="zh-CN"/>
        </w:rPr>
      </w:pPr>
    </w:p>
    <w:p>
      <w:pPr>
        <w:widowControl w:val="0"/>
        <w:tabs>
          <w:tab w:val="left" w:pos="651"/>
        </w:tabs>
        <w:snapToGrid w:val="0"/>
        <w:jc w:val="both"/>
        <w:rPr>
          <w:rFonts w:ascii="宋体" w:eastAsia="宋体" w:hAnsi="宋体"/>
          <w:color w:val="FF0000"/>
          <w:kern w:val="2"/>
          <w:sz w:val="28"/>
          <w:szCs w:val="28"/>
          <w:lang w:eastAsia="zh-CN"/>
        </w:rPr>
      </w:pPr>
      <w:r>
        <w:rPr>
          <w:rFonts w:ascii="宋体" w:eastAsia="宋体" w:hAnsi="宋体"/>
          <w:color w:val="FF0000"/>
          <w:kern w:val="2"/>
          <w:sz w:val="28"/>
          <w:szCs w:val="28"/>
          <w:lang w:eastAsia="zh-CN"/>
        </w:rPr>
        <w:br w:type="page"/>
      </w:r>
    </w:p>
    <w:p>
      <w:pPr>
        <w:widowControl w:val="0"/>
        <w:snapToGrid w:val="0"/>
        <w:spacing w:before="0" w:after="0" w:line="240" w:lineRule="auto"/>
        <w:jc w:val="center"/>
        <w:outlineLvl w:val="2"/>
        <w:rPr>
          <w:rFonts w:ascii="黑体" w:eastAsia="黑体" w:hAnsi="宋体" w:hint="eastAsia"/>
          <w:bCs/>
          <w:lang w:eastAsia="zh-CN"/>
        </w:rPr>
      </w:pPr>
      <w:r>
        <w:rPr>
          <w:rFonts w:ascii="黑体" w:eastAsia="黑体" w:hAnsi="宋体" w:hint="eastAsia"/>
          <w:bCs/>
          <w:lang w:eastAsia="zh-CN"/>
        </w:rPr>
        <w:t>四、实质性条款响应情况表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1"/>
        <w:gridCol w:w="2763"/>
        <w:gridCol w:w="1647"/>
        <w:gridCol w:w="1910"/>
        <w:gridCol w:w="14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28" w:name="_Hlk72092651"/>
            <w:r>
              <w:rPr>
                <w:rFonts w:ascii="宋体" w:eastAsia="宋体" w:hAnsi="宋体" w:cstheme="minorBidi"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响应情况</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说明</w:t>
            </w:r>
          </w:p>
        </w:tc>
      </w:tr>
      <w:bookmarkEnd w:id="28"/>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cstheme="minorBidi" w:hint="eastAsia"/>
                <w:sz w:val="21"/>
                <w:szCs w:val="21"/>
                <w:lang w:eastAsia="zh-CN"/>
              </w:rPr>
              <w:t>1</w:t>
            </w:r>
          </w:p>
        </w:tc>
        <w:tc>
          <w:tcPr>
            <w:tcW w:w="2664" w:type="dxa"/>
            <w:vAlign w:val="center"/>
          </w:tcPr>
          <w:p>
            <w:pPr>
              <w:widowControl w:val="0"/>
              <w:adjustRightInd w:val="0"/>
              <w:snapToGrid w:val="0"/>
              <w:spacing w:line="360" w:lineRule="auto"/>
              <w:jc w:val="left"/>
              <w:rPr>
                <w:rFonts w:ascii="Calibri" w:eastAsia="宋体" w:hAnsi="宋体"/>
                <w:sz w:val="21"/>
                <w:szCs w:val="21"/>
                <w:lang w:eastAsia="zh-CN"/>
              </w:rPr>
            </w:pPr>
            <w:r>
              <w:rPr>
                <w:rFonts w:ascii="Calibri" w:eastAsia="宋体" w:hAnsi="宋体" w:cstheme="minorBidi" w:hint="eastAsia"/>
                <w:color w:val="FF0000"/>
                <w:sz w:val="21"/>
                <w:szCs w:val="21"/>
                <w:lang w:eastAsia="zh-CN"/>
              </w:rPr>
              <w:t>本项目征集文件中所有带★号条款内容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ascii="Calibri" w:eastAsia="宋体" w:hAnsi="Calibri"/>
          <w:b/>
          <w:kern w:val="2"/>
          <w:szCs w:val="22"/>
          <w:lang w:eastAsia="zh-CN"/>
        </w:rPr>
      </w:pP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注：1.上表所列各项均为不可负偏离条款。</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2.“响应情况”一栏应当详细填写投标（响应）供应商自身响应情况，而不能不合理照搬照抄招实质性条款具体内容。</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正偏离”表示“响应情况优于实质性条款具体内容要求”，“负偏离”表示“响应情况不满足实质性条款具体内容要求”，“无偏离”表示“响应情况与实质性条款具体内容要求一致”。</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评审委员会有权对响应情况作出判断（作出评审结论）。</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.实质性响应条款“响应情况”与投标（响应）文件其它内容冲突的，以实质性响应条款“响应情况”为准。</w:t>
      </w:r>
    </w:p>
    <w:p>
      <w:pPr>
        <w:widowControl w:val="0"/>
        <w:ind w:firstLine="480" w:firstLineChars="200"/>
        <w:jc w:val="both"/>
        <w:rPr>
          <w:rFonts w:ascii="Calibri" w:eastAsia="宋体" w:hAnsi="Calibri" w:hint="eastAsia"/>
          <w:kern w:val="2"/>
          <w:sz w:val="21"/>
          <w:szCs w:val="22"/>
          <w:lang w:eastAsia="zh-CN"/>
        </w:rPr>
      </w:pPr>
      <w:r>
        <w:rPr>
          <w:rFonts w:ascii="Calibri" w:eastAsia="宋体" w:hAnsi="Calibri" w:cstheme="minorBidi" w:hint="eastAsia"/>
          <w:b/>
          <w:kern w:val="2"/>
          <w:szCs w:val="22"/>
          <w:lang w:eastAsia="zh-CN"/>
        </w:rPr>
        <w:t>6.要求提供证明资料，在“说明”一栏中列明证明资料的位置,以便评审；未要求提供证明材料的，投标（响应）供应商可以不提供。</w:t>
      </w:r>
    </w:p>
    <w:p>
      <w:pPr>
        <w:widowControl w:val="0"/>
        <w:jc w:val="both"/>
        <w:rPr>
          <w:rFonts w:ascii="黑体" w:eastAsia="黑体" w:hAnsi="Calibri" w:hint="eastAsia"/>
          <w:kern w:val="2"/>
          <w:lang w:eastAsia="zh-CN"/>
        </w:rPr>
      </w:pPr>
      <w:r>
        <w:rPr>
          <w:rFonts w:ascii="黑体" w:eastAsia="黑体" w:hAnsi="Calibri" w:cstheme="minorBidi" w:hint="eastAsia"/>
          <w:kern w:val="2"/>
          <w:lang w:eastAsia="zh-CN"/>
        </w:rPr>
        <w:br w:type="page"/>
      </w:r>
    </w:p>
    <w:p>
      <w:pPr>
        <w:widowControl w:val="0"/>
        <w:spacing w:before="260" w:after="260" w:line="240" w:lineRule="auto"/>
        <w:jc w:val="center"/>
        <w:outlineLvl w:val="2"/>
        <w:rPr>
          <w:rFonts w:ascii="宋体" w:eastAsia="宋体" w:hAnsi="宋体"/>
          <w:kern w:val="2"/>
          <w:szCs w:val="32"/>
          <w:lang w:eastAsia="zh-CN"/>
        </w:rPr>
      </w:pPr>
      <w:r>
        <w:rPr>
          <w:rFonts w:ascii="黑体" w:eastAsia="黑体" w:hAnsi="宋体" w:cstheme="minorBidi" w:hint="eastAsia"/>
          <w:kern w:val="2"/>
          <w:lang w:eastAsia="zh-CN"/>
        </w:rPr>
        <w:t>五、技术要求偏离表</w:t>
      </w:r>
    </w:p>
    <w:tbl>
      <w:tblPr>
        <w:tblStyle w:val="TableNormal"/>
        <w:tblpPr w:leftFromText="180" w:rightFromText="180" w:vertAnchor="text" w:horzAnchor="page" w:tblpX="1589" w:tblpY="430"/>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698"/>
        <w:gridCol w:w="1339"/>
        <w:gridCol w:w="5323"/>
        <w:gridCol w:w="458"/>
        <w:gridCol w:w="419"/>
        <w:gridCol w:w="28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85"/>
        </w:trPr>
        <w:tc>
          <w:tcPr>
            <w:tcW w:w="698" w:type="dxa"/>
            <w:tcBorders>
              <w:top w:val="single" w:sz="4" w:space="0" w:color="auto"/>
              <w:left w:val="single" w:sz="4" w:space="0" w:color="auto"/>
              <w:bottom w:val="single" w:sz="4" w:space="0" w:color="auto"/>
              <w:right w:val="single" w:sz="8" w:space="0" w:color="000000"/>
            </w:tcBorders>
            <w:shd w:val="clear" w:color="auto" w:fill="auto"/>
            <w:noWrap/>
            <w:vAlign w:val="center"/>
          </w:tcPr>
          <w:p>
            <w:pPr>
              <w:widowControl w:val="0"/>
              <w:jc w:val="center"/>
              <w:rPr>
                <w:rFonts w:ascii="宋体" w:eastAsia="宋体" w:hAnsi="宋体" w:cs="宋体" w:hint="eastAsia"/>
                <w:b/>
                <w:bCs/>
                <w:color w:val="000000"/>
                <w:kern w:val="2"/>
                <w:lang w:eastAsia="zh-CN"/>
              </w:rPr>
            </w:pPr>
            <w:r>
              <w:rPr>
                <w:rFonts w:ascii="Calibri" w:eastAsia="宋体" w:hAnsi="Calibri" w:cstheme="minorBidi" w:hint="eastAsia"/>
                <w:kern w:val="2"/>
                <w:szCs w:val="22"/>
                <w:lang w:eastAsia="zh-CN"/>
              </w:rPr>
              <w:t>序号</w:t>
            </w:r>
          </w:p>
        </w:tc>
        <w:tc>
          <w:tcPr>
            <w:tcW w:w="1339" w:type="dxa"/>
            <w:tcBorders>
              <w:top w:val="single" w:sz="4" w:space="0" w:color="auto"/>
              <w:left w:val="nil"/>
              <w:bottom w:val="single" w:sz="4" w:space="0" w:color="auto"/>
              <w:right w:val="single" w:sz="8" w:space="0" w:color="000000"/>
            </w:tcBorders>
            <w:shd w:val="clear" w:color="auto" w:fill="auto"/>
            <w:vAlign w:val="center"/>
          </w:tcPr>
          <w:p>
            <w:pPr>
              <w:widowControl w:val="0"/>
              <w:jc w:val="center"/>
              <w:rPr>
                <w:rFonts w:ascii="宋体" w:eastAsia="宋体" w:hAnsi="宋体" w:cs="宋体" w:hint="eastAsia"/>
                <w:b/>
                <w:bCs/>
                <w:color w:val="000000"/>
                <w:kern w:val="2"/>
                <w:lang w:eastAsia="zh-CN"/>
              </w:rPr>
            </w:pPr>
            <w:r>
              <w:rPr>
                <w:rFonts w:ascii="Calibri" w:eastAsia="宋体" w:hAnsi="Calibri" w:cstheme="minorBidi" w:hint="eastAsia"/>
                <w:kern w:val="2"/>
                <w:szCs w:val="22"/>
                <w:lang w:eastAsia="zh-CN"/>
              </w:rPr>
              <w:t>货物名称</w:t>
            </w:r>
          </w:p>
        </w:tc>
        <w:tc>
          <w:tcPr>
            <w:tcW w:w="5323" w:type="dxa"/>
            <w:tcBorders>
              <w:top w:val="single" w:sz="4" w:space="0" w:color="auto"/>
              <w:left w:val="nil"/>
              <w:bottom w:val="single" w:sz="4" w:space="0" w:color="auto"/>
              <w:right w:val="single" w:sz="8" w:space="0" w:color="000000"/>
            </w:tcBorders>
            <w:shd w:val="clear" w:color="auto" w:fill="auto"/>
            <w:vAlign w:val="center"/>
          </w:tcPr>
          <w:p>
            <w:pPr>
              <w:widowControl w:val="0"/>
              <w:jc w:val="center"/>
              <w:rPr>
                <w:rFonts w:ascii="宋体" w:eastAsia="宋体" w:hAnsi="宋体" w:cs="宋体" w:hint="eastAsia"/>
                <w:b/>
                <w:bCs/>
                <w:color w:val="000000"/>
                <w:kern w:val="2"/>
                <w:lang w:eastAsia="zh-CN"/>
              </w:rPr>
            </w:pPr>
            <w:r>
              <w:rPr>
                <w:rFonts w:ascii="Calibri" w:eastAsia="宋体" w:hAnsi="Calibri" w:cstheme="minorBidi" w:hint="eastAsia"/>
                <w:kern w:val="2"/>
                <w:szCs w:val="22"/>
                <w:lang w:eastAsia="zh-CN"/>
              </w:rPr>
              <w:t>采购技术要求</w:t>
            </w:r>
          </w:p>
        </w:tc>
        <w:tc>
          <w:tcPr>
            <w:tcW w:w="458" w:type="dxa"/>
            <w:tcBorders>
              <w:top w:val="single" w:sz="4" w:space="0" w:color="auto"/>
              <w:left w:val="nil"/>
              <w:bottom w:val="single" w:sz="4" w:space="0" w:color="auto"/>
              <w:right w:val="single" w:sz="8" w:space="0" w:color="000000"/>
            </w:tcBorders>
            <w:shd w:val="clear" w:color="auto" w:fill="auto"/>
            <w:vAlign w:val="center"/>
          </w:tcPr>
          <w:p>
            <w:pPr>
              <w:widowControl w:val="0"/>
              <w:jc w:val="center"/>
              <w:rPr>
                <w:rFonts w:ascii="宋体" w:eastAsia="宋体" w:hAnsi="宋体" w:cs="宋体" w:hint="eastAsia"/>
                <w:b/>
                <w:bCs/>
                <w:color w:val="000000"/>
                <w:lang w:eastAsia="zh-CN" w:bidi="ar"/>
              </w:rPr>
            </w:pPr>
            <w:r>
              <w:rPr>
                <w:rFonts w:ascii="Calibri" w:eastAsia="宋体" w:hAnsi="Calibri" w:cstheme="minorBidi" w:hint="eastAsia"/>
                <w:kern w:val="2"/>
                <w:szCs w:val="22"/>
                <w:lang w:eastAsia="zh-CN"/>
              </w:rPr>
              <w:t>技术响应情况</w:t>
            </w:r>
          </w:p>
        </w:tc>
        <w:tc>
          <w:tcPr>
            <w:tcW w:w="419" w:type="dxa"/>
            <w:tcBorders>
              <w:top w:val="single" w:sz="4" w:space="0" w:color="auto"/>
              <w:left w:val="nil"/>
              <w:bottom w:val="single" w:sz="4" w:space="0" w:color="auto"/>
              <w:right w:val="single" w:sz="8" w:space="0" w:color="000000"/>
            </w:tcBorders>
            <w:shd w:val="clear" w:color="auto" w:fill="auto"/>
            <w:vAlign w:val="center"/>
          </w:tcPr>
          <w:p>
            <w:pPr>
              <w:widowControl w:val="0"/>
              <w:jc w:val="center"/>
              <w:rPr>
                <w:rFonts w:ascii="宋体" w:eastAsia="宋体" w:hAnsi="宋体" w:cs="宋体" w:hint="eastAsia"/>
                <w:b/>
                <w:bCs/>
                <w:color w:val="000000"/>
                <w:lang w:eastAsia="zh-CN" w:bidi="ar"/>
              </w:rPr>
            </w:pPr>
            <w:r>
              <w:rPr>
                <w:rFonts w:ascii="Calibri" w:eastAsia="宋体" w:hAnsi="Calibri" w:cstheme="minorBidi" w:hint="eastAsia"/>
                <w:kern w:val="2"/>
                <w:szCs w:val="22"/>
                <w:lang w:eastAsia="zh-CN"/>
              </w:rPr>
              <w:t>偏离情况</w:t>
            </w:r>
          </w:p>
        </w:tc>
        <w:tc>
          <w:tcPr>
            <w:tcW w:w="285"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rFonts w:ascii="宋体" w:eastAsia="宋体" w:hAnsi="宋体" w:cs="宋体" w:hint="eastAsia"/>
                <w:b/>
                <w:bCs/>
                <w:color w:val="000000"/>
                <w:lang w:eastAsia="zh-CN" w:bidi="ar"/>
              </w:rPr>
            </w:pPr>
            <w:r>
              <w:rPr>
                <w:rFonts w:ascii="Calibri" w:eastAsia="宋体" w:hAnsi="Calibri" w:cstheme="minorBidi" w:hint="eastAsia"/>
                <w:kern w:val="2"/>
                <w:szCs w:val="22"/>
                <w:lang w:eastAsia="zh-CN"/>
              </w:rPr>
              <w:t>说明</w:t>
            </w:r>
          </w:p>
        </w:tc>
      </w:tr>
      <w:tr>
        <w:tblPrEx>
          <w:tblW w:w="5000" w:type="pct"/>
          <w:tblInd w:w="0" w:type="dxa"/>
          <w:shd w:val="clear" w:color="auto" w:fill="auto"/>
          <w:tblLayout w:type="fixed"/>
          <w:tblCellMar>
            <w:top w:w="0" w:type="dxa"/>
            <w:left w:w="108" w:type="dxa"/>
            <w:bottom w:w="0" w:type="dxa"/>
            <w:right w:w="108" w:type="dxa"/>
          </w:tblCellMar>
        </w:tblPrEx>
        <w:trPr>
          <w:trHeight w:val="551"/>
        </w:trPr>
        <w:tc>
          <w:tcPr>
            <w:tcW w:w="698"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133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大单星盆台</w:t>
            </w:r>
          </w:p>
        </w:tc>
        <w:tc>
          <w:tcPr>
            <w:tcW w:w="5323"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1.1规格：（1000mm*700mm*810mm+150mm）±10%</w:t>
            </w:r>
          </w:p>
        </w:tc>
        <w:tc>
          <w:tcPr>
            <w:tcW w:w="458"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1.2材质：台面采用304#1.2mm(±0.5mm)厚不锈钢板，星斗304#1.0mm(±0.5mm)，台脚（38mm*38mm*1.0mm）±0.5mm不锈钢方管，横管（30mm*30mm*0.8mm）±0.5mm不锈钢方管，配全钢可调子弹脚及龙头。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大双星盆台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2.1规格：(1200mm*700mm0*810mm+150mm)±10%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2.2材质：台面采用304#1.2mm(±0.5mm)厚不锈钢板，星斗304#1.0mm(±0.5mm)，台脚(38mm*38mm*1.0mm)±0.5mm不锈钢方管，横管(30mm*30mm*0.8mm)±0.5mm不锈钢方管，配全钢可调子弹脚及龙头。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4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留样雪柜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3.1规格：(530mm*590mm*1620mm)±10%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3.2制冷方式：直冷，温度：(0℃-10℃)±10%。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4.1规格：(1500mm*700mm*810mm)±10%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材质：台面采用304#1.2mm(±0.5mm)厚不锈钢板加木板，面板底部边框采用(30mm*30mm*0.8mm)±0.5mm厚不锈钢管加固，层板304#1.0mm(±0.5mm)厚不锈钢板,加强筋采用不锈钢板，台脚采(38mm*38mm*1.0mm)±0.5mm不锈钢方管，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9"/>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四门冷藏冷冻冰箱</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5.1规格：(1220mm*692mm*1910mm)±10%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5.2制冷方式：直冷，温度：【(-5℃）-10℃】±10%,【(-15℃）-6℃】±10%。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3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6.1规格(1500mm*700mm*810mm)±10%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材质：台面采用304#1.2mm(±0.5mm)厚不锈钢板加木板，面板底部边框采用(30mm*30mm*0.8mm)±0.5mm厚不锈钢管加固，层板304#1.0mm(±0.5mm)厚不锈钢板,加强筋采用不锈钢板，台脚采(38mm*38mm*1.0mm)±0.5mm不锈钢方管，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6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7.1规格：(1500mm*700mm*810mm)±10%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7.2材质：台面采用304#1.2mm(±0.5mm)厚不锈钢板加木板，面板底部边框采用(30mm*30mm*0.8mm)±0.5mm厚不锈钢管，柜身及门304#1.0mm(±0.5mm)厚不锈钢板，层板304#1.0mm(±0.5mm)厚不锈钢板，加强筋采用不锈钢板，配全钢重力脚。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8.1规格：(1200mm*600mm*150mm)±10%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8.2材质：层板采用304#1.0mm(±0.5mm)厚不锈钢板，底部加不锈钢板加强筋，立柱采用(38mm*38mm*1.0mm)±0.5mm不锈钢方通，配全钢可调子弹脚。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9"/>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板架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9.1规格:(1100mm*450mm*1500mm)±10%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9.2材质：层板采用304#1.0mm(±0.5mm)厚不锈钢板，底部加不锈钢板加强筋，立柱采用(38mm*38mm*1.0mm)±0.5mm不锈钢方通，配全钢可调子弹脚。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3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挂墙单洗手星盆1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10.1规格：(400mm*350mm*250mm)±10%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10.2材质：面板采用304#1.2mm(±0.5mm)厚不锈钢板，围板及星斗304#1.0mmm厚(±0.5mm)，配感应龙头，功率：220V/0.2KW(±10%)。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0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洗地龙头</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11.1规格：10米长(±10%)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11.2材质：低碳钢材喷涂,黑色纹面液压管，360度活动。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b/>
                <w:bCs/>
                <w:color w:val="FF0000"/>
                <w:kern w:val="2"/>
                <w:sz w:val="22"/>
                <w:szCs w:val="22"/>
                <w:lang w:eastAsia="zh-CN"/>
              </w:rPr>
              <w:t>★投标时提供所投产品获得国家认可的认证机构出具的处于有效期内的节水产品认证证书。</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3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灶头灭火装置</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12.1规格：单甁组；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12.2工作温度: (4℃-55℃)±10%；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12.3.装置的最大工作压力0.9MPa(±10%)贮存压力：13Mpa(±10%)；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12.4.喷射时间：(13-15s)±10%；喷射延迟时间：2.0s(±10%);喷嘴工作压力：单瓶组0.24MPa(±10%);冷却水喷嘴工作压力：单瓶组0.05MPa(±10%)；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12.5.灭火剂保质期:8年 驱动气瓶标有：驱动气体名称：氮气（N2）;充装压力：13MPa(20°C)(±10%)；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12.6药剂喷洒时间:(13-15秒)±10%。灭火时间:(3-5秒)±10%。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14"/>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燃气单头平头炉</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13.1规格：(650mm*700mm*550mm)±10%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材质：炉面用304#1.2mm(±0.5mm)厚不锈钢板,背板、前板、侧板采用304#1.0mm(±0.5mm)厚不锈钢；炉面不锈钢板与下加钢板之间及炉膛内采用高级耐火棉隔热；炉体骨加40mm*40mm的角铁，炉膛采用2.0mm(±0.5mm)厚A3铁板,炉膛内用耐火砖砌结火位，≥4寸高效节能燃烧器，摇摆水龙头、电子点火，热电偶熄火保护，功率：220V/0.55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燃气单门蒸柜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14.1规格：(650mm*930mm*1850mm)±10%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14.2材质：上柜柜身采用304#1.0mm(±0.5mm)厚不锈钢板，下柜身采用304#1.0mm(±0.5mm)厚不锈钢板，水胆采用1.5mm(±0.5mm)厚不锈钢板，自动进水系统装置，电子点火，热电偶熄火保护，配节能炉头,功率：220V/0.55KW(±10%)。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89"/>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燃气单头大炒炉</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15.1规格(1100mm*1220mm*810mm+400mm)±10%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材质：炉面用304#1.2mm(±0.5mm)厚不锈钢板,背板、前板、侧板采用304#1.0mm(±0.5mm)厚不锈钢；炉面不锈钢板与下加钢板之间及炉膛内采用高级耐火棉隔热；炉体骨加50*50的角铁，炉膛采用2.0mm(±0.5mm)厚A3铁板,炉膛内用耐火砖砌结火位，5寸高效节能燃烧器，摇摆水龙头、电子点火，热电偶熄火保护，功率：220V/0.55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燃气单头小炒炉</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16.1规格(1100mm*1220mm*810mm+400mm)±10%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材质：炉面用304#1.2mm(±0.5mm)厚不锈钢板,背板、前板、侧板采用304#1.0mm(±0.5mm)厚不锈钢；炉面不锈钢板与下加钢板之间及炉膛内采用高级耐火棉隔热；炉体骨加50*50的角铁，炉膛采用2.0mm(±0.5mm)厚A3铁板,炉膛内用耐火砖砌结火位，4寸高效节能燃烧器，摇摆水龙头、电子点火，热电偶熄火保护，功率：220V/0.55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0"/>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燃气双头煲仔炉</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17.1规格：(450mm*1220mm*810mm+150mm)±10%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17.2材质：炉面板用304#1.2mm(±0.5mm)不锈钢板,其它采用304#1.0mm(±0.5mm)不锈钢；立柱(38mm*38mm*1.0mm)±0.5mm管，配可调子弹脚，文华炉头。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30"/>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18.1规格：(5800mm*1350mm*510mm)±10%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18.2材质：壳体采用304#1.0mm(±0.5mm)厚不锈钢板，配防水LED照明装置。</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19.1规格：(700mm*350mm)±10%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19.2材质：采用304#1.2mm(±0.5mm)厚不锈钢板。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1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20.1规格：(400mm*1220mm)±10%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20.2材质：采用304#1.2mm(±0.5mm)厚不锈钢板。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刀具砧板消毒柜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21.1规格：(1500mm*800mm*810mm)±10%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21.2材质：不锈钢柜身，容量：</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20把刀+</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4块砧板（砧板厚度10cm/5cm)，功率：220V/1.62KW(±10%)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1"/>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程控数显商用电开水器1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22.1规格：(463mm*282mm*797mm)±10%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22.2材质：不锈钢外壳，供水量：90L/H(±10%)，功率：380V/9KW(±10%),温度显示：程控显屏，配挂墙架。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61"/>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拼板3</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23.1规格：(450mm*400mm)±10%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23.2材质：采用304#1.2mm(±0.5mm)厚不锈钢板。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8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挂墙单洗手星盆2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24.1规格：(400mm*350mm*250mm)±10%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24.2材质：面板采用304#1.2mm(±0.5mm)厚不锈钢板，围板及星斗304#1.0mmm厚(±0.5mm)，配感应龙头，功率：220V/0.2KW(±10%)。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60"/>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25.1规格(600mm*600mm*810mm+150mm)±10%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25.2材质：台面采用304#1.2mm(±0.5mm)厚不锈钢板，星斗304#1.0mm(±0.5mm)，台脚(38mm*38mm*1.0mm)±0.5mm不锈钢方管，横管(30mm*30mm*0.8mm)±0.5mm不锈钢方管，配全钢可调子弹脚及龙头。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30"/>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26.1规格：(1200mm*600mm*810mm+150mm)±10%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26.2材质：台面采用304#1.2mm(±0.5mm)厚不锈钢板加木板，面板底部边框采用(30mm*30mm*0.8mm)±0.5mm厚不锈钢管加固，台脚采(50mm*50mm*1.2mm)±0.5mm不锈钢方管，配全钢可调子弹脚。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面粉车</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27.1规格：(500mm*500mm*500mm)±10%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27.2材质：柜体采用304#1.2mm(±0.5mm)厚不锈钢板，盖板采用1.0mm(±0.5mm)厚不锈钢，配4寸万向脚轮，其中2个带刹车。</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6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平台雪柜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28.1规格：(1200mm*600mm*810mm+150mm)±10%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28.2制冷方式：直冷，温度：【(-15℃）-（-6℃)】±10%。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食品添加剂柜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29.1规格：(600mm*350mm*600mm)±10%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29.2材质：柜体采用304#1.2mm(±0.5mm)厚不锈钢板，门板采用304#1.0mm(±0.5mm)厚不锈板，加强筋采用304#1.0mm(±0.5mm)厚不锈钢板。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2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挂墙吊柜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30.1规格：(1200mm*350mm*600mm)±10%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30.2材质：柜体采用304#1.2mm(±0.5mm)厚不锈钢板，门板采用304#1.0mm(±0.5mm)厚不锈板，加强筋采用304#1.0mm(±0.5mm)厚不锈钢板。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煎饼炉</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31.1规格：(760mm*640mm*770mm)±10%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31.2功率：380V/4.5KW(±10%)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双层四盘电炉下连八盘钢醒发箱</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32.1规格：(1210mm*815mm*1725mm)±10%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32.2功率：380V/19.8KW(±10%)。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33.1规格：(2000mm*1000mm*510mm)±10%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33.2材质：壳体采用304#1.0mm(±0.5mm)厚不锈钢板。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5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饼盘车</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34.1规格：(465mm*600mm*1800mm)±10%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34.2材质：柜体采用304#1.0mm(±0.5mm)厚不锈钢板冲孔板，每层承托板采用304#1.5mm(±0.5mm)厚不锈钢板，立柱(38mm*38mm*1.0mm)±0.5mm不锈钢方管，配</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4寸静音万向脚轮，其中2个带刹车。</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14"/>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压面机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35.1规格：(480mm*415mm*960mm)±10%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35.2压面宽度：150mm(±10%),压面厚度：(0.5-5mm)±10%,生产能力：(20-25kg/h)±10%，功率：220V/1.1KW(±10%)。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4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搅拌机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36.1规格：(565mm*445mm*725mm)±10%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36.2料桶容积：20L(±10%)，最大和面量：6kg(±10%)，功率：380V/0.75KW(±10%)。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9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双动和面机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37.1规格：(700mm*450mm*780mm)±10%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37.2料桶容积：21L(±10%)，最大和面量：8kg(±10%)，功率：380V/0.75KW(±10%)。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回收台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38.1规格：(1300mm*700mm*810mm)±10%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38.2材质：台面采用304#1.2mm(±0.5mm)厚不锈钢板，面板底部边框采用(30mm*30mm*0.8mm)±0.5mm厚不锈钢管加固，台脚采(38mm*38mm*1.0mm)±0.5mm不锈钢方管，配全钢可调子弹脚。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39.1规格：(1000mm*700mm*810mm+150mm)±10%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39.2材质：台面采用304#1.2mm(±0.5mm)厚不锈钢板，星斗304#1.0mm(±0.5mm)，台脚(38mm*38mm*1.0mm)±0.5mm不锈钢方管，横管(30mm*30mm*0.8mm)±0.5mm不锈钢方管，配全钢可调子弹脚及龙头。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3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程控数显商用电开水器2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40.1规格：(463mm*282mm*797mm)±10%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40.2材质：不锈钢外壳，供水量：90L/H(±10%)，功率：380V/9KW(±10%),温度显示：程控显屏，配挂墙架。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7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方通架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41.1规格：(900mm*450mm*1500mm)±10%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41.2材质：横管采用(25mm*12mm*0.8mm)±0.5mm不锈钢扁通，立柱采用(38mm*38mm*1.0mm)±0.5mm不锈钢方通，配全钢可调子弹脚。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热循环风高温消毒柜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42.1规格：(1170mm*520mm*1900mm)±10%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42.2不锈钢柜身，配全钢重力脚，容量：680L(±10%)功率：220V/2.2KW(±10%)。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方形工作台柜1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43.1规格：(600mm*700mm*810mm)±10%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43.2材质：台面采用304#1.2mm(±0.5mm)厚不锈钢板加木板，面板底部边框采用(30mm*30mm*0.8mm)±0.5mm厚不锈钢管，柜身及门304#1.0mm(±0.5mm)厚不锈钢板，层板304#1.0mm(±0.5mm)厚不锈钢板，加强筋采用不锈钢板，配全钢重力脚。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0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电热保温柜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44.1规格：(1800mm*700mm*810mm)±10%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44.2材质：台面采用304#1.2mm(±0.5mm)厚不锈钢板，水槽304#1.0mm(±0.5mm)厚不锈钢板板，围板及门采用304#1.0mm(±0.5mm)厚不锈钢板，配重力脚，工作指示灯，不锈钢发热管，功率：220V/6KW(±10%)。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20"/>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保温汤饭桶1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45.1规格：(600mm*700mm*810mm)±10%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45.2材质：台面采用304#1.2mm(±0.5mm)厚不锈钢板，水槽304#1.0mm(±0.5mm)厚不锈钢板板，围板及门采用304#1.0mm(±0.5mm)厚不锈钢板，配重力脚，工作指示灯，不锈钢发热管，功率：220V/2KW(±10%)。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托板</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46.1规格：(3550mm*250mm*30mm)±10%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46.2材质：采用304#1.0mm(±0.5mm)厚不锈钢板。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6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方形工作台柜2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47.1规格：(700mm*700mm*810mm)±10%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47.2材质：台面采用304#1.2mm(±0.5mm)厚不锈钢板加木板，面板底部边框采用(30mm*30mm*0.8mm)±0.5mm厚不锈钢管，柜身及门304#1.0mm(±0.5mm)厚不锈钢板，层板304#1.0mm(±0.5mm)厚不锈钢板，加强筋采用不锈钢板，配全钢重力脚。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厨余回收柜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48.1规格：(600mm*600mm*810mm)±10%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48.2材质：台面采用304#1.2mm(±0.5mm)厚不锈钢板，柜身及门304#1.0mm(±0.5mm)厚不锈钢板，加强筋采用不锈钢板，配全钢重力脚。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平板推车</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49.1规格：(500mm*500mm*750mm)±10%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49.2材质：面板采用304#1.2mm(±0.5mm)厚不锈钢板，配</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4寸脚轮。</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31"/>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灭蝇灯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50.1规格：6W(±10%)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50.2使用面积约：35㎡(±10%)。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3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紫外线消毒灯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51.1.采用吊顶式安装，一体化的高强度材质外壳，表面为光滑型、无缝隙，无裸露铆钉，不得占用地面、墙面空间，并具有LED照明功能。</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▲51.2具有消毒报警功能，消毒功能即将失效/已经失效应有明显的指示。</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51.3.设备具有遥控、人工集中控制、定时集中控制等功能，可根据不同使用场所要求配置。</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▲51.4.外观尺寸采用标准吊顶尺寸（1200mm*600mm*100mm）±10%,可以直接嵌入到吊顶内，也可采用吊装安装，产品厚度≤100mm，需适应2种以上安装要求。</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▲51.5.LED照明时间可达</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20000小时，紫外线灯管使用寿命可达</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5000小时</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51.6.正常工作条件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51.6.1环境温度：5℃-40℃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51.6.2相对湿度：≤80%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51.6.3大气压力：86KPa-106KPa</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51.6.4电源：电压 AC220V 频率 50Hz</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51.6.5安全防护分类：Ⅰ类设备</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51.6.6 消毒空间（m3）：≤50；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51.6.7机内紫外线辐射强度（μW/cm2）≥50；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51.6.8循环消毒风量(m3/h) ：≥200；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51.6.9机外紫外线泄漏强度（μW/cm2）：≤1；   </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51.6.10消毒时空气中的臭氧含量(mg/m3)：≤0.16；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51.6.11消毒后空气中的平均细菌总数（cfu/ m3）：≤200；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51.6.12噪声(dB )：≤50；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51.6.13输入功率（VA）：≤180；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51.6.14消毒时间（h）：≤ 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51.6.15消毒效果:</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▲51.6.15.1对白色葡萄球菌（8032）的杀灭率≥99.90%。</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51.6.15.2对空气中自然菌的消亡率≥90%。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hint="eastAsia"/>
                <w:b/>
                <w:bCs/>
                <w:color w:val="FF0000"/>
                <w:kern w:val="2"/>
                <w:sz w:val="21"/>
                <w:szCs w:val="21"/>
                <w:lang w:eastAsia="zh-CN"/>
              </w:rPr>
              <w:t>★</w:t>
            </w:r>
            <w:r>
              <w:rPr>
                <w:rFonts w:ascii="宋体" w:eastAsia="宋体" w:hAnsi="宋体" w:cs="宋体" w:hint="eastAsia"/>
                <w:b/>
                <w:bCs/>
                <w:color w:val="FF0000"/>
                <w:sz w:val="22"/>
                <w:szCs w:val="22"/>
                <w:lang w:eastAsia="zh-CN" w:bidi="ar"/>
              </w:rPr>
              <w:t>51.7.符合：GB28235-2020《紫外线消毒器卫生要求》的使用条款的要求。</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hint="eastAsia"/>
                <w:b/>
                <w:bCs/>
                <w:color w:val="FF0000"/>
                <w:kern w:val="2"/>
                <w:sz w:val="21"/>
                <w:szCs w:val="21"/>
                <w:lang w:eastAsia="zh-CN"/>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hint="eastAsia"/>
                <w:b/>
                <w:bCs/>
                <w:color w:val="FF0000"/>
                <w:kern w:val="2"/>
                <w:sz w:val="21"/>
                <w:szCs w:val="21"/>
                <w:lang w:eastAsia="zh-CN"/>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hint="eastAsia"/>
                <w:b/>
                <w:bCs/>
                <w:color w:val="FF0000"/>
                <w:kern w:val="2"/>
                <w:sz w:val="21"/>
                <w:szCs w:val="21"/>
                <w:lang w:eastAsia="zh-CN"/>
              </w:rPr>
            </w:pP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bookmarkStart w:id="29" w:name="_GoBack"/>
            <w:bookmarkEnd w:id="29"/>
            <w:r>
              <w:rPr>
                <w:rFonts w:ascii="宋体" w:eastAsia="宋体" w:hAnsi="宋体" w:cs="宋体" w:hint="eastAsia"/>
                <w:color w:val="000000"/>
                <w:sz w:val="22"/>
                <w:szCs w:val="22"/>
                <w:lang w:eastAsia="zh-CN" w:bidi="ar"/>
              </w:rPr>
              <w:t>52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风幕机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52.1规格：(1800mm*188mm*221mm)±10%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52.2功率：220V/0.35KW(±10%)。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不锈钢板</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53.1采用304#1.0mm(±0.5mm)厚。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隔油网</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54.1规格：(500mm*500mm*50mm)±10%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54.2材质：采用0.6mm(±0.5mm)厚不锈钢板制作。</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55.1功率：220V/550W(±10%)。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56.1规格:Φ350mm(±10%)。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食品温度测量计</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57.1规格：【(-50℃）-300℃】±10% ，材质：不锈钢杆。</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磅称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58.1规格：500千克(±10%)，材质：铁质。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59.1规格：30千克(±10%)，材质：铁质。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白胶桶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60.1规格：65L(±10%)，材质：塑胶。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保鲜盒</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61.1规格：(345mm*230mm*120mm)±10%,材质：塑胶。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周转箱1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62.1规格：(500mm*360mm*175mm)±10%,材质：塑胶。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铁耳菜筐</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63.1规格：(560mm*390mm*290mm)±10%,材质：塑胶。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电饭锅</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64.1规格：5L(±10%)，材质：铁铝合金内胆。</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特加厚生铁锅1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65.1规格：Φ80厘米(±10%),材质：铁质。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特加厚生铁锅2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66.1规格：Φ45厘米(±10%),材质：铁质。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白色塑料圆胶砧板</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67.2规格：(45CM*10CM)±10%，材质：塑胶。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68.1规格：(40CM*40CM)±10%，材质：不锈钢。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69.1规格：(25CM*25CM)±10%，材质：不锈钢。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圆汤桶3</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70.1规格：(20CM*20CM)±10%，材质：不锈钢。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长方形脚踩式垃圾桶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71.1规格：70升(±10%)，材质：塑胶。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片刀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72.1规格：(312mm*80mm)±10%，材质：不锈钢。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猪肉刀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73.1规格：(312mm*80mm)±10%，材质：不锈钢。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骨刀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74.1规格：(304mm*80mm)±10%，材质：不锈钢。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弯刀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75.1规格：(308mm*128mm)±10%，材质：不锈钢木柄。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不锈钢长柄炸厘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76.1规格：30cm(±10%)。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木柄漏壳</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77.1规格：28cm(±10%)，材质：不锈钢。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出口装钢炸厘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78.1规格：8寸(±10%)，材质：不锈钢。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宽边油格</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79.1规格：10寸(±10%)，材质：不锈钢。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柄耳钢复底煎锅</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80.1规格：(Φ300mm*H49mm)±10%，材质：复合材质。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49"/>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喷火枪</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81.1规格：(131mm*65mm)±10%，材质：黄铜。</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油石</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82.1规格：(180mm*60mm*30mm)±10%，材质：碳化硅。</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耐高热手套1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83.1规格：(385mm*150mm)±10%，材质：隔热棉。</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脚踏式胶垃圾桶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84.1规格：40L(±10%)，材质：塑胶。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开罐器</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85.1规格：(220mm*60mm)±10%，材质：合金刀头。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长方筲箕</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86.1规格：(406mm*297mm*106mm)±10%，材质：塑胶。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钢多用刨</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87.1规格：长220mm(±10%)，材质：不锈钢。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88.1规格：(140mm*90mm)±10%，材质：不锈钢。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89.1规格：(100mm*80mm)±10%，材质：不锈钢。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钢炒壳</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90.1规格：(520mm*130mm)±10%，材质：不锈钢。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2号钢炒铲</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91.1规格：(530mm*120mm)±10%，材质：不锈钢木柄。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汤袋</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92.1规格：(12mm*16mm)±10%，材质：布质。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不锈钢蒸饭盆</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93.1规格：(600mm*400mm*48mm)±10%。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不锈钢蒸包盆</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94.1规格：(600mm*400mm*48mm)±10%。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不锈钢菜盘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95.1规格：(500mm*400mm*50mm)±10%。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份数盆连盖</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96.1规格：(530mm*325mm*100mm)±10%；材质：不锈钢。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冲孔钢蒸笼</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97.1规格：(520mm*100mm)±10%，材质：不锈钢。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长面刀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98.1规格：12寸(±10%)，材质：不锈钢。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厨秤</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99.1规格：500g(±10%)，材质：铁质。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台秤</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100.1规格：8kg(±10%)，材质：铁质。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土司盒（不粘）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101.1规格：(327mm*121mm*121mm)±10%；材质：碳钢。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锯（黑塑料柄）</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102.1规格：(380mm*25mm)±10%。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铝饼盘烤盘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103.1规格：(600mm*400mm*48mm)±10%。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长杆</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104.1规格：(300mm*25mm)±10%；材质：木质。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中号苏棍</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105.1规格：(400mm*30mm)±10%；材质：木质。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煎蛋器（固定柄）</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106.1规格：(90mm*17mm)±10%；材质：不锈钢。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厨师细牙刀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107.1规格：14寸(±10%)，材质：不锈钢。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煎铲</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108.1规格：(315mm*70mm)±10%，材质：不锈钢。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109.1规格：容量500mi(±10%)，材质：塑胶。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上钢边笼</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110.1规格：(175mm*72mm)±10%，材质：木质。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印花防油纸杯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111.1规格：Φ80mm(±10%)，材质：纸质。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羊毛刷1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112.1规格：6寸(±10%)，材质：软毛木柄。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胶刮板</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113.1规格：(195mm*125mm)±10%，材质：塑胶。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胶量杯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114.1规格2000ml(±10%)，材质：塑胶。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羊毛刷2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115.1规格：3寸(±10%)，材质：软毛木柄。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红木刮刀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116.1规格：5寸(±10%)，材质：不锈钢木柄。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耐高热手套2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117.1规格：(280mm*180mm)±10%，材质：隔热棉。</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不锈钢水刮</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118.1规格：长度600mm(±10%)。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地刷套装</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119.1规格：长度260mm(±10%)，材质：塑胶。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周转箱2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120.1规格：(560mm*420mm*230mm)±10%，材质：塑胶。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白色半筒水鞋</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121.1规格：41码(±10%)，材质：塑胶。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单桶榨水车</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122.1规格：(610mm*420mm*930mm)±10%，材质：塑胶。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钢玻璃刮连夹</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123.1规格：长350mm(±10%)，材质：不锈钢。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餐盘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124.1规格：六格(±10%)，材质：不锈钢。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125.1规格：11.5CM(±10%)，材质：不锈钢。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126.1规格：64mm*40mm*30mm，材质：不锈钢。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筷子</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127.1规格：28cm(±10%)，材质：不锈钢。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半圆食品夹</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128.1规格：12寸(±10%)，材质：不锈钢。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圆形食品夹</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129.1规格：12寸(±10%)，材质：不锈钢。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搁盘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130.1规格：13.8寸(±10%)，材质：不锈钢。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长孔厨匙</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131.1规格：长度1950mm(±10%)，材质：不锈钢。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圆形打菜勺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132.1规格：16寸(±10%)，材质：不锈钢。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打饭勺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133.1规格：16寸(±10%)，材质：不锈钢。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真空保温壶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134.1规格：2L(±10%)，材质：不锈钢。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方形防滑托盘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135.1规格：(380mm*515mm)±10%，材质：塑胶。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圆形防滑托盘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136.1规格：Φ355mm(±10%)，材质：塑胶。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四方翘脚碗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137.1规格：10寸(±10%)，材质：瓷质。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汤锅（玻璃盖）</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138.1规格：12寸(±10%)，材质：瓷质。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双耳汤炉碗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139.1规格：6寸(±10%)，材质：瓷质。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带盖汤盘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140.1规格：10.5寸(±10%)，材质：瓷质。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小菜蝶1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141.1规格：8.5寸(±10%)，材质：瓷质。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小菜蝶2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142.1规格：10寸(±10%)，材质：瓷质。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143.1规格：12寸(±10%)，材质：不锈钢。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长形盘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144.1规格：18寸(±10%)，材质：瓷质。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装菜碗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145.1规格：10寸(±10%)，材质：瓷质。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大号拌面碗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146.1规格：23.5cm(±10%)，材质：塑胶。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鼓型小碗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147.1规格：20寸(±10%)，材质：瓷质。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螺纹碗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148.1规格：16寸(±10%)，材质：瓷质。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树叶碟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149.1规格：16.5寸(±10%)，材质：瓷质。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船型盘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150.1规格：14寸(±10%)，材质：瓷质。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四方碟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151.1规格：14寸(±10%)，材质：瓷质。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酱碗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152.1规格：15寸(±10%)，材质：瓷质。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钢盆</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153.1规格：3(05mm*265mm*78mm)±10%，材质：不锈钢。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异形带格盘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154.1规格：(280mm*243mm*78mm)±10%，材质：不锈钢。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锅架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155.1规格：(212mm*212mm*75mm)±10%，材质：不锈钢。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汤壳</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156.1规格：(260mm*69mm)±10%，材质：不锈钢。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漏壳</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157.1规格：(260mm*69mm)±10%，材质：不锈钢。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汤锅</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158.1规格：(180mm*100mm)±10%，材质：瓷质。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自助调料碟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159.1规格：3寸(±10%)，材质：瓷质。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160.1规格：6寸(±10%)，材质：瓷质。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161.1规格：2寸(±10%)，材质：瓷质。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防烫碟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162.1规格：7寸(±10%)，材质：瓷质。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蒸菜碗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163.1规格：3寸(±10%)，材质：瓷质。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边深碗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164.1规格：8寸(±10%)，材质：瓷质。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球形大盘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165.1规格：12寸(±10%)，材质：瓷质。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调料汤匙</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166.1规格：长度170mm(±10%)，材质：瓷质。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167.1规格：容量1000ml(±10%)，材质：玻璃。</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菜盒1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168.1规格：Φ155mm(±10%)，材质：不锈钢。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菜盒2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169.1规格：Φ320mm(±10%)，材质：不锈钢。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单门消毒柜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170.1规格：(550mm*430mm*1650mm)±10%。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3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171.1规格：(980mm*1505mm*750mm)±10%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171.2不锈钢外壳，处理风量：12000m³/H(±10%)。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60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燃气管道系统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172.1智能计量箱：规格要求：G10.5G低压；2r型过滤器、铜球阀、电磁阀、表箱、温压传感器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172.2皮膜表：带远传/预付费</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172.3紧急切断阀配线，规格：RVV-3+0.75，紧急切断阀配线及金属软管</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172.4螺纹球阀，规格：DN50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172.5螺纹球阀,规格：DN25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172.5螺纹球阀,规格：DN15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172.6镀锌钢管,规格：DN50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172.7镀锌钢管,规格：DN40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172.8镀锌钢管,规格：DN25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172.9镀锌钢管,规格：DN15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172.10穿墙套管,规格：DN80,PVC穿墙套管(含热收缩套)</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172.11压力表,规格：0-0.01ipa</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172.12泄露报警器,规格：点对点式1回路</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172.13报警器连接线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145G计量箱电源，通讯线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bl>
    <w:p>
      <w:pPr>
        <w:widowControl w:val="0"/>
        <w:jc w:val="both"/>
        <w:rPr>
          <w:rFonts w:ascii="Calibri" w:eastAsia="宋体" w:hAnsi="Calibri"/>
          <w:kern w:val="2"/>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ascii="Calibri" w:eastAsia="宋体" w:hAnsi="Calibri"/>
          <w:kern w:val="2"/>
          <w:sz w:val="21"/>
          <w:szCs w:val="21"/>
          <w:lang w:eastAsia="zh-CN"/>
        </w:rPr>
      </w:pPr>
      <w:bookmarkStart w:id="30" w:name="_Hlk72095977"/>
      <w:r>
        <w:rPr>
          <w:rFonts w:ascii="Calibri" w:eastAsia="宋体" w:hAnsi="Calibri" w:cstheme="minorBidi" w:hint="eastAsia"/>
          <w:kern w:val="2"/>
          <w:sz w:val="21"/>
          <w:szCs w:val="21"/>
          <w:lang w:eastAsia="zh-CN"/>
        </w:rPr>
        <w:t>证明资料【如有的话，提供的证明资料应统一编号（排序），格式自定】</w:t>
      </w:r>
      <w:bookmarkEnd w:id="30"/>
      <w:r>
        <w:rPr>
          <w:rFonts w:ascii="Calibri" w:eastAsia="宋体" w:hAnsi="Calibri"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1、技术要求偏离表的序号、货物名称、采购技术要求等栏目</w:t>
      </w:r>
      <w:bookmarkStart w:id="31" w:name="_Hlk72094407"/>
      <w:r>
        <w:rPr>
          <w:rFonts w:ascii="Calibri" w:eastAsia="宋体" w:hAnsi="Calibri" w:cstheme="minorBidi" w:hint="eastAsia"/>
          <w:bCs/>
          <w:kern w:val="2"/>
          <w:sz w:val="21"/>
          <w:szCs w:val="21"/>
          <w:lang w:eastAsia="zh-CN"/>
        </w:rPr>
        <w:t>对应“用户需求书”中的“技术要求”章节</w:t>
      </w:r>
      <w:bookmarkEnd w:id="31"/>
      <w:r>
        <w:rPr>
          <w:rFonts w:ascii="Calibri" w:eastAsia="宋体" w:hAnsi="Calibri" w:cstheme="minorBidi"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100"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、“技术响应情况”一栏必须一一对照“采购技术要求”，详细填写投标（响应）供应商自身投标货物的具体参数，而不能不合理照搬照抄征集文件的技术要求，以体现具体响应情况。</w:t>
      </w:r>
      <w:r>
        <w:rPr>
          <w:rFonts w:eastAsia="宋体" w:hint="eastAsia"/>
          <w:bCs/>
          <w:color w:val="FF0000"/>
          <w:kern w:val="2"/>
          <w:sz w:val="21"/>
          <w:szCs w:val="21"/>
          <w:lang w:eastAsia="zh-CN"/>
        </w:rPr>
        <w:t>“技术响应情况”必须与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32" w:name="_Hlk72158270"/>
      <w:r>
        <w:rPr>
          <w:rFonts w:ascii="Calibri" w:eastAsia="宋体" w:hAnsi="Calibri" w:cstheme="minorBidi" w:hint="eastAsia"/>
          <w:bCs/>
          <w:kern w:val="2"/>
          <w:sz w:val="21"/>
          <w:szCs w:val="21"/>
          <w:lang w:eastAsia="zh-CN"/>
        </w:rPr>
        <w:t>“偏离情况”</w:t>
      </w:r>
      <w:bookmarkEnd w:id="32"/>
      <w:r>
        <w:rPr>
          <w:rFonts w:ascii="Calibri" w:eastAsia="宋体" w:hAnsi="Calibri" w:cstheme="minorBidi" w:hint="eastAsia"/>
          <w:bCs/>
          <w:kern w:val="2"/>
          <w:sz w:val="21"/>
          <w:szCs w:val="21"/>
          <w:lang w:eastAsia="zh-CN"/>
        </w:rPr>
        <w:t>一栏填写如实填写“正偏离”、“负偏离”或“无偏离”，其中：</w:t>
      </w:r>
      <w:bookmarkStart w:id="33" w:name="_Hlk72093866"/>
      <w:r>
        <w:rPr>
          <w:rFonts w:ascii="Calibri" w:eastAsia="宋体" w:hAnsi="Calibri" w:cstheme="minorBidi" w:hint="eastAsia"/>
          <w:bCs/>
          <w:kern w:val="2"/>
          <w:sz w:val="21"/>
          <w:szCs w:val="21"/>
          <w:lang w:eastAsia="zh-CN"/>
        </w:rPr>
        <w:t>“正偏离”表示“投标响应优于采购技术要求”，“负偏离”表示“投标响应不满足采购技术要求”，“无偏离”表示“投标响应与采购技术要求一致”</w:t>
      </w:r>
      <w:bookmarkEnd w:id="33"/>
      <w:r>
        <w:rPr>
          <w:rFonts w:ascii="Calibri" w:eastAsia="宋体" w:hAnsi="Calibri" w:cstheme="minorBidi" w:hint="eastAsia"/>
          <w:bCs/>
          <w:kern w:val="2"/>
          <w:sz w:val="21"/>
          <w:szCs w:val="21"/>
          <w:lang w:eastAsia="zh-CN"/>
        </w:rPr>
        <w:t>。“技术响应情况”对比“采购技术要求”存在响应不全（包括未响应整项采购技术要求或者未响应一项采购技术要求的部分内容），均视为“负偏离”。带★号条款为不可负偏离条款，不作为评分准则中的评分内容，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、未要求提供证明资料的采购技术要求，可以不提供证明资料（如实响应即可）。</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bookmarkStart w:id="34" w:name="_Hlk72096106"/>
      <w:r>
        <w:rPr>
          <w:rFonts w:ascii="Calibri" w:eastAsia="宋体" w:hAnsi="Calibri" w:cstheme="minorBidi" w:hint="eastAsia"/>
          <w:bCs/>
          <w:kern w:val="2"/>
          <w:sz w:val="21"/>
          <w:szCs w:val="21"/>
          <w:lang w:eastAsia="zh-CN"/>
        </w:rPr>
        <w:t>证明资料条款响应要求</w:t>
      </w:r>
      <w:bookmarkEnd w:id="34"/>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5" w:name="_Hlk73558782"/>
      <w:r>
        <w:rPr>
          <w:rFonts w:ascii="Calibri" w:eastAsia="宋体" w:hAnsi="Calibri" w:cstheme="minorBidi" w:hint="eastAsia"/>
          <w:bCs/>
          <w:kern w:val="2"/>
          <w:sz w:val="21"/>
          <w:szCs w:val="21"/>
          <w:lang w:eastAsia="zh-CN"/>
        </w:rPr>
        <w:t>此类条款应严格依照要求的形式、内容提供证明资料，如未提供证明资料（或：证明资料的形式、内容等不符合要求；证明资料显示不符合采购技术要求；证明资料模糊不清无法判断或未显示是否满足采购技术要求），</w:t>
      </w:r>
      <w:bookmarkStart w:id="36" w:name="_Hlk73558164"/>
      <w:r>
        <w:rPr>
          <w:rFonts w:ascii="Calibri" w:eastAsia="宋体" w:hAnsi="Calibri" w:cstheme="minorBidi" w:hint="eastAsia"/>
          <w:bCs/>
          <w:kern w:val="2"/>
          <w:sz w:val="21"/>
          <w:szCs w:val="21"/>
          <w:lang w:eastAsia="zh-CN"/>
        </w:rPr>
        <w:t>且投标（响应）供应商在“偏离情况”一栏响应为“正偏离”或“无偏离”的，经评审委员会认定，将判定为负偏离。</w:t>
      </w:r>
      <w:bookmarkEnd w:id="35"/>
      <w:bookmarkEnd w:id="36"/>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bookmarkStart w:id="37" w:name="_Hlk72096137"/>
      <w:r>
        <w:rPr>
          <w:rFonts w:ascii="Calibri" w:eastAsia="宋体" w:hAnsi="Calibri" w:cstheme="minorBidi" w:hint="eastAsia"/>
          <w:bCs/>
          <w:kern w:val="2"/>
          <w:sz w:val="21"/>
          <w:szCs w:val="21"/>
          <w:lang w:eastAsia="zh-CN"/>
        </w:rPr>
        <w:t>表后“证明资料”部分内容的编制</w:t>
      </w:r>
      <w:bookmarkEnd w:id="37"/>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38" w:name="_Hlk73558180"/>
      <w:r>
        <w:rPr>
          <w:rFonts w:ascii="Calibri" w:eastAsia="宋体" w:hAnsi="Calibri" w:cstheme="minorBidi" w:hint="eastAsia"/>
          <w:bCs/>
          <w:kern w:val="2"/>
          <w:sz w:val="21"/>
          <w:szCs w:val="21"/>
          <w:lang w:eastAsia="zh-CN"/>
        </w:rPr>
        <w:t>未按照征集文件要求在表后放置证明材料的供应商将承担不利后果，经评审委员会认定，相关技术要求将判定为负偏离。</w:t>
      </w:r>
      <w:bookmarkEnd w:id="38"/>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bookmarkStart w:id="39" w:name="_Hlk72096176"/>
      <w:r>
        <w:rPr>
          <w:rFonts w:ascii="Calibri" w:eastAsia="宋体" w:hAnsi="Calibri" w:cstheme="minorBidi" w:hint="eastAsia"/>
          <w:bCs/>
          <w:kern w:val="2"/>
          <w:sz w:val="21"/>
          <w:szCs w:val="21"/>
          <w:lang w:eastAsia="zh-CN"/>
        </w:rPr>
        <w:t>证明资料的形式及其它具体要求</w:t>
      </w:r>
      <w:bookmarkEnd w:id="39"/>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（4）证明资料均要求原件备查。</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8、其它注意事项：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（1）评审委员会有权对投标（响应）供应商的响应情况作出判断（评审结论）；</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bookmarkStart w:id="40"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评审委员会有权对以谋取中标为目的的技术规格模糊响应（如有意不合理照搬照抄征集文件的技术要求）或虚假响应予以认定，并视情况经政府集中采购机构报主管部门进行处理。</w:t>
      </w:r>
      <w:bookmarkEnd w:id="40"/>
    </w:p>
    <w:p>
      <w:pPr>
        <w:widowControl w:val="0"/>
        <w:ind w:firstLine="480" w:firstLineChars="200"/>
        <w:jc w:val="both"/>
        <w:rPr>
          <w:rFonts w:ascii="Calibri" w:eastAsia="宋体" w:hAnsi="Calibri"/>
          <w:b/>
          <w:kern w:val="2"/>
          <w:szCs w:val="22"/>
          <w:lang w:eastAsia="zh-CN"/>
        </w:rPr>
      </w:pPr>
    </w:p>
    <w:p>
      <w:pPr>
        <w:keepNext/>
        <w:keepLines/>
        <w:pageBreakBefore/>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黑体" w:eastAsia="黑体" w:hAnsi="宋体" w:cstheme="minorBidi" w:hint="eastAsia"/>
          <w:bCs/>
          <w:kern w:val="2"/>
          <w:lang w:eastAsia="zh-CN"/>
        </w:rPr>
        <w:t>六、项目详细报价</w:t>
      </w:r>
    </w:p>
    <w:p>
      <w:pPr>
        <w:widowControl w:val="0"/>
        <w:tabs>
          <w:tab w:val="left" w:pos="720"/>
        </w:tabs>
        <w:spacing w:after="78" w:afterLines="25" w:line="300" w:lineRule="auto"/>
        <w:jc w:val="center"/>
        <w:rPr>
          <w:rFonts w:ascii="Arial" w:eastAsia="宋体" w:hAnsi="Arial"/>
          <w:b/>
          <w:kern w:val="2"/>
          <w:lang w:eastAsia="zh-CN"/>
        </w:rPr>
      </w:pPr>
      <w:r>
        <w:rPr>
          <w:rFonts w:ascii="Calibri" w:eastAsia="宋体" w:hAnsi="Calibri" w:cstheme="minorBidi" w:hint="eastAsia"/>
          <w:b/>
          <w:kern w:val="2"/>
          <w:szCs w:val="22"/>
          <w:lang w:eastAsia="zh-CN"/>
        </w:rPr>
        <w:t>（一）分项报价表</w:t>
      </w:r>
    </w:p>
    <w:p>
      <w:pPr>
        <w:widowControl w:val="0"/>
        <w:snapToGrid w:val="0"/>
        <w:jc w:val="both"/>
        <w:rPr>
          <w:rFonts w:ascii="宋体" w:eastAsia="宋体" w:hAnsi="宋体" w:hint="eastAsia"/>
          <w:b/>
          <w:kern w:val="2"/>
          <w:sz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57"/>
        <w:gridCol w:w="1253"/>
        <w:gridCol w:w="401"/>
        <w:gridCol w:w="493"/>
        <w:gridCol w:w="382"/>
        <w:gridCol w:w="389"/>
        <w:gridCol w:w="591"/>
        <w:gridCol w:w="482"/>
        <w:gridCol w:w="591"/>
        <w:gridCol w:w="614"/>
        <w:gridCol w:w="1007"/>
        <w:gridCol w:w="176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27"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73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w:t>
            </w:r>
          </w:p>
        </w:tc>
        <w:tc>
          <w:tcPr>
            <w:tcW w:w="235" w:type="pct"/>
            <w:vAlign w:val="center"/>
          </w:tcPr>
          <w:p>
            <w:pPr>
              <w:widowControl w:val="0"/>
              <w:jc w:val="center"/>
              <w:rPr>
                <w:rFonts w:ascii="Calibri" w:eastAsia="宋体" w:hAnsi="Calibri" w:hint="eastAsia"/>
                <w:bCs/>
                <w:kern w:val="2"/>
                <w:sz w:val="21"/>
                <w:szCs w:val="21"/>
                <w:lang w:eastAsia="zh-CN"/>
              </w:rPr>
            </w:pPr>
            <w:r>
              <w:rPr>
                <w:rFonts w:ascii="Calibri" w:eastAsia="宋体" w:hAnsi="Calibri" w:cstheme="minorBidi" w:hint="eastAsia"/>
                <w:kern w:val="2"/>
                <w:sz w:val="21"/>
                <w:szCs w:val="21"/>
                <w:lang w:eastAsia="zh-CN"/>
              </w:rPr>
              <w:t>品牌</w:t>
            </w:r>
          </w:p>
        </w:tc>
        <w:tc>
          <w:tcPr>
            <w:tcW w:w="289"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规格/型号</w:t>
            </w:r>
          </w:p>
        </w:tc>
        <w:tc>
          <w:tcPr>
            <w:tcW w:w="22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
                <w:color w:val="FF0000"/>
                <w:kern w:val="2"/>
                <w:sz w:val="21"/>
                <w:szCs w:val="21"/>
                <w:lang w:eastAsia="zh-CN"/>
              </w:rPr>
              <w:t>原产地</w:t>
            </w:r>
          </w:p>
        </w:tc>
        <w:tc>
          <w:tcPr>
            <w:tcW w:w="228"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制造商名称</w:t>
            </w:r>
          </w:p>
        </w:tc>
        <w:tc>
          <w:tcPr>
            <w:tcW w:w="347"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28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347"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单价(元)</w:t>
            </w:r>
          </w:p>
        </w:tc>
        <w:tc>
          <w:tcPr>
            <w:tcW w:w="360"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合价(元)</w:t>
            </w:r>
          </w:p>
        </w:tc>
        <w:tc>
          <w:tcPr>
            <w:tcW w:w="591"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单价限价金额（元）</w:t>
            </w:r>
          </w:p>
        </w:tc>
        <w:tc>
          <w:tcPr>
            <w:tcW w:w="1026"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w:t>
            </w:r>
          </w:p>
        </w:tc>
        <w:tc>
          <w:tcPr>
            <w:tcW w:w="1254" w:type="dxa"/>
            <w:vAlign w:val="center"/>
          </w:tcPr>
          <w:p>
            <w:pPr>
              <w:keepNext w:val="0"/>
              <w:keepLines w:val="0"/>
              <w:widowControl/>
              <w:suppressLineNumbers w:val="0"/>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大单星盆台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 xml:space="preserve">3450.00 </w:t>
            </w:r>
          </w:p>
        </w:tc>
        <w:tc>
          <w:tcPr>
            <w:tcW w:w="1026" w:type="pct"/>
            <w:vMerge w:val="restart"/>
            <w:vAlign w:val="center"/>
          </w:tcPr>
          <w:p>
            <w:pPr>
              <w:widowControl w:val="0"/>
              <w:jc w:val="center"/>
              <w:rPr>
                <w:rFonts w:ascii="Calibri" w:eastAsia="宋体" w:hAnsi="Calibri"/>
                <w:b/>
                <w:bCs/>
                <w:kern w:val="2"/>
                <w:sz w:val="21"/>
                <w:szCs w:val="21"/>
                <w:lang w:eastAsia="zh-CN"/>
              </w:rPr>
            </w:pPr>
            <w:r>
              <w:rPr>
                <w:rFonts w:ascii="仿宋_GB2312" w:eastAsia="仿宋_GB2312" w:hAnsi="华文仿宋" w:cstheme="minorBidi" w:hint="eastAsia"/>
                <w:color w:val="FF0000"/>
                <w:kern w:val="2"/>
                <w:sz w:val="28"/>
                <w:szCs w:val="28"/>
                <w:lang w:eastAsia="zh-CN"/>
              </w:rPr>
              <w:t>398600.00</w:t>
            </w: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大双星盆台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3380.00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留样雪柜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3417.00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工作台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2686.00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四门冷藏冷冻冰箱</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9171.00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双层工作台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2686.00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工作台柜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5836.00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地架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1847.00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板架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2540.00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挂墙单洗手星盆1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1156.00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洗地龙头</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3612.00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灶头灭火装置</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16635.00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燃气单头平头炉</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6762.00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燃气单门蒸柜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12184.00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燃气单头大炒炉</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12139.00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燃气单头小炒炉</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11176.00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燃气双头煲仔炉</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4800.00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油网烟罩连灯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5.8</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米</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2310.00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415.00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489.00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刀具砧板消毒柜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8650.00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程控数显商用电开水器1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1611.00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拼板3</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挂墙单洗手星盆2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1156.00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单星盆台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2557.00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面粉台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2718.00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面粉车</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平台雪柜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5337.00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食品添加剂柜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2408.00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挂墙吊柜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3900.00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煎饼炉</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2460.00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双层四盘电炉下连八盘钢醒发箱</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6521.00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油网烟罩</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米</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1993.00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饼盘车</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3057.00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压面机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3927.00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搅拌机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6948.00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双动和面机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8180.00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回收台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1200.00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星盆台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3450.00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程控数显商用电开水器2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1611.00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方通架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2240.00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热循环风高温消毒柜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6464.00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方形工作台柜1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3600.00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电热保温柜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6575.00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保温汤饭桶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4446.00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托板</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3603.00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方形工作台柜2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3700.00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厨余回收柜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5088.00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平板推车</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灭蝇灯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566.00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紫外线消毒灯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497.00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风幕机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不锈钢板</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5.8</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米</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630.00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隔油网</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1435.00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食品温度测量计</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支</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磅称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680.00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488.00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白胶桶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保鲜盒</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周转箱1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72.00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铁耳菜筐</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电饭锅</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生铁锅1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268.00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生铁锅2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白色塑料圆胶砧板</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457.00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290.00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圆汤桶3</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长方形脚踩式垃圾桶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片刀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猪肉刀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骨刀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弯刀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不锈钢长柄炸厘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木柄漏壳</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出口装钢炸厘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宽边油格</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柄耳钢复底煎锅</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295.00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喷火枪</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油石</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耐高热手套1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脚踏式胶垃圾桶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开罐器</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长方筲箕</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钢多用刨</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味盅1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味盅2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钢炒壳</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2号钢炒铲</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汤袋</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扎</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不锈钢蒸饭盆</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135.00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不锈钢蒸包盆</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124.00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不锈钢菜盘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份数盆连盖</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冲孔钢蒸笼</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长面刀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厨秤</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382.00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台秤</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191.00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土司盒（不粘）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锯（黑塑料柄）</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铝饼盘烤盘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长杆</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中号苏棍</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煎蛋器（固定柄）</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厨师细牙刀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煎铲</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支</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喷壶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支</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上钢边笼</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印花防油纸杯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羊毛刷1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胶刮板</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胶量杯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羊毛刷2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条</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红木刮刀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耐高热手套2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75.00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不锈钢水刮</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地刷套装</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72.00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周转箱2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白色半筒水鞋</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74.00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单桶榨水车</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钢玻璃刮连夹</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餐盘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9.10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筷子</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半圆食品夹</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圆形食品夹</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搁盘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长孔厨匙</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圆形打菜勺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打饭勺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真空保温壶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方形防滑托盘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圆形防滑托盘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四方翘脚碗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汤锅（玻璃盖）</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双耳汤炉碗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带盖汤盘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小菜蝶1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小菜蝶2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长形盘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装菜碗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大号拌面碗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鼓型小碗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螺纹碗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树叶碟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船型盘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四方碟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酱碗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钢盆</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异形带格盘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锅架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汤壳</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支</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漏壳</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支</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汤锅</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自助调料碟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水杯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防烫碟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蒸菜碗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边深碗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球形大盘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调料汤匙</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水壶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菜盒1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菜盒2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单门消毒柜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2200.00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油烟净化器</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15852.00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172</w:t>
            </w:r>
          </w:p>
        </w:tc>
        <w:tc>
          <w:tcPr>
            <w:tcW w:w="1254" w:type="dxa"/>
            <w:vAlign w:val="center"/>
          </w:tcPr>
          <w:p>
            <w:pPr>
              <w:keepNext w:val="0"/>
              <w:keepLines w:val="0"/>
              <w:widowControl/>
              <w:suppressLineNumbers w:val="0"/>
              <w:jc w:val="both"/>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燃气管道系统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等线" w:eastAsia="等线" w:hAnsi="等线" w:cs="等线"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等线" w:eastAsia="等线" w:hAnsi="等线" w:cs="等线"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等线" w:eastAsia="等线" w:hAnsi="等线" w:cs="等线" w:hint="eastAsia"/>
                <w:color w:val="000000"/>
                <w:sz w:val="22"/>
                <w:szCs w:val="22"/>
                <w:lang w:eastAsia="zh-CN" w:bidi="ar"/>
              </w:rPr>
              <w:t>58122.00</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000" w:type="pct"/>
            <w:gridSpan w:val="12"/>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Cs/>
                <w:kern w:val="2"/>
                <w:sz w:val="21"/>
                <w:szCs w:val="21"/>
                <w:lang w:eastAsia="zh-CN"/>
              </w:rPr>
              <w:t>合计（即投标（响应）总价；币种：人民币；单位：元） 小写：            大写：</w:t>
            </w:r>
          </w:p>
        </w:tc>
      </w:tr>
    </w:tbl>
    <w:p>
      <w:pPr>
        <w:widowControl w:val="0"/>
        <w:spacing w:before="260" w:after="260" w:line="240" w:lineRule="auto"/>
        <w:jc w:val="both"/>
        <w:outlineLvl w:val="2"/>
        <w:rPr>
          <w:rFonts w:ascii="宋体" w:eastAsia="宋体" w:hAnsi="宋体" w:hint="eastAsia"/>
          <w:kern w:val="2"/>
          <w:sz w:val="21"/>
          <w:szCs w:val="32"/>
          <w:lang w:eastAsia="zh-CN"/>
        </w:rPr>
      </w:pPr>
    </w:p>
    <w:p>
      <w:pPr>
        <w:widowControl w:val="0"/>
        <w:snapToGrid w:val="0"/>
        <w:jc w:val="both"/>
        <w:rPr>
          <w:rFonts w:ascii="宋体" w:eastAsia="宋体" w:hAnsi="宋体" w:hint="eastAsia"/>
          <w:b/>
          <w:kern w:val="2"/>
          <w:sz w:val="21"/>
          <w:lang w:eastAsia="zh-CN"/>
        </w:rPr>
      </w:pP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注：1.本表可按同样格式扩展。</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采购技术要求（一般参数/普通参数）负偏离扣分处理。</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3.如所投货物属于定制类的非量产货物或无具体型号的货物，可以在“规格/型号”栏目仅填写规格信息而不填型号信息（型号信息用“定制”描述即可）；此类填写错误或缺漏（所投货物为定制类的非量产货物但供应商却错误填报了型号）的不利后果由供应商承担。经评审委员会认定，在使用综合评分法的项目中一项此类填写错误或缺漏将按照一项普通采购技术要求（一般参数/普通参数）负偏离扣分处理。</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3.“原产地”是指货物的实际生产加工地，非品牌所在地</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4.所投货物均应填写制造商名称，“制造商”是指产品品牌厂商，产品代工制造的，应填写接受委托生产制造的制造商。</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5.以上分项报价表的投标（响应）总价应当与开标一览表的投标总价一致。</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6.单价、合价和投标（响应）总价为包干价，即三者均应包含货物的价款、包装、运输、装卸、安装、调试、技术指导、培训、咨询、服务、保险、税费、检测、验收合格交付使用之前以及技术和售后服务等其他各项有关费用。</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7.所有价格应按“征集文件”中规定的货币单位填写；投标（响应）总价应为以上各分项价格之和；投标（响应）总价和项目报价表中单个采购预算条目报价均不得超过对应的财政预算限额，否则将导致投标（响应）无效。</w:t>
      </w:r>
    </w:p>
    <w:p>
      <w:pPr>
        <w:widowControl w:val="0"/>
        <w:snapToGrid w:val="0"/>
        <w:jc w:val="both"/>
        <w:rPr>
          <w:rFonts w:ascii="宋体" w:eastAsia="宋体" w:hAnsi="宋体" w:hint="eastAsia"/>
          <w:b/>
          <w:kern w:val="2"/>
          <w:sz w:val="21"/>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（二）核心产品品牌</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kern w:val="2"/>
          <w:szCs w:val="22"/>
          <w:lang w:eastAsia="zh-CN"/>
        </w:rPr>
      </w:pPr>
      <w:r>
        <w:rPr>
          <w:rFonts w:ascii="宋体" w:eastAsia="宋体" w:hAnsi="宋体" w:cstheme="minorBidi" w:hint="eastAsia"/>
          <w:kern w:val="2"/>
          <w:szCs w:val="22"/>
          <w:lang w:eastAsia="zh-CN"/>
        </w:rPr>
        <w:t>备注：单一产品采购项目，核心产品即为该单一产品。</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jc w:val="both"/>
        <w:rPr>
          <w:rFonts w:ascii="Calibri" w:eastAsia="宋体" w:hAnsi="Calibri"/>
          <w:b/>
          <w:kern w:val="2"/>
          <w:szCs w:val="22"/>
          <w:lang w:eastAsia="zh-CN"/>
        </w:rPr>
      </w:pPr>
    </w:p>
    <w:p>
      <w:pPr>
        <w:widowControl w:val="0"/>
        <w:tabs>
          <w:tab w:val="left" w:pos="720"/>
        </w:tabs>
        <w:ind w:firstLine="1920" w:firstLineChars="8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（三）可选配件报价清单（不包括在总报价内）</w:t>
      </w:r>
    </w:p>
    <w:p>
      <w:pPr>
        <w:widowControl w:val="0"/>
        <w:ind w:firstLine="420" w:firstLineChars="200"/>
        <w:jc w:val="both"/>
        <w:rPr>
          <w:rFonts w:ascii="Calibri" w:eastAsia="宋体" w:hAnsi="宋体"/>
          <w:b/>
          <w:bCs/>
          <w:kern w:val="2"/>
          <w:sz w:val="21"/>
          <w:szCs w:val="21"/>
          <w:lang w:eastAsia="zh-CN"/>
        </w:rPr>
      </w:pPr>
      <w:r>
        <w:rPr>
          <w:rFonts w:ascii="Calibri" w:eastAsia="宋体" w:hAnsi="宋体" w:cstheme="minorBidi"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ascii="Calibri" w:eastAsia="宋体" w:hAnsi="宋体"/>
          <w:b/>
          <w:bCs/>
          <w:kern w:val="2"/>
          <w:szCs w:val="22"/>
          <w:lang w:eastAsia="zh-CN"/>
        </w:rPr>
      </w:pPr>
    </w:p>
    <w:p>
      <w:pPr>
        <w:widowControl w:val="0"/>
        <w:ind w:firstLine="480" w:firstLineChars="200"/>
        <w:jc w:val="both"/>
        <w:rPr>
          <w:rFonts w:ascii="Calibri" w:eastAsia="宋体" w:hAnsi="宋体"/>
          <w:b/>
          <w:bCs/>
          <w:kern w:val="2"/>
          <w:szCs w:val="22"/>
          <w:lang w:eastAsia="zh-CN"/>
        </w:rPr>
      </w:pPr>
    </w:p>
    <w:p>
      <w:pPr>
        <w:widowControl w:val="0"/>
        <w:tabs>
          <w:tab w:val="left" w:pos="720"/>
        </w:tabs>
        <w:jc w:val="center"/>
        <w:rPr>
          <w:rFonts w:ascii="Arial" w:eastAsia="宋体" w:hAnsi="Arial"/>
          <w:kern w:val="2"/>
          <w:lang w:eastAsia="zh-CN"/>
        </w:rPr>
      </w:pPr>
      <w:r>
        <w:rPr>
          <w:rFonts w:ascii="Calibri" w:eastAsia="宋体" w:hAnsi="Calibri" w:cstheme="minorBidi" w:hint="eastAsia"/>
          <w:b/>
          <w:kern w:val="2"/>
          <w:szCs w:val="22"/>
          <w:lang w:eastAsia="zh-CN"/>
        </w:rPr>
        <w:t>（四）</w:t>
      </w:r>
      <w:bookmarkStart w:id="41" w:name="_Hlk72073235"/>
      <w:r>
        <w:rPr>
          <w:rFonts w:ascii="Calibri" w:eastAsia="宋体" w:hAnsi="Calibri" w:cstheme="minorBidi" w:hint="eastAsia"/>
          <w:b/>
          <w:kern w:val="2"/>
          <w:szCs w:val="22"/>
          <w:lang w:eastAsia="zh-CN"/>
        </w:rPr>
        <w:t>投标（响应）供应商认为需要涉及的其他内容报价清单</w:t>
      </w:r>
      <w:bookmarkEnd w:id="41"/>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7、项目组织实施方案；（格式自定）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8、项目重点难点分析、应对措施及相关的合理化建议（格式自定）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9、售后服务方案（格式自定）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10、政府采购节能环保产品情况（格式自定）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11、绿色采购情况（格式自定）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12、同类业绩（格式自定）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val="0"/>
        <w:keepLines w:val="0"/>
        <w:pageBreakBefore w:val="0"/>
        <w:widowControl/>
        <w:kinsoku/>
        <w:wordWrap/>
        <w:overflowPunct/>
        <w:topLinePunct w:val="0"/>
        <w:autoSpaceDE/>
        <w:autoSpaceDN/>
        <w:bidi w:val="0"/>
        <w:adjustRightInd/>
        <w:snapToGrid/>
        <w:jc w:val="center"/>
        <w:textAlignment w:val="auto"/>
        <w:outlineLvl w:val="3"/>
        <w:rPr>
          <w:rFonts w:ascii="宋体" w:eastAsia="宋体" w:hAnsi="宋体" w:hint="eastAsia"/>
          <w:b/>
          <w:bCs/>
          <w:szCs w:val="20"/>
          <w:lang w:eastAsia="zh-CN"/>
        </w:rPr>
      </w:pPr>
      <w:r>
        <w:rPr>
          <w:rFonts w:ascii="宋体" w:eastAsia="宋体" w:hAnsi="宋体"/>
          <w:color w:val="FF0000"/>
          <w:kern w:val="2"/>
          <w:sz w:val="32"/>
          <w:szCs w:val="32"/>
          <w:lang w:eastAsia="zh-CN"/>
        </w:rPr>
        <w:br w:type="page"/>
      </w:r>
      <w:r>
        <w:rPr>
          <w:rFonts w:ascii="宋体" w:eastAsia="宋体" w:hAnsi="宋体" w:hint="eastAsia"/>
          <w:b/>
          <w:bCs/>
          <w:szCs w:val="20"/>
          <w:lang w:eastAsia="zh-CN"/>
        </w:rPr>
        <w:t>13、投标（响应）供应商认为需要加以说明的其他内容</w:t>
      </w:r>
    </w:p>
    <w:p>
      <w:pPr>
        <w:widowControl/>
        <w:jc w:val="center"/>
        <w:rPr>
          <w:rFonts w:ascii="黑体" w:eastAsia="黑体" w:hAnsi="宋体" w:hint="eastAsia"/>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pPr>
        <w:widowControl/>
        <w:jc w:val="center"/>
        <w:rPr>
          <w:rFonts w:ascii="黑体" w:eastAsia="黑体" w:hAnsi="宋体"/>
          <w:szCs w:val="20"/>
          <w:lang w:eastAsia="zh-CN"/>
        </w:rPr>
      </w:pP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bCs/>
          <w:kern w:val="2"/>
          <w:szCs w:val="22"/>
          <w:lang w:eastAsia="zh-CN"/>
        </w:rPr>
        <w:t>我</w:t>
      </w:r>
      <w:r>
        <w:rPr>
          <w:rFonts w:ascii="Calibri" w:eastAsia="宋体" w:hAnsi="Calibri" w:hint="eastAsia"/>
          <w:b/>
          <w:bCs/>
          <w:kern w:val="2"/>
          <w:lang w:eastAsia="zh-CN"/>
        </w:rPr>
        <w:t>单位</w:t>
      </w:r>
      <w:r>
        <w:rPr>
          <w:rFonts w:ascii="Calibri" w:eastAsia="宋体" w:hAnsi="Calibri" w:cstheme="minorBidi" w:hint="eastAsia"/>
          <w:b/>
          <w:bCs/>
          <w:kern w:val="2"/>
          <w:szCs w:val="22"/>
          <w:lang w:eastAsia="zh-CN"/>
        </w:rPr>
        <w:t>在投标（响应）前已充分知悉以下情形为参与政府采购（自行采购）活动时的重大风险事项，并承诺已对下述风险提示事项重点排查，</w:t>
      </w:r>
      <w:r>
        <w:rPr>
          <w:rFonts w:ascii="Calibri" w:eastAsia="宋体" w:hAnsi="Calibri" w:hint="eastAsia"/>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1"/>
        <w:gridCol w:w="78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b/>
                <w:bCs/>
                <w:kern w:val="2"/>
                <w:lang w:eastAsia="zh-CN"/>
              </w:rPr>
              <w:t>供应商参与投标（响应）禁止情形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与其他投标（响应）供应商的法定代表人、主要经营负责人、投标（响应）授权代表人、项目负责人、主要技术人员为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参与本项目政府采购（自行采购）活动时，与其他投标（响应）供应商存在单位负责人为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与其他投标（响应）供应商的投标（响应）文件或部分投标（响应）文件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与其他投标（响应）供应商的投标（响应）文件由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擅自将投标（响应）密钥或电子营业执照出借他人使用或未妥善保管。</w:t>
            </w:r>
          </w:p>
        </w:tc>
      </w:tr>
    </w:tbl>
    <w:p>
      <w:pPr>
        <w:widowControl w:val="0"/>
        <w:spacing w:before="157" w:beforeLines="5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一、我单位已充分知悉“隐瞒真实情况，提供虚假资料”的法定情形，包括但不限于：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（一）通过转让或者租借等方式从其他单位获取资格或者资质证书投标（响应）的。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（二）由其他单位或者其他单位负责人在投标（响应）供应商编制的投标（响应）文件上加盖印章或者签字的。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（四）投标（响应）保证金不是从投标（响应）供应商基本账户转出的。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pPr>
        <w:widowControl w:val="0"/>
        <w:spacing w:beforeLines="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二、我单位已充分知悉“与其他采购参加人串通投标”的法定情形，包括但不限于：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（一）投标（响应）供应商之间相互约定给予未中标的供应商利益补偿。</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（二）不同投标（响应）供应商的法定代表人、主要经营负责人、项目投标（响应）授权代表人、项目负责人、主要技术人员为同一人、属同一单位或者在同一单位缴纳社会保险。</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（三）不同投标（响应）供应商的投标（响应）文件由同一单位或者同一人编制，或者由同一人分阶段参与编制的。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（四）不同投标（响应）供应商的投标（响应）文件或部分投标（响应）文件相互混装。</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（五）不同投标（响应）供应商的投标（响应）文件内容存在非正常一致。</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（六）由同一单位工作人员为两家以上（含两家）供应商进行同一项投标（响应）活动的。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（七）不同投标（响应）人的投标（响应）报价呈规律性差异。</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（八）不同投标（响应）人的投标（响应）保证金从同一单位或者个人的账户转出。</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三、我单位已充分知悉下列情形存在法律风险，在投标（响应）前已对相关风险事项进行排查。</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（一）对于从其他主体获取的投标（响应）资料，我单位应审慎核查，确保其真实性。</w:t>
      </w:r>
      <w:r>
        <w:rPr>
          <w:rFonts w:ascii="Calibri" w:eastAsia="宋体" w:hAnsi="Calibri" w:cstheme="minorBidi" w:hint="eastAsia"/>
          <w:b/>
          <w:kern w:val="2"/>
          <w:sz w:val="21"/>
          <w:szCs w:val="22"/>
          <w:lang w:eastAsia="zh-CN"/>
        </w:rPr>
        <w:t>如主管部门查实投标（响应）文件中存在虚假资料的，无论相关资料是否由第三方或本公司员工提供，均不影响主管部门对供应商存在“隐瞒真实情况，提供虚假资料”违法行为的认定。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我单位对投标（响应）电子密钥或电子营业执照负有妥善保管、及时变更和续期等主体责任；使用电子密钥或电子营业执照在深圳政府采购（自行采购）网站进行的活动，均具有法律效力，须承担相应的法律后果。若</w:t>
      </w:r>
      <w:r>
        <w:rPr>
          <w:rFonts w:ascii="Calibri" w:eastAsia="宋体" w:hAnsi="Calibri" w:cstheme="minorBidi" w:hint="eastAsia"/>
          <w:b/>
          <w:bCs/>
          <w:kern w:val="2"/>
          <w:sz w:val="21"/>
          <w:szCs w:val="22"/>
          <w:lang w:eastAsia="zh-CN"/>
        </w:rPr>
        <w:t>擅自将投标（响应）密钥或电子营业执照出借他人使用所造成的法律后果，由我单位自行承担</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四、我单位已充分知悉政府采购（自行采购）违法、违规行为的法律后果。</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我单位存在政府采购（自行采购）违法、违规行为，主管部门将参照《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ind w:firstLine="420" w:firstLineChars="20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投标（响应）供应商抄写并确认：“我单位已仔细阅读《政府采购（自行采购）违法行为风险知悉确认书》，充分知悉违法行为的法律后果，并承诺将严谨、诚信、依法依规参与政府采购（自行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widowControl w:val="0"/>
              <w:autoSpaceDE w:val="0"/>
              <w:autoSpaceDN w:val="0"/>
              <w:spacing w:line="400" w:lineRule="exact"/>
              <w:ind w:firstLine="1866"/>
              <w:jc w:val="both"/>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widowControl w:val="0"/>
              <w:autoSpaceDE w:val="0"/>
              <w:autoSpaceDN w:val="0"/>
              <w:spacing w:line="400" w:lineRule="exact"/>
              <w:ind w:firstLine="1866"/>
              <w:jc w:val="both"/>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widowControl w:val="0"/>
              <w:autoSpaceDE w:val="0"/>
              <w:autoSpaceDN w:val="0"/>
              <w:spacing w:line="400" w:lineRule="exact"/>
              <w:ind w:firstLine="1866"/>
              <w:jc w:val="both"/>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widowControl w:val="0"/>
              <w:autoSpaceDE w:val="0"/>
              <w:autoSpaceDN w:val="0"/>
              <w:spacing w:line="400" w:lineRule="exact"/>
              <w:ind w:firstLine="1866"/>
              <w:jc w:val="both"/>
              <w:rPr>
                <w:rFonts w:ascii="宋体" w:eastAsia="宋体" w:hAnsi="宋体"/>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单位负责人签名：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（加盖公章）</w:t>
      </w:r>
    </w:p>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hint="eastAsia"/>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注：1.《政府采购（自行采购）违法行为风险知悉确认书》需由投标（响应）供应商负责人签字并加盖单位公章后，扫描上传至投标（响应）文件一并提交。</w:t>
      </w:r>
    </w:p>
    <w:p>
      <w:pPr>
        <w:widowControl/>
        <w:autoSpaceDE w:val="0"/>
        <w:autoSpaceDN w:val="0"/>
        <w:spacing w:line="400" w:lineRule="exact"/>
        <w:ind w:firstLine="420" w:firstLineChars="200"/>
        <w:jc w:val="left"/>
        <w:rPr>
          <w:rFonts w:ascii="宋体" w:eastAsia="宋体" w:hAnsi="宋体"/>
          <w:color w:val="FF0000"/>
          <w:spacing w:val="-4"/>
          <w:sz w:val="21"/>
          <w:szCs w:val="21"/>
          <w:lang w:eastAsia="zh-CN"/>
        </w:rPr>
      </w:pPr>
      <w:r>
        <w:rPr>
          <w:rFonts w:ascii="宋体" w:eastAsia="宋体" w:hAnsi="宋体" w:cs="宋体" w:hint="eastAsia"/>
          <w:b/>
          <w:bCs/>
          <w:color w:val="FF0000"/>
          <w:spacing w:val="-4"/>
          <w:sz w:val="21"/>
          <w:szCs w:val="21"/>
          <w:lang w:eastAsia="zh-CN"/>
        </w:rPr>
        <w:t>2.《政府采购（自行采购）违法行为风险知悉确认书》用于对供应商违法行为的提醒，不作为供应商资格性审查及符合性审查条件。</w:t>
      </w:r>
    </w:p>
    <w:p>
      <w:pPr>
        <w:widowControl/>
        <w:jc w:val="left"/>
        <w:rPr>
          <w:rFonts w:ascii="宋体" w:eastAsia="宋体" w:hAnsi="宋体"/>
          <w:color w:val="FF0000"/>
          <w:kern w:val="2"/>
          <w:sz w:val="32"/>
          <w:szCs w:val="32"/>
          <w:lang w:eastAsia="zh-CN"/>
        </w:rPr>
      </w:pPr>
    </w:p>
    <w:p>
      <w:pPr>
        <w:widowControl w:val="0"/>
        <w:jc w:val="both"/>
        <w:rPr>
          <w:rFonts w:ascii="宋体" w:eastAsia="宋体" w:hAnsi="宋体"/>
          <w:color w:val="FF0000"/>
          <w:kern w:val="2"/>
          <w:sz w:val="32"/>
          <w:szCs w:val="32"/>
          <w:lang w:eastAsia="zh-CN"/>
        </w:rPr>
      </w:pPr>
      <w:r>
        <w:rPr>
          <w:rFonts w:ascii="宋体" w:eastAsia="宋体" w:hAnsi="宋体"/>
          <w:color w:val="FF0000"/>
          <w:kern w:val="2"/>
          <w:sz w:val="32"/>
          <w:szCs w:val="32"/>
          <w:lang w:eastAsia="zh-CN"/>
        </w:rPr>
        <w:br w:type="page"/>
      </w:r>
    </w:p>
    <w:p>
      <w:pPr>
        <w:widowControl w:val="0"/>
        <w:spacing w:line="360" w:lineRule="auto"/>
        <w:jc w:val="both"/>
        <w:rPr>
          <w:rFonts w:ascii="Calibri" w:eastAsia="宋体" w:hAnsi="Calibri"/>
          <w:b/>
          <w:bCs/>
          <w:kern w:val="2"/>
          <w:szCs w:val="22"/>
          <w:lang w:eastAsia="zh-CN"/>
        </w:rPr>
      </w:pPr>
    </w:p>
    <w:p>
      <w:pPr>
        <w:keepNext w:val="0"/>
        <w:keepLines w:val="0"/>
        <w:pageBreakBefore w:val="0"/>
        <w:widowControl/>
        <w:kinsoku/>
        <w:wordWrap/>
        <w:overflowPunct/>
        <w:topLinePunct w:val="0"/>
        <w:autoSpaceDE/>
        <w:autoSpaceDN/>
        <w:bidi w:val="0"/>
        <w:adjustRightInd/>
        <w:snapToGrid/>
        <w:jc w:val="center"/>
        <w:textAlignment w:val="auto"/>
        <w:outlineLvl w:val="4"/>
        <w:rPr>
          <w:rFonts w:ascii="宋体" w:eastAsia="宋体" w:hAnsi="宋体" w:hint="eastAsia"/>
          <w:b/>
          <w:bCs/>
          <w:szCs w:val="20"/>
          <w:lang w:eastAsia="zh-CN"/>
        </w:rPr>
      </w:pPr>
      <w:r>
        <w:rPr>
          <w:rFonts w:ascii="宋体" w:eastAsia="宋体" w:hAnsi="宋体" w:hint="eastAsia"/>
          <w:b/>
          <w:bCs/>
          <w:szCs w:val="20"/>
          <w:lang w:eastAsia="zh-CN"/>
        </w:rPr>
        <w:t>（二）订单融资情况</w:t>
      </w:r>
    </w:p>
    <w:p>
      <w:pPr>
        <w:widowControl/>
        <w:jc w:val="center"/>
        <w:rPr>
          <w:rFonts w:ascii="黑体" w:eastAsia="黑体" w:hAnsi="宋体"/>
          <w:szCs w:val="20"/>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2、供应商账户信息</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供应商（单位全称）：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供应商单位地址：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注：本项填写内容作为订单融资开展的参考信息，不作为供应商资格性审查及符合性审查条件。</w:t>
      </w:r>
    </w:p>
    <w:p>
      <w:pPr>
        <w:keepNext w:val="0"/>
        <w:keepLines w:val="0"/>
        <w:pageBreakBefore w:val="0"/>
        <w:widowControl/>
        <w:kinsoku/>
        <w:wordWrap/>
        <w:overflowPunct/>
        <w:topLinePunct w:val="0"/>
        <w:autoSpaceDE/>
        <w:autoSpaceDN/>
        <w:bidi w:val="0"/>
        <w:adjustRightInd/>
        <w:snapToGrid/>
        <w:jc w:val="center"/>
        <w:textAlignment w:val="auto"/>
        <w:outlineLvl w:val="4"/>
        <w:rPr>
          <w:rFonts w:ascii="宋体" w:eastAsia="宋体" w:hAnsi="宋体" w:hint="eastAsia"/>
          <w:b/>
          <w:bCs/>
          <w:szCs w:val="20"/>
          <w:lang w:eastAsia="zh-CN"/>
        </w:rPr>
      </w:pPr>
      <w:r>
        <w:rPr>
          <w:rFonts w:ascii="宋体" w:eastAsia="宋体" w:hAnsi="宋体" w:hint="eastAsia"/>
          <w:b/>
          <w:bCs/>
          <w:szCs w:val="20"/>
          <w:lang w:eastAsia="zh-CN"/>
        </w:rPr>
        <w:t>（三）供应商认为需要加以说明的其他内容（格式自定）</w:t>
      </w:r>
    </w:p>
    <w:p>
      <w:pPr>
        <w:widowControl w:val="0"/>
        <w:jc w:val="both"/>
        <w:rPr>
          <w:rFonts w:ascii="宋体" w:eastAsia="宋体" w:hAnsi="宋体" w:hint="eastAsia"/>
          <w:b/>
          <w:bCs/>
          <w:szCs w:val="20"/>
          <w:lang w:eastAsia="zh-CN"/>
        </w:rPr>
      </w:pPr>
      <w:r>
        <w:rPr>
          <w:rFonts w:ascii="宋体" w:eastAsia="宋体" w:hAnsi="宋体" w:hint="eastAsia"/>
          <w:b/>
          <w:bCs/>
          <w:szCs w:val="20"/>
          <w:lang w:eastAsia="zh-CN"/>
        </w:rPr>
        <w:br w:type="page"/>
      </w: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center"/>
        <w:rPr>
          <w:rFonts w:ascii="Arial" w:eastAsia="宋体" w:hAnsi="Arial" w:hint="eastAsia"/>
          <w:b/>
          <w:kern w:val="2"/>
          <w:lang w:eastAsia="zh-CN"/>
        </w:rPr>
      </w:pPr>
      <w:r>
        <w:rPr>
          <w:rFonts w:ascii="Arial" w:eastAsia="宋体" w:hAnsi="Arial" w:hint="eastAsia"/>
          <w:b/>
          <w:kern w:val="2"/>
          <w:lang w:eastAsia="zh-CN"/>
        </w:rPr>
        <w:t>（本章未提供的征集文件要求的其他文件格式由供应商自拟）</w:t>
      </w:r>
    </w:p>
    <w:p>
      <w:pPr>
        <w:widowControl w:val="0"/>
        <w:jc w:val="both"/>
        <w:rPr>
          <w:rFonts w:ascii="宋体" w:eastAsia="宋体" w:hAnsi="宋体" w:hint="eastAsia"/>
          <w:b/>
          <w:bCs/>
          <w:sz w:val="28"/>
          <w:szCs w:val="28"/>
          <w:lang w:eastAsia="zh-CN"/>
        </w:rPr>
      </w:pPr>
      <w:r>
        <w:rPr>
          <w:rFonts w:ascii="宋体" w:eastAsia="宋体" w:hAnsi="宋体" w:hint="eastAsia"/>
          <w:b/>
          <w:bCs/>
          <w:sz w:val="28"/>
          <w:szCs w:val="28"/>
          <w:lang w:eastAsia="zh-CN"/>
        </w:rPr>
        <w:br w:type="page"/>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jc w:val="center"/>
        <w:rPr>
          <w:rFonts w:ascii="宋体" w:eastAsia="黑体" w:hAnsi="宋体"/>
          <w:bCs/>
          <w:kern w:val="44"/>
          <w:sz w:val="28"/>
          <w:szCs w:val="44"/>
          <w:lang w:eastAsia="zh-CN"/>
        </w:rPr>
      </w:pPr>
      <w:bookmarkStart w:id="42" w:name="_Hlk72574405"/>
      <w:r>
        <w:rPr>
          <w:rFonts w:ascii="Calibri" w:eastAsia="宋体" w:hAnsi="Calibri" w:cstheme="minorBidi" w:hint="eastAsia"/>
          <w:b/>
          <w:kern w:val="2"/>
          <w:szCs w:val="22"/>
          <w:lang w:eastAsia="zh-CN"/>
        </w:rPr>
        <w:t>（仅供参考，具体以项目需求及采购结果为准）</w:t>
      </w:r>
      <w:bookmarkEnd w:id="42"/>
    </w:p>
    <w:p>
      <w:pPr>
        <w:widowControl w:val="0"/>
        <w:snapToGrid w:val="0"/>
        <w:spacing w:line="300" w:lineRule="auto"/>
        <w:jc w:val="center"/>
        <w:rPr>
          <w:rFonts w:ascii="仿宋" w:eastAsia="仿宋" w:hAnsi="仿宋"/>
          <w:kern w:val="2"/>
          <w:sz w:val="28"/>
          <w:szCs w:val="28"/>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政府采购（自行采购）货物买卖合同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pPr>
        <w:widowControl w:val="0"/>
        <w:jc w:val="both"/>
        <w:rPr>
          <w:rFonts w:ascii="Calibri" w:eastAsia="宋体" w:hAnsi="Calibri"/>
          <w:kern w:val="2"/>
          <w:sz w:val="21"/>
          <w:szCs w:val="22"/>
          <w:lang w:eastAsia="zh-CN"/>
        </w:rPr>
      </w:pPr>
    </w:p>
    <w:p>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pPr>
        <w:widowControl w:val="0"/>
        <w:jc w:val="both"/>
        <w:rPr>
          <w:rFonts w:ascii="Calibri" w:eastAsia="黑体" w:hAnsi="Calibri"/>
          <w:kern w:val="2"/>
          <w:sz w:val="44"/>
          <w:szCs w:val="44"/>
          <w:lang w:eastAsia="zh-CN"/>
        </w:rPr>
      </w:pPr>
    </w:p>
    <w:p>
      <w:pPr>
        <w:widowControl w:val="0"/>
        <w:jc w:val="both"/>
        <w:rPr>
          <w:rFonts w:ascii="Calibri" w:eastAsia="黑体" w:hAnsi="Calibri"/>
          <w:kern w:val="2"/>
          <w:sz w:val="44"/>
          <w:szCs w:val="44"/>
          <w:lang w:eastAsia="zh-CN"/>
        </w:rPr>
      </w:pPr>
    </w:p>
    <w:p>
      <w:pPr>
        <w:widowControl w:val="0"/>
        <w:jc w:val="center"/>
        <w:rPr>
          <w:rFonts w:ascii="Calibri" w:eastAsia="黑体" w:hAnsi="Calibri" w:hint="eastAsia"/>
          <w:kern w:val="2"/>
          <w:sz w:val="44"/>
          <w:szCs w:val="44"/>
          <w:lang w:eastAsia="zh-CN"/>
        </w:rPr>
      </w:pPr>
      <w:r>
        <w:rPr>
          <w:rFonts w:ascii="Calibri" w:eastAsia="黑体" w:hAnsi="Calibri" w:cstheme="minorBidi" w:hint="eastAsia"/>
          <w:kern w:val="2"/>
          <w:sz w:val="44"/>
          <w:szCs w:val="44"/>
          <w:lang w:eastAsia="zh-CN"/>
        </w:rPr>
        <w:t>使 用 说 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2.本合同标准文本为政府采购（自行采购）货物买卖合同编制提供参考，可以结合采购项目具体情况，对文本作必要的调整修订后使用。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ascii="Calibri" w:eastAsia="黑体" w:hAnsi="Calibri"/>
          <w:kern w:val="2"/>
          <w:sz w:val="44"/>
          <w:szCs w:val="44"/>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43"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政府采购（自行采购）合同协议书</w:t>
      </w:r>
      <w:bookmarkEnd w:id="43"/>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（采购人、受采购人委托签订合同的单位或采购</w:t>
      </w: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 xml:space="preserve">                                   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乙方1（全称）：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spacing w:beforeLines="0" w:line="400" w:lineRule="exact"/>
        <w:jc w:val="both"/>
        <w:rPr>
          <w:rFonts w:ascii="Calibri" w:eastAsia="宋体" w:hAnsi="Calibri"/>
          <w:kern w:val="2"/>
          <w:sz w:val="21"/>
          <w:szCs w:val="22"/>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依据《中华人民共和国民法典》《中华人民共和国政府采购法》《深圳经济特区政府采购条例》等有关的法律法规，以及本采购项目的征集文件等采购文件、乙方的《投标（响应）文件》及《中标（成交）通知书》，甲乙双方同意签订本合同。具体情况及要求如下：     </w:t>
      </w:r>
    </w:p>
    <w:p>
      <w:pPr>
        <w:widowControl w:val="0"/>
        <w:numPr>
          <w:ilvl w:val="0"/>
          <w:numId w:val="7"/>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pPr>
        <w:widowControl w:val="0"/>
        <w:numPr>
          <w:ilvl w:val="0"/>
          <w:numId w:val="8"/>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采购标的及数量（台/套</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个</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架</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组等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本合同是否为专门面向中小企业的采购合同（中小企业预留合同）：</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若本项目不专门面向中小企业采购，是否给予小微企业评审优惠：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val="en"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分包主要内容：</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分包供应商/制造商名称（如供应商和制造商不同，请分别填写）：</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分包供应商/制造商类型（如果供应商和制造商不同，只填写制造商类型）：</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小微型企业  </w:t>
      </w:r>
    </w:p>
    <w:p>
      <w:pPr>
        <w:widowControl w:val="0"/>
        <w:adjustRightInd w:val="0"/>
        <w:snapToGrid w:val="0"/>
        <w:spacing w:beforeLines="0"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残疾人福利性单位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监狱企业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0</w:t>
      </w:r>
      <w:r>
        <w:rPr>
          <w:rFonts w:ascii="宋体" w:eastAsia="宋体" w:hAnsi="宋体" w:cstheme="minorBidi"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是，《节能产品政府采购品目清单》的底级品目名称：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是，《环境标志产品政府采购品目清单》的底级品目名称：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 xml:space="preserve">是否涉及绿色产品：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1</w:t>
      </w:r>
      <w:r>
        <w:rPr>
          <w:rFonts w:ascii="宋体" w:eastAsia="宋体" w:hAnsi="宋体" w:cstheme="minorBidi" w:hint="eastAsia"/>
          <w:kern w:val="2"/>
          <w:sz w:val="21"/>
          <w:szCs w:val="21"/>
          <w:lang w:eastAsia="zh-CN"/>
        </w:rPr>
        <w:t>）涉及商品包装和快递包装的，是否参考《商品包装政府采购需求标准（试行）》、《快递包装政府采购需求标准（试行）》明确产品及相关快递服务的具体包装要求：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否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pPr>
        <w:widowControl w:val="0"/>
        <w:numPr>
          <w:ilvl w:val="0"/>
          <w:numId w:val="7"/>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分包金额（如有）小写：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（2）合同定价方式（采用组合定价方式的，可以勾选多项）：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固定单价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固定费率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绩效激励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（应明确一次性支付合同款项的条件）                    </w:t>
      </w:r>
    </w:p>
    <w:p>
      <w:pPr>
        <w:widowControl w:val="0"/>
        <w:snapToGrid w:val="0"/>
        <w:spacing w:beforeLines="0"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（应明确分期支付合同款项的各期比例和支付条件，各期支付条件应与分期履约验收情况挂钩） </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pPr>
        <w:widowControl w:val="0"/>
        <w:numPr>
          <w:ilvl w:val="0"/>
          <w:numId w:val="7"/>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（2）履约地点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（5）风险处置措施和替代方案：</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7"/>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pPr>
        <w:widowControl w:val="0"/>
        <w:numPr>
          <w:ilvl w:val="0"/>
          <w:numId w:val="9"/>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验收主体：</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是否邀请本项目的其他供应商参加验收：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是否邀请第三方检测机构参加验收：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 xml:space="preserve">（计划于何时验收/供应商提出验收申请之日起   日内组织验收）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u w:val="single"/>
          <w:lang w:eastAsia="zh-CN"/>
        </w:rPr>
        <w:t xml:space="preserve"> （应明确分期</w:t>
      </w:r>
      <w:r>
        <w:rPr>
          <w:rFonts w:ascii="宋体" w:eastAsia="宋体" w:hAnsi="宋体" w:cstheme="minorBidi"/>
          <w:bCs/>
          <w:kern w:val="2"/>
          <w:sz w:val="21"/>
          <w:szCs w:val="21"/>
          <w:u w:val="single"/>
          <w:lang w:val="en" w:eastAsia="zh-CN"/>
        </w:rPr>
        <w:t>/</w:t>
      </w:r>
      <w:r>
        <w:rPr>
          <w:rFonts w:ascii="宋体" w:eastAsia="宋体" w:hAnsi="宋体" w:cstheme="minorBidi" w:hint="eastAsia"/>
          <w:bCs/>
          <w:kern w:val="2"/>
          <w:sz w:val="21"/>
          <w:szCs w:val="21"/>
          <w:u w:val="single"/>
          <w:lang w:val="en" w:eastAsia="zh-CN"/>
        </w:rPr>
        <w:t>分项验收的工作安排</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（应当包括每一项技术和商务要求的履约情况，特别是落实政府采购扶持中小企业，支持绿色发展和乡村振兴等政策情况）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（产权过户登记等）          </w:t>
      </w:r>
    </w:p>
    <w:p>
      <w:pPr>
        <w:widowControl w:val="0"/>
        <w:numPr>
          <w:ilvl w:val="0"/>
          <w:numId w:val="7"/>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（1）政府采购合同协议书及其变更、补充协议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（4）中标（成交）通知书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7"/>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pPr>
        <w:widowControl w:val="0"/>
        <w:numPr>
          <w:ilvl w:val="0"/>
          <w:numId w:val="7"/>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份，甲方执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份，乙方执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附件：具体标的及其技术要求和商务要求、联合协议、分包意向协议等。</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2091"/>
        <w:gridCol w:w="2668"/>
        <w:gridCol w:w="2189"/>
        <w:gridCol w:w="2340"/>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  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  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56"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val="0"/>
        <w:keepLines w:val="0"/>
        <w:pageBreakBefore w:val="0"/>
        <w:widowControl w:val="0"/>
        <w:kinsoku/>
        <w:wordWrap/>
        <w:overflowPunct/>
        <w:topLinePunct w:val="0"/>
        <w:autoSpaceDE/>
        <w:autoSpaceDN/>
        <w:bidi w:val="0"/>
        <w:adjustRightInd/>
        <w:snapToGrid/>
        <w:ind w:firstLine="525" w:firstLineChars="250"/>
        <w:jc w:val="both"/>
        <w:textAlignment w:val="auto"/>
        <w:outlineLvl w:val="9"/>
        <w:rPr>
          <w:rFonts w:ascii="宋体" w:eastAsia="宋体" w:hAnsi="宋体"/>
          <w:b/>
          <w:kern w:val="2"/>
          <w:sz w:val="21"/>
          <w:szCs w:val="21"/>
          <w:lang w:eastAsia="zh-CN"/>
        </w:rPr>
      </w:pPr>
    </w:p>
    <w:p>
      <w:pPr>
        <w:keepNext/>
        <w:keepLines/>
        <w:widowControl w:val="0"/>
        <w:adjustRightInd w:val="0"/>
        <w:snapToGrid w:val="0"/>
        <w:spacing w:before="156" w:beforeLines="50" w:line="360" w:lineRule="auto"/>
        <w:jc w:val="center"/>
        <w:outlineLvl w:val="1"/>
        <w:rPr>
          <w:rFonts w:ascii="黑体" w:eastAsia="黑体" w:hAnsi="黑体"/>
          <w:b/>
          <w:bCs/>
          <w:kern w:val="2"/>
          <w:sz w:val="28"/>
          <w:szCs w:val="28"/>
          <w:lang w:eastAsia="zh-CN"/>
        </w:rPr>
      </w:pPr>
      <w:bookmarkStart w:id="44" w:name="_Toc27624"/>
      <w:r>
        <w:rPr>
          <w:rFonts w:ascii="黑体" w:eastAsia="黑体" w:hAnsi="黑体" w:hint="eastAsia"/>
          <w:kern w:val="2"/>
          <w:sz w:val="28"/>
          <w:szCs w:val="28"/>
          <w:lang w:eastAsia="zh-CN"/>
        </w:rPr>
        <w:t>第二节 政府采购合同通用条款</w:t>
      </w:r>
      <w:bookmarkEnd w:id="44"/>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kern w:val="2"/>
          <w:szCs w:val="22"/>
          <w:lang w:eastAsia="zh-CN"/>
        </w:rPr>
        <w:t xml:space="preserve">1. </w:t>
      </w:r>
      <w:r>
        <w:rPr>
          <w:rFonts w:ascii="宋体" w:eastAsia="宋体" w:hAnsi="宋体" w:cstheme="minorBidi" w:hint="eastAsia"/>
          <w:b/>
          <w:bCs/>
          <w:kern w:val="2"/>
          <w:szCs w:val="2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（1）采购人（以下称甲方）是指使用财政性资金，通过政府采购方式向供应商购买货物及其相关服务的国家机关、事业单位、团体组织。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（2）供应商（以下称乙方）是指参加政府采购活动并且中标（成交），向采购人提供合同约定的货物及其相关服务的法人、非法人组织或者自然人。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（2）“合同价款”系指根据本合同规定乙方在全面履行合同义务后甲方应支付给乙方的价款。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kern w:val="2"/>
          <w:sz w:val="21"/>
          <w:szCs w:val="21"/>
          <w:lang w:eastAsia="zh-CN"/>
        </w:rPr>
        <w:t>（3）“货物”系指乙方根据本合同规定须向甲方提供的各种形态和种类的物品，包括原材料、设备、产品（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技术资料和材料等。</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服务”系指根据合同规定，乙方应提供的与货物有关的技术、管理和</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kern w:val="2"/>
          <w:sz w:val="21"/>
          <w:szCs w:val="21"/>
          <w:lang w:eastAsia="zh-CN"/>
        </w:rPr>
        <w:t>“联合体”系指由两个以上的自然人、法人或者非法人组织组成，以一个供应商的身份共同参加政府采购的主体</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numPr>
          <w:ilvl w:val="0"/>
          <w:numId w:val="10"/>
        </w:numPr>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2.1 合同标的及金额应与中标（成交）结果一致。乙方为履行本合同而发生的所有费用均应包含在合同价款中，甲方不再另行支付</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t>3. 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3.1 </w:t>
      </w:r>
      <w:r>
        <w:rPr>
          <w:rFonts w:ascii="宋体" w:eastAsia="宋体" w:hAnsi="宋体" w:cs="宋体" w:hint="eastAsia"/>
          <w:kern w:val="2"/>
          <w:sz w:val="21"/>
          <w:szCs w:val="21"/>
          <w:lang w:eastAsia="zh-CN"/>
        </w:rPr>
        <w:t>乙方应当在约定的时间、地点，按照约定方式履行合同。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 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4.2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ascii="Calibri" w:eastAsia="华文楷体" w:hAnsi="Calibri" w:hint="eastAsia"/>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cstheme="minorBidi"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 xml:space="preserve">5 </w:t>
      </w:r>
      <w:r>
        <w:rPr>
          <w:rFonts w:ascii="宋体" w:eastAsia="宋体" w:hAnsi="宋体" w:cstheme="minorBidi" w:hint="eastAsia"/>
          <w:color w:val="000000"/>
          <w:kern w:val="2"/>
          <w:sz w:val="21"/>
          <w:szCs w:val="21"/>
          <w:lang w:eastAsia="zh-CN"/>
        </w:rPr>
        <w:t>甲方应当根据合同约定及时向乙方支付合同价款</w:t>
      </w:r>
      <w:r>
        <w:rPr>
          <w:rFonts w:ascii="宋体" w:eastAsia="宋体" w:hAnsi="宋体" w:cstheme="minorBidi"/>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 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5.1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提供的货物及相关服务符合合同有关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。接受项目行业管理部门及政府有关部门的指导，配合甲方的履约检查及验收，并</w:t>
      </w:r>
      <w:r>
        <w:rPr>
          <w:rFonts w:ascii="宋体" w:eastAsia="宋体" w:hAnsi="宋体" w:cstheme="minorBidi"/>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11"/>
        </w:numPr>
        <w:autoSpaceDE w:val="0"/>
        <w:autoSpaceDN w:val="0"/>
        <w:adjustRightInd w:val="0"/>
        <w:snapToGrid w:val="0"/>
        <w:spacing w:before="0"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合同履行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 货物包装、运输、保险和交付要求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7.1 本合同</w:t>
      </w:r>
      <w:r>
        <w:rPr>
          <w:rFonts w:ascii="宋体" w:eastAsia="宋体" w:hAnsi="宋体" w:cstheme="minorBidi" w:hint="eastAsia"/>
          <w:bCs/>
          <w:color w:val="000000"/>
          <w:kern w:val="2"/>
          <w:sz w:val="21"/>
          <w:szCs w:val="21"/>
          <w:lang w:eastAsia="zh-CN"/>
        </w:rPr>
        <w:t>涉及商品包装、快递包装的，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乙方负责办理将货物运抵本合同规定的交货地点，并装卸、交付至甲方的一切运输事项，相关费用应包含在合同价款中。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乙方在运输到达之前应提前通知甲方，并提示货物运输装卸的注意事项，甲方配合乙方做好货物的接收工作。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color w:val="000000"/>
          <w:kern w:val="2"/>
          <w:szCs w:val="22"/>
          <w:lang w:eastAsia="zh-CN"/>
        </w:rPr>
        <w:t xml:space="preserve">8. </w:t>
      </w:r>
      <w:r>
        <w:rPr>
          <w:rFonts w:ascii="宋体" w:eastAsia="宋体" w:hAnsi="宋体" w:cstheme="minorBidi" w:hint="eastAsia"/>
          <w:b/>
          <w:kern w:val="2"/>
          <w:szCs w:val="2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（1）本合同下提供的货物应符合合同</w:t>
      </w:r>
      <w:r>
        <w:rPr>
          <w:rFonts w:ascii="宋体" w:eastAsia="宋体" w:hAnsi="宋体" w:cs="宋体" w:hint="eastAsia"/>
          <w:color w:val="000000"/>
          <w:kern w:val="2"/>
          <w:sz w:val="21"/>
          <w:szCs w:val="21"/>
          <w:lang w:eastAsia="zh-CN"/>
        </w:rPr>
        <w:t>约定的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（3）乙方所提供的货物应符合国家有关安全、环保、卫生的规定。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8.2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（1）乙方应保证提供的货物完全符合合同规定的质量、规格和性能要求。乙方应保证货物在正确安装、正常使用和保养条件下，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在其使用寿命期内具备合同约定的性能</w:t>
      </w:r>
      <w:r>
        <w:rPr>
          <w:rFonts w:ascii="宋体" w:eastAsia="宋体" w:hAnsi="宋体" w:cstheme="minorBidi" w:hint="eastAsia"/>
          <w:kern w:val="2"/>
          <w:sz w:val="21"/>
          <w:szCs w:val="21"/>
          <w:lang w:eastAsia="zh-CN"/>
        </w:rPr>
        <w:t>。存在质量保证期的，货物最终交付验收合格后在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规定或乙方书面承诺（两者以较长的为准）的质量保证期内，本保证保持有效。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（5）乙方在约定的时间内未能弥补缺陷，甲方可采取必要的补救措施，但其风险和费用将由乙方承担，甲方根据合同约定对乙方行使的其他权利不受影响。</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9.2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9.3 如甲方使用上述货物构成对第三人侵权的，则由乙方承担全部责任。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10. 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10.1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45"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45"/>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11. 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12. 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12.1 合同价款支付按照国库集中支付制度及财政管理相关规定执行。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13.1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13.2 如果乙方出现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13.3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bCs/>
          <w:kern w:val="2"/>
          <w:szCs w:val="22"/>
          <w:lang w:eastAsia="zh-CN"/>
        </w:rPr>
        <w:t xml:space="preserve">14.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14.1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（4）在制造商所在地或指定现场就货物的安装、启动、运营、维护、废弃处置等对甲方操作人员进行培训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14.2 乙方提供的售后服务的费用已包含在合同价款中，甲方不再另行支付。</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15. 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15.1质量瑕疵的违约责任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乙方提供的产品不符合合同约定的质量标准或存在产品质量缺陷，甲方有权要求乙方根据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及时修理、重作、更换，并承担由此给甲方造成的损失。</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15.2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（2）如果乙方没有按照合同规定的时间交货和提供相关服务，甲方有权从货款中扣除误期赔偿费而不影响合同项下的其他补救方法，赔偿费按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规定执行。如果涉及公共利益，且赔偿金额无法弥补公共利益损失，甲方可要求继续履行或者采取其他补救措施。</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15.3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15.4其他违约责任根据项目实际需要按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pPr>
        <w:widowControl w:val="0"/>
        <w:numPr>
          <w:ilvl w:val="0"/>
          <w:numId w:val="12"/>
        </w:numPr>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kern w:val="2"/>
          <w:szCs w:val="22"/>
          <w:lang w:eastAsia="zh-CN"/>
        </w:rPr>
        <w:t>合同变更、中止与终止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16.1合同的变更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政府采购合同履行中，在不改变合同其他条款的前提下，甲方可以在合同价款10%的范围内追加与合同标的相同的货物，并就此与乙方协商一致后签订补充协议。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16.2合同的中止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（1）合同履行过程中因供应商就采购文件、采购过程或结果提起投诉的，甲方认为有必要的，可以中止合同的履行。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（4）甲方不得以行政区划调整、政府换届、机构或者职能调整以及相关责任人更替为由中止合同。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16.3合同的终止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（2）乙方未按合同约定履行，构成根本性违约的，甲方有权终止合同，</w:t>
      </w:r>
      <w:r>
        <w:rPr>
          <w:rFonts w:ascii="宋体" w:eastAsia="宋体" w:hAnsi="宋体" w:cs="宋体" w:hint="eastAsia"/>
          <w:kern w:val="2"/>
          <w:sz w:val="21"/>
          <w:szCs w:val="21"/>
          <w:lang w:eastAsia="zh-CN"/>
        </w:rPr>
        <w:t>并追究乙方的违约责任</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17. 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17.1 乙方不得将合同转包给其他供应商。涉及合同分包的，乙方应根据采购文件和投标（响应）文件规定进行合同分包。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17.2 乙方执行政府采购政策向中小企业依法分包的，乙方应当按采购文件和投标（响应）文件签订分包意向协议，分包意向协议属于本合同组成部分。</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18. 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18.1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18.2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autoSpaceDE w:val="0"/>
        <w:autoSpaceDN w:val="0"/>
        <w:adjustRightInd w:val="0"/>
        <w:snapToGrid w:val="0"/>
        <w:spacing w:before="0"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19. 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szCs w:val="22"/>
          <w:lang w:eastAsia="zh-CN"/>
        </w:rPr>
      </w:pPr>
      <w:r>
        <w:rPr>
          <w:rFonts w:ascii="宋体" w:eastAsia="宋体" w:hAnsi="宋体" w:cstheme="minorBidi" w:hint="eastAsia"/>
          <w:b/>
          <w:kern w:val="2"/>
          <w:szCs w:val="22"/>
          <w:lang w:eastAsia="zh-CN"/>
        </w:rPr>
        <w:t>20. 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0.2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21. 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szCs w:val="22"/>
          <w:lang w:eastAsia="zh-CN"/>
        </w:rPr>
      </w:pPr>
      <w:r>
        <w:rPr>
          <w:rFonts w:ascii="宋体" w:eastAsia="宋体" w:hAnsi="宋体" w:cstheme="minorBidi" w:hint="eastAsia"/>
          <w:b/>
          <w:kern w:val="2"/>
          <w:szCs w:val="22"/>
          <w:lang w:eastAsia="zh-CN"/>
        </w:rPr>
        <w:t>22. 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22.3本合同一方给另一方的通知均应采用书面形式，传真或快递送到本合同中规定的对方的地址和办理签收手续。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22.4通知以送达之日或通知书中规定的生效之日起生效，两者中以较迟之日为准。</w:t>
      </w:r>
    </w:p>
    <w:p>
      <w:pPr>
        <w:widowControl w:val="0"/>
        <w:numPr>
          <w:ilvl w:val="0"/>
          <w:numId w:val="13"/>
        </w:numPr>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23.1合同未尽事项见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46"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cstheme="minorBidi"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46"/>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752"/>
        <w:gridCol w:w="1899"/>
        <w:gridCol w:w="5637"/>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第1.2（6）项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第1.2（7）项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第7.1款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第7.2款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第7.3款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第8.2（1）项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第8.2（3）项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合同价款支付时间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第13.2款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第13.3款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履约保证金退还时间及逾期退还的违约金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第14.1（3）项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第14.1（5）项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第14.1（6）项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第15.3款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第15.4款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第19.2款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第23.1款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ascii="Calibri" w:eastAsia="宋体" w:hAnsi="Calibri"/>
          <w:kern w:val="2"/>
          <w:sz w:val="21"/>
          <w:szCs w:val="22"/>
          <w:lang w:eastAsia="zh-CN"/>
        </w:rPr>
      </w:pPr>
    </w:p>
    <w:p>
      <w:pPr>
        <w:widowControl/>
        <w:jc w:val="left"/>
        <w:rPr>
          <w:rFonts w:ascii="Arial" w:eastAsia="宋体" w:hAnsi="Arial"/>
          <w:color w:val="FF0000"/>
          <w:kern w:val="2"/>
          <w:sz w:val="21"/>
          <w:lang w:eastAsia="zh-CN"/>
        </w:rPr>
      </w:pPr>
    </w:p>
    <w:p>
      <w:pPr>
        <w:widowControl/>
        <w:jc w:val="left"/>
        <w:rPr>
          <w:rFonts w:ascii="宋体" w:eastAsia="黑体" w:hAnsi="宋体"/>
          <w:b/>
          <w:bCs/>
          <w:color w:val="0000FF"/>
          <w:kern w:val="44"/>
          <w:sz w:val="36"/>
          <w:szCs w:val="44"/>
          <w:lang w:eastAsia="zh-CN"/>
        </w:rPr>
      </w:pPr>
      <w:r>
        <w:rPr>
          <w:rFonts w:ascii="宋体" w:eastAsia="黑体" w:hAnsi="宋体"/>
          <w:b/>
          <w:bCs/>
          <w:color w:val="0000FF"/>
          <w:kern w:val="44"/>
          <w:sz w:val="36"/>
          <w:szCs w:val="44"/>
          <w:lang w:eastAsia="zh-CN"/>
        </w:rPr>
        <w:br w:type="page"/>
      </w: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通用条款（公开征集）</w:t>
      </w:r>
    </w:p>
    <w:p>
      <w:pPr>
        <w:keepNext/>
        <w:keepLines/>
        <w:widowControl w:val="0"/>
        <w:numPr>
          <w:ilvl w:val="0"/>
          <w:numId w:val="14"/>
        </w:numPr>
        <w:tabs>
          <w:tab w:val="left" w:pos="720"/>
        </w:tabs>
        <w:adjustRightInd w:val="0"/>
        <w:spacing w:before="156" w:beforeLines="50" w:after="156" w:afterLines="50"/>
        <w:ind w:left="562" w:hanging="562"/>
        <w:jc w:val="center"/>
        <w:textAlignment w:val="baseline"/>
        <w:outlineLvl w:val="1"/>
        <w:rPr>
          <w:rFonts w:ascii="Cambria" w:eastAsia="宋体" w:hAnsi="Cambria"/>
          <w:b/>
          <w:bCs/>
          <w:kern w:val="2"/>
          <w:sz w:val="28"/>
          <w:szCs w:val="28"/>
          <w:lang w:eastAsia="zh-CN"/>
        </w:rPr>
      </w:pPr>
      <w:bookmarkStart w:id="47" w:name="_Hlk72399513"/>
      <w:r>
        <w:rPr>
          <w:rFonts w:ascii="Cambria" w:eastAsia="宋体" w:hAnsi="Cambria" w:cstheme="majorBidi" w:hint="eastAsia"/>
          <w:b/>
          <w:bCs/>
          <w:kern w:val="2"/>
          <w:sz w:val="28"/>
          <w:szCs w:val="28"/>
          <w:lang w:eastAsia="zh-CN"/>
        </w:rPr>
        <w:t>总则</w:t>
      </w:r>
    </w:p>
    <w:bookmarkEnd w:id="47"/>
    <w:p>
      <w:pPr>
        <w:widowControl w:val="0"/>
        <w:jc w:val="both"/>
        <w:rPr>
          <w:rFonts w:ascii="黑体" w:eastAsia="黑体" w:hAnsi="宋体"/>
          <w:kern w:val="2"/>
          <w:szCs w:val="22"/>
          <w:lang w:eastAsia="zh-CN"/>
        </w:rPr>
      </w:pPr>
      <w:bookmarkStart w:id="48" w:name="_Hlk72439706"/>
      <w:r>
        <w:rPr>
          <w:rFonts w:ascii="黑体" w:eastAsia="黑体" w:hAnsi="宋体" w:cstheme="minorBidi" w:hint="eastAsia"/>
          <w:kern w:val="2"/>
          <w:szCs w:val="22"/>
          <w:lang w:eastAsia="zh-CN"/>
        </w:rPr>
        <w:t>1. 通用条款说明</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1.1政府集中采购机构发出征集文件通用条款版本，列出深圳市自行采购项目进行招标采购所适用的通用条款内容。</w:t>
      </w:r>
      <w:bookmarkStart w:id="49" w:name="_Hlk72399729"/>
      <w:r>
        <w:rPr>
          <w:rFonts w:ascii="宋体" w:eastAsia="宋体" w:hAnsi="宋体" w:cstheme="minorBidi" w:hint="eastAsia"/>
          <w:kern w:val="2"/>
          <w:sz w:val="21"/>
          <w:szCs w:val="21"/>
          <w:lang w:eastAsia="zh-CN"/>
        </w:rPr>
        <w:t>如有需要，政府集中采购机构可以对通用条款的内容进行补充。</w:t>
      </w:r>
      <w:bookmarkEnd w:id="49"/>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1.2征集文件分为第一册“专用条款”和第二册“通用条款”。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1.3“专用条款”是对本次采购项目的具体要求，包含征集公告、对通用条款的补充内容及其他关键信息、用户需求书、投标（响应）文件格式及附件、合同条款及格式等内容。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1.4“通用条款”是适用于自行采购公开征集项目的基础性条款，具有普遍性和通用性。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w:t>
      </w:r>
      <w:r>
        <w:rPr>
          <w:rFonts w:ascii="黑体" w:eastAsia="黑体" w:hAnsi="宋体" w:cstheme="minorBidi"/>
          <w:kern w:val="2"/>
          <w:szCs w:val="22"/>
          <w:lang w:eastAsia="zh-CN"/>
        </w:rPr>
        <w:t>．</w:t>
      </w:r>
      <w:r>
        <w:rPr>
          <w:rFonts w:ascii="黑体" w:eastAsia="黑体" w:hAnsi="宋体" w:cstheme="minorBidi" w:hint="eastAsia"/>
          <w:kern w:val="2"/>
          <w:szCs w:val="22"/>
          <w:lang w:eastAsia="zh-CN"/>
        </w:rPr>
        <w:t>征集说明</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按照《深圳市财政局关于印发&lt;自行采购操作流程指引（试行）&gt;的通知》，通过公开征集方式确定中标供应商。公开征集，是指在采购代理机构平台公开发布征集文件，市场潜在供应商参加投标（响应），由社会代理机构组织采购单位代表、评审专家成立评审组，按照征集文件规定的评审标准进行综合评审并确定中标（成交）供应商的采购方式。</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征集文件</w:t>
      </w:r>
      <w:r>
        <w:rPr>
          <w:rFonts w:ascii="宋体" w:eastAsia="宋体" w:hAnsi="宋体" w:cstheme="minorBidi"/>
          <w:kern w:val="2"/>
          <w:sz w:val="21"/>
          <w:szCs w:val="21"/>
          <w:lang w:eastAsia="zh-CN"/>
        </w:rPr>
        <w:t>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是指市政府设立的，组织实施政府采购（自行采购）项目，并对政府采购（自行采购）活动提供服务的专门机构；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3.3“供应商”，即供应商，指参加投标（响应）竞争并愿意按照征集文件要求向采购人提供货物、工程或者服务的依法成立的法人、其他组织或者自然人；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3.4“评审委员会”是参照《深圳经济特区政府采购条例》、《深圳经济特区政府采购条例实施细则》等有关规定组建的专门负责本次招标其评审工作的临时性机构；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3.7“电子投标（响应）文件”指利用</w:t>
      </w:r>
      <w:r>
        <w:rPr>
          <w:rFonts w:ascii="宋体" w:eastAsia="宋体" w:hAnsi="宋体" w:cstheme="minorBidi" w:hint="eastAsia"/>
          <w:b/>
          <w:bCs/>
          <w:color w:val="FF0000"/>
          <w:kern w:val="2"/>
          <w:sz w:val="21"/>
          <w:szCs w:val="21"/>
          <w:lang w:eastAsia="zh-CN"/>
        </w:rPr>
        <w:t>深圳交易集团官网</w:t>
      </w:r>
      <w:r>
        <w:rPr>
          <w:rFonts w:ascii="宋体" w:eastAsia="宋体" w:hAnsi="宋体" w:cstheme="minorBidi" w:hint="eastAsia"/>
          <w:kern w:val="2"/>
          <w:sz w:val="21"/>
          <w:szCs w:val="21"/>
          <w:lang w:eastAsia="zh-CN"/>
        </w:rPr>
        <w:t>网站提供的深圳自行采购系统投标（响应）文件制作专用软件（以下简称：投标（响应）文件制作软件）制作并加密的投标（响应）文件,适用于网上投标（响应）；（投标（响应）文件制作软件可从“下载地址：https://www.szggzy.com/jyfw/details.html?contentId=2053275深圳市自行采购系统投标文件编制工具”下载）</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3.8“网上投标（响应）”指通过</w:t>
      </w:r>
      <w:r>
        <w:rPr>
          <w:rFonts w:ascii="宋体" w:eastAsia="宋体" w:hAnsi="宋体" w:cstheme="minorBidi" w:hint="eastAsia"/>
          <w:b/>
          <w:bCs/>
          <w:color w:val="FF0000"/>
          <w:kern w:val="2"/>
          <w:sz w:val="21"/>
          <w:szCs w:val="21"/>
          <w:lang w:eastAsia="zh-CN"/>
        </w:rPr>
        <w:t>深圳交易集团官网</w:t>
      </w:r>
      <w:r>
        <w:rPr>
          <w:rFonts w:ascii="宋体" w:eastAsia="宋体" w:hAnsi="宋体" w:cstheme="minorBidi" w:hint="eastAsia"/>
          <w:kern w:val="2"/>
          <w:sz w:val="21"/>
          <w:szCs w:val="21"/>
          <w:lang w:eastAsia="zh-CN"/>
        </w:rPr>
        <w:t>网站上传电子投标（响应）文件；</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3.9征集文件中的标题或题名仅起引导作用，而不应视为对征集文件内容的理解和解释。</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 xml:space="preserve">4. </w:t>
      </w:r>
      <w:bookmarkStart w:id="50" w:name="_Hlk72398643"/>
      <w:r>
        <w:rPr>
          <w:rFonts w:ascii="黑体" w:eastAsia="黑体" w:hAnsi="宋体" w:cstheme="minorBidi" w:hint="eastAsia"/>
          <w:kern w:val="2"/>
          <w:szCs w:val="22"/>
          <w:lang w:eastAsia="zh-CN"/>
        </w:rPr>
        <w:t>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4.1欢迎诚信、有实力和有社会责任心的供应商参与自行采购事业。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4.2供应商应当遵循公平竞争的原则，不得恶意串通，不得妨碍其他供应商的竞争行为，不得损害采购人或者其他供应商的合法权益。如违反上述要求，经核实后，供应商的投标（响应）无效。</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5．供应商参加自行采购的条件</w:t>
      </w:r>
    </w:p>
    <w:p>
      <w:pPr>
        <w:widowControl w:val="0"/>
        <w:ind w:firstLine="412" w:firstLineChars="196"/>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5.1供应商应在投标（响应）前到</w:t>
      </w:r>
      <w:r>
        <w:rPr>
          <w:rFonts w:ascii="宋体" w:eastAsia="宋体" w:hAnsi="宋体" w:cstheme="minorBidi" w:hint="eastAsia"/>
          <w:b/>
          <w:bCs/>
          <w:kern w:val="2"/>
          <w:sz w:val="21"/>
          <w:szCs w:val="21"/>
          <w:lang w:eastAsia="zh-CN"/>
        </w:rPr>
        <w:t>深圳公共资源交易中心（具体在深圳交易集团有限公司政府采购业务分公司进行办理）</w:t>
      </w:r>
      <w:r>
        <w:rPr>
          <w:rFonts w:ascii="宋体" w:eastAsia="宋体" w:hAnsi="宋体" w:cstheme="minorBidi" w:hint="eastAsia"/>
          <w:kern w:val="2"/>
          <w:sz w:val="21"/>
          <w:szCs w:val="21"/>
          <w:lang w:eastAsia="zh-CN"/>
        </w:rPr>
        <w:t>进行注册并办理电子密钥。《供应商注册及信息变更指引》详见www.szggzy.com网站“交易服务指南-政府采购”。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5.2供应商资格要求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参加本项目的供应商应具备的资格条件详见本项目征集公告中 “供应商资格要求”（即申请人的资格要求）的内容。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5.3联合体投标（响应）</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　以下有关联合体投标（响应）的条款仅适用于允许供应商组成联合体投标（响应）的项目。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由两个或两个以上的自然人、法人或者其他组织可以组成一个联合体，以一个供应商的身份共同投标（响应）时，应符合以下原则：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（1）投标（响应）联合体各方参加自行采购活动应当具备下列条件：</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1、具有独立承担民事责任的能力；</w:t>
      </w:r>
      <w:r>
        <w:rPr>
          <w:rFonts w:ascii="宋体" w:eastAsia="宋体" w:hAnsi="宋体" w:cstheme="minorBidi"/>
          <w:kern w:val="2"/>
          <w:sz w:val="21"/>
          <w:szCs w:val="22"/>
          <w:lang w:eastAsia="zh-CN"/>
        </w:rPr>
        <w:t xml:space="preserve"> </w:t>
      </w:r>
    </w:p>
    <w:p>
      <w:pPr>
        <w:widowControl w:val="0"/>
        <w:ind w:left="420"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2、有良好的商业信誉和健全的财务会计制度；</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3、具有履行合同所必需的设备和专业技术能力；</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4、有依法缴纳税收和社会保障资金的良好记录；</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5、参加政府采购（自行采购）活动前三年内，在经营活动中没有重大违法记录；</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6、法律、行政法规规定的其他条件。</w:t>
      </w:r>
      <w:r>
        <w:rPr>
          <w:rFonts w:ascii="宋体" w:eastAsia="宋体" w:hAnsi="宋体" w:cstheme="minorBidi"/>
          <w:kern w:val="2"/>
          <w:sz w:val="21"/>
          <w:szCs w:val="22"/>
          <w:lang w:eastAsia="zh-CN"/>
        </w:rPr>
        <w:t xml:space="preserve"> </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（2）在投标（响应）截止前，投标（响应）联合体各方均应注册成政府集中采购机构供应商；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（3）联合体中有同类资质的供应商按照联合体分工承担相同工作的，应当按照资质等级较低的供应商确定资质等级；</w:t>
      </w:r>
    </w:p>
    <w:p>
      <w:pPr>
        <w:widowControl w:val="0"/>
        <w:ind w:firstLine="412"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（4）是否允许联合体参加投标（响应），应当由采购人和采购代理机构根据项目的实际情况和潜在供应商的数量自主决定，如果决定接受联合体投标（响应）则应当在征集公告中明示；</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（5）供应商的投标（响应）文件及中标（成交）后签署的合同协议对联合体各方均具法律约束力；</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（6）联合体各方应当签订联合体投标（响应）协议，明确约定各方拟承担的工作和责任，并将该协议随投标（响应）文件一并递交给政府集中采购机构；</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（7）联合体中标（成交）后，联合体各方应当共同与采购人签订合同，就中标（成交）项目向采购人承担连带责任；</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8）以联合体形式参加自行采购活动的，联合体各方不得再单独参加或者与其他供应商另外组成联合体参加同一合同项下的自行采购活动，出现上述情况者，其投标（响应）和与此有关联合体、总包单位的投标（响应）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2"/>
          <w:lang w:eastAsia="zh-CN"/>
        </w:rPr>
        <w:t>（9）本通用条款中“供应商”一词亦指联合体各方，专用条款另有规定或说明的除外。</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6．政策导向</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6.1</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自行采购支持本国产品、支持中小企业、监狱企业和残疾人福利性单位发展，支持乡村产业振兴，支持创新、节能减排、绿色环保等。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6.2</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本项目落实深圳市政府采购（自行采购）供应商诚信管理政策要求。</w:t>
      </w:r>
    </w:p>
    <w:p>
      <w:pPr>
        <w:widowControl w:val="0"/>
        <w:ind w:firstLine="405"/>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6.3  本项目支持供应商性别平等的相关政策。</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 xml:space="preserve">.1  </w:t>
      </w:r>
      <w:r>
        <w:rPr>
          <w:rFonts w:ascii="宋体" w:eastAsia="宋体" w:hAnsi="宋体" w:cstheme="minorBidi" w:hint="eastAsia"/>
          <w:kern w:val="2"/>
          <w:sz w:val="21"/>
          <w:szCs w:val="22"/>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7.2  国产的货物及其有关服务必须符合中华人民共和国的设计、制造生产标准及行业标准。征集公告有其他要求的，亦应符合其要求。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征集公告有其他要求的，亦应符合其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 xml:space="preserve">  </w:t>
      </w:r>
      <w:bookmarkStart w:id="51" w:name="_Hlk72152753"/>
      <w:r>
        <w:rPr>
          <w:rFonts w:ascii="宋体" w:eastAsia="宋体" w:hAnsi="宋体" w:cstheme="minorBidi" w:hint="eastAsia"/>
          <w:kern w:val="2"/>
          <w:sz w:val="21"/>
          <w:szCs w:val="22"/>
          <w:lang w:eastAsia="zh-CN"/>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51"/>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7.5  供应商应保证，其所提供的货物符合国家强制性标准要求；符合相关行业标准（如具备行政主管部门颁发的资质证书或国家质量监督部门的产品《检验报告》等）。设备到货验收时，还必须提供设备的产品合格证、质量保证文件。若中标（成交）后，除非另有约定，供应商必须按合同规定完成设备的安装，并达到验收标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7.6  工期要求：供应商在投标（响应）时对其所投项目应提交交货进度、交货计划等，在合同规定的时间内完成项目实施工作。</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7.7  供应商必须承担的设备运输、安装调试、验收检测和提供设备操作说明书、图纸等其他相关及类似的义务。</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8．投标（响应）费用</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不论投标（响应）结果如何，供应商应承担其编制投标（响应）文件与递交投标（响应）文件所涉及的一切费用。</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供应商对项目现场及周围环境进行踏勘，以便供应商获取有关编制投标（响应）文件和签署合同所需的资料。踏勘现场所发生的费用由供应商自行承担。供应商应按征集文件所约定的时间、地点踏勘现场。</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9.2供应商及其人员经过采购人的允许，可以进入采购人的项目现场踏勘。若征集文件要求供应商于统一时间地点踏勘现场的，供应商应当按时前往。</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9.3采购人应当通过政府集中采购机构向供应商提供有关现场的书面资料和数据。</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9.4任何人或任何组织在踏勘现场时向供应商提供的任何书面资料或口头承诺，未经政府集中采购机构在网上发布或书面通知，均作无效处理。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未参与踏勘现场不作为否定供应商资格的理由。</w:t>
      </w:r>
    </w:p>
    <w:p>
      <w:pPr>
        <w:widowControl w:val="0"/>
        <w:jc w:val="both"/>
        <w:rPr>
          <w:rFonts w:ascii="宋体" w:eastAsia="宋体" w:hAnsi="宋体"/>
          <w:kern w:val="2"/>
          <w:sz w:val="21"/>
          <w:szCs w:val="21"/>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0</w:t>
      </w:r>
      <w:r>
        <w:rPr>
          <w:rFonts w:ascii="黑体" w:eastAsia="黑体" w:hAnsi="宋体" w:cstheme="minorBidi" w:hint="eastAsia"/>
          <w:kern w:val="2"/>
          <w:szCs w:val="2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供应商应按照征集文件规定的时间或政府集中采购机构另行书面通知（包括政府集中采购机构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2"/>
          <w:lang w:eastAsia="zh-CN"/>
        </w:rPr>
        <w:t>10</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任何人或任何组织在标前会议时向供应商提供的任何书面资料或口头承诺，未经政府集中采购机构在网上发布或书面通知，均作无效处理。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未参与标前会议不作为否定供应商资格的理由。</w:t>
      </w:r>
    </w:p>
    <w:bookmarkEnd w:id="50"/>
    <w:p>
      <w:pPr>
        <w:widowControl w:val="0"/>
        <w:ind w:firstLine="412" w:firstLineChars="196"/>
        <w:jc w:val="both"/>
        <w:rPr>
          <w:rFonts w:ascii="宋体" w:eastAsia="宋体" w:hAnsi="宋体"/>
          <w:kern w:val="2"/>
          <w:sz w:val="21"/>
          <w:szCs w:val="22"/>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征集文件</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1</w:t>
      </w:r>
      <w:r>
        <w:rPr>
          <w:rFonts w:ascii="黑体" w:eastAsia="黑体" w:hAnsi="宋体" w:cstheme="minorBidi" w:hint="eastAsia"/>
          <w:kern w:val="2"/>
          <w:szCs w:val="22"/>
          <w:lang w:eastAsia="zh-CN"/>
        </w:rPr>
        <w:t>．</w:t>
      </w:r>
      <w:bookmarkStart w:id="52" w:name="_Hlk72399819"/>
      <w:r>
        <w:rPr>
          <w:rFonts w:ascii="黑体" w:eastAsia="黑体" w:hAnsi="宋体" w:cstheme="minorBidi" w:hint="eastAsia"/>
          <w:kern w:val="2"/>
          <w:szCs w:val="22"/>
          <w:lang w:eastAsia="zh-CN"/>
        </w:rPr>
        <w:t>征集文件的编制与组成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.1征集文件除以下内容外，政府集中采购机构在招标期间发出的澄清或修改等相关公告或通知内容，均是征集文件的组成部分，对供应商起约束作用；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征集文件包括下列内容：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征集公告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投标（响应）文件格式及附件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征集文件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投标（响应）文件的编制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投标（响应）文件的递交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公开征集失败的后续处理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供应商下载征集文件后，应仔细检查征集文件的所有内容，如有疑问应在答疑截止时间之前向政府集中采购机构提出，否则，由此引起的投标（响应）损失自负；供应商同时应认真审阅征集文件所有的事项、格式、条款和规范要求等，如果供应商的投标（响应）文件未按征集文件要求提交全部资料或者投标（响应）文件未对征集文件做出实质性响应，其风险由供应商自行承担。</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2"/>
          <w:lang w:eastAsia="zh-CN"/>
        </w:rPr>
        <w:t>任何人或任何组织向供应商提交的任何书面或口头资料，未经政府集中采购机构在网上发布或书面通知，均作无效处理，不得作为征集文件的组成部分。政府集中采购机构对供应商由此而做出的推论、理解和结论概不负责。</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2</w:t>
      </w:r>
      <w:r>
        <w:rPr>
          <w:rFonts w:ascii="黑体" w:eastAsia="黑体" w:hAnsi="宋体" w:cstheme="minorBidi" w:hint="eastAsia"/>
          <w:kern w:val="2"/>
          <w:szCs w:val="22"/>
          <w:lang w:eastAsia="zh-CN"/>
        </w:rPr>
        <w:t>．征集文件的澄清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.1征集文件澄清的目的是澄清、解答供应商在查阅征集文件后或现场踏勘中可能提出的与投标（响应）有关的疑问或询问。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.2供应商如对征集文件内容有疑问，</w:t>
      </w:r>
      <w:r>
        <w:rPr>
          <w:rFonts w:ascii="宋体" w:eastAsia="宋体" w:hAnsi="宋体" w:cstheme="minorBidi" w:hint="eastAsia"/>
          <w:color w:val="FF0000"/>
          <w:kern w:val="2"/>
          <w:sz w:val="21"/>
          <w:szCs w:val="21"/>
          <w:lang w:eastAsia="zh-CN"/>
        </w:rPr>
        <w:t>应当在征集公告规定的澄清（提问）截止时间前提交政府集中采购机构。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征集文件进行必要的澄清或是根据供应商的要求对征集文件做出澄清，政府集中采购机构都将在投标（响应）截止日期前以书面形式（包括政府集中采购机构网站发布方式）答复或发送给所有供应商。答复内容是征集文件的组成部分，对供应商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jc w:val="both"/>
        <w:rPr>
          <w:rFonts w:ascii="黑体" w:eastAsia="黑体" w:hAnsi="宋体"/>
          <w:kern w:val="2"/>
          <w:szCs w:val="22"/>
          <w:lang w:eastAsia="zh-CN"/>
        </w:rPr>
      </w:pPr>
      <w:r>
        <w:rPr>
          <w:rFonts w:ascii="黑体" w:eastAsia="黑体" w:hAnsi="宋体" w:cstheme="minorBidi"/>
          <w:kern w:val="2"/>
          <w:szCs w:val="22"/>
          <w:lang w:eastAsia="zh-CN"/>
        </w:rPr>
        <w:t>1</w:t>
      </w:r>
      <w:r>
        <w:rPr>
          <w:rFonts w:ascii="黑体" w:eastAsia="黑体" w:hAnsi="宋体" w:cstheme="minorBidi" w:hint="eastAsia"/>
          <w:kern w:val="2"/>
          <w:szCs w:val="22"/>
          <w:lang w:eastAsia="zh-CN"/>
        </w:rPr>
        <w:t>3．征集文件的修改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3.1征集文件发出后，在投标（响应）截止日期前任何时候，确需要变更征集文件内容的，政府集中采购机构可主动或在解答供应商提出的澄清问题时对征集文件进行修改。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3.2征集文件的修改以书面形式（包括政府集中采购机构网站发布方式，如更正公告等）发送给所有供应商，征集文件的修改内容作为征集文件的组成部分，并具有约束力。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征集文件、征集文件澄清答复内容、征集文件修改补充内容均以书面形式（包括政府集中采购机构网站公开发布方式，如更正公告等）明确的内容为准。当征集文件、修改补充通知、征集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征集文件澄清答复内容和征集文件修改补充内容在投标（响应）截止时间前以书面形式（包括政府集中采购机构网站发布方式，如更正公告等）发送给所有供应商。为使供应商在编制投标（响应）文件时有充分时间对征集文件的修改部分进行研究，政府集中采购机构可以酌情延长递交投标（响应）文件的截止日期。</w:t>
      </w:r>
      <w:bookmarkEnd w:id="52"/>
    </w:p>
    <w:p>
      <w:pPr>
        <w:widowControl w:val="0"/>
        <w:jc w:val="both"/>
        <w:rPr>
          <w:rFonts w:ascii="宋体" w:eastAsia="宋体" w:hAnsi="宋体"/>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投标（响应）文件的编制</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14．</w:t>
      </w:r>
      <w:bookmarkStart w:id="53" w:name="_Hlk72400236"/>
      <w:r>
        <w:rPr>
          <w:rFonts w:ascii="黑体" w:eastAsia="黑体" w:hAnsi="宋体" w:cstheme="minorBidi" w:hint="eastAsia"/>
          <w:kern w:val="2"/>
          <w:szCs w:val="22"/>
          <w:lang w:eastAsia="zh-CN"/>
        </w:rPr>
        <w:t>投标（响应）文件的语言及度量单位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14.1 供应商与政府集中采购机构之间与投标（响应）有关的所有往来通知、函件和投标（响应）文件均用中文表述。供应商随投标（响应）文件提供的证明文件和资料可以为其它语言，但必须附中文译文。翻译的中文资料与外文资料如果出现差异时，以中文为准，但翻译错误的除外。</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14.2 除技术规范另有规定外，投标（响应）文件使用的度量单位，均采用中华人民共和国法定计量单位。</w:t>
      </w:r>
    </w:p>
    <w:bookmarkEnd w:id="53"/>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15．</w:t>
      </w:r>
      <w:bookmarkStart w:id="54" w:name="_Hlk72401567"/>
      <w:r>
        <w:rPr>
          <w:rFonts w:ascii="黑体" w:eastAsia="黑体" w:hAnsi="宋体" w:cstheme="minorBidi" w:hint="eastAsia"/>
          <w:kern w:val="2"/>
          <w:szCs w:val="22"/>
          <w:lang w:eastAsia="zh-CN"/>
        </w:rPr>
        <w:t>投标（响应）文件的组成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具体内容在征集文件专用条款中进行规定。</w:t>
      </w:r>
    </w:p>
    <w:p>
      <w:pPr>
        <w:widowControl w:val="0"/>
        <w:jc w:val="both"/>
        <w:rPr>
          <w:rFonts w:ascii="黑体" w:eastAsia="黑体" w:hAnsi="宋体"/>
          <w:kern w:val="2"/>
          <w:szCs w:val="22"/>
          <w:lang w:eastAsia="zh-CN"/>
        </w:rPr>
      </w:pPr>
      <w:r>
        <w:rPr>
          <w:rFonts w:ascii="黑体" w:eastAsia="黑体" w:hAnsi="宋体" w:cstheme="minorBidi"/>
          <w:kern w:val="2"/>
          <w:szCs w:val="22"/>
          <w:lang w:eastAsia="zh-CN"/>
        </w:rPr>
        <w:t>16．</w:t>
      </w:r>
      <w:r>
        <w:rPr>
          <w:rFonts w:ascii="黑体" w:eastAsia="黑体" w:hAnsi="宋体" w:cstheme="minorBidi" w:hint="eastAsia"/>
          <w:kern w:val="2"/>
          <w:szCs w:val="22"/>
          <w:lang w:eastAsia="zh-CN"/>
        </w:rPr>
        <w:t>投标（响应）文件</w:t>
      </w:r>
      <w:r>
        <w:rPr>
          <w:rFonts w:ascii="黑体" w:eastAsia="黑体" w:hAnsi="宋体" w:cstheme="minorBidi"/>
          <w:kern w:val="2"/>
          <w:szCs w:val="22"/>
          <w:lang w:eastAsia="zh-CN"/>
        </w:rPr>
        <w:t>格式</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投标（响应）文件包括本通用条款第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征集文件</w:t>
      </w:r>
      <w:r>
        <w:rPr>
          <w:rFonts w:ascii="宋体" w:eastAsia="宋体" w:hAnsi="宋体" w:cstheme="minorBidi"/>
          <w:kern w:val="2"/>
          <w:sz w:val="21"/>
          <w:szCs w:val="21"/>
          <w:lang w:eastAsia="zh-CN"/>
        </w:rPr>
        <w:t>提供了</w:t>
      </w:r>
      <w:r>
        <w:rPr>
          <w:rFonts w:ascii="宋体" w:eastAsia="宋体" w:hAnsi="宋体" w:cstheme="minorBidi" w:hint="eastAsia"/>
          <w:kern w:val="2"/>
          <w:sz w:val="21"/>
          <w:szCs w:val="21"/>
          <w:lang w:eastAsia="zh-CN"/>
        </w:rPr>
        <w:t>投标（响应）文件</w:t>
      </w:r>
      <w:r>
        <w:rPr>
          <w:rFonts w:ascii="宋体" w:eastAsia="宋体" w:hAnsi="宋体" w:cstheme="minorBidi"/>
          <w:kern w:val="2"/>
          <w:sz w:val="21"/>
          <w:szCs w:val="21"/>
          <w:lang w:eastAsia="zh-CN"/>
        </w:rPr>
        <w:t>格式，则</w:t>
      </w:r>
      <w:r>
        <w:rPr>
          <w:rFonts w:ascii="宋体" w:eastAsia="宋体" w:hAnsi="宋体" w:cstheme="minorBidi" w:hint="eastAsia"/>
          <w:b/>
          <w:bCs/>
          <w:kern w:val="2"/>
          <w:sz w:val="21"/>
          <w:szCs w:val="21"/>
          <w:lang w:eastAsia="zh-CN"/>
        </w:rPr>
        <w:t>供应商提交的投标（响应）文件应毫无例外地使用征集文件所提供的相应格式</w:t>
      </w:r>
      <w:r>
        <w:rPr>
          <w:rFonts w:ascii="宋体" w:eastAsia="宋体" w:hAnsi="宋体" w:cstheme="minorBidi" w:hint="eastAsia"/>
          <w:kern w:val="2"/>
          <w:sz w:val="21"/>
          <w:szCs w:val="21"/>
          <w:lang w:eastAsia="zh-CN"/>
        </w:rPr>
        <w:t>（表格均可按同样格式扩展）。</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17．投标（响应）货币</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本项目的投标（响应）报价应以人民币计。</w:t>
      </w:r>
    </w:p>
    <w:bookmarkEnd w:id="54"/>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18．</w:t>
      </w:r>
      <w:bookmarkStart w:id="55" w:name="_Hlk72401735"/>
      <w:r>
        <w:rPr>
          <w:rFonts w:ascii="黑体" w:eastAsia="黑体" w:hAnsi="宋体" w:cstheme="minorBidi" w:hint="eastAsia"/>
          <w:kern w:val="2"/>
          <w:szCs w:val="22"/>
          <w:lang w:eastAsia="zh-CN"/>
        </w:rPr>
        <w:t>证明投标（响应）文件投标（响应）技术方案的合格性和符合征集文件规定的文件要求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供应商应提交证明文件，证明其投标（响应）技术方案项下的货物和服务的合格性符合征集文件规定。该投标（响应）技术方案及其证明文件均作为投标（响应）文件组成部分。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供应商提供证明投标（响应）技术方案与征集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投标（响应）产品从采购人开始使用至征集文件中规定的周期内正常、连续地使用所必须的备件和专用工具清单，包括备件和专用工具的货源及现行价格。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征集文件技术规格，逐条说明投标（响应）技术方案已对采购人的技术规格做出了实质性的响应，或申明与技术规格条文的偏差和例外。供应商应详细说明投标（响应）技术方案中产品的具体参数，不得不合理照搬照抄征集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w:t>
      </w:r>
      <w:r>
        <w:rPr>
          <w:rFonts w:ascii="Calibri" w:eastAsia="宋体" w:hAnsi="Calibri" w:cstheme="minorBidi" w:hint="eastAsia"/>
          <w:kern w:val="2"/>
          <w:sz w:val="21"/>
          <w:szCs w:val="22"/>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18.3相关资料不符合18.2款要求的，评审委员会有权认定为投标（响应）技术方案不合格响应，其相关分数予以扣减或作投标（响应）无效处理。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供应商在阐述上述第18.2时应注意采购人在技术规格中指出的工艺、材料和设备的标准以及参照的牌号或分类号仅起说明作用，并没有任何限制性。供应商在投标（响应）中可以选用替代标准、牌号或分类号，但这些替代要实质上满足征集文件中技术规格的要求，是否</w:t>
      </w:r>
      <w:r>
        <w:rPr>
          <w:rFonts w:ascii="Calibri" w:eastAsia="宋体" w:hAnsi="Calibri" w:cstheme="minorBidi" w:hint="eastAsia"/>
          <w:kern w:val="2"/>
          <w:sz w:val="21"/>
          <w:szCs w:val="22"/>
          <w:lang w:eastAsia="zh-CN"/>
        </w:rPr>
        <w:t>满足要求</w:t>
      </w:r>
      <w:r>
        <w:rPr>
          <w:rFonts w:ascii="宋体" w:eastAsia="宋体" w:hAnsi="宋体" w:cstheme="minorBidi"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18.5除非另有规定或说明，供应商对同一项目投标（响应）时，不得同时提供两套或两套以上的投标（响应）方案。</w:t>
      </w:r>
    </w:p>
    <w:bookmarkEnd w:id="55"/>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19．</w:t>
      </w:r>
      <w:bookmarkStart w:id="56" w:name="_Hlk72402034"/>
      <w:r>
        <w:rPr>
          <w:rFonts w:ascii="黑体" w:eastAsia="黑体" w:hAnsi="宋体" w:cstheme="minorBidi" w:hint="eastAsia"/>
          <w:kern w:val="2"/>
          <w:szCs w:val="22"/>
          <w:lang w:eastAsia="zh-CN"/>
        </w:rPr>
        <w:t>投标（响应）文件其他证明文件的要求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1"/>
          <w:lang w:eastAsia="zh-CN"/>
        </w:rPr>
        <w:t>19.1</w:t>
      </w:r>
      <w:bookmarkStart w:id="57" w:name="_Hlk71407299"/>
      <w:r>
        <w:rPr>
          <w:rFonts w:ascii="宋体" w:eastAsia="宋体" w:hAnsi="宋体" w:cstheme="minorBidi" w:hint="eastAsia"/>
          <w:kern w:val="2"/>
          <w:sz w:val="21"/>
          <w:szCs w:val="21"/>
          <w:lang w:eastAsia="zh-CN"/>
        </w:rPr>
        <w:t>采用综合评分法的项目，对项目征集文件《评审信息》评分项中涉及的相关业绩、社保情况等内容以及《资格性审查表》和《符合性审查表》中涉及的证明材料，供应商应提供相关部门出具的证明材料扫描件或照片，原件备查。有关扫描件（或照片）的尺寸和清晰度要求能够使用电脑阅读、识别和判断。若供应商未按要求提供证明材料或提供的是部分证明材料或提供不清晰的扫描件（或照片）的，采购人、代理机构及评审委员会依据各自审查范围，有权认定其投标（响应）文件未对征集文件有关需求进行响应，涉及资格性审查或符合性审查的予以投标（响应）无效处理，涉及《评审信息》打分项的则该项评分予以0分处理。对供应商投标（响应）资料是否异常、是否有效问题进行核查和判定，如认为供应商投标（响应）资料有异常或无效的，若涉及资格性审查或符合性审查条款的，则应作投标（响应）无效处理；若涉及评分的，则作不得分处理。</w:t>
      </w:r>
    </w:p>
    <w:bookmarkEnd w:id="57"/>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供应商提供年审证明的可按原资质（资格）投标（响应）；若供应商正在申报上一级别资质（资格），在未获批准之前，仍按原级别资质（资格）投标（响应）。</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20．投标（响应）有效期</w:t>
      </w:r>
    </w:p>
    <w:bookmarkEnd w:id="56"/>
    <w:p>
      <w:pPr>
        <w:widowControl w:val="0"/>
        <w:ind w:firstLine="412" w:firstLineChars="196"/>
        <w:jc w:val="both"/>
        <w:rPr>
          <w:rFonts w:ascii="宋体" w:eastAsia="宋体" w:hAnsi="宋体"/>
          <w:kern w:val="2"/>
          <w:sz w:val="21"/>
          <w:szCs w:val="21"/>
          <w:lang w:eastAsia="zh-CN"/>
        </w:rPr>
      </w:pPr>
      <w:bookmarkStart w:id="58" w:name="_Hlk72402214"/>
      <w:r>
        <w:rPr>
          <w:rFonts w:ascii="宋体" w:eastAsia="宋体" w:hAnsi="宋体" w:cstheme="minorBidi" w:hint="eastAsia"/>
          <w:kern w:val="2"/>
          <w:sz w:val="21"/>
          <w:szCs w:val="21"/>
          <w:lang w:eastAsia="zh-CN"/>
        </w:rPr>
        <w:t>20.1 投标（响应）有效期为</w:t>
      </w:r>
      <w:r>
        <w:rPr>
          <w:rFonts w:ascii="Arial" w:eastAsia="宋体" w:hAnsi="Arial" w:cs="Arial" w:hint="eastAsia"/>
          <w:kern w:val="2"/>
          <w:sz w:val="21"/>
          <w:szCs w:val="21"/>
          <w:lang w:eastAsia="zh-CN"/>
        </w:rPr>
        <w:t>从投标（响应）截止之日算起的日历天数。</w:t>
      </w:r>
      <w:r>
        <w:rPr>
          <w:rFonts w:ascii="宋体" w:eastAsia="宋体" w:hAnsi="宋体" w:cstheme="minorBidi" w:hint="eastAsia"/>
          <w:kern w:val="2"/>
          <w:sz w:val="21"/>
          <w:szCs w:val="21"/>
          <w:lang w:eastAsia="zh-CN"/>
        </w:rPr>
        <w:t>在此期限内，所有投标（响应）文件均保持有效。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响应）有效期满之前，政府集中采购机构可以根据需要以书面形式（包括政府集中采购机构网站公开发布方式）向供应商提出延长投标（响应）有效期的要求，对此要求供应商须以书面形式予以答复，供应商可以拒绝政府集中采购机构此项要求，其投标（响应）在原投标（响应）有效期满后不再有效。同意延长投标（响应）有效期的供应商不能要求也不允许修改其投标（响应）文件。</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中标（成交）供应商的投标（响应）文件有效期，截止于完成本征集文件规定的全部项目内容，并通过竣工验收及保修期结束。</w:t>
      </w:r>
    </w:p>
    <w:bookmarkEnd w:id="58"/>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21．</w:t>
      </w:r>
      <w:bookmarkStart w:id="59" w:name="_Hlk72402325"/>
      <w:r>
        <w:rPr>
          <w:rFonts w:ascii="黑体" w:eastAsia="黑体" w:hAnsi="宋体" w:cstheme="minorBidi" w:hint="eastAsia"/>
          <w:kern w:val="2"/>
          <w:szCs w:val="22"/>
          <w:lang w:eastAsia="zh-CN"/>
        </w:rPr>
        <w:t xml:space="preserve">关于投标（响应）保证金 </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21.1</w:t>
      </w:r>
      <w:r>
        <w:rPr>
          <w:rFonts w:ascii="Calibri" w:eastAsia="宋体" w:hAnsi="Calibri" w:cstheme="minorBidi" w:hint="eastAsia"/>
          <w:kern w:val="2"/>
          <w:sz w:val="21"/>
          <w:szCs w:val="21"/>
          <w:lang w:eastAsia="zh-CN"/>
        </w:rPr>
        <w:t>参照《深圳市财政局关于调整政府采购投标保证金管理政策的通知》（深财购〔2021〕51号）文的规定，本项目不收取投标保证金。</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22．供应商的替代方案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22.1供应商所提交的投标（响应）文件应完全满足征集文件（包括图纸和技术规范所示的基本技术设计）的要求。除非项目明确允许供应商提交替代方案，否则供应商有关替代方案的条款将初审不通过，作投标（响应）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22.2 如果允许供应商提交替代方案，则准备提交替代方案的供应商除应提交一份满足征集文件（包括图纸和技术规范所示的基本技术设计）要求的投标（响应）文件外，还应提交需评审其替代方案所需的全部资料，包括项目方案书、技术规范、替代方案报价书、所建议的项目方案及有关的其它详细资料。</w:t>
      </w:r>
    </w:p>
    <w:bookmarkEnd w:id="59"/>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23．</w:t>
      </w:r>
      <w:bookmarkStart w:id="60" w:name="_Hlk72402860"/>
      <w:r>
        <w:rPr>
          <w:rFonts w:ascii="黑体" w:eastAsia="黑体" w:hAnsi="宋体" w:cstheme="minorBidi" w:hint="eastAsia"/>
          <w:kern w:val="2"/>
          <w:szCs w:val="22"/>
          <w:lang w:eastAsia="zh-CN"/>
        </w:rPr>
        <w:t>投标（响应）文件</w:t>
      </w:r>
      <w:r>
        <w:rPr>
          <w:rFonts w:ascii="黑体" w:eastAsia="黑体" w:hAnsi="宋体" w:cstheme="minorBidi"/>
          <w:kern w:val="2"/>
          <w:szCs w:val="22"/>
          <w:lang w:eastAsia="zh-CN"/>
        </w:rPr>
        <w:t>的</w:t>
      </w:r>
      <w:r>
        <w:rPr>
          <w:rFonts w:ascii="黑体" w:eastAsia="黑体" w:hAnsi="宋体" w:cstheme="minorBidi" w:hint="eastAsia"/>
          <w:kern w:val="2"/>
          <w:szCs w:val="22"/>
          <w:lang w:eastAsia="zh-CN"/>
        </w:rPr>
        <w:t>制作</w:t>
      </w:r>
      <w:r>
        <w:rPr>
          <w:rFonts w:ascii="黑体" w:eastAsia="黑体" w:hAnsi="宋体" w:cstheme="minorBidi"/>
          <w:kern w:val="2"/>
          <w:szCs w:val="22"/>
          <w:lang w:eastAsia="zh-CN"/>
        </w:rPr>
        <w:t>要求</w:t>
      </w:r>
    </w:p>
    <w:bookmarkEnd w:id="60"/>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23.1供应商应准备所投项目的电子投标文件一份。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23.2供应商在使用《投标书编制软件》编制投标书时须注意：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23.2.1导入《投标书编制软件》的征集文件项目编号、包号应与以此制作的投标（响应）文件项目编号、包号一致。例如，不能将甲项目A包的投标（响应）文件导入《投标书编制软件》，制作乙项目B包的投标（响应）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23.2.2不能用非本公司的电子密钥加密本公司的投标文件，或者用其它公司的登录用户上传本公司的投标文件。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23.2.3要求用《投标书编制软件》编制投标书的包，不能用其它方式编制投标书。编制投标（响应）文件时，电脑须连通互联网。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23.2.4投标（响应）文件不能带病毒。政府集中采购机构将用专业杀毒软件对投标（响应）文件进行病毒检测，如果这两种软件均报告发现病毒，则政府集中采购机构认为该投标（响应）文件带病毒。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23.2.6供应商在编辑投标文件时，</w:t>
      </w:r>
      <w:r>
        <w:rPr>
          <w:rFonts w:ascii="宋体" w:eastAsia="宋体" w:hAnsi="宋体" w:cstheme="minorBidi" w:hint="eastAsia"/>
          <w:b/>
          <w:kern w:val="2"/>
          <w:sz w:val="21"/>
          <w:szCs w:val="21"/>
          <w:lang w:eastAsia="zh-CN"/>
        </w:rPr>
        <w:t>在投标（响应）文件目录中属于本节点内容的必须在本节点中填写，填写到其他节点或附件，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23.2.7政府集中采购机构不接受投标（响应）截止时间后递交的纸质、电子、传真等所有形式的投标文件。由于对网上自行采购系统操作不熟悉或自身电脑、网络等原因导致不能在投标截止时间之前上传投标（响应）文件，政府集中采购机构概不负责。建议于开标前一个工作日完成投标（响应）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23.2.8如果开标时出现网络故障、技术故障，影响了采购活动，政府集中采购机构有权采取措施如延期、接受无法从网上上传的投标书等，以保障采购活动的公开、公平和公正。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23.4经供应商电子密钥或电子营业执照加密的投标文件无须盖章或签字，</w:t>
      </w:r>
      <w:r>
        <w:rPr>
          <w:rFonts w:ascii="宋体" w:eastAsia="宋体" w:hAnsi="宋体" w:cstheme="minorBidi" w:hint="eastAsia"/>
          <w:kern w:val="2"/>
          <w:sz w:val="21"/>
          <w:szCs w:val="21"/>
          <w:lang w:eastAsia="zh-CN"/>
        </w:rPr>
        <w:t>专用条款另有要求的除外。</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p>
    <w:p>
      <w:pPr>
        <w:widowControl w:val="0"/>
        <w:jc w:val="both"/>
        <w:rPr>
          <w:rFonts w:ascii="宋体" w:eastAsia="宋体" w:hAnsi="宋体"/>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投标（响应）文件的递交</w:t>
      </w:r>
    </w:p>
    <w:p>
      <w:pPr>
        <w:widowControl w:val="0"/>
        <w:jc w:val="both"/>
        <w:rPr>
          <w:rFonts w:ascii="宋体" w:eastAsia="宋体" w:hAnsi="宋体"/>
          <w:kern w:val="2"/>
          <w:sz w:val="21"/>
          <w:szCs w:val="22"/>
          <w:lang w:eastAsia="zh-CN"/>
        </w:rPr>
      </w:pPr>
      <w:bookmarkStart w:id="61" w:name="_Hlk72405459"/>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24. 投标（响应）文件的保密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24.1在投标（响应）文件制作完成后，生成后会选择是否加密投标（响应）文件，如不加密则直接点击生成文件即可，如需加密请插入CA锁，点击加密后生成文件，需输入CA锁密码即可加密成功。加密后会提示文件生成成功！(注意：加密的投标（响应）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24.2若采购项目出现延期情况：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b/>
          <w:kern w:val="2"/>
          <w:sz w:val="21"/>
          <w:szCs w:val="21"/>
          <w:lang w:eastAsia="zh-CN"/>
        </w:rPr>
        <w:t>如果供下载的征集文件有更新，供应商必须重新下载征集文件、重新制作投标（响应）文件、重新加密投标（响应）文件、重新上传投标（响应）文件。</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25．上传投标（响应）文件及应答截止日期</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1实行网上应答，供应商</w:t>
      </w:r>
      <w:r>
        <w:rPr>
          <w:rFonts w:ascii="宋体" w:eastAsia="宋体" w:hAnsi="宋体" w:cstheme="minorBidi"/>
          <w:kern w:val="2"/>
          <w:sz w:val="21"/>
          <w:szCs w:val="22"/>
          <w:lang w:eastAsia="zh-CN"/>
        </w:rPr>
        <w:t>必须</w:t>
      </w:r>
      <w:r>
        <w:rPr>
          <w:rFonts w:ascii="宋体" w:eastAsia="宋体" w:hAnsi="宋体" w:cstheme="minorBidi" w:hint="eastAsia"/>
          <w:kern w:val="2"/>
          <w:sz w:val="21"/>
          <w:szCs w:val="22"/>
          <w:lang w:eastAsia="zh-CN"/>
        </w:rPr>
        <w:t>在征集文件</w:t>
      </w:r>
      <w:r>
        <w:rPr>
          <w:rFonts w:ascii="宋体" w:eastAsia="宋体" w:hAnsi="宋体" w:cstheme="minorBidi"/>
          <w:kern w:val="2"/>
          <w:sz w:val="21"/>
          <w:szCs w:val="22"/>
          <w:lang w:eastAsia="zh-CN"/>
        </w:rPr>
        <w:t>规定的</w:t>
      </w:r>
      <w:r>
        <w:rPr>
          <w:rFonts w:ascii="宋体" w:eastAsia="宋体" w:hAnsi="宋体" w:cstheme="minorBidi" w:hint="eastAsia"/>
          <w:kern w:val="2"/>
          <w:sz w:val="21"/>
          <w:szCs w:val="22"/>
          <w:lang w:eastAsia="zh-CN"/>
        </w:rPr>
        <w:t>应答</w:t>
      </w:r>
      <w:r>
        <w:rPr>
          <w:rFonts w:ascii="宋体" w:eastAsia="宋体" w:hAnsi="宋体" w:cstheme="minorBidi"/>
          <w:kern w:val="2"/>
          <w:sz w:val="21"/>
          <w:szCs w:val="22"/>
          <w:lang w:eastAsia="zh-CN"/>
        </w:rPr>
        <w:t>截止时间前</w:t>
      </w:r>
      <w:r>
        <w:rPr>
          <w:rFonts w:ascii="宋体" w:eastAsia="宋体" w:hAnsi="宋体" w:cstheme="minorBidi" w:hint="eastAsia"/>
          <w:kern w:val="2"/>
          <w:sz w:val="21"/>
          <w:szCs w:val="22"/>
          <w:lang w:eastAsia="zh-CN"/>
        </w:rPr>
        <w:t>用电子密钥登录“深圳自行采购系统（https://trade.szggzy.com/）”上传投标（响应）文件。如上传过程中遇到问题，</w:t>
      </w:r>
      <w:r>
        <w:rPr>
          <w:rFonts w:ascii="宋体" w:eastAsia="宋体" w:hAnsi="宋体" w:cstheme="minorBidi" w:hint="eastAsia"/>
          <w:b/>
          <w:bCs/>
          <w:kern w:val="2"/>
          <w:sz w:val="21"/>
          <w:szCs w:val="22"/>
          <w:lang w:eastAsia="zh-CN"/>
        </w:rPr>
        <w:t>可拨打采购公告中的技术支持电话（0755-36568999 1转7）</w:t>
      </w:r>
      <w:r>
        <w:rPr>
          <w:rFonts w:ascii="宋体" w:eastAsia="宋体" w:hAnsi="宋体" w:cstheme="minorBidi" w:hint="eastAsia"/>
          <w:kern w:val="2"/>
          <w:sz w:val="21"/>
          <w:szCs w:val="22"/>
          <w:lang w:eastAsia="zh-CN"/>
        </w:rPr>
        <w:t>。如多次上传均告失败，请在应答截止时间之前携带电子投标（响应）文件送达至</w:t>
      </w:r>
      <w:r>
        <w:rPr>
          <w:rFonts w:ascii="宋体" w:eastAsia="宋体" w:hAnsi="宋体" w:cstheme="minorBidi" w:hint="eastAsia"/>
          <w:b/>
          <w:bCs/>
          <w:kern w:val="2"/>
          <w:sz w:val="21"/>
          <w:szCs w:val="21"/>
          <w:lang w:eastAsia="zh-CN"/>
        </w:rPr>
        <w:t>深圳公共资源交易中心（深圳交易集团有限公司宝安分公司）</w:t>
      </w:r>
      <w:r>
        <w:rPr>
          <w:rFonts w:ascii="宋体" w:eastAsia="宋体" w:hAnsi="宋体" w:cstheme="minorBidi" w:hint="eastAsia"/>
          <w:b/>
          <w:bCs/>
          <w:kern w:val="2"/>
          <w:sz w:val="21"/>
          <w:szCs w:val="22"/>
          <w:lang w:eastAsia="zh-CN"/>
        </w:rPr>
        <w:t>一楼服务大厅（地址：深圳市宝安区湖滨东路40号）</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中应答</w:t>
      </w:r>
      <w:r>
        <w:rPr>
          <w:rFonts w:ascii="宋体" w:eastAsia="宋体" w:hAnsi="宋体" w:cstheme="minorBidi"/>
          <w:b/>
          <w:bCs/>
          <w:kern w:val="2"/>
          <w:sz w:val="21"/>
          <w:szCs w:val="22"/>
          <w:lang w:eastAsia="zh-CN"/>
        </w:rPr>
        <w:t>截止时间到达仍无法上传成功的，由</w:t>
      </w:r>
      <w:r>
        <w:rPr>
          <w:rFonts w:ascii="宋体" w:eastAsia="宋体" w:hAnsi="宋体" w:cstheme="minorBidi" w:hint="eastAsia"/>
          <w:b/>
          <w:bCs/>
          <w:kern w:val="2"/>
          <w:sz w:val="21"/>
          <w:szCs w:val="22"/>
          <w:lang w:eastAsia="zh-CN"/>
        </w:rPr>
        <w:t>供应商</w:t>
      </w:r>
      <w:r>
        <w:rPr>
          <w:rFonts w:ascii="宋体" w:eastAsia="宋体" w:hAnsi="宋体" w:cstheme="minorBidi"/>
          <w:b/>
          <w:bCs/>
          <w:kern w:val="2"/>
          <w:sz w:val="21"/>
          <w:szCs w:val="22"/>
          <w:lang w:eastAsia="zh-CN"/>
        </w:rPr>
        <w:t>自行负责</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25.2政府集中采购机构可以按本通用条款第13条规定，通过修改征集文件自行决定酌情延长应答截止期。在此情况下，政府集中采购机构、采购人和供应商受应答截止期制约的所有权利和义务均应延长至新的截止期。</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3应答截止时间以后不得上传投标（响应）文件。</w:t>
      </w:r>
    </w:p>
    <w:bookmarkEnd w:id="61"/>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26.1 样品、现场演示、方案讲解等事项在征集文件专用条款中进行规定。</w:t>
      </w:r>
    </w:p>
    <w:p>
      <w:pPr>
        <w:widowControl w:val="0"/>
        <w:jc w:val="both"/>
        <w:rPr>
          <w:rFonts w:ascii="黑体" w:eastAsia="黑体" w:hAnsi="宋体"/>
          <w:kern w:val="2"/>
          <w:szCs w:val="22"/>
          <w:lang w:eastAsia="zh-CN"/>
        </w:rPr>
      </w:pPr>
      <w:bookmarkStart w:id="62" w:name="_Hlk72428346"/>
      <w:r>
        <w:rPr>
          <w:rFonts w:ascii="黑体" w:eastAsia="黑体" w:hAnsi="宋体" w:cstheme="minorBidi"/>
          <w:kern w:val="2"/>
          <w:szCs w:val="22"/>
          <w:lang w:eastAsia="zh-CN"/>
        </w:rPr>
        <w:t>2</w:t>
      </w:r>
      <w:r>
        <w:rPr>
          <w:rFonts w:ascii="黑体" w:eastAsia="黑体" w:hAnsi="宋体" w:cstheme="minorBidi" w:hint="eastAsia"/>
          <w:kern w:val="2"/>
          <w:szCs w:val="22"/>
          <w:lang w:eastAsia="zh-CN"/>
        </w:rPr>
        <w:t>7．投标（响应）文件</w:t>
      </w:r>
      <w:r>
        <w:rPr>
          <w:rFonts w:ascii="黑体" w:eastAsia="黑体" w:hAnsi="宋体" w:cstheme="minorBidi"/>
          <w:kern w:val="2"/>
          <w:szCs w:val="22"/>
          <w:lang w:eastAsia="zh-CN"/>
        </w:rPr>
        <w:t>的修改和撤销</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1应答</w:t>
      </w:r>
      <w:r>
        <w:rPr>
          <w:rFonts w:ascii="宋体" w:eastAsia="宋体" w:hAnsi="宋体" w:cstheme="minorBidi"/>
          <w:kern w:val="2"/>
          <w:sz w:val="21"/>
          <w:szCs w:val="22"/>
          <w:lang w:eastAsia="zh-CN"/>
        </w:rPr>
        <w:t>方在提交</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后可对其</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进行修改</w:t>
      </w:r>
      <w:r>
        <w:rPr>
          <w:rFonts w:ascii="宋体" w:eastAsia="宋体" w:hAnsi="宋体" w:cstheme="minorBidi" w:hint="eastAsia"/>
          <w:kern w:val="2"/>
          <w:sz w:val="21"/>
          <w:szCs w:val="22"/>
          <w:lang w:eastAsia="zh-CN"/>
        </w:rPr>
        <w:t>并重新上传投标（响应）文件</w:t>
      </w:r>
      <w:r>
        <w:rPr>
          <w:rFonts w:ascii="宋体" w:eastAsia="宋体" w:hAnsi="宋体" w:cstheme="minorBidi"/>
          <w:kern w:val="2"/>
          <w:sz w:val="21"/>
          <w:szCs w:val="22"/>
          <w:lang w:eastAsia="zh-CN"/>
        </w:rPr>
        <w:t>或</w:t>
      </w:r>
      <w:r>
        <w:rPr>
          <w:rFonts w:ascii="宋体" w:eastAsia="宋体" w:hAnsi="宋体" w:cstheme="minorBidi" w:hint="eastAsia"/>
          <w:kern w:val="2"/>
          <w:sz w:val="21"/>
          <w:szCs w:val="22"/>
          <w:lang w:eastAsia="zh-CN"/>
        </w:rPr>
        <w:t>在网上进行</w:t>
      </w:r>
      <w:r>
        <w:rPr>
          <w:rFonts w:ascii="宋体" w:eastAsia="宋体" w:hAnsi="宋体" w:cstheme="minorBidi"/>
          <w:kern w:val="2"/>
          <w:sz w:val="21"/>
          <w:szCs w:val="22"/>
          <w:lang w:eastAsia="zh-CN"/>
        </w:rPr>
        <w:t>撤销</w:t>
      </w:r>
      <w:r>
        <w:rPr>
          <w:rFonts w:ascii="宋体" w:eastAsia="宋体" w:hAnsi="宋体" w:cstheme="minorBidi" w:hint="eastAsia"/>
          <w:kern w:val="2"/>
          <w:sz w:val="21"/>
          <w:szCs w:val="22"/>
          <w:lang w:eastAsia="zh-CN"/>
        </w:rPr>
        <w:t>应答的操作</w:t>
      </w:r>
      <w:r>
        <w:rPr>
          <w:rFonts w:ascii="宋体" w:eastAsia="宋体" w:hAnsi="宋体" w:cstheme="minorBidi"/>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2应答</w:t>
      </w:r>
      <w:r>
        <w:rPr>
          <w:rFonts w:ascii="宋体" w:eastAsia="宋体" w:hAnsi="宋体" w:cstheme="minorBidi"/>
          <w:kern w:val="2"/>
          <w:sz w:val="21"/>
          <w:szCs w:val="22"/>
          <w:lang w:eastAsia="zh-CN"/>
        </w:rPr>
        <w:t>截止时间以后不得修改</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3从应答截止期至供应商在投标（响应）文件中确定的应答有效期之间的这段时间内，供应商不得撤回其应答。</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27.4政府集中采购机构不退还投标（响应）文件，专用条款另有规定的除外。</w:t>
      </w:r>
    </w:p>
    <w:bookmarkEnd w:id="62"/>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开标</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28．开标</w:t>
      </w:r>
    </w:p>
    <w:p>
      <w:pPr>
        <w:widowControl w:val="0"/>
        <w:ind w:firstLine="359" w:firstLineChars="171"/>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供应商须在开标当日的开标时间至解密截止时间内进行解密，逾期未解密的作无效处理。解密方法：登录“深圳自行采购系统（https://trade.szggzy.com/）”，使用本单位制作电子投标（响应）文件同一个电子密钥进行在线解密、查询开标情况。</w:t>
      </w:r>
    </w:p>
    <w:p>
      <w:pPr>
        <w:widowControl w:val="0"/>
        <w:ind w:firstLine="315" w:firstLineChars="15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响应）供应商数量满足开标要求或②解密时间结束前所有投标（响应）供应商均完成投标（响应）文件解密）后，对投标（响应）文件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评审要求</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29．评审委员会组成</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29.1网上开标结束后召开评审会议，</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由政府集中采购机构依法组建，负责评审活动。</w:t>
      </w:r>
    </w:p>
    <w:p>
      <w:pPr>
        <w:widowControl w:val="0"/>
        <w:ind w:firstLine="412" w:firstLineChars="196"/>
        <w:jc w:val="both"/>
        <w:rPr>
          <w:rFonts w:ascii="宋体" w:eastAsia="宋体" w:hAnsi="宋体"/>
          <w:kern w:val="2"/>
          <w:sz w:val="21"/>
          <w:szCs w:val="22"/>
          <w:lang w:eastAsia="zh-CN"/>
        </w:rPr>
      </w:pPr>
      <w:bookmarkStart w:id="63" w:name="_Hlk72436580"/>
      <w:r>
        <w:rPr>
          <w:rFonts w:ascii="宋体" w:eastAsia="宋体" w:hAnsi="宋体" w:cstheme="minorBidi" w:hint="eastAsia"/>
          <w:kern w:val="2"/>
          <w:sz w:val="21"/>
          <w:szCs w:val="22"/>
          <w:lang w:eastAsia="zh-CN"/>
        </w:rPr>
        <w:t>评审委员会由采购人代表和评审专家组成，成员人数应当为3人以上单数（部分条件下为7人以上单数），其中评审专家不得少于成员总数的三分之二。</w:t>
      </w:r>
      <w:bookmarkEnd w:id="63"/>
      <w:r>
        <w:rPr>
          <w:rFonts w:ascii="宋体" w:eastAsia="宋体" w:hAnsi="宋体" w:cstheme="minorBidi" w:hint="eastAsia"/>
          <w:kern w:val="2"/>
          <w:sz w:val="21"/>
          <w:szCs w:val="22"/>
          <w:lang w:eastAsia="zh-CN"/>
        </w:rPr>
        <w:t>评定</w:t>
      </w:r>
      <w:r>
        <w:rPr>
          <w:rFonts w:ascii="Calibri" w:eastAsia="宋体" w:hAnsi="Calibri" w:cstheme="minorBidi" w:hint="eastAsia"/>
          <w:kern w:val="2"/>
          <w:sz w:val="21"/>
          <w:szCs w:val="22"/>
          <w:lang w:eastAsia="zh-CN"/>
        </w:rPr>
        <w:t>分离项目</w:t>
      </w:r>
      <w:r>
        <w:rPr>
          <w:rFonts w:ascii="Calibri" w:eastAsia="宋体" w:hAnsi="Calibri" w:cstheme="minorBidi"/>
          <w:kern w:val="2"/>
          <w:sz w:val="21"/>
          <w:szCs w:val="22"/>
          <w:lang w:eastAsia="zh-CN"/>
        </w:rPr>
        <w:t>评审专家</w:t>
      </w:r>
      <w:r>
        <w:rPr>
          <w:rFonts w:ascii="Calibri" w:eastAsia="宋体" w:hAnsi="Calibri" w:cstheme="minorBidi" w:hint="eastAsia"/>
          <w:kern w:val="2"/>
          <w:sz w:val="21"/>
          <w:szCs w:val="22"/>
          <w:lang w:eastAsia="zh-CN"/>
        </w:rPr>
        <w:t>均</w:t>
      </w:r>
      <w:r>
        <w:rPr>
          <w:rFonts w:ascii="Calibri" w:eastAsia="宋体" w:hAnsi="Calibri" w:cstheme="minorBidi"/>
          <w:kern w:val="2"/>
          <w:sz w:val="21"/>
          <w:szCs w:val="22"/>
          <w:lang w:eastAsia="zh-CN"/>
        </w:rPr>
        <w:t>由</w:t>
      </w:r>
      <w:r>
        <w:rPr>
          <w:rFonts w:ascii="Calibri" w:eastAsia="宋体" w:hAnsi="Calibri" w:cstheme="minorBidi" w:hint="eastAsia"/>
          <w:kern w:val="2"/>
          <w:sz w:val="21"/>
          <w:szCs w:val="22"/>
          <w:lang w:eastAsia="zh-CN"/>
        </w:rPr>
        <w:t>评审专家组成。</w:t>
      </w:r>
      <w:r>
        <w:rPr>
          <w:rFonts w:ascii="宋体" w:eastAsia="宋体" w:hAnsi="宋体" w:cstheme="minorBidi" w:hint="eastAsia"/>
          <w:kern w:val="2"/>
          <w:sz w:val="21"/>
          <w:szCs w:val="21"/>
          <w:lang w:eastAsia="zh-CN"/>
        </w:rPr>
        <w:t>评审专家一般是</w:t>
      </w:r>
      <w:r>
        <w:rPr>
          <w:rFonts w:ascii="宋体" w:eastAsia="宋体" w:hAnsi="宋体" w:cstheme="minorBidi" w:hint="eastAsia"/>
          <w:kern w:val="2"/>
          <w:sz w:val="21"/>
          <w:szCs w:val="22"/>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29.2评审定标应当遵循公平、公正、科学、择优的原则。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29.3评审活动依法进行，任何单位和个人不得非法干预评审过程和结果。</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29.4评审过程中不允许违背评审程序或采用征集文件未载明的评审方法或评审因素进行评审。</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29.5 开标后，直到签订合同为止，凡属于对投标（响应）文件的审查、澄清、评价和比较的有关资料以及中标（成交）候选人的推荐情况、与评审有关的其他任何情况均严格保密（</w:t>
      </w:r>
      <w:r>
        <w:rPr>
          <w:rFonts w:ascii="Calibri" w:eastAsia="宋体" w:hAnsi="Calibri" w:cstheme="minorBidi" w:hint="eastAsia"/>
          <w:kern w:val="2"/>
          <w:sz w:val="21"/>
          <w:szCs w:val="22"/>
          <w:lang w:eastAsia="zh-CN"/>
        </w:rPr>
        <w:t>信息公开的内容除外</w:t>
      </w:r>
      <w:r>
        <w:rPr>
          <w:rFonts w:ascii="宋体" w:eastAsia="宋体" w:hAnsi="宋体" w:cstheme="minorBidi" w:hint="eastAsia"/>
          <w:bCs/>
          <w:kern w:val="2"/>
          <w:sz w:val="21"/>
          <w:szCs w:val="22"/>
          <w:lang w:eastAsia="zh-CN"/>
        </w:rPr>
        <w:t>）。</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30．向评审委员会提供的资料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30.1公开发布的征集文件，包括图纸、服务清单、答疑文件等；</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30.2其他评审必须的资料。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30.3</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应当认真研究征集文件，至少应了解熟悉以下内容：</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（1）招标的目的；</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（2）招标项目需求的范围和性质；</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（3）征集文件规定的供应商的资格、财政预算限额、商务条款；</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（4）征集文件规定的评审程序、评审方法和评审因素；</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（5）征集文件所列示的资格性审查表及符合性审查表。</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31．独立评审</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1</w:t>
      </w:r>
      <w:r>
        <w:rPr>
          <w:rFonts w:ascii="宋体" w:eastAsia="宋体" w:hAnsi="宋体" w:cstheme="minorBidi" w:hint="eastAsia"/>
          <w:bCs/>
          <w:kern w:val="2"/>
          <w:sz w:val="21"/>
          <w:szCs w:val="22"/>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2"/>
          <w:lang w:eastAsia="zh-CN"/>
        </w:rPr>
        <w:t>成员的评审活动应当独立进行，并应遵循投标（响应）文件初审、澄清有关问题、比较与评价、确定中标（成交）供应商、编写评审报告的工作程序。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评审程序及评审方法</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32．投标（响应）文件初审</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32.1投标（响应）文件初审包括资格性审查和符合性审查。</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资格性审查：依据法律法规和征集文件的规定，对投标（响应）文件中的资格证明等进行审查，以确定投标（响应）供应商是否具备应答资格。</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符合性审查：依据征集文件的规定，对投标（响应）文件的有效性、完整性和对征集文件的响应程度进行审查，以确定是否满足符合性审查的要求。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32.2 投标（响应）文件初审内容请详见《资格性审查表》和《符合性审查表》部分。供应商若有一条审查不通过则按应答无效处理。</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 投标（响应）文件初审中关于供应商家数的计算:</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32.3.1采用最低价法的采购项目，提供相同品牌产品的不同供应商参加同一合同项下应答的，以其中通过资格审查、符合性审查且报价最低的参加评审；报价相同的，由采购人或者采购人委托评审委员会按照征集文件规定的方式确定一个参加评审的供应商，征集文件未规定的采取随机抽取方式确定，其他应答无效。</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32.3.2采用综合评分法的采购项目，提供相同品牌产品且通过资格审查、符合性审查的不同供应商参加同一合同项下应答的，按一家供应商计算，评审后得分最高的同品牌供应商获得中标（成交）人推荐资格；评审得分相同的，由采购人或者采购人委托</w:t>
      </w:r>
      <w:r>
        <w:rPr>
          <w:rFonts w:ascii="宋体" w:eastAsia="宋体" w:hAnsi="宋体" w:cstheme="minorBidi" w:hint="eastAsia"/>
          <w:bCs/>
          <w:kern w:val="2"/>
          <w:sz w:val="21"/>
          <w:szCs w:val="21"/>
          <w:lang w:eastAsia="zh-CN"/>
        </w:rPr>
        <w:t>评审委员会</w:t>
      </w:r>
      <w:r>
        <w:rPr>
          <w:rFonts w:ascii="宋体" w:eastAsia="宋体" w:hAnsi="宋体" w:cstheme="minorBidi" w:hint="eastAsia"/>
          <w:bCs/>
          <w:kern w:val="2"/>
          <w:sz w:val="21"/>
          <w:szCs w:val="22"/>
          <w:lang w:eastAsia="zh-CN"/>
        </w:rPr>
        <w:t>按照征集文件规定的方式确定一个供应商获得中标（成交）人推荐资格，征集文件未规定的采取随机抽取方式确定，其他同品牌供应商不作为中标（成交）候选人。</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32.3.3非单一产品采购项目，采购人应当根据采购项目技术构成、产品价格比重等合理确定核心产品，并在征集文件中载明。多家供应商提供的核心产品品牌相同的，按前两款规定处理。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32.4供应商投标（响应）文件作无效处理的情形，具体包括但不限于以下：</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32.4.1</w:t>
      </w:r>
      <w:r>
        <w:rPr>
          <w:rFonts w:ascii="Calibri" w:eastAsia="宋体" w:hAnsi="Calibri" w:cstheme="minorBidi" w:hint="eastAsia"/>
          <w:kern w:val="2"/>
          <w:sz w:val="21"/>
          <w:szCs w:val="22"/>
          <w:lang w:eastAsia="zh-CN"/>
        </w:rPr>
        <w:t>不同供应商的投标（响应）文件由同一单位或者同一个人编制，或者由同一个人分阶段参与编制；</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2"/>
          <w:lang w:eastAsia="zh-CN"/>
        </w:rPr>
        <w:t>32.4.</w:t>
      </w:r>
      <w:r>
        <w:rPr>
          <w:rFonts w:ascii="宋体" w:eastAsia="宋体" w:hAnsi="宋体" w:cstheme="minorBidi" w:hint="eastAsia"/>
          <w:kern w:val="2"/>
          <w:sz w:val="21"/>
          <w:szCs w:val="22"/>
          <w:lang w:eastAsia="zh-CN"/>
        </w:rPr>
        <w:t>2</w:t>
      </w:r>
      <w:r>
        <w:rPr>
          <w:rFonts w:ascii="Calibri" w:eastAsia="宋体" w:hAnsi="Calibri" w:cstheme="minorBidi" w:hint="eastAsia"/>
          <w:kern w:val="2"/>
          <w:sz w:val="21"/>
          <w:szCs w:val="22"/>
          <w:lang w:eastAsia="zh-CN"/>
        </w:rPr>
        <w:t>不同供应商委托同一单位或者个人办理应答事宜；</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32.4.3不同供应商的投标（响应）文件载明的项目管理成员或者联系人员为同一人；</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32.4.4不同供应商的投标（响应）文件异常一致或者应答报价呈规律性差异；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32.4.5</w:t>
      </w:r>
      <w:r>
        <w:rPr>
          <w:rFonts w:ascii="宋体" w:eastAsia="宋体" w:hAnsi="宋体" w:cstheme="minorBidi"/>
          <w:kern w:val="2"/>
          <w:sz w:val="21"/>
          <w:szCs w:val="22"/>
          <w:lang w:eastAsia="zh-CN"/>
        </w:rPr>
        <w:t>不同供应商的</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或部分</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相互混装</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32.4.6供应商之间相互约定给予未中标（成交）的供应商利益补偿；</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32.4.7不同投标（响应）供应商的法定代表人、主要经营负责人、项目应答授权代表人、项目负责人、主要技术人员为同一人、属同一单位或者同一单位缴纳社会保险；</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32.4.8不同供应商的投标（响应）文件内容存在非正常一致；</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32.4.9在同一单位工作人员为两家以上（含两家）供应商进行同一项应答活动；</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32.4.10主管部门依照法律、法规认定的其他情形。</w:t>
      </w:r>
    </w:p>
    <w:p>
      <w:pPr>
        <w:widowControl w:val="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32.5对不属于《资格性审查表》和《符合性审查表》所列的其他情形，除专用条款另有规定和32.4条款所列情形外，不得作为应答无效的理由。</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33．澄清有关问题</w:t>
      </w:r>
    </w:p>
    <w:p>
      <w:pPr>
        <w:widowControl w:val="0"/>
        <w:ind w:firstLine="412" w:firstLineChars="196"/>
        <w:jc w:val="both"/>
        <w:rPr>
          <w:rFonts w:ascii="宋体" w:eastAsia="宋体" w:hAnsi="宋体"/>
          <w:kern w:val="2"/>
          <w:sz w:val="21"/>
          <w:szCs w:val="22"/>
          <w:lang w:eastAsia="zh-CN"/>
        </w:rPr>
      </w:pPr>
      <w:bookmarkStart w:id="64" w:name="_Hlk71407321"/>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3.1</w:t>
      </w:r>
      <w:r>
        <w:rPr>
          <w:rFonts w:ascii="宋体" w:eastAsia="宋体" w:hAnsi="宋体" w:cstheme="minorBidi" w:hint="eastAsia"/>
          <w:kern w:val="2"/>
          <w:sz w:val="21"/>
          <w:szCs w:val="22"/>
          <w:lang w:eastAsia="zh-CN"/>
        </w:rPr>
        <w:t>对征集文件中描述有歧义或前后不一致的地方（不含</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2"/>
          <w:lang w:eastAsia="zh-CN"/>
        </w:rPr>
        <w:t>，评审委员会有权进行评判，但对同一条款的评判应适用于每个供应商。</w:t>
      </w:r>
      <w:bookmarkEnd w:id="64"/>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，重新组织采购活动。</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33.3</w:t>
      </w:r>
      <w:r>
        <w:rPr>
          <w:rFonts w:ascii="宋体" w:eastAsia="宋体" w:hAnsi="宋体" w:cstheme="minorBidi" w:hint="eastAsia"/>
          <w:kern w:val="2"/>
          <w:sz w:val="21"/>
          <w:szCs w:val="22"/>
          <w:lang w:eastAsia="zh-CN"/>
        </w:rPr>
        <w:t>对于投标（响应）文件中含义不明确、同类问题表述不一致或者有明显文字和计算错误的内容，评审委员会应当以书面形式要求供应商作出必要的澄清、说明或者补正。</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供应商的澄清、说明或者补正应当采用书面形式【书面形式是指文书、信件（含电子邮件）、电报、电传、传真等形式】，并加盖公章（或者由法定代表人或其授权的代表签字）。供应商的澄清、说明或者补正不得超出投标（响应）文件的范围或者改变投标（响应）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szCs w:val="22"/>
          <w:lang w:eastAsia="zh-CN"/>
        </w:rPr>
      </w:pPr>
      <w:bookmarkStart w:id="65" w:name="_Toc100052400"/>
      <w:bookmarkStart w:id="66" w:name="_Toc73518151"/>
      <w:bookmarkStart w:id="67" w:name="_Toc73521581"/>
      <w:bookmarkStart w:id="68" w:name="_Toc73517673"/>
      <w:bookmarkStart w:id="69" w:name="_Toc73521669"/>
      <w:r>
        <w:rPr>
          <w:rFonts w:ascii="黑体" w:eastAsia="黑体" w:hAnsi="宋体" w:cstheme="minorBidi" w:hint="eastAsia"/>
          <w:kern w:val="2"/>
          <w:szCs w:val="22"/>
          <w:lang w:eastAsia="zh-CN"/>
        </w:rPr>
        <w:t>34．错误的修正</w:t>
      </w:r>
      <w:bookmarkEnd w:id="65"/>
      <w:bookmarkEnd w:id="66"/>
      <w:bookmarkEnd w:id="67"/>
      <w:bookmarkEnd w:id="68"/>
      <w:bookmarkEnd w:id="69"/>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投标（响应）文件报价出现前后不一致的，除专用条款另有规定外，按照下列规定修正：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34.1投标（响应）文件中开标一览表应答报价内容与投标（响应）文件中应答报价相应内容不一致的，以开标一览表为准；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34.5同时出现两种以上不一致的，按照前款规定的顺序修正。修正后的报价按照本通用条款33条的规定，经供应商确认后产生约束力，供应商不确认的，其应答无效。</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35．投标（响应）文件的比较与评价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将参照《深圳经济特区政府采购条例》、《深圳经济特区政府采购条例实施细则》、《深圳市政府采购评标定标分离管理办法》及政府采购其他法律法规，仅对通过资格性审查和符合性审查的投标（响应）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36.1在评审过程中，评审委员会有权决定是否对本项目供应商进行实地考察或资料查验（原件）。供应商应随时做好接受实地考察或资料查验的准备。</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37.1.1最低价法</w:t>
      </w:r>
    </w:p>
    <w:p>
      <w:pPr>
        <w:widowControl w:val="0"/>
        <w:ind w:firstLine="412" w:firstLineChars="196"/>
        <w:jc w:val="both"/>
        <w:rPr>
          <w:rFonts w:ascii="ˎ̥" w:eastAsia="宋体" w:hAnsi="ˎ̥"/>
          <w:kern w:val="2"/>
          <w:sz w:val="21"/>
          <w:szCs w:val="22"/>
          <w:lang w:eastAsia="zh-CN"/>
        </w:rPr>
      </w:pPr>
      <w:bookmarkStart w:id="70" w:name="_Hlk72438142"/>
      <w:r>
        <w:rPr>
          <w:rFonts w:ascii="ˎ̥" w:eastAsia="宋体" w:hAnsi="ˎ̥" w:cstheme="minorBidi"/>
          <w:kern w:val="2"/>
          <w:sz w:val="21"/>
          <w:szCs w:val="22"/>
          <w:lang w:eastAsia="zh-CN"/>
        </w:rPr>
        <w:t>最低价法，是指</w:t>
      </w:r>
      <w:r>
        <w:rPr>
          <w:rFonts w:ascii="ˎ̥" w:eastAsia="宋体" w:hAnsi="ˎ̥" w:cstheme="minorBidi" w:hint="eastAsia"/>
          <w:kern w:val="2"/>
          <w:sz w:val="21"/>
          <w:szCs w:val="22"/>
          <w:lang w:eastAsia="zh-CN"/>
        </w:rPr>
        <w:t>完全</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实质性要求，</w:t>
      </w:r>
      <w:r>
        <w:rPr>
          <w:rFonts w:ascii="ˎ̥" w:eastAsia="宋体" w:hAnsi="ˎ̥" w:cstheme="minorBidi" w:hint="eastAsia"/>
          <w:kern w:val="2"/>
          <w:sz w:val="21"/>
          <w:szCs w:val="22"/>
          <w:lang w:eastAsia="zh-CN"/>
        </w:rPr>
        <w:t>按照报价由低到高的顺序，依据征集文件中规定的数量或者比例推荐候选中标（成交）供应商。</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12" w:firstLineChars="196"/>
        <w:jc w:val="both"/>
        <w:rPr>
          <w:rFonts w:ascii="ˎ̥" w:eastAsia="宋体" w:hAnsi="ˎ̥"/>
          <w:kern w:val="2"/>
          <w:sz w:val="21"/>
          <w:szCs w:val="22"/>
          <w:lang w:eastAsia="zh-CN"/>
        </w:rPr>
      </w:pPr>
      <w:r>
        <w:rPr>
          <w:rFonts w:ascii="ˎ̥" w:eastAsia="宋体" w:hAnsi="ˎ̥" w:cstheme="minorBidi"/>
          <w:kern w:val="2"/>
          <w:sz w:val="21"/>
          <w:szCs w:val="22"/>
          <w:lang w:eastAsia="zh-CN"/>
        </w:rPr>
        <w:t>综合评分法，是指</w:t>
      </w:r>
      <w:r>
        <w:rPr>
          <w:rFonts w:ascii="ˎ̥" w:eastAsia="宋体" w:hAnsi="ˎ̥" w:cstheme="minorBidi" w:hint="eastAsia"/>
          <w:kern w:val="2"/>
          <w:sz w:val="21"/>
          <w:szCs w:val="22"/>
          <w:lang w:eastAsia="zh-CN"/>
        </w:rPr>
        <w:t>在</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全部实质性要求</w:t>
      </w:r>
      <w:r>
        <w:rPr>
          <w:rFonts w:ascii="ˎ̥" w:eastAsia="宋体" w:hAnsi="ˎ̥" w:cstheme="minorBidi" w:hint="eastAsia"/>
          <w:kern w:val="2"/>
          <w:sz w:val="21"/>
          <w:szCs w:val="22"/>
          <w:lang w:eastAsia="zh-CN"/>
        </w:rPr>
        <w:t>的前提下</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按照征集文件中规定的各项因素进行综合评审，评审总得分排名前列的供应商，作为推荐的候选中标（成交）供应商。</w:t>
      </w:r>
      <w:bookmarkEnd w:id="70"/>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本项目采用的评审方法见本项目征集文件第一册“专用条款”的相关内容。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供应商对本条第一款情形提出质疑的，采购人或者采购代理机构可以组织原评审委员会进行重新评审，重新评审改变评审结果的，应当书面报告本级财政部门。</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评审委员会或者其成员存在下列情形导致评审结果无效的，重新组建评审委员会进行评审，并书面报告本级财政部门（项目预算主管部门）：</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37.4.3评审委员会及其成员独立评审受到非法干预的；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定标及公示</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38．定标方法</w:t>
      </w:r>
    </w:p>
    <w:p>
      <w:pPr>
        <w:widowControl w:val="0"/>
        <w:ind w:firstLine="412" w:firstLineChars="196"/>
        <w:jc w:val="both"/>
        <w:rPr>
          <w:rFonts w:ascii="宋体" w:eastAsia="宋体" w:hAnsi="宋体"/>
          <w:kern w:val="2"/>
          <w:sz w:val="21"/>
          <w:szCs w:val="21"/>
          <w:lang w:eastAsia="zh-CN"/>
        </w:rPr>
      </w:pPr>
      <w:bookmarkStart w:id="71" w:name="_Hlk73782795"/>
      <w:r>
        <w:rPr>
          <w:rFonts w:ascii="宋体" w:eastAsia="宋体" w:hAnsi="宋体" w:cstheme="minorBidi"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1.1评审委员会依据本项目征集文件所约定的评审方法进行评审和比较，向政府集中采购机构提交书面评审报告，并根据评审方法比较评价结果从优到劣进行排序，确定候选中标（成交）供应商。</w:t>
      </w:r>
    </w:p>
    <w:p>
      <w:pPr>
        <w:widowControl w:val="0"/>
        <w:ind w:firstLine="412" w:firstLineChars="196"/>
        <w:jc w:val="both"/>
        <w:rPr>
          <w:rFonts w:ascii="ˎ̥" w:eastAsia="宋体" w:hAnsi="ˎ̥"/>
          <w:kern w:val="2"/>
          <w:sz w:val="21"/>
          <w:szCs w:val="22"/>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2"/>
          <w:lang w:eastAsia="zh-CN"/>
        </w:rPr>
        <w:t>采用最低价法的，评</w:t>
      </w:r>
      <w:r>
        <w:rPr>
          <w:rFonts w:ascii="ˎ̥" w:eastAsia="宋体" w:hAnsi="ˎ̥" w:cstheme="minorBidi" w:hint="eastAsia"/>
          <w:kern w:val="2"/>
          <w:sz w:val="21"/>
          <w:szCs w:val="22"/>
          <w:lang w:eastAsia="zh-CN"/>
        </w:rPr>
        <w:t>审</w:t>
      </w:r>
      <w:r>
        <w:rPr>
          <w:rFonts w:ascii="ˎ̥" w:eastAsia="宋体" w:hAnsi="ˎ̥" w:cstheme="minorBidi"/>
          <w:kern w:val="2"/>
          <w:sz w:val="21"/>
          <w:szCs w:val="22"/>
          <w:lang w:eastAsia="zh-CN"/>
        </w:rPr>
        <w:t>结果按</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报价由低到高顺序排列。</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报价相同的并列。</w:t>
      </w:r>
      <w:r>
        <w:rPr>
          <w:rFonts w:ascii="ˎ̥" w:eastAsia="宋体" w:hAnsi="ˎ̥" w:cstheme="minorBidi" w:hint="eastAsia"/>
          <w:kern w:val="2"/>
          <w:sz w:val="21"/>
          <w:szCs w:val="22"/>
          <w:lang w:eastAsia="zh-CN"/>
        </w:rPr>
        <w:t>投标（响应）文件</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全部实质性要求且</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报价最低的</w:t>
      </w:r>
      <w:r>
        <w:rPr>
          <w:rFonts w:ascii="ˎ̥" w:eastAsia="宋体" w:hAnsi="ˎ̥" w:cstheme="minorBidi" w:hint="eastAsia"/>
          <w:kern w:val="2"/>
          <w:sz w:val="21"/>
          <w:szCs w:val="22"/>
          <w:lang w:eastAsia="zh-CN"/>
        </w:rPr>
        <w:t>供应商为</w:t>
      </w:r>
      <w:bookmarkStart w:id="72" w:name="_Hlk73821177"/>
      <w:r>
        <w:rPr>
          <w:rFonts w:ascii="ˎ̥" w:eastAsia="宋体" w:hAnsi="ˎ̥" w:cstheme="minorBidi" w:hint="eastAsia"/>
          <w:kern w:val="2"/>
          <w:sz w:val="21"/>
          <w:szCs w:val="22"/>
          <w:lang w:eastAsia="zh-CN"/>
        </w:rPr>
        <w:t>唯一候选中标（成交）供应商</w:t>
      </w:r>
      <w:bookmarkEnd w:id="72"/>
      <w:r>
        <w:rPr>
          <w:rFonts w:ascii="ˎ̥" w:eastAsia="宋体" w:hAnsi="ˎ̥" w:cstheme="minorBidi"/>
          <w:kern w:val="2"/>
          <w:sz w:val="21"/>
          <w:szCs w:val="22"/>
          <w:lang w:eastAsia="zh-CN"/>
        </w:rPr>
        <w:t>。</w:t>
      </w:r>
    </w:p>
    <w:p>
      <w:pPr>
        <w:widowControl w:val="0"/>
        <w:ind w:firstLine="412" w:firstLineChars="196"/>
        <w:jc w:val="both"/>
        <w:rPr>
          <w:rFonts w:ascii="ˎ̥" w:eastAsia="宋体" w:hAnsi="ˎ̥"/>
          <w:kern w:val="2"/>
          <w:sz w:val="21"/>
          <w:szCs w:val="22"/>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2"/>
          <w:lang w:eastAsia="zh-CN"/>
        </w:rPr>
        <w:t>用综合评分法的，</w:t>
      </w:r>
      <w:r>
        <w:rPr>
          <w:rFonts w:ascii="ˎ̥" w:eastAsia="宋体" w:hAnsi="ˎ̥" w:cstheme="minorBidi" w:hint="eastAsia"/>
          <w:kern w:val="2"/>
          <w:sz w:val="21"/>
          <w:szCs w:val="22"/>
          <w:lang w:eastAsia="zh-CN"/>
        </w:rPr>
        <w:t>评审</w:t>
      </w:r>
      <w:r>
        <w:rPr>
          <w:rFonts w:ascii="ˎ̥" w:eastAsia="宋体" w:hAnsi="ˎ̥" w:cstheme="minorBidi"/>
          <w:kern w:val="2"/>
          <w:sz w:val="21"/>
          <w:szCs w:val="22"/>
          <w:lang w:eastAsia="zh-CN"/>
        </w:rPr>
        <w:t>结果按评审后得分由高到低顺序排列。得分相同的，按</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报价由低到高顺序排列。得分且</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报价相同的并列。</w:t>
      </w:r>
      <w:r>
        <w:rPr>
          <w:rFonts w:ascii="ˎ̥" w:eastAsia="宋体" w:hAnsi="ˎ̥" w:cstheme="minorBidi" w:hint="eastAsia"/>
          <w:kern w:val="2"/>
          <w:sz w:val="21"/>
          <w:szCs w:val="22"/>
          <w:lang w:eastAsia="zh-CN"/>
        </w:rPr>
        <w:t>投标（响应）文件</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全部实质性要求，且按照评审因素的量化指标评审得分最高的</w:t>
      </w:r>
      <w:r>
        <w:rPr>
          <w:rFonts w:ascii="ˎ̥" w:eastAsia="宋体" w:hAnsi="ˎ̥" w:cstheme="minorBidi" w:hint="eastAsia"/>
          <w:kern w:val="2"/>
          <w:sz w:val="21"/>
          <w:szCs w:val="22"/>
          <w:lang w:eastAsia="zh-CN"/>
        </w:rPr>
        <w:t>供应商为唯一候选中标（成交）供应商</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出现</w:t>
      </w:r>
      <w:r>
        <w:rPr>
          <w:rFonts w:ascii="ˎ̥" w:eastAsia="宋体" w:hAnsi="ˎ̥" w:cstheme="minorBidi"/>
          <w:kern w:val="2"/>
          <w:sz w:val="21"/>
          <w:szCs w:val="22"/>
          <w:lang w:eastAsia="zh-CN"/>
        </w:rPr>
        <w:t>得分且</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报价相同的并列</w:t>
      </w:r>
      <w:r>
        <w:rPr>
          <w:rFonts w:ascii="ˎ̥" w:eastAsia="宋体" w:hAnsi="ˎ̥" w:cstheme="minorBidi" w:hint="eastAsia"/>
          <w:kern w:val="2"/>
          <w:sz w:val="21"/>
          <w:szCs w:val="22"/>
          <w:lang w:eastAsia="zh-CN"/>
        </w:rPr>
        <w:t>情况时，采取随机抽取的方式确定，具体操作办法及流程由评审委员会确定（如“专用条款”中另有规定的以“专用条款”相关规定内容为准）。如唯一候选中标（成交）供应商被认定应答或中标（成交）无效，采购人应当重新开展采购活动。</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38.2.1评定分离是指在自行采购程序中，以公开征集方式执行采购，评审委员会负责对投标（响应）文件进行评审、推荐候选中标（成交）供应商并出具书面评审报告，由采购人根据评审委员会出具的评审报告从推荐的候选中标（成交）供应商中确定中标（成交）供应商。单个项目需要确定多家中标（成交）供应商的，不适用评定分离。</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1"/>
          <w:lang w:eastAsia="zh-CN"/>
        </w:rPr>
        <w:t xml:space="preserve">38.2.2 </w:t>
      </w:r>
      <w:bookmarkStart w:id="73" w:name="_Hlk71469733"/>
      <w:r>
        <w:rPr>
          <w:rFonts w:ascii="Calibri" w:eastAsia="宋体" w:hAnsi="Calibri" w:cstheme="minorBidi"/>
          <w:kern w:val="2"/>
          <w:sz w:val="21"/>
          <w:szCs w:val="22"/>
          <w:lang w:eastAsia="zh-CN"/>
        </w:rPr>
        <w:t>适用评定分离的</w:t>
      </w:r>
      <w:r>
        <w:rPr>
          <w:rFonts w:ascii="宋体" w:eastAsia="宋体" w:hAnsi="宋体" w:cstheme="minorBidi" w:hint="eastAsia"/>
          <w:kern w:val="2"/>
          <w:sz w:val="21"/>
          <w:szCs w:val="21"/>
          <w:lang w:eastAsia="zh-CN"/>
        </w:rPr>
        <w:t>自行采购</w:t>
      </w:r>
      <w:r>
        <w:rPr>
          <w:rFonts w:ascii="Calibri" w:eastAsia="宋体" w:hAnsi="Calibri" w:cstheme="minorBidi"/>
          <w:kern w:val="2"/>
          <w:sz w:val="21"/>
          <w:szCs w:val="22"/>
          <w:lang w:eastAsia="zh-CN"/>
        </w:rPr>
        <w:t>项目，采用综合评分法评</w:t>
      </w:r>
      <w:r>
        <w:rPr>
          <w:rFonts w:ascii="Calibri" w:eastAsia="宋体" w:hAnsi="Calibri" w:cstheme="minorBidi" w:hint="eastAsia"/>
          <w:kern w:val="2"/>
          <w:sz w:val="21"/>
          <w:szCs w:val="22"/>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2"/>
          <w:lang w:eastAsia="zh-CN"/>
        </w:rPr>
        <w:t>三个合格的候选</w:t>
      </w:r>
      <w:r>
        <w:rPr>
          <w:rFonts w:ascii="Calibri" w:eastAsia="宋体" w:hAnsi="Calibri" w:cstheme="minorBidi" w:hint="eastAsia"/>
          <w:kern w:val="2"/>
          <w:sz w:val="21"/>
          <w:szCs w:val="22"/>
          <w:lang w:eastAsia="zh-CN"/>
        </w:rPr>
        <w:t>中标（成交）</w:t>
      </w:r>
      <w:r>
        <w:rPr>
          <w:rFonts w:ascii="Calibri" w:eastAsia="宋体" w:hAnsi="Calibri" w:cstheme="minorBidi"/>
          <w:kern w:val="2"/>
          <w:sz w:val="21"/>
          <w:szCs w:val="22"/>
          <w:lang w:eastAsia="zh-CN"/>
        </w:rPr>
        <w:t>供应商。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38.2.3</w:t>
      </w:r>
      <w:bookmarkStart w:id="74" w:name="_Hlk71469688"/>
      <w:r>
        <w:rPr>
          <w:rFonts w:ascii="Calibri" w:eastAsia="宋体" w:hAnsi="Calibri" w:cstheme="minorBidi"/>
          <w:kern w:val="2"/>
          <w:sz w:val="21"/>
          <w:szCs w:val="22"/>
          <w:lang w:eastAsia="zh-CN"/>
        </w:rPr>
        <w:t>适用评定分离的</w:t>
      </w:r>
      <w:r>
        <w:rPr>
          <w:rFonts w:ascii="Calibri" w:eastAsia="宋体" w:hAnsi="Calibri" w:cstheme="minorBidi" w:hint="eastAsia"/>
          <w:kern w:val="2"/>
          <w:sz w:val="21"/>
          <w:szCs w:val="22"/>
          <w:lang w:eastAsia="zh-CN"/>
        </w:rPr>
        <w:t>政府采购（自行采购）</w:t>
      </w:r>
      <w:r>
        <w:rPr>
          <w:rFonts w:ascii="Calibri" w:eastAsia="宋体" w:hAnsi="Calibri" w:cstheme="minorBidi"/>
          <w:kern w:val="2"/>
          <w:sz w:val="21"/>
          <w:szCs w:val="22"/>
          <w:lang w:eastAsia="zh-CN"/>
        </w:rPr>
        <w:t>项目，</w:t>
      </w:r>
      <w:r>
        <w:rPr>
          <w:rFonts w:ascii="宋体" w:eastAsia="宋体" w:hAnsi="宋体" w:cstheme="minorBidi" w:hint="eastAsia"/>
          <w:kern w:val="2"/>
          <w:sz w:val="21"/>
          <w:szCs w:val="21"/>
          <w:lang w:eastAsia="zh-CN"/>
        </w:rPr>
        <w:t>按照自定法确定中标（成交）供应商：自定法是指采购人组织定标委员会，由定标委员会在三家候选中标（成交）供应商中确定中标（成交）供应商。</w:t>
      </w:r>
      <w:bookmarkEnd w:id="73"/>
      <w:bookmarkEnd w:id="74"/>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2"/>
          <w:lang w:eastAsia="zh-CN"/>
        </w:rPr>
        <w:t>应当自评审结束之日起两个工作日内将候选</w:t>
      </w:r>
      <w:r>
        <w:rPr>
          <w:rFonts w:ascii="Calibri" w:eastAsia="宋体" w:hAnsi="Calibri" w:cstheme="minorBidi" w:hint="eastAsia"/>
          <w:kern w:val="2"/>
          <w:sz w:val="21"/>
          <w:szCs w:val="22"/>
          <w:lang w:eastAsia="zh-CN"/>
        </w:rPr>
        <w:t>中标（成交）</w:t>
      </w:r>
      <w:r>
        <w:rPr>
          <w:rFonts w:ascii="Calibri" w:eastAsia="宋体" w:hAnsi="Calibri" w:cstheme="minorBidi"/>
          <w:kern w:val="2"/>
          <w:sz w:val="21"/>
          <w:szCs w:val="22"/>
          <w:lang w:eastAsia="zh-CN"/>
        </w:rPr>
        <w:t>供应商名单及其</w:t>
      </w:r>
      <w:r>
        <w:rPr>
          <w:rFonts w:ascii="Calibri" w:eastAsia="宋体" w:hAnsi="Calibri" w:cstheme="minorBidi" w:hint="eastAsia"/>
          <w:kern w:val="2"/>
          <w:sz w:val="21"/>
          <w:szCs w:val="22"/>
          <w:lang w:eastAsia="zh-CN"/>
        </w:rPr>
        <w:t>投标（响应）文件</w:t>
      </w:r>
      <w:r>
        <w:rPr>
          <w:rFonts w:ascii="Calibri" w:eastAsia="宋体" w:hAnsi="Calibri" w:cstheme="minorBidi"/>
          <w:kern w:val="2"/>
          <w:sz w:val="21"/>
          <w:szCs w:val="22"/>
          <w:lang w:eastAsia="zh-CN"/>
        </w:rPr>
        <w:t>、评审报告送交采购人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2"/>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2"/>
          <w:lang w:eastAsia="zh-CN"/>
        </w:rPr>
        <w:t>政府集中采购机构。具体定标程序及相关要求以参照《</w:t>
      </w:r>
      <w:r>
        <w:rPr>
          <w:rFonts w:ascii="Calibri" w:eastAsia="宋体" w:hAnsi="Calibri" w:cstheme="minorBidi"/>
          <w:kern w:val="2"/>
          <w:sz w:val="21"/>
          <w:szCs w:val="22"/>
          <w:lang w:eastAsia="zh-CN"/>
        </w:rPr>
        <w:t>深圳市财政局关于印发</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深圳市政府采购评标定标分离管理办法</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的通知</w:t>
      </w:r>
      <w:r>
        <w:rPr>
          <w:rFonts w:ascii="Calibri" w:eastAsia="宋体" w:hAnsi="Calibri" w:cstheme="minorBidi" w:hint="eastAsia"/>
          <w:kern w:val="2"/>
          <w:sz w:val="21"/>
          <w:szCs w:val="22"/>
          <w:lang w:eastAsia="zh-CN"/>
        </w:rPr>
        <w:t>》（深财规【2</w:t>
      </w:r>
      <w:r>
        <w:rPr>
          <w:rFonts w:ascii="Calibri" w:eastAsia="宋体" w:hAnsi="Calibri" w:cstheme="minorBidi"/>
          <w:kern w:val="2"/>
          <w:sz w:val="21"/>
          <w:szCs w:val="22"/>
          <w:lang w:eastAsia="zh-CN"/>
        </w:rPr>
        <w:t>020</w:t>
      </w:r>
      <w:r>
        <w:rPr>
          <w:rFonts w:ascii="Calibri" w:eastAsia="宋体" w:hAnsi="Calibri" w:cstheme="minorBidi" w:hint="eastAsia"/>
          <w:kern w:val="2"/>
          <w:sz w:val="21"/>
          <w:szCs w:val="22"/>
          <w:lang w:eastAsia="zh-CN"/>
        </w:rPr>
        <w:t>】1号）执行。</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说明：采购人及投标（响应）供应商应按照上述方法提前做好相关准备。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71"/>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报告是评审委员会根据全体评审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40．中标（成交）公告</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40.1</w:t>
      </w:r>
      <w:bookmarkStart w:id="75"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为体现“公开、公平、公正”的原则，评审结束后经采购人确认（确定）评审结果，政府集中采购机构将在</w:t>
      </w:r>
      <w:r>
        <w:rPr>
          <w:rFonts w:ascii="宋体" w:eastAsia="宋体" w:hAnsi="宋体" w:cstheme="minorBidi" w:hint="eastAsia"/>
          <w:b/>
          <w:bCs/>
          <w:kern w:val="2"/>
          <w:sz w:val="21"/>
          <w:szCs w:val="21"/>
          <w:lang w:eastAsia="zh-CN"/>
        </w:rPr>
        <w:t>深圳交易集团官网（http://www.szexgrp.com）</w:t>
      </w:r>
      <w:r>
        <w:rPr>
          <w:rFonts w:ascii="宋体" w:eastAsia="宋体" w:hAnsi="宋体" w:cstheme="minorBidi" w:hint="eastAsia"/>
          <w:kern w:val="2"/>
          <w:sz w:val="21"/>
          <w:szCs w:val="21"/>
          <w:lang w:eastAsia="zh-CN"/>
        </w:rPr>
        <w:t>上发布中标（成交）结果公告。</w:t>
      </w:r>
      <w:bookmarkEnd w:id="75"/>
      <w:bookmarkStart w:id="76" w:name="_Hlk72438751"/>
      <w:r>
        <w:rPr>
          <w:rFonts w:ascii="宋体" w:eastAsia="宋体" w:hAnsi="宋体" w:cstheme="minorBidi" w:hint="eastAsia"/>
          <w:kern w:val="2"/>
          <w:sz w:val="21"/>
          <w:szCs w:val="21"/>
          <w:lang w:eastAsia="zh-CN"/>
        </w:rPr>
        <w:t>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提出。 监督电话：0755-83948143。</w:t>
      </w:r>
      <w:r>
        <w:rPr>
          <w:rFonts w:ascii="宋体" w:eastAsia="宋体" w:hAnsi="宋体" w:cstheme="minorBidi" w:hint="eastAsia"/>
          <w:kern w:val="2"/>
          <w:sz w:val="21"/>
          <w:szCs w:val="21"/>
          <w:lang w:eastAsia="zh-CN"/>
        </w:rPr>
        <w:t>若在公示期内未提出质疑，则视为认同该评审结果。</w:t>
      </w:r>
    </w:p>
    <w:bookmarkEnd w:id="76"/>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41．中标（成交）通知书</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77" w:name="_Hlk72438863"/>
      <w:r>
        <w:rPr>
          <w:rFonts w:ascii="宋体" w:eastAsia="宋体" w:hAnsi="宋体" w:cstheme="minorBidi" w:hint="eastAsia"/>
          <w:kern w:val="2"/>
          <w:sz w:val="21"/>
          <w:szCs w:val="21"/>
          <w:lang w:eastAsia="zh-CN"/>
        </w:rPr>
        <w:t>中标（成交）公告公布以后无异常的情况下,中标（成交）供应商和采购人可自行在</w:t>
      </w:r>
      <w:r>
        <w:rPr>
          <w:rFonts w:ascii="宋体" w:eastAsia="宋体" w:hAnsi="宋体" w:cstheme="minorBidi" w:hint="eastAsia"/>
          <w:b/>
          <w:bCs/>
          <w:kern w:val="2"/>
          <w:sz w:val="21"/>
          <w:szCs w:val="21"/>
          <w:lang w:eastAsia="zh-CN"/>
        </w:rPr>
        <w:t>“深圳自行采购系统（http://trade.szggzy.com/）”</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《数字中标（成交）通知书》</w:t>
      </w:r>
      <w:r>
        <w:rPr>
          <w:rFonts w:ascii="宋体" w:eastAsia="宋体" w:hAnsi="宋体" w:cstheme="minorBidi" w:hint="eastAsia"/>
          <w:kern w:val="2"/>
          <w:sz w:val="21"/>
          <w:szCs w:val="21"/>
          <w:lang w:eastAsia="zh-CN"/>
        </w:rPr>
        <w:t>。</w:t>
      </w:r>
      <w:bookmarkEnd w:id="77"/>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中标（成交）通知书是合同的重要组成部分。</w:t>
      </w:r>
    </w:p>
    <w:p>
      <w:pPr>
        <w:widowControl w:val="0"/>
        <w:ind w:firstLine="412" w:firstLineChars="196"/>
        <w:jc w:val="both"/>
        <w:rPr>
          <w:rFonts w:ascii="宋体" w:eastAsia="宋体" w:hAnsi="宋体"/>
          <w:kern w:val="2"/>
          <w:sz w:val="21"/>
          <w:szCs w:val="21"/>
          <w:lang w:eastAsia="zh-CN"/>
        </w:rPr>
      </w:pPr>
      <w:bookmarkStart w:id="78" w:name="_Hlk71407340"/>
      <w:r>
        <w:rPr>
          <w:rFonts w:ascii="宋体" w:eastAsia="宋体" w:hAnsi="宋体" w:cstheme="minorBidi" w:hint="eastAsia"/>
          <w:kern w:val="2"/>
          <w:sz w:val="21"/>
          <w:szCs w:val="21"/>
          <w:lang w:eastAsia="zh-CN"/>
        </w:rPr>
        <w:t>41.3因质疑投诉或其它原因导致项目结果变更或采购终止的，政府集中采购机构有权吊销中标（成交）通知书。</w:t>
      </w:r>
    </w:p>
    <w:bookmarkEnd w:id="78"/>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公开征集失败的后续处理</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42．公开征集失败的处理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42.1本项目公开征集过程中若由于应答截止后</w:t>
      </w:r>
      <w:r>
        <w:rPr>
          <w:rFonts w:ascii="宋体" w:eastAsia="宋体" w:hAnsi="宋体" w:cstheme="minorBidi" w:hint="eastAsia"/>
          <w:kern w:val="2"/>
          <w:sz w:val="21"/>
          <w:szCs w:val="22"/>
          <w:lang w:eastAsia="zh-CN"/>
        </w:rPr>
        <w:t>实际递交投标（响应）文件的供应商数量不足、经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评审对征集文件作实质响应的供应商不足等原因造成公开征集失败，可由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42.2对公开征集失败的项目，评审委员会在出具该项目招标失败结论的同时，可以提出重新采购组织形式的建议，以及进一步完善征集文件的资格、技术、商务要求的修改建议。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（1）由政府集中采购机构重新组织公开征集；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（2）根据实际情况需要向本项目预算主管部门提出非公开征集方式申请，经本项目预算主管部门批准，公开征集失败采购项目可转为邀请竞标或询价或直接确定供应商。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42.4公开征集失败的采购项目重新组织公开征集，由政府集中采购机构重新按公开征集流程组织采购活动。</w:t>
      </w:r>
    </w:p>
    <w:p>
      <w:pPr>
        <w:widowControl w:val="0"/>
        <w:jc w:val="both"/>
        <w:rPr>
          <w:rFonts w:ascii="宋体" w:eastAsia="宋体" w:hAnsi="宋体"/>
          <w:kern w:val="2"/>
          <w:sz w:val="21"/>
          <w:szCs w:val="22"/>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2"/>
          <w:lang w:eastAsia="zh-CN"/>
        </w:rPr>
        <w:t>42.5公开征集失败的采购项目经本项目预算主管部门批准转为邀请竞标或询价或直接确定供应商，按规定要求组织</w:t>
      </w:r>
      <w:r>
        <w:rPr>
          <w:rFonts w:ascii="宋体" w:eastAsia="宋体" w:hAnsi="宋体" w:cstheme="minorBidi" w:hint="eastAsia"/>
          <w:kern w:val="2"/>
          <w:sz w:val="21"/>
          <w:szCs w:val="21"/>
          <w:lang w:eastAsia="zh-CN"/>
        </w:rPr>
        <w:t>自行采购</w:t>
      </w:r>
      <w:r>
        <w:rPr>
          <w:rFonts w:ascii="宋体" w:eastAsia="宋体" w:hAnsi="宋体" w:cstheme="minorBidi" w:hint="eastAsia"/>
          <w:kern w:val="2"/>
          <w:sz w:val="21"/>
          <w:szCs w:val="22"/>
          <w:lang w:eastAsia="zh-CN"/>
        </w:rPr>
        <w:t>工作。</w:t>
      </w:r>
    </w:p>
    <w:p>
      <w:pPr>
        <w:widowControl w:val="0"/>
        <w:jc w:val="both"/>
        <w:rPr>
          <w:rFonts w:ascii="黑体" w:eastAsia="黑体" w:hAnsi="宋体"/>
          <w:kern w:val="2"/>
          <w:szCs w:val="22"/>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bookmarkStart w:id="79" w:name="_Hlk72439043"/>
      <w:r>
        <w:rPr>
          <w:rFonts w:ascii="Cambria" w:eastAsia="宋体" w:hAnsi="Cambria" w:cstheme="majorBidi" w:hint="eastAsia"/>
          <w:kern w:val="2"/>
          <w:sz w:val="28"/>
          <w:szCs w:val="28"/>
          <w:lang w:eastAsia="zh-CN"/>
        </w:rPr>
        <w:t>合同的授予与备案</w:t>
      </w:r>
      <w:bookmarkEnd w:id="79"/>
    </w:p>
    <w:p>
      <w:pPr>
        <w:widowControl w:val="0"/>
        <w:jc w:val="both"/>
        <w:rPr>
          <w:rFonts w:ascii="黑体" w:eastAsia="黑体" w:hAnsi="宋体"/>
          <w:kern w:val="2"/>
          <w:szCs w:val="22"/>
          <w:lang w:eastAsia="zh-CN"/>
        </w:rPr>
      </w:pPr>
      <w:bookmarkStart w:id="80" w:name="_Toc100052408"/>
      <w:bookmarkStart w:id="81" w:name="_Toc73518157"/>
      <w:bookmarkStart w:id="82" w:name="_Toc73521586"/>
      <w:bookmarkStart w:id="83" w:name="_Toc73517679"/>
      <w:bookmarkStart w:id="84" w:name="_Toc73521674"/>
      <w:bookmarkStart w:id="85" w:name="_Hlk72439088"/>
      <w:r>
        <w:rPr>
          <w:rFonts w:ascii="黑体" w:eastAsia="黑体" w:hAnsi="宋体" w:cstheme="minorBidi" w:hint="eastAsia"/>
          <w:kern w:val="2"/>
          <w:szCs w:val="22"/>
          <w:lang w:eastAsia="zh-CN"/>
        </w:rPr>
        <w:t>43．合同授予标准</w:t>
      </w:r>
      <w:bookmarkEnd w:id="80"/>
      <w:bookmarkEnd w:id="81"/>
      <w:bookmarkEnd w:id="82"/>
      <w:bookmarkEnd w:id="83"/>
      <w:bookmarkEnd w:id="84"/>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本项目的合同将授予经本征集文件规定评审确定的中标（成交）供应商。</w:t>
      </w:r>
    </w:p>
    <w:p>
      <w:pPr>
        <w:widowControl w:val="0"/>
        <w:jc w:val="both"/>
        <w:rPr>
          <w:rFonts w:ascii="黑体" w:eastAsia="黑体" w:hAnsi="宋体"/>
          <w:kern w:val="2"/>
          <w:szCs w:val="22"/>
          <w:lang w:eastAsia="zh-CN"/>
        </w:rPr>
      </w:pPr>
      <w:bookmarkStart w:id="86" w:name="_Toc100052409"/>
      <w:bookmarkStart w:id="87" w:name="_Toc73517680"/>
      <w:bookmarkStart w:id="88" w:name="_Toc73521675"/>
      <w:bookmarkStart w:id="89" w:name="_Toc73521587"/>
      <w:bookmarkStart w:id="90" w:name="_Toc73518158"/>
      <w:r>
        <w:rPr>
          <w:rFonts w:ascii="黑体" w:eastAsia="黑体" w:hAnsi="宋体" w:cstheme="minorBidi" w:hint="eastAsia"/>
          <w:kern w:val="2"/>
          <w:szCs w:val="22"/>
          <w:lang w:eastAsia="zh-CN"/>
        </w:rPr>
        <w:t>44．</w:t>
      </w:r>
      <w:bookmarkEnd w:id="86"/>
      <w:bookmarkEnd w:id="87"/>
      <w:bookmarkEnd w:id="88"/>
      <w:bookmarkEnd w:id="89"/>
      <w:bookmarkEnd w:id="90"/>
      <w:r>
        <w:rPr>
          <w:rFonts w:ascii="黑体" w:eastAsia="黑体" w:hAnsi="宋体" w:cstheme="minorBidi" w:hint="eastAsia"/>
          <w:kern w:val="2"/>
          <w:szCs w:val="22"/>
          <w:lang w:eastAsia="zh-CN"/>
        </w:rPr>
        <w:t>接受和拒绝任何或所有应答的权力</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政府集中采购机构和采购人保留在应答之前任何时候接受或拒绝任何应答或所有应答，以及宣布招标无效的权力，对受影响的供应商不承担任何责任，也无义务向受影响的供应商解释采取这一行动的理由。</w:t>
      </w:r>
    </w:p>
    <w:p>
      <w:pPr>
        <w:widowControl w:val="0"/>
        <w:jc w:val="both"/>
        <w:rPr>
          <w:rFonts w:ascii="黑体" w:eastAsia="黑体" w:hAnsi="宋体"/>
          <w:kern w:val="2"/>
          <w:szCs w:val="22"/>
          <w:lang w:eastAsia="zh-CN"/>
        </w:rPr>
      </w:pPr>
      <w:bookmarkStart w:id="91" w:name="_Toc73521589"/>
      <w:bookmarkStart w:id="92" w:name="_Toc73517682"/>
      <w:bookmarkStart w:id="93" w:name="_Toc73521677"/>
      <w:bookmarkStart w:id="94" w:name="_Toc100052410"/>
      <w:bookmarkStart w:id="95" w:name="_Toc73518160"/>
      <w:r>
        <w:rPr>
          <w:rFonts w:ascii="黑体" w:eastAsia="黑体" w:hAnsi="宋体" w:cstheme="minorBidi" w:hint="eastAsia"/>
          <w:kern w:val="2"/>
          <w:szCs w:val="22"/>
          <w:lang w:eastAsia="zh-CN"/>
        </w:rPr>
        <w:t>45．合同的签订</w:t>
      </w:r>
      <w:bookmarkEnd w:id="91"/>
      <w:bookmarkEnd w:id="92"/>
      <w:bookmarkEnd w:id="93"/>
      <w:bookmarkEnd w:id="94"/>
      <w:bookmarkEnd w:id="95"/>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45.1中标（成交）人将于中标（成交）通知书发出之日起十个工作日内，按照采购文件（征集文件和投标（响应）文件等）内容与采购人签订合同；合同的实质性内容应当符合征集文件的规定；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45.2中标（成交）人如不按本通用条款第45</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45.3中标（成交）人应当按照合同约定履行义务，完成中标（成交）项目，不得将中标（成交）项目转让（转包）给他人。</w:t>
      </w:r>
    </w:p>
    <w:p>
      <w:pPr>
        <w:widowControl w:val="0"/>
        <w:jc w:val="both"/>
        <w:rPr>
          <w:rFonts w:ascii="黑体" w:eastAsia="黑体" w:hAnsi="宋体"/>
          <w:kern w:val="2"/>
          <w:szCs w:val="22"/>
          <w:lang w:eastAsia="zh-CN"/>
        </w:rPr>
      </w:pPr>
      <w:bookmarkStart w:id="96" w:name="_Toc73517683"/>
      <w:bookmarkStart w:id="97" w:name="_Toc73518161"/>
      <w:bookmarkStart w:id="98" w:name="_Toc73521590"/>
      <w:bookmarkStart w:id="99" w:name="_Toc100052411"/>
      <w:bookmarkStart w:id="100" w:name="_Toc73521678"/>
      <w:r>
        <w:rPr>
          <w:rFonts w:ascii="黑体" w:eastAsia="黑体" w:hAnsi="宋体" w:cstheme="minorBidi" w:hint="eastAsia"/>
          <w:kern w:val="2"/>
          <w:szCs w:val="22"/>
          <w:lang w:eastAsia="zh-CN"/>
        </w:rPr>
        <w:t>46．履约担保</w:t>
      </w:r>
      <w:bookmarkEnd w:id="96"/>
      <w:bookmarkEnd w:id="97"/>
      <w:bookmarkEnd w:id="98"/>
      <w:bookmarkEnd w:id="99"/>
      <w:bookmarkEnd w:id="100"/>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46.1在签订项目合同的同时，中标（成交）人应按“对通用条款的补充内容”中规定的金额向采购人提交履约担保；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hint="eastAsia"/>
          <w:kern w:val="2"/>
          <w:sz w:val="21"/>
          <w:szCs w:val="22"/>
          <w:lang w:eastAsia="zh-CN"/>
        </w:rPr>
        <w:t>中标（成交）人</w:t>
      </w:r>
      <w:r>
        <w:rPr>
          <w:rFonts w:ascii="Calibri" w:eastAsia="宋体" w:hAnsi="Calibri" w:cstheme="minorBidi"/>
          <w:kern w:val="2"/>
          <w:sz w:val="21"/>
          <w:szCs w:val="22"/>
          <w:lang w:eastAsia="zh-CN"/>
        </w:rPr>
        <w:t>提交履约</w:t>
      </w:r>
      <w:r>
        <w:rPr>
          <w:rFonts w:ascii="Calibri" w:eastAsia="宋体" w:hAnsi="Calibri" w:cstheme="minorBidi" w:hint="eastAsia"/>
          <w:kern w:val="2"/>
          <w:sz w:val="21"/>
          <w:szCs w:val="22"/>
          <w:lang w:eastAsia="zh-CN"/>
        </w:rPr>
        <w:t>担保不是</w:t>
      </w:r>
      <w:r>
        <w:rPr>
          <w:rFonts w:ascii="Calibri" w:eastAsia="宋体" w:hAnsi="Calibri" w:cstheme="minorBidi"/>
          <w:kern w:val="2"/>
          <w:sz w:val="21"/>
          <w:szCs w:val="22"/>
          <w:lang w:eastAsia="zh-CN"/>
        </w:rPr>
        <w:t>合同签订的</w:t>
      </w:r>
      <w:r>
        <w:rPr>
          <w:rFonts w:ascii="Calibri" w:eastAsia="宋体" w:hAnsi="Calibri" w:cstheme="minorBidi" w:hint="eastAsia"/>
          <w:kern w:val="2"/>
          <w:sz w:val="21"/>
          <w:szCs w:val="22"/>
          <w:lang w:eastAsia="zh-CN"/>
        </w:rPr>
        <w:t>前提</w:t>
      </w:r>
      <w:r>
        <w:rPr>
          <w:rFonts w:ascii="Calibri" w:eastAsia="宋体" w:hAnsi="Calibri" w:cstheme="minorBidi"/>
          <w:kern w:val="2"/>
          <w:sz w:val="21"/>
          <w:szCs w:val="22"/>
          <w:lang w:eastAsia="zh-CN"/>
        </w:rPr>
        <w:t>条件，不要求</w:t>
      </w:r>
      <w:r>
        <w:rPr>
          <w:rFonts w:ascii="Calibri" w:eastAsia="宋体" w:hAnsi="Calibri" w:cstheme="minorBidi" w:hint="eastAsia"/>
          <w:kern w:val="2"/>
          <w:sz w:val="21"/>
          <w:szCs w:val="22"/>
          <w:lang w:eastAsia="zh-CN"/>
        </w:rPr>
        <w:t>中标（成交）人</w:t>
      </w:r>
      <w:r>
        <w:rPr>
          <w:rFonts w:ascii="Calibri" w:eastAsia="宋体" w:hAnsi="Calibri" w:cstheme="minorBidi"/>
          <w:kern w:val="2"/>
          <w:sz w:val="21"/>
          <w:szCs w:val="22"/>
          <w:lang w:eastAsia="zh-CN"/>
        </w:rPr>
        <w:t>提供除法律、法规明确规定外的其他担保</w:t>
      </w:r>
      <w:r>
        <w:rPr>
          <w:rFonts w:ascii="Calibri" w:eastAsia="宋体" w:hAnsi="Calibri" w:cstheme="minorBidi" w:hint="eastAsia"/>
          <w:kern w:val="2"/>
          <w:sz w:val="21"/>
          <w:szCs w:val="22"/>
          <w:lang w:eastAsia="zh-CN"/>
        </w:rPr>
        <w:t>。</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47. 合同备案</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w:t>
      </w:r>
      <w:r>
        <w:rPr>
          <w:rFonts w:ascii="宋体" w:eastAsia="宋体" w:hAnsi="宋体" w:hint="eastAsia"/>
          <w:kern w:val="2"/>
          <w:sz w:val="21"/>
          <w:szCs w:val="21"/>
          <w:lang w:eastAsia="zh-CN"/>
        </w:rPr>
        <w:t>中标（成交）</w:t>
      </w:r>
      <w:r>
        <w:rPr>
          <w:rFonts w:ascii="宋体" w:eastAsia="宋体" w:hAnsi="宋体" w:hint="eastAsia"/>
          <w:kern w:val="2"/>
          <w:sz w:val="21"/>
          <w:szCs w:val="21"/>
          <w:lang w:eastAsia="zh-Hans"/>
        </w:rPr>
        <w:t>供应商自中标通知书发出之日起10个工作日内签订合同，</w:t>
      </w:r>
      <w:r>
        <w:rPr>
          <w:rFonts w:ascii="宋体" w:eastAsia="宋体" w:hAnsi="宋体" w:hint="eastAsia"/>
          <w:kern w:val="2"/>
          <w:sz w:val="21"/>
          <w:szCs w:val="21"/>
          <w:lang w:eastAsia="zh-CN"/>
        </w:rPr>
        <w:t>并按财政部门或预算主管部门的规定提交备案。</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48. 合同变更</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合同变更事宜按《深圳市财政局关于优化政府采购合同备案的通知》（深财发保〔2022〕2号）相关规定执行。</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49. 项目验收</w:t>
      </w:r>
    </w:p>
    <w:p>
      <w:pPr>
        <w:widowControl/>
        <w:ind w:right="176" w:firstLine="42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49.1采购人应当按照征集文件和合同规定的标准和方法，及时组织验收。</w:t>
      </w:r>
      <w:r>
        <w:rPr>
          <w:rFonts w:ascii="宋体" w:eastAsia="宋体" w:hAnsi="宋体" w:cstheme="minorBidi"/>
          <w:kern w:val="2"/>
          <w:sz w:val="21"/>
          <w:szCs w:val="22"/>
          <w:lang w:eastAsia="zh-CN"/>
        </w:rPr>
        <w:t xml:space="preserve"> </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50. 宣传</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凡与政府采购（自行采购）活动有关的宣传或广告，若当中提及政府采购（自行采购），</w:t>
      </w:r>
      <w:r>
        <w:rPr>
          <w:rFonts w:ascii="宋体" w:eastAsia="宋体" w:hAnsi="宋体" w:cstheme="minorBidi"/>
          <w:kern w:val="2"/>
          <w:sz w:val="21"/>
          <w:szCs w:val="22"/>
          <w:lang w:eastAsia="zh-CN"/>
        </w:rPr>
        <w:t>必须事先将具体对外宣传方案报</w:t>
      </w:r>
      <w:r>
        <w:rPr>
          <w:rFonts w:ascii="宋体" w:eastAsia="宋体" w:hAnsi="宋体" w:cstheme="minorBidi" w:hint="eastAsia"/>
          <w:kern w:val="2"/>
          <w:sz w:val="21"/>
          <w:szCs w:val="22"/>
          <w:lang w:eastAsia="zh-CN"/>
        </w:rPr>
        <w:t>同级财政部门</w:t>
      </w:r>
      <w:r>
        <w:rPr>
          <w:rFonts w:ascii="宋体" w:eastAsia="宋体" w:hAnsi="宋体" w:cstheme="minorBidi"/>
          <w:kern w:val="2"/>
          <w:sz w:val="21"/>
          <w:szCs w:val="22"/>
          <w:lang w:eastAsia="zh-CN"/>
        </w:rPr>
        <w:t>和</w:t>
      </w:r>
      <w:r>
        <w:rPr>
          <w:rFonts w:ascii="宋体" w:eastAsia="宋体" w:hAnsi="宋体" w:cstheme="minorBidi" w:hint="eastAsia"/>
          <w:kern w:val="2"/>
          <w:sz w:val="21"/>
          <w:szCs w:val="22"/>
          <w:lang w:eastAsia="zh-CN"/>
        </w:rPr>
        <w:t>政府集中采购机构</w:t>
      </w:r>
      <w:r>
        <w:rPr>
          <w:rFonts w:ascii="宋体" w:eastAsia="宋体" w:hAnsi="宋体" w:cstheme="minorBidi"/>
          <w:kern w:val="2"/>
          <w:sz w:val="21"/>
          <w:szCs w:val="22"/>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a.名片、宣传册、广告标语等；</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b.案例介绍、推广等；</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c.工作</w:t>
      </w:r>
      <w:r>
        <w:rPr>
          <w:rFonts w:ascii="宋体" w:eastAsia="宋体" w:hAnsi="宋体" w:cstheme="minorBidi"/>
          <w:kern w:val="2"/>
          <w:sz w:val="21"/>
          <w:szCs w:val="22"/>
          <w:lang w:eastAsia="zh-CN"/>
        </w:rPr>
        <w:t>人员向其他消费群体宣传。</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（5）与其他采购参加人串通应答的；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号）的要求，供应商在政府采购（自行采购）活动中出现《深圳经济特区政府采购条例实施细则》第八十条所列情形的，</w:t>
      </w:r>
      <w:bookmarkStart w:id="101"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101"/>
      <w:r>
        <w:rPr>
          <w:rFonts w:ascii="宋体" w:eastAsia="宋体" w:hAnsi="宋体" w:cstheme="minorBidi"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应答</w:t>
      </w:r>
      <w:r>
        <w:rPr>
          <w:rFonts w:ascii="宋体" w:eastAsia="宋体" w:hAnsi="宋体" w:cstheme="minorBidi"/>
          <w:kern w:val="2"/>
          <w:sz w:val="21"/>
          <w:szCs w:val="21"/>
          <w:lang w:eastAsia="zh-CN"/>
        </w:rPr>
        <w:t>截止后，撤销</w:t>
      </w:r>
      <w:r>
        <w:rPr>
          <w:rFonts w:ascii="宋体" w:eastAsia="宋体" w:hAnsi="宋体" w:cstheme="minorBidi" w:hint="eastAsia"/>
          <w:kern w:val="2"/>
          <w:sz w:val="21"/>
          <w:szCs w:val="21"/>
          <w:lang w:eastAsia="zh-CN"/>
        </w:rPr>
        <w:t>应答</w:t>
      </w:r>
      <w:r>
        <w:rPr>
          <w:rFonts w:ascii="宋体" w:eastAsia="宋体" w:hAnsi="宋体" w:cstheme="minorBidi"/>
          <w:kern w:val="2"/>
          <w:sz w:val="21"/>
          <w:szCs w:val="21"/>
          <w:lang w:eastAsia="zh-CN"/>
        </w:rPr>
        <w:t>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中标（成交）</w:t>
      </w:r>
      <w:r>
        <w:rPr>
          <w:rFonts w:ascii="宋体" w:eastAsia="宋体" w:hAnsi="宋体" w:cstheme="minorBidi"/>
          <w:kern w:val="2"/>
          <w:sz w:val="21"/>
          <w:szCs w:val="21"/>
          <w:lang w:eastAsia="zh-CN"/>
        </w:rPr>
        <w:t>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w:t>
      </w:r>
      <w:r>
        <w:rPr>
          <w:rFonts w:ascii="宋体" w:eastAsia="宋体" w:hAnsi="宋体" w:cstheme="minorBidi" w:hint="eastAsia"/>
          <w:kern w:val="2"/>
          <w:sz w:val="21"/>
          <w:szCs w:val="21"/>
          <w:lang w:eastAsia="zh-CN"/>
        </w:rPr>
        <w:t>中标（成交）</w:t>
      </w:r>
      <w:r>
        <w:rPr>
          <w:rFonts w:ascii="宋体" w:eastAsia="宋体" w:hAnsi="宋体" w:cstheme="minorBidi"/>
          <w:kern w:val="2"/>
          <w:sz w:val="21"/>
          <w:szCs w:val="21"/>
          <w:lang w:eastAsia="zh-CN"/>
        </w:rPr>
        <w:t>项目转让给他人、或者在</w:t>
      </w:r>
      <w:r>
        <w:rPr>
          <w:rFonts w:ascii="宋体" w:eastAsia="宋体" w:hAnsi="宋体" w:cstheme="minorBidi" w:hint="eastAsia"/>
          <w:kern w:val="2"/>
          <w:sz w:val="21"/>
          <w:szCs w:val="21"/>
          <w:lang w:eastAsia="zh-CN"/>
        </w:rPr>
        <w:t>投标（响应）文件</w:t>
      </w:r>
      <w:r>
        <w:rPr>
          <w:rFonts w:ascii="宋体" w:eastAsia="宋体" w:hAnsi="宋体" w:cstheme="minorBidi"/>
          <w:kern w:val="2"/>
          <w:sz w:val="21"/>
          <w:szCs w:val="21"/>
          <w:lang w:eastAsia="zh-CN"/>
        </w:rPr>
        <w:t>中未说明且未经采购人、采购招标机构同意，将</w:t>
      </w:r>
      <w:r>
        <w:rPr>
          <w:rFonts w:ascii="宋体" w:eastAsia="宋体" w:hAnsi="宋体" w:cstheme="minorBidi" w:hint="eastAsia"/>
          <w:kern w:val="2"/>
          <w:sz w:val="21"/>
          <w:szCs w:val="21"/>
          <w:lang w:eastAsia="zh-CN"/>
        </w:rPr>
        <w:t>中标（成交）</w:t>
      </w:r>
      <w:r>
        <w:rPr>
          <w:rFonts w:ascii="宋体" w:eastAsia="宋体" w:hAnsi="宋体" w:cstheme="minorBidi"/>
          <w:kern w:val="2"/>
          <w:sz w:val="21"/>
          <w:szCs w:val="21"/>
          <w:lang w:eastAsia="zh-CN"/>
        </w:rPr>
        <w:t>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bookmarkEnd w:id="85"/>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质疑处理</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参与自行采购活动的供应商认为自己的权益在采购活动中受到损害的，应当自知道或者应当知道其权益受到损害之日起七个工作日内向采购人、政府集中采购机构以书面形式提出质疑。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52.2</w:t>
      </w:r>
      <w:r>
        <w:rPr>
          <w:rFonts w:ascii="宋体" w:eastAsia="宋体" w:hAnsi="宋体" w:cstheme="minorBidi"/>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参照《中华人民共和国政府采购法》、《中华人民共和国政府采购法实施条例》、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52.3.1提出质疑的供应商应当是参与所质疑项目采购活动的供应商；</w:t>
      </w:r>
      <w:bookmarkStart w:id="102" w:name="_Hlk75374941"/>
      <w:r>
        <w:rPr>
          <w:rFonts w:ascii="宋体" w:eastAsia="宋体" w:hAnsi="宋体" w:cstheme="minorBidi" w:hint="eastAsia"/>
          <w:kern w:val="2"/>
          <w:sz w:val="21"/>
          <w:szCs w:val="21"/>
          <w:lang w:eastAsia="zh-CN"/>
        </w:rPr>
        <w:t>以联合体形式参与的，质疑应当由组成联合体的所有成员共同提出</w:t>
      </w:r>
      <w:bookmarkEnd w:id="102"/>
      <w:r>
        <w:rPr>
          <w:rFonts w:ascii="宋体" w:eastAsia="宋体" w:hAnsi="宋体" w:cstheme="minorBidi"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征集文件的质疑，为征集文件公布之日；对采购过程的质疑，为各采购程序环节结束之日；对中标（成交）结果以及评审委员会组成人员的质疑，为中标（成交）结果公示之日；</w:t>
      </w:r>
    </w:p>
    <w:p>
      <w:pPr>
        <w:widowControl w:val="0"/>
        <w:ind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地址：深圳公共资源交易中心（深圳交易集团有限公司宝安分公司）一楼服务大厅，质疑咨询电话：0755-27758331。</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对质疑答复不满意或者未在规定时间内答复的，提出质疑的供应商可以在答复期满后15个工作日内向本项目预算主管单位投诉。</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53.1供应商质疑不成立，或者成立但未对中标、成交结果构成影响的，继续开展采购活动。</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Calibri" w:eastAsia="宋体" w:hAnsi="Calibri"/>
          <w:kern w:val="2"/>
          <w:sz w:val="21"/>
          <w:szCs w:val="22"/>
          <w:lang w:eastAsia="zh-CN"/>
        </w:rPr>
      </w:pPr>
    </w:p>
    <w:p>
      <w:pPr>
        <w:widowControl w:val="0"/>
        <w:jc w:val="center"/>
        <w:rPr>
          <w:rFonts w:eastAsia="宋体"/>
          <w:kern w:val="2"/>
          <w:sz w:val="21"/>
          <w:lang w:eastAsia="zh-CN"/>
        </w:rPr>
      </w:pPr>
      <w:r>
        <w:rPr>
          <w:rFonts w:eastAsia="宋体"/>
          <w:kern w:val="2"/>
          <w:sz w:val="21"/>
          <w:lang w:eastAsia="zh-CN"/>
        </w:rPr>
        <w:t>---- END ----</w:t>
      </w:r>
      <w:bookmarkEnd w:id="48"/>
    </w:p>
    <w:p>
      <w:pPr>
        <w:widowControl w:val="0"/>
        <w:jc w:val="both"/>
        <w:rPr>
          <w:rFonts w:ascii="Calibri" w:eastAsia="宋体" w:hAnsi="Calibri"/>
          <w:b/>
          <w:color w:val="FF0000"/>
          <w:kern w:val="2"/>
          <w:sz w:val="52"/>
          <w:szCs w:val="52"/>
          <w:lang w:eastAsia="zh-CN"/>
        </w:rPr>
      </w:pPr>
    </w:p>
    <w:p>
      <w:pPr>
        <w:widowControl w:val="0"/>
        <w:jc w:val="both"/>
        <w:rPr>
          <w:rFonts w:ascii="宋体" w:eastAsia="黑体" w:hAnsi="宋体"/>
          <w:b/>
          <w:bCs/>
          <w:color w:val="0000FF"/>
          <w:kern w:val="44"/>
          <w:sz w:val="36"/>
          <w:szCs w:val="44"/>
          <w:lang w:eastAsia="zh-CN"/>
        </w:rPr>
      </w:pPr>
    </w:p>
    <w:p>
      <w:pPr>
        <w:widowControl w:val="0"/>
        <w:jc w:val="both"/>
        <w:rPr>
          <w:rFonts w:ascii="Calibri" w:eastAsia="宋体" w:hAnsi="Calibri"/>
          <w:kern w:val="2"/>
          <w:sz w:val="21"/>
          <w:szCs w:val="22"/>
          <w:lang w:eastAsia="zh-CN"/>
        </w:rPr>
        <w:sectPr>
          <w:headerReference w:type="even" r:id="rId7"/>
          <w:headerReference w:type="default" r:id="rId8"/>
          <w:footerReference w:type="even" r:id="rId9"/>
          <w:footerReference w:type="default" r:id="rId10"/>
          <w:headerReference w:type="first" r:id="rId11"/>
          <w:footerReference w:type="first" r:id="rId12"/>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仿宋" w:eastAsia="仿宋" w:hAnsi="仿宋" w:cs="仿宋"/>
          <w:b/>
          <w:bCs/>
          <w:color w:val="333333"/>
          <w:sz w:val="28"/>
          <w:szCs w:val="28"/>
          <w:lang w:val="en" w:eastAsia="en"/>
        </w:rPr>
      </w:pPr>
      <w:r>
        <w:rPr>
          <w:rFonts w:ascii="仿宋" w:eastAsia="仿宋" w:hAnsi="仿宋" w:cs="仿宋"/>
          <w:b/>
          <w:bCs/>
          <w:color w:val="333333"/>
          <w:sz w:val="28"/>
          <w:szCs w:val="28"/>
          <w:lang w:val="en" w:eastAsia="en"/>
        </w:rPr>
        <w:t>深圳市宝安区公共卫生服务中心开办新安分中心厨房设备采购项目-A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文件夹/文件名称</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投标（响应）函；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自行采购投标（响应）及履约承诺函；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投标（响应）供应商情况及资格证明文件；</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投标（响应）供应商认为需要加以说明的其他内容（公开）；</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供应商基本情况表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投标（响应）文件签署授权委托书；</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技术要求偏离表；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项目详细报价；</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项目组织实施方案；</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售后服务方案；</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政府采购节能环保产品情况；</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绿色采购情况；</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同类业绩；</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投标（响应）供应商认为需要加以说明的其他内容；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仿宋" w:eastAsia="仿宋" w:hAnsi="仿宋" w:cs="仿宋"/>
          <w:b/>
          <w:bCs/>
          <w:color w:val="333333"/>
          <w:lang w:val="en" w:eastAsia="en"/>
        </w:rPr>
        <w:sectPr>
          <w:pgMar w:top="1440" w:right="1800" w:bottom="1440" w:left="1800" w:header="708" w:footer="708" w:gutter="0"/>
          <w:cols w:num="1"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仿宋" w:eastAsia="仿宋" w:hAnsi="仿宋" w:cs="仿宋"/>
          <w:color w:val="333333"/>
          <w:lang w:val="en" w:eastAsia="en"/>
        </w:rPr>
      </w:pPr>
      <w:r>
        <w:rPr>
          <w:rFonts w:ascii="仿宋" w:eastAsia="仿宋" w:hAnsi="仿宋" w:cs="仿宋"/>
          <w:color w:val="333333"/>
          <w:lang w:val="en" w:eastAsia="en"/>
        </w:rPr>
        <w:t>标段编号：</w:t>
      </w:r>
      <w:r>
        <w:rPr>
          <w:rFonts w:ascii="微软雅黑" w:eastAsia="微软雅黑" w:hAnsi="微软雅黑" w:cs="微软雅黑"/>
          <w:color w:val="333333"/>
          <w:lang w:val="en" w:eastAsia="en"/>
        </w:rPr>
        <w:t xml:space="preserve"> </w:t>
      </w:r>
      <w:r>
        <w:rPr>
          <w:rFonts w:ascii="仿宋" w:eastAsia="仿宋" w:hAnsi="仿宋" w:cs="仿宋"/>
          <w:color w:val="333333"/>
          <w:u w:val="single" w:color="333333"/>
          <w:lang w:val="en" w:eastAsia="en"/>
        </w:rPr>
        <w:t>BAZXCG-2025-00488-001</w:t>
      </w:r>
      <w:r>
        <w:rPr>
          <w:rFonts w:ascii="仿宋" w:eastAsia="仿宋" w:hAnsi="仿宋" w:cs="仿宋"/>
          <w:color w:val="333333"/>
          <w:u w:val="single" w:color="333333"/>
          <w:lang w:val="en" w:eastAsia="en"/>
        </w:rPr>
        <w:br/>
      </w:r>
      <w:r>
        <w:rPr>
          <w:rFonts w:ascii="仿宋" w:eastAsia="仿宋" w:hAnsi="仿宋" w:cs="仿宋"/>
          <w:color w:val="333333"/>
          <w:lang w:val="en" w:eastAsia="en"/>
        </w:rPr>
        <w:t>标段名称：</w:t>
      </w:r>
      <w:r>
        <w:rPr>
          <w:rFonts w:ascii="微软雅黑" w:eastAsia="微软雅黑" w:hAnsi="微软雅黑" w:cs="微软雅黑"/>
          <w:color w:val="333333"/>
          <w:lang w:val="en" w:eastAsia="en"/>
        </w:rPr>
        <w:t xml:space="preserve"> </w:t>
      </w:r>
      <w:r>
        <w:rPr>
          <w:rFonts w:ascii="仿宋" w:eastAsia="仿宋" w:hAnsi="仿宋" w:cs="仿宋"/>
          <w:color w:val="333333"/>
          <w:u w:val="single" w:color="333333"/>
          <w:lang w:val="en" w:eastAsia="en"/>
        </w:rPr>
        <w:t>深圳市宝安区公共卫生服务中心开办新安分中心厨房设备采购项目-A</w:t>
      </w:r>
      <w:r>
        <w:rPr>
          <w:rFonts w:ascii="仿宋" w:eastAsia="仿宋" w:hAnsi="仿宋" w:cs="仿宋"/>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pPr>
      <w:r>
        <w:rPr>
          <w:rFonts w:ascii="仿宋" w:eastAsia="仿宋" w:hAnsi="仿宋" w:cs="仿宋"/>
          <w:color w:val="333333"/>
          <w:lang w:val="en" w:eastAsia="en"/>
        </w:rPr>
        <w:t>是否过多投标人淘汰：</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微软雅黑" w:eastAsia="微软雅黑" w:hAnsi="微软雅黑" w:cs="微软雅黑"/>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仿宋" w:eastAsia="仿宋" w:hAnsi="仿宋" w:cs="仿宋"/>
          <w:color w:val="333333"/>
          <w:lang w:val="en" w:eastAsia="en"/>
        </w:rPr>
      </w:pPr>
      <w:r>
        <w:rPr>
          <w:rFonts w:ascii="仿宋" w:eastAsia="仿宋" w:hAnsi="仿宋" w:cs="仿宋"/>
          <w:color w:val="333333"/>
          <w:lang w:val="en" w:eastAsia="en"/>
        </w:rPr>
        <w:t>中标候选人：</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委托评标委员会直接定标</w:t>
      </w:r>
      <w:r>
        <w:rPr>
          <w:rFonts w:ascii="仿宋" w:eastAsia="仿宋" w:hAnsi="仿宋" w:cs="仿宋"/>
          <w:color w:val="333333"/>
          <w:lang w:val="en" w:eastAsia="en"/>
        </w:rPr>
        <w:br/>
      </w:r>
      <w:r>
        <w:rPr>
          <w:rFonts w:ascii="仿宋" w:eastAsia="仿宋" w:hAnsi="仿宋" w:cs="仿宋"/>
          <w:color w:val="333333"/>
          <w:lang w:val="en" w:eastAsia="en"/>
        </w:rPr>
        <w:br/>
      </w:r>
      <w:r>
        <w:rPr>
          <w:rFonts w:ascii="仿宋" w:eastAsia="仿宋" w:hAnsi="仿宋" w:cs="仿宋"/>
          <w:b/>
          <w:bCs/>
          <w:color w:val="000000"/>
          <w:lang w:val="en" w:eastAsia="en"/>
        </w:rPr>
        <w:t>4.1 资格评审</w:t>
      </w:r>
      <w:r>
        <w:rPr>
          <w:rFonts w:ascii="仿宋" w:eastAsia="仿宋" w:hAnsi="仿宋" w:cs="仿宋"/>
          <w:b/>
          <w:bCs/>
          <w:color w:val="000000"/>
          <w:lang w:val="en" w:eastAsia="en"/>
        </w:rPr>
        <w:br/>
      </w:r>
      <w:r>
        <w:rPr>
          <w:rFonts w:ascii="仿宋" w:eastAsia="仿宋" w:hAnsi="仿宋" w:cs="仿宋"/>
          <w:color w:val="333333"/>
          <w:lang w:val="en" w:eastAsia="en"/>
        </w:rPr>
        <w:t>汇总规则：</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按分项自动汇总并发起否决投标</w:t>
      </w:r>
      <w:r>
        <w:rPr>
          <w:rFonts w:ascii="微软雅黑" w:eastAsia="微软雅黑" w:hAnsi="微软雅黑" w:cs="微软雅黑"/>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r>
              <w:rPr>
                <w:rFonts w:ascii="仿宋" w:eastAsia="仿宋" w:hAnsi="仿宋" w:cs="仿宋"/>
                <w:color w:val="666666"/>
                <w:lang w:val="en" w:eastAsia="en"/>
              </w:rPr>
              <w:br/>
            </w:r>
            <w:r>
              <w:rPr>
                <w:rFonts w:ascii="仿宋" w:eastAsia="仿宋" w:hAnsi="仿宋" w:cs="仿宋"/>
                <w:color w:val="666666"/>
                <w:lang w:val="en" w:eastAsia="e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r>
              <w:rPr>
                <w:rFonts w:ascii="仿宋" w:eastAsia="仿宋" w:hAnsi="仿宋" w:cs="仿宋"/>
                <w:color w:val="666666"/>
                <w:lang w:val="en" w:eastAsia="en"/>
              </w:rPr>
              <w:br/>
            </w:r>
            <w:r>
              <w:rPr>
                <w:rFonts w:ascii="仿宋" w:eastAsia="仿宋" w:hAnsi="仿宋" w:cs="仿宋"/>
                <w:color w:val="666666"/>
                <w:lang w:val="en" w:eastAsia="en"/>
              </w:rPr>
              <w:t>2.本项目不接受联合体投标（响应），不接受供应商选用进口产品参与投标（由供应商在《自行采购投标（响应）及履约承诺函》中作出声明；：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2.本项目不接受联合体投标（响应），不接受供应商选用进口产品参与投标（由供应商在《自行采购投标（响应）及履约承诺函》中作出声明；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3.参与本项目政府采购（自行采购）活动时不存在被有关部门禁止参与政府采购（自行采购）活动且在有效期内的情况（由供应商在《自行采购投标（响应）及履约承诺函》中作出声明）；：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3.参与本项目政府采购（自行采购）活动时不存在被有关部门禁止参与政府采购（自行采购）活动且在有效期内的情况（由供应商在《自行采购投标（响应）及履约承诺函》中作出声明）；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4.具备《中华人民共和国政府采购法》第二十二条第一款的条件（由供应商在《自行采购投标（响应）及履约承诺函》中作出声明）；：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4.具备《中华人民共和国政府采购法》第二十二条第一款的条件（由供应商在《自行采购投标（响应）及履约承诺函》中作出声明）；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5.未被列入失信被执行人、重大税收违法案件当事人名单、政府采购严重违法失信行为记录名单（由供应商在《自行采购投标（响应）及履约承诺函》中作出声明）；：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5.未被列入失信被执行人、重大税收违法案件当事人名单、政府采购严重违法失信行为记录名单（由供应商在《自行采购投标（响应）及履约承诺函》中作出声明）；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6.不存在《深圳市财政局政府采购供应商信用信息管理办法》（深财规〔2023〕3号）列明的严重违法失信行为（由供应商在《自行采购投标（响应）及履约承诺函》中作出声明）；：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6.不存在《深圳市财政局政府采购供应商信用信息管理办法》（深财规〔2023〕3号）列明的严重违法失信行为（由供应商在《自行采购投标（响应）及履约承诺函》中作出声明）；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7.为采购项目提供整体设计、规范编制或者项目管理、监理、检测等服务的供应商，不得再参加该采购项目的其他采购活动（由供应商在《自行采购投标（响应）及履约承诺函》中作出声明）；：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7.为采购项目提供整体设计、规范编制或者项目管理、监理、检测等服务的供应商，不得再参加该采购项目的其他采购活动（由供应商在《自行采购投标（响应）及履约承诺函》中作出声明）；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r>
              <w:rPr>
                <w:rFonts w:ascii="仿宋" w:eastAsia="仿宋" w:hAnsi="仿宋" w:cs="仿宋"/>
                <w:color w:val="666666"/>
                <w:lang w:val="en" w:eastAsia="en"/>
              </w:rPr>
              <w:br/>
            </w:r>
            <w:r>
              <w:rPr>
                <w:rFonts w:ascii="仿宋" w:eastAsia="仿宋" w:hAnsi="仿宋" w:cs="仿宋"/>
                <w:color w:val="666666"/>
                <w:lang w:val="en" w:eastAsia="e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r>
              <w:rPr>
                <w:rFonts w:ascii="仿宋" w:eastAsia="仿宋" w:hAnsi="仿宋" w:cs="仿宋"/>
                <w:color w:val="666666"/>
                <w:lang w:val="en" w:eastAsia="en"/>
              </w:rPr>
              <w:br/>
            </w:r>
            <w:r>
              <w:rPr>
                <w:rFonts w:ascii="仿宋" w:eastAsia="仿宋" w:hAnsi="仿宋" w:cs="仿宋"/>
                <w:color w:val="666666"/>
                <w:lang w:val="en" w:eastAsia="e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r>
              <w:rPr>
                <w:rFonts w:ascii="仿宋" w:eastAsia="仿宋" w:hAnsi="仿宋" w:cs="仿宋"/>
                <w:color w:val="666666"/>
                <w:lang w:val="en" w:eastAsia="en"/>
              </w:rPr>
              <w:br/>
            </w:r>
            <w:r>
              <w:rPr>
                <w:rFonts w:ascii="仿宋" w:eastAsia="仿宋" w:hAnsi="仿宋" w:cs="仿宋"/>
                <w:color w:val="666666"/>
                <w:lang w:val="en" w:eastAsia="e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tc>
      </w:tr>
    </w:tbl>
    <w:p>
      <w:pPr>
        <w:pBdr>
          <w:top w:val="none" w:sz="0" w:space="0" w:color="auto"/>
          <w:left w:val="none" w:sz="0" w:space="0" w:color="auto"/>
          <w:bottom w:val="none" w:sz="0" w:space="0" w:color="auto"/>
          <w:right w:val="none" w:sz="0" w:space="0" w:color="auto"/>
        </w:pBdr>
        <w:spacing w:line="240" w:lineRule="atLeast"/>
        <w:ind w:left="15" w:right="15"/>
        <w:rPr>
          <w:rFonts w:ascii="仿宋" w:eastAsia="仿宋" w:hAnsi="仿宋" w:cs="仿宋"/>
          <w:b/>
          <w:bCs/>
          <w:color w:val="000000"/>
          <w:lang w:val="en" w:eastAsia="en"/>
        </w:rPr>
      </w:pPr>
      <w:r>
        <w:rPr>
          <w:rFonts w:ascii="仿宋" w:eastAsia="仿宋" w:hAnsi="仿宋" w:cs="仿宋"/>
          <w:b/>
          <w:bCs/>
          <w:color w:val="000000"/>
          <w:lang w:val="en" w:eastAsia="en"/>
        </w:rPr>
        <w:t>4.2 初步评审</w:t>
      </w:r>
      <w:r>
        <w:rPr>
          <w:rFonts w:ascii="仿宋" w:eastAsia="仿宋" w:hAnsi="仿宋" w:cs="仿宋"/>
          <w:b/>
          <w:bCs/>
          <w:color w:val="000000"/>
          <w:lang w:val="en" w:eastAsia="en"/>
        </w:rPr>
        <w:br/>
      </w:r>
      <w:r>
        <w:rPr>
          <w:rFonts w:ascii="仿宋" w:eastAsia="仿宋" w:hAnsi="仿宋" w:cs="仿宋"/>
          <w:color w:val="333333"/>
          <w:lang w:val="en" w:eastAsia="en"/>
        </w:rPr>
        <w:t>汇总规则：</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按分项自动汇总并发起否决投标</w:t>
      </w:r>
      <w:r>
        <w:rPr>
          <w:rFonts w:ascii="微软雅黑" w:eastAsia="微软雅黑" w:hAnsi="微软雅黑" w:cs="微软雅黑"/>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仿宋" w:eastAsia="仿宋" w:hAnsi="仿宋" w:cs="仿宋"/>
          <w:b/>
          <w:bCs/>
          <w:color w:val="000000"/>
          <w:lang w:val="en" w:eastAsia="en"/>
        </w:rPr>
      </w:pPr>
      <w:r>
        <w:rPr>
          <w:rFonts w:ascii="仿宋" w:eastAsia="仿宋" w:hAnsi="仿宋" w:cs="仿宋"/>
          <w:b/>
          <w:bCs/>
          <w:color w:val="000000"/>
          <w:lang w:val="en" w:eastAsia="en"/>
        </w:rPr>
        <w:t>4.3 详细评审</w:t>
      </w:r>
      <w:r>
        <w:rPr>
          <w:rFonts w:ascii="仿宋" w:eastAsia="仿宋" w:hAnsi="仿宋" w:cs="仿宋"/>
          <w:b/>
          <w:bCs/>
          <w:color w:val="000000"/>
          <w:lang w:val="en" w:eastAsia="en"/>
        </w:rPr>
        <w:br/>
      </w:r>
      <w:r>
        <w:rPr>
          <w:rFonts w:ascii="仿宋" w:eastAsia="仿宋" w:hAnsi="仿宋" w:cs="仿宋"/>
          <w:color w:val="333333"/>
          <w:lang w:val="en" w:eastAsia="en"/>
        </w:rPr>
        <w:t>汇总规则：</w:t>
      </w:r>
      <w:r>
        <w:rPr>
          <w:rFonts w:ascii="微软雅黑" w:eastAsia="微软雅黑" w:hAnsi="微软雅黑" w:cs="微软雅黑"/>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权重</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考察投标人对招标文件《第一册</w:t>
            </w:r>
            <w:r>
              <w:rPr>
                <w:rFonts w:ascii="Calibri" w:eastAsia="Calibri" w:hAnsi="Calibri" w:cs="Calibri"/>
                <w:color w:val="666666"/>
                <w:lang w:val="en" w:eastAsia="en"/>
              </w:rPr>
              <w:t> </w:t>
            </w:r>
            <w:r>
              <w:rPr>
                <w:rFonts w:ascii="仿宋" w:eastAsia="仿宋" w:hAnsi="仿宋" w:cs="仿宋"/>
                <w:color w:val="666666"/>
                <w:lang w:val="en" w:eastAsia="en"/>
              </w:rPr>
              <w:t>专用条款</w:t>
            </w:r>
            <w:r>
              <w:rPr>
                <w:rFonts w:ascii="Calibri" w:eastAsia="Calibri" w:hAnsi="Calibri" w:cs="Calibri"/>
                <w:color w:val="666666"/>
                <w:lang w:val="en" w:eastAsia="en"/>
              </w:rPr>
              <w:t> </w:t>
            </w:r>
            <w:r>
              <w:rPr>
                <w:rFonts w:ascii="仿宋" w:eastAsia="仿宋" w:hAnsi="仿宋" w:cs="仿宋"/>
                <w:color w:val="666666"/>
                <w:lang w:val="en" w:eastAsia="en"/>
              </w:rPr>
              <w:t>第三章</w:t>
            </w:r>
            <w:r>
              <w:rPr>
                <w:rFonts w:ascii="Calibri" w:eastAsia="Calibri" w:hAnsi="Calibri" w:cs="Calibri"/>
                <w:color w:val="666666"/>
                <w:lang w:val="en" w:eastAsia="en"/>
              </w:rPr>
              <w:t> </w:t>
            </w:r>
            <w:r>
              <w:rPr>
                <w:rFonts w:ascii="仿宋" w:eastAsia="仿宋" w:hAnsi="仿宋" w:cs="仿宋"/>
                <w:color w:val="666666"/>
                <w:lang w:val="en" w:eastAsia="en"/>
              </w:rPr>
              <w:t>用户需求书：四、技术要求》内容中的“▲”参数响应情况。 （二）评审依据： 以投标文件《技术要求偏离表》为评审依据，完全符合招标要求的，得100分。每1“▲”参数不符合招标要求（或缺漏）的扣25分，最低得0分。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以投标文件《技术要求偏离表》为评审依据，完全符合招标要求的，得100分。每1项非“▲”参数不符合招标要求（或缺漏）的扣0.39分，最低得0分。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15</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项目组织实施方案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根据投标人针对本项目提供项目实施方案进行评审，包括但不限于以下内容： 1.实施方案； 2.供货计划； 3.管理体系； 4.质量控制体系； 5.验收方案。 （二）评分标准： 1.提供的方案内容包含上述全部内容的得60分；包含上述任意4项内容的得50分；包含上述任意3项内容的得40分；包含上述任意2项内容的得30分；包含上述任意1项内容的得20分，其余不得分。 2.在此基础上，评审委员根据各供应商的具体响应内容按照量化的评审因素指标进一步评审： （1）评审为优（如响应内容全面、清晰、针对性强、科学合理、可操作性强）的，得40分； （2）评审为良（如响应内容较全面、较清晰、针对性较强、较科学合理、可操作性较强）的，得25分； （3）评审为中（如响应内容基本完整，针对性一般，可操作性一般）的，得10分； （4）评审为差（如响应内容缺失或与项目关联度不大）的，不得分。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考察投标人提供的项目重点难点分析、应对措施及相关的合理化建议，包含以下内容： 1.项目重点分析 2.项目难点分析； 3.针对项目重点难点逐项提出应对措施； 4.相关的合理化建议。 （二）评审标准： 1.提供的方案内容包含上述全部内容的得60分；包含上述任意3项内容的得45分；包含上述任意2项内容的得30分；包含上述任意1项内容的得15分，其余不得分。 2.在此基础上，评审委员根据各供应商的具体响应内容按照量化的评审因素指标进一步评审： （1）评审为优（重点、难点分析全面，应对措施可行性高，相关建议科学合理）的，得40分； （2）评审为良（重点、难点分析比较全面，应对措施可行性较高，相关建议比较合理）的，得25分； （3）评审为中（重点、难点分析不够全面，应对措施可行性一般，相关建议不够合理）的，得10分； （4）评审为差（重点、难点分析不全面，应对措施可行性低，相关建议不合理）的，得0分。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根据投标人提供的售后服务方案进行评审，包含但不限于以下内容： 1.响应时间； 2.服务内容； 3.维修应急方案； 4.培训计划。 （二）评审标准： 1.提供的方案内容包含上述全部内容的得60分；包含上述任意3项内容的得45分；包含上述任意2项内容的得30分；包含上述任意1项内容的得15分，其余不得分。 2.在此基础上，评审委员根据各供应商的具体响应内容按照量化的评审因素指标进一步评审： （1）评审为优（如响应内容全面、清晰、针对性强、科学合理、可操作性强）的，加40分； （2）评审为良（如响应内容较全面、较清晰、针对性较强、较科学合理、可操作性较强）的，加25分； （3）评审为中（如响应内容基本完整，针对性一般，可操作性一般）的，加10分； （4）评审为差（如响应内容缺失或与项目关联度不大）的，加0分。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政府采购节能环 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投标人自2022年1月1日至本项目投标截止日（以合同签订时间为准），承担过国家机关或事业单位厨房设备的销售或供货业绩，且履约验收证明（验收报告）显示为合格（或以上）评价，每提供一个业绩得50分，最高得100分。 （二）评分依据： 1、提供：1）项目合同关键页扫描件（包括但不限于：合同名称页、合同主要内容页、合同签订日期页、合同双方签字盖章以及对应发票扫描件）；2）履约验收证明，需加盖合同甲方公章或业务章； 2、未按要求提供相关证明材料（或相关证明材料无法判断是否符合评分要求）的不计得分，原件备查。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微软雅黑" w:eastAsia="微软雅黑" w:hAnsi="微软雅黑" w:cs="微软雅黑"/>
          <w:color w:val="333333"/>
          <w:lang w:val="en" w:eastAsia="en"/>
        </w:rPr>
      </w:pPr>
      <w:r>
        <w:rPr>
          <w:rFonts w:ascii="仿宋" w:eastAsia="仿宋" w:hAnsi="仿宋" w:cs="仿宋"/>
          <w:b/>
          <w:bCs/>
          <w:color w:val="000000"/>
          <w:lang w:val="en" w:eastAsia="en"/>
        </w:rPr>
        <w:t>4.5 价格评审</w:t>
      </w:r>
      <w:r>
        <w:rPr>
          <w:rFonts w:ascii="微软雅黑" w:eastAsia="微软雅黑" w:hAnsi="微软雅黑" w:cs="微软雅黑"/>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sectPr>
          <w:pgMar w:top="1440" w:right="1800" w:bottom="1440" w:left="1800" w:header="708" w:footer="708" w:gutter="0"/>
          <w:cols w:num="1" w:space="708"/>
        </w:sectPr>
      </w:pPr>
      <w:r>
        <w:rPr>
          <w:rFonts w:ascii="仿宋" w:eastAsia="仿宋" w:hAnsi="仿宋" w:cs="仿宋"/>
          <w:color w:val="333333"/>
          <w:lang w:val="en" w:eastAsia="en"/>
        </w:rPr>
        <w:t>4.5.1 投标总价</w:t>
      </w:r>
      <w:r>
        <w:rPr>
          <w:rFonts w:ascii="仿宋" w:eastAsia="仿宋" w:hAnsi="仿宋" w:cs="仿宋"/>
          <w:color w:val="333333"/>
          <w:lang w:val="en" w:eastAsia="en"/>
        </w:rPr>
        <w:br/>
      </w:r>
      <w:r>
        <w:rPr>
          <w:rFonts w:ascii="仿宋" w:eastAsia="仿宋" w:hAnsi="仿宋" w:cs="仿宋"/>
          <w:color w:val="333333"/>
          <w:lang w:val="en" w:eastAsia="en"/>
        </w:rPr>
        <w:t>价格得分满分：</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30</w:t>
      </w:r>
      <w:r>
        <w:rPr>
          <w:rFonts w:ascii="仿宋" w:eastAsia="仿宋" w:hAnsi="仿宋" w:cs="仿宋"/>
          <w:color w:val="333333"/>
          <w:lang w:val="en" w:eastAsia="en"/>
        </w:rPr>
        <w:br/>
      </w:r>
      <w:r>
        <w:rPr>
          <w:rFonts w:ascii="仿宋" w:eastAsia="仿宋" w:hAnsi="仿宋" w:cs="仿宋"/>
          <w:color w:val="333333"/>
          <w:lang w:val="en" w:eastAsia="en"/>
        </w:rPr>
        <w:t>报价打分方式：</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自动算分（内插法）</w:t>
      </w:r>
      <w:r>
        <w:rPr>
          <w:rFonts w:ascii="仿宋" w:eastAsia="仿宋" w:hAnsi="仿宋" w:cs="仿宋"/>
          <w:color w:val="333333"/>
          <w:lang w:val="en" w:eastAsia="en"/>
        </w:rPr>
        <w:br/>
      </w:r>
      <w:r>
        <w:rPr>
          <w:rFonts w:ascii="仿宋" w:eastAsia="仿宋" w:hAnsi="仿宋" w:cs="仿宋"/>
          <w:color w:val="333333"/>
          <w:lang w:val="en" w:eastAsia="en"/>
        </w:rPr>
        <w:t>参与基准价计算范围的计算公式：全部投标报价</w:t>
      </w:r>
      <w:r>
        <w:rPr>
          <w:rFonts w:ascii="仿宋" w:eastAsia="仿宋" w:hAnsi="仿宋" w:cs="仿宋"/>
          <w:color w:val="333333"/>
          <w:lang w:val="en" w:eastAsia="en"/>
        </w:rPr>
        <w:br/>
      </w:r>
      <w:r>
        <w:rPr>
          <w:rFonts w:ascii="仿宋" w:eastAsia="仿宋" w:hAnsi="仿宋" w:cs="仿宋"/>
          <w:color w:val="333333"/>
          <w:lang w:val="en" w:eastAsia="en"/>
        </w:rPr>
        <w:t>评标价计算公式：评标价=投标函中的投标报价（有修正投标报价的取修正后的投标报价）</w:t>
      </w:r>
      <w:r>
        <w:rPr>
          <w:rFonts w:ascii="仿宋" w:eastAsia="仿宋" w:hAnsi="仿宋" w:cs="仿宋"/>
          <w:color w:val="333333"/>
          <w:lang w:val="en" w:eastAsia="en"/>
        </w:rPr>
        <w:br/>
      </w:r>
      <w:r>
        <w:rPr>
          <w:rFonts w:ascii="仿宋" w:eastAsia="仿宋" w:hAnsi="仿宋" w:cs="仿宋"/>
          <w:color w:val="333333"/>
          <w:lang w:val="en" w:eastAsia="en"/>
        </w:rPr>
        <w:t>基准价计算公式：基准价=最低评标价</w:t>
      </w:r>
      <w:r>
        <w:rPr>
          <w:rFonts w:ascii="仿宋" w:eastAsia="仿宋" w:hAnsi="仿宋" w:cs="仿宋"/>
          <w:color w:val="333333"/>
          <w:lang w:val="en" w:eastAsia="en"/>
        </w:rPr>
        <w:br/>
      </w:r>
      <w:r>
        <w:rPr>
          <w:rFonts w:ascii="仿宋" w:eastAsia="仿宋" w:hAnsi="仿宋" w:cs="仿宋"/>
          <w:color w:val="333333"/>
          <w:lang w:val="en" w:eastAsia="en"/>
        </w:rPr>
        <w:t>报价打分计算公式：得分=（基准价/评标价）*总分</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深圳市宝安区公共卫生服务中心开办新安分中心厨房设备采购项目-A</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自行采购投标（响应）及履约承诺函；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投标（响应）供应商情况及资格证明文件；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投标（响应）供应商认为需要加以说明的其他内容（公开）；</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投标（响应）供应商认为需要加以说明的其他内容；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BAZXCG-2025-00488-001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深圳市宝安区公共卫生服务中心开办新安分中心厨房设备采购项目-A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2.本项目不接受联合体投标（响应），不接受供应商选用进口产品参与投标（由供应商在《自行采购投标（响应）及履约承诺函》中作出声明；：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2.本项目不接受联合体投标（响应），不接受供应商选用进口产品参与投标（由供应商在《自行采购投标（响应）及履约承诺函》中作出声明；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w:t>
            </w:r>
            <w:r>
              <w:rPr>
                <w:rFonts w:ascii="Calibri" w:eastAsia="Calibri" w:hAnsi="Calibri" w:cs="Calibri"/>
                <w:color w:val="666666"/>
                <w:lang w:val="en" w:eastAsia="en"/>
              </w:rPr>
              <w:t> </w:t>
            </w:r>
            <w:r>
              <w:rPr>
                <w:rFonts w:ascii="FangSong" w:eastAsia="FangSong" w:hAnsi="FangSong" w:cs="FangSong"/>
                <w:color w:val="666666"/>
                <w:lang w:val="en" w:eastAsia="en"/>
              </w:rPr>
              <w:t>专用条款</w:t>
            </w:r>
            <w:r>
              <w:rPr>
                <w:rFonts w:ascii="Calibri" w:eastAsia="Calibri" w:hAnsi="Calibri" w:cs="Calibri"/>
                <w:color w:val="666666"/>
                <w:lang w:val="en" w:eastAsia="en"/>
              </w:rPr>
              <w:t> </w:t>
            </w:r>
            <w:r>
              <w:rPr>
                <w:rFonts w:ascii="FangSong" w:eastAsia="FangSong" w:hAnsi="FangSong" w:cs="FangSong"/>
                <w:color w:val="666666"/>
                <w:lang w:val="en" w:eastAsia="en"/>
              </w:rPr>
              <w:t>第三章</w:t>
            </w:r>
            <w:r>
              <w:rPr>
                <w:rFonts w:ascii="Calibri" w:eastAsia="Calibri" w:hAnsi="Calibri" w:cs="Calibri"/>
                <w:color w:val="666666"/>
                <w:lang w:val="en" w:eastAsia="en"/>
              </w:rPr>
              <w:t> </w:t>
            </w:r>
            <w:r>
              <w:rPr>
                <w:rFonts w:ascii="FangSong" w:eastAsia="FangSong" w:hAnsi="FangSong" w:cs="FangSong"/>
                <w:color w:val="666666"/>
                <w:lang w:val="en" w:eastAsia="en"/>
              </w:rPr>
              <w:t>用户需求书：四、技术要求》内容中的“▲”参数响应情况。 （二）评审依据： 以投标文件《技术要求偏离表》为评审依据，完全符合招标要求的，得100分。每1“▲”参数不符合招标要求（或缺漏）的扣25分，最低得0分。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以投标文件《技术要求偏离表》为评审依据，完全符合招标要求的，得100分。每1项非“▲”参数不符合招标要求（或缺漏）的扣0.39分，最低得0分。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根据投标人针对本项目提供项目实施方案进行评审，包括但不限于以下内容： 1.实施方案； 2.供货计划； 3.管理体系； 4.质量控制体系； 5.验收方案。 （二）评分标准： 1.提供的方案内容包含上述全部内容的得60分；包含上述任意4项内容的得50分；包含上述任意3项内容的得40分；包含上述任意2项内容的得30分；包含上述任意1项内容的得20分，其余不得分。 2.在此基础上，评审委员根据各供应商的具体响应内容按照量化的评审因素指标进一步评审： （1）评审为优（如响应内容全面、清晰、针对性强、科学合理、可操作性强）的，得40分； （2）评审为良（如响应内容较全面、较清晰、针对性较强、较科学合理、可操作性较强）的，得25分； （3）评审为中（如响应内容基本完整，针对性一般，可操作性一般）的，得10分； （4）评审为差（如响应内容缺失或与项目关联度不大）的，不得分。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考察投标人提供的项目重点难点分析、应对措施及相关的合理化建议，包含以下内容： 1.项目重点分析 2.项目难点分析； 3.针对项目重点难点逐项提出应对措施； 4.相关的合理化建议。 （二）评审标准： 1.提供的方案内容包含上述全部内容的得60分；包含上述任意3项内容的得45分；包含上述任意2项内容的得30分；包含上述任意1项内容的得15分，其余不得分。 2.在此基础上，评审委员根据各供应商的具体响应内容按照量化的评审因素指标进一步评审： （1）评审为优（重点、难点分析全面，应对措施可行性高，相关建议科学合理）的，得40分； （2）评审为良（重点、难点分析比较全面，应对措施可行性较高，相关建议比较合理）的，得25分； （3）评审为中（重点、难点分析不够全面，应对措施可行性一般，相关建议不够合理）的，得10分； （4）评审为差（重点、难点分析不全面，应对措施可行性低，相关建议不合理）的，得0分。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根据投标人提供的售后服务方案进行评审，包含但不限于以下内容： 1.响应时间； 2.服务内容； 3.维修应急方案； 4.培训计划。 （二）评审标准： 1.提供的方案内容包含上述全部内容的得60分；包含上述任意3项内容的得45分；包含上述任意2项内容的得30分；包含上述任意1项内容的得15分，其余不得分。 2.在此基础上，评审委员根据各供应商的具体响应内容按照量化的评审因素指标进一步评审： （1）评审为优（如响应内容全面、清晰、针对性强、科学合理、可操作性强）的，加40分； （2）评审为良（如响应内容较全面、较清晰、针对性较强、较科学合理、可操作性较强）的，加25分； （3）评审为中（如响应内容基本完整，针对性一般，可操作性一般）的，加10分； （4）评审为差（如响应内容缺失或与项目关联度不大）的，加0分。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 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自2022年1月1日至本项目投标截止日（以合同签订时间为准），承担过国家机关或事业单位厨房设备的销售或供货业绩，且履约验收证明（验收报告）显示为合格（或以上）评价，每提供一个业绩得50分，最高得100分。 （二）评分依据： 1、提供：1）项目合同关键页扫描件（包括但不限于：合同名称页、合同主要内容页、合同签订日期页、合同双方签字盖章以及对应发票扫描件）；2）履约验收证明，需加盖合同甲方公章或业务章； 2、未按要求提供相关证明材料（或相关证明材料无法判断是否符合评分要求）的不计得分，原件备查。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docPartObj>
        <w:docPartGallery w:val="autotext"/>
      </w:docPartObj>
    </w:sdtPr>
    <w:sdtContent>
      <w:p>
        <w:pPr>
          <w:pStyle w:val="Footer"/>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Footer"/>
      <w:spacing w:after="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E94AAA60"/>
    <w:multiLevelType w:val="singleLevel"/>
    <w:tmpl w:val="E94AAA60"/>
    <w:lvl w:ilvl="0">
      <w:start w:val="2"/>
      <w:numFmt w:val="decimal"/>
      <w:suff w:val="nothing"/>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00FB4DE4"/>
    <w:multiLevelType w:val="singleLevel"/>
    <w:tmpl w:val="00FB4DE4"/>
    <w:lvl w:ilvl="0">
      <w:start w:val="3"/>
      <w:numFmt w:val="decimal"/>
      <w:lvlText w:val="%1."/>
      <w:lvlJc w:val="left"/>
      <w:pPr>
        <w:tabs>
          <w:tab w:val="left" w:pos="312"/>
        </w:tabs>
      </w:pPr>
    </w:lvl>
  </w:abstractNum>
  <w:abstractNum w:abstractNumId="1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618E634"/>
    <w:multiLevelType w:val="singleLevel"/>
    <w:tmpl w:val="1618E634"/>
    <w:lvl w:ilvl="0">
      <w:start w:val="2"/>
      <w:numFmt w:val="decimal"/>
      <w:suff w:val="nothing"/>
      <w:lvlText w:val="（%1）"/>
      <w:lvlJc w:val="left"/>
    </w:lvl>
  </w:abstractNum>
  <w:abstractNum w:abstractNumId="12">
    <w:nsid w:val="7A0F6431"/>
    <w:multiLevelType w:val="singleLevel"/>
    <w:tmpl w:val="7A0F6431"/>
    <w:lvl w:ilvl="0">
      <w:start w:val="1"/>
      <w:numFmt w:val="decimal"/>
      <w:suff w:val="space"/>
      <w:lvlText w:val="%1."/>
      <w:lvlJc w:val="left"/>
    </w:lvl>
  </w:abstractNum>
  <w:abstractNum w:abstractNumId="13">
    <w:nsid w:val="7A89ABA4"/>
    <w:multiLevelType w:val="singleLevel"/>
    <w:tmpl w:val="7A89ABA4"/>
    <w:lvl w:ilvl="0">
      <w:start w:val="2"/>
      <w:numFmt w:val="chineseCounting"/>
      <w:suff w:val="nothing"/>
      <w:lvlText w:val="%1、"/>
      <w:lvlJc w:val="left"/>
      <w:rPr>
        <w:rFonts w:hint="eastAsia"/>
      </w:rPr>
    </w:lvl>
  </w:abstractNum>
  <w:num w:numId="1">
    <w:abstractNumId w:val="11"/>
  </w:num>
  <w:num w:numId="2">
    <w:abstractNumId w:val="9"/>
  </w:num>
  <w:num w:numId="3">
    <w:abstractNumId w:val="13"/>
  </w:num>
  <w:num w:numId="4">
    <w:abstractNumId w:val="7"/>
  </w:num>
  <w:num w:numId="5">
    <w:abstractNumId w:val="0"/>
  </w:num>
  <w:num w:numId="6">
    <w:abstractNumId w:val="1"/>
  </w:num>
  <w:num w:numId="7">
    <w:abstractNumId w:val="12"/>
  </w:num>
  <w:num w:numId="8">
    <w:abstractNumId w:val="3"/>
  </w:num>
  <w:num w:numId="9">
    <w:abstractNumId w:val="8"/>
  </w:num>
  <w:num w:numId="10">
    <w:abstractNumId w:val="5"/>
  </w:num>
  <w:num w:numId="11">
    <w:abstractNumId w:val="4"/>
  </w:num>
  <w:num w:numId="12">
    <w:abstractNumId w:val="2"/>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semiHidden/>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table" w:customStyle="1" w:styleId="typotable">
    <w:name w:val="typo_table"/>
    <w:basedOn w:val="TableNormal"/>
    <w:rPr>
      <w:rFonts w:eastAsia="宋体"/>
    </w:rPr>
    <w:tblPr>
      <w:tblInd w:w="0" w:type="dxa"/>
    </w:tblPr>
  </w:style>
  <w:style w:type="table" w:customStyle="1" w:styleId="typotable0">
    <w:name w:val="typo_table_0"/>
    <w:basedOn w:val="TableNormal"/>
    <w:rPr>
      <w:rFonts w:eastAsia="宋体"/>
    </w:rPr>
    <w:tblPr>
      <w:tblInd w:w="0" w:type="dxa"/>
    </w:tblPr>
  </w:style>
  <w:style w:type="table" w:customStyle="1" w:styleId="typotable1">
    <w:name w:val="typo_table_1"/>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2">
    <w:name w:val="typo_table_2"/>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www.szexgrp.com/jyfw/zfcg-view.html?id=zfcg" TargetMode="Externa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