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sz w:val="30"/>
                <w:szCs w:val="30"/>
              </w:rPr>
              <w:t>BAZXCG-2025-00190</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eastAsia="宋体" w:cs="宋体"/>
                <w:sz w:val="28"/>
                <w:szCs w:val="28"/>
                <w:lang w:eastAsia="zh-CN"/>
              </w:rPr>
              <w:t>深圳市宝安区机关第二幼儿园（深圳市宝安区新安未来之光幼儿园）班组部门设备</w:t>
            </w:r>
            <w:r>
              <w:rPr>
                <w:rFonts w:hint="eastAsia" w:ascii="宋体" w:hAnsi="宋体" w:eastAsia="宋体" w:cs="宋体"/>
                <w:sz w:val="28"/>
                <w:szCs w:val="28"/>
                <w:lang w:val="en-US" w:eastAsia="zh-CN"/>
              </w:rPr>
              <w:t>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hint="eastAsia" w:ascii="宋体" w:hAnsi="宋体" w:eastAsia="宋体" w:cs="宋体"/>
                <w:b/>
                <w:bCs/>
                <w:sz w:val="24"/>
                <w:szCs w:val="24"/>
              </w:rPr>
            </w:pPr>
            <w:r>
              <w:rPr>
                <w:rFonts w:hint="eastAsia" w:ascii="宋体" w:hAnsi="宋体" w:eastAsia="宋体" w:cs="宋体"/>
                <w:b/>
                <w:bCs/>
                <w:szCs w:val="24"/>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widowControl w:val="0"/>
              <w:spacing w:after="120"/>
              <w:jc w:val="both"/>
              <w:rPr>
                <w:rFonts w:hint="eastAsia" w:ascii="宋体" w:hAnsi="宋体" w:eastAsia="宋体" w:cs="宋体"/>
                <w:kern w:val="2"/>
                <w:sz w:val="21"/>
                <w:szCs w:val="21"/>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宋体" w:hAnsi="宋体" w:eastAsia="宋体" w:cs="宋体"/>
                <w:sz w:val="21"/>
                <w:szCs w:val="21"/>
                <w:lang w:eastAsia="zh-CN"/>
              </w:rPr>
            </w:pPr>
            <w:r>
              <w:rPr>
                <w:rFonts w:hint="eastAsia" w:ascii="宋体" w:hAnsi="宋体" w:eastAsia="宋体" w:cs="宋体"/>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投标报价得分=(评标基准价／投标报价)×100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评标总得分＝F1×A1＋F2×A2＋……＋Fn×An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F1、F2……Fn分别为各项评审因素的得分；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A1、A2、……An 分别为各项评审因素所占的权重(A1＋A2＋……＋An＝1)。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因落实政策进行价格调整的，以调整后的价格计算评标基准价和投标报价。</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left="420" w:right="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color w:val="FF0000"/>
                <w:kern w:val="0"/>
                <w:sz w:val="21"/>
                <w:szCs w:val="21"/>
                <w:lang w:val="en-US" w:eastAsia="zh-CN" w:bidi="ar"/>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4"/>
                <w:szCs w:val="24"/>
              </w:rPr>
            </w:pPr>
            <w:bookmarkStart w:id="2" w:name="_Hlk72360569"/>
            <w:r>
              <w:rPr>
                <w:rFonts w:hint="eastAsia" w:ascii="宋体" w:hAnsi="宋体" w:eastAsia="宋体" w:cs="宋体"/>
                <w:b/>
                <w:bCs/>
                <w:kern w:val="0"/>
                <w:sz w:val="24"/>
                <w:szCs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379" w:hRule="atLeast"/>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32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11.12</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非“</w:t>
            </w:r>
            <w:r>
              <w:rPr>
                <w:rFonts w:hint="eastAsia" w:ascii="宋体" w:hAnsi="宋体" w:eastAsia="宋体" w:cs="宋体"/>
                <w:bCs/>
                <w:szCs w:val="21"/>
              </w:rPr>
              <w:t>▲”参数</w:t>
            </w:r>
            <w:r>
              <w:rPr>
                <w:rFonts w:hint="eastAsia" w:ascii="宋体" w:hAnsi="宋体" w:eastAsia="宋体" w:cs="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1"/>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评审内容：</w:t>
            </w:r>
          </w:p>
          <w:p>
            <w:pPr>
              <w:numPr>
                <w:ilvl w:val="-1"/>
                <w:numId w:val="0"/>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投标人提供本项目的组织实施方案，方案中应包含：</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项目进度计划安排 </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施工组织计划 </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验收组织计划 </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产品培训方案 </w:t>
            </w:r>
          </w:p>
          <w:p>
            <w:pPr>
              <w:numPr>
                <w:ilvl w:val="0"/>
                <w:numId w:val="1"/>
              </w:numPr>
              <w:bidi w:val="0"/>
              <w:rPr>
                <w:rFonts w:hint="eastAsia" w:ascii="宋体" w:hAnsi="宋体" w:eastAsia="宋体" w:cs="宋体"/>
                <w:color w:val="17365D"/>
                <w:szCs w:val="24"/>
                <w:lang w:val="en-US" w:eastAsia="zh-CN"/>
              </w:rPr>
            </w:pPr>
            <w:r>
              <w:rPr>
                <w:rFonts w:hint="eastAsia" w:ascii="宋体" w:hAnsi="宋体" w:eastAsia="宋体" w:cs="宋体"/>
                <w:color w:val="0000FF"/>
                <w:kern w:val="0"/>
                <w:szCs w:val="21"/>
                <w:highlight w:val="none"/>
                <w:lang w:val="en-US" w:eastAsia="zh-CN"/>
              </w:rPr>
              <w:t>评审标准：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1.方案中含有上述一个内容得15分，最高得60分。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2.在此基础上，对方案的合理性、可行性进行打分：</w:t>
            </w:r>
          </w:p>
          <w:p>
            <w:pPr>
              <w:numPr>
                <w:ilvl w:val="0"/>
                <w:numId w:val="0"/>
              </w:numPr>
              <w:bidi w:val="0"/>
              <w:ind w:left="105" w:leftChars="0"/>
              <w:rPr>
                <w:rFonts w:hint="eastAsia" w:ascii="宋体" w:hAnsi="宋体" w:eastAsia="宋体" w:cs="宋体"/>
                <w:color w:val="17365D"/>
                <w:szCs w:val="24"/>
                <w:lang w:val="en-US" w:eastAsia="zh-CN"/>
              </w:rPr>
            </w:pPr>
            <w:r>
              <w:rPr>
                <w:rFonts w:hint="eastAsia" w:ascii="宋体" w:hAnsi="宋体" w:eastAsia="宋体" w:cs="宋体"/>
                <w:color w:val="0000FF"/>
                <w:kern w:val="0"/>
                <w:szCs w:val="21"/>
                <w:highlight w:val="none"/>
                <w:lang w:val="en-US" w:eastAsia="zh-CN"/>
              </w:rPr>
              <w:t>（1）方案清晰周密、合理可行、表述完整、方法得当、技术先进、符合相关规范要求得40分。</w:t>
            </w:r>
            <w:r>
              <w:rPr>
                <w:rFonts w:hint="eastAsia" w:ascii="宋体" w:hAnsi="宋体" w:eastAsia="宋体" w:cs="宋体"/>
                <w:color w:val="17365D"/>
                <w:szCs w:val="24"/>
                <w:lang w:val="en-US" w:eastAsia="zh-CN"/>
              </w:rPr>
              <w:t xml:space="preserve"> </w:t>
            </w:r>
          </w:p>
          <w:p>
            <w:pPr>
              <w:numPr>
                <w:ilvl w:val="0"/>
                <w:numId w:val="0"/>
              </w:numPr>
              <w:bidi w:val="0"/>
              <w:ind w:left="105" w:leftChars="0"/>
              <w:rPr>
                <w:rFonts w:hint="eastAsia" w:ascii="宋体" w:hAnsi="宋体" w:eastAsia="宋体" w:cs="宋体"/>
                <w:color w:val="17365D"/>
                <w:szCs w:val="24"/>
                <w:lang w:val="en-US" w:eastAsia="zh-CN"/>
              </w:rPr>
            </w:pPr>
            <w:r>
              <w:rPr>
                <w:rFonts w:hint="eastAsia" w:ascii="宋体" w:hAnsi="宋体" w:eastAsia="宋体" w:cs="宋体"/>
                <w:color w:val="0000FF"/>
                <w:kern w:val="0"/>
                <w:szCs w:val="21"/>
                <w:highlight w:val="none"/>
                <w:lang w:val="en-US" w:eastAsia="zh-CN"/>
              </w:rPr>
              <w:t>（2）方案基本可行表述基本完整得20分。</w:t>
            </w:r>
            <w:r>
              <w:rPr>
                <w:rFonts w:hint="eastAsia" w:ascii="宋体" w:hAnsi="宋体" w:eastAsia="宋体" w:cs="宋体"/>
                <w:color w:val="17365D"/>
                <w:szCs w:val="24"/>
                <w:lang w:val="en-US" w:eastAsia="zh-CN"/>
              </w:rPr>
              <w:t xml:space="preserve"> </w:t>
            </w:r>
          </w:p>
          <w:p>
            <w:pPr>
              <w:numPr>
                <w:ilvl w:val="-1"/>
                <w:numId w:val="0"/>
              </w:numPr>
              <w:bidi w:val="0"/>
              <w:ind w:left="105"/>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（3）未提供或方案计划不切合本项目的实际情况、合理完善性差、可行性差的对应项不得分。</w:t>
            </w:r>
            <w:r>
              <w:rPr>
                <w:rFonts w:hint="eastAsia" w:ascii="宋体" w:hAnsi="宋体" w:eastAsia="宋体" w:cs="宋体"/>
                <w:color w:val="17365D"/>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（一）评审内容： </w:t>
            </w:r>
          </w:p>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根据投标人提供的设计方案进行评价：</w:t>
            </w:r>
          </w:p>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1、场所平面布置图；</w:t>
            </w:r>
          </w:p>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2、场所效果图；</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（二）评审依据：</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1、满足上述任意一项的得30分，最高得60分。 </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2、在上述基础上，由评审委员会对具体响应内容进一步评审：</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1、内容完整，设计合理、实用性强，图片清晰、整体效果完全符合实际需求的评价为优，得40分；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2、内容完整，设计较为合理、实用性一般，图片清晰、整体效果基本符合实际需求的评价为良，得20分；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3、内容基本完整，设计合理性较差、实用性较差，图片清晰、整体效果不符合实际需求的评价为中，得10分；</w:t>
            </w:r>
          </w:p>
          <w:p>
            <w:pPr>
              <w:autoSpaceDE w:val="0"/>
              <w:autoSpaceDN w:val="0"/>
              <w:adjustRightInd w:val="0"/>
              <w:spacing w:line="300" w:lineRule="exact"/>
              <w:jc w:val="left"/>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4、未按要求提供或提供的材料不能证明相关情况的或提供不清晰导致专家无法判断的不得分。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3"/>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评审内容：</w:t>
            </w:r>
          </w:p>
          <w:p>
            <w:pPr>
              <w:numPr>
                <w:ilvl w:val="0"/>
                <w:numId w:val="0"/>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投标人提供本项目的售后服务方案，方案中应包含：</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服务内容 </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维修应急方案 </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培训计划 </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其他特色服务等 </w:t>
            </w:r>
          </w:p>
          <w:p>
            <w:pPr>
              <w:numPr>
                <w:ilvl w:val="0"/>
                <w:numId w:val="3"/>
              </w:numPr>
              <w:bidi w:val="0"/>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评审标准：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1.方案中含有上述一个内容得15分，最高得60分。</w:t>
            </w:r>
          </w:p>
          <w:p>
            <w:pPr>
              <w:autoSpaceDE w:val="0"/>
              <w:autoSpaceDN w:val="0"/>
              <w:adjustRightInd w:val="0"/>
              <w:spacing w:line="300" w:lineRule="exact"/>
              <w:jc w:val="left"/>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2.在此基础上，对方案的合理性、可行性进行打分：</w:t>
            </w:r>
          </w:p>
          <w:p>
            <w:pPr>
              <w:numPr>
                <w:ilvl w:val="0"/>
                <w:numId w:val="5"/>
              </w:numPr>
              <w:bidi w:val="0"/>
              <w:ind w:left="105"/>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售后服务方案非常详细，保障措施完善可行，得40分；</w:t>
            </w:r>
            <w:r>
              <w:rPr>
                <w:rFonts w:hint="eastAsia" w:ascii="宋体" w:hAnsi="宋体" w:eastAsia="宋体" w:cs="宋体"/>
                <w:szCs w:val="24"/>
                <w:lang w:val="en-US" w:eastAsia="zh-CN"/>
              </w:rPr>
              <w:t xml:space="preserve"> </w:t>
            </w:r>
          </w:p>
          <w:p>
            <w:pPr>
              <w:numPr>
                <w:ilvl w:val="0"/>
                <w:numId w:val="5"/>
              </w:numPr>
              <w:bidi w:val="0"/>
              <w:ind w:left="105"/>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售后服务方案比较具体，保障措施比较完善可行，能够满足招标文件要求的得20分；</w:t>
            </w:r>
            <w:r>
              <w:rPr>
                <w:rFonts w:hint="eastAsia" w:ascii="宋体" w:hAnsi="宋体" w:eastAsia="宋体" w:cs="宋体"/>
                <w:szCs w:val="24"/>
                <w:lang w:val="en-US" w:eastAsia="zh-CN"/>
              </w:rPr>
              <w:t xml:space="preserve"> </w:t>
            </w:r>
          </w:p>
          <w:p>
            <w:pPr>
              <w:numPr>
                <w:ilvl w:val="-1"/>
                <w:numId w:val="0"/>
              </w:numPr>
              <w:bidi w:val="0"/>
              <w:ind w:left="105"/>
              <w:rPr>
                <w:rFonts w:hint="eastAsia" w:ascii="宋体" w:hAnsi="宋体" w:eastAsia="宋体" w:cs="宋体"/>
                <w:szCs w:val="24"/>
                <w:lang w:val="en-US" w:eastAsia="zh-CN"/>
              </w:rPr>
            </w:pPr>
            <w:r>
              <w:rPr>
                <w:rFonts w:hint="eastAsia" w:ascii="宋体" w:hAnsi="宋体" w:eastAsia="宋体" w:cs="宋体"/>
                <w:szCs w:val="24"/>
                <w:lang w:val="en-US" w:eastAsia="zh-CN"/>
              </w:rPr>
              <w:t>(3)</w:t>
            </w:r>
            <w:r>
              <w:rPr>
                <w:rFonts w:hint="eastAsia" w:ascii="宋体" w:hAnsi="宋体" w:eastAsia="宋体" w:cs="宋体"/>
                <w:color w:val="0000FF"/>
                <w:kern w:val="0"/>
                <w:szCs w:val="21"/>
                <w:highlight w:val="none"/>
                <w:lang w:val="en-US" w:eastAsia="zh-CN"/>
              </w:rPr>
              <w:t>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szCs w:val="21"/>
              </w:rPr>
            </w:pPr>
            <w:r>
              <w:rPr>
                <w:rFonts w:hint="eastAsia" w:ascii="宋体" w:hAnsi="宋体" w:eastAsia="宋体" w:cs="宋体"/>
                <w:color w:val="0000FF"/>
                <w:kern w:val="0"/>
                <w:szCs w:val="21"/>
                <w:highlight w:val="none"/>
                <w:lang w:val="en-US" w:eastAsia="zh-CN"/>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ascii="宋体" w:hAnsi="宋体" w:eastAsia="宋体" w:cs="宋体"/>
                <w:szCs w:val="21"/>
              </w:rPr>
            </w:pPr>
            <w:r>
              <w:rPr>
                <w:rFonts w:hint="eastAsia" w:ascii="宋体" w:hAnsi="宋体" w:eastAsia="宋体" w:cs="宋体"/>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eastAsia"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szCs w:val="21"/>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eastAsia="zh-CN"/>
              </w:rPr>
            </w:pPr>
            <w:r>
              <w:rPr>
                <w:rFonts w:hint="eastAsia" w:ascii="宋体" w:hAnsi="宋体" w:eastAsia="宋体" w:cs="宋体"/>
                <w:b/>
                <w:bCs/>
                <w:color w:val="0000FF"/>
                <w:kern w:val="0"/>
                <w:sz w:val="24"/>
                <w:szCs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sz w:val="24"/>
                <w:szCs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jc w:val="cente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rPr>
                <w:rFonts w:hint="eastAsia" w:ascii="宋体" w:hAnsi="宋体" w:eastAsia="宋体" w:cs="宋体"/>
                <w:szCs w:val="24"/>
              </w:rPr>
            </w:pPr>
            <w:r>
              <w:rPr>
                <w:rFonts w:hint="eastAsia" w:ascii="宋体" w:hAnsi="宋体" w:eastAsia="宋体" w:cs="宋体"/>
                <w:kern w:val="0"/>
                <w:szCs w:val="21"/>
                <w:highlight w:val="none"/>
              </w:rPr>
              <w:t>（一）评审内容：</w:t>
            </w:r>
          </w:p>
          <w:p>
            <w:pPr>
              <w:bidi w:val="0"/>
              <w:rPr>
                <w:rFonts w:hint="eastAsia" w:ascii="宋体" w:hAnsi="宋体" w:eastAsia="宋体" w:cs="宋体"/>
                <w:szCs w:val="24"/>
                <w:lang w:val="en-US" w:eastAsia="zh-CN"/>
              </w:rPr>
            </w:pPr>
            <w:r>
              <w:rPr>
                <w:rFonts w:hint="eastAsia" w:ascii="宋体" w:hAnsi="宋体" w:eastAsia="宋体" w:cs="宋体"/>
                <w:szCs w:val="24"/>
              </w:rPr>
              <w:t>202</w:t>
            </w:r>
            <w:r>
              <w:rPr>
                <w:rFonts w:hint="eastAsia" w:ascii="宋体" w:hAnsi="宋体" w:eastAsia="宋体" w:cs="宋体"/>
                <w:szCs w:val="24"/>
                <w:lang w:val="en-US" w:eastAsia="zh-CN"/>
              </w:rPr>
              <w:t>2</w:t>
            </w:r>
            <w:r>
              <w:rPr>
                <w:rFonts w:hint="eastAsia" w:ascii="宋体" w:hAnsi="宋体" w:eastAsia="宋体" w:cs="宋体"/>
                <w:szCs w:val="24"/>
              </w:rPr>
              <w:t>年1月1日（以合同签订日期为准）</w:t>
            </w:r>
            <w:r>
              <w:rPr>
                <w:rFonts w:hint="eastAsia" w:ascii="宋体" w:hAnsi="宋体" w:eastAsia="宋体" w:cs="宋体"/>
                <w:szCs w:val="24"/>
                <w:lang w:val="en-US" w:eastAsia="zh-CN"/>
              </w:rPr>
              <w:t>以后，投标人具有与本项目同类项目经验（班组设备或幼儿家具），且履约评价为优或满意（或其他同等评价），每提供一个得20分，最高得100分。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（二）证明材料：</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同时提供以下：（1）合同关键页（须能体现投标人信息）扫描件；（2）设备配置清单扫描件；（3）验收报告[加盖合同相对方公章（或合同相对方业务章）]；（4）履约评价证明[加盖合同相对方公章（或合同相对方业务章）]。</w:t>
            </w:r>
          </w:p>
          <w:p>
            <w:pPr>
              <w:autoSpaceDE w:val="0"/>
              <w:autoSpaceDN w:val="0"/>
              <w:adjustRightInd w:val="0"/>
              <w:spacing w:line="300" w:lineRule="exact"/>
              <w:jc w:val="left"/>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eastAsia="zh-CN"/>
              </w:rPr>
            </w:pPr>
            <w:r>
              <w:rPr>
                <w:rFonts w:hint="eastAsia" w:ascii="宋体" w:hAnsi="宋体" w:eastAsia="宋体" w:cs="宋体"/>
                <w:b/>
                <w:bCs/>
                <w:color w:val="0000FF"/>
                <w:kern w:val="0"/>
                <w:sz w:val="24"/>
                <w:szCs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4"/>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4"/>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b w:val="0"/>
                <w:bCs w:val="0"/>
                <w:kern w:val="2"/>
                <w:sz w:val="21"/>
                <w:szCs w:val="21"/>
                <w:lang w:val="en-US" w:eastAsia="zh-CN" w:bidi="ar-SA"/>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Pr>
        <w:pStyle w:val="15"/>
        <w:widowControl/>
        <w:jc w:val="center"/>
        <w:outlineLvl w:val="1"/>
        <w:rPr>
          <w:rFonts w:ascii="黑体" w:hAnsi="宋体" w:eastAsia="黑体" w:cs="黑体"/>
          <w:sz w:val="40"/>
          <w:szCs w:val="40"/>
        </w:rPr>
      </w:pPr>
    </w:p>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4"/>
        <w:rPr>
          <w:rFonts w:hint="eastAsia"/>
        </w:rPr>
      </w:pPr>
    </w:p>
    <w:p>
      <w:pPr>
        <w:pStyle w:val="14"/>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4"/>
    <w:p>
      <w:pPr>
        <w:pStyle w:val="4"/>
        <w:jc w:val="center"/>
        <w:rPr>
          <w:color w:val="FF0000"/>
          <w:sz w:val="24"/>
        </w:rPr>
      </w:pPr>
      <w:bookmarkStart w:id="6" w:name="bt说明"/>
      <w:bookmarkEnd w:id="6"/>
      <w:bookmarkStart w:id="7" w:name="bt商务标投标文件格式"/>
      <w:bookmarkEnd w:id="7"/>
      <w:bookmarkStart w:id="8" w:name="bt投标文件签署授权委托书"/>
      <w:bookmarkEnd w:id="8"/>
      <w:bookmarkStart w:id="9" w:name="bt投标报价汇总表"/>
      <w:bookmarkEnd w:id="9"/>
      <w:bookmarkStart w:id="10" w:name="bt投标人情况介绍"/>
      <w:bookmarkEnd w:id="10"/>
      <w:bookmarkStart w:id="11" w:name="bt其他资料由投标人自定"/>
      <w:bookmarkEnd w:id="11"/>
      <w:bookmarkStart w:id="12" w:name="bt其他资料2"/>
      <w:bookmarkEnd w:id="12"/>
      <w:bookmarkStart w:id="13" w:name="bt合同条款及格式"/>
      <w:bookmarkEnd w:id="13"/>
      <w:bookmarkStart w:id="14" w:name="bt技术标投标文件格式"/>
      <w:bookmarkEnd w:id="14"/>
      <w:bookmarkStart w:id="15" w:name="bt开标一览表"/>
      <w:bookmarkEnd w:id="15"/>
      <w:bookmarkStart w:id="16" w:name="bt合同条款"/>
      <w:bookmarkEnd w:id="16"/>
      <w:bookmarkStart w:id="17" w:name="bt项目管理班子配备情况"/>
      <w:bookmarkEnd w:id="17"/>
      <w:bookmarkStart w:id="18" w:name="合同格式"/>
      <w:bookmarkEnd w:id="18"/>
      <w:bookmarkStart w:id="19" w:name="bt合同格式"/>
      <w:bookmarkEnd w:id="19"/>
      <w:bookmarkStart w:id="20" w:name="bt投标人须知"/>
      <w:bookmarkEnd w:id="20"/>
      <w:bookmarkStart w:id="21" w:name="bt本工程承诺书"/>
      <w:bookmarkEnd w:id="21"/>
      <w:bookmarkStart w:id="22" w:name="bt投标函"/>
      <w:bookmarkEnd w:id="22"/>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7"/>
        <w:spacing w:before="120" w:beforeLines="50" w:after="120" w:afterLines="50"/>
        <w:jc w:val="center"/>
        <w:rPr>
          <w:szCs w:val="24"/>
        </w:rPr>
      </w:pPr>
      <w:bookmarkStart w:id="24" w:name="_Toc60631620"/>
      <w:bookmarkStart w:id="25" w:name="_Toc73517639"/>
      <w:bookmarkStart w:id="26" w:name="_Toc60560625"/>
      <w:bookmarkStart w:id="27" w:name="_Toc101074876"/>
      <w:bookmarkStart w:id="28" w:name="_Toc73521635"/>
      <w:bookmarkStart w:id="29" w:name="_Toc73518117"/>
      <w:bookmarkStart w:id="30" w:name="_Toc73521547"/>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lang w:eastAsia="zh-CN"/>
              </w:rPr>
              <w:t>深圳市宝安区机关第二幼儿园（深圳市宝安区新安未来之光幼儿园）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7"/>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lang w:val="en-US" w:eastAsia="zh-CN"/>
              </w:rPr>
              <w:t>BAJYJ2025061207351A</w:t>
            </w:r>
          </w:p>
        </w:tc>
        <w:tc>
          <w:tcPr>
            <w:tcW w:w="3158" w:type="dxa"/>
            <w:vAlign w:val="center"/>
          </w:tcPr>
          <w:p>
            <w:pPr>
              <w:jc w:val="center"/>
              <w:rPr>
                <w:b/>
                <w:bCs/>
                <w:color w:val="FF0000"/>
                <w:szCs w:val="21"/>
              </w:rPr>
            </w:pPr>
            <w:r>
              <w:rPr>
                <w:rFonts w:hint="eastAsia"/>
                <w:b/>
                <w:bCs/>
                <w:color w:val="FF0000"/>
                <w:szCs w:val="21"/>
                <w:lang w:eastAsia="zh-CN"/>
              </w:rPr>
              <w:t>深圳市宝安区机关第二幼儿园（深圳市宝安区新安未来之光幼儿园）班组部门设备</w:t>
            </w:r>
            <w:r>
              <w:rPr>
                <w:rFonts w:hint="eastAsia"/>
                <w:b/>
                <w:bCs/>
                <w:color w:val="FF0000"/>
                <w:szCs w:val="21"/>
                <w:lang w:val="en-US" w:eastAsia="zh-CN"/>
              </w:rPr>
              <w:t>采购</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rPr>
              <w:t>378000</w:t>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378000</w:t>
            </w:r>
            <w:r>
              <w:rPr>
                <w:rFonts w:hint="eastAsia"/>
                <w:bCs/>
                <w:color w:val="FF0000"/>
                <w:szCs w:val="21"/>
                <w:lang w:val="en-US" w:eastAsia="zh-CN"/>
              </w:rPr>
              <w:t>.00</w:t>
            </w:r>
          </w:p>
        </w:tc>
      </w:tr>
    </w:tbl>
    <w:p>
      <w:pPr>
        <w:rPr>
          <w:rFonts w:ascii="宋体" w:hAnsi="宋体"/>
          <w:b/>
          <w:color w:val="FF0000"/>
          <w:szCs w:val="21"/>
        </w:rPr>
      </w:pPr>
    </w:p>
    <w:p>
      <w:pPr>
        <w:rPr>
          <w:rFonts w:ascii="宋体" w:hAnsi="宋体"/>
          <w:b/>
          <w:color w:val="FF0000"/>
          <w:szCs w:val="21"/>
        </w:rPr>
      </w:pPr>
    </w:p>
    <w:p>
      <w:pPr>
        <w:pStyle w:val="7"/>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8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94"/>
        <w:gridCol w:w="2120"/>
        <w:gridCol w:w="939"/>
        <w:gridCol w:w="913"/>
        <w:gridCol w:w="893"/>
        <w:gridCol w:w="1042"/>
        <w:gridCol w:w="895"/>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货物名称（标的名称）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是否接受进口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是否专门面向中小企业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BAJYJ2025061207351A</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拒绝进口</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否</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活动柜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平板床</w:t>
      </w:r>
      <w:r>
        <w:rPr>
          <w:rFonts w:hint="eastAsia" w:ascii="宋体" w:hAnsi="宋体"/>
          <w:b/>
          <w:color w:val="FF0000"/>
          <w:szCs w:val="21"/>
          <w:u w:val="single"/>
        </w:rPr>
        <w:t xml:space="preserve">   </w:t>
      </w:r>
      <w:r>
        <w:rPr>
          <w:rFonts w:hint="eastAsia" w:ascii="宋体" w:hAnsi="宋体"/>
          <w:b/>
          <w:color w:val="FF0000"/>
          <w:szCs w:val="21"/>
        </w:rPr>
        <w:t>。</w:t>
      </w:r>
    </w:p>
    <w:bookmarkEnd w:id="37"/>
    <w:p>
      <w:pPr>
        <w:rPr>
          <w:rFonts w:ascii="宋体" w:hAnsi="宋体"/>
          <w:b/>
          <w:color w:val="FF0000"/>
          <w:szCs w:val="21"/>
        </w:rPr>
      </w:pPr>
    </w:p>
    <w:p>
      <w:pPr>
        <w:pStyle w:val="2"/>
      </w:pPr>
    </w:p>
    <w:p>
      <w:pPr>
        <w:pStyle w:val="7"/>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93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0"/>
        <w:gridCol w:w="1080"/>
        <w:gridCol w:w="7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设备名称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 尺寸：（长120*宽30*高75/80cm）±10%，高75cm16个、高80cm32个；材质：柜子框架采用14mm±1mm厚橡胶木指接板，背板采用7.5mm±0.5mm厚浸渍胶膜纸饰面胶合板，柜子层板及边角均为圆角，表面经过3底2面水性漆处理，内部分</w:t>
            </w:r>
            <w:r>
              <w:rPr>
                <w:rStyle w:val="38"/>
                <w:lang w:val="en-US" w:eastAsia="zh-CN" w:bidi="ar"/>
              </w:rPr>
              <w:t>三层，打钉紧装结构。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 ▲橡胶木依据GB/T 1927.5-2021测定标准，其气干密度≥0.7g/cm³；依据LY/T 1985-2011测定标准，五氯苯酚含量为未检出；依据GB/T 1927.19-2021测定标准，板材硬度≥40N/mm²，符合合格要求；</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活动柜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 尺寸：（长120*宽30*高75/80cm）±10%，高75cm2个、高80cm4个；材质：柜子框架采用14mm±1mm厚橡胶木指接板，背板采用7.5mm±0.5mm厚浸渍胶膜纸饰面胶合板，柜子层板及边角均为圆角，表面经过3底2面水性漆处理，内部分四层12格，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 ▲浸渍胶膜纸饰面胶合板GB/T 34722-2017标准，板材无透底、纸板错位、鼓泡、分层、崩边及表面波纹现象，含水率应在6.0%至11.0%，胶合强度≥0.9MPa，表面耐水蒸气等级不低于4级，耐光色牢度不低于4级，均符合合格要求；依据GB/T 39600-2021标准，板材甲醛释放量检测结果为未检出，符合ENF级要求；依据LY/T 1926-2020检测标准，板材经抗菌性能检测（金黄色葡萄球菌、大肠杆菌试验），抗细菌率≥99%；</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 尺寸：（长86*宽40*高77cm）±10%；材质：柜子框架采用14mm±1mm厚橡胶木指接板，背板采用7.5mm±0.5mm厚浸渍胶膜纸饰面胶合板，柜子层板及边角均为圆角，表面经过3底2面水性漆处理，打钉紧装结构。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(6) ▲水性漆依据GB/T 23992-2009测定标准，氯代烃总和含量≤0.05%；依据GB/T 1768-2006测定标准，经耐磨性试验（1000转，500g负荷），质量损失≤50mg，符合合格要求；依据GB/T 37884-2019测定标准，挥发性有机化合物（VOC）释放量≤15μg/m³；</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 尺寸：（长60*宽60*高52/56cm）±10%，高52cm2张、高56cm4张；材质：桌子面板采用18mm±2mm厚橡胶木指接板，桌脚采用橡木木方，外露边角均为倒圆角，表面经过3底2面水性漆处理，打钉紧装结构。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(8) ▲幼儿桌依据GB/T 1927.7-2021测定标准，吸水性4%-8%，符合合格要求；依据LY/T 1985-2011测定标准，五氯苯酚含量为未检出；依据GB/T 39600-2021标准，甲醛释放量检测结果为未检出，符合ENF级要求；</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 尺寸：（座高26/28cm）±10%，高26cm70张、高28cm140张；材质：椅面面板采用14mm±1mm橡胶木，椅脚为橡胶木方，椅脚为圆脚，外露边角均为倒圆角，表面经过3底2面水性漆处理，榫卯打钉紧装结构。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(10) ▲圆木椅依据GB/T 1927.9-2021测定标准，板材抗弯强度≥115Mpa；依据LY/T 1985-2011测定标准，五氯苯酚含量检测结果为未检出；依据GB/T 10357.3-2013 标准，经座面静载荷试验、椅背静载荷试验、座面耐久性试验、椅背耐久性试验、座面冲击试验、椅背冲击试验，所有零部件无断裂或豁裂，所有零部件应无影响使用功能的磨损或变形，符合合格要求；</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 尺寸：（长120*宽60*高52/56cm）±10%，高52cm12张、高56cm24张；材质：桌子面板采用18mm±2mm厚橡胶木指接板，桌脚采用橡木木方，外露边角均为倒圆角，表面经过3底2面水性漆处理，打钉紧装结构。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 尺寸：（长120*宽60*高52/56cm）±10%，高52cm4张、高56cm8张；材质：桌子面板采用18mm±2mm厚橡胶木指接板，桌脚采用橡木木方，外露边角均为倒圆角，表面经过3底2面水性漆处理，打钉紧装结构。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 尺寸：（长120*宽30*高70/75/80cm）±10%，高75cm6个、高80cm12个；材质：柜子框架采用14mm±1mm厚橡胶木指接板，柜子层板及边角均为圆角，表面经过3底2面水性漆处理，上层两格，下层三格，打钉紧装结构。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 尺寸：（长60*宽30*高75/80cm）±10%，高75cm4个、高80cm8个；材质：柜子框架采用14mm±1mm厚橡胶木指接板，柜子层板及边角均为圆角，表面经过3底2面水性漆处理，打钉紧装结构。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 尺寸：（长120*宽30*高75/80cm）±10%，高75cm2个、高80cm4个；材质：柜子框架采用14mm±1mm厚橡胶木指接板，柜子层板及边角均为圆角，表面经过3底2面水性漆处理，内部分四层，打钉紧装结构。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(16) ▲基本图书柜依据GB/T 4893.2-2020测定标准，经耐湿热试验（20min，70℃），耐湿热等级不低于2级；依据LY/T 1985-2011标准，五氯苯酚含量检测结果为未检出；依据GB/T 40904-2021测定标准，24种禁用芳香胺检测结果为未检出；</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 尺寸：（长120*宽60*高15cm）±10%；材质：采用12mm±1mm浸渍胶膜纸饰面胶合板。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 尺寸：（长133*宽57*高19cm）±10%；材质：木质，四脚采用塑料脚可层叠。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 尺寸：（长136*宽58*高8cm）±10%；材质：钢管烤漆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 尺寸：（长200*宽100*高52/56cm）±10%，高52cm2张、高56cm4张；材质：桌子面板采用18mm±2mm厚橡胶木指接板，桌脚采用橡木木方，外露边角均为倒圆角，表面经过3底2面水性漆处理，中间设置凹槽透明作品展示区，榫卯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 尺寸：（长230*宽40*高50cm）±10%；材质：层板侧板均采用18mm±2mm厚浸渍胶膜纸饰面胶合板，采用PVC封边条，配件为五金件铰链，边角均为圆角；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(22) ▲PVC封边条依据GB/T 16422.2-2022 试验标准，经120hUV老化试验，样品表面无裂纹化，符合合格要求；依据QB/T 4463-2013标准，封边条甲醛释放量≤0.5mg/L，氯乙烯单体含量≤1.5mg/kg；依据GB/T 3830-2024标准，封边条拉伸强度≥15.0MPa，拉伸断裂应变≥185%，加热损失率≤1.0%；</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 尺寸：（长200*宽45*高50cm）±10%；材质：层板侧板均采用18mm±2mm厚浸渍胶膜纸饰面胶合板，采用PVC封边条，配件为五金件铰链，边角均为圆角；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 尺寸：（长370*宽55*高55cm）±10%；材质：柜体采用18mm±2mm厚浸渍胶膜纸饰面胶合板，台面采用大理石板；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 尺寸：（长55*宽12*高127cm）±10%；材质：304不锈钢，40位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 尺寸：（长100cm）±10%；材质：木质，9个挂位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(28) ▲木蜡油依据GB/T 27811-2011标准，细度≤15μm，经贮存稳定性试验（结皮性（24h）、沉降性（50±2）℃，7d），无结皮，无异常现象，苯含量为未检出，甲苯、二甲苯、乙苯含量总和为未检出，可溶性重金属（铅、镉、铬、汞）含量均未检出，经1h耐污染性（醋、茶）、1h耐碱性（50g/L NaHCO 溶液）、8h耐醇性试验，均无异常现象；依据GB/T 23992-2009测定标准，氯代烃含量为未检出，</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 尺寸：（长80*宽30*高70cm）±10%；材质：主框架采用22mm±2mm厚枫木纹三聚氰胺双贴面橡胶木，木蜡油封边，五金件紧固，柜体采用踢脚板设计，柜底配以耐磨塑胶PP脚钉。柜体内部格局分为三列，每列两侧板内侧各设置5根塑胶PP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 尺寸：（长80*宽30*高48cm）±10%；材质：主框架采用22mm±2mm厚枫木纹三聚氰胺双贴面橡胶木板，层板采用15mm厚枫木纹三聚氰胺双贴面胶合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 尺寸：（长80*宽29*高48cm）±10%；材质：主框架采用22mm±2mm厚枫木纹三聚氰胺双贴面橡胶木，层板采用15mm厚枫木纹三聚氰胺双贴面胶合板。木蜡油封边，五金件紧固，柜体采用踢脚板设计，柜底配以耐磨塑胶PP脚钉，上层二格，下层三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 尺寸：（长80*宽30*高29cm）±10%；材质：框体采用16mm±1mm厚枫木纹双贴面刨花板，背板为5mm厚枫木纹双贴面密度板，PVC封边条封边，五金件紧固，柜体采用踢脚板设计，柜底配以耐磨塑胶PP脚钉。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 尺寸：（长84*宽38*高48cm）±10%；材质：主框架采用22mm±2mm厚枫木纹三聚氰胺双贴面橡胶木，层板采用15mm厚枫木纹三聚氰胺双贴面胶合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 尺寸：（长75*宽7.5*高123cm）±10%；材质：主立柱采用松木，油漆处理，入口门及门头采用15mm±1mm厚枫木纹三聚氰胺双贴面胶合，五金件紧固，防夹手设计，门轴缝隙全包裹。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 尺寸：（长60*宽30*高50cm）±10%；材质：框体采用16mm±1mm厚枫木纹双贴面刨花板，PVC封边条封边，五金件紧固，柜体采用踢脚板设计，柜底配以耐磨塑胶PP脚钉。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 尺寸：（长60*宽*40高94cm）±10%；材质：</w:t>
            </w:r>
            <w:r>
              <w:rPr>
                <w:rStyle w:val="38"/>
                <w:lang w:val="en-US" w:eastAsia="zh-CN" w:bidi="ar"/>
              </w:rPr>
              <w:t>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(38) </w:t>
            </w:r>
            <w:r>
              <w:rPr>
                <w:rStyle w:val="38"/>
                <w:lang w:val="en-US" w:eastAsia="zh-CN" w:bidi="ar"/>
              </w:rPr>
              <w:t>尺寸：（长60*宽40*高96cm）±10%；材质：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 尺寸：（长39*宽37*高51cm）±10%；材质：框体采用16mm±1mm厚三聚氰胺双贴面高密度刨花板，PVC封边条封边，五金件紧固，厨房主题图案UV油墨打印工艺处理，采用踢脚板设计，柜底配以耐磨塑胶PP脚钉。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 尺寸：（长39*宽37*高71cm）±10%；材质：框体采用16mm±1mm厚三聚氰胺双贴面高密度刨花板，PVC封边条封边，五金件紧固，厨房主题图案UV油墨打印工艺处理，采用踢脚板设计，柜底配以耐磨塑胶PP脚钉。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(41) ▲油墨依据QB/T 5603-2021标准，着色力≥99%，细度≤10μm，挥发性有机化合物（VOCs）含量≤2.0%，干燥性（最低固化能量）≤35mJ/cm²。</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 尺寸：（长39*宽37*高51cm）±10%；材质：框体采用16mm±1mm厚三聚氰胺双贴面高密度刨花板，PVC封边条封边，五金件紧固，厨房主题图案UV油墨打印工艺处理，采用踢脚板设计，柜底配以耐磨塑胶PP脚钉。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 尺寸：（长39*宽37*高51cm）±10%；材质：框体采用16mm±1mm厚三聚氰胺双贴面高密度刨花板，PVC封边条封边，五金件紧固，厨房主题图案UV油墨打印工艺处理，采用踢脚板设计，柜底配以耐磨塑胶PP脚钉。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 尺寸：（长80*宽60*高52cm）±10%；材质：桌面采用25mm±2mm厚防火板双贴面松木，木蜡油封边，桌脚采用直径48mm±4mm桦木，油漆处理，五金件紧固，桌面背面设置有4个三瓣花造型ABS连接件，桌脚使用螺旋安装方式与桌面连接，桌脚底部配置塑料脚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 尺寸：（座高23cm）±10%；材质：整体采用实木橡胶木，木蜡油封边，五金件紧固，座椅靠背由一块弧形板及一根横撑组成，四个椅脚用工字型杆件连接，椅脚底部配以耐磨塑胶PP脚钉。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 尺寸：（长120*宽60*高15cm）±10%；材质：采用12mm±1mm浸渍胶膜纸饰面胶合板。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 尺寸：（长105*宽53*高75cm）±10%；材质：毛巾架两侧主支撑架采用18mm±1mm厚枫木纹双贴面胶合板，其他部位采用15mm±1mm厚枫木纹双贴面胶合板，木蜡油封边，五金件紧固，毛巾架配备金属烤漆挂钩，毛巾架底部配以4个万向轮（其中2个带锁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 尺寸：（长49*宽71*高79cm）±10%；材质：框体采用15mm±1mm厚三聚氰胺贴面胶合板，木蜡油封边，五金件紧固，底部配以耐磨塑胶PP脚钉。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 尺寸：（长69*宽46*高13cm）±10%；材质：PVC+海绵。</w:t>
            </w:r>
          </w:p>
        </w:tc>
      </w:tr>
    </w:tbl>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rFonts w:hint="eastAsia" w:ascii="宋体" w:hAnsi="宋体" w:eastAsia="宋体" w:cs="宋体"/>
                <w:b/>
              </w:rPr>
            </w:pPr>
            <w:r>
              <w:rPr>
                <w:rFonts w:hint="eastAsia" w:ascii="宋体" w:hAnsi="宋体" w:eastAsia="宋体" w:cs="宋体"/>
                <w:b/>
              </w:rPr>
              <w:t>序号</w:t>
            </w:r>
          </w:p>
        </w:tc>
        <w:tc>
          <w:tcPr>
            <w:tcW w:w="1457" w:type="dxa"/>
            <w:vAlign w:val="center"/>
          </w:tcPr>
          <w:p>
            <w:pPr>
              <w:jc w:val="center"/>
              <w:rPr>
                <w:rFonts w:hint="eastAsia" w:ascii="宋体" w:hAnsi="宋体" w:eastAsia="宋体" w:cs="宋体"/>
                <w:b/>
              </w:rPr>
            </w:pPr>
            <w:r>
              <w:rPr>
                <w:rFonts w:hint="eastAsia" w:ascii="宋体" w:hAnsi="宋体" w:eastAsia="宋体" w:cs="宋体"/>
                <w:b/>
              </w:rPr>
              <w:t>商务需求项</w:t>
            </w:r>
          </w:p>
        </w:tc>
        <w:tc>
          <w:tcPr>
            <w:tcW w:w="6523" w:type="dxa"/>
            <w:vAlign w:val="center"/>
          </w:tcPr>
          <w:p>
            <w:pPr>
              <w:jc w:val="center"/>
              <w:rPr>
                <w:rFonts w:hint="eastAsia" w:ascii="宋体" w:hAnsi="宋体" w:eastAsia="宋体" w:cs="宋体"/>
                <w:b/>
              </w:rPr>
            </w:pPr>
            <w:r>
              <w:rPr>
                <w:rFonts w:hint="eastAsia" w:ascii="宋体" w:hAnsi="宋体" w:eastAsia="宋体" w:cs="宋体"/>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vAlign w:val="top"/>
          </w:tcPr>
          <w:p>
            <w:pPr>
              <w:rPr>
                <w:rFonts w:hint="eastAsia" w:ascii="宋体" w:hAnsi="宋体" w:eastAsia="宋体" w:cs="宋体"/>
                <w:b/>
              </w:rPr>
            </w:pPr>
            <w:r>
              <w:rPr>
                <w:rFonts w:hint="eastAsia" w:ascii="宋体" w:hAnsi="宋体" w:eastAsia="宋体" w:cs="宋体"/>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rFonts w:hint="eastAsia" w:ascii="宋体" w:hAnsi="宋体" w:eastAsia="宋体" w:cs="宋体"/>
                <w:bCs/>
              </w:rPr>
            </w:pPr>
            <w:r>
              <w:rPr>
                <w:rFonts w:hint="eastAsia" w:ascii="宋体" w:hAnsi="宋体" w:eastAsia="宋体" w:cs="宋体"/>
                <w:bCs/>
              </w:rPr>
              <w:t>1</w:t>
            </w:r>
          </w:p>
        </w:tc>
        <w:tc>
          <w:tcPr>
            <w:tcW w:w="1457" w:type="dxa"/>
            <w:vAlign w:val="top"/>
          </w:tcPr>
          <w:p>
            <w:pPr>
              <w:jc w:val="center"/>
              <w:rPr>
                <w:rFonts w:hint="eastAsia" w:ascii="宋体" w:hAnsi="宋体" w:eastAsia="宋体" w:cs="宋体"/>
              </w:rPr>
            </w:pPr>
            <w:r>
              <w:rPr>
                <w:rFonts w:hint="eastAsia" w:ascii="宋体" w:hAnsi="宋体" w:eastAsia="宋体" w:cs="宋体"/>
              </w:rPr>
              <w:t>维修响应及故障解决时间</w:t>
            </w:r>
          </w:p>
        </w:tc>
        <w:tc>
          <w:tcPr>
            <w:tcW w:w="6523" w:type="dxa"/>
            <w:vAlign w:val="top"/>
          </w:tcPr>
          <w:p>
            <w:pPr>
              <w:rPr>
                <w:rFonts w:hint="eastAsia" w:ascii="宋体" w:hAnsi="宋体" w:eastAsia="宋体" w:cs="宋体"/>
                <w:b/>
              </w:rPr>
            </w:pPr>
            <w:r>
              <w:rPr>
                <w:rFonts w:hint="eastAsia" w:ascii="宋体" w:hAnsi="宋体" w:eastAsia="宋体" w:cs="宋体"/>
                <w:bCs/>
                <w:szCs w:val="21"/>
              </w:rPr>
              <w:t>在免费保修期内，一旦发生质量问题，中标人保证在接到通知</w:t>
            </w:r>
            <w:r>
              <w:rPr>
                <w:rFonts w:hint="eastAsia" w:ascii="宋体" w:hAnsi="宋体" w:eastAsia="宋体" w:cs="宋体"/>
                <w:bCs/>
                <w:szCs w:val="21"/>
                <w:lang w:val="en-US" w:eastAsia="zh-CN"/>
              </w:rPr>
              <w:t>1</w:t>
            </w:r>
            <w:r>
              <w:rPr>
                <w:rFonts w:hint="eastAsia" w:ascii="宋体" w:hAnsi="宋体" w:eastAsia="宋体" w:cs="宋体"/>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2</w:t>
            </w:r>
          </w:p>
        </w:tc>
        <w:tc>
          <w:tcPr>
            <w:tcW w:w="1457"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免费保修期</w:t>
            </w:r>
          </w:p>
        </w:tc>
        <w:tc>
          <w:tcPr>
            <w:tcW w:w="6523" w:type="dxa"/>
            <w:vAlign w:val="top"/>
          </w:tcPr>
          <w:p>
            <w:pPr>
              <w:rPr>
                <w:rFonts w:hint="eastAsia" w:ascii="宋体" w:hAnsi="宋体" w:eastAsia="宋体" w:cs="宋体"/>
                <w:b/>
                <w:szCs w:val="21"/>
              </w:rPr>
            </w:pPr>
            <w:r>
              <w:rPr>
                <w:rFonts w:hint="eastAsia" w:ascii="宋体" w:hAnsi="宋体" w:eastAsia="宋体" w:cs="宋体"/>
                <w:bCs/>
                <w:szCs w:val="21"/>
              </w:rPr>
              <w:t>1.货物免费</w:t>
            </w:r>
            <w:r>
              <w:rPr>
                <w:rFonts w:hint="eastAsia" w:ascii="宋体" w:hAnsi="宋体" w:eastAsia="宋体" w:cs="宋体"/>
                <w:bCs/>
                <w:color w:val="000000" w:themeColor="text1"/>
                <w:szCs w:val="21"/>
              </w:rPr>
              <w:t>保修期</w:t>
            </w:r>
            <w:r>
              <w:rPr>
                <w:rFonts w:hint="eastAsia" w:ascii="宋体" w:hAnsi="宋体" w:eastAsia="宋体" w:cs="宋体"/>
                <w:bCs/>
                <w:color w:val="000000" w:themeColor="text1"/>
                <w:szCs w:val="21"/>
                <w:u w:val="single"/>
              </w:rPr>
              <w:t xml:space="preserve">  </w:t>
            </w:r>
            <w:r>
              <w:rPr>
                <w:rFonts w:hint="eastAsia" w:ascii="宋体" w:hAnsi="宋体" w:cs="宋体"/>
                <w:bCs/>
                <w:color w:val="000000" w:themeColor="text1"/>
                <w:szCs w:val="21"/>
                <w:u w:val="single"/>
                <w:lang w:val="en-US" w:eastAsia="zh-CN"/>
              </w:rPr>
              <w:t>5</w:t>
            </w:r>
            <w:r>
              <w:rPr>
                <w:rFonts w:hint="eastAsia" w:ascii="宋体" w:hAnsi="宋体" w:eastAsia="宋体" w:cs="宋体"/>
                <w:bCs/>
                <w:color w:val="000000" w:themeColor="text1"/>
                <w:szCs w:val="21"/>
                <w:u w:val="single"/>
              </w:rPr>
              <w:t xml:space="preserve">  </w:t>
            </w:r>
            <w:r>
              <w:rPr>
                <w:rFonts w:hint="eastAsia" w:ascii="宋体" w:hAnsi="宋体" w:eastAsia="宋体" w:cs="宋体"/>
                <w:bCs/>
                <w:color w:val="000000" w:themeColor="text1"/>
                <w:szCs w:val="21"/>
              </w:rPr>
              <w:t>年，时</w:t>
            </w:r>
            <w:r>
              <w:rPr>
                <w:rFonts w:hint="eastAsia" w:ascii="宋体" w:hAnsi="宋体" w:eastAsia="宋体" w:cs="宋体"/>
                <w:bCs/>
                <w:szCs w:val="21"/>
              </w:rPr>
              <w:t>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rFonts w:hint="eastAsia" w:ascii="宋体" w:hAnsi="宋体" w:eastAsia="宋体" w:cs="宋体"/>
                <w:b/>
              </w:rPr>
            </w:pPr>
          </w:p>
        </w:tc>
        <w:tc>
          <w:tcPr>
            <w:tcW w:w="1457" w:type="dxa"/>
            <w:vMerge w:val="continue"/>
            <w:vAlign w:val="center"/>
          </w:tcPr>
          <w:p>
            <w:pPr>
              <w:rPr>
                <w:rFonts w:hint="eastAsia" w:ascii="宋体" w:hAnsi="宋体" w:eastAsia="宋体" w:cs="宋体"/>
              </w:rPr>
            </w:pPr>
          </w:p>
        </w:tc>
        <w:tc>
          <w:tcPr>
            <w:tcW w:w="6523" w:type="dxa"/>
            <w:vAlign w:val="center"/>
          </w:tcPr>
          <w:p>
            <w:pPr>
              <w:rPr>
                <w:rFonts w:hint="eastAsia" w:ascii="宋体" w:hAnsi="宋体" w:eastAsia="宋体" w:cs="宋体"/>
                <w:bCs/>
                <w:szCs w:val="21"/>
              </w:rPr>
            </w:pPr>
            <w:r>
              <w:rPr>
                <w:rFonts w:hint="eastAsia" w:ascii="宋体" w:hAnsi="宋体" w:eastAsia="宋体" w:cs="宋体"/>
                <w:bCs/>
                <w:szCs w:val="21"/>
              </w:rPr>
              <w:t>2.免费保修期内，</w:t>
            </w:r>
            <w:r>
              <w:rPr>
                <w:rFonts w:hint="eastAsia" w:ascii="宋体" w:hAnsi="宋体" w:eastAsia="宋体" w:cs="宋体"/>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rFonts w:hint="eastAsia" w:ascii="宋体" w:hAnsi="宋体" w:eastAsia="宋体" w:cs="宋体"/>
                <w:b/>
              </w:rPr>
            </w:pPr>
            <w:r>
              <w:rPr>
                <w:rFonts w:hint="eastAsia" w:ascii="宋体" w:hAnsi="宋体" w:eastAsia="宋体" w:cs="宋体"/>
                <w:szCs w:val="21"/>
              </w:rPr>
              <w:t>3</w:t>
            </w:r>
          </w:p>
        </w:tc>
        <w:tc>
          <w:tcPr>
            <w:tcW w:w="1457" w:type="dxa"/>
            <w:vAlign w:val="center"/>
          </w:tcPr>
          <w:p>
            <w:pPr>
              <w:jc w:val="center"/>
              <w:rPr>
                <w:rFonts w:hint="eastAsia" w:ascii="宋体" w:hAnsi="宋体" w:eastAsia="宋体" w:cs="宋体"/>
                <w:b/>
              </w:rPr>
            </w:pPr>
            <w:r>
              <w:rPr>
                <w:rFonts w:hint="eastAsia" w:ascii="宋体" w:hAnsi="宋体" w:eastAsia="宋体" w:cs="宋体"/>
                <w:szCs w:val="21"/>
              </w:rPr>
              <w:t>技术文件</w:t>
            </w:r>
          </w:p>
        </w:tc>
        <w:tc>
          <w:tcPr>
            <w:tcW w:w="6523" w:type="dxa"/>
            <w:vAlign w:val="center"/>
          </w:tcPr>
          <w:p>
            <w:pPr>
              <w:rPr>
                <w:rFonts w:hint="eastAsia" w:ascii="宋体" w:hAnsi="宋体" w:eastAsia="宋体" w:cs="宋体"/>
                <w:bCs/>
              </w:rPr>
            </w:pPr>
            <w:r>
              <w:rPr>
                <w:rFonts w:hint="eastAsia" w:ascii="宋体" w:hAnsi="宋体" w:eastAsia="宋体" w:cs="宋体"/>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eastAsia="宋体" w:cs="宋体"/>
                <w:b/>
              </w:rPr>
            </w:pPr>
            <w:r>
              <w:rPr>
                <w:rFonts w:hint="eastAsia" w:ascii="宋体" w:hAnsi="宋体" w:eastAsia="宋体" w:cs="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1</w:t>
            </w:r>
          </w:p>
        </w:tc>
        <w:tc>
          <w:tcPr>
            <w:tcW w:w="1457" w:type="dxa"/>
            <w:vAlign w:val="center"/>
          </w:tcPr>
          <w:p>
            <w:pPr>
              <w:spacing w:line="360" w:lineRule="exact"/>
              <w:jc w:val="center"/>
              <w:rPr>
                <w:rFonts w:hint="eastAsia" w:ascii="宋体" w:hAnsi="宋体" w:eastAsia="宋体" w:cs="宋体"/>
                <w:b/>
                <w:color w:val="000000"/>
                <w:sz w:val="20"/>
                <w:szCs w:val="20"/>
              </w:rPr>
            </w:pPr>
            <w:r>
              <w:rPr>
                <w:rStyle w:val="20"/>
                <w:rFonts w:hint="eastAsia" w:ascii="宋体" w:hAnsi="宋体" w:eastAsia="宋体" w:cs="宋体"/>
                <w:color w:val="000000"/>
                <w:sz w:val="20"/>
                <w:szCs w:val="20"/>
              </w:rPr>
              <w:t>维修零配件、消耗品和延续保修合同的报价</w:t>
            </w:r>
          </w:p>
        </w:tc>
        <w:tc>
          <w:tcPr>
            <w:tcW w:w="6523" w:type="dxa"/>
            <w:vAlign w:val="center"/>
          </w:tcPr>
          <w:p>
            <w:pPr>
              <w:spacing w:line="360" w:lineRule="exact"/>
              <w:rPr>
                <w:rFonts w:hint="eastAsia" w:ascii="宋体" w:hAnsi="宋体" w:eastAsia="宋体" w:cs="宋体"/>
                <w:b/>
                <w:color w:val="000000"/>
              </w:rPr>
            </w:pPr>
            <w:r>
              <w:rPr>
                <w:rFonts w:hint="eastAsia" w:ascii="宋体" w:hAnsi="宋体" w:eastAsia="宋体" w:cs="宋体"/>
                <w:color w:val="000000"/>
                <w:sz w:val="20"/>
                <w:szCs w:val="20"/>
              </w:rPr>
              <w:t>1.1由设备制造商提供售后服务，</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 xml:space="preserve">1 </w:t>
            </w:r>
            <w:r>
              <w:rPr>
                <w:rFonts w:hint="eastAsia" w:ascii="宋体" w:hAnsi="宋体" w:eastAsia="宋体" w:cs="宋体"/>
                <w:color w:val="000000"/>
                <w:sz w:val="20"/>
                <w:szCs w:val="20"/>
              </w:rPr>
              <w:t>小时内响应，</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24</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eastAsia="宋体" w:cs="宋体"/>
                <w:b/>
              </w:rPr>
            </w:pPr>
            <w:r>
              <w:rPr>
                <w:rFonts w:hint="eastAsia" w:ascii="宋体" w:hAnsi="宋体" w:eastAsia="宋体" w:cs="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eastAsia="zh-CN"/>
              </w:rPr>
              <w:t>1</w:t>
            </w:r>
          </w:p>
        </w:tc>
        <w:tc>
          <w:tcPr>
            <w:tcW w:w="1457" w:type="dxa"/>
            <w:vMerge w:val="restart"/>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违约责任</w:t>
            </w:r>
          </w:p>
        </w:tc>
        <w:tc>
          <w:tcPr>
            <w:tcW w:w="6523" w:type="dxa"/>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.1中标人不能交货的，需偿付不能交货部分货款的</w:t>
            </w:r>
            <w:r>
              <w:rPr>
                <w:rFonts w:hint="eastAsia" w:ascii="宋体" w:hAnsi="宋体" w:eastAsia="宋体" w:cs="宋体"/>
                <w:color w:val="000000"/>
                <w:sz w:val="20"/>
                <w:szCs w:val="20"/>
                <w:u w:val="single"/>
              </w:rPr>
              <w:t xml:space="preserve">  </w:t>
            </w:r>
            <w:r>
              <w:rPr>
                <w:rFonts w:hint="eastAsia" w:ascii="宋体" w:hAnsi="宋体" w:eastAsia="宋体" w:cs="宋体"/>
                <w:lang w:val="en-US" w:eastAsia="zh-CN"/>
              </w:rPr>
              <w:t>1</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sz w:val="20"/>
                <w:szCs w:val="20"/>
              </w:rPr>
            </w:pPr>
          </w:p>
        </w:tc>
        <w:tc>
          <w:tcPr>
            <w:tcW w:w="1457" w:type="dxa"/>
            <w:vMerge w:val="continue"/>
            <w:vAlign w:val="center"/>
          </w:tcPr>
          <w:p>
            <w:pPr>
              <w:spacing w:line="360" w:lineRule="exact"/>
              <w:jc w:val="center"/>
              <w:rPr>
                <w:rFonts w:hint="eastAsia" w:ascii="宋体" w:hAnsi="宋体" w:eastAsia="宋体" w:cs="宋体"/>
                <w:b/>
                <w:sz w:val="20"/>
                <w:szCs w:val="20"/>
              </w:rPr>
            </w:pPr>
          </w:p>
        </w:tc>
        <w:tc>
          <w:tcPr>
            <w:tcW w:w="6523" w:type="dxa"/>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sz w:val="20"/>
                <w:szCs w:val="20"/>
              </w:rPr>
            </w:pPr>
          </w:p>
        </w:tc>
        <w:tc>
          <w:tcPr>
            <w:tcW w:w="1457" w:type="dxa"/>
            <w:vMerge w:val="continue"/>
            <w:vAlign w:val="center"/>
          </w:tcPr>
          <w:p>
            <w:pPr>
              <w:spacing w:line="360" w:lineRule="exact"/>
              <w:jc w:val="center"/>
              <w:rPr>
                <w:rFonts w:hint="eastAsia" w:ascii="宋体" w:hAnsi="宋体" w:eastAsia="宋体" w:cs="宋体"/>
                <w:b/>
                <w:sz w:val="20"/>
                <w:szCs w:val="20"/>
              </w:rPr>
            </w:pPr>
          </w:p>
        </w:tc>
        <w:tc>
          <w:tcPr>
            <w:tcW w:w="6523" w:type="dxa"/>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000000"/>
                <w:sz w:val="20"/>
                <w:szCs w:val="20"/>
                <w:lang w:val="en-US" w:eastAsia="zh-CN"/>
              </w:rPr>
              <w:t>采购人</w:t>
            </w:r>
            <w:r>
              <w:rPr>
                <w:rFonts w:hint="eastAsia" w:ascii="宋体" w:hAnsi="宋体" w:eastAsia="宋体" w:cs="宋体"/>
                <w:color w:val="000000"/>
                <w:sz w:val="20"/>
                <w:szCs w:val="20"/>
              </w:rPr>
              <w:t>将根据标的的性质以及损失的大小，可以合理选择要求</w:t>
            </w:r>
            <w:r>
              <w:rPr>
                <w:rFonts w:hint="eastAsia" w:ascii="宋体" w:hAnsi="宋体" w:eastAsia="宋体" w:cs="宋体"/>
                <w:color w:val="000000"/>
                <w:sz w:val="20"/>
                <w:szCs w:val="20"/>
                <w:lang w:val="en-US" w:eastAsia="zh-CN"/>
              </w:rPr>
              <w:t>中标人</w:t>
            </w:r>
            <w:r>
              <w:rPr>
                <w:rFonts w:hint="eastAsia" w:ascii="宋体" w:hAnsi="宋体" w:eastAsia="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bCs w:val="0"/>
                <w:sz w:val="20"/>
                <w:szCs w:val="20"/>
                <w:lang w:eastAsia="zh-CN"/>
              </w:rPr>
            </w:pPr>
            <w:r>
              <w:rPr>
                <w:rFonts w:hint="eastAsia" w:ascii="宋体" w:hAnsi="宋体" w:eastAsia="宋体" w:cs="宋体"/>
                <w:b/>
                <w:bCs w:val="0"/>
                <w:sz w:val="20"/>
                <w:szCs w:val="20"/>
                <w:lang w:val="en-US" w:eastAsia="zh-CN"/>
              </w:rPr>
              <w:t>2</w:t>
            </w:r>
          </w:p>
        </w:tc>
        <w:tc>
          <w:tcPr>
            <w:tcW w:w="1457" w:type="dxa"/>
            <w:vMerge w:val="restart"/>
            <w:vAlign w:val="center"/>
          </w:tcPr>
          <w:p>
            <w:pPr>
              <w:spacing w:line="36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rPr>
              <w:t>交货</w:t>
            </w:r>
            <w:r>
              <w:rPr>
                <w:rFonts w:hint="eastAsia" w:ascii="宋体" w:hAnsi="宋体" w:eastAsia="宋体" w:cs="宋体"/>
                <w:b/>
                <w:bCs w:val="0"/>
                <w:sz w:val="20"/>
                <w:szCs w:val="20"/>
                <w:lang w:val="en-US" w:eastAsia="zh-CN"/>
              </w:rPr>
              <w:t>及付款要求</w:t>
            </w:r>
          </w:p>
        </w:tc>
        <w:tc>
          <w:tcPr>
            <w:tcW w:w="6523" w:type="dxa"/>
            <w:vAlign w:val="center"/>
          </w:tcPr>
          <w:p>
            <w:pPr>
              <w:spacing w:line="360" w:lineRule="exact"/>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.1履约时间和地点：投标供应商在签订合同之日起30天内交货，交货地点为</w:t>
            </w:r>
            <w:r>
              <w:rPr>
                <w:rFonts w:hint="eastAsia" w:ascii="宋体" w:hAnsi="宋体" w:eastAsia="宋体" w:cs="宋体"/>
                <w:lang w:eastAsia="zh-CN"/>
              </w:rPr>
              <w:t>深圳市宝安区机关第二幼儿园（深圳市宝安区新安未来之光幼儿园）</w:t>
            </w:r>
            <w:r>
              <w:rPr>
                <w:rFonts w:hint="eastAsia" w:ascii="宋体" w:hAnsi="宋体" w:eastAsia="宋体" w:cs="宋体"/>
              </w:rPr>
              <w:t>。</w:t>
            </w:r>
          </w:p>
          <w:p>
            <w:pPr>
              <w:pStyle w:val="2"/>
              <w:rPr>
                <w:rFonts w:hint="eastAsia" w:ascii="宋体" w:hAnsi="宋体" w:eastAsia="宋体" w:cs="宋体"/>
                <w:lang w:val="en-US" w:eastAsia="zh-CN"/>
              </w:rPr>
            </w:pPr>
            <w:r>
              <w:rPr>
                <w:rFonts w:hint="eastAsia" w:ascii="宋体" w:hAnsi="宋体" w:eastAsia="宋体" w:cs="宋体"/>
                <w:b w:val="0"/>
                <w:bCs w:val="0"/>
                <w:kern w:val="2"/>
                <w:sz w:val="21"/>
                <w:szCs w:val="24"/>
                <w:lang w:val="en-US" w:eastAsia="zh-CN" w:bidi="ar-SA"/>
              </w:rPr>
              <w:t>注：长期货物政府采购（自行采购）合同履行期限最长不得超过二十四个月，如甲方对履约情况不满意，甲方不再续约。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hint="eastAsia" w:ascii="宋体" w:hAnsi="宋体" w:eastAsia="宋体" w:cs="宋体"/>
                <w:b/>
                <w:bCs w:val="0"/>
                <w:sz w:val="20"/>
                <w:szCs w:val="20"/>
              </w:rPr>
            </w:pPr>
          </w:p>
        </w:tc>
        <w:tc>
          <w:tcPr>
            <w:tcW w:w="1457" w:type="dxa"/>
            <w:vMerge w:val="continue"/>
            <w:vAlign w:val="center"/>
          </w:tcPr>
          <w:p>
            <w:pPr>
              <w:spacing w:line="360" w:lineRule="exact"/>
              <w:jc w:val="center"/>
              <w:rPr>
                <w:rFonts w:hint="eastAsia" w:ascii="宋体" w:hAnsi="宋体" w:eastAsia="宋体" w:cs="宋体"/>
                <w:b/>
                <w:bCs w:val="0"/>
                <w:sz w:val="20"/>
                <w:szCs w:val="20"/>
              </w:rPr>
            </w:pPr>
          </w:p>
        </w:tc>
        <w:tc>
          <w:tcPr>
            <w:tcW w:w="6523" w:type="dxa"/>
            <w:vAlign w:val="center"/>
          </w:tcPr>
          <w:p>
            <w:pPr>
              <w:spacing w:line="360" w:lineRule="exact"/>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.2付款期限和方式：</w:t>
            </w:r>
          </w:p>
          <w:p>
            <w:pPr>
              <w:pStyle w:val="2"/>
              <w:rPr>
                <w:rFonts w:hint="eastAsia" w:ascii="宋体" w:hAnsi="宋体" w:eastAsia="宋体" w:cs="宋体"/>
                <w:lang w:val="en-US" w:eastAsia="zh-CN"/>
              </w:rPr>
            </w:pPr>
            <w:r>
              <w:rPr>
                <w:rFonts w:hint="eastAsia" w:ascii="宋体" w:hAnsi="宋体" w:eastAsia="宋体" w:cs="宋体"/>
                <w:b w:val="0"/>
                <w:bCs w:val="0"/>
                <w:kern w:val="2"/>
                <w:sz w:val="21"/>
                <w:szCs w:val="24"/>
                <w:lang w:val="en-US" w:eastAsia="zh-CN" w:bidi="ar-S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3</w:t>
            </w:r>
          </w:p>
        </w:tc>
        <w:tc>
          <w:tcPr>
            <w:tcW w:w="1457" w:type="dxa"/>
            <w:vAlign w:val="center"/>
          </w:tcPr>
          <w:p>
            <w:pPr>
              <w:spacing w:line="360" w:lineRule="exact"/>
              <w:jc w:val="center"/>
              <w:rPr>
                <w:rStyle w:val="20"/>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验收条件</w:t>
            </w:r>
          </w:p>
        </w:tc>
        <w:tc>
          <w:tcPr>
            <w:tcW w:w="6523" w:type="dxa"/>
            <w:shd w:val="clear" w:color="auto" w:fill="auto"/>
            <w:vAlign w:val="top"/>
          </w:tcPr>
          <w:p>
            <w:pPr>
              <w:spacing w:after="60" w:afterLines="25" w:line="300" w:lineRule="auto"/>
              <w:rPr>
                <w:rFonts w:hint="eastAsia" w:ascii="宋体" w:hAnsi="宋体" w:eastAsia="宋体" w:cs="宋体"/>
                <w:color w:val="FF0000"/>
                <w:kern w:val="0"/>
                <w:sz w:val="21"/>
                <w:szCs w:val="21"/>
                <w:lang w:val="en-US" w:eastAsia="zh-CN" w:bidi="ar-SA"/>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4</w:t>
            </w:r>
          </w:p>
        </w:tc>
        <w:tc>
          <w:tcPr>
            <w:tcW w:w="1457" w:type="dxa"/>
            <w:vAlign w:val="center"/>
          </w:tcPr>
          <w:p>
            <w:pPr>
              <w:spacing w:line="360" w:lineRule="exact"/>
              <w:jc w:val="center"/>
              <w:rPr>
                <w:rStyle w:val="20"/>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争议解决方法</w:t>
            </w:r>
          </w:p>
        </w:tc>
        <w:tc>
          <w:tcPr>
            <w:tcW w:w="6523" w:type="dxa"/>
            <w:shd w:val="clear" w:color="auto" w:fill="auto"/>
            <w:vAlign w:val="center"/>
          </w:tcPr>
          <w:p>
            <w:pPr>
              <w:spacing w:line="360" w:lineRule="exact"/>
              <w:rPr>
                <w:rFonts w:hint="eastAsia" w:ascii="宋体" w:hAnsi="宋体" w:eastAsia="宋体" w:cs="宋体"/>
                <w:b w:val="0"/>
                <w:bCs w:val="0"/>
                <w:color w:val="FF0000"/>
                <w:kern w:val="2"/>
                <w:sz w:val="21"/>
                <w:szCs w:val="21"/>
                <w:lang w:val="en-US" w:eastAsia="zh-CN" w:bidi="ar-SA"/>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val="en-US" w:eastAsia="zh-CN"/>
              </w:rPr>
              <w:t>5</w:t>
            </w:r>
          </w:p>
        </w:tc>
        <w:tc>
          <w:tcPr>
            <w:tcW w:w="1457" w:type="dxa"/>
            <w:vAlign w:val="center"/>
          </w:tcPr>
          <w:p>
            <w:pPr>
              <w:spacing w:line="360" w:lineRule="exact"/>
              <w:jc w:val="center"/>
              <w:rPr>
                <w:rFonts w:hint="eastAsia" w:ascii="宋体" w:hAnsi="宋体" w:eastAsia="宋体" w:cs="宋体"/>
                <w:color w:val="000000"/>
                <w:sz w:val="20"/>
                <w:szCs w:val="20"/>
              </w:rPr>
            </w:pPr>
            <w:r>
              <w:rPr>
                <w:rStyle w:val="20"/>
                <w:rFonts w:hint="eastAsia" w:ascii="宋体" w:hAnsi="宋体" w:eastAsia="宋体" w:cs="宋体"/>
                <w:color w:val="000000"/>
                <w:sz w:val="20"/>
                <w:szCs w:val="20"/>
              </w:rPr>
              <w:t>运输、安装条件</w:t>
            </w:r>
          </w:p>
        </w:tc>
        <w:tc>
          <w:tcPr>
            <w:tcW w:w="6523" w:type="dxa"/>
            <w:vAlign w:val="center"/>
          </w:tcPr>
          <w:p>
            <w:pPr>
              <w:spacing w:line="360" w:lineRule="exact"/>
              <w:rPr>
                <w:rFonts w:hint="eastAsia" w:ascii="宋体" w:hAnsi="宋体" w:eastAsia="宋体" w:cs="宋体"/>
                <w:bCs/>
                <w:color w:val="000000"/>
                <w:szCs w:val="21"/>
              </w:rPr>
            </w:pPr>
            <w:r>
              <w:rPr>
                <w:rFonts w:hint="eastAsia" w:ascii="宋体" w:hAnsi="宋体" w:eastAsia="宋体" w:cs="宋体"/>
                <w:color w:val="000000"/>
                <w:sz w:val="20"/>
                <w:szCs w:val="20"/>
                <w:lang w:val="en-US" w:eastAsia="zh-CN"/>
              </w:rPr>
              <w:t>5</w:t>
            </w:r>
            <w:r>
              <w:rPr>
                <w:rFonts w:hint="eastAsia" w:ascii="宋体" w:hAnsi="宋体" w:eastAsia="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val="en-US" w:eastAsia="zh-CN"/>
              </w:rPr>
              <w:t>6</w:t>
            </w:r>
          </w:p>
        </w:tc>
        <w:tc>
          <w:tcPr>
            <w:tcW w:w="1457" w:type="dxa"/>
            <w:vMerge w:val="restart"/>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培训</w:t>
            </w: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sz w:val="20"/>
                <w:szCs w:val="20"/>
              </w:rPr>
            </w:pPr>
          </w:p>
        </w:tc>
        <w:tc>
          <w:tcPr>
            <w:tcW w:w="1457" w:type="dxa"/>
            <w:vMerge w:val="continue"/>
            <w:vAlign w:val="center"/>
          </w:tcPr>
          <w:p>
            <w:pPr>
              <w:spacing w:line="360" w:lineRule="exact"/>
              <w:rPr>
                <w:rFonts w:hint="eastAsia" w:ascii="宋体" w:hAnsi="宋体" w:eastAsia="宋体" w:cs="宋体"/>
                <w:b/>
                <w:sz w:val="20"/>
                <w:szCs w:val="20"/>
              </w:rPr>
            </w:pP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val="en-US" w:eastAsia="zh-CN"/>
              </w:rPr>
              <w:t>7</w:t>
            </w:r>
          </w:p>
        </w:tc>
        <w:tc>
          <w:tcPr>
            <w:tcW w:w="1457" w:type="dxa"/>
            <w:vMerge w:val="restart"/>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知识产权</w:t>
            </w:r>
          </w:p>
        </w:tc>
        <w:tc>
          <w:tcPr>
            <w:tcW w:w="6523" w:type="dxa"/>
            <w:vAlign w:val="top"/>
          </w:tcPr>
          <w:p>
            <w:pPr>
              <w:rPr>
                <w:rFonts w:hint="eastAsia" w:ascii="宋体" w:hAnsi="宋体" w:eastAsia="宋体" w:cs="宋体"/>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.1涉及采购标的的知识产权归属、处理的，</w:t>
            </w:r>
            <w:r>
              <w:rPr>
                <w:rFonts w:hint="eastAsia" w:ascii="宋体" w:hAnsi="宋体" w:eastAsia="宋体" w:cs="宋体"/>
                <w:color w:val="000000"/>
                <w:sz w:val="20"/>
                <w:szCs w:val="20"/>
                <w:lang w:val="en-US" w:eastAsia="zh-CN"/>
              </w:rPr>
              <w:t>应</w:t>
            </w:r>
            <w:r>
              <w:rPr>
                <w:rFonts w:hint="eastAsia" w:ascii="宋体" w:hAnsi="宋体" w:eastAsia="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rPr>
            </w:pPr>
          </w:p>
        </w:tc>
        <w:tc>
          <w:tcPr>
            <w:tcW w:w="1457" w:type="dxa"/>
            <w:vMerge w:val="continue"/>
            <w:vAlign w:val="center"/>
          </w:tcPr>
          <w:p>
            <w:pPr>
              <w:spacing w:line="360" w:lineRule="exact"/>
              <w:rPr>
                <w:rFonts w:hint="eastAsia" w:ascii="宋体" w:hAnsi="宋体" w:eastAsia="宋体" w:cs="宋体"/>
                <w:b/>
              </w:rPr>
            </w:pP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lang w:eastAsia="zh-CN"/>
              </w:rPr>
            </w:pPr>
            <w:r>
              <w:rPr>
                <w:rFonts w:hint="eastAsia" w:ascii="宋体" w:hAnsi="宋体" w:eastAsia="宋体" w:cs="宋体"/>
                <w:b/>
                <w:lang w:val="en-US" w:eastAsia="zh-CN"/>
              </w:rPr>
              <w:t>8</w:t>
            </w:r>
          </w:p>
        </w:tc>
        <w:tc>
          <w:tcPr>
            <w:tcW w:w="1457" w:type="dxa"/>
            <w:vAlign w:val="center"/>
          </w:tcPr>
          <w:p>
            <w:pPr>
              <w:spacing w:line="360" w:lineRule="exact"/>
              <w:jc w:val="center"/>
              <w:rPr>
                <w:rFonts w:hint="eastAsia" w:ascii="宋体" w:hAnsi="宋体" w:eastAsia="宋体" w:cs="宋体"/>
                <w:b/>
              </w:rPr>
            </w:pPr>
            <w:r>
              <w:rPr>
                <w:rFonts w:hint="eastAsia" w:ascii="宋体" w:hAnsi="宋体" w:eastAsia="宋体" w:cs="宋体"/>
                <w:b/>
                <w:color w:val="0000FF"/>
                <w:sz w:val="20"/>
                <w:szCs w:val="20"/>
              </w:rPr>
              <w:t>其他</w:t>
            </w: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8.1</w:t>
            </w:r>
            <w:r>
              <w:rPr>
                <w:rFonts w:hint="eastAsia" w:ascii="宋体" w:hAnsi="宋体" w:eastAsia="宋体" w:cs="宋体"/>
                <w:color w:val="000000"/>
                <w:sz w:val="20"/>
                <w:szCs w:val="20"/>
              </w:rPr>
              <w:t>投标供应商应按其投标文件中的承诺，进行其他售后服务工作。</w:t>
            </w:r>
          </w:p>
          <w:p>
            <w:pPr>
              <w:keepNext w:val="0"/>
              <w:keepLines w:val="0"/>
              <w:pageBreakBefore w:val="0"/>
              <w:widowControl/>
              <w:kinsoku/>
              <w:wordWrap/>
              <w:overflowPunct/>
              <w:topLinePunct w:val="0"/>
              <w:autoSpaceDE/>
              <w:autoSpaceDN/>
              <w:bidi w:val="0"/>
              <w:adjustRightInd/>
              <w:snapToGrid/>
              <w:spacing w:after="60" w:line="440" w:lineRule="exact"/>
              <w:jc w:val="left"/>
              <w:textAlignment w:val="auto"/>
              <w:rPr>
                <w:rFonts w:hint="eastAsia" w:ascii="宋体" w:hAnsi="宋体" w:eastAsia="宋体" w:cs="宋体"/>
                <w:kern w:val="0"/>
                <w:sz w:val="20"/>
                <w:szCs w:val="20"/>
              </w:rPr>
            </w:pPr>
            <w:r>
              <w:rPr>
                <w:rFonts w:hint="eastAsia" w:ascii="宋体" w:hAnsi="宋体" w:eastAsia="宋体" w:cs="宋体"/>
                <w:color w:val="000000"/>
                <w:sz w:val="20"/>
                <w:szCs w:val="20"/>
                <w:lang w:val="en-US" w:eastAsia="zh-CN"/>
              </w:rPr>
              <w:t>8.2其他要求</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00" w:firstLineChars="200"/>
              <w:jc w:val="left"/>
              <w:textAlignment w:val="auto"/>
              <w:rPr>
                <w:rFonts w:hint="eastAsia" w:ascii="宋体" w:hAnsi="宋体" w:eastAsia="宋体" w:cs="宋体"/>
                <w:b/>
                <w:kern w:val="0"/>
                <w:sz w:val="20"/>
                <w:szCs w:val="20"/>
              </w:rPr>
            </w:pPr>
            <w:r>
              <w:rPr>
                <w:rFonts w:hint="eastAsia" w:ascii="宋体" w:hAnsi="宋体" w:eastAsia="宋体" w:cs="宋体"/>
                <w:b w:val="0"/>
                <w:bCs/>
                <w:kern w:val="0"/>
                <w:sz w:val="20"/>
                <w:szCs w:val="20"/>
                <w:lang w:eastAsia="zh-CN"/>
              </w:rPr>
              <w:t>（</w:t>
            </w:r>
            <w:r>
              <w:rPr>
                <w:rFonts w:hint="eastAsia" w:ascii="宋体" w:hAnsi="宋体" w:eastAsia="宋体" w:cs="宋体"/>
                <w:b w:val="0"/>
                <w:bCs/>
                <w:kern w:val="0"/>
                <w:sz w:val="20"/>
                <w:szCs w:val="20"/>
                <w:lang w:val="en-US" w:eastAsia="zh-CN"/>
              </w:rPr>
              <w:t>1</w:t>
            </w:r>
            <w:r>
              <w:rPr>
                <w:rFonts w:hint="eastAsia" w:ascii="宋体" w:hAnsi="宋体" w:eastAsia="宋体" w:cs="宋体"/>
                <w:b w:val="0"/>
                <w:bCs/>
                <w:kern w:val="0"/>
                <w:sz w:val="20"/>
                <w:szCs w:val="20"/>
                <w:lang w:eastAsia="zh-CN"/>
              </w:rPr>
              <w:t>）</w:t>
            </w:r>
            <w:r>
              <w:rPr>
                <w:rFonts w:hint="eastAsia" w:ascii="宋体" w:hAnsi="宋体" w:eastAsia="宋体" w:cs="宋体"/>
                <w:b/>
                <w:kern w:val="0"/>
                <w:sz w:val="20"/>
                <w:szCs w:val="20"/>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keepNext w:val="0"/>
              <w:keepLines w:val="0"/>
              <w:pageBreakBefore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color w:val="FF0000"/>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2</w:t>
            </w:r>
            <w:r>
              <w:rPr>
                <w:rFonts w:hint="eastAsia" w:ascii="宋体" w:hAnsi="宋体" w:eastAsia="宋体" w:cs="宋体"/>
                <w:sz w:val="20"/>
                <w:szCs w:val="20"/>
                <w:lang w:eastAsia="zh-CN"/>
              </w:rPr>
              <w:t>）</w:t>
            </w:r>
            <w:r>
              <w:rPr>
                <w:rFonts w:hint="eastAsia" w:ascii="宋体" w:hAnsi="宋体" w:eastAsia="宋体" w:cs="宋体"/>
                <w:sz w:val="20"/>
                <w:szCs w:val="20"/>
                <w:highlight w:val="yellow"/>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ermStart w:id="0" w:edGrp="everyone"/>
          </w:p>
          <w:p>
            <w:pPr>
              <w:keepNext w:val="0"/>
              <w:keepLines w:val="0"/>
              <w:pageBreakBefore w:val="0"/>
              <w:kinsoku/>
              <w:wordWrap/>
              <w:overflowPunct/>
              <w:topLinePunct w:val="0"/>
              <w:autoSpaceDE/>
              <w:autoSpaceDN/>
              <w:bidi w:val="0"/>
              <w:adjustRightInd/>
              <w:snapToGrid/>
              <w:spacing w:after="60" w:line="440" w:lineRule="exact"/>
              <w:ind w:firstLine="400" w:firstLineChars="200"/>
              <w:textAlignment w:val="auto"/>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3</w:t>
            </w:r>
            <w:r>
              <w:rPr>
                <w:rFonts w:hint="eastAsia" w:ascii="宋体" w:hAnsi="宋体" w:eastAsia="宋体" w:cs="宋体"/>
                <w:sz w:val="20"/>
                <w:szCs w:val="20"/>
                <w:lang w:eastAsia="zh-CN"/>
              </w:rPr>
              <w:t>）</w:t>
            </w:r>
            <w:r>
              <w:rPr>
                <w:rFonts w:hint="eastAsia" w:ascii="宋体" w:hAnsi="宋体" w:eastAsia="宋体" w:cs="宋体"/>
                <w:sz w:val="20"/>
                <w:szCs w:val="20"/>
              </w:rPr>
              <w:t>投标商必须确保中标后提供的货物为正规渠道供货，不存在违反国家法律、法规的情况。</w:t>
            </w:r>
          </w:p>
          <w:p>
            <w:pPr>
              <w:keepNext w:val="0"/>
              <w:keepLines w:val="0"/>
              <w:pageBreakBefore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rPr>
            </w:pPr>
            <w:bookmarkStart w:id="41" w:name="OLE_LINK1"/>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4</w:t>
            </w:r>
            <w:r>
              <w:rPr>
                <w:rFonts w:hint="eastAsia" w:ascii="宋体" w:hAnsi="宋体" w:eastAsia="宋体" w:cs="宋体"/>
                <w:sz w:val="20"/>
                <w:szCs w:val="20"/>
                <w:lang w:eastAsia="zh-CN"/>
              </w:rPr>
              <w:t>）</w:t>
            </w:r>
            <w:r>
              <w:rPr>
                <w:rFonts w:hint="eastAsia" w:ascii="宋体" w:hAnsi="宋体" w:eastAsia="宋体" w:cs="宋体"/>
                <w:sz w:val="20"/>
                <w:szCs w:val="20"/>
              </w:rPr>
              <w:t>特别条款：对于单纯家具（含课桌椅）项目、含家具或装修的功能室项目及教室照明设备在验收时还需提供以下材料：</w:t>
            </w:r>
          </w:p>
          <w:p>
            <w:pPr>
              <w:keepNext w:val="0"/>
              <w:keepLines w:val="0"/>
              <w:pageBreakBefore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①</w:t>
            </w:r>
            <w:r>
              <w:rPr>
                <w:rFonts w:hint="eastAsia" w:ascii="宋体" w:hAnsi="宋体" w:eastAsia="宋体" w:cs="宋体"/>
                <w:sz w:val="20"/>
                <w:szCs w:val="20"/>
              </w:rPr>
              <w:t>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sz w:val="20"/>
                <w:szCs w:val="20"/>
              </w:rPr>
              <w:t>需根据现场抽样并对以下项目进行检验且合格</w:t>
            </w:r>
            <w:bookmarkEnd w:id="42"/>
            <w:r>
              <w:rPr>
                <w:rFonts w:hint="eastAsia" w:ascii="宋体" w:hAnsi="宋体" w:eastAsia="宋体" w:cs="宋体"/>
                <w:sz w:val="20"/>
                <w:szCs w:val="20"/>
              </w:rPr>
              <w:t>：</w:t>
            </w:r>
          </w:p>
          <w:p>
            <w:pPr>
              <w:spacing w:line="360" w:lineRule="auto"/>
              <w:ind w:firstLine="400" w:firstLineChars="200"/>
              <w:rPr>
                <w:rFonts w:hint="eastAsia" w:ascii="宋体" w:hAnsi="宋体" w:eastAsia="宋体" w:cs="宋体"/>
                <w:sz w:val="20"/>
                <w:szCs w:val="20"/>
              </w:rPr>
            </w:pPr>
          </w:p>
          <w:tbl>
            <w:tblPr>
              <w:tblStyle w:val="17"/>
              <w:tblW w:w="4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372"/>
              <w:gridCol w:w="1067"/>
              <w:gridCol w:w="776"/>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tblHeader/>
                <w:jc w:val="center"/>
              </w:trPr>
              <w:tc>
                <w:tcPr>
                  <w:tcW w:w="534"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序号</w:t>
                  </w:r>
                </w:p>
              </w:tc>
              <w:tc>
                <w:tcPr>
                  <w:tcW w:w="1372"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检验项目</w:t>
                  </w:r>
                </w:p>
              </w:tc>
              <w:tc>
                <w:tcPr>
                  <w:tcW w:w="1067"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依据法律法规或标准条款</w:t>
                  </w:r>
                </w:p>
              </w:tc>
              <w:tc>
                <w:tcPr>
                  <w:tcW w:w="776"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强制性/推荐性</w:t>
                  </w:r>
                </w:p>
              </w:tc>
              <w:tc>
                <w:tcPr>
                  <w:tcW w:w="1249"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1</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甲醛释放量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2</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苯释放量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3</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甲苯释放量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4</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二甲苯释放量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5</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总挥发性有机化合物（TVOC）释放量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bookmarkEnd w:id="41"/>
            <w:permEnd w:id="0"/>
          </w:tbl>
          <w:p>
            <w:pPr>
              <w:pStyle w:val="7"/>
              <w:rPr>
                <w:rFonts w:hint="eastAsia" w:ascii="宋体" w:hAnsi="宋体" w:eastAsia="宋体" w:cs="宋体"/>
                <w:sz w:val="20"/>
                <w:szCs w:val="20"/>
                <w:lang w:val="en-US" w:eastAsia="zh-CN"/>
              </w:rPr>
            </w:pPr>
          </w:p>
        </w:tc>
      </w:tr>
    </w:tbl>
    <w:p>
      <w:pPr>
        <w:rPr>
          <w:b/>
        </w:rPr>
      </w:pPr>
    </w:p>
    <w:p>
      <w:pPr>
        <w:pStyle w:val="8"/>
        <w:spacing w:before="60" w:beforeLines="25" w:after="60" w:afterLines="25"/>
        <w:ind w:firstLine="0" w:firstLineChars="0"/>
        <w:rPr>
          <w:rFonts w:ascii="宋体" w:hAnsi="宋体"/>
          <w:szCs w:val="21"/>
        </w:rPr>
      </w:pPr>
    </w:p>
    <w:p>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4"/>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4" w:name="_Hlk72263559"/>
      <w:bookmarkStart w:id="45"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eastAsia="宋体" w:cs="宋体"/>
          <w:lang w:val="en-US" w:eastAsia="zh-CN"/>
        </w:rPr>
        <w:t>经验评价</w:t>
      </w:r>
      <w:r>
        <w:rPr>
          <w:rFonts w:hint="eastAsia"/>
          <w:szCs w:val="21"/>
          <w:lang w:eastAsia="zh-CN"/>
        </w:rPr>
        <w:t>；</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6</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bookmarkStart w:id="137" w:name="_GoBack"/>
      <w:bookmarkEnd w:id="137"/>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）设计图评价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）售后服务评价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）政府采购节能环保产品情况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7"/>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5"/>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94"/>
        <w:gridCol w:w="2120"/>
        <w:gridCol w:w="939"/>
        <w:gridCol w:w="913"/>
        <w:gridCol w:w="893"/>
        <w:gridCol w:w="1042"/>
        <w:gridCol w:w="895"/>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货物名称（标的名称）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是否接受进口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是否专门面向中小企业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BAJYJ2025061207351A</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拒绝进口</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否</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12格活动柜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
      <w:r>
        <w:rPr>
          <w:rFonts w:hint="eastAsia"/>
        </w:rPr>
        <w:t xml:space="preserve"> </w:t>
      </w:r>
      <w:r>
        <w:t xml:space="preserve">     </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3"/>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12"/>
        <w:gridCol w:w="712"/>
        <w:gridCol w:w="4777"/>
        <w:gridCol w:w="713"/>
        <w:gridCol w:w="713"/>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设备名称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技术参数要求</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投标技术响应</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偏离情况</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 尺寸：（长120*宽30*高75/80cm）±10%，高75cm16个、高80cm32个；材质：柜子框架采用14mm±1mm厚橡胶木指接板，背板采用7.5mm±0.5mm厚浸渍胶膜纸饰面胶合板，柜子层板及边角均为圆角，表面经过3底2面水性漆处理，内部分</w:t>
            </w:r>
            <w:r>
              <w:rPr>
                <w:rStyle w:val="40"/>
                <w:lang w:val="en-US" w:eastAsia="zh-CN" w:bidi="ar"/>
              </w:rPr>
              <w:t>三层，打钉紧装结构。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 ▲橡胶木依据GB/T 1927.5-2021测定标准，其气干密度≥0.7g/cm³；依据LY/T 1985-2011测定标准，五氯苯酚含量为未检出；依据GB/T 1927.19-2021测定标准，板材硬度≥40N/mm²，符合合格要求；</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12格活动柜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 尺寸：（长120*宽30*高75/80cm）±10%，高75cm2个、高80cm4个；材质：柜子框架采用14mm±1mm厚橡胶木指接板，背板采用7.5mm±0.5mm厚浸渍胶膜纸饰面胶合板，柜子层板及边角均为圆角，表面经过3底2面水性漆处理，内部分四层12格，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15"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 ▲浸渍胶膜纸饰面胶合板GB/T 34722-2017标准，板材无透底、纸板错位、鼓泡、分层、崩边及表面波纹现象，含水率应在6.0%至11.0%，胶合强度≥0.9MPa，表面耐水蒸气等级不低于4级，耐光色牢度不低于4级，均符合合格要求；依据GB/T 39600-2021标准，板材甲醛释放量检测结果为未检出，符合ENF级要求；依据LY/T 1926-2020检测标准，板材经抗菌性能检测（金黄色葡萄球菌、大肠杆菌试验），抗细菌率≥99%；</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 尺寸：（长86*宽40*高77cm）±10%；材质：柜子框架采用14mm±1mm厚橡胶木指接板，背板采用7.5mm±0.5mm厚浸渍胶膜纸饰面胶合板，柜子层板及边角均为圆角，表面经过3底2面水性漆处理，打钉紧装结构。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(6) ▲水性漆依据GB/T 23992-2009测定标准，氯代烃总和含量≤0.05%；依据GB/T 1768-2006测定标准，经耐磨性试验（1000转，500g负荷），质量损失≤50mg，符合合格要求；依据GB/T 37884-2019测定标准，挥发性有机化合物（VOC）释放量≤15μg/m³；</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 尺寸：（长60*宽60*高52/56cm）±10%，高52cm2张、高56cm4张；材质：桌子面板采用18mm±2mm厚橡胶木指接板，桌脚采用橡木木方，外露边角均为倒圆角，表面经过3底2面水性漆处理，打钉紧装结构。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(8) ▲幼儿桌依据GB/T 1927.7-2021测定标准，吸水性4%-8%，符合合格要求；依据LY/T 1985-2011测定标准，五氯苯酚含量为未检出；依据GB/T 39600-2021标准，甲醛释放量检测结果为未检出，符合ENF级要求；</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 尺寸：（座高26/28cm）±10%，高26cm70张、高28cm140张；材质：椅面面板采用14mm±1mm橡胶木，椅脚为橡胶木方，椅脚为圆脚，外露边角均为倒圆角，表面经过3底2面水性漆处理，榫卯打钉紧装结构。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6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(10) ▲圆木椅依据GB/T 1927.9-2021测定标准，板材抗弯强度≥115Mpa；依据LY/T 1985-2011测定标准，五氯苯酚含量检测结果为未检出；依据GB/T 10357.3-2013 标准，经座面静载荷试验、椅背静载荷试验、座面耐久性试验、椅背耐久性试验、座面冲击试验、椅背冲击试验，所有零部件无断裂或豁裂，所有零部件应无影响使用功能的磨损或变形，符合合格要求；</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 尺寸：（长120*宽60*高52/56cm）±10%，高52cm12张、高56cm24张；材质：桌子面板采用18mm±2mm厚橡胶木指接板，桌脚采用橡木木方，外露边角均为倒圆角，表面经过3底2面水性漆处理，打钉紧装结构。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 尺寸：（长120*宽60*高52/56cm）±10%，高52cm4张、高56cm8张；材质：桌子面板采用18mm±2mm厚橡胶木指接板，桌脚采用橡木木方，外露边角均为倒圆角，表面经过3底2面水性漆处理，打钉紧装结构。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 尺寸：（长120*宽30*高70/75/80cm）±10%，高75cm6个、高80cm12个；材质：柜子框架采用14mm±1mm厚橡胶木指接板，柜子层板及边角均为圆角，表面经过3底2面水性漆处理，上层两格，下层三格，打钉紧装结构。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 尺寸：（长60*宽30*高75/80cm）±10%，高75cm4个、高80cm8个；材质：柜子框架采用14mm±1mm厚橡胶木指接板，柜子层板及边角均为圆角，表面经过3底2面水性漆处理，打钉紧装结构。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 尺寸：（长120*宽30*高75/80cm）±10%，高75cm2个、高80cm4个；材质：柜子框架采用14mm±1mm厚橡胶木指接板，柜子层板及边角均为圆角，表面经过3底2面水性漆处理，内部分四层，打钉紧装结构。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(16) ▲基本图书柜依据GB/T 4893.2-2020测定标准，经耐湿热试验（20min，70℃），耐湿热等级不低于2级；依据LY/T 1985-2011标准，五氯苯酚含量检测结果为未检出；依据GB/T 40904-2021测定标准，24种禁用芳香胺检测结果为未检出；</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 尺寸：（长120*宽60*高15cm）±10%；材质：采用12mm±1mm浸渍胶膜纸饰面胶合板。</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 尺寸：（长133*宽57*高19cm）±10%；材质：木质，四脚采用塑料脚可层叠。</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 尺寸：（长136*宽58*高8cm）±10%；材质：钢管烤漆</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 尺寸：（长200*宽100*高52/56cm）±10%，高52cm2张、高56cm4张；材质：桌子面板采用18mm±2mm厚橡胶木指接板，桌脚采用橡木木方，外露边角均为倒圆角，表面经过3底2面水性漆处理，中间设置凹槽透明作品展示区，榫卯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 尺寸：（长230*宽40*高50cm）±10%；材质：层板侧板均采用18mm±2mm厚浸渍胶膜纸饰面胶合板，采用PVC封边条，配件为五金件铰链，边角均为圆角；</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5"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(22) ▲PVC封边条依据GB/T 16422.2-2022 试验标准，经120hUV老化试验，样品表面无裂纹化，符合合格要求；依据QB/T 4463-2013标准，封边条甲醛释放量≤0.5mg/L，氯乙烯单体含量≤1.5mg/kg；依据GB/T 3830-2024标准，封边条拉伸强度≥15.0MPa，拉伸断裂应变≥185%，加热损失率≤1.0%；</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 尺寸：（长200*宽45*高50cm）±10%；材质：层板侧板均采用18mm±2mm厚浸渍胶膜纸饰面胶合板，采用PVC封边条，配件为五金件铰链，边角均为圆角；</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 尺寸：（长370*宽55*高55cm）±10%；材质：柜体采用18mm±2mm厚浸渍胶膜纸饰面胶合板，台面采用大理石板；</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 尺寸：（长55*宽12*高127cm）±10%；材质：304不锈钢，40位</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 尺寸：（长100cm）±10%；材质：木质，9个挂位</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6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(28) ▲木蜡油依据GB/T 27811-2011标准，细度≤15μm，经贮存稳定性试验（结皮性（24h）、沉降性（50±2）℃，7d），无结皮，无异常现象，苯含量为未检出，甲苯、二甲苯、乙苯含量总和为未检出，可溶性重金属（铅、镉、铬、汞）含量均未检出，经1h耐污染性（醋、茶）、1h耐碱性（50g/L NaHCO 溶液）、8h耐醇性试验，均无异常现象；依据GB/T 23992-2009测定标准，氯代烃含量为未检出，</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 尺寸：（长80*宽30*高70cm）±10%；材质：主框架采用22mm±2mm厚枫木纹三聚氰胺双贴面橡胶木，木蜡油封边，五金件紧固，柜体采用踢脚板设计，柜底配以耐磨塑胶PP脚钉。柜体内部格局分为三列，每列两侧板内侧各设置5根塑胶PP条。</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 尺寸：（长80*宽30*高48cm）±10%；材质：主框架采用22mm±2mm厚枫木纹三聚氰胺双贴面橡胶木板，层板采用15mm厚枫木纹三聚氰胺双贴面胶合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 尺寸：（长80*宽29*高48cm）±10%；材质：主框架采用22mm±2mm厚枫木纹三聚氰胺双贴面橡胶木，层板采用15mm厚枫木纹三聚氰胺双贴面胶合板。木蜡油封边，五金件紧固，柜体采用踢脚板设计，柜底配以耐磨塑胶PP脚钉，上层二格，下层三格。</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 尺寸：（长80*宽30*高29cm）±10%；材质：框体采用16mm±1mm厚枫木纹双贴面刨花板，背板为5mm厚枫木纹双贴面密度板，PVC封边条封边，五金件紧固，柜体采用踢脚板设计，柜底配以耐磨塑胶PP脚钉。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 尺寸：（长84*宽38*高48cm）±10%；材质：主框架采用22mm±2mm厚枫木纹三聚氰胺双贴面橡胶木，层板采用15mm厚枫木纹三聚氰胺双贴面胶合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 尺寸：（长75*宽7.5*高123cm）±10%；材质：主立柱采用松木，油漆处理，入口门及门头采用15mm±1mm厚枫木纹三聚氰胺双贴面胶合，五金件紧固，防夹手设计，门轴缝隙全包裹。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 尺寸：（长60*宽30*高50cm）±10%；材质：框体采用16mm±1mm厚枫木纹双贴面刨花板，PVC封边条封边，五金件紧固，柜体采用踢脚板设计，柜底配以耐磨塑胶PP脚钉。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 尺寸：（长60*宽*40高94cm）±10%；材质：</w:t>
            </w:r>
            <w:r>
              <w:rPr>
                <w:rStyle w:val="40"/>
                <w:lang w:val="en-US" w:eastAsia="zh-CN" w:bidi="ar"/>
              </w:rPr>
              <w:t>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(38) </w:t>
            </w:r>
            <w:r>
              <w:rPr>
                <w:rStyle w:val="40"/>
                <w:lang w:val="en-US" w:eastAsia="zh-CN" w:bidi="ar"/>
              </w:rPr>
              <w:t>尺寸：（长60*宽40*高96cm）±10%；材质：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 尺寸：（长39*宽37*高51cm）±10%；材质：框体采用16mm±1mm厚三聚氰胺双贴面高密度刨花板，PVC封边条封边，五金件紧固，厨房主题图案UV油墨打印工艺处理，采用踢脚板设计，柜底配以耐磨塑胶PP脚钉。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 尺寸：（长39*宽37*高71cm）±10%；材质：框体采用16mm±1mm厚三聚氰胺双贴面高密度刨花板，PVC封边条封边，五金件紧固，厨房主题图案UV油墨打印工艺处理，采用踢脚板设计，柜底配以耐磨塑胶PP脚钉。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5"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(41) ▲油墨依据QB/T 5603-2021标准，着色力≥99%，细度≤10μm，挥发性有机化合物（VOCs）含量≤2.0%，干燥性（最低固化能量）≤35mJ/cm²。</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 尺寸：（长39*宽37*高51cm）±10%；材质：框体采用16mm±1mm厚三聚氰胺双贴面高密度刨花板，PVC封边条封边，五金件紧固，厨房主题图案UV油墨打印工艺处理，采用踢脚板设计，柜底配以耐磨塑胶PP脚钉。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 尺寸：（长39*宽37*高51cm）±10%；材质：框体采用16mm±1mm厚三聚氰胺双贴面高密度刨花板，PVC封边条封边，五金件紧固，厨房主题图案UV油墨打印工艺处理，采用踢脚板设计，柜底配以耐磨塑胶PP脚钉。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 尺寸：（长80*宽60*高52cm）±10%；材质：桌面采用25mm±2mm厚防火板双贴面松木，木蜡油封边，桌脚采用直径48mm±4mm桦木，油漆处理，五金件紧固，桌面背面设置有4个三瓣花造型ABS连接件，桌脚使用螺旋安装方式与桌面连接，桌脚底部配置塑料脚套。</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 尺寸：（座高23cm）±10%；材质：整体采用实木橡胶木，木蜡油封边，五金件紧固，座椅靠背由一块弧形板及一根横撑组成，四个椅脚用工字型杆件连接，椅脚底部配以耐磨塑胶PP脚钉。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 尺寸：（长120*宽60*高15cm）±10%；材质：采用12mm±1mm浸渍胶膜纸饰面胶合板。</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 尺寸：（长105*宽53*高75cm）±10%；材质：毛巾架两侧主支撑架采用18mm±1mm厚枫木纹双贴面胶合板，其他部位采用15mm±1mm厚枫木纹双贴面胶合板，木蜡油封边，五金件紧固，毛巾架配备金属烤漆挂钩，毛巾架底部配以4个万向轮（其中2个带锁定）。</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 尺寸：（长49*宽71*高79cm）±10%；材质：框体采用15mm±1mm厚三聚氰胺贴面胶合板，木蜡油封边，五金件紧固，底部配以耐磨塑胶PP脚钉。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 尺寸：（长69*宽46*高13cm）±10%；材质：PVC+海绵。</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outlineLvl w:val="9"/>
      </w:pPr>
      <w:bookmarkStart w:id="76"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pPr>
        <w:ind w:firstLine="411" w:firstLineChars="196"/>
        <w:rPr>
          <w:rFonts w:ascii="宋体" w:hAnsi="宋体"/>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pPr>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8"/>
    <w:p>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0"/>
    <w:p>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pPr>
        <w:ind w:firstLine="411" w:firstLineChars="196"/>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99" w:name="_Toc73517673"/>
      <w:bookmarkStart w:id="100" w:name="_Toc100052400"/>
      <w:bookmarkStart w:id="101" w:name="_Toc73518151"/>
      <w:bookmarkStart w:id="102" w:name="_Toc73521669"/>
      <w:bookmarkStart w:id="103" w:name="_Toc73521581"/>
      <w:r>
        <w:rPr>
          <w:rFonts w:hint="eastAsia" w:ascii="黑体" w:hAnsi="宋体" w:eastAsia="黑体"/>
          <w:szCs w:val="21"/>
        </w:rPr>
        <w:t>34．错误的修正</w:t>
      </w:r>
      <w:bookmarkEnd w:id="99"/>
      <w:bookmarkEnd w:id="100"/>
      <w:bookmarkEnd w:id="101"/>
      <w:bookmarkEnd w:id="102"/>
      <w:bookmarkEnd w:id="103"/>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5"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5"/>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pPr>
        <w:ind w:firstLine="411" w:firstLineChars="196"/>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pPr>
        <w:ind w:firstLine="420" w:firstLineChars="200"/>
        <w:rPr>
          <w:rFonts w:ascii="黑体" w:hAnsi="宋体" w:eastAsia="黑体"/>
          <w:szCs w:val="21"/>
        </w:rPr>
      </w:pPr>
      <w:bookmarkStart w:id="114" w:name="_Toc100052408"/>
      <w:bookmarkStart w:id="115" w:name="_Toc73518157"/>
      <w:bookmarkStart w:id="116" w:name="_Toc73521674"/>
      <w:bookmarkStart w:id="117" w:name="_Toc73517679"/>
      <w:bookmarkStart w:id="118" w:name="_Toc73521586"/>
      <w:bookmarkStart w:id="119" w:name="_Hlk72439088"/>
      <w:r>
        <w:rPr>
          <w:rFonts w:hint="eastAsia" w:ascii="黑体" w:hAnsi="宋体" w:eastAsia="黑体"/>
          <w:szCs w:val="21"/>
        </w:rPr>
        <w:t>43．合同授予标准</w:t>
      </w:r>
      <w:bookmarkEnd w:id="114"/>
      <w:bookmarkEnd w:id="115"/>
      <w:bookmarkEnd w:id="116"/>
      <w:bookmarkEnd w:id="117"/>
      <w:bookmarkEnd w:id="118"/>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0" w:name="_Toc73521675"/>
      <w:bookmarkStart w:id="121" w:name="_Toc100052409"/>
      <w:bookmarkStart w:id="122" w:name="_Toc73518158"/>
      <w:bookmarkStart w:id="123" w:name="_Toc73521587"/>
      <w:bookmarkStart w:id="124" w:name="_Toc73517680"/>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5" w:name="_Toc73521677"/>
      <w:bookmarkStart w:id="126" w:name="_Toc100052410"/>
      <w:bookmarkStart w:id="127" w:name="_Toc73518160"/>
      <w:bookmarkStart w:id="128" w:name="_Toc73517682"/>
      <w:bookmarkStart w:id="129" w:name="_Toc73521589"/>
      <w:r>
        <w:rPr>
          <w:rFonts w:hint="eastAsia" w:ascii="黑体" w:hAnsi="宋体" w:eastAsia="黑体"/>
          <w:szCs w:val="21"/>
        </w:rPr>
        <w:t>45．合同的签订</w:t>
      </w:r>
      <w:bookmarkEnd w:id="125"/>
      <w:bookmarkEnd w:id="126"/>
      <w:bookmarkEnd w:id="127"/>
      <w:bookmarkEnd w:id="128"/>
      <w:bookmarkEnd w:id="129"/>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0" w:name="_Toc73518161"/>
      <w:bookmarkStart w:id="131" w:name="_Toc73521590"/>
      <w:bookmarkStart w:id="132" w:name="_Toc73521678"/>
      <w:bookmarkStart w:id="133" w:name="_Toc100052411"/>
      <w:bookmarkStart w:id="134" w:name="_Toc73517683"/>
      <w:r>
        <w:rPr>
          <w:rFonts w:hint="eastAsia" w:ascii="黑体" w:hAnsi="宋体" w:eastAsia="黑体"/>
          <w:szCs w:val="21"/>
        </w:rPr>
        <w:t>46．履约担保</w:t>
      </w:r>
      <w:bookmarkEnd w:id="130"/>
      <w:bookmarkEnd w:id="131"/>
      <w:bookmarkEnd w:id="132"/>
      <w:bookmarkEnd w:id="133"/>
      <w:bookmarkEnd w:id="134"/>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19"/>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2"/>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984055-9948-4CF4-A710-9DE33DDA2B27}"/>
  </w:font>
  <w:font w:name="Arial">
    <w:panose1 w:val="020B0604020202020204"/>
    <w:charset w:val="01"/>
    <w:family w:val="swiss"/>
    <w:pitch w:val="default"/>
    <w:sig w:usb0="E0002EFF" w:usb1="C000785B" w:usb2="00000009" w:usb3="00000000" w:csb0="400001FF" w:csb1="FFFF0000"/>
    <w:embedRegular r:id="rId2" w:fontKey="{1151FA97-9057-4D12-89D3-766FDB21690E}"/>
  </w:font>
  <w:font w:name="黑体">
    <w:panose1 w:val="02010609060101010101"/>
    <w:charset w:val="86"/>
    <w:family w:val="auto"/>
    <w:pitch w:val="default"/>
    <w:sig w:usb0="800002BF" w:usb1="38CF7CFA" w:usb2="00000016" w:usb3="00000000" w:csb0="00040001" w:csb1="00000000"/>
    <w:embedRegular r:id="rId3" w:fontKey="{1D5799B9-09B6-4F86-89CB-1BA2BEF0AAF0}"/>
  </w:font>
  <w:font w:name="Courier New">
    <w:panose1 w:val="02070309020205020404"/>
    <w:charset w:val="01"/>
    <w:family w:val="modern"/>
    <w:pitch w:val="default"/>
    <w:sig w:usb0="E0002EFF" w:usb1="C0007843" w:usb2="00000009" w:usb3="00000000" w:csb0="400001FF" w:csb1="FFFF0000"/>
    <w:embedRegular r:id="rId4" w:fontKey="{5DC1B50D-F3ED-499E-B1AA-37265260B28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BDD47DA-58E3-4365-91E4-D127B83C816A}"/>
  </w:font>
  <w:font w:name="Cambria">
    <w:panose1 w:val="02040503050406030204"/>
    <w:charset w:val="00"/>
    <w:family w:val="roman"/>
    <w:pitch w:val="default"/>
    <w:sig w:usb0="E00006FF" w:usb1="420024FF" w:usb2="02000000" w:usb3="00000000" w:csb0="2000019F" w:csb1="00000000"/>
    <w:embedRegular r:id="rId6" w:fontKey="{AD5EDFF8-3CA4-4DCF-AD2D-F793A770B773}"/>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3F74C100-E215-4460-A6E6-EE276D97DD62}"/>
  </w:font>
  <w:font w:name="方正仿宋_GBK">
    <w:panose1 w:val="02000000000000000000"/>
    <w:charset w:val="86"/>
    <w:family w:val="auto"/>
    <w:pitch w:val="default"/>
    <w:sig w:usb0="00000000" w:usb1="00000000" w:usb2="00000000" w:usb3="00000000" w:csb0="00000000" w:csb1="00000000"/>
    <w:embedRegular r:id="rId8" w:fontKey="{AC185CF3-2D13-4EDE-9723-D5F893404ADA}"/>
  </w:font>
  <w:font w:name="华文中宋">
    <w:panose1 w:val="02010600040101010101"/>
    <w:charset w:val="86"/>
    <w:family w:val="auto"/>
    <w:pitch w:val="default"/>
    <w:sig w:usb0="00000287" w:usb1="080F0000" w:usb2="00000000" w:usb3="00000000" w:csb0="0004009F" w:csb1="DFD70000"/>
    <w:embedRegular r:id="rId9" w:fontKey="{BA383096-581A-4E19-A96D-5B12CE4AD675}"/>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embedRegular r:id="rId10" w:fontKey="{2A26685E-310D-4703-9441-D5E8FAE22437}"/>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1" w:fontKey="{06BFC845-9A2C-4AB9-8427-9F5224B369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2698B2E"/>
    <w:multiLevelType w:val="singleLevel"/>
    <w:tmpl w:val="D2698B2E"/>
    <w:lvl w:ilvl="0" w:tentative="0">
      <w:start w:val="1"/>
      <w:numFmt w:val="chineseCounting"/>
      <w:suff w:val="nothing"/>
      <w:lvlText w:val="（%1）"/>
      <w:lvlJc w:val="left"/>
      <w:rPr>
        <w:rFonts w:hint="eastAsia"/>
        <w:color w:val="auto"/>
      </w:r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A42EAC"/>
    <w:multiLevelType w:val="singleLevel"/>
    <w:tmpl w:val="FFA42EAC"/>
    <w:lvl w:ilvl="0" w:tentative="0">
      <w:start w:val="1"/>
      <w:numFmt w:val="decimal"/>
      <w:lvlText w:val="(%1)"/>
      <w:lvlJc w:val="left"/>
      <w:pPr>
        <w:tabs>
          <w:tab w:val="left" w:pos="312"/>
        </w:tabs>
        <w:ind w:left="105" w:leftChars="0" w:firstLine="0" w:firstLineChars="0"/>
      </w:p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B5F6910"/>
    <w:multiLevelType w:val="singleLevel"/>
    <w:tmpl w:val="1B5F6910"/>
    <w:lvl w:ilvl="0" w:tentative="0">
      <w:start w:val="1"/>
      <w:numFmt w:val="decimal"/>
      <w:suff w:val="nothing"/>
      <w:lvlText w:val="%1、"/>
      <w:lvlJc w:val="left"/>
    </w:lvl>
  </w:abstractNum>
  <w:abstractNum w:abstractNumId="12">
    <w:nsid w:val="2C72F99C"/>
    <w:multiLevelType w:val="singleLevel"/>
    <w:tmpl w:val="2C72F99C"/>
    <w:lvl w:ilvl="0" w:tentative="0">
      <w:start w:val="1"/>
      <w:numFmt w:val="decimal"/>
      <w:suff w:val="nothing"/>
      <w:lvlText w:val="%1、"/>
      <w:lvlJc w:val="left"/>
    </w:lvl>
  </w:abstractNum>
  <w:abstractNum w:abstractNumId="13">
    <w:nsid w:val="30D3D2F3"/>
    <w:multiLevelType w:val="singleLevel"/>
    <w:tmpl w:val="30D3D2F3"/>
    <w:lvl w:ilvl="0" w:tentative="0">
      <w:start w:val="1"/>
      <w:numFmt w:val="chineseCounting"/>
      <w:suff w:val="nothing"/>
      <w:lvlText w:val="（%1）"/>
      <w:lvlJc w:val="left"/>
      <w:rPr>
        <w:rFonts w:hint="eastAsia"/>
      </w:rPr>
    </w:lvl>
  </w:abstractNum>
  <w:abstractNum w:abstractNumId="1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0F6431"/>
    <w:multiLevelType w:val="singleLevel"/>
    <w:tmpl w:val="7A0F6431"/>
    <w:lvl w:ilvl="0" w:tentative="0">
      <w:start w:val="1"/>
      <w:numFmt w:val="decimal"/>
      <w:suff w:val="space"/>
      <w:lvlText w:val="%1."/>
      <w:lvlJc w:val="left"/>
    </w:lvl>
  </w:abstractNum>
  <w:num w:numId="1">
    <w:abstractNumId w:val="4"/>
  </w:num>
  <w:num w:numId="2">
    <w:abstractNumId w:val="11"/>
  </w:num>
  <w:num w:numId="3">
    <w:abstractNumId w:val="13"/>
  </w:num>
  <w:num w:numId="4">
    <w:abstractNumId w:val="12"/>
  </w:num>
  <w:num w:numId="5">
    <w:abstractNumId w:val="9"/>
  </w:num>
  <w:num w:numId="6">
    <w:abstractNumId w:val="8"/>
  </w:num>
  <w:num w:numId="7">
    <w:abstractNumId w:val="0"/>
  </w:num>
  <w:num w:numId="8">
    <w:abstractNumId w:val="1"/>
  </w:num>
  <w:num w:numId="9">
    <w:abstractNumId w:val="15"/>
  </w:num>
  <w:num w:numId="10">
    <w:abstractNumId w:val="3"/>
  </w:num>
  <w:num w:numId="11">
    <w:abstractNumId w:val="10"/>
  </w:num>
  <w:num w:numId="12">
    <w:abstractNumId w:val="6"/>
  </w:num>
  <w:num w:numId="13">
    <w:abstractNumId w:val="5"/>
  </w:num>
  <w:num w:numId="14">
    <w:abstractNumId w:val="2"/>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C75DE6"/>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374B03"/>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B653E1"/>
    <w:rsid w:val="5EE50BC0"/>
    <w:rsid w:val="5F0372C8"/>
    <w:rsid w:val="5F181B76"/>
    <w:rsid w:val="5F463D55"/>
    <w:rsid w:val="5FA337CB"/>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BB710C6"/>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Title"/>
    <w:basedOn w:val="1"/>
    <w:qFormat/>
    <w:uiPriority w:val="0"/>
    <w:pPr>
      <w:spacing w:before="240" w:after="60"/>
      <w:jc w:val="center"/>
      <w:outlineLvl w:val="0"/>
    </w:pPr>
    <w:rPr>
      <w:rFonts w:ascii="Arial" w:hAnsi="Arial" w:eastAsia="隶书" w:cs="Arial"/>
      <w:b/>
      <w:bCs/>
      <w:sz w:val="32"/>
      <w:szCs w:val="32"/>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7"/>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1"/>
      <w:szCs w:val="21"/>
      <w:u w:val="none"/>
    </w:rPr>
  </w:style>
  <w:style w:type="character" w:customStyle="1" w:styleId="39">
    <w:name w:val="font01"/>
    <w:basedOn w:val="19"/>
    <w:qFormat/>
    <w:uiPriority w:val="0"/>
    <w:rPr>
      <w:rFonts w:hint="eastAsia" w:ascii="宋体" w:hAnsi="宋体" w:eastAsia="宋体" w:cs="宋体"/>
      <w:color w:val="0000FF"/>
      <w:sz w:val="21"/>
      <w:szCs w:val="21"/>
      <w:u w:val="none"/>
    </w:rPr>
  </w:style>
  <w:style w:type="character" w:customStyle="1" w:styleId="40">
    <w:name w:val="font2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9526</Words>
  <Characters>10184</Characters>
  <Lines>316</Lines>
  <Paragraphs>88</Paragraphs>
  <TotalTime>9</TotalTime>
  <ScaleCrop>false</ScaleCrop>
  <LinksUpToDate>false</LinksUpToDate>
  <CharactersWithSpaces>10286</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2025-07-08T07:04:48Z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