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D5D15">
      <w:pPr>
        <w:jc w:val="center"/>
        <w:rPr>
          <w:rFonts w:hint="eastAsia" w:ascii="黑体" w:hAnsi="黑体" w:eastAsia="黑体" w:cs="黑体"/>
          <w:snapToGrid w:val="0"/>
          <w:color w:val="auto"/>
          <w:sz w:val="28"/>
          <w:szCs w:val="28"/>
          <w:highlight w:val="none"/>
          <w:lang w:val="en-US" w:eastAsia="zh-CN"/>
        </w:rPr>
      </w:pPr>
      <w:r>
        <w:rPr>
          <w:rFonts w:hint="eastAsia" w:ascii="黑体" w:hAnsi="黑体" w:eastAsia="黑体" w:cs="黑体"/>
          <w:snapToGrid w:val="0"/>
          <w:color w:val="auto"/>
          <w:sz w:val="28"/>
          <w:szCs w:val="28"/>
          <w:highlight w:val="none"/>
          <w:lang w:eastAsia="zh-CN"/>
        </w:rPr>
        <w:t>深圳市宝安区松岗街道松涛社区19区小区长者服务点</w:t>
      </w:r>
      <w:r>
        <w:rPr>
          <w:rFonts w:hint="eastAsia" w:ascii="黑体" w:hAnsi="黑体" w:eastAsia="黑体" w:cs="黑体"/>
          <w:snapToGrid w:val="0"/>
          <w:color w:val="auto"/>
          <w:sz w:val="28"/>
          <w:szCs w:val="28"/>
          <w:highlight w:val="none"/>
          <w:lang w:val="en-US" w:eastAsia="zh-CN"/>
        </w:rPr>
        <w:t>采购公告</w:t>
      </w:r>
    </w:p>
    <w:p w14:paraId="10BF77E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64E2C0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深圳市宝安区松岗街道松涛社区19区小区长者服务点</w:t>
      </w:r>
      <w:r>
        <w:rPr>
          <w:rFonts w:hint="eastAsia" w:ascii="宋体" w:hAnsi="宋体" w:cs="Arial Unicode MS"/>
          <w:snapToGrid w:val="0"/>
          <w:kern w:val="0"/>
          <w:szCs w:val="21"/>
        </w:rPr>
        <w:t>的潜在</w:t>
      </w:r>
      <w:r>
        <w:rPr>
          <w:rFonts w:hint="default" w:ascii="宋体" w:hAnsi="宋体" w:cs="Arial Unicode MS"/>
          <w:snapToGrid w:val="0"/>
          <w:kern w:val="0"/>
          <w:szCs w:val="21"/>
          <w:lang w:val="en-US"/>
        </w:rPr>
        <w:t>运营商</w:t>
      </w:r>
      <w:r>
        <w:rPr>
          <w:rFonts w:hint="eastAsia" w:ascii="宋体" w:hAnsi="宋体" w:cs="Arial Unicode MS"/>
          <w:snapToGrid w:val="0"/>
          <w:kern w:val="0"/>
          <w:szCs w:val="21"/>
        </w:rPr>
        <w:t>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获取采购文件，并于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日15点00分</w:t>
      </w:r>
      <w:r>
        <w:rPr>
          <w:rFonts w:hint="eastAsia" w:ascii="宋体" w:hAnsi="宋体" w:cs="Arial Unicode MS"/>
          <w:snapToGrid w:val="0"/>
          <w:kern w:val="0"/>
          <w:szCs w:val="21"/>
        </w:rPr>
        <w:t>（北京时间）前递交响应文件。</w:t>
      </w:r>
    </w:p>
    <w:p w14:paraId="2B2468C4">
      <w:pPr>
        <w:adjustRightInd w:val="0"/>
        <w:snapToGrid w:val="0"/>
        <w:spacing w:line="360" w:lineRule="auto"/>
        <w:ind w:firstLine="420" w:firstLineChars="200"/>
        <w:jc w:val="left"/>
        <w:rPr>
          <w:rFonts w:ascii="宋体" w:hAnsi="宋体" w:cs="Arial Unicode MS"/>
          <w:snapToGrid w:val="0"/>
          <w:kern w:val="0"/>
          <w:szCs w:val="21"/>
        </w:rPr>
      </w:pPr>
    </w:p>
    <w:p w14:paraId="7739589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rPr>
        <w:t>一、</w:t>
      </w:r>
      <w:r>
        <w:rPr>
          <w:rFonts w:hint="eastAsia" w:ascii="宋体" w:hAnsi="宋体" w:eastAsia="宋体"/>
          <w:b/>
          <w:snapToGrid w:val="0"/>
          <w:color w:val="auto"/>
          <w:sz w:val="21"/>
          <w:szCs w:val="21"/>
          <w:highlight w:val="none"/>
        </w:rPr>
        <w:t>项目基本情况</w:t>
      </w:r>
    </w:p>
    <w:p w14:paraId="2311151F">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highlight w:val="none"/>
          <w:lang w:eastAsia="zh-CN"/>
        </w:rPr>
      </w:pPr>
      <w:r>
        <w:rPr>
          <w:rFonts w:hint="eastAsia" w:ascii="宋体" w:hAnsi="宋体" w:eastAsia="宋体"/>
          <w:snapToGrid w:val="0"/>
          <w:color w:val="auto"/>
          <w:sz w:val="21"/>
          <w:szCs w:val="21"/>
          <w:highlight w:val="none"/>
        </w:rPr>
        <w:t>1、项目编号：</w:t>
      </w:r>
      <w:r>
        <w:rPr>
          <w:rFonts w:hint="eastAsia" w:ascii="宋体" w:hAnsi="宋体" w:eastAsia="宋体"/>
          <w:snapToGrid w:val="0"/>
          <w:color w:val="auto"/>
          <w:sz w:val="21"/>
          <w:highlight w:val="none"/>
          <w:lang w:eastAsia="zh-CN"/>
        </w:rPr>
        <w:t xml:space="preserve">SZZZ2025-QC0285 </w:t>
      </w:r>
    </w:p>
    <w:p w14:paraId="6609DF0D">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highlight w:val="none"/>
          <w:lang w:eastAsia="zh-CN"/>
        </w:rPr>
      </w:pPr>
      <w:r>
        <w:rPr>
          <w:rFonts w:hint="eastAsia" w:ascii="宋体" w:hAnsi="宋体" w:eastAsia="宋体"/>
          <w:snapToGrid w:val="0"/>
          <w:color w:val="auto"/>
          <w:sz w:val="21"/>
          <w:szCs w:val="21"/>
          <w:highlight w:val="none"/>
        </w:rPr>
        <w:t>2、项目名称：</w:t>
      </w:r>
      <w:r>
        <w:rPr>
          <w:rFonts w:hint="eastAsia" w:ascii="宋体" w:hAnsi="宋体" w:eastAsia="宋体"/>
          <w:snapToGrid w:val="0"/>
          <w:color w:val="auto"/>
          <w:sz w:val="21"/>
          <w:szCs w:val="21"/>
          <w:highlight w:val="none"/>
          <w:lang w:eastAsia="zh-CN"/>
        </w:rPr>
        <w:t xml:space="preserve">深圳市宝安区松岗街道松涛社区19区小区长者服务点  </w:t>
      </w:r>
    </w:p>
    <w:p w14:paraId="40E0F89D">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highlight w:val="none"/>
          <w:lang w:eastAsia="zh-CN"/>
        </w:rPr>
      </w:pPr>
      <w:r>
        <w:rPr>
          <w:rFonts w:hint="eastAsia" w:ascii="宋体" w:hAnsi="宋体" w:eastAsia="宋体"/>
          <w:snapToGrid w:val="0"/>
          <w:color w:val="auto"/>
          <w:sz w:val="21"/>
          <w:szCs w:val="21"/>
          <w:highlight w:val="none"/>
        </w:rPr>
        <w:t>3、预算金额：本项目无预算金额，</w:t>
      </w:r>
      <w:r>
        <w:rPr>
          <w:rFonts w:hint="default" w:ascii="宋体" w:hAnsi="宋体" w:eastAsia="宋体"/>
          <w:snapToGrid w:val="0"/>
          <w:color w:val="auto"/>
          <w:sz w:val="21"/>
          <w:szCs w:val="21"/>
          <w:highlight w:val="none"/>
          <w:lang w:val="en-US" w:eastAsia="zh-CN"/>
        </w:rPr>
        <w:t>运营商</w:t>
      </w:r>
      <w:r>
        <w:rPr>
          <w:rFonts w:hint="eastAsia" w:ascii="宋体" w:hAnsi="宋体" w:eastAsia="宋体"/>
          <w:snapToGrid w:val="0"/>
          <w:color w:val="auto"/>
          <w:sz w:val="21"/>
          <w:szCs w:val="21"/>
          <w:highlight w:val="none"/>
        </w:rPr>
        <w:t>无需报价，</w:t>
      </w:r>
      <w:r>
        <w:rPr>
          <w:rFonts w:hint="default" w:ascii="宋体" w:hAnsi="宋体" w:eastAsia="宋体"/>
          <w:snapToGrid w:val="0"/>
          <w:color w:val="auto"/>
          <w:sz w:val="21"/>
          <w:szCs w:val="21"/>
          <w:highlight w:val="none"/>
          <w:lang w:val="en-US" w:eastAsia="zh-CN"/>
        </w:rPr>
        <w:t>中标运营商</w:t>
      </w:r>
      <w:r>
        <w:rPr>
          <w:rFonts w:hint="eastAsia" w:ascii="宋体" w:hAnsi="宋体" w:eastAsia="宋体"/>
          <w:snapToGrid w:val="0"/>
          <w:color w:val="auto"/>
          <w:sz w:val="21"/>
          <w:szCs w:val="21"/>
          <w:highlight w:val="none"/>
        </w:rPr>
        <w:t>须自负盈亏（如有补贴按相关政策执行）</w:t>
      </w:r>
      <w:r>
        <w:rPr>
          <w:rFonts w:hint="eastAsia" w:ascii="宋体" w:hAnsi="宋体" w:eastAsia="宋体"/>
          <w:snapToGrid w:val="0"/>
          <w:color w:val="auto"/>
          <w:sz w:val="21"/>
          <w:szCs w:val="21"/>
          <w:highlight w:val="none"/>
          <w:lang w:eastAsia="zh-CN"/>
        </w:rPr>
        <w:t>。</w:t>
      </w:r>
    </w:p>
    <w:p w14:paraId="5C929CB6">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4、采购需求：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587"/>
        <w:gridCol w:w="732"/>
        <w:gridCol w:w="733"/>
        <w:gridCol w:w="2808"/>
        <w:gridCol w:w="976"/>
      </w:tblGrid>
      <w:tr w14:paraId="64B4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5365E549">
            <w:pPr>
              <w:pStyle w:val="3"/>
              <w:spacing w:before="0" w:beforeAutospacing="0" w:after="0" w:afterAutospacing="0" w:line="360" w:lineRule="auto"/>
              <w:jc w:val="center"/>
              <w:rPr>
                <w:sz w:val="21"/>
                <w:highlight w:val="none"/>
              </w:rPr>
            </w:pPr>
            <w:r>
              <w:rPr>
                <w:rFonts w:hint="eastAsia"/>
                <w:sz w:val="21"/>
                <w:highlight w:val="none"/>
              </w:rPr>
              <w:t>序号</w:t>
            </w:r>
          </w:p>
        </w:tc>
        <w:tc>
          <w:tcPr>
            <w:tcW w:w="1535" w:type="pct"/>
            <w:shd w:val="clear" w:color="auto" w:fill="ABCDEF"/>
            <w:vAlign w:val="center"/>
          </w:tcPr>
          <w:p w14:paraId="3D395D22">
            <w:pPr>
              <w:pStyle w:val="3"/>
              <w:spacing w:line="360" w:lineRule="auto"/>
              <w:jc w:val="center"/>
              <w:rPr>
                <w:sz w:val="21"/>
                <w:highlight w:val="none"/>
              </w:rPr>
            </w:pPr>
            <w:r>
              <w:rPr>
                <w:sz w:val="21"/>
                <w:highlight w:val="none"/>
              </w:rPr>
              <w:t>标的名称</w:t>
            </w:r>
          </w:p>
        </w:tc>
        <w:tc>
          <w:tcPr>
            <w:tcW w:w="434" w:type="pct"/>
            <w:shd w:val="clear" w:color="auto" w:fill="ABCDEF"/>
            <w:vAlign w:val="center"/>
          </w:tcPr>
          <w:p w14:paraId="5A00C343">
            <w:pPr>
              <w:pStyle w:val="3"/>
              <w:spacing w:before="0" w:beforeAutospacing="0" w:after="0" w:afterAutospacing="0" w:line="360" w:lineRule="auto"/>
              <w:jc w:val="center"/>
              <w:rPr>
                <w:sz w:val="21"/>
                <w:highlight w:val="none"/>
              </w:rPr>
            </w:pPr>
            <w:r>
              <w:rPr>
                <w:sz w:val="21"/>
                <w:highlight w:val="none"/>
              </w:rPr>
              <w:t>数量</w:t>
            </w:r>
          </w:p>
        </w:tc>
        <w:tc>
          <w:tcPr>
            <w:tcW w:w="435" w:type="pct"/>
            <w:shd w:val="clear" w:color="auto" w:fill="ABCDEF"/>
            <w:vAlign w:val="center"/>
          </w:tcPr>
          <w:p w14:paraId="11D3CE49">
            <w:pPr>
              <w:pStyle w:val="3"/>
              <w:spacing w:before="0" w:beforeAutospacing="0" w:after="0" w:afterAutospacing="0" w:line="360" w:lineRule="auto"/>
              <w:jc w:val="center"/>
              <w:rPr>
                <w:sz w:val="21"/>
                <w:highlight w:val="none"/>
              </w:rPr>
            </w:pPr>
            <w:r>
              <w:rPr>
                <w:sz w:val="21"/>
                <w:highlight w:val="none"/>
              </w:rPr>
              <w:t>单位</w:t>
            </w:r>
          </w:p>
        </w:tc>
        <w:tc>
          <w:tcPr>
            <w:tcW w:w="1666" w:type="pct"/>
            <w:shd w:val="clear" w:color="auto" w:fill="ABCDEF"/>
            <w:vAlign w:val="center"/>
          </w:tcPr>
          <w:p w14:paraId="2195A52D">
            <w:pPr>
              <w:pStyle w:val="3"/>
              <w:spacing w:before="0" w:beforeAutospacing="0" w:after="0" w:afterAutospacing="0" w:line="360" w:lineRule="auto"/>
              <w:jc w:val="center"/>
              <w:rPr>
                <w:sz w:val="21"/>
                <w:highlight w:val="none"/>
              </w:rPr>
            </w:pPr>
            <w:r>
              <w:rPr>
                <w:rFonts w:hint="eastAsia"/>
                <w:sz w:val="21"/>
                <w:highlight w:val="none"/>
              </w:rPr>
              <w:t>简要技术需求或服务要求</w:t>
            </w:r>
          </w:p>
        </w:tc>
        <w:tc>
          <w:tcPr>
            <w:tcW w:w="579" w:type="pct"/>
            <w:shd w:val="clear" w:color="auto" w:fill="ABCDEF"/>
            <w:vAlign w:val="center"/>
          </w:tcPr>
          <w:p w14:paraId="56A73B22">
            <w:pPr>
              <w:pStyle w:val="3"/>
              <w:spacing w:before="0" w:beforeAutospacing="0" w:after="0" w:afterAutospacing="0" w:line="360" w:lineRule="auto"/>
              <w:jc w:val="center"/>
              <w:rPr>
                <w:sz w:val="21"/>
                <w:highlight w:val="none"/>
              </w:rPr>
            </w:pPr>
            <w:r>
              <w:rPr>
                <w:sz w:val="21"/>
                <w:highlight w:val="none"/>
              </w:rPr>
              <w:t>备注</w:t>
            </w:r>
          </w:p>
        </w:tc>
      </w:tr>
      <w:tr w14:paraId="32E6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239C7345">
            <w:pPr>
              <w:pStyle w:val="3"/>
              <w:spacing w:before="0" w:beforeAutospacing="0" w:after="0" w:afterAutospacing="0" w:line="360" w:lineRule="auto"/>
              <w:jc w:val="center"/>
              <w:rPr>
                <w:rFonts w:asciiTheme="minorEastAsia" w:hAnsiTheme="minorEastAsia" w:eastAsiaTheme="minorEastAsia"/>
                <w:sz w:val="21"/>
                <w:highlight w:val="none"/>
              </w:rPr>
            </w:pPr>
            <w:r>
              <w:rPr>
                <w:rFonts w:hint="eastAsia" w:asciiTheme="minorEastAsia" w:hAnsiTheme="minorEastAsia" w:eastAsiaTheme="minorEastAsia"/>
                <w:sz w:val="21"/>
                <w:highlight w:val="none"/>
              </w:rPr>
              <w:t>1</w:t>
            </w:r>
          </w:p>
        </w:tc>
        <w:tc>
          <w:tcPr>
            <w:tcW w:w="1535" w:type="pct"/>
            <w:shd w:val="clear" w:color="auto" w:fill="auto"/>
            <w:vAlign w:val="center"/>
          </w:tcPr>
          <w:p w14:paraId="003EB4F0">
            <w:pPr>
              <w:pStyle w:val="3"/>
              <w:spacing w:line="360" w:lineRule="auto"/>
              <w:jc w:val="center"/>
              <w:rPr>
                <w:rFonts w:hint="eastAsia" w:asciiTheme="minorEastAsia" w:hAnsiTheme="minorEastAsia" w:eastAsiaTheme="minorEastAsia"/>
                <w:sz w:val="21"/>
                <w:highlight w:val="none"/>
                <w:lang w:eastAsia="zh-CN"/>
              </w:rPr>
            </w:pPr>
            <w:r>
              <w:rPr>
                <w:rFonts w:hint="eastAsia" w:ascii="宋体" w:hAnsi="宋体" w:eastAsiaTheme="minorEastAsia"/>
                <w:snapToGrid w:val="0"/>
                <w:sz w:val="21"/>
                <w:szCs w:val="21"/>
                <w:highlight w:val="none"/>
                <w:lang w:eastAsia="zh-CN"/>
              </w:rPr>
              <w:t xml:space="preserve">深圳市宝安区松岗街道松涛社区19区小区长者服务点  </w:t>
            </w:r>
          </w:p>
        </w:tc>
        <w:tc>
          <w:tcPr>
            <w:tcW w:w="434" w:type="pct"/>
            <w:shd w:val="clear" w:color="auto" w:fill="auto"/>
            <w:vAlign w:val="center"/>
          </w:tcPr>
          <w:p w14:paraId="5576DCA5">
            <w:pPr>
              <w:pStyle w:val="3"/>
              <w:spacing w:before="0" w:beforeAutospacing="0" w:after="0" w:afterAutospacing="0" w:line="360" w:lineRule="auto"/>
              <w:jc w:val="center"/>
              <w:rPr>
                <w:rFonts w:asciiTheme="minorEastAsia" w:hAnsiTheme="minorEastAsia" w:eastAsiaTheme="minorEastAsia"/>
                <w:sz w:val="21"/>
                <w:highlight w:val="none"/>
              </w:rPr>
            </w:pPr>
            <w:r>
              <w:rPr>
                <w:rFonts w:hint="eastAsia" w:asciiTheme="minorEastAsia" w:hAnsiTheme="minorEastAsia" w:eastAsiaTheme="minorEastAsia"/>
                <w:sz w:val="21"/>
                <w:highlight w:val="none"/>
              </w:rPr>
              <w:t>1</w:t>
            </w:r>
          </w:p>
        </w:tc>
        <w:tc>
          <w:tcPr>
            <w:tcW w:w="435" w:type="pct"/>
            <w:shd w:val="clear" w:color="auto" w:fill="auto"/>
            <w:vAlign w:val="center"/>
          </w:tcPr>
          <w:p w14:paraId="2126201D">
            <w:pPr>
              <w:pStyle w:val="3"/>
              <w:spacing w:before="0" w:beforeAutospacing="0" w:after="0" w:afterAutospacing="0" w:line="360" w:lineRule="auto"/>
              <w:jc w:val="center"/>
              <w:rPr>
                <w:rFonts w:asciiTheme="minorEastAsia" w:hAnsiTheme="minorEastAsia" w:eastAsiaTheme="minorEastAsia"/>
                <w:sz w:val="21"/>
                <w:highlight w:val="none"/>
              </w:rPr>
            </w:pPr>
            <w:r>
              <w:rPr>
                <w:rFonts w:hint="eastAsia" w:asciiTheme="minorEastAsia" w:hAnsiTheme="minorEastAsia" w:eastAsiaTheme="minorEastAsia"/>
                <w:sz w:val="21"/>
                <w:highlight w:val="none"/>
              </w:rPr>
              <w:t>项</w:t>
            </w:r>
          </w:p>
        </w:tc>
        <w:tc>
          <w:tcPr>
            <w:tcW w:w="1666" w:type="pct"/>
            <w:shd w:val="clear" w:color="auto" w:fill="auto"/>
            <w:vAlign w:val="center"/>
          </w:tcPr>
          <w:p w14:paraId="03E8F64E">
            <w:pPr>
              <w:pStyle w:val="3"/>
              <w:spacing w:before="0" w:beforeAutospacing="0" w:after="0" w:afterAutospacing="0" w:line="360" w:lineRule="auto"/>
              <w:jc w:val="center"/>
              <w:rPr>
                <w:rFonts w:asciiTheme="minorEastAsia" w:hAnsiTheme="minorEastAsia" w:eastAsiaTheme="minorEastAsia"/>
                <w:sz w:val="21"/>
                <w:highlight w:val="none"/>
              </w:rPr>
            </w:pPr>
            <w:r>
              <w:rPr>
                <w:rFonts w:hint="eastAsia" w:ascii="宋体" w:hAnsi="宋体"/>
                <w:sz w:val="21"/>
                <w:highlight w:val="none"/>
              </w:rPr>
              <w:t>详见采购文件项目需求</w:t>
            </w:r>
          </w:p>
        </w:tc>
        <w:tc>
          <w:tcPr>
            <w:tcW w:w="579" w:type="pct"/>
            <w:shd w:val="clear" w:color="auto" w:fill="auto"/>
            <w:vAlign w:val="center"/>
          </w:tcPr>
          <w:p w14:paraId="6E7A5280">
            <w:pPr>
              <w:widowControl/>
              <w:spacing w:line="360" w:lineRule="auto"/>
              <w:jc w:val="center"/>
              <w:rPr>
                <w:rFonts w:asciiTheme="minorEastAsia" w:hAnsiTheme="minorEastAsia" w:eastAsiaTheme="minorEastAsia"/>
                <w:highlight w:val="none"/>
              </w:rPr>
            </w:pPr>
            <w:r>
              <w:rPr>
                <w:rFonts w:hint="eastAsia" w:asciiTheme="minorEastAsia" w:hAnsiTheme="minorEastAsia" w:eastAsiaTheme="minorEastAsia"/>
                <w:highlight w:val="none"/>
              </w:rPr>
              <w:t>无</w:t>
            </w:r>
          </w:p>
        </w:tc>
      </w:tr>
    </w:tbl>
    <w:p w14:paraId="2A114332">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、合同履行期限：详见采购文件。</w:t>
      </w:r>
    </w:p>
    <w:p w14:paraId="4DA67FBD">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、本项目（是/否）接受联合体响应：详见“</w:t>
      </w:r>
      <w:r>
        <w:rPr>
          <w:rFonts w:hint="default" w:ascii="宋体" w:hAnsi="宋体" w:eastAsia="宋体"/>
          <w:snapToGrid w:val="0"/>
          <w:color w:val="auto"/>
          <w:sz w:val="21"/>
          <w:szCs w:val="21"/>
          <w:lang w:val="en-US"/>
        </w:rPr>
        <w:t>运营商</w:t>
      </w:r>
      <w:r>
        <w:rPr>
          <w:rFonts w:hint="eastAsia" w:ascii="宋体" w:hAnsi="宋体" w:eastAsia="宋体"/>
          <w:snapToGrid w:val="0"/>
          <w:color w:val="auto"/>
          <w:sz w:val="21"/>
          <w:szCs w:val="21"/>
        </w:rPr>
        <w:t>资格要求”。</w:t>
      </w:r>
    </w:p>
    <w:p w14:paraId="1DEF50C4">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75DB4B7">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w:t>
      </w:r>
      <w:r>
        <w:rPr>
          <w:rFonts w:hint="default" w:ascii="宋体" w:hAnsi="宋体" w:eastAsia="宋体"/>
          <w:b/>
          <w:snapToGrid w:val="0"/>
          <w:color w:val="auto"/>
          <w:sz w:val="21"/>
          <w:szCs w:val="21"/>
          <w:lang w:val="en"/>
        </w:rPr>
        <w:t>运营商</w:t>
      </w:r>
      <w:r>
        <w:rPr>
          <w:rFonts w:hint="eastAsia" w:ascii="宋体" w:hAnsi="宋体" w:eastAsia="宋体"/>
          <w:b/>
          <w:snapToGrid w:val="0"/>
          <w:color w:val="auto"/>
          <w:sz w:val="21"/>
          <w:szCs w:val="21"/>
        </w:rPr>
        <w:t>资格要求</w:t>
      </w:r>
    </w:p>
    <w:p w14:paraId="484F476C">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（1）是在中华人民共和国境内注册并合法运作的独立法人或其他组织（提供营业执照或法人证书等证明材料复印件或扫描件加盖</w:t>
      </w:r>
      <w:r>
        <w:rPr>
          <w:rFonts w:hint="default" w:asciiTheme="minorEastAsia" w:hAnsiTheme="minorEastAsia" w:eastAsiaTheme="minorEastAsia"/>
          <w:snapToGrid w:val="0"/>
          <w:color w:val="auto"/>
          <w:sz w:val="21"/>
          <w:lang w:val="en-US"/>
        </w:rPr>
        <w:t>运营商</w:t>
      </w:r>
      <w:r>
        <w:rPr>
          <w:rFonts w:hint="eastAsia" w:asciiTheme="minorEastAsia" w:hAnsiTheme="minorEastAsia" w:eastAsiaTheme="minorEastAsia"/>
          <w:snapToGrid w:val="0"/>
          <w:color w:val="auto"/>
          <w:sz w:val="21"/>
        </w:rPr>
        <w:t>公章）。如果是分支机构参与采购活动，还须同时提供其具有独立法人资格的上级主体出具的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default" w:asciiTheme="minorEastAsia" w:hAnsiTheme="minorEastAsia" w:eastAsiaTheme="minorEastAsia"/>
          <w:snapToGrid w:val="0"/>
          <w:color w:val="auto"/>
          <w:sz w:val="21"/>
          <w:lang w:val="en-US"/>
        </w:rPr>
        <w:t>运营商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本项目不接受总公司与分支机构同时参与响应，也不接受同一总公司有两个或以上分支机构参与响应，如出现以上情形，该两家或以上</w:t>
      </w:r>
      <w:r>
        <w:rPr>
          <w:rFonts w:hint="default" w:ascii="宋体" w:hAnsi="宋体" w:eastAsia="宋体"/>
          <w:snapToGrid w:val="0"/>
          <w:color w:val="auto"/>
          <w:sz w:val="21"/>
          <w:lang w:val="en-US"/>
        </w:rPr>
        <w:t>运营商</w:t>
      </w:r>
      <w:r>
        <w:rPr>
          <w:rFonts w:hint="eastAsia" w:ascii="宋体" w:hAnsi="宋体" w:eastAsia="宋体"/>
          <w:snapToGrid w:val="0"/>
          <w:color w:val="auto"/>
          <w:sz w:val="21"/>
        </w:rPr>
        <w:t>均按无效响应处理</w:t>
      </w:r>
      <w:r>
        <w:rPr>
          <w:rFonts w:hint="eastAsia" w:asciiTheme="minorEastAsia" w:hAnsiTheme="minorEastAsia" w:eastAsiaTheme="minorEastAsia"/>
          <w:snapToGrid w:val="0"/>
          <w:color w:val="auto"/>
          <w:sz w:val="21"/>
        </w:rPr>
        <w:t>；</w:t>
      </w:r>
    </w:p>
    <w:p w14:paraId="0C38CF22">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（2）参与本项目采购活动前三年内，在经营活动中没有重大违法记录（须按本项目响应文件格式要求提供《承诺函》加盖</w:t>
      </w:r>
      <w:r>
        <w:rPr>
          <w:rFonts w:hint="default" w:asciiTheme="minorEastAsia" w:hAnsiTheme="minorEastAsia" w:eastAsiaTheme="minorEastAsia"/>
          <w:snapToGrid w:val="0"/>
          <w:color w:val="auto"/>
          <w:sz w:val="21"/>
          <w:lang w:val="en-US"/>
        </w:rPr>
        <w:t>运营商</w:t>
      </w:r>
      <w:r>
        <w:rPr>
          <w:rFonts w:hint="eastAsia" w:asciiTheme="minorEastAsia" w:hAnsiTheme="minorEastAsia" w:eastAsiaTheme="minorEastAsia"/>
          <w:snapToGrid w:val="0"/>
          <w:color w:val="auto"/>
          <w:sz w:val="21"/>
        </w:rPr>
        <w:t>公章）；</w:t>
      </w:r>
    </w:p>
    <w:p w14:paraId="64AC747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采购活动时不存在被有关部门禁止参与采购活动且在有效期内的情况，不存在与其他采购参加人串通投标，隐瞒真实情况，提供虚假资料等违法违规情形（须按本项目响应文件格式要求提供《承诺函》加盖</w:t>
      </w:r>
      <w:r>
        <w:rPr>
          <w:rFonts w:hint="default" w:asciiTheme="minorEastAsia" w:hAnsiTheme="minorEastAsia" w:eastAsiaTheme="minorEastAsia"/>
          <w:snapToGrid w:val="0"/>
          <w:color w:val="auto"/>
          <w:sz w:val="21"/>
          <w:lang w:val="en-US"/>
        </w:rPr>
        <w:t>运营商</w:t>
      </w:r>
      <w:r>
        <w:rPr>
          <w:rFonts w:hint="eastAsia" w:asciiTheme="minorEastAsia" w:hAnsiTheme="minorEastAsia" w:eastAsiaTheme="minorEastAsia"/>
          <w:snapToGrid w:val="0"/>
          <w:color w:val="auto"/>
          <w:sz w:val="21"/>
        </w:rPr>
        <w:t>公章）；</w:t>
      </w:r>
    </w:p>
    <w:p w14:paraId="07BF24DB">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（4）单位负责人为同一人或者存在直接控股、管理关系的不同</w:t>
      </w:r>
      <w:r>
        <w:rPr>
          <w:rFonts w:hint="default" w:asciiTheme="minorEastAsia" w:hAnsiTheme="minorEastAsia" w:eastAsiaTheme="minorEastAsia"/>
          <w:snapToGrid w:val="0"/>
          <w:color w:val="auto"/>
          <w:sz w:val="21"/>
          <w:lang w:val="en-US"/>
        </w:rPr>
        <w:t>运营商</w:t>
      </w:r>
      <w:r>
        <w:rPr>
          <w:rFonts w:hint="eastAsia" w:asciiTheme="minorEastAsia" w:hAnsiTheme="minorEastAsia" w:eastAsiaTheme="minorEastAsia"/>
          <w:snapToGrid w:val="0"/>
          <w:color w:val="auto"/>
          <w:sz w:val="21"/>
        </w:rPr>
        <w:t>，不得参加同一合同项下的采购活动，采购代理机构通过国家企业信用信息公示系统（https://www.gsxt.gov.cn/index.html）或机关赋码和事业单位登记管理网（http://www.gjsy.gov.cn/sydwfrxxcx/）或全国社会组织信用信息公示平台（https://xxgs.chinanpo.mca.gov.cn/gsxt/newList）网站查询投标人信息；</w:t>
      </w:r>
    </w:p>
    <w:p w14:paraId="61640388">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w:t>
      </w:r>
      <w:r>
        <w:rPr>
          <w:rFonts w:hint="default" w:asciiTheme="minorEastAsia" w:hAnsiTheme="minorEastAsia" w:eastAsiaTheme="minorEastAsia"/>
          <w:snapToGrid w:val="0"/>
          <w:color w:val="auto"/>
          <w:sz w:val="21"/>
          <w:lang w:val="en-US"/>
        </w:rPr>
        <w:t>运营商</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www.creditchina.gov.cn）“信用服务”栏的“重大税收违法失信主体”、“失信被执行人”及“中国政府采购”（www.ccgp.gov.cn）“政府采购严重违法失信行为记录名单”为</w:t>
      </w:r>
      <w:r>
        <w:rPr>
          <w:rFonts w:hint="default" w:asciiTheme="minorEastAsia" w:hAnsiTheme="minorEastAsia" w:eastAsiaTheme="minorEastAsia"/>
          <w:snapToGrid w:val="0"/>
          <w:color w:val="auto"/>
          <w:sz w:val="21"/>
          <w:lang w:val="en-US"/>
        </w:rPr>
        <w:t>运营商</w:t>
      </w:r>
      <w:r>
        <w:rPr>
          <w:rFonts w:hint="eastAsia" w:asciiTheme="minorEastAsia" w:hAnsiTheme="minorEastAsia" w:eastAsiaTheme="minorEastAsia"/>
          <w:snapToGrid w:val="0"/>
          <w:color w:val="auto"/>
          <w:sz w:val="21"/>
        </w:rPr>
        <w:t>信用信息查询渠道，相关信息以开标当日的查询结果为准。由采购代理机构查询）；</w:t>
      </w:r>
    </w:p>
    <w:p w14:paraId="78637C1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（6）本项目不接受联合体响应，不允许分包或转包。</w:t>
      </w:r>
    </w:p>
    <w:p w14:paraId="4C334428">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93BACD">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7B0BF157">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F267617">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2508BAE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1E9593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w:t>
      </w:r>
      <w:r>
        <w:rPr>
          <w:rFonts w:hint="default" w:ascii="宋体" w:hAnsi="宋体" w:cs="Arial Unicode MS"/>
          <w:snapToGrid w:val="0"/>
          <w:kern w:val="0"/>
          <w:szCs w:val="21"/>
          <w:lang w:val="en-US"/>
        </w:rPr>
        <w:t>运营商</w:t>
      </w:r>
      <w:r>
        <w:rPr>
          <w:rFonts w:hint="eastAsia" w:ascii="宋体" w:hAnsi="宋体" w:cs="Arial Unicode MS"/>
          <w:snapToGrid w:val="0"/>
          <w:kern w:val="0"/>
          <w:szCs w:val="21"/>
        </w:rPr>
        <w:t>按以上时间和地点现场报名和获取采购文件（提供加盖公章的《购买标书登记表》），逾期不予受理。</w:t>
      </w:r>
    </w:p>
    <w:p w14:paraId="0CB9A59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w:t>
      </w:r>
      <w:r>
        <w:rPr>
          <w:rFonts w:hint="default" w:ascii="宋体" w:hAnsi="宋体" w:cs="Arial Unicode MS"/>
          <w:snapToGrid w:val="0"/>
          <w:kern w:val="0"/>
          <w:szCs w:val="21"/>
          <w:lang w:val="en-US"/>
        </w:rPr>
        <w:t>运营商</w:t>
      </w:r>
      <w:r>
        <w:rPr>
          <w:rFonts w:hint="eastAsia" w:ascii="宋体" w:hAnsi="宋体" w:cs="Arial Unicode MS"/>
          <w:snapToGrid w:val="0"/>
          <w:kern w:val="0"/>
          <w:szCs w:val="21"/>
        </w:rPr>
        <w:t xml:space="preserve">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6BA2706C">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53C6FA3C">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D205A62">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49F88B8">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5CCD090">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807F229">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四、提交响应文件截止时间、开标时间和地点</w:t>
      </w:r>
    </w:p>
    <w:p w14:paraId="76F1D1BB">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bookmarkStart w:id="2" w:name="_GoBack"/>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日15点00分（</w:t>
      </w:r>
      <w:bookmarkEnd w:id="2"/>
      <w:r>
        <w:rPr>
          <w:rFonts w:hint="eastAsia" w:ascii="宋体" w:hAnsi="宋体" w:eastAsia="宋体"/>
          <w:snapToGrid w:val="0"/>
          <w:color w:val="auto"/>
          <w:sz w:val="21"/>
          <w:szCs w:val="21"/>
          <w:u w:val="single"/>
        </w:rPr>
        <w:t>北京时间）</w:t>
      </w:r>
    </w:p>
    <w:p w14:paraId="2B63B721">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深圳市宝安区前进二路21号流塘商务大厦A座7楼</w:t>
      </w:r>
    </w:p>
    <w:p w14:paraId="52EDD263">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B9481AA">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五、其他补充事宜</w:t>
      </w:r>
    </w:p>
    <w:p w14:paraId="2A9712D9">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AD1A783">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w:t>
      </w:r>
      <w:bookmarkStart w:id="0" w:name="OLE_LINK3"/>
      <w:r>
        <w:rPr>
          <w:rFonts w:hint="eastAsia" w:ascii="宋体" w:hAnsi="宋体" w:eastAsia="宋体"/>
          <w:snapToGrid w:val="0"/>
          <w:color w:val="auto"/>
          <w:sz w:val="21"/>
          <w:szCs w:val="21"/>
        </w:rPr>
        <w:t>）深圳公共资源交易中心网站（www.szexgrp.com）</w:t>
      </w:r>
    </w:p>
    <w:p w14:paraId="6D28C816">
      <w:pPr>
        <w:pStyle w:val="6"/>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（www.szzzt.com）</w:t>
      </w:r>
    </w:p>
    <w:bookmarkEnd w:id="0"/>
    <w:p w14:paraId="3E9DFFC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60F13704">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45E6D8E">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六、凡对本次采购提出询问，请按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9026ACE">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E32DBC4">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名称：深圳市宝安区松岗街道办事处</w:t>
      </w:r>
      <w:r>
        <w:rPr>
          <w:rFonts w:ascii="宋体" w:hAnsi="宋体" w:eastAsia="宋体"/>
          <w:snapToGrid w:val="0"/>
          <w:color w:val="auto"/>
          <w:sz w:val="21"/>
          <w:szCs w:val="21"/>
        </w:rPr>
        <w:t xml:space="preserve"> </w:t>
      </w:r>
    </w:p>
    <w:p w14:paraId="2BB2554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地址：深圳市宝安区松岗街道广深公路428号</w:t>
      </w:r>
      <w:r>
        <w:rPr>
          <w:rFonts w:ascii="宋体" w:hAnsi="宋体" w:eastAsia="宋体"/>
          <w:snapToGrid w:val="0"/>
          <w:color w:val="auto"/>
          <w:sz w:val="21"/>
          <w:szCs w:val="21"/>
        </w:rPr>
        <w:t xml:space="preserve"> </w:t>
      </w:r>
    </w:p>
    <w:p w14:paraId="1ABCCD3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F50DA97">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AAB70B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5D0733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2D6D8BB4">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32C30F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62AE1AD">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联系电话：0755-83026699</w:t>
      </w:r>
    </w:p>
    <w:p w14:paraId="6F2FBF34">
      <w:pPr>
        <w:pStyle w:val="6"/>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14:paraId="1448B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color w:val="auto"/>
          <w:kern w:val="0"/>
          <w:sz w:val="24"/>
        </w:rPr>
      </w:pPr>
      <w:r>
        <w:rPr>
          <w:rFonts w:hint="eastAsia" w:ascii="宋体" w:hAnsi="宋体"/>
          <w:snapToGrid w:val="0"/>
          <w:color w:val="auto"/>
          <w:kern w:val="0"/>
          <w:sz w:val="24"/>
        </w:rPr>
        <w:t>深圳市中正招标有限公司</w:t>
      </w:r>
    </w:p>
    <w:p w14:paraId="3226B300">
      <w:pPr>
        <w:jc w:val="center"/>
        <w:rPr>
          <w:rFonts w:hint="eastAsia" w:ascii="黑体" w:hAnsi="黑体" w:eastAsia="黑体" w:cs="黑体"/>
          <w:snapToGrid w:val="0"/>
          <w:color w:val="auto"/>
          <w:sz w:val="28"/>
          <w:szCs w:val="28"/>
          <w:highlight w:val="none"/>
          <w:lang w:val="en-US" w:eastAsia="zh-CN"/>
        </w:rPr>
      </w:pPr>
      <w:r>
        <w:rPr>
          <w:rFonts w:hint="eastAsia" w:ascii="宋体" w:hAnsi="宋体"/>
          <w:snapToGrid w:val="0"/>
          <w:color w:val="auto"/>
          <w:kern w:val="0"/>
          <w:sz w:val="24"/>
          <w:lang w:val="en-US" w:eastAsia="zh-CN"/>
        </w:rPr>
        <w:t xml:space="preserve">                                               </w:t>
      </w:r>
      <w:r>
        <w:rPr>
          <w:rFonts w:hint="eastAsia" w:ascii="宋体" w:hAnsi="宋体"/>
          <w:snapToGrid w:val="0"/>
          <w:color w:val="auto"/>
          <w:kern w:val="0"/>
          <w:sz w:val="24"/>
          <w:lang w:eastAsia="zh-CN"/>
        </w:rPr>
        <w:t>2025</w:t>
      </w:r>
      <w:r>
        <w:rPr>
          <w:rFonts w:ascii="宋体" w:hAnsi="宋体"/>
          <w:snapToGrid w:val="0"/>
          <w:color w:val="auto"/>
          <w:kern w:val="0"/>
          <w:sz w:val="24"/>
        </w:rPr>
        <w:t>年</w:t>
      </w:r>
      <w:r>
        <w:rPr>
          <w:rFonts w:hint="eastAsia" w:ascii="宋体" w:hAnsi="宋体"/>
          <w:snapToGrid w:val="0"/>
          <w:color w:val="auto"/>
          <w:kern w:val="0"/>
          <w:sz w:val="24"/>
          <w:lang w:val="en-US" w:eastAsia="zh-CN"/>
        </w:rPr>
        <w:t>08</w:t>
      </w:r>
      <w:r>
        <w:rPr>
          <w:rFonts w:hint="eastAsia" w:ascii="宋体" w:hAnsi="宋体"/>
          <w:snapToGrid w:val="0"/>
          <w:color w:val="auto"/>
          <w:kern w:val="0"/>
          <w:sz w:val="24"/>
        </w:rPr>
        <w:t>月</w:t>
      </w:r>
      <w:r>
        <w:rPr>
          <w:rFonts w:hint="eastAsia" w:ascii="宋体" w:hAnsi="宋体"/>
          <w:snapToGrid w:val="0"/>
          <w:color w:val="auto"/>
          <w:kern w:val="0"/>
          <w:sz w:val="24"/>
          <w:lang w:val="en-US" w:eastAsia="zh-CN"/>
        </w:rPr>
        <w:t>07</w:t>
      </w:r>
      <w:r>
        <w:rPr>
          <w:rFonts w:hint="eastAsia" w:ascii="宋体" w:hAnsi="宋体"/>
          <w:snapToGrid w:val="0"/>
          <w:color w:val="auto"/>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汉仪雅酷黑简">
    <w:panose1 w:val="00020600040101010101"/>
    <w:charset w:val="86"/>
    <w:family w:val="auto"/>
    <w:pitch w:val="default"/>
    <w:sig w:usb0="A00002BF" w:usb1="1AC17CFA" w:usb2="00000016" w:usb3="00000000" w:csb0="0004009F" w:csb1="DFD7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63BB5"/>
    <w:rsid w:val="43D6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2025-08-07T06:58:00Z</dcterms:created>
  <dc:creator>中正招标杨工</dc:creator>
  <cp:lastModifiedBy>中正招标杨工</cp:lastModifiedBy>
  <dcterms:modified xsi:type="dcterms:W3CDTF">2025-08-07T06:59:49Z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61F3573B77E14C7FAFC0078CB4FB4A78_11</vt:lpwstr>
  </property>
  <property fmtid="{D5CDD505-2E9C-101B-9397-08002B2CF9AE}" pid="4" name="KSOTemplateDocerSaveRecord">
    <vt:lpwstr>eyJoZGlkIjoiOTMwM2Y2MTYwMDMxNDU2MTZiYjY1MzkzNDdkYmNhZGUiLCJ1c2VySWQiOiI1NDUwNDM1MTAifQ==</vt:lpwstr>
  </property>
</Properties>
</file>