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3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rPr>
          <w:rFonts w:hint="eastAsia" w:ascii="黑体" w:hAnsi="宋体" w:eastAsia="黑体" w:cs="黑体"/>
          <w:kern w:val="0"/>
          <w:sz w:val="40"/>
          <w:szCs w:val="40"/>
        </w:rPr>
      </w:pPr>
    </w:p>
    <w:p>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widowControl/>
              <w:jc w:val="left"/>
              <w:rPr>
                <w:sz w:val="30"/>
                <w:szCs w:val="30"/>
              </w:rPr>
            </w:pPr>
            <w:r>
              <w:rPr>
                <w:rFonts w:hint="eastAsia"/>
                <w:sz w:val="30"/>
                <w:szCs w:val="30"/>
              </w:rPr>
              <w:t>BAZXCG-2025-00071</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jc w:val="left"/>
              <w:rPr>
                <w:sz w:val="30"/>
                <w:szCs w:val="30"/>
              </w:rPr>
            </w:pPr>
            <w:r>
              <w:rPr>
                <w:rFonts w:hint="eastAsia"/>
                <w:sz w:val="30"/>
                <w:szCs w:val="30"/>
              </w:rPr>
              <w:t>深圳市宝安区石岩街道</w:t>
            </w:r>
            <w:r>
              <w:rPr>
                <w:rFonts w:hint="eastAsia"/>
                <w:sz w:val="30"/>
                <w:szCs w:val="30"/>
                <w:lang w:val="en" w:eastAsia="zh-CN"/>
              </w:rPr>
              <w:t>办事处</w:t>
            </w:r>
            <w:r>
              <w:rPr>
                <w:rFonts w:hint="eastAsia"/>
                <w:sz w:val="30"/>
                <w:szCs w:val="30"/>
                <w:lang w:eastAsia="zh-CN"/>
              </w:rPr>
              <w:t>石岩街道</w:t>
            </w:r>
            <w:r>
              <w:rPr>
                <w:rFonts w:hint="eastAsia"/>
                <w:sz w:val="30"/>
                <w:szCs w:val="30"/>
              </w:rPr>
              <w:t>2025年森林质量精准提升</w:t>
            </w:r>
            <w:r>
              <w:rPr>
                <w:rFonts w:hint="eastAsia"/>
                <w:sz w:val="30"/>
                <w:szCs w:val="30"/>
                <w:lang w:eastAsia="zh-CN"/>
              </w:rPr>
              <w:t>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pgBorders>
            <w:top w:val="none" w:sz="0" w:space="0"/>
            <w:left w:val="none" w:sz="0" w:space="0"/>
            <w:bottom w:val="none" w:sz="0" w:space="0"/>
            <w:right w:val="none" w:sz="0" w:space="0"/>
          </w:pgBorders>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资格性审查表</w:t>
      </w: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法律、法规、规章、规范性文件规定的其他情形。</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pgSz w:w="11907" w:h="16840"/>
          <w:pgMar w:top="1440" w:right="1417" w:bottom="1440" w:left="1417" w:header="851" w:footer="992" w:gutter="0"/>
          <w:pgBorders>
            <w:top w:val="none" w:sz="0" w:space="0"/>
            <w:left w:val="none" w:sz="0" w:space="0"/>
            <w:bottom w:val="none" w:sz="0" w:space="0"/>
            <w:right w:val="none" w:sz="0" w:space="0"/>
          </w:pgBorders>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评标信息</w:t>
      </w:r>
    </w:p>
    <w:p>
      <w:pPr>
        <w:rPr>
          <w:vanish/>
        </w:rPr>
      </w:pPr>
    </w:p>
    <w:tbl>
      <w:tblPr>
        <w:tblStyle w:val="18"/>
        <w:tblW w:w="9176"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FFFFFF" w:themeFill="background1"/>
        <w:tblLayout w:type="fixed"/>
        <w:tblCellMar>
          <w:top w:w="45" w:type="dxa"/>
          <w:left w:w="45" w:type="dxa"/>
          <w:bottom w:w="45" w:type="dxa"/>
          <w:right w:w="45" w:type="dxa"/>
        </w:tblCellMar>
      </w:tblPr>
      <w:tblGrid>
        <w:gridCol w:w="63"/>
        <w:gridCol w:w="617"/>
        <w:gridCol w:w="680"/>
        <w:gridCol w:w="2835"/>
        <w:gridCol w:w="681"/>
        <w:gridCol w:w="4060"/>
        <w:gridCol w:w="136"/>
        <w:gridCol w:w="10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FFFFFF" w:themeFill="background1"/>
          <w:tblCellMar>
            <w:top w:w="45" w:type="dxa"/>
            <w:left w:w="45" w:type="dxa"/>
            <w:bottom w:w="45" w:type="dxa"/>
            <w:right w:w="45" w:type="dxa"/>
          </w:tblCellMar>
        </w:tblPrEx>
        <w:trPr>
          <w:gridBefore w:val="1"/>
          <w:wBefore w:w="63" w:type="dxa"/>
          <w:tblCellSpacing w:w="0" w:type="dxa"/>
          <w:jc w:val="center"/>
        </w:trPr>
        <w:tc>
          <w:tcPr>
            <w:tcW w:w="8873" w:type="dxa"/>
            <w:gridSpan w:val="5"/>
            <w:shd w:val="clear" w:color="auto" w:fill="FFFFFF" w:themeFill="background1"/>
            <w:vAlign w:val="center"/>
          </w:tcPr>
          <w:p>
            <w:pPr>
              <w:widowControl/>
              <w:jc w:val="left"/>
              <w:rPr>
                <w:b/>
                <w:bCs/>
                <w:sz w:val="24"/>
              </w:rPr>
            </w:pPr>
            <w:r>
              <w:rPr>
                <w:b/>
                <w:bCs/>
              </w:rPr>
              <w:t>评标方法：</w:t>
            </w:r>
            <w:r>
              <w:rPr>
                <w:b/>
                <w:bCs/>
                <w:strike w:val="0"/>
                <w:dstrike w:val="0"/>
              </w:rPr>
              <w:t>综合评分法</w:t>
            </w:r>
          </w:p>
        </w:tc>
        <w:tc>
          <w:tcPr>
            <w:tcW w:w="240" w:type="dxa"/>
            <w:gridSpan w:val="2"/>
            <w:shd w:val="clear" w:color="auto" w:fill="FFFFFF" w:themeFill="background1"/>
            <w:vAlign w:val="center"/>
          </w:tcPr>
          <w:p>
            <w:pPr>
              <w:jc w:val="righ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FFFFFF" w:themeFill="background1"/>
          <w:tblCellMar>
            <w:top w:w="45" w:type="dxa"/>
            <w:left w:w="45" w:type="dxa"/>
            <w:bottom w:w="45" w:type="dxa"/>
            <w:right w:w="45" w:type="dxa"/>
          </w:tblCellMar>
        </w:tblPrEx>
        <w:trPr>
          <w:gridBefore w:val="1"/>
          <w:wBefore w:w="63" w:type="dxa"/>
          <w:tblCellSpacing w:w="0" w:type="dxa"/>
          <w:jc w:val="center"/>
        </w:trPr>
        <w:tc>
          <w:tcPr>
            <w:tcW w:w="9113" w:type="dxa"/>
            <w:gridSpan w:val="7"/>
            <w:shd w:val="clear" w:color="auto" w:fill="FFFFFF" w:themeFill="background1"/>
            <w:vAlign w:val="center"/>
          </w:tcPr>
          <w:p>
            <w:pPr>
              <w:pStyle w:val="2"/>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ascii="宋体" w:hAnsi="宋体" w:cs="宋体"/>
                <w:b/>
                <w:bCs/>
                <w:sz w:val="24"/>
              </w:rPr>
            </w:pPr>
            <w:r>
              <w:rPr>
                <w:b/>
                <w:bCs/>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ascii="宋体" w:hAnsi="宋体" w:cs="宋体"/>
                <w:b/>
                <w:bCs/>
                <w:sz w:val="24"/>
              </w:rPr>
            </w:pPr>
            <w:r>
              <w:rPr>
                <w:b/>
                <w:bCs/>
              </w:rPr>
              <w:t>评分项</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1</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价格</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rFonts w:hint="eastAsia"/>
                <w:b/>
                <w:bCs/>
                <w:color w:val="0000FF"/>
              </w:rPr>
              <w:t>1</w:t>
            </w:r>
            <w:r>
              <w:rPr>
                <w:b/>
                <w:bCs/>
                <w:color w:val="0000FF"/>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8392"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2</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8392"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权重(%)</w:t>
            </w:r>
          </w:p>
        </w:tc>
        <w:tc>
          <w:tcPr>
            <w:tcW w:w="4196" w:type="dxa"/>
            <w:gridSpan w:val="2"/>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bCs/>
                <w:color w:val="auto"/>
                <w:szCs w:val="21"/>
              </w:rPr>
              <w:t>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bCs/>
                <w:color w:val="auto"/>
                <w:kern w:val="0"/>
                <w:szCs w:val="21"/>
              </w:rPr>
              <w:t>12</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投标单位根据项目实际情况提供项目实施方案，方案内容包括但不限于：</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1、项目的整体管理设想；</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2、项目的整体运作</w:t>
            </w:r>
            <w:r>
              <w:rPr>
                <w:rFonts w:hint="eastAsia" w:ascii="宋体" w:hAnsi="宋体" w:eastAsia="宋体" w:cs="宋体"/>
                <w:bCs/>
                <w:color w:val="auto"/>
                <w:szCs w:val="21"/>
                <w:lang w:eastAsia="zh-CN"/>
              </w:rPr>
              <w:t>计划</w:t>
            </w:r>
            <w:r>
              <w:rPr>
                <w:rFonts w:hint="eastAsia" w:ascii="宋体" w:hAnsi="宋体" w:eastAsia="宋体" w:cs="宋体"/>
                <w:bCs/>
                <w:color w:val="auto"/>
                <w:szCs w:val="21"/>
              </w:rPr>
              <w:t>；</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3、项目的组织机构；</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4、项目的人员培训计划；</w:t>
            </w:r>
          </w:p>
          <w:p>
            <w:pPr>
              <w:pStyle w:val="38"/>
              <w:spacing w:line="360" w:lineRule="exact"/>
              <w:ind w:firstLine="0" w:firstLineChars="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5</w:t>
            </w:r>
            <w:r>
              <w:rPr>
                <w:rFonts w:hint="eastAsia" w:ascii="宋体" w:hAnsi="宋体" w:eastAsia="宋体" w:cs="宋体"/>
                <w:bCs/>
                <w:color w:val="auto"/>
                <w:szCs w:val="21"/>
              </w:rPr>
              <w:t>、项目的管理措施。</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keepNext w:val="0"/>
              <w:keepLines w:val="0"/>
              <w:pageBreakBefore w:val="0"/>
              <w:kinsoku/>
              <w:wordWrap w:val="0"/>
              <w:overflowPunct/>
              <w:topLinePunct w:val="0"/>
              <w:bidi w:val="0"/>
              <w:spacing w:line="300" w:lineRule="exact"/>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rPr>
              <w:t>1.</w:t>
            </w:r>
            <w:r>
              <w:rPr>
                <w:rFonts w:hint="eastAsia" w:ascii="宋体" w:hAnsi="宋体" w:eastAsia="宋体" w:cs="宋体"/>
                <w:bCs/>
                <w:sz w:val="21"/>
                <w:szCs w:val="21"/>
                <w:highlight w:val="none"/>
                <w:lang w:val="en-US" w:eastAsia="zh-CN"/>
              </w:rPr>
              <w:t>同时提供</w:t>
            </w:r>
            <w:r>
              <w:rPr>
                <w:rFonts w:hint="eastAsia" w:ascii="宋体" w:hAnsi="宋体" w:eastAsia="宋体" w:cs="宋体"/>
                <w:bCs/>
                <w:sz w:val="21"/>
                <w:szCs w:val="21"/>
                <w:highlight w:val="none"/>
              </w:rPr>
              <w:t>以上五</w:t>
            </w:r>
            <w:r>
              <w:rPr>
                <w:rFonts w:hint="eastAsia" w:ascii="宋体" w:hAnsi="宋体" w:eastAsia="宋体" w:cs="宋体"/>
                <w:bCs/>
                <w:sz w:val="21"/>
                <w:szCs w:val="21"/>
                <w:highlight w:val="none"/>
                <w:lang w:val="en-US" w:eastAsia="zh-CN"/>
              </w:rPr>
              <w:t>项方案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90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w:t>
            </w:r>
            <w:r>
              <w:rPr>
                <w:rFonts w:hint="eastAsia" w:ascii="宋体" w:hAnsi="宋体" w:eastAsia="宋体" w:cs="宋体"/>
                <w:bCs/>
                <w:sz w:val="21"/>
                <w:szCs w:val="21"/>
                <w:highlight w:val="none"/>
              </w:rPr>
              <w:t>四项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70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任意三</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50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任意两</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30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任意一</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10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未提供不得分。</w:t>
            </w:r>
          </w:p>
          <w:p>
            <w:pPr>
              <w:snapToGrid w:val="0"/>
              <w:spacing w:line="300" w:lineRule="exact"/>
              <w:rPr>
                <w:rFonts w:hint="eastAsia" w:ascii="宋体" w:hAnsi="宋体" w:eastAsia="宋体" w:cs="宋体"/>
                <w:bCs/>
                <w:szCs w:val="21"/>
                <w:lang w:val="en-US" w:eastAsia="zh-CN"/>
              </w:rPr>
            </w:pPr>
            <w:r>
              <w:rPr>
                <w:rFonts w:hint="eastAsia" w:ascii="宋体" w:hAnsi="宋体" w:eastAsia="宋体" w:cs="宋体"/>
                <w:bCs/>
                <w:color w:val="auto"/>
                <w:sz w:val="21"/>
                <w:szCs w:val="21"/>
              </w:rPr>
              <w:t>2.</w:t>
            </w:r>
            <w:r>
              <w:rPr>
                <w:rFonts w:hint="eastAsia" w:ascii="宋体" w:hAnsi="宋体" w:eastAsia="宋体" w:cs="宋体"/>
                <w:bCs/>
                <w:color w:val="auto"/>
                <w:kern w:val="2"/>
                <w:sz w:val="21"/>
                <w:szCs w:val="21"/>
                <w:lang w:val="en-US" w:eastAsia="zh-CN" w:bidi="ar-SA"/>
              </w:rPr>
              <w:t>在此基础上，评审委员会根据投标人的具体响应内容按照量化的评审因素指标进一步评审,方案中有：</w:t>
            </w:r>
          </w:p>
          <w:p>
            <w:pPr>
              <w:pStyle w:val="8"/>
              <w:keepNext w:val="0"/>
              <w:keepLines w:val="0"/>
              <w:pageBreakBefore w:val="0"/>
              <w:kinsoku/>
              <w:overflowPunct/>
              <w:topLinePunct w:val="0"/>
              <w:bidi w:val="0"/>
              <w:spacing w:line="300" w:lineRule="exact"/>
              <w:ind w:firstLine="0"/>
              <w:rPr>
                <w:rFonts w:hint="eastAsia" w:ascii="宋体" w:hAnsi="宋体" w:eastAsia="宋体" w:cs="宋体"/>
                <w:b w:val="0"/>
                <w:bCs/>
                <w:sz w:val="21"/>
                <w:szCs w:val="21"/>
                <w:lang w:val="en-US" w:eastAsia="zh-CN"/>
              </w:rPr>
            </w:pPr>
            <w:r>
              <w:rPr>
                <w:rFonts w:hint="eastAsia" w:ascii="宋体" w:hAnsi="宋体" w:eastAsia="宋体" w:cs="宋体"/>
                <w:b w:val="0"/>
                <w:bCs/>
                <w:color w:val="auto"/>
                <w:kern w:val="2"/>
                <w:sz w:val="21"/>
                <w:szCs w:val="21"/>
                <w:lang w:val="en-US" w:eastAsia="zh-CN" w:bidi="ar-SA"/>
              </w:rPr>
              <w:t>①项目需求分析与目标设定</w:t>
            </w:r>
          </w:p>
          <w:p>
            <w:pPr>
              <w:pStyle w:val="8"/>
              <w:keepNext w:val="0"/>
              <w:keepLines w:val="0"/>
              <w:pageBreakBefore w:val="0"/>
              <w:kinsoku/>
              <w:overflowPunct/>
              <w:topLinePunct w:val="0"/>
              <w:bidi w:val="0"/>
              <w:spacing w:line="300" w:lineRule="exact"/>
              <w:ind w:firstLine="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②工作进度计划、沟通计划等；</w:t>
            </w:r>
          </w:p>
          <w:p>
            <w:pPr>
              <w:pStyle w:val="8"/>
              <w:keepNext w:val="0"/>
              <w:keepLines w:val="0"/>
              <w:pageBreakBefore w:val="0"/>
              <w:kinsoku/>
              <w:overflowPunct/>
              <w:topLinePunct w:val="0"/>
              <w:bidi w:val="0"/>
              <w:spacing w:line="300" w:lineRule="exact"/>
              <w:ind w:firstLine="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③项目组织结构、人员保障等</w:t>
            </w:r>
          </w:p>
          <w:p>
            <w:pPr>
              <w:pStyle w:val="8"/>
              <w:keepNext w:val="0"/>
              <w:keepLines w:val="0"/>
              <w:pageBreakBefore w:val="0"/>
              <w:kinsoku/>
              <w:overflowPunct/>
              <w:topLinePunct w:val="0"/>
              <w:bidi w:val="0"/>
              <w:spacing w:line="300" w:lineRule="exact"/>
              <w:ind w:firstLine="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④</w:t>
            </w:r>
            <w:r>
              <w:rPr>
                <w:rFonts w:hint="eastAsia" w:ascii="宋体" w:hAnsi="宋体" w:eastAsia="宋体" w:cs="宋体"/>
                <w:bCs/>
                <w:sz w:val="21"/>
                <w:szCs w:val="21"/>
              </w:rPr>
              <w:t>人员配置、培训与管理</w:t>
            </w:r>
            <w:r>
              <w:rPr>
                <w:rFonts w:hint="eastAsia" w:ascii="宋体" w:hAnsi="宋体" w:eastAsia="宋体" w:cs="宋体"/>
                <w:bCs/>
                <w:sz w:val="21"/>
                <w:szCs w:val="21"/>
                <w:lang w:val="en-US" w:eastAsia="zh-CN"/>
              </w:rPr>
              <w:t>、人员考核方案等；</w:t>
            </w:r>
          </w:p>
          <w:p>
            <w:pPr>
              <w:pStyle w:val="8"/>
              <w:keepNext w:val="0"/>
              <w:keepLines w:val="0"/>
              <w:pageBreakBefore w:val="0"/>
              <w:kinsoku/>
              <w:overflowPunct/>
              <w:topLinePunct w:val="0"/>
              <w:bidi w:val="0"/>
              <w:spacing w:line="300" w:lineRule="exact"/>
              <w:ind w:firstLine="0"/>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⑤</w:t>
            </w:r>
            <w:r>
              <w:rPr>
                <w:rFonts w:hint="eastAsia" w:ascii="宋体" w:hAnsi="宋体" w:eastAsia="宋体" w:cs="宋体"/>
                <w:bCs/>
                <w:sz w:val="21"/>
                <w:szCs w:val="21"/>
              </w:rPr>
              <w:t>考核</w:t>
            </w:r>
            <w:r>
              <w:rPr>
                <w:rFonts w:hint="eastAsia" w:ascii="宋体" w:hAnsi="宋体" w:eastAsia="宋体" w:cs="宋体"/>
                <w:bCs/>
                <w:sz w:val="21"/>
                <w:szCs w:val="21"/>
                <w:lang w:val="en-US" w:eastAsia="zh-CN"/>
              </w:rPr>
              <w:t>管理措</w:t>
            </w:r>
            <w:r>
              <w:rPr>
                <w:rFonts w:hint="eastAsia" w:ascii="宋体" w:hAnsi="宋体" w:eastAsia="宋体" w:cs="宋体"/>
                <w:bCs/>
                <w:sz w:val="21"/>
                <w:szCs w:val="21"/>
              </w:rPr>
              <w:t>施</w:t>
            </w:r>
            <w:r>
              <w:rPr>
                <w:rFonts w:hint="eastAsia" w:ascii="宋体" w:hAnsi="宋体" w:eastAsia="宋体" w:cs="宋体"/>
                <w:bCs/>
                <w:sz w:val="21"/>
                <w:szCs w:val="21"/>
                <w:lang w:val="en-US" w:eastAsia="zh-CN"/>
              </w:rPr>
              <w:t>，</w:t>
            </w:r>
            <w:r>
              <w:rPr>
                <w:rFonts w:hint="eastAsia" w:ascii="宋体" w:hAnsi="宋体" w:eastAsia="宋体" w:cs="宋体"/>
                <w:bCs/>
                <w:sz w:val="21"/>
                <w:szCs w:val="21"/>
              </w:rPr>
              <w:t>安全生产</w:t>
            </w:r>
            <w:r>
              <w:rPr>
                <w:rFonts w:hint="eastAsia" w:ascii="宋体" w:hAnsi="宋体" w:eastAsia="宋体" w:cs="宋体"/>
                <w:bCs/>
                <w:sz w:val="21"/>
                <w:szCs w:val="21"/>
                <w:lang w:val="en-US" w:eastAsia="zh-CN"/>
              </w:rPr>
              <w:t>管理</w:t>
            </w:r>
            <w:r>
              <w:rPr>
                <w:rFonts w:hint="eastAsia" w:ascii="宋体" w:hAnsi="宋体" w:eastAsia="宋体" w:cs="宋体"/>
                <w:bCs/>
                <w:sz w:val="21"/>
                <w:szCs w:val="21"/>
              </w:rPr>
              <w:t>、</w:t>
            </w:r>
            <w:r>
              <w:rPr>
                <w:rFonts w:hint="eastAsia" w:ascii="宋体" w:hAnsi="宋体" w:eastAsia="宋体" w:cs="宋体"/>
                <w:bCs/>
                <w:color w:val="auto"/>
                <w:sz w:val="21"/>
                <w:szCs w:val="21"/>
                <w:lang w:val="en-US" w:eastAsia="zh-CN"/>
              </w:rPr>
              <w:t>质量</w:t>
            </w:r>
            <w:r>
              <w:rPr>
                <w:rFonts w:hint="eastAsia" w:ascii="宋体" w:hAnsi="宋体" w:eastAsia="宋体" w:cs="宋体"/>
                <w:bCs/>
                <w:color w:val="auto"/>
                <w:sz w:val="21"/>
                <w:szCs w:val="21"/>
              </w:rPr>
              <w:t>保障措施</w:t>
            </w:r>
            <w:r>
              <w:rPr>
                <w:rFonts w:hint="eastAsia" w:ascii="宋体" w:hAnsi="宋体" w:eastAsia="宋体" w:cs="宋体"/>
                <w:bCs/>
                <w:sz w:val="21"/>
                <w:szCs w:val="21"/>
                <w:lang w:eastAsia="zh-CN"/>
              </w:rPr>
              <w:t>等</w:t>
            </w:r>
            <w:r>
              <w:rPr>
                <w:rFonts w:hint="eastAsia" w:ascii="宋体" w:hAnsi="宋体" w:eastAsia="宋体" w:cs="宋体"/>
                <w:bCs/>
                <w:sz w:val="21"/>
                <w:szCs w:val="21"/>
                <w:lang w:val="en-US" w:eastAsia="zh-CN"/>
              </w:rPr>
              <w:t>；</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1</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评审为优（方案中有以上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sz w:val="21"/>
                <w:szCs w:val="21"/>
                <w:lang w:val="en-US" w:eastAsia="zh-CN"/>
              </w:rPr>
              <w:t>②③④</w:t>
            </w:r>
            <w:r>
              <w:rPr>
                <w:rFonts w:hint="eastAsia" w:ascii="宋体" w:hAnsi="宋体" w:eastAsia="宋体" w:cs="宋体"/>
                <w:bCs/>
                <w:sz w:val="21"/>
                <w:szCs w:val="21"/>
                <w:lang w:eastAsia="zh-CN"/>
              </w:rPr>
              <w:t>⑤</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3</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w:t>
            </w:r>
            <w:r>
              <w:rPr>
                <w:rFonts w:hint="eastAsia" w:ascii="宋体" w:hAnsi="宋体" w:eastAsia="宋体" w:cs="宋体"/>
                <w:bCs/>
                <w:kern w:val="0"/>
                <w:sz w:val="21"/>
                <w:szCs w:val="21"/>
                <w:lang w:val="en-US" w:eastAsia="zh-CN"/>
              </w:rPr>
              <w:t>的</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得10分；</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2</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评审为良（方案中有以上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sz w:val="21"/>
                <w:szCs w:val="21"/>
                <w:lang w:val="en-US" w:eastAsia="zh-CN"/>
              </w:rPr>
              <w:t>②③④</w:t>
            </w:r>
            <w:r>
              <w:rPr>
                <w:rFonts w:hint="eastAsia" w:ascii="宋体" w:hAnsi="宋体" w:eastAsia="宋体" w:cs="宋体"/>
                <w:bCs/>
                <w:sz w:val="21"/>
                <w:szCs w:val="21"/>
                <w:lang w:eastAsia="zh-CN"/>
              </w:rPr>
              <w:t>⑤</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内容）的</w:t>
            </w:r>
            <w:r>
              <w:rPr>
                <w:rFonts w:hint="eastAsia" w:ascii="宋体" w:hAnsi="宋体" w:eastAsia="宋体" w:cs="宋体"/>
                <w:bCs/>
                <w:kern w:val="0"/>
                <w:sz w:val="21"/>
                <w:szCs w:val="21"/>
                <w:lang w:val="en-US" w:eastAsia="zh-CN"/>
              </w:rPr>
              <w:t>得5分</w:t>
            </w:r>
            <w:r>
              <w:rPr>
                <w:rFonts w:hint="eastAsia" w:ascii="宋体" w:hAnsi="宋体" w:eastAsia="宋体" w:cs="宋体"/>
                <w:bCs/>
                <w:kern w:val="0"/>
                <w:sz w:val="21"/>
                <w:szCs w:val="21"/>
              </w:rPr>
              <w:t>；</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3</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评审为中（方案中有以上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sz w:val="21"/>
                <w:szCs w:val="21"/>
                <w:lang w:val="en-US" w:eastAsia="zh-CN"/>
              </w:rPr>
              <w:t>②③④</w:t>
            </w:r>
            <w:r>
              <w:rPr>
                <w:rFonts w:hint="eastAsia" w:ascii="宋体" w:hAnsi="宋体" w:eastAsia="宋体" w:cs="宋体"/>
                <w:bCs/>
                <w:sz w:val="21"/>
                <w:szCs w:val="21"/>
                <w:lang w:eastAsia="zh-CN"/>
              </w:rPr>
              <w:t>⑤</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内容）的</w:t>
            </w:r>
            <w:r>
              <w:rPr>
                <w:rFonts w:hint="eastAsia" w:ascii="宋体" w:hAnsi="宋体" w:eastAsia="宋体" w:cs="宋体"/>
                <w:bCs/>
                <w:kern w:val="0"/>
                <w:sz w:val="21"/>
                <w:szCs w:val="21"/>
                <w:lang w:val="en-US" w:eastAsia="zh-CN"/>
              </w:rPr>
              <w:t>得3</w:t>
            </w:r>
            <w:r>
              <w:rPr>
                <w:rFonts w:hint="eastAsia" w:ascii="宋体" w:hAnsi="宋体" w:eastAsia="宋体" w:cs="宋体"/>
                <w:bCs/>
                <w:kern w:val="0"/>
                <w:sz w:val="21"/>
                <w:szCs w:val="21"/>
              </w:rPr>
              <w:t xml:space="preserve">分； </w:t>
            </w:r>
          </w:p>
          <w:p>
            <w:pPr>
              <w:pStyle w:val="38"/>
              <w:spacing w:line="360" w:lineRule="exact"/>
              <w:ind w:firstLine="0" w:firstLineChars="0"/>
              <w:rPr>
                <w:rFonts w:eastAsia="宋体" w:cs="宋体" w:asciiTheme="minorEastAsia" w:hAnsiTheme="minorEastAsia"/>
                <w:kern w:val="2"/>
                <w:sz w:val="21"/>
                <w:szCs w:val="21"/>
                <w:lang w:val="en-US" w:eastAsia="zh-CN" w:bidi="ar-SA"/>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4</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评审为差（方案中有无以上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sz w:val="21"/>
                <w:szCs w:val="21"/>
                <w:lang w:val="en-US" w:eastAsia="zh-CN"/>
              </w:rPr>
              <w:t>②③④</w:t>
            </w:r>
            <w:r>
              <w:rPr>
                <w:rFonts w:hint="eastAsia" w:ascii="宋体" w:hAnsi="宋体" w:eastAsia="宋体" w:cs="宋体"/>
                <w:bCs/>
                <w:sz w:val="21"/>
                <w:szCs w:val="21"/>
                <w:lang w:eastAsia="zh-CN"/>
              </w:rPr>
              <w:t>⑤</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w:t>
            </w:r>
            <w:r>
              <w:rPr>
                <w:rFonts w:hint="eastAsia" w:ascii="宋体" w:hAnsi="宋体" w:eastAsia="宋体" w:cs="宋体"/>
                <w:bCs/>
                <w:kern w:val="0"/>
                <w:sz w:val="21"/>
                <w:szCs w:val="21"/>
                <w:lang w:val="en-US" w:eastAsia="zh-CN"/>
              </w:rPr>
              <w:t>中的任意内容</w:t>
            </w:r>
            <w:r>
              <w:rPr>
                <w:rFonts w:hint="eastAsia" w:ascii="宋体" w:hAnsi="宋体" w:eastAsia="宋体" w:cs="宋体"/>
                <w:bCs/>
                <w:kern w:val="0"/>
                <w:sz w:val="21"/>
                <w:szCs w:val="21"/>
              </w:rPr>
              <w:t>）的不</w:t>
            </w:r>
            <w:r>
              <w:rPr>
                <w:rFonts w:hint="eastAsia" w:ascii="宋体" w:hAnsi="宋体" w:eastAsia="宋体" w:cs="宋体"/>
                <w:bCs/>
                <w:kern w:val="0"/>
                <w:sz w:val="21"/>
                <w:szCs w:val="21"/>
                <w:lang w:val="en-US" w:eastAsia="zh-CN"/>
              </w:rPr>
              <w:t>得</w:t>
            </w:r>
            <w:r>
              <w:rPr>
                <w:rFonts w:hint="eastAsia" w:ascii="宋体" w:hAnsi="宋体" w:eastAsia="宋体" w:cs="宋体"/>
                <w:bCs/>
                <w:kern w:val="0"/>
                <w:sz w:val="21"/>
                <w:szCs w:val="21"/>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eastAsia="宋体" w:cs="Times New Roman" w:asciiTheme="minorEastAsia" w:hAnsiTheme="minorEastAsia"/>
                <w:b/>
                <w:kern w:val="2"/>
                <w:sz w:val="21"/>
                <w:szCs w:val="21"/>
                <w:lang w:val="en-US" w:eastAsia="zh-CN" w:bidi="ar-SA"/>
              </w:rPr>
            </w:pPr>
            <w:r>
              <w:rPr>
                <w:rFonts w:hint="eastAsia" w:ascii="宋体" w:hAnsi="宋体" w:eastAsia="宋体" w:cs="宋体"/>
                <w:bCs/>
                <w:color w:val="auto"/>
                <w:szCs w:val="21"/>
              </w:rPr>
              <w:t>项目重点难点分析、应对措施及相关的合理化建议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eastAsia="宋体" w:cs="Times New Roman" w:asciiTheme="minorEastAsia" w:hAnsiTheme="minorEastAsia"/>
                <w:kern w:val="2"/>
                <w:sz w:val="21"/>
                <w:szCs w:val="21"/>
                <w:lang w:val="en-US" w:eastAsia="zh-CN" w:bidi="ar-SA"/>
              </w:rPr>
            </w:pPr>
            <w:r>
              <w:rPr>
                <w:rFonts w:hint="eastAsia" w:ascii="宋体" w:hAnsi="宋体" w:eastAsia="宋体" w:cs="宋体"/>
                <w:bCs/>
                <w:color w:val="auto"/>
                <w:kern w:val="0"/>
                <w:szCs w:val="21"/>
              </w:rPr>
              <w:t>10</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投标单位根据对本项目服务内容的现状和存在的重点、难点的理解，提供项目</w:t>
            </w:r>
            <w:r>
              <w:rPr>
                <w:rFonts w:hint="eastAsia" w:ascii="宋体" w:hAnsi="宋体" w:eastAsia="宋体" w:cs="宋体"/>
                <w:bCs/>
                <w:color w:val="auto"/>
                <w:kern w:val="0"/>
                <w:szCs w:val="21"/>
              </w:rPr>
              <w:t>应对措施</w:t>
            </w:r>
            <w:r>
              <w:rPr>
                <w:rFonts w:hint="eastAsia" w:ascii="宋体" w:hAnsi="宋体" w:eastAsia="宋体" w:cs="宋体"/>
                <w:bCs/>
                <w:color w:val="auto"/>
                <w:szCs w:val="21"/>
              </w:rPr>
              <w:t>、重点与难点的分析和合理化建议，包括但不限于：</w:t>
            </w:r>
          </w:p>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1、</w:t>
            </w:r>
            <w:r>
              <w:rPr>
                <w:rFonts w:hint="eastAsia" w:ascii="宋体" w:hAnsi="宋体" w:eastAsia="宋体" w:cs="宋体"/>
                <w:bCs/>
                <w:color w:val="auto"/>
                <w:kern w:val="0"/>
                <w:szCs w:val="21"/>
              </w:rPr>
              <w:t>针对项目重点难点逐项提出应对措施</w:t>
            </w:r>
            <w:r>
              <w:rPr>
                <w:rFonts w:hint="eastAsia" w:ascii="宋体" w:hAnsi="宋体" w:eastAsia="宋体" w:cs="宋体"/>
                <w:bCs/>
                <w:color w:val="auto"/>
                <w:szCs w:val="21"/>
              </w:rPr>
              <w:t xml:space="preserve">； </w:t>
            </w:r>
          </w:p>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2、对项目重点与难点的分析；</w:t>
            </w:r>
          </w:p>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3、提出合理化建议。</w:t>
            </w:r>
          </w:p>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pStyle w:val="38"/>
              <w:spacing w:line="240" w:lineRule="auto"/>
              <w:ind w:firstLine="0" w:firstLineChars="0"/>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rPr>
              <w:t>1.</w:t>
            </w:r>
            <w:r>
              <w:rPr>
                <w:rFonts w:hint="eastAsia" w:ascii="宋体" w:hAnsi="宋体" w:eastAsia="宋体" w:cs="宋体"/>
                <w:bCs/>
                <w:sz w:val="21"/>
                <w:szCs w:val="21"/>
                <w:highlight w:val="none"/>
                <w:lang w:val="en-US" w:eastAsia="zh-CN"/>
              </w:rPr>
              <w:t>同时提供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eastAsia="zh-CN"/>
              </w:rPr>
              <w:t>三</w:t>
            </w:r>
            <w:r>
              <w:rPr>
                <w:rFonts w:hint="eastAsia" w:ascii="宋体" w:hAnsi="宋体" w:eastAsia="宋体" w:cs="宋体"/>
                <w:bCs/>
                <w:sz w:val="21"/>
                <w:szCs w:val="21"/>
                <w:highlight w:val="none"/>
                <w:lang w:val="en-US" w:eastAsia="zh-CN"/>
              </w:rPr>
              <w:t>项方案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90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任意二</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60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任意一</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30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未提供不得分。</w:t>
            </w:r>
          </w:p>
          <w:p>
            <w:pPr>
              <w:pStyle w:val="38"/>
              <w:spacing w:line="240" w:lineRule="auto"/>
              <w:ind w:firstLine="0" w:firstLineChars="0"/>
              <w:rPr>
                <w:rFonts w:hint="eastAsia" w:ascii="宋体" w:hAnsi="宋体" w:eastAsia="宋体" w:cs="宋体"/>
                <w:bCs/>
                <w:color w:val="auto"/>
                <w:szCs w:val="21"/>
              </w:rPr>
            </w:pPr>
            <w:r>
              <w:rPr>
                <w:rFonts w:hint="eastAsia" w:ascii="宋体" w:hAnsi="宋体" w:eastAsia="宋体" w:cs="宋体"/>
                <w:bCs/>
                <w:color w:val="auto"/>
                <w:szCs w:val="21"/>
                <w:lang w:val="en-US" w:eastAsia="zh-CN"/>
              </w:rPr>
              <w:t>2.</w:t>
            </w:r>
            <w:r>
              <w:rPr>
                <w:rFonts w:hint="eastAsia" w:ascii="宋体" w:hAnsi="宋体" w:eastAsia="宋体" w:cs="宋体"/>
                <w:bCs/>
                <w:color w:val="auto"/>
                <w:szCs w:val="21"/>
              </w:rPr>
              <w:t>在此基础上，根据各投标人的具体响应内容按照量化的评审因素指标进一步评审</w:t>
            </w:r>
            <w:r>
              <w:rPr>
                <w:rFonts w:hint="eastAsia" w:ascii="宋体" w:hAnsi="宋体" w:eastAsia="宋体" w:cs="宋体"/>
                <w:bCs/>
                <w:color w:val="auto"/>
                <w:szCs w:val="21"/>
                <w:lang w:eastAsia="zh-CN"/>
              </w:rPr>
              <w:t>，方案中有</w:t>
            </w:r>
            <w:r>
              <w:rPr>
                <w:rFonts w:hint="eastAsia" w:ascii="宋体" w:hAnsi="宋体" w:eastAsia="宋体" w:cs="宋体"/>
                <w:bCs/>
                <w:color w:val="auto"/>
                <w:szCs w:val="21"/>
              </w:rPr>
              <w:t>:</w:t>
            </w:r>
          </w:p>
          <w:p>
            <w:pPr>
              <w:pStyle w:val="38"/>
              <w:ind w:firstLine="0" w:firstLineChars="0"/>
              <w:rPr>
                <w:rFonts w:hint="eastAsia" w:ascii="宋体" w:hAnsi="宋体" w:eastAsia="宋体" w:cs="宋体"/>
                <w:bCs/>
                <w:color w:val="auto"/>
                <w:szCs w:val="21"/>
                <w:lang w:val="en-US" w:eastAsia="zh-CN"/>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药物安全管理；</w:t>
            </w:r>
          </w:p>
          <w:p>
            <w:pPr>
              <w:pStyle w:val="38"/>
              <w:ind w:firstLine="0" w:firstLineChars="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②野外安全文明作业；</w:t>
            </w:r>
          </w:p>
          <w:p>
            <w:pPr>
              <w:pStyle w:val="38"/>
              <w:ind w:firstLine="0" w:firstLineChars="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③环境保护；</w:t>
            </w:r>
          </w:p>
          <w:p>
            <w:pPr>
              <w:pStyle w:val="38"/>
              <w:ind w:firstLine="0" w:firstLineChars="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④森林防火；</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rPr>
              <w:t>评审为优（方案中有以上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3</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w:t>
            </w:r>
            <w:r>
              <w:rPr>
                <w:rFonts w:hint="eastAsia" w:ascii="宋体" w:hAnsi="宋体" w:eastAsia="宋体" w:cs="宋体"/>
                <w:bCs/>
                <w:kern w:val="0"/>
                <w:sz w:val="21"/>
                <w:szCs w:val="21"/>
                <w:lang w:val="en-US" w:eastAsia="zh-CN"/>
              </w:rPr>
              <w:t>的</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得10分；</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rPr>
              <w:t>评审为良（方案中有以上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项内容中的每项任意</w:t>
            </w: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内容）的</w:t>
            </w:r>
            <w:r>
              <w:rPr>
                <w:rFonts w:hint="eastAsia" w:ascii="宋体" w:hAnsi="宋体" w:eastAsia="宋体" w:cs="宋体"/>
                <w:bCs/>
                <w:kern w:val="0"/>
                <w:sz w:val="21"/>
                <w:szCs w:val="21"/>
                <w:lang w:val="en-US" w:eastAsia="zh-CN"/>
              </w:rPr>
              <w:t>得5分</w:t>
            </w:r>
            <w:r>
              <w:rPr>
                <w:rFonts w:hint="eastAsia" w:ascii="宋体" w:hAnsi="宋体" w:eastAsia="宋体" w:cs="宋体"/>
                <w:bCs/>
                <w:kern w:val="0"/>
                <w:sz w:val="21"/>
                <w:szCs w:val="21"/>
              </w:rPr>
              <w:t>；</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rPr>
              <w:t>评审为中（方案中有以上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项内容中的每项任意</w:t>
            </w: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内容）的</w:t>
            </w:r>
            <w:r>
              <w:rPr>
                <w:rFonts w:hint="eastAsia" w:ascii="宋体" w:hAnsi="宋体" w:eastAsia="宋体" w:cs="宋体"/>
                <w:bCs/>
                <w:kern w:val="0"/>
                <w:sz w:val="21"/>
                <w:szCs w:val="21"/>
                <w:lang w:val="en-US" w:eastAsia="zh-CN"/>
              </w:rPr>
              <w:t>得3</w:t>
            </w:r>
            <w:r>
              <w:rPr>
                <w:rFonts w:hint="eastAsia" w:ascii="宋体" w:hAnsi="宋体" w:eastAsia="宋体" w:cs="宋体"/>
                <w:bCs/>
                <w:kern w:val="0"/>
                <w:sz w:val="21"/>
                <w:szCs w:val="21"/>
              </w:rPr>
              <w:t xml:space="preserve">分； </w:t>
            </w:r>
          </w:p>
          <w:p>
            <w:pPr>
              <w:pStyle w:val="38"/>
              <w:ind w:firstLine="0" w:firstLineChars="0"/>
              <w:rPr>
                <w:rFonts w:eastAsia="宋体" w:cs="宋体" w:asciiTheme="minorEastAsia" w:hAnsiTheme="minorEastAsia"/>
                <w:kern w:val="2"/>
                <w:sz w:val="21"/>
                <w:szCs w:val="21"/>
                <w:lang w:val="en-US" w:eastAsia="zh-CN" w:bidi="ar-SA"/>
              </w:rPr>
            </w:pPr>
            <w:r>
              <w:rPr>
                <w:rFonts w:hint="eastAsia" w:ascii="宋体" w:hAnsi="宋体" w:eastAsia="宋体" w:cs="宋体"/>
                <w:bCs/>
                <w:kern w:val="0"/>
                <w:sz w:val="21"/>
                <w:szCs w:val="21"/>
              </w:rPr>
              <w:t>评审为差（方案中有无以上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w:t>
            </w:r>
            <w:r>
              <w:rPr>
                <w:rFonts w:hint="eastAsia" w:ascii="宋体" w:hAnsi="宋体" w:eastAsia="宋体" w:cs="宋体"/>
                <w:bCs/>
                <w:kern w:val="0"/>
                <w:sz w:val="21"/>
                <w:szCs w:val="21"/>
                <w:lang w:val="en-US" w:eastAsia="zh-CN"/>
              </w:rPr>
              <w:t>中的任意内容</w:t>
            </w:r>
            <w:r>
              <w:rPr>
                <w:rFonts w:hint="eastAsia" w:ascii="宋体" w:hAnsi="宋体" w:eastAsia="宋体" w:cs="宋体"/>
                <w:bCs/>
                <w:kern w:val="0"/>
                <w:sz w:val="21"/>
                <w:szCs w:val="21"/>
              </w:rPr>
              <w:t>）的不</w:t>
            </w:r>
            <w:r>
              <w:rPr>
                <w:rFonts w:hint="eastAsia" w:ascii="宋体" w:hAnsi="宋体" w:eastAsia="宋体" w:cs="宋体"/>
                <w:bCs/>
                <w:kern w:val="0"/>
                <w:sz w:val="21"/>
                <w:szCs w:val="21"/>
                <w:lang w:val="en-US" w:eastAsia="zh-CN"/>
              </w:rPr>
              <w:t>得</w:t>
            </w:r>
            <w:r>
              <w:rPr>
                <w:rFonts w:hint="eastAsia" w:ascii="宋体" w:hAnsi="宋体" w:eastAsia="宋体" w:cs="宋体"/>
                <w:bCs/>
                <w:kern w:val="0"/>
                <w:sz w:val="21"/>
                <w:szCs w:val="21"/>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bCs/>
                <w:color w:val="auto"/>
                <w:kern w:val="0"/>
                <w:szCs w:val="21"/>
              </w:rPr>
              <w:t>质量保障措施及应急方案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bCs/>
                <w:color w:val="auto"/>
                <w:kern w:val="0"/>
                <w:szCs w:val="21"/>
                <w:lang w:val="en-US" w:eastAsia="zh-CN"/>
              </w:rPr>
              <w:t>9</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 xml:space="preserve">投标单位根据本项目实际特点及需求，制定相应的规章制度、档案管理制度以及各项服务内容的保障措施，并提供突发事件应急预案。包括但不限于： </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1、规章制度；</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2、档案管理制度；</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3、服务内容的保障措施；</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4、突发事件应急预案。</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pStyle w:val="38"/>
              <w:spacing w:line="360" w:lineRule="exact"/>
              <w:ind w:firstLine="0" w:firstLineChars="0"/>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rPr>
              <w:t>1.</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eastAsia="zh-CN"/>
              </w:rPr>
              <w:t>三</w:t>
            </w:r>
            <w:r>
              <w:rPr>
                <w:rFonts w:hint="eastAsia" w:ascii="宋体" w:hAnsi="宋体" w:eastAsia="宋体" w:cs="宋体"/>
                <w:bCs/>
                <w:sz w:val="21"/>
                <w:szCs w:val="21"/>
                <w:highlight w:val="none"/>
                <w:lang w:val="en-US" w:eastAsia="zh-CN"/>
              </w:rPr>
              <w:t>项方案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90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任意二</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60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提供</w:t>
            </w:r>
            <w:r>
              <w:rPr>
                <w:rFonts w:hint="eastAsia" w:ascii="宋体" w:hAnsi="宋体" w:eastAsia="宋体" w:cs="宋体"/>
                <w:bCs/>
                <w:sz w:val="21"/>
                <w:szCs w:val="21"/>
                <w:highlight w:val="none"/>
              </w:rPr>
              <w:t>以上</w:t>
            </w:r>
            <w:r>
              <w:rPr>
                <w:rFonts w:hint="eastAsia" w:ascii="宋体" w:hAnsi="宋体" w:eastAsia="宋体" w:cs="宋体"/>
                <w:bCs/>
                <w:sz w:val="21"/>
                <w:szCs w:val="21"/>
                <w:highlight w:val="none"/>
                <w:lang w:val="en-US" w:eastAsia="zh-CN"/>
              </w:rPr>
              <w:t>任意一</w:t>
            </w:r>
            <w:r>
              <w:rPr>
                <w:rFonts w:hint="eastAsia" w:ascii="宋体" w:hAnsi="宋体" w:eastAsia="宋体" w:cs="宋体"/>
                <w:bCs/>
                <w:sz w:val="21"/>
                <w:szCs w:val="21"/>
                <w:highlight w:val="none"/>
              </w:rPr>
              <w:t>项</w:t>
            </w:r>
            <w:r>
              <w:rPr>
                <w:rFonts w:hint="eastAsia" w:ascii="宋体" w:hAnsi="宋体" w:eastAsia="宋体" w:cs="宋体"/>
                <w:bCs/>
                <w:sz w:val="21"/>
                <w:szCs w:val="21"/>
                <w:highlight w:val="none"/>
                <w:lang w:val="en-US" w:eastAsia="zh-CN"/>
              </w:rPr>
              <w:t>方案</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30</w:t>
            </w:r>
            <w:r>
              <w:rPr>
                <w:rFonts w:hint="eastAsia" w:ascii="宋体" w:hAnsi="宋体" w:eastAsia="宋体" w:cs="宋体"/>
                <w:bCs/>
                <w:sz w:val="21"/>
                <w:szCs w:val="21"/>
                <w:highlight w:val="none"/>
              </w:rPr>
              <w:t>分，</w:t>
            </w:r>
            <w:r>
              <w:rPr>
                <w:rFonts w:hint="eastAsia" w:ascii="宋体" w:hAnsi="宋体" w:eastAsia="宋体" w:cs="宋体"/>
                <w:bCs/>
                <w:sz w:val="21"/>
                <w:szCs w:val="21"/>
                <w:highlight w:val="none"/>
                <w:lang w:val="en-US" w:eastAsia="zh-CN"/>
              </w:rPr>
              <w:t>未提供不得分。</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lang w:val="en-US" w:eastAsia="zh-CN"/>
              </w:rPr>
              <w:t>2.</w:t>
            </w:r>
            <w:r>
              <w:rPr>
                <w:rFonts w:hint="eastAsia" w:ascii="宋体" w:hAnsi="宋体" w:eastAsia="宋体" w:cs="宋体"/>
                <w:bCs/>
                <w:color w:val="auto"/>
                <w:szCs w:val="21"/>
              </w:rPr>
              <w:t>在此基础上，专家根据各供应商的具体响应内容按照量化的评审因素指标进一步评审:</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方案中有：</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①各个岗位的职责划分</w:t>
            </w:r>
            <w:r>
              <w:rPr>
                <w:rFonts w:hint="eastAsia" w:ascii="宋体" w:hAnsi="宋体" w:eastAsia="宋体" w:cs="宋体"/>
                <w:bCs/>
                <w:szCs w:val="21"/>
              </w:rPr>
              <w:t>；</w:t>
            </w:r>
          </w:p>
          <w:p>
            <w:pPr>
              <w:pStyle w:val="38"/>
              <w:spacing w:line="360" w:lineRule="exact"/>
              <w:ind w:firstLine="0" w:firstLineChars="0"/>
              <w:rPr>
                <w:rFonts w:hint="default" w:ascii="宋体" w:hAnsi="宋体" w:eastAsia="宋体" w:cs="宋体"/>
                <w:bCs/>
                <w:color w:val="auto"/>
                <w:szCs w:val="21"/>
                <w:lang w:val="en-US" w:eastAsia="zh-CN"/>
              </w:rPr>
            </w:pPr>
            <w:r>
              <w:rPr>
                <w:rFonts w:hint="eastAsia" w:ascii="宋体" w:hAnsi="宋体" w:eastAsia="宋体" w:cs="宋体"/>
                <w:bCs/>
                <w:color w:val="auto"/>
                <w:szCs w:val="21"/>
                <w:lang w:eastAsia="zh-CN"/>
              </w:rPr>
              <w:t>②档案管理的任务、要求、流程</w:t>
            </w:r>
            <w:r>
              <w:rPr>
                <w:rFonts w:hint="eastAsia" w:ascii="宋体" w:hAnsi="宋体" w:eastAsia="宋体" w:cs="宋体"/>
                <w:bCs/>
                <w:color w:val="auto"/>
                <w:szCs w:val="21"/>
                <w:lang w:val="en-US" w:eastAsia="zh-CN"/>
              </w:rPr>
              <w:t>;</w:t>
            </w:r>
          </w:p>
          <w:p>
            <w:pPr>
              <w:wordWrap w:val="0"/>
              <w:spacing w:after="60"/>
              <w:rPr>
                <w:rFonts w:hint="eastAsia" w:ascii="宋体" w:hAnsi="宋体" w:eastAsia="宋体" w:cs="宋体"/>
                <w:bCs/>
                <w:color w:val="auto"/>
                <w:szCs w:val="21"/>
                <w:lang w:val="en-US" w:eastAsia="zh-CN"/>
              </w:rPr>
            </w:pPr>
            <w:r>
              <w:rPr>
                <w:rFonts w:hint="eastAsia" w:ascii="宋体" w:hAnsi="宋体" w:eastAsia="宋体" w:cs="宋体"/>
                <w:bCs/>
                <w:color w:val="auto"/>
                <w:szCs w:val="21"/>
                <w:lang w:eastAsia="zh-CN"/>
              </w:rPr>
              <w:t>③</w:t>
            </w:r>
            <w:r>
              <w:rPr>
                <w:rFonts w:hint="eastAsia" w:ascii="宋体" w:hAnsi="宋体" w:eastAsia="宋体" w:cs="宋体"/>
                <w:bCs/>
                <w:szCs w:val="21"/>
              </w:rPr>
              <w:t>施工进度安排表和完成时间计划表</w:t>
            </w:r>
            <w:r>
              <w:rPr>
                <w:rFonts w:hint="eastAsia" w:ascii="宋体" w:hAnsi="宋体" w:eastAsia="宋体" w:cs="宋体"/>
                <w:bCs/>
                <w:szCs w:val="21"/>
                <w:lang w:val="en-US" w:eastAsia="zh-CN"/>
              </w:rPr>
              <w:t>;</w:t>
            </w:r>
          </w:p>
          <w:p>
            <w:pPr>
              <w:widowControl w:val="0"/>
              <w:adjustRightInd w:val="0"/>
              <w:snapToGrid w:val="0"/>
              <w:spacing w:line="360" w:lineRule="auto"/>
              <w:rPr>
                <w:rFonts w:hint="eastAsia" w:ascii="宋体" w:hAnsi="宋体" w:eastAsia="宋体" w:cs="宋体"/>
                <w:bCs/>
                <w:kern w:val="2"/>
                <w:sz w:val="21"/>
                <w:szCs w:val="21"/>
              </w:rPr>
            </w:pPr>
            <w:r>
              <w:rPr>
                <w:rFonts w:hint="eastAsia" w:ascii="宋体" w:hAnsi="宋体" w:eastAsia="宋体" w:cs="宋体"/>
                <w:bCs/>
                <w:kern w:val="2"/>
                <w:sz w:val="21"/>
                <w:szCs w:val="21"/>
                <w:lang w:eastAsia="zh-CN"/>
              </w:rPr>
              <w:t>④</w:t>
            </w:r>
            <w:r>
              <w:rPr>
                <w:rFonts w:hint="eastAsia" w:ascii="宋体" w:hAnsi="宋体" w:eastAsia="宋体" w:cs="宋体"/>
                <w:bCs/>
                <w:kern w:val="2"/>
                <w:sz w:val="21"/>
                <w:szCs w:val="21"/>
              </w:rPr>
              <w:t>应急事件分类</w:t>
            </w:r>
            <w:r>
              <w:rPr>
                <w:rFonts w:hint="eastAsia" w:ascii="宋体" w:hAnsi="宋体" w:eastAsia="宋体" w:cs="宋体"/>
                <w:bCs/>
                <w:kern w:val="2"/>
                <w:sz w:val="21"/>
                <w:szCs w:val="21"/>
                <w:lang w:val="en-US" w:eastAsia="zh-CN"/>
              </w:rPr>
              <w:t>，</w:t>
            </w:r>
            <w:r>
              <w:rPr>
                <w:rFonts w:hint="eastAsia" w:ascii="宋体" w:hAnsi="宋体" w:eastAsia="宋体" w:cs="宋体"/>
                <w:bCs/>
                <w:kern w:val="2"/>
                <w:sz w:val="21"/>
                <w:szCs w:val="21"/>
              </w:rPr>
              <w:t>应急队伍建设配置。</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rPr>
              <w:t>评审为优（方案中有以上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3</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w:t>
            </w:r>
            <w:r>
              <w:rPr>
                <w:rFonts w:hint="eastAsia" w:ascii="宋体" w:hAnsi="宋体" w:eastAsia="宋体" w:cs="宋体"/>
                <w:bCs/>
                <w:kern w:val="0"/>
                <w:sz w:val="21"/>
                <w:szCs w:val="21"/>
                <w:lang w:val="en-US" w:eastAsia="zh-CN"/>
              </w:rPr>
              <w:t>的</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得10分；</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rPr>
              <w:t>评审为良（方案中有以上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内容）的</w:t>
            </w:r>
            <w:r>
              <w:rPr>
                <w:rFonts w:hint="eastAsia" w:ascii="宋体" w:hAnsi="宋体" w:eastAsia="宋体" w:cs="宋体"/>
                <w:bCs/>
                <w:kern w:val="0"/>
                <w:sz w:val="21"/>
                <w:szCs w:val="21"/>
                <w:lang w:val="en-US" w:eastAsia="zh-CN"/>
              </w:rPr>
              <w:t>得5分</w:t>
            </w:r>
            <w:r>
              <w:rPr>
                <w:rFonts w:hint="eastAsia" w:ascii="宋体" w:hAnsi="宋体" w:eastAsia="宋体" w:cs="宋体"/>
                <w:bCs/>
                <w:kern w:val="0"/>
                <w:sz w:val="21"/>
                <w:szCs w:val="21"/>
              </w:rPr>
              <w:t>；</w:t>
            </w:r>
          </w:p>
          <w:p>
            <w:pPr>
              <w:pStyle w:val="38"/>
              <w:keepNext w:val="0"/>
              <w:keepLines w:val="0"/>
              <w:pageBreakBefore w:val="0"/>
              <w:kinsoku/>
              <w:overflowPunct/>
              <w:topLinePunct w:val="0"/>
              <w:bidi w:val="0"/>
              <w:spacing w:line="300" w:lineRule="exact"/>
              <w:ind w:firstLine="0" w:firstLineChars="0"/>
              <w:rPr>
                <w:rFonts w:hint="eastAsia" w:ascii="宋体" w:hAnsi="宋体" w:eastAsia="宋体" w:cs="宋体"/>
                <w:bCs/>
                <w:kern w:val="0"/>
                <w:sz w:val="21"/>
                <w:szCs w:val="21"/>
              </w:rPr>
            </w:pPr>
            <w:r>
              <w:rPr>
                <w:rFonts w:hint="eastAsia" w:ascii="宋体" w:hAnsi="宋体" w:eastAsia="宋体" w:cs="宋体"/>
                <w:bCs/>
                <w:kern w:val="0"/>
                <w:sz w:val="21"/>
                <w:szCs w:val="21"/>
              </w:rPr>
              <w:t>评审为中（方案中有以上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项内容中的任意</w:t>
            </w: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内容）的</w:t>
            </w:r>
            <w:r>
              <w:rPr>
                <w:rFonts w:hint="eastAsia" w:ascii="宋体" w:hAnsi="宋体" w:eastAsia="宋体" w:cs="宋体"/>
                <w:bCs/>
                <w:kern w:val="0"/>
                <w:sz w:val="21"/>
                <w:szCs w:val="21"/>
                <w:lang w:val="en-US" w:eastAsia="zh-CN"/>
              </w:rPr>
              <w:t>得3</w:t>
            </w:r>
            <w:r>
              <w:rPr>
                <w:rFonts w:hint="eastAsia" w:ascii="宋体" w:hAnsi="宋体" w:eastAsia="宋体" w:cs="宋体"/>
                <w:bCs/>
                <w:kern w:val="0"/>
                <w:sz w:val="21"/>
                <w:szCs w:val="21"/>
              </w:rPr>
              <w:t xml:space="preserve">分； </w:t>
            </w:r>
          </w:p>
          <w:p>
            <w:pPr>
              <w:pStyle w:val="38"/>
              <w:spacing w:line="360" w:lineRule="exact"/>
              <w:ind w:firstLine="0" w:firstLineChars="0"/>
              <w:rPr>
                <w:rFonts w:eastAsia="宋体" w:cs="宋体" w:asciiTheme="minorEastAsia" w:hAnsiTheme="minorEastAsia"/>
                <w:kern w:val="2"/>
                <w:sz w:val="21"/>
                <w:szCs w:val="21"/>
                <w:lang w:val="en-US" w:eastAsia="zh-CN" w:bidi="ar-SA"/>
              </w:rPr>
            </w:pPr>
            <w:r>
              <w:rPr>
                <w:rFonts w:hint="eastAsia" w:ascii="宋体" w:hAnsi="宋体" w:eastAsia="宋体" w:cs="宋体"/>
                <w:bCs/>
                <w:kern w:val="0"/>
                <w:sz w:val="21"/>
                <w:szCs w:val="21"/>
              </w:rPr>
              <w:t>评审为差（方案中无以上</w:t>
            </w: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Cs/>
                <w:color w:val="auto"/>
                <w:szCs w:val="21"/>
                <w:lang w:val="en-US" w:eastAsia="zh-CN"/>
              </w:rPr>
              <w:t>②③④</w:t>
            </w:r>
            <w:r>
              <w:rPr>
                <w:rFonts w:hint="eastAsia" w:ascii="宋体" w:hAnsi="宋体" w:eastAsia="宋体" w:cs="宋体"/>
                <w:bCs/>
                <w:kern w:val="0"/>
                <w:sz w:val="21"/>
                <w:szCs w:val="21"/>
                <w:lang w:val="en-US" w:eastAsia="zh-CN"/>
              </w:rPr>
              <w:t>项</w:t>
            </w:r>
            <w:r>
              <w:rPr>
                <w:rFonts w:hint="eastAsia" w:ascii="宋体" w:hAnsi="宋体" w:eastAsia="宋体" w:cs="宋体"/>
                <w:bCs/>
                <w:kern w:val="0"/>
                <w:sz w:val="21"/>
                <w:szCs w:val="21"/>
              </w:rPr>
              <w:t>内容</w:t>
            </w:r>
            <w:r>
              <w:rPr>
                <w:rFonts w:hint="eastAsia" w:ascii="宋体" w:hAnsi="宋体" w:eastAsia="宋体" w:cs="宋体"/>
                <w:bCs/>
                <w:kern w:val="0"/>
                <w:sz w:val="21"/>
                <w:szCs w:val="21"/>
                <w:lang w:val="en-US" w:eastAsia="zh-CN"/>
              </w:rPr>
              <w:t>中的任意内容</w:t>
            </w:r>
            <w:r>
              <w:rPr>
                <w:rFonts w:hint="eastAsia" w:ascii="宋体" w:hAnsi="宋体" w:eastAsia="宋体" w:cs="宋体"/>
                <w:bCs/>
                <w:kern w:val="0"/>
                <w:sz w:val="21"/>
                <w:szCs w:val="21"/>
              </w:rPr>
              <w:t>）的不</w:t>
            </w:r>
            <w:r>
              <w:rPr>
                <w:rFonts w:hint="eastAsia" w:ascii="宋体" w:hAnsi="宋体" w:eastAsia="宋体" w:cs="宋体"/>
                <w:bCs/>
                <w:kern w:val="0"/>
                <w:sz w:val="21"/>
                <w:szCs w:val="21"/>
                <w:lang w:val="en-US" w:eastAsia="zh-CN"/>
              </w:rPr>
              <w:t>得</w:t>
            </w:r>
            <w:r>
              <w:rPr>
                <w:rFonts w:hint="eastAsia" w:ascii="宋体" w:hAnsi="宋体" w:eastAsia="宋体" w:cs="宋体"/>
                <w:bCs/>
                <w:kern w:val="0"/>
                <w:sz w:val="21"/>
                <w:szCs w:val="21"/>
              </w:rPr>
              <w:t>分。</w:t>
            </w:r>
            <w:r>
              <w:rPr>
                <w:rFonts w:hint="eastAsia" w:ascii="宋体" w:hAnsi="宋体" w:eastAsia="宋体" w:cs="宋体"/>
                <w:bCs/>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ascii="宋体" w:hAnsi="宋体" w:cs="宋体"/>
                <w:szCs w:val="21"/>
              </w:rPr>
            </w:pPr>
            <w:r>
              <w:rPr>
                <w:rFonts w:hint="eastAsia" w:ascii="宋体" w:hAnsi="宋体" w:eastAsia="宋体" w:cs="宋体"/>
                <w:bCs/>
                <w:color w:val="auto"/>
                <w:szCs w:val="21"/>
              </w:rPr>
              <w:t>项目进度的保证措施及违约承诺</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hint="eastAsia" w:ascii="宋体" w:hAnsi="宋体" w:cs="宋体" w:eastAsiaTheme="minorEastAsia"/>
                <w:szCs w:val="21"/>
                <w:lang w:eastAsia="zh-CN"/>
              </w:rPr>
            </w:pPr>
            <w:r>
              <w:rPr>
                <w:rFonts w:hint="eastAsia" w:ascii="宋体" w:hAnsi="宋体" w:eastAsia="宋体" w:cs="宋体"/>
                <w:bCs/>
                <w:color w:val="auto"/>
                <w:kern w:val="0"/>
                <w:szCs w:val="21"/>
                <w:lang w:val="en-US" w:eastAsia="zh-CN"/>
              </w:rPr>
              <w:t>5</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投标人承诺在项目开展过程中对项目进度和各阶段进度进行严格把控，按时保质完成阶段性工作，确保项目顺利完成。</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pStyle w:val="38"/>
              <w:spacing w:line="360" w:lineRule="exact"/>
              <w:ind w:firstLine="0" w:firstLineChars="0"/>
              <w:rPr>
                <w:rFonts w:ascii="宋体" w:hAnsi="宋体" w:cs="宋体"/>
                <w:szCs w:val="21"/>
              </w:rPr>
            </w:pPr>
            <w:r>
              <w:rPr>
                <w:rFonts w:hint="eastAsia" w:ascii="宋体" w:hAnsi="宋体" w:eastAsia="宋体" w:cs="宋体"/>
                <w:bCs/>
                <w:color w:val="auto"/>
                <w:szCs w:val="21"/>
              </w:rPr>
              <w:t>提供包含上述评分内容的《项目进度的保证措施及违约承诺函》</w:t>
            </w:r>
            <w:r>
              <w:rPr>
                <w:rFonts w:hint="eastAsia" w:ascii="宋体" w:hAnsi="宋体" w:eastAsia="宋体" w:cs="宋体"/>
                <w:bCs/>
                <w:color w:val="auto"/>
                <w:szCs w:val="21"/>
                <w:lang w:eastAsia="zh-CN"/>
              </w:rPr>
              <w:t>（</w:t>
            </w:r>
            <w:r>
              <w:rPr>
                <w:rFonts w:hint="eastAsia" w:ascii="宋体" w:hAnsi="宋体" w:eastAsia="宋体" w:cs="宋体"/>
                <w:bCs/>
                <w:color w:val="auto"/>
                <w:szCs w:val="21"/>
              </w:rPr>
              <w:t>格式自拟</w:t>
            </w:r>
            <w:r>
              <w:rPr>
                <w:rFonts w:hint="eastAsia" w:ascii="宋体" w:hAnsi="宋体" w:eastAsia="宋体" w:cs="宋体"/>
                <w:bCs/>
                <w:color w:val="auto"/>
                <w:szCs w:val="21"/>
                <w:lang w:eastAsia="zh-CN"/>
              </w:rPr>
              <w:t>）</w:t>
            </w:r>
            <w:r>
              <w:rPr>
                <w:rFonts w:hint="eastAsia" w:ascii="宋体" w:hAnsi="宋体" w:eastAsia="宋体" w:cs="宋体"/>
                <w:bCs/>
                <w:color w:val="auto"/>
                <w:szCs w:val="21"/>
              </w:rPr>
              <w:t>，得</w:t>
            </w:r>
            <w:r>
              <w:rPr>
                <w:rFonts w:hint="eastAsia" w:ascii="宋体" w:hAnsi="宋体" w:eastAsia="宋体" w:cs="宋体"/>
                <w:bCs/>
                <w:color w:val="auto"/>
                <w:szCs w:val="21"/>
                <w:lang w:val="en-US" w:eastAsia="zh-CN"/>
              </w:rPr>
              <w:t>100分</w:t>
            </w:r>
            <w:r>
              <w:rPr>
                <w:rFonts w:hint="eastAsia" w:ascii="宋体" w:hAnsi="宋体" w:eastAsia="宋体" w:cs="宋体"/>
                <w:bCs/>
                <w:color w:val="auto"/>
                <w:szCs w:val="21"/>
              </w:rPr>
              <w:t>。未提供承诺或承诺内容不满足要求不得分。</w:t>
            </w:r>
            <w:r>
              <w:rPr>
                <w:rFonts w:hint="eastAsia" w:ascii="宋体" w:hAnsi="宋体" w:eastAsia="宋体" w:cs="宋体"/>
                <w:bCs/>
                <w:color w:val="auto"/>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ascii="宋体" w:hAnsi="宋体" w:cs="宋体"/>
                <w:szCs w:val="21"/>
              </w:rPr>
            </w:pPr>
            <w:r>
              <w:rPr>
                <w:rFonts w:hint="eastAsia" w:ascii="宋体" w:hAnsi="宋体" w:eastAsia="宋体" w:cs="宋体"/>
                <w:bCs/>
                <w:color w:val="auto"/>
                <w:szCs w:val="21"/>
                <w:highlight w:val="none"/>
              </w:rPr>
              <w:t>拟安排的项目负责人情况（仅限一人）</w:t>
            </w:r>
            <w:r>
              <w:rPr>
                <w:rFonts w:hint="eastAsia" w:ascii="宋体" w:hAnsi="宋体" w:eastAsia="宋体" w:cs="宋体"/>
                <w:bCs/>
                <w:color w:val="auto"/>
                <w:szCs w:val="21"/>
                <w:highlight w:val="none"/>
                <w:lang w:eastAsia="zh-CN"/>
              </w:rPr>
              <w:t>：</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ascii="宋体" w:hAnsi="宋体" w:cs="宋体"/>
                <w:szCs w:val="21"/>
              </w:rPr>
            </w:pPr>
            <w:r>
              <w:rPr>
                <w:rFonts w:hint="eastAsia" w:ascii="宋体" w:hAnsi="宋体" w:eastAsia="宋体" w:cs="宋体"/>
                <w:bCs/>
                <w:color w:val="auto"/>
                <w:kern w:val="0"/>
                <w:szCs w:val="21"/>
                <w:lang w:val="en-US" w:eastAsia="zh-CN"/>
              </w:rPr>
              <w:t>6</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pStyle w:val="38"/>
              <w:spacing w:line="360" w:lineRule="exact"/>
              <w:ind w:firstLine="0" w:firstLineChars="0"/>
              <w:rPr>
                <w:rFonts w:hint="eastAsia" w:ascii="宋体" w:hAnsi="宋体" w:eastAsia="宋体" w:cs="宋体"/>
                <w:bCs/>
                <w:color w:val="auto"/>
                <w:szCs w:val="21"/>
                <w:highlight w:val="green"/>
                <w:lang w:eastAsia="zh-CN"/>
              </w:rPr>
            </w:pPr>
            <w:r>
              <w:rPr>
                <w:rFonts w:hint="eastAsia" w:ascii="宋体" w:hAnsi="宋体" w:eastAsia="宋体" w:cs="宋体"/>
                <w:bCs/>
                <w:color w:val="auto"/>
                <w:szCs w:val="21"/>
              </w:rPr>
              <w:t>拟安排的项目负责人需为投标人自有员工，否则本项不得分。</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1、具有</w:t>
            </w:r>
            <w:r>
              <w:rPr>
                <w:rFonts w:hint="eastAsia" w:ascii="宋体" w:hAnsi="宋体" w:eastAsia="宋体" w:cs="宋体"/>
                <w:bCs/>
                <w:color w:val="auto"/>
                <w:szCs w:val="21"/>
                <w:lang w:val="en-US" w:eastAsia="zh-CN"/>
              </w:rPr>
              <w:t>园林类专业</w:t>
            </w:r>
            <w:r>
              <w:rPr>
                <w:rFonts w:hint="eastAsia" w:ascii="宋体" w:hAnsi="宋体" w:eastAsia="宋体" w:cs="宋体"/>
                <w:bCs/>
                <w:color w:val="auto"/>
                <w:szCs w:val="21"/>
              </w:rPr>
              <w:t>本科</w:t>
            </w:r>
            <w:r>
              <w:rPr>
                <w:rFonts w:hint="eastAsia" w:ascii="宋体" w:hAnsi="宋体" w:eastAsia="宋体" w:cs="宋体"/>
                <w:bCs/>
                <w:color w:val="auto"/>
                <w:szCs w:val="21"/>
                <w:lang w:eastAsia="zh-CN"/>
              </w:rPr>
              <w:t>（</w:t>
            </w:r>
            <w:r>
              <w:rPr>
                <w:rFonts w:hint="eastAsia" w:ascii="宋体" w:hAnsi="宋体" w:eastAsia="宋体" w:cs="宋体"/>
                <w:bCs/>
                <w:color w:val="auto"/>
                <w:szCs w:val="21"/>
              </w:rPr>
              <w:t>或以上</w:t>
            </w:r>
            <w:r>
              <w:rPr>
                <w:rFonts w:hint="eastAsia" w:ascii="宋体" w:hAnsi="宋体" w:eastAsia="宋体" w:cs="宋体"/>
                <w:bCs/>
                <w:color w:val="auto"/>
                <w:szCs w:val="21"/>
                <w:lang w:eastAsia="zh-CN"/>
              </w:rPr>
              <w:t>）</w:t>
            </w:r>
            <w:r>
              <w:rPr>
                <w:rFonts w:hint="eastAsia" w:ascii="宋体" w:hAnsi="宋体" w:eastAsia="宋体" w:cs="宋体"/>
                <w:bCs/>
                <w:color w:val="auto"/>
                <w:szCs w:val="21"/>
              </w:rPr>
              <w:t>学历的得</w:t>
            </w:r>
            <w:r>
              <w:rPr>
                <w:rFonts w:hint="eastAsia" w:ascii="宋体" w:hAnsi="宋体" w:eastAsia="宋体" w:cs="宋体"/>
                <w:bCs/>
                <w:color w:val="auto"/>
                <w:szCs w:val="21"/>
                <w:lang w:val="en-US" w:eastAsia="zh-CN"/>
              </w:rPr>
              <w:t>40分，专科学历的得20分，最高得40分</w:t>
            </w:r>
            <w:r>
              <w:rPr>
                <w:rFonts w:hint="eastAsia" w:ascii="宋体" w:hAnsi="宋体" w:eastAsia="宋体" w:cs="宋体"/>
                <w:bCs/>
                <w:color w:val="auto"/>
                <w:szCs w:val="21"/>
              </w:rPr>
              <w:t>；</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2、具有园林类</w:t>
            </w:r>
            <w:r>
              <w:rPr>
                <w:rFonts w:hint="eastAsia" w:ascii="宋体" w:hAnsi="宋体" w:eastAsia="宋体" w:cs="宋体"/>
                <w:bCs/>
                <w:color w:val="auto"/>
                <w:szCs w:val="21"/>
                <w:lang w:val="en-US" w:eastAsia="zh-CN"/>
              </w:rPr>
              <w:t>或</w:t>
            </w:r>
            <w:r>
              <w:rPr>
                <w:rFonts w:hint="eastAsia" w:ascii="宋体" w:hAnsi="宋体" w:eastAsia="宋体" w:cs="宋体"/>
                <w:bCs/>
                <w:color w:val="auto"/>
                <w:szCs w:val="21"/>
              </w:rPr>
              <w:t>园艺类或林学类专业中级或以上职称的得</w:t>
            </w:r>
            <w:r>
              <w:rPr>
                <w:rFonts w:hint="eastAsia" w:ascii="宋体" w:hAnsi="宋体" w:eastAsia="宋体" w:cs="宋体"/>
                <w:bCs/>
                <w:color w:val="auto"/>
                <w:szCs w:val="21"/>
                <w:lang w:val="en-US" w:eastAsia="zh-CN"/>
              </w:rPr>
              <w:t>60分，初级职称的得30分，最高得60分</w:t>
            </w:r>
            <w:r>
              <w:rPr>
                <w:rFonts w:hint="eastAsia" w:ascii="宋体" w:hAnsi="宋体" w:eastAsia="宋体" w:cs="宋体"/>
                <w:bCs/>
                <w:color w:val="auto"/>
                <w:szCs w:val="21"/>
              </w:rPr>
              <w:t>；</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注：以上</w:t>
            </w:r>
            <w:r>
              <w:rPr>
                <w:rFonts w:hint="eastAsia" w:ascii="宋体" w:hAnsi="宋体" w:eastAsia="宋体" w:cs="宋体"/>
                <w:bCs/>
                <w:color w:val="auto"/>
                <w:szCs w:val="21"/>
                <w:lang w:val="en-US" w:eastAsia="zh-CN"/>
              </w:rPr>
              <w:t>2</w:t>
            </w:r>
            <w:r>
              <w:rPr>
                <w:rFonts w:hint="eastAsia" w:ascii="宋体" w:hAnsi="宋体" w:eastAsia="宋体" w:cs="宋体"/>
                <w:bCs/>
                <w:color w:val="auto"/>
                <w:szCs w:val="21"/>
              </w:rPr>
              <w:t>项累计满分</w:t>
            </w:r>
            <w:r>
              <w:rPr>
                <w:rFonts w:hint="eastAsia" w:ascii="宋体" w:hAnsi="宋体" w:eastAsia="宋体" w:cs="宋体"/>
                <w:bCs/>
                <w:color w:val="auto"/>
                <w:szCs w:val="21"/>
                <w:lang w:val="en-US" w:eastAsia="zh-CN"/>
              </w:rPr>
              <w:t>100分</w:t>
            </w:r>
            <w:r>
              <w:rPr>
                <w:rFonts w:hint="eastAsia" w:ascii="宋体" w:hAnsi="宋体" w:eastAsia="宋体" w:cs="宋体"/>
                <w:bCs/>
                <w:color w:val="auto"/>
                <w:szCs w:val="21"/>
              </w:rPr>
              <w:t>。</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autoSpaceDE w:val="0"/>
              <w:autoSpaceDN w:val="0"/>
              <w:adjustRightInd w:val="0"/>
              <w:spacing w:line="360" w:lineRule="exact"/>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1、提供相关人员证书扫描件：</w:t>
            </w:r>
          </w:p>
          <w:p>
            <w:pPr>
              <w:autoSpaceDE w:val="0"/>
              <w:autoSpaceDN w:val="0"/>
              <w:adjustRightInd w:val="0"/>
              <w:spacing w:line="360" w:lineRule="exact"/>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1）涉及学历的，同时提供学信网信息查询截图（https://www.chsi.com.cn/）：①如较早颁发的学历证书，学信网无法查询的，可提供毕业院校或教育或人社部门等颁发机构或监管机构等出具的证明。②如海外留学（含港澳台）学历无法通过学信网站查询的，应当提供教育部留学服务中心出具的国外学历认证证书以及教育部留学服务中心官网（https://portal.cscse.edu.cn/）查询截图。若证明文件为其它语言，必须附中文译文，以中文译文为准。</w:t>
            </w:r>
          </w:p>
          <w:p>
            <w:pPr>
              <w:autoSpaceDE w:val="0"/>
              <w:autoSpaceDN w:val="0"/>
              <w:adjustRightInd w:val="0"/>
              <w:spacing w:line="360" w:lineRule="exact"/>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（2）</w:t>
            </w:r>
            <w:r>
              <w:rPr>
                <w:rFonts w:hint="eastAsia" w:ascii="宋体" w:hAnsi="宋体" w:eastAsia="宋体" w:cs="宋体"/>
                <w:bCs/>
                <w:color w:val="auto"/>
                <w:szCs w:val="21"/>
                <w:lang w:val="en-US" w:eastAsia="zh-CN"/>
              </w:rPr>
              <w:t>涉及职称证书的，还需提供全国人力资源和社会保障服务平台官网查询截图（查询网址：</w:t>
            </w:r>
            <w:r>
              <w:rPr>
                <w:rFonts w:hint="eastAsia" w:ascii="宋体" w:hAnsi="宋体" w:eastAsia="宋体" w:cs="宋体"/>
                <w:bCs/>
                <w:color w:val="auto"/>
                <w:szCs w:val="21"/>
                <w:lang w:val="en-US" w:eastAsia="zh-CN"/>
              </w:rPr>
              <w:fldChar w:fldCharType="begin"/>
            </w:r>
            <w:r>
              <w:rPr>
                <w:rFonts w:hint="eastAsia" w:ascii="宋体" w:hAnsi="宋体" w:eastAsia="宋体" w:cs="宋体"/>
                <w:bCs/>
                <w:color w:val="auto"/>
                <w:szCs w:val="21"/>
                <w:lang w:val="en-US" w:eastAsia="zh-CN"/>
              </w:rPr>
              <w:instrText xml:space="preserve"> HYPERLINK "http://www.12333.gov.cn/）,如职称证书无法提供查询截图，则需提供人社部门（或发证部门或职称管理部门）出具的证明文件（或网站公示查询）。" </w:instrText>
            </w:r>
            <w:r>
              <w:rPr>
                <w:rFonts w:hint="eastAsia" w:ascii="宋体" w:hAnsi="宋体" w:eastAsia="宋体" w:cs="宋体"/>
                <w:bCs/>
                <w:color w:val="auto"/>
                <w:szCs w:val="21"/>
                <w:lang w:val="en-US" w:eastAsia="zh-CN"/>
              </w:rPr>
              <w:fldChar w:fldCharType="separate"/>
            </w:r>
            <w:r>
              <w:rPr>
                <w:rFonts w:hint="eastAsia" w:ascii="宋体" w:hAnsi="宋体" w:eastAsia="宋体" w:cs="宋体"/>
                <w:bCs/>
                <w:color w:val="auto"/>
                <w:szCs w:val="21"/>
                <w:lang w:val="en-US" w:eastAsia="zh-CN"/>
              </w:rPr>
              <w:t>http://www.12333.gov.cn/）,如职称证书无法提供查询截图，则需提供人社部门（或发证部门或职称管理部门）出具的证明文件（或网站公示查询）。</w:t>
            </w:r>
            <w:r>
              <w:rPr>
                <w:rFonts w:hint="eastAsia" w:ascii="宋体" w:hAnsi="宋体" w:eastAsia="宋体" w:cs="宋体"/>
                <w:bCs/>
                <w:color w:val="auto"/>
                <w:szCs w:val="21"/>
                <w:lang w:val="en-US" w:eastAsia="zh-CN"/>
              </w:rPr>
              <w:fldChar w:fldCharType="end"/>
            </w:r>
            <w:r>
              <w:rPr>
                <w:rFonts w:hint="eastAsia" w:ascii="宋体" w:hAnsi="宋体" w:eastAsia="宋体" w:cs="宋体"/>
                <w:bCs/>
                <w:color w:val="auto"/>
                <w:szCs w:val="21"/>
                <w:lang w:eastAsia="zh-CN"/>
              </w:rPr>
              <w:t xml:space="preserve"> </w:t>
            </w:r>
          </w:p>
          <w:p>
            <w:pPr>
              <w:autoSpaceDE w:val="0"/>
              <w:autoSpaceDN w:val="0"/>
              <w:adjustRightInd w:val="0"/>
              <w:spacing w:line="360" w:lineRule="exact"/>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2、提供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pPr>
              <w:autoSpaceDE w:val="0"/>
              <w:autoSpaceDN w:val="0"/>
              <w:adjustRightInd w:val="0"/>
              <w:spacing w:line="360" w:lineRule="exact"/>
              <w:rPr>
                <w:rFonts w:ascii="宋体" w:hAnsi="宋体" w:cs="宋体"/>
                <w:szCs w:val="21"/>
              </w:rPr>
            </w:pPr>
            <w:r>
              <w:rPr>
                <w:rFonts w:hint="eastAsia" w:ascii="宋体" w:hAnsi="宋体" w:eastAsia="宋体" w:cs="宋体"/>
                <w:bCs/>
                <w:color w:val="auto"/>
                <w:szCs w:val="21"/>
                <w:lang w:eastAsia="zh-CN"/>
              </w:rPr>
              <w:t>3、未按要求提供相关证明材料（或相关证明材料无法判断是否符合评分要求）的不计得分，原件备查。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ascii="宋体" w:hAnsi="宋体" w:cs="宋体"/>
                <w:szCs w:val="21"/>
              </w:rPr>
            </w:pPr>
            <w:r>
              <w:rPr>
                <w:rFonts w:hint="eastAsia" w:ascii="宋体" w:hAnsi="宋体" w:eastAsia="宋体" w:cs="宋体"/>
                <w:bCs/>
                <w:color w:val="auto"/>
                <w:szCs w:val="21"/>
              </w:rPr>
              <w:t>拟安排的团队成员情况（项目负责人除外）</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spacing w:line="360" w:lineRule="exact"/>
              <w:jc w:val="center"/>
              <w:rPr>
                <w:rFonts w:ascii="宋体" w:hAnsi="宋体" w:cs="宋体"/>
                <w:szCs w:val="21"/>
              </w:rPr>
            </w:pPr>
            <w:r>
              <w:rPr>
                <w:rFonts w:hint="eastAsia" w:ascii="宋体" w:hAnsi="宋体" w:eastAsia="宋体" w:cs="宋体"/>
                <w:bCs/>
                <w:color w:val="auto"/>
                <w:kern w:val="0"/>
                <w:szCs w:val="21"/>
                <w:lang w:val="en-US" w:eastAsia="zh-CN"/>
              </w:rPr>
              <w:t>12</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（一） 评分内容：</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rPr>
              <w:t>拟安排的团队成员情况（项目负责人除外）需为投标人自有员工</w:t>
            </w:r>
            <w:r>
              <w:rPr>
                <w:rFonts w:hint="eastAsia" w:ascii="宋体" w:hAnsi="宋体" w:eastAsia="宋体" w:cs="宋体"/>
                <w:bCs/>
                <w:color w:val="auto"/>
                <w:szCs w:val="21"/>
                <w:lang w:eastAsia="zh-CN"/>
              </w:rPr>
              <w:t>：</w:t>
            </w:r>
          </w:p>
          <w:p>
            <w:pPr>
              <w:pStyle w:val="38"/>
              <w:spacing w:line="360" w:lineRule="exact"/>
              <w:ind w:firstLine="0" w:firstLineChars="0"/>
              <w:rPr>
                <w:rFonts w:hint="eastAsia" w:ascii="宋体" w:hAnsi="宋体" w:eastAsia="宋体" w:cs="宋体"/>
                <w:b/>
                <w:bCs w:val="0"/>
                <w:color w:val="auto"/>
                <w:szCs w:val="21"/>
                <w:lang w:val="en" w:eastAsia="zh-CN"/>
              </w:rPr>
            </w:pPr>
            <w:r>
              <w:rPr>
                <w:rFonts w:hint="eastAsia" w:ascii="宋体" w:hAnsi="宋体" w:eastAsia="宋体" w:cs="宋体"/>
                <w:b/>
                <w:bCs w:val="0"/>
                <w:color w:val="auto"/>
                <w:szCs w:val="21"/>
              </w:rPr>
              <w:t>1、现场主管（</w:t>
            </w:r>
            <w:r>
              <w:rPr>
                <w:rFonts w:hint="eastAsia" w:ascii="宋体" w:hAnsi="宋体" w:eastAsia="宋体" w:cs="宋体"/>
                <w:b/>
                <w:bCs w:val="0"/>
                <w:color w:val="auto"/>
                <w:szCs w:val="21"/>
                <w:lang w:val="en-US" w:eastAsia="zh-CN"/>
              </w:rPr>
              <w:t>仅限</w:t>
            </w:r>
            <w:r>
              <w:rPr>
                <w:rFonts w:hint="eastAsia" w:ascii="宋体" w:hAnsi="宋体" w:eastAsia="宋体" w:cs="宋体"/>
                <w:b/>
                <w:bCs w:val="0"/>
                <w:color w:val="auto"/>
                <w:szCs w:val="21"/>
              </w:rPr>
              <w:t>1人）</w:t>
            </w:r>
            <w:r>
              <w:rPr>
                <w:rFonts w:hint="eastAsia" w:ascii="宋体" w:hAnsi="宋体" w:eastAsia="宋体" w:cs="宋体"/>
                <w:b/>
                <w:bCs w:val="0"/>
                <w:color w:val="auto"/>
                <w:szCs w:val="21"/>
                <w:lang w:val="en"/>
              </w:rPr>
              <w:t>，最高得30</w:t>
            </w:r>
            <w:r>
              <w:rPr>
                <w:rFonts w:hint="eastAsia" w:ascii="宋体" w:hAnsi="宋体" w:eastAsia="宋体" w:cs="宋体"/>
                <w:b/>
                <w:bCs w:val="0"/>
                <w:color w:val="auto"/>
                <w:szCs w:val="21"/>
                <w:lang w:val="en-US" w:eastAsia="zh-CN"/>
              </w:rPr>
              <w:t>分。</w:t>
            </w:r>
          </w:p>
          <w:p>
            <w:pPr>
              <w:pStyle w:val="38"/>
              <w:spacing w:line="360" w:lineRule="exact"/>
              <w:ind w:firstLine="0" w:firstLineChars="0"/>
              <w:rPr>
                <w:rFonts w:hint="eastAsia" w:ascii="宋体" w:hAnsi="宋体" w:eastAsia="宋体" w:cs="宋体"/>
                <w:bCs/>
                <w:color w:val="auto"/>
                <w:szCs w:val="21"/>
                <w:lang w:val="en-US" w:eastAsia="zh-CN"/>
              </w:rPr>
            </w:pPr>
            <w:r>
              <w:rPr>
                <w:rFonts w:hint="eastAsia" w:ascii="宋体" w:hAnsi="宋体" w:eastAsia="宋体" w:cs="宋体"/>
                <w:bCs/>
                <w:color w:val="auto"/>
                <w:szCs w:val="21"/>
              </w:rPr>
              <w:t>（1）具有</w:t>
            </w:r>
            <w:r>
              <w:rPr>
                <w:rFonts w:hint="eastAsia" w:ascii="宋体" w:hAnsi="宋体" w:eastAsia="宋体" w:cs="宋体"/>
                <w:bCs/>
                <w:color w:val="auto"/>
                <w:szCs w:val="21"/>
                <w:lang w:val="en-US" w:eastAsia="zh-CN"/>
              </w:rPr>
              <w:t>专科</w:t>
            </w:r>
            <w:r>
              <w:rPr>
                <w:rFonts w:hint="eastAsia" w:ascii="宋体" w:hAnsi="宋体" w:eastAsia="宋体" w:cs="宋体"/>
                <w:bCs/>
                <w:color w:val="auto"/>
                <w:szCs w:val="21"/>
              </w:rPr>
              <w:t>学历得</w:t>
            </w:r>
            <w:r>
              <w:rPr>
                <w:rFonts w:hint="eastAsia" w:ascii="宋体" w:hAnsi="宋体" w:eastAsia="宋体" w:cs="宋体"/>
                <w:bCs/>
                <w:color w:val="auto"/>
                <w:szCs w:val="21"/>
                <w:lang w:val="en"/>
              </w:rPr>
              <w:t>5</w:t>
            </w:r>
            <w:r>
              <w:rPr>
                <w:rFonts w:hint="eastAsia" w:ascii="宋体" w:hAnsi="宋体" w:eastAsia="宋体" w:cs="宋体"/>
                <w:bCs/>
                <w:color w:val="auto"/>
                <w:szCs w:val="21"/>
                <w:lang w:val="en-US" w:eastAsia="zh-CN"/>
              </w:rPr>
              <w:t>分</w:t>
            </w:r>
            <w:r>
              <w:rPr>
                <w:rFonts w:hint="eastAsia" w:ascii="宋体" w:hAnsi="宋体" w:eastAsia="宋体" w:cs="宋体"/>
                <w:bCs/>
                <w:color w:val="auto"/>
                <w:szCs w:val="21"/>
                <w:lang w:eastAsia="zh-CN"/>
              </w:rPr>
              <w:t>；</w:t>
            </w:r>
            <w:r>
              <w:rPr>
                <w:rFonts w:hint="eastAsia" w:ascii="宋体" w:hAnsi="宋体" w:eastAsia="宋体" w:cs="宋体"/>
                <w:bCs/>
                <w:color w:val="auto"/>
                <w:szCs w:val="21"/>
                <w:lang w:val="en-US" w:eastAsia="zh-CN"/>
              </w:rPr>
              <w:t>具有本科（或以上）学历得</w:t>
            </w:r>
            <w:r>
              <w:rPr>
                <w:rFonts w:hint="eastAsia" w:ascii="宋体" w:hAnsi="宋体" w:eastAsia="宋体" w:cs="宋体"/>
                <w:bCs/>
                <w:color w:val="auto"/>
                <w:szCs w:val="21"/>
                <w:lang w:val="en" w:eastAsia="zh-CN"/>
              </w:rPr>
              <w:t>10</w:t>
            </w:r>
            <w:r>
              <w:rPr>
                <w:rFonts w:hint="eastAsia" w:ascii="宋体" w:hAnsi="宋体" w:eastAsia="宋体" w:cs="宋体"/>
                <w:bCs/>
                <w:color w:val="auto"/>
                <w:szCs w:val="21"/>
                <w:lang w:val="en-US" w:eastAsia="zh-CN"/>
              </w:rPr>
              <w:t>分，最高得10分。</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w:t>
            </w:r>
            <w:r>
              <w:rPr>
                <w:rFonts w:hint="eastAsia" w:ascii="宋体" w:hAnsi="宋体" w:eastAsia="宋体" w:cs="宋体"/>
                <w:bCs/>
                <w:color w:val="auto"/>
                <w:szCs w:val="21"/>
                <w:lang w:val="en-US" w:eastAsia="zh-CN"/>
              </w:rPr>
              <w:t>2</w:t>
            </w:r>
            <w:r>
              <w:rPr>
                <w:rFonts w:hint="eastAsia" w:ascii="宋体" w:hAnsi="宋体" w:eastAsia="宋体" w:cs="宋体"/>
                <w:bCs/>
                <w:color w:val="auto"/>
                <w:szCs w:val="21"/>
              </w:rPr>
              <w:t>）具有园林类</w:t>
            </w:r>
            <w:r>
              <w:rPr>
                <w:rFonts w:hint="eastAsia" w:ascii="宋体" w:hAnsi="宋体" w:eastAsia="宋体" w:cs="宋体"/>
                <w:bCs/>
                <w:color w:val="auto"/>
                <w:szCs w:val="21"/>
                <w:lang w:val="en-US" w:eastAsia="zh-CN"/>
              </w:rPr>
              <w:t>或</w:t>
            </w:r>
            <w:r>
              <w:rPr>
                <w:rFonts w:hint="eastAsia" w:ascii="宋体" w:hAnsi="宋体" w:eastAsia="宋体" w:cs="宋体"/>
                <w:bCs/>
                <w:color w:val="auto"/>
                <w:szCs w:val="21"/>
              </w:rPr>
              <w:t>园艺类或</w:t>
            </w:r>
            <w:r>
              <w:rPr>
                <w:rFonts w:hint="eastAsia" w:ascii="宋体" w:hAnsi="宋体" w:eastAsia="宋体" w:cs="宋体"/>
                <w:bCs/>
                <w:color w:val="auto"/>
                <w:szCs w:val="21"/>
                <w:lang w:val="en-US" w:eastAsia="zh-CN"/>
              </w:rPr>
              <w:t>林学类中级</w:t>
            </w:r>
            <w:r>
              <w:rPr>
                <w:rFonts w:hint="eastAsia" w:ascii="宋体" w:hAnsi="宋体" w:eastAsia="宋体" w:cs="宋体"/>
                <w:bCs/>
                <w:color w:val="auto"/>
                <w:szCs w:val="21"/>
              </w:rPr>
              <w:t>（或以上）</w:t>
            </w:r>
            <w:r>
              <w:rPr>
                <w:rFonts w:hint="eastAsia" w:ascii="宋体" w:hAnsi="宋体" w:eastAsia="宋体" w:cs="宋体"/>
                <w:bCs/>
                <w:color w:val="auto"/>
                <w:szCs w:val="21"/>
                <w:lang w:val="en-US" w:eastAsia="zh-CN"/>
              </w:rPr>
              <w:t>工程师</w:t>
            </w:r>
            <w:r>
              <w:rPr>
                <w:rFonts w:hint="eastAsia" w:ascii="宋体" w:hAnsi="宋体" w:eastAsia="宋体" w:cs="宋体"/>
                <w:bCs/>
                <w:color w:val="auto"/>
                <w:szCs w:val="21"/>
              </w:rPr>
              <w:t>职称的得</w:t>
            </w:r>
            <w:r>
              <w:rPr>
                <w:rFonts w:hint="eastAsia" w:ascii="宋体" w:hAnsi="宋体" w:eastAsia="宋体" w:cs="宋体"/>
                <w:bCs/>
                <w:color w:val="auto"/>
                <w:szCs w:val="21"/>
                <w:lang w:val="en" w:eastAsia="zh-CN"/>
              </w:rPr>
              <w:t>20</w:t>
            </w:r>
            <w:r>
              <w:rPr>
                <w:rFonts w:hint="eastAsia" w:ascii="宋体" w:hAnsi="宋体" w:eastAsia="宋体" w:cs="宋体"/>
                <w:bCs/>
                <w:color w:val="auto"/>
                <w:szCs w:val="21"/>
                <w:lang w:val="en-US" w:eastAsia="zh-CN"/>
              </w:rPr>
              <w:t>分，初级工程师职称的得10分，最高得20分</w:t>
            </w:r>
            <w:r>
              <w:rPr>
                <w:rFonts w:hint="eastAsia" w:ascii="宋体" w:hAnsi="宋体" w:eastAsia="宋体" w:cs="宋体"/>
                <w:bCs/>
                <w:color w:val="auto"/>
                <w:szCs w:val="21"/>
              </w:rPr>
              <w:t>；</w:t>
            </w:r>
          </w:p>
          <w:p>
            <w:pPr>
              <w:pStyle w:val="38"/>
              <w:spacing w:line="360" w:lineRule="exact"/>
              <w:ind w:firstLine="0" w:firstLineChars="0"/>
              <w:rPr>
                <w:rFonts w:hint="eastAsia" w:ascii="宋体" w:hAnsi="宋体" w:eastAsia="宋体" w:cs="宋体"/>
                <w:b/>
                <w:bCs w:val="0"/>
                <w:color w:val="auto"/>
                <w:szCs w:val="21"/>
                <w:lang w:val="en" w:eastAsia="zh-CN"/>
              </w:rPr>
            </w:pPr>
            <w:r>
              <w:rPr>
                <w:rFonts w:hint="eastAsia" w:ascii="宋体" w:hAnsi="宋体" w:eastAsia="宋体" w:cs="宋体"/>
                <w:b/>
                <w:bCs w:val="0"/>
                <w:color w:val="auto"/>
                <w:szCs w:val="21"/>
              </w:rPr>
              <w:t>2、技术主管（</w:t>
            </w:r>
            <w:r>
              <w:rPr>
                <w:rFonts w:hint="eastAsia" w:ascii="宋体" w:hAnsi="宋体" w:eastAsia="宋体" w:cs="宋体"/>
                <w:b/>
                <w:bCs w:val="0"/>
                <w:color w:val="auto"/>
                <w:szCs w:val="21"/>
                <w:lang w:val="en-US" w:eastAsia="zh-CN"/>
              </w:rPr>
              <w:t>仅限</w:t>
            </w:r>
            <w:r>
              <w:rPr>
                <w:rFonts w:hint="eastAsia" w:ascii="宋体" w:hAnsi="宋体" w:eastAsia="宋体" w:cs="宋体"/>
                <w:b/>
                <w:bCs w:val="0"/>
                <w:color w:val="auto"/>
                <w:szCs w:val="21"/>
              </w:rPr>
              <w:t>1人）</w:t>
            </w:r>
            <w:r>
              <w:rPr>
                <w:rFonts w:hint="eastAsia" w:ascii="宋体" w:hAnsi="宋体" w:eastAsia="宋体" w:cs="宋体"/>
                <w:b/>
                <w:bCs w:val="0"/>
                <w:color w:val="auto"/>
                <w:szCs w:val="21"/>
                <w:lang w:val="en"/>
              </w:rPr>
              <w:t>，最高得</w:t>
            </w:r>
            <w:r>
              <w:rPr>
                <w:rFonts w:hint="eastAsia" w:ascii="宋体" w:hAnsi="宋体" w:eastAsia="宋体" w:cs="宋体"/>
                <w:b/>
                <w:bCs w:val="0"/>
                <w:color w:val="auto"/>
                <w:szCs w:val="21"/>
                <w:lang w:val="en-US" w:eastAsia="zh-CN"/>
              </w:rPr>
              <w:t>30分。</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lang w:val="en-US" w:eastAsia="zh-CN"/>
              </w:rPr>
              <w:t>（1）</w:t>
            </w:r>
            <w:r>
              <w:rPr>
                <w:rFonts w:hint="eastAsia" w:ascii="宋体" w:hAnsi="宋体" w:eastAsia="宋体" w:cs="宋体"/>
                <w:bCs/>
                <w:color w:val="auto"/>
                <w:szCs w:val="21"/>
              </w:rPr>
              <w:t>具有</w:t>
            </w:r>
            <w:r>
              <w:rPr>
                <w:rFonts w:hint="eastAsia" w:ascii="宋体" w:hAnsi="宋体" w:eastAsia="宋体" w:cs="宋体"/>
                <w:bCs/>
                <w:color w:val="auto"/>
                <w:szCs w:val="21"/>
                <w:lang w:eastAsia="zh-CN"/>
              </w:rPr>
              <w:t>专</w:t>
            </w:r>
            <w:r>
              <w:rPr>
                <w:rFonts w:hint="eastAsia" w:ascii="宋体" w:hAnsi="宋体" w:eastAsia="宋体" w:cs="宋体"/>
                <w:bCs/>
                <w:color w:val="auto"/>
                <w:szCs w:val="21"/>
              </w:rPr>
              <w:t>科学历的，得</w:t>
            </w:r>
            <w:r>
              <w:rPr>
                <w:rFonts w:hint="eastAsia" w:ascii="宋体" w:hAnsi="宋体" w:eastAsia="宋体" w:cs="宋体"/>
                <w:bCs/>
                <w:color w:val="auto"/>
                <w:szCs w:val="21"/>
                <w:lang w:val="en-US" w:eastAsia="zh-CN"/>
              </w:rPr>
              <w:t>5分</w:t>
            </w:r>
            <w:r>
              <w:rPr>
                <w:rFonts w:hint="eastAsia" w:ascii="宋体" w:hAnsi="宋体" w:eastAsia="宋体" w:cs="宋体"/>
                <w:bCs/>
                <w:color w:val="auto"/>
                <w:szCs w:val="21"/>
                <w:lang w:val="en" w:eastAsia="zh-CN"/>
              </w:rPr>
              <w:t>；具</w:t>
            </w:r>
            <w:r>
              <w:rPr>
                <w:rFonts w:hint="eastAsia" w:ascii="宋体" w:hAnsi="宋体" w:eastAsia="宋体" w:cs="宋体"/>
                <w:bCs/>
                <w:color w:val="auto"/>
                <w:szCs w:val="21"/>
                <w:lang w:val="en-US" w:eastAsia="zh-CN"/>
              </w:rPr>
              <w:t>有</w:t>
            </w:r>
            <w:r>
              <w:rPr>
                <w:rFonts w:hint="eastAsia" w:ascii="宋体" w:hAnsi="宋体" w:eastAsia="宋体" w:cs="宋体"/>
                <w:bCs/>
                <w:color w:val="auto"/>
                <w:szCs w:val="21"/>
                <w:lang w:val="en" w:eastAsia="zh-CN"/>
              </w:rPr>
              <w:t>本科(或以上)学历的得</w:t>
            </w:r>
            <w:r>
              <w:rPr>
                <w:rFonts w:hint="eastAsia" w:ascii="宋体" w:hAnsi="宋体" w:eastAsia="宋体" w:cs="宋体"/>
                <w:bCs/>
                <w:color w:val="auto"/>
                <w:szCs w:val="21"/>
                <w:lang w:val="en-US" w:eastAsia="zh-CN"/>
              </w:rPr>
              <w:t>10分，最高得10分</w:t>
            </w:r>
            <w:r>
              <w:rPr>
                <w:rFonts w:hint="eastAsia" w:ascii="宋体" w:hAnsi="宋体" w:eastAsia="宋体" w:cs="宋体"/>
                <w:bCs/>
                <w:color w:val="auto"/>
                <w:szCs w:val="21"/>
              </w:rPr>
              <w:t>；</w:t>
            </w:r>
          </w:p>
          <w:p>
            <w:pPr>
              <w:pStyle w:val="38"/>
              <w:spacing w:line="360" w:lineRule="exact"/>
              <w:ind w:firstLine="0" w:firstLineChars="0"/>
              <w:rPr>
                <w:rFonts w:hint="eastAsia" w:ascii="宋体" w:hAnsi="宋体" w:eastAsia="宋体" w:cs="宋体"/>
                <w:bCs/>
                <w:color w:val="auto"/>
                <w:szCs w:val="21"/>
                <w:lang w:val="en-US" w:eastAsia="zh-CN"/>
              </w:rPr>
            </w:pPr>
            <w:r>
              <w:rPr>
                <w:rFonts w:hint="eastAsia" w:ascii="宋体" w:hAnsi="宋体" w:eastAsia="宋体" w:cs="宋体"/>
                <w:bCs/>
                <w:color w:val="auto"/>
                <w:szCs w:val="21"/>
              </w:rPr>
              <w:t>（2）具有园林类或园艺类或林学类专业</w:t>
            </w:r>
            <w:r>
              <w:rPr>
                <w:rFonts w:hint="eastAsia" w:ascii="宋体" w:hAnsi="宋体" w:eastAsia="宋体" w:cs="宋体"/>
                <w:bCs/>
                <w:color w:val="auto"/>
                <w:szCs w:val="21"/>
                <w:lang w:val="en-US" w:eastAsia="zh-CN"/>
              </w:rPr>
              <w:t>中级</w:t>
            </w:r>
            <w:r>
              <w:rPr>
                <w:rFonts w:hint="eastAsia" w:ascii="宋体" w:hAnsi="宋体" w:eastAsia="宋体" w:cs="宋体"/>
                <w:bCs/>
                <w:color w:val="auto"/>
                <w:szCs w:val="21"/>
              </w:rPr>
              <w:t>（或以上）职称的得</w:t>
            </w:r>
            <w:r>
              <w:rPr>
                <w:rFonts w:hint="eastAsia" w:ascii="宋体" w:hAnsi="宋体" w:eastAsia="宋体" w:cs="宋体"/>
                <w:bCs/>
                <w:color w:val="auto"/>
                <w:szCs w:val="21"/>
                <w:lang w:val="en-US" w:eastAsia="zh-CN"/>
              </w:rPr>
              <w:t>20分，初级工程师职称的得10分，最高得20分</w:t>
            </w:r>
            <w:r>
              <w:rPr>
                <w:rFonts w:hint="eastAsia" w:ascii="宋体" w:hAnsi="宋体" w:eastAsia="宋体" w:cs="宋体"/>
                <w:bCs/>
                <w:color w:val="auto"/>
                <w:szCs w:val="21"/>
              </w:rPr>
              <w:t>；</w:t>
            </w:r>
          </w:p>
          <w:p>
            <w:pPr>
              <w:rPr>
                <w:rFonts w:hint="eastAsia"/>
                <w:b/>
              </w:rPr>
            </w:pPr>
            <w:r>
              <w:rPr>
                <w:rFonts w:hint="eastAsia"/>
                <w:b/>
              </w:rPr>
              <w:t>3、技术员（仅限2人），如1人满足2项要求，可累计计分；最高得40分。</w:t>
            </w:r>
          </w:p>
          <w:p>
            <w:pPr>
              <w:rPr>
                <w:rFonts w:hint="eastAsia"/>
                <w:b w:val="0"/>
                <w:bCs/>
              </w:rPr>
            </w:pPr>
            <w:r>
              <w:rPr>
                <w:rFonts w:hint="eastAsia"/>
                <w:b w:val="0"/>
                <w:bCs/>
              </w:rPr>
              <w:t>（1）具有专科学历，每提供一人，得5分，最高得10分；具有本科（或以上）学历，每提供一人，得10分，最高得20分；本小项提供多个证书的以最优情况计分。</w:t>
            </w:r>
          </w:p>
          <w:p>
            <w:pPr>
              <w:rPr>
                <w:rFonts w:hint="eastAsia"/>
                <w:b w:val="0"/>
                <w:bCs/>
              </w:rPr>
            </w:pPr>
            <w:r>
              <w:rPr>
                <w:rFonts w:hint="eastAsia"/>
                <w:b w:val="0"/>
                <w:bCs/>
              </w:rPr>
              <w:t>（2）具有相关机构颁发的林业有害生物防治员职业技技能（或鉴定）证书的，每提供一人得10分，最高得20分。</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注：以上1～</w:t>
            </w:r>
            <w:r>
              <w:rPr>
                <w:rFonts w:hint="eastAsia" w:ascii="宋体" w:hAnsi="宋体" w:eastAsia="宋体" w:cs="宋体"/>
                <w:bCs/>
                <w:color w:val="auto"/>
                <w:szCs w:val="21"/>
                <w:lang w:val="en-US" w:eastAsia="zh-CN"/>
              </w:rPr>
              <w:t>3</w:t>
            </w:r>
            <w:r>
              <w:rPr>
                <w:rFonts w:hint="eastAsia" w:ascii="宋体" w:hAnsi="宋体" w:eastAsia="宋体" w:cs="宋体"/>
                <w:bCs/>
                <w:color w:val="auto"/>
                <w:szCs w:val="21"/>
              </w:rPr>
              <w:t>项累计满分</w:t>
            </w:r>
            <w:r>
              <w:rPr>
                <w:rFonts w:hint="eastAsia" w:ascii="宋体" w:hAnsi="宋体" w:eastAsia="宋体" w:cs="宋体"/>
                <w:bCs/>
                <w:color w:val="auto"/>
                <w:szCs w:val="21"/>
                <w:lang w:val="en-US" w:eastAsia="zh-CN"/>
              </w:rPr>
              <w:t>100分，岗位之间</w:t>
            </w:r>
            <w:r>
              <w:rPr>
                <w:rFonts w:hint="eastAsia" w:ascii="宋体" w:hAnsi="宋体" w:eastAsia="宋体" w:cs="宋体"/>
                <w:bCs/>
                <w:color w:val="auto"/>
                <w:szCs w:val="21"/>
                <w:lang w:val="en"/>
              </w:rPr>
              <w:t>不</w:t>
            </w:r>
            <w:r>
              <w:rPr>
                <w:rFonts w:hint="eastAsia" w:ascii="宋体" w:hAnsi="宋体" w:eastAsia="宋体" w:cs="宋体"/>
                <w:bCs/>
                <w:color w:val="auto"/>
                <w:szCs w:val="21"/>
                <w:lang w:val="en-US" w:eastAsia="zh-CN"/>
              </w:rPr>
              <w:t>重复</w:t>
            </w:r>
            <w:r>
              <w:rPr>
                <w:rFonts w:hint="eastAsia" w:ascii="宋体" w:hAnsi="宋体" w:eastAsia="宋体" w:cs="宋体"/>
                <w:bCs/>
                <w:color w:val="auto"/>
                <w:szCs w:val="21"/>
                <w:lang w:val="en"/>
              </w:rPr>
              <w:t>得分。</w:t>
            </w:r>
          </w:p>
          <w:p>
            <w:pPr>
              <w:pStyle w:val="38"/>
              <w:spacing w:line="360" w:lineRule="exact"/>
              <w:ind w:firstLine="0" w:firstLineChars="0"/>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1、提供相关人员证书扫描件：</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（1）涉及学历的</w:t>
            </w:r>
            <w:r>
              <w:rPr>
                <w:rFonts w:hint="eastAsia" w:ascii="宋体" w:hAnsi="宋体" w:eastAsia="宋体" w:cs="宋体"/>
                <w:bCs/>
                <w:color w:val="auto"/>
                <w:szCs w:val="21"/>
                <w:lang w:val="en-US" w:eastAsia="zh-CN"/>
              </w:rPr>
              <w:t>和学位的</w:t>
            </w:r>
            <w:r>
              <w:rPr>
                <w:rFonts w:hint="eastAsia" w:ascii="宋体" w:hAnsi="宋体" w:eastAsia="宋体" w:cs="宋体"/>
                <w:bCs/>
                <w:color w:val="auto"/>
                <w:szCs w:val="21"/>
                <w:lang w:eastAsia="zh-CN"/>
              </w:rPr>
              <w:t>，同时提供学信网信息查询截图（https://www.chsi.com.cn/）：①如较早颁发的学历证书，学信网无法查询的，可提供毕业院校或教育或人社部门等颁发机构或监管机构等出具的证明。②如海外留学（含港澳台）学历无法通过学信网站查询的，应当提供教育部留学服务中心出具的国外学历认证证书以及教育部留学服务中心官网（https://portal.cscse.edu.cn/）查询截图。若证明文件为其它语言，必须附中文译文，以中文译文为准。</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2）如证书颁发单位为相关行业协会（或学会）的，则需同时提供证书颁发单位在全国社会组织信用信息公示平台（https://xxgs.chinanpo.mca.gov.cn/gsxt/newList）的信息查询截图（截图需显示发证单位状态为“正常”）。</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(3)</w:t>
            </w:r>
            <w:r>
              <w:rPr>
                <w:rFonts w:hint="eastAsia" w:ascii="宋体" w:hAnsi="宋体" w:eastAsia="宋体" w:cs="宋体"/>
                <w:bCs/>
                <w:color w:val="auto"/>
                <w:szCs w:val="21"/>
                <w:lang w:val="en-US" w:eastAsia="zh-CN"/>
              </w:rPr>
              <w:t>涉及职业资格（或职业技能等级）证书的，还需同时提供技能人才评价证书全国联网查询（网址http://zscx.osta.org.cn/）的查询截图，如证书无法提供查询截图，则需提供人社部门（或发证部门或职称管理部门）出具的证明文件（或网站公示查询）。</w:t>
            </w:r>
            <w:r>
              <w:rPr>
                <w:rFonts w:hint="eastAsia" w:ascii="宋体" w:hAnsi="宋体" w:eastAsia="宋体" w:cs="宋体"/>
                <w:bCs/>
                <w:color w:val="auto"/>
                <w:szCs w:val="21"/>
                <w:lang w:eastAsia="zh-CN"/>
              </w:rPr>
              <w:t xml:space="preserve">  </w:t>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val="en-US" w:eastAsia="zh-CN"/>
              </w:rPr>
              <w:t>（4）涉及职称证书的，还需提供全国人力资源和社会保障服务平台官网查询截图（查询网址：</w:t>
            </w:r>
            <w:r>
              <w:rPr>
                <w:rFonts w:hint="eastAsia" w:ascii="宋体" w:hAnsi="宋体" w:eastAsia="宋体" w:cs="宋体"/>
                <w:bCs/>
                <w:color w:val="auto"/>
                <w:szCs w:val="21"/>
                <w:lang w:val="en-US" w:eastAsia="zh-CN"/>
              </w:rPr>
              <w:fldChar w:fldCharType="begin"/>
            </w:r>
            <w:r>
              <w:rPr>
                <w:rFonts w:hint="eastAsia" w:ascii="宋体" w:hAnsi="宋体" w:eastAsia="宋体" w:cs="宋体"/>
                <w:bCs/>
                <w:color w:val="auto"/>
                <w:szCs w:val="21"/>
                <w:lang w:val="en-US" w:eastAsia="zh-CN"/>
              </w:rPr>
              <w:instrText xml:space="preserve"> HYPERLINK "http://www.12333.gov.cn/）,如职称证书无法提供查询截图，则需提供人社部门（或发证部门或职称管理部门）出具的证明文件（或网站公示查询）。" </w:instrText>
            </w:r>
            <w:r>
              <w:rPr>
                <w:rFonts w:hint="eastAsia" w:ascii="宋体" w:hAnsi="宋体" w:eastAsia="宋体" w:cs="宋体"/>
                <w:bCs/>
                <w:color w:val="auto"/>
                <w:szCs w:val="21"/>
                <w:lang w:val="en-US" w:eastAsia="zh-CN"/>
              </w:rPr>
              <w:fldChar w:fldCharType="separate"/>
            </w:r>
            <w:r>
              <w:rPr>
                <w:rFonts w:hint="eastAsia" w:ascii="宋体" w:hAnsi="宋体" w:eastAsia="宋体" w:cs="宋体"/>
                <w:bCs/>
                <w:color w:val="auto"/>
                <w:szCs w:val="21"/>
                <w:lang w:val="en-US" w:eastAsia="zh-CN"/>
              </w:rPr>
              <w:t>http://www.12333.gov.cn/）,如职称证书无法提供查询截图，则需提供人社部门（或发证部门或职称管理部门）出具的证明文件（或网站公示查询）。</w:t>
            </w:r>
            <w:r>
              <w:rPr>
                <w:rFonts w:hint="eastAsia" w:ascii="宋体" w:hAnsi="宋体" w:eastAsia="宋体" w:cs="宋体"/>
                <w:bCs/>
                <w:color w:val="auto"/>
                <w:szCs w:val="21"/>
                <w:lang w:val="en-US" w:eastAsia="zh-CN"/>
              </w:rPr>
              <w:fldChar w:fldCharType="end"/>
            </w:r>
          </w:p>
          <w:p>
            <w:pPr>
              <w:pStyle w:val="38"/>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2、提供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pPr>
              <w:pStyle w:val="38"/>
              <w:spacing w:line="360" w:lineRule="exact"/>
              <w:ind w:firstLine="0" w:firstLineChars="0"/>
              <w:rPr>
                <w:rFonts w:ascii="宋体" w:hAnsi="宋体" w:cs="宋体"/>
                <w:szCs w:val="21"/>
              </w:rPr>
            </w:pPr>
            <w:r>
              <w:rPr>
                <w:rFonts w:hint="eastAsia" w:ascii="宋体" w:hAnsi="宋体" w:eastAsia="宋体" w:cs="宋体"/>
                <w:bCs/>
                <w:color w:val="auto"/>
                <w:szCs w:val="21"/>
                <w:lang w:eastAsia="zh-CN"/>
              </w:rPr>
              <w:t>3、未按要求提供相关证明材料（或相关证明材料无法判断是否符合评分要求）的不计得分，原件备查。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3</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综合实力</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8392"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权重(%)</w:t>
            </w:r>
          </w:p>
        </w:tc>
        <w:tc>
          <w:tcPr>
            <w:tcW w:w="4196" w:type="dxa"/>
            <w:gridSpan w:val="2"/>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adjustRightInd w:val="0"/>
              <w:snapToGrid w:val="0"/>
              <w:spacing w:line="360" w:lineRule="exact"/>
              <w:jc w:val="center"/>
              <w:rPr>
                <w:rFonts w:ascii="宋体" w:hAnsi="宋体" w:cs="宋体"/>
                <w:szCs w:val="21"/>
              </w:rPr>
            </w:pPr>
            <w:r>
              <w:rPr>
                <w:rFonts w:hint="eastAsia" w:ascii="宋体" w:hAnsi="宋体" w:eastAsia="宋体" w:cs="宋体"/>
                <w:bCs/>
                <w:snapToGrid w:val="0"/>
                <w:color w:val="auto"/>
                <w:kern w:val="0"/>
                <w:szCs w:val="21"/>
              </w:rPr>
              <w:t>投标人通过相关认证情况</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adjustRightInd w:val="0"/>
              <w:snapToGrid w:val="0"/>
              <w:spacing w:line="360" w:lineRule="exact"/>
              <w:jc w:val="center"/>
              <w:rPr>
                <w:rFonts w:ascii="宋体" w:hAnsi="宋体" w:cs="宋体"/>
                <w:szCs w:val="21"/>
              </w:rPr>
            </w:pPr>
            <w:r>
              <w:rPr>
                <w:rFonts w:hint="eastAsia" w:ascii="宋体" w:hAnsi="宋体" w:eastAsia="宋体" w:cs="宋体"/>
                <w:bCs/>
                <w:snapToGrid w:val="0"/>
                <w:color w:val="auto"/>
                <w:kern w:val="0"/>
                <w:szCs w:val="21"/>
                <w:lang w:val="en-US" w:eastAsia="zh-CN"/>
              </w:rPr>
              <w:t>9</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Style w:val="38"/>
              <w:spacing w:line="360" w:lineRule="exact"/>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（一） 评分内容：</w:t>
            </w:r>
          </w:p>
          <w:p>
            <w:pPr>
              <w:autoSpaceDE w:val="0"/>
              <w:autoSpaceDN w:val="0"/>
              <w:adjustRightInd w:val="0"/>
              <w:rPr>
                <w:rFonts w:hint="eastAsia" w:ascii="宋体" w:hAnsi="宋体" w:eastAsia="宋体" w:cs="宋体"/>
                <w:bCs/>
                <w:color w:val="auto"/>
                <w:szCs w:val="21"/>
              </w:rPr>
            </w:pPr>
            <w:r>
              <w:rPr>
                <w:rFonts w:hint="eastAsia" w:ascii="宋体" w:hAnsi="宋体" w:eastAsia="宋体" w:cs="宋体"/>
                <w:bCs/>
                <w:color w:val="auto"/>
                <w:szCs w:val="21"/>
              </w:rPr>
              <w:t>投标人在开标日前获得以下证书</w:t>
            </w:r>
            <w:r>
              <w:rPr>
                <w:rFonts w:hint="eastAsia" w:ascii="宋体" w:hAnsi="宋体" w:eastAsia="宋体" w:cs="宋体"/>
                <w:b w:val="0"/>
                <w:bCs/>
                <w:color w:val="auto"/>
                <w:szCs w:val="21"/>
              </w:rPr>
              <w:t>（认证范围需包含：</w:t>
            </w:r>
            <w:r>
              <w:rPr>
                <w:rFonts w:hint="eastAsia" w:ascii="宋体" w:hAnsi="宋体" w:eastAsia="宋体" w:cs="宋体"/>
                <w:bCs/>
                <w:color w:val="auto"/>
                <w:szCs w:val="21"/>
                <w:lang w:val="en-US" w:eastAsia="zh-CN"/>
              </w:rPr>
              <w:t>生态环境修复</w:t>
            </w:r>
            <w:r>
              <w:rPr>
                <w:rFonts w:hint="eastAsia" w:ascii="宋体" w:hAnsi="宋体" w:eastAsia="宋体" w:cs="宋体"/>
                <w:b w:val="0"/>
                <w:bCs/>
                <w:color w:val="auto"/>
                <w:szCs w:val="21"/>
              </w:rPr>
              <w:t>）</w:t>
            </w:r>
            <w:r>
              <w:rPr>
                <w:rFonts w:hint="eastAsia" w:ascii="宋体" w:hAnsi="宋体" w:eastAsia="宋体" w:cs="宋体"/>
                <w:bCs/>
                <w:color w:val="auto"/>
                <w:szCs w:val="21"/>
              </w:rPr>
              <w:t>：</w:t>
            </w:r>
          </w:p>
          <w:p>
            <w:pPr>
              <w:pStyle w:val="38"/>
              <w:spacing w:line="360" w:lineRule="exact"/>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1、质量管理体系认证证书；</w:t>
            </w:r>
          </w:p>
          <w:p>
            <w:pPr>
              <w:pStyle w:val="38"/>
              <w:spacing w:line="360" w:lineRule="exact"/>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2、职业健康安全管理体系认证证书；</w:t>
            </w:r>
          </w:p>
          <w:p>
            <w:pPr>
              <w:pStyle w:val="38"/>
              <w:spacing w:line="360" w:lineRule="exact"/>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3、环境管理体系认证证书；</w:t>
            </w:r>
          </w:p>
          <w:p>
            <w:pPr>
              <w:pStyle w:val="38"/>
              <w:spacing w:line="360" w:lineRule="exact"/>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每提供1项</w:t>
            </w:r>
            <w:r>
              <w:rPr>
                <w:rFonts w:hint="eastAsia" w:ascii="宋体" w:hAnsi="宋体" w:eastAsia="宋体" w:cs="宋体"/>
                <w:bCs/>
                <w:color w:val="auto"/>
                <w:szCs w:val="21"/>
                <w:lang w:val="en-US" w:eastAsia="zh-CN"/>
              </w:rPr>
              <w:t>得34分</w:t>
            </w:r>
            <w:r>
              <w:rPr>
                <w:rFonts w:hint="eastAsia" w:ascii="宋体" w:hAnsi="宋体" w:eastAsia="宋体" w:cs="宋体"/>
                <w:bCs/>
                <w:color w:val="auto"/>
                <w:szCs w:val="21"/>
              </w:rPr>
              <w:t>，本项最高得</w:t>
            </w:r>
            <w:r>
              <w:rPr>
                <w:rFonts w:hint="eastAsia" w:ascii="宋体" w:hAnsi="宋体" w:eastAsia="宋体" w:cs="宋体"/>
                <w:bCs/>
                <w:color w:val="auto"/>
                <w:szCs w:val="21"/>
                <w:lang w:val="en-US" w:eastAsia="zh-CN"/>
              </w:rPr>
              <w:t>100分</w:t>
            </w:r>
            <w:r>
              <w:rPr>
                <w:rFonts w:hint="eastAsia" w:ascii="宋体" w:hAnsi="宋体" w:eastAsia="宋体" w:cs="宋体"/>
                <w:bCs/>
                <w:color w:val="auto"/>
                <w:szCs w:val="21"/>
              </w:rPr>
              <w:t>。</w:t>
            </w:r>
          </w:p>
          <w:p>
            <w:pPr>
              <w:pStyle w:val="38"/>
              <w:spacing w:line="360" w:lineRule="exact"/>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adjustRightInd w:val="0"/>
              <w:snapToGrid w:val="0"/>
              <w:spacing w:line="360" w:lineRule="exact"/>
              <w:jc w:val="left"/>
              <w:rPr>
                <w:rFonts w:hint="eastAsia" w:ascii="宋体" w:hAnsi="宋体" w:eastAsia="宋体" w:cs="宋体"/>
                <w:b w:val="0"/>
                <w:bCs/>
                <w:color w:val="auto"/>
                <w:kern w:val="0"/>
                <w:szCs w:val="21"/>
              </w:rPr>
            </w:pPr>
            <w:r>
              <w:rPr>
                <w:rFonts w:hint="eastAsia" w:ascii="宋体" w:hAnsi="宋体" w:eastAsia="宋体" w:cs="宋体"/>
                <w:b w:val="0"/>
                <w:bCs/>
                <w:color w:val="auto"/>
                <w:kern w:val="0"/>
                <w:szCs w:val="21"/>
              </w:rPr>
              <w:t>1、提供相关认证机构颁发的有效期内的认证证书扫描件及认证信息查询截图（截图需显示证书状态为有效）。</w:t>
            </w:r>
          </w:p>
          <w:p>
            <w:pPr>
              <w:adjustRightInd w:val="0"/>
              <w:snapToGrid w:val="0"/>
              <w:spacing w:line="360" w:lineRule="exact"/>
              <w:jc w:val="left"/>
              <w:rPr>
                <w:rFonts w:hint="eastAsia" w:ascii="宋体" w:hAnsi="宋体" w:eastAsia="宋体" w:cs="宋体"/>
                <w:b w:val="0"/>
                <w:bCs/>
                <w:color w:val="auto"/>
                <w:kern w:val="0"/>
                <w:szCs w:val="21"/>
              </w:rPr>
            </w:pPr>
            <w:r>
              <w:rPr>
                <w:rFonts w:hint="eastAsia" w:ascii="宋体" w:hAnsi="宋体" w:eastAsia="宋体" w:cs="宋体"/>
                <w:b w:val="0"/>
                <w:bCs/>
                <w:color w:val="auto"/>
                <w:kern w:val="0"/>
                <w:szCs w:val="21"/>
              </w:rPr>
              <w:t>说明：①证书与查询信息截图必须同时提供，缺一不可。未同时提供的不得分，后果由供应商自行承担。②供应商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adjustRightInd w:val="0"/>
              <w:snapToGrid w:val="0"/>
              <w:spacing w:line="360" w:lineRule="exact"/>
              <w:jc w:val="left"/>
              <w:rPr>
                <w:rFonts w:ascii="宋体" w:hAnsi="宋体" w:cs="宋体"/>
                <w:szCs w:val="21"/>
              </w:rPr>
            </w:pPr>
            <w:r>
              <w:rPr>
                <w:rFonts w:hint="eastAsia" w:ascii="宋体" w:hAnsi="宋体" w:eastAsia="宋体" w:cs="宋体"/>
                <w:b w:val="0"/>
                <w:bCs/>
                <w:color w:val="auto"/>
                <w:kern w:val="0"/>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60" w:lineRule="exact"/>
              <w:jc w:val="center"/>
              <w:rPr>
                <w:rFonts w:ascii="宋体" w:hAnsi="宋体" w:cs="宋体"/>
                <w:szCs w:val="21"/>
              </w:rPr>
            </w:pPr>
            <w:r>
              <w:rPr>
                <w:rFonts w:hint="eastAsia" w:ascii="宋体" w:hAnsi="宋体" w:eastAsia="宋体" w:cs="宋体"/>
                <w:bCs/>
                <w:color w:val="auto"/>
                <w:szCs w:val="21"/>
                <w:highlight w:val="none"/>
              </w:rPr>
              <w:t>投标人同类项目业绩情况</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60" w:lineRule="exact"/>
              <w:jc w:val="center"/>
              <w:rPr>
                <w:rFonts w:ascii="宋体" w:hAnsi="宋体" w:cs="宋体"/>
                <w:szCs w:val="21"/>
              </w:rPr>
            </w:pPr>
            <w:r>
              <w:rPr>
                <w:rFonts w:hint="eastAsia" w:ascii="宋体" w:hAnsi="宋体" w:eastAsia="宋体" w:cs="宋体"/>
                <w:bCs/>
                <w:color w:val="auto"/>
                <w:szCs w:val="21"/>
                <w:lang w:val="en-US" w:eastAsia="zh-CN"/>
              </w:rPr>
              <w:t>10</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至本项目投标截止日</w:t>
            </w:r>
            <w:r>
              <w:rPr>
                <w:rFonts w:hint="eastAsia" w:ascii="宋体" w:hAnsi="宋体" w:eastAsia="宋体" w:cs="宋体"/>
                <w:bCs/>
                <w:color w:val="auto"/>
                <w:szCs w:val="21"/>
                <w:lang w:eastAsia="zh-CN"/>
              </w:rPr>
              <w:t>（</w:t>
            </w:r>
            <w:r>
              <w:rPr>
                <w:rFonts w:hint="eastAsia" w:ascii="宋体" w:hAnsi="宋体" w:eastAsia="宋体" w:cs="宋体"/>
                <w:bCs/>
                <w:color w:val="auto"/>
                <w:szCs w:val="21"/>
                <w:lang w:val="en-US" w:eastAsia="zh-CN"/>
              </w:rPr>
              <w:t>不含</w:t>
            </w:r>
            <w:r>
              <w:rPr>
                <w:rFonts w:hint="eastAsia" w:ascii="宋体" w:hAnsi="宋体" w:eastAsia="宋体" w:cs="宋体"/>
                <w:bCs/>
                <w:color w:val="auto"/>
                <w:szCs w:val="21"/>
                <w:lang w:eastAsia="zh-CN"/>
              </w:rPr>
              <w:t>）五年内</w:t>
            </w:r>
            <w:r>
              <w:rPr>
                <w:rFonts w:hint="eastAsia" w:ascii="宋体" w:hAnsi="宋体" w:eastAsia="宋体" w:cs="宋体"/>
                <w:bCs/>
                <w:color w:val="auto"/>
                <w:szCs w:val="21"/>
              </w:rPr>
              <w:t>（以合同签订日期为准），投标人具有森林抚育或植树造林</w:t>
            </w:r>
            <w:r>
              <w:rPr>
                <w:rFonts w:hint="eastAsia" w:ascii="宋体" w:hAnsi="宋体" w:eastAsia="宋体" w:cs="宋体"/>
                <w:bCs/>
                <w:color w:val="auto"/>
                <w:szCs w:val="21"/>
                <w:lang w:val="en-US" w:eastAsia="zh-CN"/>
              </w:rPr>
              <w:t>或绿化养护类</w:t>
            </w:r>
            <w:r>
              <w:rPr>
                <w:rFonts w:hint="eastAsia" w:ascii="宋体" w:hAnsi="宋体" w:eastAsia="宋体" w:cs="宋体"/>
                <w:bCs/>
                <w:color w:val="auto"/>
                <w:szCs w:val="21"/>
              </w:rPr>
              <w:t>相关业绩的，每提供1个项目得</w:t>
            </w:r>
            <w:r>
              <w:rPr>
                <w:rFonts w:hint="eastAsia" w:ascii="宋体" w:hAnsi="宋体" w:eastAsia="宋体" w:cs="宋体"/>
                <w:bCs/>
                <w:color w:val="auto"/>
                <w:szCs w:val="21"/>
                <w:lang w:val="en-US" w:eastAsia="zh-CN"/>
              </w:rPr>
              <w:t>50分</w:t>
            </w:r>
            <w:r>
              <w:rPr>
                <w:rFonts w:hint="eastAsia" w:ascii="宋体" w:hAnsi="宋体" w:eastAsia="宋体" w:cs="宋体"/>
                <w:bCs/>
                <w:color w:val="auto"/>
                <w:szCs w:val="21"/>
              </w:rPr>
              <w:t>，最高</w:t>
            </w:r>
            <w:r>
              <w:rPr>
                <w:rFonts w:hint="eastAsia" w:ascii="宋体" w:hAnsi="宋体" w:eastAsia="宋体" w:cs="宋体"/>
                <w:bCs/>
                <w:color w:val="auto"/>
                <w:szCs w:val="21"/>
                <w:lang w:val="en-US" w:eastAsia="zh-CN"/>
              </w:rPr>
              <w:t>100分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bookmarkStart w:id="100" w:name="_GoBack"/>
            <w:bookmarkEnd w:id="100"/>
            <w:r>
              <w:rPr>
                <w:rFonts w:hint="eastAsia" w:ascii="宋体" w:hAnsi="宋体" w:eastAsia="宋体" w:cs="宋体"/>
                <w:bCs/>
                <w:color w:val="auto"/>
                <w:szCs w:val="21"/>
              </w:rPr>
              <w:t>（二）评分依据：</w:t>
            </w:r>
          </w:p>
          <w:p>
            <w:pPr>
              <w:rPr>
                <w:rFonts w:hint="eastAsia" w:ascii="宋体" w:hAnsi="宋体" w:eastAsia="宋体" w:cs="宋体"/>
                <w:bCs/>
                <w:color w:val="auto"/>
                <w:szCs w:val="21"/>
              </w:rPr>
            </w:pPr>
            <w:r>
              <w:rPr>
                <w:rFonts w:hint="eastAsia" w:ascii="宋体" w:hAnsi="宋体" w:eastAsia="宋体" w:cs="宋体"/>
                <w:bCs/>
                <w:color w:val="auto"/>
                <w:szCs w:val="21"/>
                <w:lang w:bidi="ar"/>
              </w:rPr>
              <w:t>1、提供经验项目合同关键页扫描件（须能体现投标人信息）。未按要求提供证明材料（或证明材料无法判断是否符合评分要求）的不得分，原件备查。</w:t>
            </w:r>
          </w:p>
          <w:p>
            <w:pPr>
              <w:tabs>
                <w:tab w:val="left" w:pos="175"/>
              </w:tabs>
              <w:spacing w:line="360" w:lineRule="exact"/>
              <w:ind w:left="33" w:leftChars="0"/>
              <w:jc w:val="left"/>
              <w:rPr>
                <w:rFonts w:ascii="宋体" w:hAnsi="宋体" w:cs="宋体"/>
                <w:szCs w:val="21"/>
              </w:rPr>
            </w:pPr>
            <w:r>
              <w:rPr>
                <w:rFonts w:hint="eastAsia" w:ascii="宋体" w:hAnsi="宋体" w:eastAsia="宋体" w:cs="宋体"/>
                <w:bCs/>
                <w:color w:val="auto"/>
                <w:szCs w:val="21"/>
                <w:lang w:bidi="ar"/>
              </w:rPr>
              <w:t>2、</w:t>
            </w:r>
            <w:r>
              <w:rPr>
                <w:rFonts w:hint="eastAsia" w:ascii="宋体" w:hAnsi="宋体" w:eastAsia="宋体" w:cs="宋体"/>
                <w:bCs/>
                <w:color w:val="auto"/>
                <w:sz w:val="21"/>
                <w:szCs w:val="21"/>
              </w:rPr>
              <w:t>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jc w:val="center"/>
              <w:rPr>
                <w:rFonts w:ascii="宋体" w:hAnsi="宋体" w:cs="宋体"/>
                <w:szCs w:val="21"/>
              </w:rPr>
            </w:pPr>
            <w:r>
              <w:rPr>
                <w:rFonts w:hint="eastAsia" w:ascii="宋体" w:hAnsi="宋体" w:eastAsia="宋体" w:cs="宋体"/>
                <w:bCs/>
                <w:color w:val="auto"/>
                <w:szCs w:val="21"/>
              </w:rPr>
              <w:t>拟投入的车辆和设备情况</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jc w:val="center"/>
              <w:rPr>
                <w:rFonts w:ascii="宋体" w:hAnsi="宋体" w:cs="宋体"/>
                <w:szCs w:val="21"/>
              </w:rPr>
            </w:pPr>
            <w:r>
              <w:rPr>
                <w:rFonts w:hint="eastAsia" w:ascii="宋体" w:hAnsi="宋体" w:eastAsia="宋体" w:cs="宋体"/>
                <w:bCs/>
                <w:color w:val="auto"/>
                <w:szCs w:val="21"/>
                <w:lang w:val="en-US" w:eastAsia="zh-CN"/>
              </w:rPr>
              <w:t>10</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（一）评分内容：</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1、配备厢式货车1辆或以上的得</w:t>
            </w:r>
            <w:r>
              <w:rPr>
                <w:rFonts w:hint="eastAsia" w:ascii="宋体" w:hAnsi="宋体" w:eastAsia="宋体" w:cs="宋体"/>
                <w:bCs/>
                <w:color w:val="auto"/>
                <w:szCs w:val="21"/>
                <w:lang w:val="en-US" w:eastAsia="zh-CN"/>
              </w:rPr>
              <w:t>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2、</w:t>
            </w:r>
            <w:r>
              <w:rPr>
                <w:rFonts w:hint="eastAsia" w:ascii="宋体" w:hAnsi="宋体" w:eastAsia="宋体" w:cs="宋体"/>
                <w:bCs/>
                <w:color w:val="auto"/>
                <w:szCs w:val="21"/>
                <w:lang w:eastAsia="zh-CN"/>
              </w:rPr>
              <w:t>配备</w:t>
            </w:r>
            <w:r>
              <w:rPr>
                <w:rFonts w:hint="eastAsia" w:ascii="宋体" w:hAnsi="宋体" w:eastAsia="宋体" w:cs="宋体"/>
                <w:bCs/>
                <w:snapToGrid/>
                <w:color w:val="auto"/>
                <w:spacing w:val="0"/>
                <w:sz w:val="21"/>
                <w:szCs w:val="21"/>
              </w:rPr>
              <w:t>巡查车辆</w:t>
            </w:r>
            <w:r>
              <w:rPr>
                <w:rFonts w:hint="eastAsia" w:ascii="宋体" w:hAnsi="宋体" w:eastAsia="宋体" w:cs="宋体"/>
                <w:bCs/>
                <w:color w:val="auto"/>
                <w:szCs w:val="21"/>
              </w:rPr>
              <w:t>1辆或以上的得</w:t>
            </w:r>
            <w:r>
              <w:rPr>
                <w:rFonts w:hint="eastAsia" w:ascii="宋体" w:hAnsi="宋体" w:eastAsia="宋体" w:cs="宋体"/>
                <w:bCs/>
                <w:color w:val="auto"/>
                <w:szCs w:val="21"/>
                <w:lang w:val="en-US" w:eastAsia="zh-CN"/>
              </w:rPr>
              <w:t>12.5分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lang w:val="en-US" w:eastAsia="zh-CN"/>
              </w:rPr>
              <w:t>3、</w:t>
            </w:r>
            <w:r>
              <w:rPr>
                <w:rFonts w:hint="eastAsia" w:ascii="宋体" w:hAnsi="宋体" w:eastAsia="宋体" w:cs="宋体"/>
                <w:bCs/>
                <w:color w:val="auto"/>
                <w:szCs w:val="21"/>
              </w:rPr>
              <w:t>配备打草机或割草机</w:t>
            </w:r>
            <w:r>
              <w:rPr>
                <w:rFonts w:hint="eastAsia" w:ascii="宋体" w:hAnsi="宋体" w:eastAsia="宋体" w:cs="宋体"/>
                <w:bCs/>
                <w:color w:val="auto"/>
                <w:szCs w:val="21"/>
                <w:lang w:val="en-US" w:eastAsia="zh-CN"/>
              </w:rPr>
              <w:t>5</w:t>
            </w:r>
            <w:r>
              <w:rPr>
                <w:rFonts w:hint="eastAsia" w:ascii="宋体" w:hAnsi="宋体" w:eastAsia="宋体" w:cs="宋体"/>
                <w:bCs/>
                <w:color w:val="auto"/>
                <w:szCs w:val="21"/>
              </w:rPr>
              <w:t>台或以上的得</w:t>
            </w:r>
            <w:r>
              <w:rPr>
                <w:rFonts w:hint="eastAsia" w:ascii="宋体" w:hAnsi="宋体" w:eastAsia="宋体" w:cs="宋体"/>
                <w:bCs/>
                <w:color w:val="auto"/>
                <w:szCs w:val="21"/>
                <w:lang w:val="en-US" w:eastAsia="zh-CN"/>
              </w:rPr>
              <w:t>12.5分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4、配备高压喷雾器</w:t>
            </w:r>
            <w:r>
              <w:rPr>
                <w:rFonts w:hint="eastAsia" w:ascii="宋体" w:hAnsi="宋体" w:eastAsia="宋体" w:cs="宋体"/>
                <w:bCs/>
                <w:color w:val="auto"/>
                <w:szCs w:val="21"/>
                <w:lang w:val="en-US" w:eastAsia="zh-CN"/>
              </w:rPr>
              <w:t>5</w:t>
            </w:r>
            <w:r>
              <w:rPr>
                <w:rFonts w:hint="eastAsia" w:ascii="宋体" w:hAnsi="宋体" w:eastAsia="宋体" w:cs="宋体"/>
                <w:bCs/>
                <w:color w:val="auto"/>
                <w:szCs w:val="21"/>
              </w:rPr>
              <w:t>台或以上的，得</w:t>
            </w:r>
            <w:r>
              <w:rPr>
                <w:rFonts w:hint="eastAsia" w:ascii="宋体" w:hAnsi="宋体" w:eastAsia="宋体" w:cs="宋体"/>
                <w:bCs/>
                <w:color w:val="auto"/>
                <w:szCs w:val="21"/>
                <w:lang w:val="en-US" w:eastAsia="zh-CN"/>
              </w:rPr>
              <w:t>12.5分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lang w:val="en-US" w:eastAsia="zh-CN"/>
              </w:rPr>
              <w:t>5</w:t>
            </w:r>
            <w:r>
              <w:rPr>
                <w:rFonts w:hint="eastAsia" w:ascii="宋体" w:hAnsi="宋体" w:eastAsia="宋体" w:cs="宋体"/>
                <w:bCs/>
                <w:color w:val="auto"/>
                <w:szCs w:val="21"/>
              </w:rPr>
              <w:t>、配备无人机1台或以上得</w:t>
            </w:r>
            <w:r>
              <w:rPr>
                <w:rFonts w:hint="eastAsia" w:ascii="宋体" w:hAnsi="宋体" w:eastAsia="宋体" w:cs="宋体"/>
                <w:bCs/>
                <w:color w:val="auto"/>
                <w:szCs w:val="21"/>
                <w:lang w:val="en-US" w:eastAsia="zh-CN"/>
              </w:rPr>
              <w:t>12.5分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lang w:val="en-US" w:eastAsia="zh-CN"/>
              </w:rPr>
              <w:t>6</w:t>
            </w:r>
            <w:r>
              <w:rPr>
                <w:rFonts w:hint="eastAsia" w:ascii="宋体" w:hAnsi="宋体" w:eastAsia="宋体" w:cs="宋体"/>
                <w:bCs/>
                <w:color w:val="auto"/>
                <w:szCs w:val="21"/>
              </w:rPr>
              <w:t>、配备油锯</w:t>
            </w:r>
            <w:r>
              <w:rPr>
                <w:rFonts w:hint="eastAsia" w:ascii="宋体" w:hAnsi="宋体" w:eastAsia="宋体" w:cs="宋体"/>
                <w:bCs/>
                <w:color w:val="auto"/>
                <w:szCs w:val="21"/>
                <w:lang w:val="en-US" w:eastAsia="zh-CN"/>
              </w:rPr>
              <w:t>3</w:t>
            </w:r>
            <w:r>
              <w:rPr>
                <w:rFonts w:hint="eastAsia" w:ascii="宋体" w:hAnsi="宋体" w:eastAsia="宋体" w:cs="宋体"/>
                <w:bCs/>
                <w:color w:val="auto"/>
                <w:szCs w:val="21"/>
              </w:rPr>
              <w:t>台或以上的得</w:t>
            </w:r>
            <w:r>
              <w:rPr>
                <w:rFonts w:hint="eastAsia" w:ascii="宋体" w:hAnsi="宋体" w:eastAsia="宋体" w:cs="宋体"/>
                <w:bCs/>
                <w:color w:val="auto"/>
                <w:szCs w:val="21"/>
                <w:lang w:val="en-US" w:eastAsia="zh-CN"/>
              </w:rPr>
              <w:t>12.5分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lang w:val="en-US" w:eastAsia="zh-CN"/>
              </w:rPr>
              <w:t>7</w:t>
            </w:r>
            <w:r>
              <w:rPr>
                <w:rFonts w:hint="eastAsia" w:ascii="宋体" w:hAnsi="宋体" w:eastAsia="宋体" w:cs="宋体"/>
                <w:bCs/>
                <w:color w:val="auto"/>
                <w:szCs w:val="21"/>
              </w:rPr>
              <w:t>、配备</w:t>
            </w:r>
            <w:r>
              <w:rPr>
                <w:rFonts w:hint="eastAsia" w:ascii="宋体" w:hAnsi="宋体" w:eastAsia="宋体" w:cs="宋体"/>
                <w:bCs/>
                <w:snapToGrid/>
                <w:color w:val="auto"/>
                <w:spacing w:val="0"/>
                <w:sz w:val="21"/>
                <w:szCs w:val="21"/>
              </w:rPr>
              <w:t>打虫机</w:t>
            </w:r>
            <w:r>
              <w:rPr>
                <w:rFonts w:hint="eastAsia" w:ascii="宋体" w:hAnsi="宋体" w:eastAsia="宋体" w:cs="宋体"/>
                <w:bCs/>
                <w:snapToGrid/>
                <w:color w:val="auto"/>
                <w:spacing w:val="0"/>
                <w:sz w:val="21"/>
                <w:szCs w:val="21"/>
                <w:lang w:val="en-US" w:eastAsia="zh-CN"/>
              </w:rPr>
              <w:t>3</w:t>
            </w:r>
            <w:r>
              <w:rPr>
                <w:rFonts w:hint="eastAsia" w:ascii="宋体" w:hAnsi="宋体" w:eastAsia="宋体" w:cs="宋体"/>
                <w:bCs/>
                <w:color w:val="auto"/>
                <w:szCs w:val="21"/>
              </w:rPr>
              <w:t>台或以上的得</w:t>
            </w:r>
            <w:r>
              <w:rPr>
                <w:rFonts w:hint="eastAsia" w:ascii="宋体" w:hAnsi="宋体" w:eastAsia="宋体" w:cs="宋体"/>
                <w:bCs/>
                <w:color w:val="auto"/>
                <w:szCs w:val="21"/>
                <w:lang w:val="en-US" w:eastAsia="zh-CN"/>
              </w:rPr>
              <w:t>12.5分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以上</w:t>
            </w:r>
            <w:r>
              <w:rPr>
                <w:rFonts w:hint="eastAsia" w:ascii="宋体" w:hAnsi="宋体" w:eastAsia="宋体" w:cs="宋体"/>
                <w:bCs/>
                <w:color w:val="auto"/>
                <w:szCs w:val="21"/>
                <w:lang w:val="en-US" w:eastAsia="zh-CN"/>
              </w:rPr>
              <w:t>七</w:t>
            </w:r>
            <w:r>
              <w:rPr>
                <w:rFonts w:hint="eastAsia" w:ascii="宋体" w:hAnsi="宋体" w:eastAsia="宋体" w:cs="宋体"/>
                <w:bCs/>
                <w:color w:val="auto"/>
                <w:szCs w:val="21"/>
              </w:rPr>
              <w:t>项累计最高得</w:t>
            </w:r>
            <w:r>
              <w:rPr>
                <w:rFonts w:hint="eastAsia" w:ascii="宋体" w:hAnsi="宋体" w:eastAsia="宋体" w:cs="宋体"/>
                <w:bCs/>
                <w:color w:val="auto"/>
                <w:szCs w:val="21"/>
                <w:lang w:val="en-US" w:eastAsia="zh-CN"/>
              </w:rPr>
              <w:t>100分</w:t>
            </w:r>
            <w:r>
              <w:rPr>
                <w:rFonts w:hint="eastAsia" w:ascii="宋体" w:hAnsi="宋体" w:eastAsia="宋体" w:cs="宋体"/>
                <w:bCs/>
                <w:color w:val="auto"/>
                <w:szCs w:val="21"/>
              </w:rPr>
              <w:t>。</w:t>
            </w:r>
          </w:p>
          <w:p>
            <w:pPr>
              <w:tabs>
                <w:tab w:val="left" w:pos="175"/>
              </w:tabs>
              <w:spacing w:line="360" w:lineRule="exact"/>
              <w:ind w:left="33"/>
              <w:jc w:val="left"/>
              <w:rPr>
                <w:rFonts w:hint="eastAsia" w:ascii="宋体" w:hAnsi="宋体" w:eastAsia="宋体" w:cs="宋体"/>
                <w:bCs/>
                <w:color w:val="auto"/>
                <w:szCs w:val="21"/>
              </w:rPr>
            </w:pPr>
            <w:r>
              <w:rPr>
                <w:rFonts w:hint="eastAsia" w:ascii="宋体" w:hAnsi="宋体" w:eastAsia="宋体" w:cs="宋体"/>
                <w:bCs/>
                <w:color w:val="auto"/>
                <w:szCs w:val="21"/>
              </w:rPr>
              <w:t>（二）评分依据：</w:t>
            </w:r>
          </w:p>
          <w:p>
            <w:pPr>
              <w:spacing w:line="32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1、提供检验有效期内的车辆行驶证扫描件（含行驶证上的车辆照片页及检验记录页）：</w:t>
            </w:r>
          </w:p>
          <w:p>
            <w:pPr>
              <w:spacing w:line="32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①</w:t>
            </w:r>
            <w:r>
              <w:rPr>
                <w:rFonts w:hint="eastAsia" w:ascii="宋体" w:hAnsi="宋体" w:eastAsia="宋体" w:cs="宋体"/>
                <w:b w:val="0"/>
                <w:bCs/>
                <w:color w:val="auto"/>
                <w:szCs w:val="21"/>
                <w:highlight w:val="none"/>
              </w:rPr>
              <w:t>如为自有的</w:t>
            </w:r>
            <w:r>
              <w:rPr>
                <w:rFonts w:hint="eastAsia" w:ascii="宋体" w:hAnsi="宋体" w:eastAsia="宋体" w:cs="宋体"/>
                <w:bCs/>
                <w:color w:val="auto"/>
                <w:szCs w:val="21"/>
                <w:highlight w:val="none"/>
              </w:rPr>
              <w:t>，行驶证登记的所有人必须为投标人；</w:t>
            </w:r>
          </w:p>
          <w:p>
            <w:pPr>
              <w:spacing w:line="32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②</w:t>
            </w:r>
            <w:r>
              <w:rPr>
                <w:rFonts w:hint="eastAsia" w:ascii="宋体" w:hAnsi="宋体" w:eastAsia="宋体" w:cs="宋体"/>
                <w:b w:val="0"/>
                <w:bCs/>
                <w:color w:val="auto"/>
                <w:szCs w:val="21"/>
                <w:highlight w:val="none"/>
              </w:rPr>
              <w:t>如为租赁的</w:t>
            </w:r>
            <w:r>
              <w:rPr>
                <w:rFonts w:hint="eastAsia" w:ascii="宋体" w:hAnsi="宋体" w:eastAsia="宋体" w:cs="宋体"/>
                <w:bCs/>
                <w:color w:val="auto"/>
                <w:szCs w:val="21"/>
                <w:highlight w:val="none"/>
              </w:rPr>
              <w:t>，</w:t>
            </w:r>
            <w:r>
              <w:rPr>
                <w:rFonts w:hint="eastAsia" w:ascii="宋体" w:hAnsi="宋体" w:eastAsia="宋体" w:cs="宋体"/>
                <w:b w:val="0"/>
                <w:bCs/>
                <w:color w:val="auto"/>
                <w:szCs w:val="21"/>
                <w:highlight w:val="none"/>
              </w:rPr>
              <w:t>须同时</w:t>
            </w:r>
            <w:r>
              <w:rPr>
                <w:rFonts w:hint="eastAsia" w:ascii="宋体" w:hAnsi="宋体" w:eastAsia="宋体" w:cs="宋体"/>
                <w:bCs/>
                <w:color w:val="auto"/>
                <w:szCs w:val="21"/>
                <w:highlight w:val="none"/>
              </w:rPr>
              <w:t>提供租赁合同扫描件，且行驶证登记的所有人必须与合同中的出租人一致，承租人必须为投标人，租赁合同需体现车牌号且与行驶证的车牌号一致；</w:t>
            </w:r>
          </w:p>
          <w:p>
            <w:pPr>
              <w:tabs>
                <w:tab w:val="left" w:pos="175"/>
              </w:tabs>
              <w:spacing w:line="360" w:lineRule="exact"/>
              <w:ind w:left="33" w:leftChars="0"/>
              <w:jc w:val="left"/>
              <w:rPr>
                <w:rFonts w:ascii="宋体" w:hAnsi="宋体" w:cs="宋体"/>
                <w:szCs w:val="21"/>
              </w:rPr>
            </w:pP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jc w:val="center"/>
              <w:rPr>
                <w:rFonts w:ascii="宋体" w:hAnsi="宋体" w:cs="宋体"/>
                <w:szCs w:val="21"/>
              </w:rPr>
            </w:pPr>
            <w:r>
              <w:rPr>
                <w:rFonts w:hint="eastAsia" w:ascii="宋体" w:hAnsi="宋体" w:eastAsia="宋体" w:cs="宋体"/>
                <w:bCs/>
                <w:sz w:val="21"/>
                <w:szCs w:val="21"/>
              </w:rPr>
              <w:t>投标人获奖情况</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jc w:val="center"/>
              <w:rPr>
                <w:rFonts w:ascii="宋体" w:hAnsi="宋体" w:cs="宋体"/>
                <w:szCs w:val="21"/>
              </w:rPr>
            </w:pPr>
            <w:r>
              <w:rPr>
                <w:rFonts w:hint="eastAsia" w:ascii="宋体" w:hAnsi="宋体" w:eastAsia="宋体" w:cs="宋体"/>
                <w:bCs/>
                <w:sz w:val="21"/>
                <w:szCs w:val="21"/>
                <w:lang w:val="en-US" w:eastAsia="zh-CN"/>
              </w:rPr>
              <w:t>2</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tabs>
                <w:tab w:val="left" w:pos="175"/>
              </w:tabs>
              <w:spacing w:line="360" w:lineRule="exact"/>
              <w:ind w:left="33" w:left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（一）评分内容：</w:t>
            </w:r>
          </w:p>
          <w:p>
            <w:pPr>
              <w:tabs>
                <w:tab w:val="left" w:pos="175"/>
              </w:tabs>
              <w:spacing w:line="360" w:lineRule="exact"/>
              <w:ind w:left="33" w:leftChars="0"/>
              <w:jc w:val="left"/>
              <w:rPr>
                <w:rFonts w:hint="default"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eastAsia="zh-CN"/>
              </w:rPr>
              <w:t>投标人具有国家机关或事业单位颁发的</w:t>
            </w:r>
            <w:r>
              <w:rPr>
                <w:rFonts w:hint="eastAsia" w:ascii="宋体" w:hAnsi="宋体" w:eastAsia="宋体" w:cs="宋体"/>
                <w:bCs/>
                <w:color w:val="auto"/>
                <w:sz w:val="21"/>
                <w:szCs w:val="21"/>
                <w:highlight w:val="none"/>
              </w:rPr>
              <w:t>森林抚育或植树造林或绿化养护领域内相关奖项</w:t>
            </w:r>
            <w:r>
              <w:rPr>
                <w:rFonts w:hint="eastAsia" w:ascii="宋体" w:hAnsi="宋体" w:eastAsia="宋体" w:cs="宋体"/>
                <w:bCs/>
                <w:color w:val="auto"/>
                <w:sz w:val="21"/>
                <w:szCs w:val="21"/>
                <w:highlight w:val="none"/>
                <w:lang w:eastAsia="zh-CN"/>
              </w:rPr>
              <w:t>的，每提供一个</w:t>
            </w:r>
            <w:r>
              <w:rPr>
                <w:rFonts w:hint="eastAsia" w:ascii="宋体" w:hAnsi="宋体" w:eastAsia="宋体" w:cs="宋体"/>
                <w:bCs/>
                <w:color w:val="auto"/>
                <w:sz w:val="21"/>
                <w:szCs w:val="21"/>
                <w:highlight w:val="none"/>
              </w:rPr>
              <w:t>区（县）级</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或以上的</w:t>
            </w:r>
            <w:r>
              <w:rPr>
                <w:rFonts w:hint="eastAsia" w:ascii="宋体" w:hAnsi="宋体" w:eastAsia="宋体" w:cs="宋体"/>
                <w:bCs/>
                <w:color w:val="auto"/>
                <w:sz w:val="21"/>
                <w:szCs w:val="21"/>
                <w:highlight w:val="none"/>
                <w:lang w:eastAsia="zh-CN"/>
              </w:rPr>
              <w:t>）得</w:t>
            </w:r>
            <w:r>
              <w:rPr>
                <w:rFonts w:hint="eastAsia" w:ascii="宋体" w:hAnsi="宋体" w:eastAsia="宋体" w:cs="宋体"/>
                <w:bCs/>
                <w:color w:val="auto"/>
                <w:sz w:val="21"/>
                <w:szCs w:val="21"/>
                <w:highlight w:val="none"/>
                <w:lang w:val="en-US" w:eastAsia="zh-CN"/>
              </w:rPr>
              <w:t>34分，最高</w:t>
            </w:r>
            <w:r>
              <w:rPr>
                <w:rFonts w:hint="eastAsia" w:ascii="宋体" w:hAnsi="宋体" w:eastAsia="宋体" w:cs="宋体"/>
                <w:bCs/>
                <w:color w:val="auto"/>
                <w:sz w:val="21"/>
                <w:szCs w:val="21"/>
                <w:highlight w:val="none"/>
                <w:lang w:eastAsia="zh-CN"/>
              </w:rPr>
              <w:t>得</w:t>
            </w:r>
            <w:r>
              <w:rPr>
                <w:rFonts w:hint="eastAsia" w:ascii="宋体" w:hAnsi="宋体" w:eastAsia="宋体" w:cs="宋体"/>
                <w:bCs/>
                <w:color w:val="auto"/>
                <w:sz w:val="21"/>
                <w:szCs w:val="21"/>
                <w:highlight w:val="none"/>
                <w:lang w:val="en-US" w:eastAsia="zh-CN"/>
              </w:rPr>
              <w:t>100分。</w:t>
            </w:r>
          </w:p>
          <w:p>
            <w:pPr>
              <w:tabs>
                <w:tab w:val="left" w:pos="175"/>
              </w:tabs>
              <w:spacing w:line="360" w:lineRule="exact"/>
              <w:ind w:left="33" w:left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（二）评分依据：</w:t>
            </w:r>
          </w:p>
          <w:p>
            <w:pPr>
              <w:tabs>
                <w:tab w:val="left" w:pos="175"/>
              </w:tabs>
              <w:spacing w:line="360" w:lineRule="exact"/>
              <w:ind w:left="33" w:leftChars="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1.提供相关荣誉证明材料扫描件（须能体现投标人信息）。</w:t>
            </w:r>
          </w:p>
          <w:p>
            <w:pPr>
              <w:tabs>
                <w:tab w:val="left" w:pos="175"/>
              </w:tabs>
              <w:spacing w:line="360" w:lineRule="exact"/>
              <w:ind w:left="33" w:leftChars="0"/>
              <w:jc w:val="left"/>
              <w:rPr>
                <w:rFonts w:ascii="宋体" w:hAnsi="宋体" w:cs="宋体"/>
                <w:szCs w:val="21"/>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4</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ascii="宋体" w:hAnsi="宋体" w:cs="宋体"/>
                <w:b/>
                <w:bCs/>
                <w:color w:val="0000FF"/>
                <w:sz w:val="24"/>
              </w:rPr>
            </w:pPr>
            <w:r>
              <w:rPr>
                <w:b/>
                <w:bCs/>
                <w:color w:val="0000FF"/>
              </w:rPr>
              <w:t>诚信情况</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jc w:val="center"/>
              <w:rPr>
                <w:rFonts w:hint="eastAsia" w:ascii="宋体" w:hAnsi="宋体" w:cs="宋体" w:eastAsiaTheme="minorEastAsia"/>
                <w:b/>
                <w:bCs/>
                <w:color w:val="0000FF"/>
                <w:sz w:val="24"/>
                <w:lang w:eastAsia="zh-CN"/>
              </w:rPr>
            </w:pPr>
            <w:r>
              <w:rPr>
                <w:rFonts w:hint="eastAsia"/>
                <w:b/>
                <w:bCs/>
                <w:color w:val="0000FF"/>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8392"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权重(%)</w:t>
            </w:r>
          </w:p>
        </w:tc>
        <w:tc>
          <w:tcPr>
            <w:tcW w:w="4196" w:type="dxa"/>
            <w:gridSpan w:val="2"/>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20" w:type="dxa"/>
            <w:left w:w="108" w:type="dxa"/>
            <w:bottom w:w="20" w:type="dxa"/>
            <w:right w:w="108" w:type="dxa"/>
          </w:tblCellMar>
        </w:tblPrEx>
        <w:trPr>
          <w:gridAfter w:val="1"/>
          <w:wAfter w:w="104" w:type="dxa"/>
          <w:tblCellSpacing w:w="0" w:type="dxa"/>
          <w:jc w:val="center"/>
        </w:trPr>
        <w:tc>
          <w:tcPr>
            <w:tcW w:w="680"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ascii="宋体" w:hAnsi="宋体" w:cs="宋体"/>
                <w:szCs w:val="21"/>
              </w:rPr>
            </w:pPr>
            <w:r>
              <w:rPr>
                <w:szCs w:val="21"/>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jc w:val="center"/>
              <w:rPr>
                <w:rFonts w:ascii="宋体" w:hAnsi="宋体" w:cs="宋体"/>
                <w:szCs w:val="21"/>
              </w:rPr>
            </w:pPr>
            <w:r>
              <w:rPr>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wordWrap w:val="0"/>
              <w:jc w:val="center"/>
              <w:textAlignment w:val="top"/>
              <w:rPr>
                <w:rFonts w:ascii="宋体" w:hAnsi="宋体" w:cs="宋体"/>
                <w:szCs w:val="21"/>
              </w:rPr>
            </w:pPr>
            <w:r>
              <w:rPr>
                <w:rFonts w:hint="eastAsia"/>
              </w:rPr>
              <w:t>5</w:t>
            </w:r>
          </w:p>
        </w:tc>
        <w:tc>
          <w:tcPr>
            <w:tcW w:w="4196" w:type="dxa"/>
            <w:gridSpan w:val="2"/>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pPr>
        <w:rPr>
          <w:rFonts w:ascii="宋体" w:hAnsi="宋体"/>
          <w:sz w:val="24"/>
        </w:rPr>
      </w:pPr>
    </w:p>
    <w:p>
      <w:pPr>
        <w:jc w:val="center"/>
        <w:rPr>
          <w:rFonts w:hint="eastAsia"/>
          <w:b/>
          <w:sz w:val="120"/>
          <w:szCs w:val="120"/>
        </w:rPr>
      </w:pPr>
    </w:p>
    <w:p>
      <w:pPr>
        <w:jc w:val="center"/>
        <w:rPr>
          <w:rFonts w:hint="eastAsia"/>
          <w:b/>
          <w:sz w:val="120"/>
          <w:szCs w:val="120"/>
        </w:rPr>
      </w:pPr>
    </w:p>
    <w:p>
      <w:pPr>
        <w:jc w:val="center"/>
        <w:rPr>
          <w:rFonts w:hint="eastAsia"/>
          <w:b/>
          <w:sz w:val="120"/>
          <w:szCs w:val="120"/>
        </w:rPr>
      </w:pPr>
    </w:p>
    <w:p>
      <w:pPr>
        <w:jc w:val="center"/>
        <w:rPr>
          <w:b/>
          <w:sz w:val="120"/>
          <w:szCs w:val="120"/>
        </w:rPr>
      </w:pPr>
      <w:r>
        <w:rPr>
          <w:rFonts w:hint="eastAsia"/>
          <w:b/>
          <w:sz w:val="120"/>
          <w:szCs w:val="120"/>
          <w:lang w:val="en-US" w:eastAsia="zh-CN"/>
        </w:rPr>
        <w:t>自行</w:t>
      </w:r>
      <w:r>
        <w:rPr>
          <w:rFonts w:hint="eastAsia"/>
          <w:b/>
          <w:sz w:val="120"/>
          <w:szCs w:val="120"/>
        </w:rPr>
        <w:t>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0"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pPr>
        <w:ind w:firstLine="420" w:firstLineChars="200"/>
        <w:rPr>
          <w:rFonts w:hint="eastAsia"/>
        </w:rPr>
      </w:pPr>
      <w:r>
        <w:rPr>
          <w:rFonts w:hint="eastAsia"/>
        </w:rPr>
        <w:br w:type="page"/>
      </w:r>
    </w:p>
    <w:p>
      <w:pPr>
        <w:pStyle w:val="4"/>
        <w:jc w:val="center"/>
      </w:pPr>
      <w:r>
        <w:rPr>
          <w:rFonts w:hint="eastAsia"/>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outlineLvl w:val="0"/>
        <w:rPr>
          <w:b/>
          <w:sz w:val="24"/>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4"/>
        <w:jc w:val="center"/>
        <w:rPr>
          <w:sz w:val="24"/>
        </w:rPr>
      </w:pPr>
      <w:r>
        <w:br w:type="page"/>
      </w:r>
      <w:bookmarkStart w:id="2" w:name="bt项目管理班子配备情况"/>
      <w:bookmarkEnd w:id="2"/>
      <w:bookmarkStart w:id="3" w:name="合同格式"/>
      <w:bookmarkEnd w:id="3"/>
      <w:bookmarkStart w:id="4" w:name="bt投标人须知"/>
      <w:bookmarkEnd w:id="4"/>
      <w:bookmarkStart w:id="5" w:name="bt合同格式"/>
      <w:bookmarkEnd w:id="5"/>
      <w:bookmarkStart w:id="6" w:name="bt合同条款"/>
      <w:bookmarkEnd w:id="6"/>
      <w:bookmarkStart w:id="7" w:name="bt本工程承诺书"/>
      <w:bookmarkEnd w:id="7"/>
      <w:bookmarkStart w:id="8" w:name="bt投标函"/>
      <w:bookmarkEnd w:id="8"/>
      <w:bookmarkStart w:id="9" w:name="bt商务标投标文件格式"/>
      <w:bookmarkEnd w:id="9"/>
      <w:bookmarkStart w:id="10" w:name="bt其他资料2"/>
      <w:bookmarkEnd w:id="10"/>
      <w:bookmarkStart w:id="11" w:name="bt说明"/>
      <w:bookmarkEnd w:id="11"/>
      <w:bookmarkStart w:id="12" w:name="bt合同条款及格式"/>
      <w:bookmarkEnd w:id="12"/>
      <w:bookmarkStart w:id="13" w:name="bt开标一览表"/>
      <w:bookmarkEnd w:id="13"/>
      <w:bookmarkStart w:id="14" w:name="bt其他资料由投标人自定"/>
      <w:bookmarkEnd w:id="14"/>
      <w:bookmarkStart w:id="15" w:name="bt技术标投标文件格式"/>
      <w:bookmarkEnd w:id="15"/>
      <w:bookmarkStart w:id="16" w:name="bt投标人情况介绍"/>
      <w:bookmarkEnd w:id="16"/>
      <w:bookmarkStart w:id="17" w:name="bt投标报价汇总表"/>
      <w:bookmarkEnd w:id="17"/>
      <w:bookmarkStart w:id="18" w:name="bt投标文件签署授权委托书"/>
      <w:bookmarkEnd w:id="18"/>
      <w:r>
        <w:rPr>
          <w:rFonts w:hint="eastAsia"/>
        </w:rPr>
        <w:t>第一册</w:t>
      </w:r>
      <w:r>
        <w:rPr>
          <w:rFonts w:hint="eastAsia"/>
          <w:lang w:val="en-US" w:eastAsia="zh-CN"/>
        </w:rPr>
        <w:t xml:space="preserve">  </w:t>
      </w:r>
      <w:r>
        <w:rPr>
          <w:rFonts w:hint="eastAsia"/>
        </w:rPr>
        <w:t>专用条款</w:t>
      </w:r>
    </w:p>
    <w:p>
      <w:pPr>
        <w:pStyle w:val="7"/>
        <w:jc w:val="center"/>
        <w:rPr>
          <w:rFonts w:hint="eastAsia"/>
          <w:sz w:val="28"/>
          <w:szCs w:val="28"/>
        </w:rPr>
      </w:pPr>
      <w:r>
        <w:rPr>
          <w:rFonts w:hint="eastAsia"/>
          <w:sz w:val="28"/>
          <w:szCs w:val="28"/>
        </w:rPr>
        <w:t>第一章  招标公告</w:t>
      </w:r>
    </w:p>
    <w:tbl>
      <w:tblPr>
        <w:tblStyle w:val="18"/>
        <w:tblW w:w="8147" w:type="dxa"/>
        <w:jc w:val="center"/>
        <w:tblCellSpacing w:w="0" w:type="dxa"/>
        <w:tblLayout w:type="fixed"/>
        <w:tblCellMar>
          <w:top w:w="0" w:type="dxa"/>
          <w:left w:w="0" w:type="dxa"/>
          <w:bottom w:w="0" w:type="dxa"/>
          <w:right w:w="0" w:type="dxa"/>
        </w:tblCellMar>
      </w:tblPr>
      <w:tblGrid>
        <w:gridCol w:w="8147"/>
      </w:tblGrid>
      <w:tr>
        <w:tblPrEx>
          <w:tblCellMar>
            <w:top w:w="0" w:type="dxa"/>
            <w:left w:w="0" w:type="dxa"/>
            <w:bottom w:w="0" w:type="dxa"/>
            <w:right w:w="0" w:type="dxa"/>
          </w:tblCellMar>
        </w:tblPrEx>
        <w:trPr>
          <w:tblCellSpacing w:w="0" w:type="dxa"/>
          <w:jc w:val="center"/>
        </w:trPr>
        <w:tc>
          <w:tcPr>
            <w:tcW w:w="8147" w:type="dxa"/>
            <w:vAlign w:val="center"/>
          </w:tcPr>
          <w:tbl>
            <w:tblPr>
              <w:tblStyle w:val="18"/>
              <w:tblW w:w="8147" w:type="dxa"/>
              <w:jc w:val="center"/>
              <w:tblCellSpacing w:w="0" w:type="dxa"/>
              <w:tblLayout w:type="fixed"/>
              <w:tblCellMar>
                <w:top w:w="30" w:type="dxa"/>
                <w:left w:w="30" w:type="dxa"/>
                <w:bottom w:w="30" w:type="dxa"/>
                <w:right w:w="30" w:type="dxa"/>
              </w:tblCellMar>
            </w:tblPr>
            <w:tblGrid>
              <w:gridCol w:w="8147"/>
            </w:tblGrid>
            <w:tr>
              <w:trPr>
                <w:tblCellSpacing w:w="0" w:type="dxa"/>
                <w:jc w:val="center"/>
              </w:trPr>
              <w:tc>
                <w:tcPr>
                  <w:tcW w:w="8147" w:type="dxa"/>
                </w:tcPr>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w:t>
                  </w:r>
                  <w:r>
                    <w:rPr>
                      <w:rFonts w:hint="eastAsia" w:ascii="宋体" w:hAnsi="宋体" w:cs="宋体"/>
                      <w:kern w:val="0"/>
                      <w:szCs w:val="21"/>
                      <w:lang w:val="en-US" w:eastAsia="zh-CN"/>
                    </w:rPr>
                    <w:t>本项目的承接服务商为</w:t>
                  </w:r>
                  <w:r>
                    <w:rPr>
                      <w:rFonts w:hint="eastAsia" w:ascii="宋体" w:hAnsi="宋体" w:cs="宋体"/>
                      <w:kern w:val="0"/>
                      <w:szCs w:val="21"/>
                    </w:rPr>
                    <w:t>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未提供声明函或声明函不符合“填写指引”的，按资格审查不通过处理</w:t>
                  </w:r>
                  <w:r>
                    <w:rPr>
                      <w:rFonts w:hint="eastAsia" w:ascii="宋体" w:hAnsi="宋体" w:cs="宋体"/>
                      <w:kern w:val="0"/>
                      <w:szCs w:val="21"/>
                    </w:rPr>
                    <w:t>）</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pPr>
              <w:rPr>
                <w:rFonts w:ascii="宋体" w:hAnsi="宋体" w:cs="宋体"/>
                <w:sz w:val="24"/>
              </w:rPr>
            </w:pPr>
          </w:p>
        </w:tc>
      </w:tr>
    </w:tbl>
    <w:p>
      <w:r>
        <w:rPr>
          <w:rFonts w:hint="eastAsia"/>
        </w:rPr>
        <w:br w:type="page"/>
      </w:r>
    </w:p>
    <w:p>
      <w:pPr>
        <w:pStyle w:val="7"/>
        <w:jc w:val="center"/>
        <w:rPr>
          <w:sz w:val="28"/>
          <w:szCs w:val="28"/>
        </w:rPr>
      </w:pPr>
      <w:r>
        <w:rPr>
          <w:rFonts w:hint="eastAsia"/>
          <w:sz w:val="28"/>
          <w:szCs w:val="28"/>
        </w:rPr>
        <w:t>第二章 对通用条款的补充内容及其他关键信息</w:t>
      </w:r>
    </w:p>
    <w:p>
      <w:pPr>
        <w:pStyle w:val="7"/>
        <w:spacing w:before="120" w:beforeLines="50" w:after="120" w:afterLines="50"/>
        <w:jc w:val="center"/>
        <w:rPr>
          <w:sz w:val="28"/>
          <w:szCs w:val="28"/>
        </w:rPr>
      </w:pPr>
      <w:bookmarkStart w:id="19" w:name="_Toc60631620"/>
      <w:bookmarkStart w:id="20" w:name="_Toc60560625"/>
      <w:bookmarkStart w:id="21" w:name="_Toc100052364"/>
      <w:bookmarkStart w:id="22" w:name="_Toc101074876"/>
      <w:bookmarkStart w:id="23" w:name="_Toc73517639"/>
      <w:bookmarkStart w:id="24" w:name="_Toc73521635"/>
      <w:bookmarkStart w:id="25" w:name="_Toc73521547"/>
      <w:bookmarkStart w:id="26" w:name="_Toc73518117"/>
      <w:r>
        <w:rPr>
          <w:rFonts w:hint="eastAsia"/>
          <w:szCs w:val="24"/>
        </w:rPr>
        <w:t>一、对通用条款的补充内容</w:t>
      </w:r>
    </w:p>
    <w:bookmarkEnd w:id="19"/>
    <w:bookmarkEnd w:id="20"/>
    <w:bookmarkEnd w:id="21"/>
    <w:bookmarkEnd w:id="22"/>
    <w:bookmarkEnd w:id="23"/>
    <w:bookmarkEnd w:id="24"/>
    <w:bookmarkEnd w:id="25"/>
    <w:bookmarkEnd w:id="26"/>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rPr>
              <w:t>深圳市宝安区石岩街道</w:t>
            </w:r>
            <w:r>
              <w:rPr>
                <w:rFonts w:hint="eastAsia" w:ascii="宋体" w:hAnsi="宋体"/>
                <w:lang w:val="en" w:eastAsia="zh-CN"/>
              </w:rPr>
              <w:t>办事处</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bl>
    <w:p>
      <w:pPr>
        <w:rPr>
          <w:b/>
        </w:rPr>
      </w:pPr>
      <w:r>
        <w:rPr>
          <w:rFonts w:hint="eastAsia"/>
          <w:szCs w:val="21"/>
        </w:rPr>
        <w:t>备注：本表是通用条款相关条款的补充和明确，如与通用条款内容相冲突的，以本表为准。</w:t>
      </w:r>
    </w:p>
    <w:p>
      <w:pPr>
        <w:rPr>
          <w:b/>
        </w:rPr>
      </w:pPr>
    </w:p>
    <w:p>
      <w:pPr>
        <w:pStyle w:val="7"/>
        <w:spacing w:before="120" w:beforeLines="50" w:after="120" w:afterLines="50"/>
        <w:jc w:val="center"/>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hint="default" w:eastAsia="宋体"/>
                <w:lang w:val="en-US" w:eastAsia="zh-CN"/>
              </w:rPr>
            </w:pPr>
            <w:r>
              <w:rPr>
                <w:rFonts w:hint="eastAsia"/>
              </w:rPr>
              <w:sym w:font="Wingdings" w:char="00FE"/>
            </w:r>
            <w:r>
              <w:rPr>
                <w:rFonts w:hint="eastAsia"/>
              </w:rPr>
              <w:t>综合评分法</w:t>
            </w:r>
          </w:p>
        </w:tc>
        <w:tc>
          <w:tcPr>
            <w:tcW w:w="2450" w:type="dxa"/>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hint="default" w:eastAsia="宋体"/>
                <w:lang w:val="en-US" w:eastAsia="zh-CN"/>
              </w:rPr>
            </w:pPr>
            <w:r>
              <w:rPr>
                <w:rFonts w:hint="eastAsia"/>
              </w:rPr>
              <w:t>1</w:t>
            </w:r>
          </w:p>
        </w:tc>
        <w:tc>
          <w:tcPr>
            <w:tcW w:w="2450" w:type="dxa"/>
          </w:tcPr>
          <w:p>
            <w:pPr>
              <w:jc w:val="center"/>
              <w:rPr>
                <w:rFonts w:hint="eastAsia" w:eastAsia="宋体"/>
                <w:lang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rPr>
                <w:rFonts w:hint="eastAsia"/>
              </w:rPr>
            </w:pPr>
            <w:r>
              <w:rPr>
                <w:rFonts w:hint="eastAsia"/>
              </w:rPr>
              <w:t>1</w:t>
            </w:r>
          </w:p>
        </w:tc>
      </w:tr>
    </w:tbl>
    <w:p>
      <w:pPr>
        <w:pStyle w:val="3"/>
      </w:pPr>
    </w:p>
    <w:bookmarkEnd w:id="28"/>
    <w:p>
      <w:pPr>
        <w:ind w:firstLine="422" w:firstLineChars="200"/>
        <w:rPr>
          <w:rFonts w:hint="eastAsia"/>
          <w:b/>
        </w:rPr>
      </w:pPr>
      <w:r>
        <w:rPr>
          <w:rFonts w:hint="eastAsia"/>
          <w:b/>
        </w:rPr>
        <w:t>（二）其他事项</w:t>
      </w:r>
    </w:p>
    <w:p>
      <w:pPr>
        <w:ind w:firstLine="422" w:firstLineChars="200"/>
      </w:pPr>
      <w:r>
        <w:rPr>
          <w:b/>
          <w:bCs/>
        </w:rPr>
        <w:t>1</w:t>
      </w:r>
      <w:r>
        <w:rPr>
          <w:rFonts w:hint="eastAsia"/>
          <w:b/>
          <w:bCs/>
        </w:rPr>
        <w:t>、关于享受优惠政策的主体及价格扣除比例</w:t>
      </w:r>
    </w:p>
    <w:p>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pPr>
        <w:numPr>
          <w:ilvl w:val="0"/>
          <w:numId w:val="1"/>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numPr>
          <w:ilvl w:val="0"/>
          <w:numId w:val="1"/>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pPr>
        <w:numPr>
          <w:ilvl w:val="0"/>
          <w:numId w:val="1"/>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pPr>
        <w:pStyle w:val="7"/>
        <w:jc w:val="center"/>
        <w:rPr>
          <w:sz w:val="28"/>
          <w:szCs w:val="28"/>
        </w:rPr>
      </w:pPr>
      <w:bookmarkStart w:id="29" w:name="_Toc128884461"/>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pPr w:leftFromText="180" w:rightFromText="180" w:vertAnchor="text" w:horzAnchor="margin" w:tblpY="1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2727"/>
        <w:gridCol w:w="3044"/>
        <w:gridCol w:w="2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66" w:type="pct"/>
            <w:vAlign w:val="center"/>
          </w:tcPr>
          <w:p>
            <w:pPr>
              <w:jc w:val="center"/>
              <w:rPr>
                <w:bCs/>
                <w:szCs w:val="21"/>
              </w:rPr>
            </w:pPr>
            <w:r>
              <w:rPr>
                <w:rFonts w:hint="eastAsia"/>
                <w:bCs/>
                <w:szCs w:val="21"/>
              </w:rPr>
              <w:t>序号</w:t>
            </w:r>
          </w:p>
        </w:tc>
        <w:tc>
          <w:tcPr>
            <w:tcW w:w="1599" w:type="pct"/>
            <w:vAlign w:val="center"/>
          </w:tcPr>
          <w:p>
            <w:pPr>
              <w:jc w:val="center"/>
              <w:rPr>
                <w:bCs/>
                <w:szCs w:val="21"/>
              </w:rPr>
            </w:pPr>
            <w:r>
              <w:rPr>
                <w:rFonts w:hint="eastAsia"/>
                <w:szCs w:val="21"/>
              </w:rPr>
              <w:t>采购计划编号</w:t>
            </w:r>
          </w:p>
        </w:tc>
        <w:tc>
          <w:tcPr>
            <w:tcW w:w="1784" w:type="pct"/>
            <w:vAlign w:val="center"/>
          </w:tcPr>
          <w:p>
            <w:pPr>
              <w:jc w:val="center"/>
              <w:rPr>
                <w:bCs/>
                <w:szCs w:val="21"/>
              </w:rPr>
            </w:pPr>
            <w:r>
              <w:rPr>
                <w:rFonts w:hint="eastAsia"/>
                <w:bCs/>
                <w:szCs w:val="21"/>
              </w:rPr>
              <w:t>采购项目名称</w:t>
            </w:r>
          </w:p>
        </w:tc>
        <w:tc>
          <w:tcPr>
            <w:tcW w:w="1349" w:type="pct"/>
            <w:vAlign w:val="center"/>
          </w:tcPr>
          <w:p>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pPr>
              <w:jc w:val="center"/>
              <w:rPr>
                <w:b/>
                <w:bCs/>
                <w:color w:val="FF0000"/>
                <w:szCs w:val="21"/>
              </w:rPr>
            </w:pPr>
            <w:r>
              <w:rPr>
                <w:rFonts w:hint="eastAsia"/>
                <w:b/>
                <w:bCs/>
                <w:color w:val="FF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266" w:type="pct"/>
            <w:vAlign w:val="center"/>
          </w:tcPr>
          <w:p>
            <w:pPr>
              <w:jc w:val="center"/>
              <w:rPr>
                <w:bCs/>
                <w:color w:val="FF0000"/>
                <w:szCs w:val="21"/>
              </w:rPr>
            </w:pPr>
            <w:r>
              <w:rPr>
                <w:rFonts w:hint="eastAsia"/>
                <w:bCs/>
                <w:color w:val="FF0000"/>
                <w:szCs w:val="21"/>
              </w:rPr>
              <w:t>1</w:t>
            </w:r>
          </w:p>
        </w:tc>
        <w:tc>
          <w:tcPr>
            <w:tcW w:w="1599" w:type="pct"/>
            <w:vAlign w:val="center"/>
          </w:tcPr>
          <w:p>
            <w:pPr>
              <w:jc w:val="center"/>
              <w:rPr>
                <w:rFonts w:hint="eastAsia" w:eastAsiaTheme="minorEastAsia"/>
                <w:bCs/>
                <w:color w:val="FF0000"/>
                <w:szCs w:val="21"/>
                <w:lang w:eastAsia="zh-CN"/>
              </w:rPr>
            </w:pPr>
            <w:r>
              <w:rPr>
                <w:rFonts w:hint="eastAsia"/>
                <w:bCs/>
                <w:color w:val="FF0000"/>
                <w:szCs w:val="21"/>
                <w:lang w:val="en-US" w:eastAsia="zh-CN"/>
              </w:rPr>
              <w:t>/</w:t>
            </w:r>
          </w:p>
        </w:tc>
        <w:tc>
          <w:tcPr>
            <w:tcW w:w="1784" w:type="pct"/>
            <w:vAlign w:val="center"/>
          </w:tcPr>
          <w:p>
            <w:pPr>
              <w:jc w:val="center"/>
              <w:rPr>
                <w:b/>
                <w:bCs/>
                <w:color w:val="FF0000"/>
                <w:szCs w:val="21"/>
              </w:rPr>
            </w:pPr>
            <w:r>
              <w:rPr>
                <w:rFonts w:hint="eastAsia"/>
                <w:b/>
                <w:bCs/>
                <w:color w:val="FF0000"/>
                <w:szCs w:val="21"/>
              </w:rPr>
              <w:t>深圳市宝安区石岩街道</w:t>
            </w:r>
            <w:r>
              <w:rPr>
                <w:rFonts w:hint="eastAsia"/>
                <w:b/>
                <w:bCs/>
                <w:color w:val="FF0000"/>
                <w:szCs w:val="21"/>
                <w:lang w:val="en" w:eastAsia="zh-CN"/>
              </w:rPr>
              <w:t>办事处</w:t>
            </w:r>
            <w:r>
              <w:rPr>
                <w:rFonts w:hint="eastAsia"/>
                <w:b/>
                <w:bCs/>
                <w:color w:val="FF0000"/>
                <w:szCs w:val="21"/>
                <w:lang w:eastAsia="zh-CN"/>
              </w:rPr>
              <w:t>石岩街道</w:t>
            </w:r>
            <w:r>
              <w:rPr>
                <w:rFonts w:hint="eastAsia"/>
                <w:b/>
                <w:bCs/>
                <w:color w:val="FF0000"/>
                <w:szCs w:val="21"/>
              </w:rPr>
              <w:t>2025年森林质量精准提升</w:t>
            </w:r>
            <w:r>
              <w:rPr>
                <w:rFonts w:hint="eastAsia"/>
                <w:b/>
                <w:bCs/>
                <w:color w:val="FF0000"/>
                <w:szCs w:val="21"/>
                <w:lang w:eastAsia="zh-CN"/>
              </w:rPr>
              <w:t>项目</w:t>
            </w:r>
          </w:p>
        </w:tc>
        <w:tc>
          <w:tcPr>
            <w:tcW w:w="1349" w:type="pct"/>
            <w:vAlign w:val="center"/>
          </w:tcPr>
          <w:p>
            <w:pPr>
              <w:jc w:val="center"/>
              <w:rPr>
                <w:bCs/>
                <w:color w:val="FF0000"/>
                <w:szCs w:val="21"/>
              </w:rPr>
            </w:pPr>
            <w:r>
              <w:rPr>
                <w:rFonts w:hint="eastAsia"/>
                <w:bCs/>
                <w:color w:val="FF0000"/>
                <w:szCs w:val="21"/>
                <w:lang w:val="en-US" w:eastAsia="zh-CN"/>
              </w:rPr>
              <w:t>888</w:t>
            </w:r>
            <w:r>
              <w:rPr>
                <w:rFonts w:hint="default"/>
                <w:bCs/>
                <w:color w:val="FF0000"/>
                <w:szCs w:val="21"/>
                <w:lang w:val="en" w:eastAsia="zh-CN"/>
              </w:rPr>
              <w:t>,</w:t>
            </w:r>
            <w:r>
              <w:rPr>
                <w:rFonts w:hint="eastAsia"/>
                <w:bCs/>
                <w:color w:val="FF0000"/>
                <w:szCs w:val="21"/>
                <w:lang w:val="en-US" w:eastAsia="zh-CN"/>
              </w:rPr>
              <w:t>240</w:t>
            </w:r>
            <w:r>
              <w:rPr>
                <w:rFonts w:hint="eastAsia"/>
                <w:bCs/>
                <w:color w:val="FF0000"/>
                <w:szCs w:val="21"/>
              </w:rPr>
              <w:t>.</w:t>
            </w:r>
            <w:r>
              <w:rPr>
                <w:rFonts w:hint="eastAsia"/>
                <w:bCs/>
                <w:color w:val="FF0000"/>
                <w:szCs w:val="21"/>
                <w:lang w:val="en-US" w:eastAsia="zh-CN"/>
              </w:rPr>
              <w:t>7</w:t>
            </w:r>
            <w:r>
              <w:rPr>
                <w:rFonts w:hint="eastAsia"/>
                <w:bCs/>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650" w:type="pct"/>
            <w:gridSpan w:val="3"/>
            <w:shd w:val="clear" w:color="auto" w:fill="auto"/>
            <w:vAlign w:val="center"/>
          </w:tcPr>
          <w:p>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1349" w:type="pct"/>
            <w:shd w:val="clear" w:color="auto" w:fill="auto"/>
            <w:vAlign w:val="center"/>
          </w:tcPr>
          <w:p>
            <w:pPr>
              <w:jc w:val="center"/>
              <w:rPr>
                <w:rFonts w:ascii="Times New Roman" w:hAnsi="Times New Roman" w:eastAsia="宋体" w:cs="Times New Roman"/>
                <w:bCs/>
                <w:color w:val="FF0000"/>
                <w:kern w:val="2"/>
                <w:sz w:val="21"/>
                <w:szCs w:val="21"/>
                <w:lang w:val="en-US" w:eastAsia="zh-CN" w:bidi="ar-SA"/>
              </w:rPr>
            </w:pPr>
            <w:r>
              <w:rPr>
                <w:rFonts w:hint="eastAsia"/>
                <w:bCs/>
                <w:color w:val="FF0000"/>
                <w:szCs w:val="21"/>
                <w:lang w:val="en-US" w:eastAsia="zh-CN"/>
              </w:rPr>
              <w:t>888</w:t>
            </w:r>
            <w:r>
              <w:rPr>
                <w:rFonts w:hint="default"/>
                <w:bCs/>
                <w:color w:val="FF0000"/>
                <w:szCs w:val="21"/>
                <w:lang w:val="en" w:eastAsia="zh-CN"/>
              </w:rPr>
              <w:t>,</w:t>
            </w:r>
            <w:r>
              <w:rPr>
                <w:rFonts w:hint="eastAsia"/>
                <w:bCs/>
                <w:color w:val="FF0000"/>
                <w:szCs w:val="21"/>
                <w:lang w:val="en-US" w:eastAsia="zh-CN"/>
              </w:rPr>
              <w:t>240</w:t>
            </w:r>
            <w:r>
              <w:rPr>
                <w:rFonts w:hint="eastAsia"/>
                <w:bCs/>
                <w:color w:val="FF0000"/>
                <w:szCs w:val="21"/>
              </w:rPr>
              <w:t>.</w:t>
            </w:r>
            <w:r>
              <w:rPr>
                <w:rFonts w:hint="eastAsia"/>
                <w:bCs/>
                <w:color w:val="FF0000"/>
                <w:szCs w:val="21"/>
                <w:lang w:val="en-US" w:eastAsia="zh-CN"/>
              </w:rPr>
              <w:t>7</w:t>
            </w:r>
            <w:r>
              <w:rPr>
                <w:rFonts w:hint="eastAsia"/>
                <w:bCs/>
                <w:color w:val="FF0000"/>
                <w:szCs w:val="21"/>
              </w:rPr>
              <w:t>0</w:t>
            </w:r>
          </w:p>
        </w:tc>
      </w:tr>
    </w:tbl>
    <w:p>
      <w:pPr>
        <w:pStyle w:val="7"/>
        <w:spacing w:before="120" w:beforeLines="50" w:after="120" w:afterLines="50"/>
        <w:jc w:val="center"/>
        <w:rPr>
          <w:szCs w:val="24"/>
        </w:rPr>
      </w:pPr>
      <w:r>
        <w:rPr>
          <w:rFonts w:hint="eastAsia"/>
          <w:szCs w:val="24"/>
        </w:rPr>
        <w:t>二、项目概况</w:t>
      </w:r>
    </w:p>
    <w:p>
      <w:pPr>
        <w:pStyle w:val="39"/>
        <w:wordWrap/>
        <w:spacing w:afterLines="0" w:line="360" w:lineRule="auto"/>
        <w:ind w:firstLine="420"/>
        <w:rPr>
          <w:rFonts w:hint="eastAsia" w:ascii="宋体" w:hAnsi="宋体" w:eastAsia="宋体" w:cs="Times New Roman"/>
          <w:snapToGrid/>
          <w:spacing w:val="0"/>
          <w:sz w:val="21"/>
          <w:szCs w:val="21"/>
        </w:rPr>
      </w:pPr>
      <w:r>
        <w:rPr>
          <w:rFonts w:hint="eastAsia" w:ascii="宋体" w:hAnsi="宋体" w:eastAsia="宋体" w:cs="Times New Roman"/>
          <w:snapToGrid/>
          <w:spacing w:val="0"/>
          <w:sz w:val="21"/>
          <w:szCs w:val="21"/>
        </w:rPr>
        <w:t>本项目预算金额为人民币888</w:t>
      </w:r>
      <w:r>
        <w:rPr>
          <w:rFonts w:hint="default" w:ascii="宋体" w:hAnsi="宋体" w:eastAsia="宋体" w:cs="Times New Roman"/>
          <w:snapToGrid/>
          <w:spacing w:val="0"/>
          <w:sz w:val="21"/>
          <w:szCs w:val="21"/>
          <w:lang w:val="en"/>
        </w:rPr>
        <w:t>,</w:t>
      </w:r>
      <w:r>
        <w:rPr>
          <w:rFonts w:hint="eastAsia" w:ascii="宋体" w:hAnsi="宋体" w:eastAsia="宋体" w:cs="Times New Roman"/>
          <w:snapToGrid/>
          <w:spacing w:val="0"/>
          <w:sz w:val="21"/>
          <w:szCs w:val="21"/>
        </w:rPr>
        <w:t>240.70元/年</w:t>
      </w:r>
      <w:r>
        <w:rPr>
          <w:rFonts w:hint="eastAsia" w:ascii="宋体" w:hAnsi="宋体" w:eastAsia="宋体" w:cs="Times New Roman"/>
          <w:snapToGrid/>
          <w:spacing w:val="0"/>
          <w:sz w:val="21"/>
          <w:szCs w:val="21"/>
          <w:lang w:eastAsia="zh-CN"/>
        </w:rPr>
        <w:t>，</w:t>
      </w:r>
      <w:r>
        <w:rPr>
          <w:rFonts w:hint="eastAsia" w:ascii="宋体" w:hAnsi="宋体" w:eastAsia="宋体" w:cs="Times New Roman"/>
          <w:snapToGrid/>
          <w:spacing w:val="0"/>
          <w:sz w:val="21"/>
          <w:szCs w:val="21"/>
        </w:rPr>
        <w:t>重点</w:t>
      </w:r>
      <w:r>
        <w:rPr>
          <w:rFonts w:hint="eastAsia" w:ascii="宋体" w:hAnsi="宋体" w:eastAsia="宋体" w:cs="Times New Roman"/>
          <w:snapToGrid/>
          <w:spacing w:val="0"/>
          <w:sz w:val="21"/>
          <w:szCs w:val="21"/>
          <w:lang w:eastAsia="zh-CN"/>
        </w:rPr>
        <w:t>开展石岩街道</w:t>
      </w:r>
      <w:r>
        <w:rPr>
          <w:rFonts w:hint="eastAsia" w:ascii="宋体" w:hAnsi="宋体" w:eastAsia="宋体" w:cs="Times New Roman"/>
          <w:snapToGrid/>
          <w:spacing w:val="0"/>
          <w:sz w:val="21"/>
          <w:szCs w:val="21"/>
        </w:rPr>
        <w:t>2025年森林质量精准提升</w:t>
      </w:r>
      <w:r>
        <w:rPr>
          <w:rFonts w:hint="eastAsia" w:ascii="宋体" w:hAnsi="宋体" w:eastAsia="宋体" w:cs="Times New Roman"/>
          <w:snapToGrid/>
          <w:spacing w:val="0"/>
          <w:sz w:val="21"/>
          <w:szCs w:val="21"/>
          <w:lang w:eastAsia="zh-CN"/>
        </w:rPr>
        <w:t>项目</w:t>
      </w:r>
      <w:r>
        <w:rPr>
          <w:rFonts w:hint="eastAsia" w:ascii="宋体" w:hAnsi="宋体" w:eastAsia="宋体" w:cs="Times New Roman"/>
          <w:snapToGrid/>
          <w:spacing w:val="0"/>
          <w:sz w:val="21"/>
          <w:szCs w:val="21"/>
          <w:lang w:val="en-US" w:eastAsia="zh-CN"/>
        </w:rPr>
        <w:t>524.528亩，涉及作业小班6个</w:t>
      </w:r>
      <w:r>
        <w:rPr>
          <w:rFonts w:hint="eastAsia" w:cs="Times New Roman"/>
          <w:snapToGrid/>
          <w:spacing w:val="0"/>
          <w:sz w:val="21"/>
          <w:szCs w:val="21"/>
          <w:lang w:val="en-US" w:eastAsia="zh-CN"/>
        </w:rPr>
        <w:t>(详见附件1)</w:t>
      </w:r>
      <w:r>
        <w:rPr>
          <w:rFonts w:hint="eastAsia" w:ascii="宋体" w:hAnsi="宋体" w:eastAsia="宋体" w:cs="Times New Roman"/>
          <w:snapToGrid/>
          <w:spacing w:val="0"/>
          <w:sz w:val="21"/>
          <w:szCs w:val="21"/>
          <w:lang w:val="en-US" w:eastAsia="zh-CN"/>
        </w:rPr>
        <w:t>。</w:t>
      </w:r>
      <w:r>
        <w:rPr>
          <w:rFonts w:hint="eastAsia" w:ascii="宋体" w:hAnsi="宋体" w:eastAsia="宋体" w:cs="Times New Roman"/>
          <w:snapToGrid/>
          <w:spacing w:val="0"/>
          <w:sz w:val="21"/>
          <w:szCs w:val="21"/>
          <w:lang w:eastAsia="zh-CN"/>
        </w:rPr>
        <w:t>其中</w:t>
      </w:r>
      <w:r>
        <w:rPr>
          <w:rFonts w:hint="eastAsia" w:ascii="宋体" w:hAnsi="宋体" w:eastAsia="宋体" w:cs="Times New Roman"/>
          <w:snapToGrid/>
          <w:spacing w:val="0"/>
          <w:sz w:val="21"/>
          <w:szCs w:val="21"/>
          <w:lang w:val="en-US" w:eastAsia="zh-CN"/>
        </w:rPr>
        <w:t>，</w:t>
      </w:r>
      <w:r>
        <w:rPr>
          <w:rFonts w:hint="eastAsia" w:ascii="宋体" w:hAnsi="宋体" w:eastAsia="宋体" w:cs="Times New Roman"/>
          <w:snapToGrid/>
          <w:spacing w:val="0"/>
          <w:sz w:val="21"/>
          <w:szCs w:val="21"/>
          <w:lang w:eastAsia="zh-CN"/>
        </w:rPr>
        <w:t>新造</w:t>
      </w:r>
      <w:r>
        <w:rPr>
          <w:rFonts w:hint="eastAsia" w:ascii="宋体" w:hAnsi="宋体" w:eastAsia="宋体" w:cs="Times New Roman"/>
          <w:snapToGrid/>
          <w:spacing w:val="0"/>
          <w:sz w:val="21"/>
          <w:szCs w:val="21"/>
        </w:rPr>
        <w:t>林抚育</w:t>
      </w:r>
      <w:r>
        <w:rPr>
          <w:rFonts w:hint="eastAsia" w:ascii="宋体" w:hAnsi="宋体" w:eastAsia="宋体" w:cs="Times New Roman"/>
          <w:snapToGrid/>
          <w:spacing w:val="0"/>
          <w:sz w:val="21"/>
          <w:szCs w:val="21"/>
          <w:lang w:val="en-US" w:eastAsia="zh-CN"/>
        </w:rPr>
        <w:t>88.497亩，涉及作业小班2个、</w:t>
      </w:r>
      <w:r>
        <w:rPr>
          <w:rFonts w:hint="eastAsia" w:ascii="宋体" w:hAnsi="宋体" w:eastAsia="宋体" w:cs="Times New Roman"/>
          <w:snapToGrid/>
          <w:spacing w:val="0"/>
          <w:sz w:val="21"/>
          <w:szCs w:val="21"/>
          <w:lang w:eastAsia="zh-CN"/>
        </w:rPr>
        <w:t>森</w:t>
      </w:r>
      <w:r>
        <w:rPr>
          <w:rFonts w:hint="eastAsia" w:ascii="宋体" w:hAnsi="宋体" w:eastAsia="宋体" w:cs="Times New Roman"/>
          <w:snapToGrid/>
          <w:spacing w:val="0"/>
          <w:sz w:val="21"/>
          <w:szCs w:val="21"/>
        </w:rPr>
        <w:t>林抚育</w:t>
      </w:r>
      <w:r>
        <w:rPr>
          <w:rFonts w:hint="eastAsia" w:ascii="宋体" w:hAnsi="宋体" w:eastAsia="宋体" w:cs="Times New Roman"/>
          <w:snapToGrid/>
          <w:spacing w:val="0"/>
          <w:sz w:val="21"/>
          <w:szCs w:val="21"/>
          <w:lang w:val="en-US" w:eastAsia="zh-CN"/>
        </w:rPr>
        <w:t>436.031亩，涉及作业小班4个</w:t>
      </w:r>
      <w:r>
        <w:rPr>
          <w:rFonts w:hint="eastAsia" w:ascii="宋体" w:hAnsi="宋体" w:eastAsia="宋体" w:cs="Times New Roman"/>
          <w:snapToGrid/>
          <w:spacing w:val="0"/>
          <w:sz w:val="21"/>
          <w:szCs w:val="21"/>
        </w:rPr>
        <w:t>。</w:t>
      </w:r>
    </w:p>
    <w:p>
      <w:pPr>
        <w:ind w:firstLine="480" w:firstLineChars="200"/>
        <w:rPr>
          <w:sz w:val="24"/>
        </w:rPr>
      </w:pPr>
    </w:p>
    <w:p>
      <w:pPr>
        <w:ind w:firstLine="480" w:firstLineChars="200"/>
        <w:rPr>
          <w:sz w:val="24"/>
        </w:rPr>
      </w:pPr>
    </w:p>
    <w:p>
      <w:pPr>
        <w:rPr>
          <w:rFonts w:ascii="宋体" w:hAnsi="宋体"/>
          <w:b/>
          <w:color w:val="FF0000"/>
          <w:szCs w:val="21"/>
        </w:rPr>
      </w:pPr>
    </w:p>
    <w:p>
      <w:pPr>
        <w:pStyle w:val="7"/>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150"/>
        <w:gridCol w:w="2580"/>
        <w:gridCol w:w="899"/>
        <w:gridCol w:w="821"/>
        <w:gridCol w:w="1401"/>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2" w:type="pct"/>
            <w:vAlign w:val="center"/>
          </w:tcPr>
          <w:p>
            <w:pPr>
              <w:jc w:val="center"/>
              <w:rPr>
                <w:bCs/>
                <w:szCs w:val="21"/>
              </w:rPr>
            </w:pPr>
            <w:r>
              <w:rPr>
                <w:rFonts w:hint="eastAsia"/>
                <w:bCs/>
                <w:szCs w:val="21"/>
              </w:rPr>
              <w:t>序号</w:t>
            </w:r>
          </w:p>
        </w:tc>
        <w:tc>
          <w:tcPr>
            <w:tcW w:w="674" w:type="pct"/>
            <w:vAlign w:val="center"/>
          </w:tcPr>
          <w:p>
            <w:pPr>
              <w:jc w:val="center"/>
              <w:rPr>
                <w:bCs/>
                <w:szCs w:val="21"/>
              </w:rPr>
            </w:pPr>
            <w:r>
              <w:rPr>
                <w:rFonts w:hint="eastAsia"/>
                <w:szCs w:val="21"/>
              </w:rPr>
              <w:t>采购计划编号</w:t>
            </w:r>
          </w:p>
        </w:tc>
        <w:tc>
          <w:tcPr>
            <w:tcW w:w="1512" w:type="pct"/>
            <w:vAlign w:val="center"/>
          </w:tcPr>
          <w:p>
            <w:pPr>
              <w:jc w:val="center"/>
              <w:rPr>
                <w:bCs/>
                <w:szCs w:val="21"/>
              </w:rPr>
            </w:pPr>
            <w:r>
              <w:rPr>
                <w:rFonts w:hint="eastAsia"/>
                <w:bCs/>
                <w:szCs w:val="21"/>
              </w:rPr>
              <w:t>服务需求名称（标的名称）</w:t>
            </w:r>
          </w:p>
        </w:tc>
        <w:tc>
          <w:tcPr>
            <w:tcW w:w="527" w:type="pct"/>
            <w:vAlign w:val="center"/>
          </w:tcPr>
          <w:p>
            <w:pPr>
              <w:jc w:val="center"/>
              <w:rPr>
                <w:bCs/>
                <w:szCs w:val="21"/>
              </w:rPr>
            </w:pPr>
            <w:r>
              <w:rPr>
                <w:rFonts w:hint="eastAsia"/>
                <w:bCs/>
                <w:szCs w:val="21"/>
              </w:rPr>
              <w:t>数量</w:t>
            </w:r>
          </w:p>
        </w:tc>
        <w:tc>
          <w:tcPr>
            <w:tcW w:w="481" w:type="pct"/>
            <w:vAlign w:val="center"/>
          </w:tcPr>
          <w:p>
            <w:pPr>
              <w:jc w:val="center"/>
              <w:rPr>
                <w:bCs/>
                <w:szCs w:val="21"/>
              </w:rPr>
            </w:pPr>
            <w:r>
              <w:rPr>
                <w:rFonts w:hint="eastAsia"/>
                <w:bCs/>
                <w:szCs w:val="21"/>
              </w:rPr>
              <w:t>单位</w:t>
            </w:r>
          </w:p>
        </w:tc>
        <w:tc>
          <w:tcPr>
            <w:tcW w:w="821" w:type="pct"/>
            <w:vAlign w:val="center"/>
          </w:tcPr>
          <w:p>
            <w:pPr>
              <w:jc w:val="center"/>
              <w:rPr>
                <w:rFonts w:hint="eastAsia"/>
                <w:bCs/>
                <w:szCs w:val="21"/>
              </w:rPr>
            </w:pPr>
            <w:r>
              <w:rPr>
                <w:rFonts w:hint="eastAsia" w:ascii="Times New Roman" w:eastAsia="宋体"/>
                <w:b/>
                <w:bCs/>
                <w:color w:val="FF0000"/>
                <w:szCs w:val="21"/>
                <w:lang w:val="en-US" w:eastAsia="zh-CN"/>
              </w:rPr>
              <w:t>是否专门面向中小企业</w:t>
            </w:r>
          </w:p>
        </w:tc>
        <w:tc>
          <w:tcPr>
            <w:tcW w:w="729" w:type="pct"/>
            <w:vAlign w:val="center"/>
          </w:tcPr>
          <w:p>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2" w:type="pct"/>
            <w:vAlign w:val="center"/>
          </w:tcPr>
          <w:p>
            <w:pPr>
              <w:jc w:val="center"/>
              <w:rPr>
                <w:bCs/>
                <w:szCs w:val="21"/>
              </w:rPr>
            </w:pPr>
            <w:r>
              <w:rPr>
                <w:rFonts w:hint="eastAsia"/>
                <w:bCs/>
                <w:szCs w:val="21"/>
              </w:rPr>
              <w:t>1</w:t>
            </w:r>
          </w:p>
        </w:tc>
        <w:tc>
          <w:tcPr>
            <w:tcW w:w="674" w:type="pct"/>
            <w:vAlign w:val="center"/>
          </w:tcPr>
          <w:p>
            <w:pPr>
              <w:jc w:val="center"/>
              <w:rPr>
                <w:rFonts w:hint="eastAsia" w:eastAsiaTheme="minorEastAsia"/>
                <w:bCs/>
                <w:szCs w:val="21"/>
                <w:lang w:eastAsia="zh-CN"/>
              </w:rPr>
            </w:pPr>
            <w:r>
              <w:rPr>
                <w:rFonts w:hint="eastAsia"/>
                <w:bCs/>
                <w:szCs w:val="21"/>
                <w:lang w:val="en-US" w:eastAsia="zh-CN"/>
              </w:rPr>
              <w:t>/</w:t>
            </w:r>
          </w:p>
        </w:tc>
        <w:tc>
          <w:tcPr>
            <w:tcW w:w="1512" w:type="pct"/>
            <w:vAlign w:val="center"/>
          </w:tcPr>
          <w:p>
            <w:pPr>
              <w:jc w:val="center"/>
              <w:rPr>
                <w:bCs/>
                <w:szCs w:val="21"/>
              </w:rPr>
            </w:pPr>
            <w:r>
              <w:rPr>
                <w:rFonts w:hint="eastAsia"/>
                <w:b/>
                <w:bCs/>
                <w:color w:val="FF0000"/>
                <w:szCs w:val="21"/>
              </w:rPr>
              <w:t>深圳市宝安区石岩街道</w:t>
            </w:r>
            <w:r>
              <w:rPr>
                <w:rFonts w:hint="eastAsia"/>
                <w:b/>
                <w:bCs/>
                <w:color w:val="FF0000"/>
                <w:szCs w:val="21"/>
                <w:lang w:val="en" w:eastAsia="zh-CN"/>
              </w:rPr>
              <w:t>办事处</w:t>
            </w:r>
            <w:r>
              <w:rPr>
                <w:rFonts w:hint="eastAsia"/>
                <w:b/>
                <w:bCs/>
                <w:color w:val="FF0000"/>
                <w:szCs w:val="21"/>
                <w:lang w:eastAsia="zh-CN"/>
              </w:rPr>
              <w:t>石岩街道</w:t>
            </w:r>
            <w:r>
              <w:rPr>
                <w:rFonts w:hint="eastAsia"/>
                <w:b/>
                <w:bCs/>
                <w:color w:val="FF0000"/>
                <w:szCs w:val="21"/>
              </w:rPr>
              <w:t>2025年森林质量精准提升</w:t>
            </w:r>
            <w:r>
              <w:rPr>
                <w:rFonts w:hint="eastAsia"/>
                <w:b/>
                <w:bCs/>
                <w:color w:val="FF0000"/>
                <w:szCs w:val="21"/>
                <w:lang w:eastAsia="zh-CN"/>
              </w:rPr>
              <w:t>项目</w:t>
            </w:r>
          </w:p>
        </w:tc>
        <w:tc>
          <w:tcPr>
            <w:tcW w:w="527" w:type="pct"/>
            <w:vAlign w:val="center"/>
          </w:tcPr>
          <w:p>
            <w:pPr>
              <w:jc w:val="center"/>
              <w:rPr>
                <w:rFonts w:hint="eastAsia" w:eastAsiaTheme="minorEastAsia"/>
                <w:bCs/>
                <w:szCs w:val="21"/>
                <w:lang w:eastAsia="zh-CN"/>
              </w:rPr>
            </w:pPr>
            <w:r>
              <w:rPr>
                <w:rFonts w:hint="eastAsia"/>
                <w:lang w:val="en-US" w:eastAsia="zh-CN"/>
              </w:rPr>
              <w:t>1</w:t>
            </w:r>
          </w:p>
        </w:tc>
        <w:tc>
          <w:tcPr>
            <w:tcW w:w="481" w:type="pct"/>
            <w:vAlign w:val="center"/>
          </w:tcPr>
          <w:p>
            <w:pPr>
              <w:jc w:val="center"/>
              <w:rPr>
                <w:rFonts w:hint="eastAsia" w:eastAsiaTheme="minorEastAsia"/>
                <w:bCs/>
                <w:szCs w:val="21"/>
                <w:lang w:val="en-US" w:eastAsia="zh-CN"/>
              </w:rPr>
            </w:pPr>
            <w:r>
              <w:rPr>
                <w:rFonts w:hint="eastAsia"/>
                <w:bCs/>
                <w:szCs w:val="21"/>
                <w:lang w:val="en-US" w:eastAsia="zh-CN"/>
              </w:rPr>
              <w:t>项</w:t>
            </w:r>
          </w:p>
        </w:tc>
        <w:tc>
          <w:tcPr>
            <w:tcW w:w="821" w:type="pct"/>
            <w:vAlign w:val="center"/>
          </w:tcPr>
          <w:p>
            <w:pPr>
              <w:jc w:val="center"/>
              <w:rPr>
                <w:rFonts w:hint="eastAsia" w:eastAsiaTheme="minorEastAsia"/>
                <w:bCs/>
                <w:szCs w:val="21"/>
                <w:lang w:val="en-US" w:eastAsia="zh-CN"/>
              </w:rPr>
            </w:pPr>
            <w:r>
              <w:rPr>
                <w:rFonts w:hint="eastAsia"/>
                <w:bCs/>
                <w:szCs w:val="21"/>
                <w:lang w:val="en-US" w:eastAsia="zh-CN"/>
              </w:rPr>
              <w:t>是</w:t>
            </w:r>
          </w:p>
        </w:tc>
        <w:tc>
          <w:tcPr>
            <w:tcW w:w="729" w:type="pct"/>
            <w:vAlign w:val="center"/>
          </w:tcPr>
          <w:p>
            <w:pPr>
              <w:jc w:val="center"/>
              <w:rPr>
                <w:rFonts w:hint="default" w:eastAsiaTheme="minorEastAsia"/>
                <w:bCs/>
                <w:szCs w:val="21"/>
                <w:lang w:val="en-US" w:eastAsia="zh-CN"/>
              </w:rPr>
            </w:pPr>
            <w:r>
              <w:rPr>
                <w:rFonts w:hint="eastAsia"/>
                <w:bCs/>
                <w:szCs w:val="21"/>
                <w:lang w:val="en-US" w:eastAsia="zh-CN"/>
              </w:rPr>
              <w:t>其他未列明行业</w:t>
            </w:r>
          </w:p>
        </w:tc>
      </w:tr>
    </w:tbl>
    <w:p>
      <w:pPr>
        <w:rPr>
          <w:rFonts w:ascii="宋体" w:hAnsi="宋体"/>
          <w:b/>
          <w:color w:val="FF0000"/>
          <w:szCs w:val="21"/>
        </w:rPr>
      </w:pPr>
    </w:p>
    <w:p>
      <w:pPr>
        <w:pStyle w:val="7"/>
        <w:spacing w:before="120" w:beforeLines="50" w:after="120" w:afterLines="50"/>
        <w:jc w:val="center"/>
        <w:rPr>
          <w:szCs w:val="24"/>
        </w:rPr>
      </w:pPr>
      <w:r>
        <w:rPr>
          <w:rFonts w:hint="eastAsia"/>
          <w:szCs w:val="24"/>
        </w:rPr>
        <w:t>四、实质性条款</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pPr>
        <w:jc w:val="center"/>
        <w:rPr>
          <w:b/>
          <w:bCs/>
          <w:sz w:val="24"/>
        </w:rPr>
      </w:pPr>
    </w:p>
    <w:p>
      <w:pPr>
        <w:pStyle w:val="7"/>
        <w:spacing w:before="120" w:beforeLines="50" w:after="120" w:afterLines="50"/>
        <w:jc w:val="center"/>
        <w:rPr>
          <w:szCs w:val="24"/>
        </w:rPr>
      </w:pPr>
      <w:r>
        <w:rPr>
          <w:rFonts w:hint="eastAsia"/>
          <w:b/>
          <w:color w:val="FF0000"/>
          <w:szCs w:val="21"/>
        </w:rPr>
        <w:t>★</w:t>
      </w:r>
      <w:r>
        <w:rPr>
          <w:rFonts w:hint="eastAsia"/>
          <w:szCs w:val="24"/>
          <w:lang w:val="en-US" w:eastAsia="zh-CN"/>
        </w:rPr>
        <w:t>五</w:t>
      </w:r>
      <w:r>
        <w:rPr>
          <w:rFonts w:hint="eastAsia"/>
          <w:szCs w:val="24"/>
        </w:rPr>
        <w:t>、商务要求</w:t>
      </w:r>
    </w:p>
    <w:p>
      <w:pPr>
        <w:ind w:firstLine="422" w:firstLineChars="200"/>
        <w:rPr>
          <w:rFonts w:hint="eastAsia"/>
          <w:b/>
          <w:color w:val="FF0000"/>
          <w:szCs w:val="21"/>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pStyle w:val="40"/>
        <w:ind w:firstLine="480" w:firstLineChars="200"/>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lang w:val="en-US" w:eastAsia="zh-CN"/>
        </w:rPr>
        <w:t>一</w:t>
      </w:r>
      <w:r>
        <w:rPr>
          <w:rFonts w:hint="eastAsia" w:ascii="方正黑体_GBK" w:hAnsi="方正黑体_GBK" w:eastAsia="方正黑体_GBK" w:cs="方正黑体_GBK"/>
          <w:b w:val="0"/>
          <w:bCs/>
        </w:rPr>
        <w:t>、项目服务要求</w:t>
      </w:r>
    </w:p>
    <w:p>
      <w:pPr>
        <w:pStyle w:val="39"/>
        <w:wordWrap/>
        <w:spacing w:afterLines="0" w:line="360" w:lineRule="auto"/>
        <w:ind w:firstLine="420"/>
        <w:rPr>
          <w:rFonts w:hint="eastAsia" w:ascii="宋体" w:hAnsi="宋体" w:eastAsia="宋体" w:cs="Times New Roman"/>
          <w:b/>
          <w:bCs/>
          <w:snapToGrid/>
          <w:spacing w:val="0"/>
          <w:sz w:val="21"/>
          <w:szCs w:val="21"/>
          <w:lang w:eastAsia="zh-CN"/>
        </w:rPr>
      </w:pPr>
      <w:r>
        <w:rPr>
          <w:rFonts w:hint="eastAsia" w:ascii="宋体" w:hAnsi="宋体" w:eastAsia="宋体" w:cs="Times New Roman"/>
          <w:b/>
          <w:bCs/>
          <w:snapToGrid/>
          <w:spacing w:val="0"/>
          <w:sz w:val="21"/>
          <w:szCs w:val="21"/>
        </w:rPr>
        <w:t>（一）</w:t>
      </w:r>
      <w:r>
        <w:rPr>
          <w:rFonts w:hint="eastAsia" w:ascii="宋体" w:hAnsi="宋体" w:eastAsia="宋体" w:cs="Times New Roman"/>
          <w:b/>
          <w:bCs/>
          <w:snapToGrid/>
          <w:spacing w:val="0"/>
          <w:sz w:val="21"/>
          <w:szCs w:val="21"/>
          <w:lang w:eastAsia="zh-CN"/>
        </w:rPr>
        <w:t>现状及主要工作内容</w:t>
      </w:r>
    </w:p>
    <w:p>
      <w:pPr>
        <w:pStyle w:val="39"/>
        <w:wordWrap/>
        <w:spacing w:afterLines="0" w:line="360" w:lineRule="auto"/>
        <w:ind w:firstLine="420"/>
        <w:rPr>
          <w:rFonts w:hint="eastAsia" w:ascii="宋体" w:hAnsi="宋体" w:eastAsia="宋体" w:cs="Times New Roman"/>
          <w:snapToGrid/>
          <w:spacing w:val="0"/>
          <w:sz w:val="21"/>
          <w:szCs w:val="21"/>
        </w:rPr>
      </w:pPr>
      <w:r>
        <w:rPr>
          <w:rFonts w:hint="eastAsia" w:ascii="宋体" w:hAnsi="宋体" w:eastAsia="宋体" w:cs="Times New Roman"/>
          <w:snapToGrid/>
          <w:spacing w:val="0"/>
          <w:sz w:val="21"/>
          <w:szCs w:val="21"/>
          <w:lang w:val="en-US" w:eastAsia="zh-CN"/>
        </w:rPr>
        <w:t>1、</w:t>
      </w:r>
      <w:r>
        <w:rPr>
          <w:rFonts w:hint="eastAsia" w:ascii="宋体" w:hAnsi="宋体" w:eastAsia="宋体" w:cs="Times New Roman"/>
          <w:snapToGrid/>
          <w:spacing w:val="0"/>
          <w:sz w:val="21"/>
          <w:szCs w:val="21"/>
          <w:lang w:eastAsia="zh-CN"/>
        </w:rPr>
        <w:t>新造</w:t>
      </w:r>
      <w:r>
        <w:rPr>
          <w:rFonts w:hint="eastAsia" w:ascii="宋体" w:hAnsi="宋体" w:eastAsia="宋体" w:cs="Times New Roman"/>
          <w:snapToGrid/>
          <w:spacing w:val="0"/>
          <w:sz w:val="21"/>
          <w:szCs w:val="21"/>
        </w:rPr>
        <w:t>林抚育</w:t>
      </w:r>
    </w:p>
    <w:p>
      <w:pPr>
        <w:pStyle w:val="39"/>
        <w:wordWrap/>
        <w:spacing w:afterLines="0" w:line="360" w:lineRule="auto"/>
        <w:ind w:firstLine="420"/>
        <w:rPr>
          <w:rFonts w:hint="eastAsia" w:ascii="宋体" w:hAnsi="宋体" w:eastAsia="宋体" w:cs="Times New Roman"/>
          <w:snapToGrid/>
          <w:spacing w:val="0"/>
          <w:sz w:val="21"/>
          <w:szCs w:val="21"/>
          <w:lang w:val="en-US"/>
        </w:rPr>
      </w:pPr>
      <w:r>
        <w:rPr>
          <w:rFonts w:hint="eastAsia" w:ascii="宋体" w:hAnsi="宋体" w:eastAsia="宋体" w:cs="Times New Roman"/>
          <w:snapToGrid/>
          <w:spacing w:val="0"/>
          <w:sz w:val="21"/>
          <w:szCs w:val="21"/>
          <w:lang w:eastAsia="zh-CN"/>
        </w:rPr>
        <w:t>新造</w:t>
      </w:r>
      <w:r>
        <w:rPr>
          <w:rFonts w:hint="eastAsia" w:ascii="宋体" w:hAnsi="宋体" w:eastAsia="宋体" w:cs="Times New Roman"/>
          <w:snapToGrid/>
          <w:spacing w:val="0"/>
          <w:sz w:val="21"/>
          <w:szCs w:val="21"/>
        </w:rPr>
        <w:t>林抚育</w:t>
      </w:r>
      <w:r>
        <w:rPr>
          <w:rFonts w:hint="eastAsia" w:ascii="宋体" w:hAnsi="宋体" w:eastAsia="宋体" w:cs="Times New Roman"/>
          <w:snapToGrid/>
          <w:spacing w:val="0"/>
          <w:sz w:val="21"/>
          <w:szCs w:val="21"/>
          <w:lang w:val="en-US" w:eastAsia="zh-CN"/>
        </w:rPr>
        <w:t>88.497亩，涉及作业小班2个，分布在宝源社区、应人石社区等。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据现场调查，该类型立地条件适中，海拔不高，坡度较缓，新造林抚育范围内主要优势树种为阔叶混交林（樟树、铁刀木、木荷、火力楠、枫香、山杜英等），新造林树冠较稀，现状暂未郁闭成林，平均树高2m，平均胸径2-4cm，平均树龄3年，以幼龄林为主，其中位于应人石社区的18.438亩地块，平均需补植株数为16株/亩，位于宝源社区的70.059亩地块，平均需补植株数为8株/亩。</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通过割灌除草、松土扩穴、施肥、补植等措施，为幼龄林提供优良生长环境，促进林分生长发育。</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2、森林抚育</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森林抚育436.031亩，涉及作业小班4个，分布在罗租社区、上屋社区、石龙社区、水田石社区等。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（1）作业小班号：7，面积为79.96</w:t>
      </w:r>
      <w:r>
        <w:rPr>
          <w:rFonts w:hint="default" w:ascii="宋体" w:hAnsi="宋体" w:eastAsia="宋体" w:cs="Times New Roman"/>
          <w:snapToGrid/>
          <w:spacing w:val="0"/>
          <w:sz w:val="21"/>
          <w:szCs w:val="21"/>
          <w:lang w:val="en" w:eastAsia="zh-CN"/>
        </w:rPr>
        <w:t>05</w:t>
      </w:r>
      <w:r>
        <w:rPr>
          <w:rFonts w:hint="eastAsia" w:ascii="宋体" w:hAnsi="宋体" w:eastAsia="宋体" w:cs="Times New Roman"/>
          <w:snapToGrid/>
          <w:spacing w:val="0"/>
          <w:sz w:val="21"/>
          <w:szCs w:val="21"/>
          <w:lang w:val="en-US" w:eastAsia="zh-CN"/>
        </w:rPr>
        <w:t>亩，位于石岩街道阳台山森林公园,涉及地籍号：440306008004000400501、440306008004000400202、440306008004000400600，优势树种为阔叶混交林,其中主要目的树种为木荷、樟树、阴香等,林龄16年,平均高12.5m,平均胸径12.5cm，林分密度约60株/亩,目的树种约55株/亩,林分郁闭度为0.7，存留部分桉树。林下植被主要为灌木和草本,灌木种类主要有海芋、九节等,主要草本种17类主要为乌毛蕨、芒萁等，整体林分质量略差，需进行补植和抚育伐。每亩补植 9 株,增加乡土阔叶树种的抚育,使小班目的树种密度达到 64 株/亩。主要技术措施为抚育伐、割灌除草、修枝、松土扩穴、施肥等。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（2）作业小班号：8，面积为180.95</w:t>
      </w:r>
      <w:r>
        <w:rPr>
          <w:rFonts w:hint="default" w:ascii="宋体" w:hAnsi="宋体" w:eastAsia="宋体" w:cs="Times New Roman"/>
          <w:snapToGrid/>
          <w:spacing w:val="0"/>
          <w:sz w:val="21"/>
          <w:szCs w:val="21"/>
          <w:lang w:val="en" w:eastAsia="zh-CN"/>
        </w:rPr>
        <w:t>85</w:t>
      </w:r>
      <w:r>
        <w:rPr>
          <w:rFonts w:hint="eastAsia" w:ascii="宋体" w:hAnsi="宋体" w:eastAsia="宋体" w:cs="Times New Roman"/>
          <w:snapToGrid/>
          <w:spacing w:val="0"/>
          <w:sz w:val="21"/>
          <w:szCs w:val="21"/>
          <w:lang w:val="en-US" w:eastAsia="zh-CN"/>
        </w:rPr>
        <w:t>亩，位于石岩街道观澜森林公园,涉及地籍号:440306008001000101202，优势树种为阔叶混交林,其中主要目的树种为木荷、山杜英等，林龄17年，平均高 7.5m，平均胸径 12.5cm，林分密度为 60 株/亩,目的树种约55株/亩,林分郁闭度为0.6，存留部分桉树、银合欢等。林下植被主要为灌木和草本,灌木种类主要有鹅掌柴、九节等,主要草本种类主要为乌毛蕨、芒萁等,整体林分质量略差,需进行补植和抚育伐。每亩补植9株,增加乡土阔叶树种的抚育,使小班目的树种密度达到64株/亩。主要技术措施为抚育伐、割灌除草、修枝、松土扩穴、施肥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（3）作业小班号：9，面积为27.02</w:t>
      </w:r>
      <w:r>
        <w:rPr>
          <w:rFonts w:hint="default" w:ascii="宋体" w:hAnsi="宋体" w:eastAsia="宋体" w:cs="Times New Roman"/>
          <w:snapToGrid/>
          <w:spacing w:val="0"/>
          <w:sz w:val="21"/>
          <w:szCs w:val="21"/>
          <w:lang w:val="en" w:eastAsia="zh-CN"/>
        </w:rPr>
        <w:t>85</w:t>
      </w:r>
      <w:r>
        <w:rPr>
          <w:rFonts w:hint="eastAsia" w:ascii="宋体" w:hAnsi="宋体" w:eastAsia="宋体" w:cs="Times New Roman"/>
          <w:snapToGrid/>
          <w:spacing w:val="0"/>
          <w:sz w:val="21"/>
          <w:szCs w:val="21"/>
          <w:lang w:val="en-US" w:eastAsia="zh-CN"/>
        </w:rPr>
        <w:t>亩，位于石岩街道观澜森林公园，涉及地籍号:440306008001000101204、440306008002000100101，优势树种为阔叶混交林，其中主要目的树种为木荷、山杜英等，林龄18年，平均高6.5m，平均胸径 12cm，林分密度为60株/亩，目的树种约55株/亩，林分郁闭度为0.6，存留部分桉树、银合欢等。林下植被主要为灌木和草本，灌木种类主要有鹅掌柴、九节等，主要草本种类主要为乌毛蕨、芒萁等，整体林分质量略差，需进行补植和抚育伐。每亩补植 9 株，增加乡土阔叶树种的抚育，使小班目的树种密度达到64株/亩。主要技术措施为抚育伐、割灌除草、修枝、松土扩穴、施肥等。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4）作业小班号：10，面积为148.083亩，位于石岩街道观澜森林公园，涉及440306008001000101203、440306008001000101204、440306008001000101207、440306008001000200101等8个地籍号,优势树种为阔叶混交林，其中主要目的树种为木荷、山杜英等，林龄18年,平均高 6.5m,平均胸径12cm,林分密度为60株/亩,目的树种约55株/亩，林分郁闭度为0.7，存留部分桉树、银合欢等。林下植被主要为灌木和草本，灌木种类主要有鹅掌柴、九节等，主要草本种类主要为乌毛蕨、芒萁等，整体林分质量略差,需进行补植和抚育伐。每亩补植9株,使小班目的树种密度达到64株/亩。。主要技术措施为抚育伐、割灌除草、修枝、松土扩穴、施肥等。</w:t>
      </w:r>
    </w:p>
    <w:p>
      <w:pPr>
        <w:pStyle w:val="39"/>
        <w:wordWrap/>
        <w:spacing w:afterLines="0" w:line="360" w:lineRule="auto"/>
        <w:ind w:firstLine="420"/>
        <w:rPr>
          <w:rFonts w:hint="eastAsia" w:ascii="宋体" w:hAnsi="宋体" w:eastAsia="宋体" w:cs="Times New Roman"/>
          <w:b/>
          <w:bCs/>
          <w:snapToGrid/>
          <w:spacing w:val="0"/>
          <w:sz w:val="21"/>
          <w:szCs w:val="21"/>
          <w:lang w:val="en-US" w:eastAsia="zh-CN"/>
        </w:rPr>
      </w:pPr>
      <w:r>
        <w:rPr>
          <w:rFonts w:hint="eastAsia" w:ascii="宋体" w:hAnsi="宋体" w:eastAsia="宋体" w:cs="Times New Roman"/>
          <w:b/>
          <w:bCs/>
          <w:snapToGrid/>
          <w:spacing w:val="0"/>
          <w:sz w:val="21"/>
          <w:szCs w:val="21"/>
          <w:lang w:val="en-US" w:eastAsia="zh-CN"/>
        </w:rPr>
        <w:t>（二）主要技术措施</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1、新造林抚育</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新造林抚育包括割灌除草、松土扩穴、施肥、培土、补植、作业地清理等抚育管护作业。结合抚育进行追肥，宜采用沟施或穴施的方法，深度以不伤及幼树根系为宜。根据《深圳市森林质量精准提升行动实施方案（2023-2027年）》，宝安区2025年需进行两次抚育，即5-6月、9-10月各开展一次抚育工作。通过采取割灌除草、松土扩穴、施肥、培土、补植、作业地清理等措施，促进林分生长发育。</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具体技术措施和要求如下：</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（1）割灌除草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割灌除草的同时清曼除藤，要求采用机割或人工劈割，小块状方式割除以抚育目标树为中心半径0.6m范围内的全部杂灌、杂草和曼生植物，杂灌茬高度不高于10cm，所割除的杂草、藤曼、杂物等，除公园、绿道或道路等20m范围内需注重景观的区域外，其清理物可在原地堆沤，任其腐烂，以增加土壤腐殖质，提高土壤肥力，割灌除草过程中，需注意保留散生阔叶树幼苗。</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（2）松土扩穴</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割灌除草后，以抚育目标树为中心，将原有的穴坑边缘向外松动土壤，松土深度应达根系生长范围的上层，松土时应将石块捡出，要求松土扩穴的半径不小于0.5m，松土扩穴深度在20cm以上为宜，可根据地形结构和割灌除草宽度进行调整。</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（3）施肥</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松土扩穴后，将肥料施于幼树周边土壤中，采用沟状埋施，施肥沟位于幼树树冠投影外沿的上坡处，沟深 20cm、宽20-25cm，将肥料撒入后覆土。施肥对象主要为阔叶幼树。追肥要求施用N、P、K 有效含量≥45%的复合肥，标准为 0.3 千克/株，视立地情况在此基础上增施有机肥。</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 xml:space="preserve">（4）培土 </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追肥后进行培土，将幼树周边土壤回覆形成半径0.4m 的圆形平台。培土时不要过度压实土壤，以免影响土壤的透气性和排水性。</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 xml:space="preserve">（5）补植 </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a.整地挖穴 苗木补植主要针对死苗缺株以及大于25㎡的林中空地进行补植，为确保补植苗木的成活率，在苗木补植时应重新挖穴，穴规要求50×50×40cm以上。</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b.苗木 补植树种选择火力楠、木荷、山杜英，树种配比为火力楠3：木荷3：山杜英 3（备选树种：红锥、铁刀木、枫香）。应选用1.5年生以上、苗高 80cm 以上、地径0.8cm以上的良种容器壮苗，应有“两证一签”。原则上采用保障性苗圃供苗，禁止使用不合格苗补植。</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c.苗木栽植 根据该类型林地现状调查，位于应人石社区的18.438亩地块，平均需补植株数为16株/亩，位于宝源社区的70.059亩地块，平均需补植株数为8株/亩，经补植后的阔叶树苗木保存株数达74株/亩以上，以满足全周期精准选培2-4次后、目标树和上层林木最终达到30-50株/亩的精准提升需求。选择透雨后的阴雨天进行苗木补植，补植时先在植穴中央挖一个比苗木泥头稍大稍深的栽植孔，去掉苗木的包扎材料或营养袋后，带土轻放于栽植孔中，扶正苗木适当深栽，然后在苗木的四周回填细土，回满时用手把回填土压实，使苗木与原土紧密接触。继续回土至穴面，压实后再回松土呈馒头状，以减少水分蒸发。</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d.回土与基肥 基肥是保障苗木健康生长的重要措施，回土前要将土块打碎，并要清除其中的石块、树根等。先回表土后回心土，当回土至30%左右时，施放基肥，并与穴土充分混匀后再继续回土至满穴备栽。基肥要求选用 N、P、K 有效含量 45%以上复合肥，具体施放标准为0.5千克/穴，视立地情况在此基础上增施有机肥。</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（6）作业地清理</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作业区的白色垃圾等需清理出林地，作业区杂草、绿化枯枝枯叶等按以下规则处理：在公园、绿道或道路等20m范围内需注重景观的区域，需清理出林地，以免影响景观，20m范围外则原地堆沤，以增加土壤肥力，杂草相较于森林抚育较少，可在割灌除草、松土扩穴等措施中同步处理。</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 xml:space="preserve">2、森林抚育 </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根据《深圳市森林质量精准提升行动实施方案（2023-2027年）》，2025 年需进行两次抚育，即 5-6 月、9-10 月各开展一次抚育工作。通过采取抚育伐、割灌除草、修枝、松土扩穴、施肥、培土、补植、作业地清理、等措施，调整林分生长空间，促进林分生长发育。</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具体技术措施和要求设计如下：</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（1）抚育伐</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对林班内有桉树或马占相思类苗木，需进行抚育伐，通过现场30m*20m样方得出，宝安区森林抚育小班采伐平均为5 株/亩。抚育伐株数=(桉树、马占相思等总株树/30m*20m)*666.67㎡。</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（2）割灌除草</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割灌除草的同时清曼除藤，要求采用机割或人工劈割，小块状方式割除以抚育目标树为中心半径 0.6m 范围内的全部杂灌、杂草和曼生植物，杂灌茬高度不高于 10cm，所割除的杂草、藤曼、杂物等，除公园、绿道或道路等 20m范围内需注重景观的区域外，其清理物可在原地堆沤，任其腐烂，以增加土壤腐殖质，提高土壤肥力，割灌除草过程中，需注意保留散生阔叶树幼苗。注意保留散生阔叶树幼苗，割灌内容包括清除胸径＜5cm的桉树萌芽条，并在割灌后利用药剂采用截面全涂或环涂的方式对桉树桩催腐处理，防止桉树再次萌芽。</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（3）修枝</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主要针对自然整枝不良、通风透光不畅的抚育目标树进行修枝，修枝重点是消灭死节、减少活节，以加大树干饱满度，提高木材质量，改善林内通风与光照状况及林木生长条件，减少树冠火、风害的发生程度，防止病虫害蔓延。 修枝要求采取平切法，重点修去每一株活立木枯死枝和树冠下部1-2轮活枝；修枝时要求切口平滑，剪口不能伤及树干韧皮部和木质部，防止树皮撕裂。一般情况下，幼龄林的修枝高度不超过树高的1/3，中龄林的修枝高度不超过树高的 1/2。</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（4）松土扩穴</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割灌除草后，以抚育目标树为中心，将原有的穴坑边缘向外松动土壤，松土深度应达根系生长范围的上层，松土时应将石块捡出，要求松土扩穴的半径不小于 0.5m,松土扩穴深度在 20cm 以上为宜，可根据地形结构和割灌除草宽度进行调整。</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（5）施肥</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施肥采用沟状埋施，沿树冠外沿投影的上坡处开挖深20cm以上、宽20-25cm 的浅沟，然后将肥料均匀撒入沟内，将肥料撒入后覆土。施肥对象主要为目的树种。追肥要求施用 N、P、K 有效含量≥45%的复合肥，标准为 0.3 千克/株，视立地情况在此基础上增施有机肥。松土扩穴后，。追肥要求施用 N、P、K 有效含量≥45%的复合肥，标准为0.3 千克/株，视立地情况在此基础上增施有机肥。</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（6）培土</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追肥后进行培土，将幼树周边土壤回覆形成半径0.4m的圆形平台。培土时不要过度压实土壤，以免影响土壤的透气性和排水性。</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（7）补植</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a.整地挖穴 苗木补植主要针对死苗缺株、抚育采伐以及大于25㎡的林中空地进行补植。为确保补植苗木的成活率，在苗木补植时应重新挖穴，穴规要求50×50×40cm以上。</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b.苗木 补植树种推荐使用树种为华润楠、土沉香，比例5:5，（备用红锥、米老排）。苗木要求选用1.5年生以上、苗高80cm以上、地径0.8cm以上，顶芽饱满、生长健壮、无病虫害的营养袋苗，并要求具备“苗木检疫证明”与“两证一签”，禁止使用无证、来源不清、带病虫害的不合格苗上山造林。</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c.苗木栽植 根据该类型林地现状调查，平均每亩需补植9株，经补植后的阔叶树苗木保存株数达 60 株/亩以上，以满足全周期精准选培2-4次后、目标树和上层林木最终达到30-50株/亩的精准提升需求。选择透雨后的阴雨天进行苗木补植，补植时先在植穴中央挖一个比苗木泥头稍大稍深的栽植孔，去掉苗木的包扎材料或营养袋后，带土轻放于栽植孔中，扶正苗木适当深栽，然后在苗木的四周回填细土，回满时用手把回填土压实，使苗木与原土紧密接触。继续回土至穴面，压实后再回松土呈馒头状，以减少水分蒸发。</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d.回土与基肥 基肥是保障苗木健康生长的重要措施，回土前要将土块打碎，并要清除其中的石块、树根等。先回表土后回心土，当回土至30%左右时，施放基肥，并与穴土充分混匀后再继续回土至满穴备栽。基肥要求选用 N、P、K 有效含量45%以上复合肥，具体施放标准为0.5千克/穴，视立地情况在此基础上增施有机肥。</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（8）作业地清理</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作业区的白色垃圾等需清理出林地，作业区杂草、绿化枯枝枯叶等按以下规则处理：在公园、绿道或道路等20m范围内需注重景观的区域，需清理出林地，以免影响景观，在公园、绿道或道路等20m范围外则原地堆沤，以增加土壤肥力，杂草等杂物相较于新造林林抚育工作量较多，作业地清理工作，在资金预算时应合理考虑。</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 xml:space="preserve"> </w:t>
      </w:r>
    </w:p>
    <w:p>
      <w:pPr>
        <w:pStyle w:val="39"/>
        <w:wordWrap/>
        <w:spacing w:afterLines="0" w:line="360" w:lineRule="auto"/>
        <w:ind w:firstLine="420"/>
        <w:rPr>
          <w:rFonts w:hint="eastAsia" w:ascii="宋体" w:hAnsi="宋体" w:eastAsia="宋体" w:cs="Times New Roman"/>
          <w:b/>
          <w:bCs/>
          <w:snapToGrid/>
          <w:spacing w:val="0"/>
          <w:sz w:val="21"/>
          <w:szCs w:val="21"/>
          <w:lang w:val="en-US" w:eastAsia="zh-CN"/>
        </w:rPr>
      </w:pPr>
      <w:r>
        <w:rPr>
          <w:rFonts w:hint="eastAsia" w:ascii="宋体" w:hAnsi="宋体" w:eastAsia="宋体" w:cs="Times New Roman"/>
          <w:b/>
          <w:bCs/>
          <w:snapToGrid/>
          <w:spacing w:val="0"/>
          <w:sz w:val="21"/>
          <w:szCs w:val="21"/>
          <w:lang w:val="en-US" w:eastAsia="zh-CN"/>
        </w:rPr>
        <w:t>（三）安全生产</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1.本项目属野外作业项目 ，必须落实安全生产工作及应急救援措施，注意防雨、防雷、防署、防冻、防洪、防风、防虫、防蜂、防蛇、防野兽等，重点防止工伤事故发生。</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2.作业人员在使用各设备时必须要注意安全，规范操作。</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3.</w:t>
      </w:r>
      <w:r>
        <w:rPr>
          <w:rFonts w:hint="eastAsia" w:cs="Times New Roman"/>
          <w:snapToGrid/>
          <w:spacing w:val="0"/>
          <w:sz w:val="21"/>
          <w:szCs w:val="21"/>
          <w:lang w:val="en-US" w:eastAsia="zh-CN"/>
        </w:rPr>
        <w:t>现场主管</w:t>
      </w:r>
      <w:r>
        <w:rPr>
          <w:rFonts w:hint="eastAsia" w:ascii="宋体" w:hAnsi="宋体" w:eastAsia="宋体" w:cs="Times New Roman"/>
          <w:snapToGrid/>
          <w:spacing w:val="0"/>
          <w:sz w:val="21"/>
          <w:szCs w:val="21"/>
          <w:lang w:val="en-US" w:eastAsia="zh-CN"/>
        </w:rPr>
        <w:t>必须要做好作业人员的安全培训和监督。</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p>
    <w:p>
      <w:pPr>
        <w:pStyle w:val="39"/>
        <w:wordWrap/>
        <w:spacing w:afterLines="0" w:line="360" w:lineRule="auto"/>
        <w:ind w:firstLine="420"/>
        <w:rPr>
          <w:rFonts w:hint="eastAsia" w:ascii="宋体" w:hAnsi="宋体" w:eastAsia="宋体" w:cs="Times New Roman"/>
          <w:b/>
          <w:bCs/>
          <w:snapToGrid/>
          <w:spacing w:val="0"/>
          <w:sz w:val="21"/>
          <w:szCs w:val="21"/>
          <w:highlight w:val="yellow"/>
          <w:lang w:val="en-US" w:eastAsia="zh-CN"/>
        </w:rPr>
      </w:pPr>
      <w:r>
        <w:rPr>
          <w:rFonts w:hint="eastAsia" w:ascii="宋体" w:hAnsi="宋体" w:eastAsia="宋体" w:cs="Times New Roman"/>
          <w:b/>
          <w:bCs/>
          <w:snapToGrid/>
          <w:spacing w:val="0"/>
          <w:sz w:val="21"/>
          <w:szCs w:val="21"/>
          <w:highlight w:val="yellow"/>
          <w:lang w:val="en-US" w:eastAsia="zh-CN"/>
        </w:rPr>
        <w:t>（四）人员要求（岗位要求、数量）</w:t>
      </w:r>
    </w:p>
    <w:p>
      <w:pPr>
        <w:pStyle w:val="39"/>
        <w:wordWrap/>
        <w:spacing w:afterLines="0" w:line="360" w:lineRule="auto"/>
        <w:ind w:firstLine="420"/>
        <w:rPr>
          <w:rFonts w:hint="eastAsia" w:cs="Times New Roman"/>
          <w:snapToGrid/>
          <w:spacing w:val="0"/>
          <w:sz w:val="21"/>
          <w:szCs w:val="21"/>
        </w:rPr>
      </w:pPr>
      <w:r>
        <w:rPr>
          <w:rFonts w:hint="eastAsia" w:ascii="宋体" w:hAnsi="宋体" w:eastAsia="宋体" w:cs="Times New Roman"/>
          <w:snapToGrid/>
          <w:spacing w:val="0"/>
          <w:sz w:val="21"/>
          <w:szCs w:val="21"/>
          <w:lang w:val="en-US" w:eastAsia="zh-CN"/>
        </w:rPr>
        <w:t>中标人必须配置以下岗位人员，如以下岗位数量不足以保质保量的完成作业任务时应按实际需求无条件的增加岗位数量。</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8"/>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岗位类别</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岗位配置数量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项目负责人</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eastAsia="宋体" w:cs="Times New Roman"/>
                <w:snapToGrid/>
                <w:spacing w:val="0"/>
                <w:sz w:val="21"/>
                <w:szCs w:val="21"/>
                <w:lang w:val="en-US" w:eastAsia="zh-CN"/>
              </w:rPr>
            </w:pPr>
            <w:r>
              <w:rPr>
                <w:rFonts w:hint="eastAsia" w:ascii="宋体" w:hAnsi="宋体" w:cs="Times New Roman"/>
                <w:snapToGrid/>
                <w:spacing w:val="0"/>
                <w:sz w:val="21"/>
                <w:szCs w:val="21"/>
                <w:lang w:val="en-US" w:eastAsia="zh-CN"/>
              </w:rPr>
              <w:t>现场主管</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lang w:val="en-US" w:eastAsia="zh-CN"/>
              </w:rPr>
              <w:t>技术</w:t>
            </w:r>
            <w:r>
              <w:rPr>
                <w:rFonts w:hint="eastAsia" w:ascii="宋体" w:hAnsi="宋体" w:cs="Times New Roman"/>
                <w:snapToGrid/>
                <w:spacing w:val="0"/>
                <w:sz w:val="21"/>
                <w:szCs w:val="21"/>
              </w:rPr>
              <w:t>主管</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eastAsia="宋体" w:cs="Times New Roman"/>
                <w:snapToGrid/>
                <w:spacing w:val="0"/>
                <w:sz w:val="21"/>
                <w:szCs w:val="21"/>
                <w:lang w:val="en-US" w:eastAsia="zh-CN"/>
              </w:rPr>
            </w:pPr>
            <w:r>
              <w:rPr>
                <w:rFonts w:hint="eastAsia" w:ascii="宋体" w:hAnsi="宋体" w:cs="Times New Roman"/>
                <w:snapToGrid/>
                <w:spacing w:val="0"/>
                <w:sz w:val="21"/>
                <w:szCs w:val="21"/>
                <w:lang w:val="en-US" w:eastAsia="zh-CN"/>
              </w:rPr>
              <w:t>技术人员</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cs="Times New Roman"/>
                <w:snapToGrid/>
                <w:spacing w:val="0"/>
                <w:sz w:val="21"/>
                <w:szCs w:val="21"/>
                <w:lang w:val="en-US" w:eastAsia="zh-CN"/>
              </w:rPr>
              <w:t>2</w:t>
            </w:r>
            <w:r>
              <w:rPr>
                <w:rFonts w:hint="eastAsia" w:ascii="宋体" w:hAnsi="宋体" w:cs="Times New Roman"/>
                <w:snapToGrid/>
                <w:spacing w:val="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eastAsia="宋体" w:cs="Times New Roman"/>
                <w:snapToGrid/>
                <w:spacing w:val="0"/>
                <w:sz w:val="21"/>
                <w:szCs w:val="21"/>
                <w:lang w:val="en-US" w:eastAsia="zh-CN"/>
              </w:rPr>
            </w:pPr>
            <w:r>
              <w:rPr>
                <w:rFonts w:hint="eastAsia" w:ascii="宋体" w:hAnsi="宋体" w:cs="Times New Roman"/>
                <w:snapToGrid/>
                <w:spacing w:val="0"/>
                <w:sz w:val="21"/>
                <w:szCs w:val="21"/>
                <w:lang w:val="en-US" w:eastAsia="zh-CN"/>
              </w:rPr>
              <w:t>抚育人员</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cs="Times New Roman"/>
                <w:snapToGrid/>
                <w:spacing w:val="0"/>
                <w:sz w:val="21"/>
                <w:szCs w:val="21"/>
                <w:lang w:val="en-US" w:eastAsia="zh-CN"/>
              </w:rPr>
              <w:t>10</w:t>
            </w:r>
            <w:r>
              <w:rPr>
                <w:rFonts w:hint="eastAsia" w:ascii="宋体" w:hAnsi="宋体" w:cs="Times New Roman"/>
                <w:snapToGrid/>
                <w:spacing w:val="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758"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ascii="宋体" w:hAnsi="宋体" w:cs="Times New Roman"/>
                <w:snapToGrid/>
                <w:spacing w:val="0"/>
                <w:sz w:val="21"/>
                <w:szCs w:val="21"/>
              </w:rPr>
              <w:t>合计</w:t>
            </w:r>
          </w:p>
        </w:tc>
        <w:tc>
          <w:tcPr>
            <w:tcW w:w="2981" w:type="dxa"/>
            <w:tcBorders>
              <w:top w:val="single" w:color="auto" w:sz="4" w:space="0"/>
              <w:left w:val="single" w:color="auto" w:sz="4" w:space="0"/>
              <w:bottom w:val="single" w:color="auto" w:sz="4" w:space="0"/>
              <w:right w:val="single" w:color="auto" w:sz="4" w:space="0"/>
            </w:tcBorders>
            <w:noWrap w:val="0"/>
            <w:vAlign w:val="center"/>
          </w:tcPr>
          <w:p>
            <w:pPr>
              <w:pStyle w:val="39"/>
              <w:spacing w:afterLines="0" w:line="360" w:lineRule="auto"/>
              <w:ind w:firstLine="0" w:firstLineChars="0"/>
              <w:jc w:val="center"/>
              <w:rPr>
                <w:rFonts w:hint="eastAsia" w:ascii="宋体" w:hAnsi="宋体" w:cs="Times New Roman"/>
                <w:snapToGrid/>
                <w:spacing w:val="0"/>
                <w:sz w:val="21"/>
                <w:szCs w:val="21"/>
              </w:rPr>
            </w:pPr>
            <w:r>
              <w:rPr>
                <w:rFonts w:hint="eastAsia" w:cs="Times New Roman"/>
                <w:snapToGrid/>
                <w:spacing w:val="0"/>
                <w:sz w:val="21"/>
                <w:szCs w:val="21"/>
                <w:lang w:val="en-US" w:eastAsia="zh-CN"/>
              </w:rPr>
              <w:t>15</w:t>
            </w:r>
            <w:r>
              <w:rPr>
                <w:rFonts w:hint="eastAsia" w:ascii="宋体" w:hAnsi="宋体" w:cs="Times New Roman"/>
                <w:snapToGrid/>
                <w:spacing w:val="0"/>
                <w:sz w:val="21"/>
                <w:szCs w:val="21"/>
              </w:rPr>
              <w:t>人</w:t>
            </w:r>
          </w:p>
        </w:tc>
      </w:tr>
    </w:tbl>
    <w:p>
      <w:pPr>
        <w:pStyle w:val="39"/>
        <w:wordWrap/>
        <w:spacing w:afterLines="0" w:line="360" w:lineRule="auto"/>
        <w:ind w:firstLine="420"/>
        <w:rPr>
          <w:rFonts w:hint="eastAsia" w:cs="Times New Roman"/>
          <w:snapToGrid/>
          <w:spacing w:val="0"/>
          <w:sz w:val="21"/>
          <w:szCs w:val="21"/>
        </w:rPr>
      </w:pPr>
    </w:p>
    <w:p>
      <w:pPr>
        <w:pStyle w:val="39"/>
        <w:spacing w:afterLines="0" w:line="360" w:lineRule="auto"/>
        <w:ind w:firstLine="420"/>
        <w:rPr>
          <w:rFonts w:hint="eastAsia" w:cs="Times New Roman"/>
          <w:snapToGrid/>
          <w:spacing w:val="0"/>
          <w:sz w:val="21"/>
          <w:szCs w:val="21"/>
        </w:rPr>
      </w:pPr>
      <w:r>
        <w:rPr>
          <w:rFonts w:hint="eastAsia" w:cs="Times New Roman"/>
          <w:snapToGrid/>
          <w:spacing w:val="0"/>
          <w:sz w:val="21"/>
          <w:szCs w:val="21"/>
        </w:rPr>
        <w:t>1、中标人需按</w:t>
      </w:r>
      <w:r>
        <w:rPr>
          <w:rFonts w:hint="eastAsia" w:cs="Times New Roman"/>
          <w:snapToGrid/>
          <w:spacing w:val="0"/>
          <w:sz w:val="21"/>
          <w:szCs w:val="21"/>
          <w:lang w:eastAsia="zh-CN"/>
        </w:rPr>
        <w:t>以上</w:t>
      </w:r>
      <w:r>
        <w:rPr>
          <w:rFonts w:hint="eastAsia" w:cs="Times New Roman"/>
          <w:snapToGrid/>
          <w:spacing w:val="0"/>
          <w:sz w:val="21"/>
          <w:szCs w:val="21"/>
        </w:rPr>
        <w:t>配置表中所规定的最低岗位数量</w:t>
      </w:r>
      <w:r>
        <w:rPr>
          <w:rFonts w:hint="eastAsia" w:cs="Times New Roman"/>
          <w:snapToGrid/>
          <w:spacing w:val="0"/>
          <w:sz w:val="21"/>
          <w:szCs w:val="21"/>
          <w:lang w:eastAsia="zh-CN"/>
        </w:rPr>
        <w:t>配置工作人员</w:t>
      </w:r>
      <w:r>
        <w:rPr>
          <w:rFonts w:hint="eastAsia" w:cs="Times New Roman"/>
          <w:snapToGrid/>
          <w:spacing w:val="0"/>
          <w:sz w:val="21"/>
          <w:szCs w:val="21"/>
        </w:rPr>
        <w:t>，</w:t>
      </w:r>
      <w:r>
        <w:rPr>
          <w:rFonts w:hint="eastAsia" w:cs="Times New Roman"/>
          <w:snapToGrid/>
          <w:spacing w:val="0"/>
          <w:sz w:val="21"/>
          <w:szCs w:val="21"/>
          <w:lang w:eastAsia="zh-CN"/>
        </w:rPr>
        <w:t>工作人员的使用必须要符合《劳动法》。</w:t>
      </w:r>
    </w:p>
    <w:p>
      <w:pPr>
        <w:pStyle w:val="39"/>
        <w:spacing w:afterLines="0" w:line="360" w:lineRule="auto"/>
        <w:ind w:firstLine="420"/>
        <w:rPr>
          <w:rFonts w:hint="eastAsia" w:cs="Times New Roman"/>
          <w:snapToGrid/>
          <w:spacing w:val="0"/>
          <w:sz w:val="21"/>
          <w:szCs w:val="21"/>
        </w:rPr>
      </w:pPr>
      <w:r>
        <w:rPr>
          <w:rFonts w:hint="eastAsia" w:cs="Times New Roman"/>
          <w:snapToGrid/>
          <w:spacing w:val="0"/>
          <w:sz w:val="21"/>
          <w:szCs w:val="21"/>
          <w:lang w:val="en-US" w:eastAsia="zh-CN"/>
        </w:rPr>
        <w:t>2</w:t>
      </w:r>
      <w:r>
        <w:rPr>
          <w:rFonts w:hint="eastAsia" w:cs="Times New Roman"/>
          <w:snapToGrid/>
          <w:spacing w:val="0"/>
          <w:sz w:val="21"/>
          <w:szCs w:val="21"/>
        </w:rPr>
        <w:t>、中标人</w:t>
      </w:r>
      <w:r>
        <w:rPr>
          <w:rFonts w:hint="eastAsia" w:cs="Times New Roman"/>
          <w:snapToGrid/>
          <w:spacing w:val="0"/>
          <w:sz w:val="21"/>
          <w:szCs w:val="21"/>
          <w:lang w:eastAsia="zh-CN"/>
        </w:rPr>
        <w:t>的</w:t>
      </w:r>
      <w:r>
        <w:rPr>
          <w:rFonts w:hint="eastAsia" w:cs="Times New Roman"/>
          <w:snapToGrid/>
          <w:spacing w:val="0"/>
          <w:sz w:val="21"/>
          <w:szCs w:val="21"/>
        </w:rPr>
        <w:t>一线作业人员</w:t>
      </w:r>
      <w:r>
        <w:rPr>
          <w:rFonts w:hint="eastAsia" w:cs="Times New Roman"/>
          <w:snapToGrid/>
          <w:spacing w:val="0"/>
          <w:sz w:val="21"/>
          <w:szCs w:val="21"/>
          <w:lang w:eastAsia="zh-CN"/>
        </w:rPr>
        <w:t>在作业时</w:t>
      </w:r>
      <w:r>
        <w:rPr>
          <w:rFonts w:hint="eastAsia" w:cs="Times New Roman"/>
          <w:snapToGrid/>
          <w:spacing w:val="0"/>
          <w:sz w:val="21"/>
          <w:szCs w:val="21"/>
        </w:rPr>
        <w:t>必须统一穿着</w:t>
      </w:r>
      <w:r>
        <w:rPr>
          <w:rFonts w:hint="eastAsia" w:cs="Times New Roman"/>
          <w:snapToGrid/>
          <w:spacing w:val="0"/>
          <w:sz w:val="21"/>
          <w:szCs w:val="21"/>
          <w:lang w:eastAsia="zh-CN"/>
        </w:rPr>
        <w:t>工作</w:t>
      </w:r>
      <w:r>
        <w:rPr>
          <w:rFonts w:hint="eastAsia" w:cs="Times New Roman"/>
          <w:snapToGrid/>
          <w:spacing w:val="0"/>
          <w:sz w:val="21"/>
          <w:szCs w:val="21"/>
        </w:rPr>
        <w:t>服装</w:t>
      </w:r>
      <w:r>
        <w:rPr>
          <w:rFonts w:hint="eastAsia" w:cs="Times New Roman"/>
          <w:snapToGrid/>
          <w:spacing w:val="0"/>
          <w:sz w:val="21"/>
          <w:szCs w:val="21"/>
          <w:lang w:eastAsia="zh-CN"/>
        </w:rPr>
        <w:t>，穿戴手套、安全帽等</w:t>
      </w:r>
      <w:r>
        <w:rPr>
          <w:rFonts w:hint="eastAsia" w:cs="Times New Roman"/>
          <w:snapToGrid/>
          <w:spacing w:val="0"/>
          <w:sz w:val="21"/>
          <w:szCs w:val="21"/>
        </w:rPr>
        <w:t>。</w:t>
      </w:r>
    </w:p>
    <w:p>
      <w:pPr>
        <w:pStyle w:val="39"/>
        <w:spacing w:afterLines="0" w:line="360" w:lineRule="auto"/>
        <w:ind w:firstLine="420"/>
        <w:rPr>
          <w:rFonts w:hint="eastAsia" w:cs="Times New Roman"/>
          <w:snapToGrid/>
          <w:spacing w:val="0"/>
          <w:sz w:val="21"/>
          <w:szCs w:val="21"/>
        </w:rPr>
      </w:pPr>
    </w:p>
    <w:p>
      <w:pPr>
        <w:pStyle w:val="39"/>
        <w:wordWrap/>
        <w:spacing w:afterLines="0" w:line="360" w:lineRule="auto"/>
        <w:ind w:firstLine="420"/>
        <w:rPr>
          <w:rFonts w:hint="eastAsia" w:ascii="宋体" w:hAnsi="宋体" w:eastAsia="宋体" w:cs="Times New Roman"/>
          <w:b/>
          <w:bCs/>
          <w:snapToGrid/>
          <w:spacing w:val="0"/>
          <w:sz w:val="21"/>
          <w:szCs w:val="21"/>
          <w:highlight w:val="none"/>
        </w:rPr>
      </w:pPr>
      <w:r>
        <w:rPr>
          <w:rFonts w:hint="eastAsia" w:ascii="宋体" w:hAnsi="宋体" w:eastAsia="宋体" w:cs="Times New Roman"/>
          <w:b/>
          <w:bCs/>
          <w:snapToGrid/>
          <w:spacing w:val="0"/>
          <w:sz w:val="21"/>
          <w:szCs w:val="21"/>
          <w:highlight w:val="none"/>
          <w:lang w:val="en-US" w:eastAsia="zh-CN"/>
        </w:rPr>
        <w:t>（五）</w:t>
      </w:r>
      <w:r>
        <w:rPr>
          <w:rFonts w:hint="eastAsia" w:ascii="宋体" w:hAnsi="宋体" w:eastAsia="宋体" w:cs="Times New Roman"/>
          <w:b/>
          <w:bCs/>
          <w:snapToGrid/>
          <w:spacing w:val="0"/>
          <w:sz w:val="21"/>
          <w:szCs w:val="21"/>
          <w:highlight w:val="none"/>
        </w:rPr>
        <w:t>设备要求（设备名称、数量）</w:t>
      </w:r>
    </w:p>
    <w:p>
      <w:pPr>
        <w:pStyle w:val="39"/>
        <w:shd w:val="clear" w:color="auto" w:fill="auto"/>
        <w:wordWrap/>
        <w:spacing w:afterLines="0" w:line="360" w:lineRule="auto"/>
        <w:ind w:firstLine="420"/>
        <w:rPr>
          <w:rFonts w:hint="eastAsia" w:ascii="宋体" w:hAnsi="宋体" w:cs="Times New Roman"/>
          <w:snapToGrid/>
          <w:spacing w:val="0"/>
          <w:sz w:val="21"/>
          <w:szCs w:val="21"/>
          <w:highlight w:val="none"/>
          <w:lang w:val="en-US" w:eastAsia="zh-CN"/>
        </w:rPr>
      </w:pPr>
      <w:r>
        <w:rPr>
          <w:rFonts w:hint="eastAsia" w:ascii="宋体" w:hAnsi="宋体" w:cs="Times New Roman"/>
          <w:snapToGrid/>
          <w:spacing w:val="0"/>
          <w:sz w:val="21"/>
          <w:szCs w:val="21"/>
          <w:highlight w:val="none"/>
          <w:lang w:val="en-US" w:eastAsia="zh-CN"/>
        </w:rPr>
        <w:t>中标方需根据工作</w:t>
      </w:r>
      <w:r>
        <w:rPr>
          <w:rFonts w:hint="eastAsia" w:cs="Times New Roman"/>
          <w:snapToGrid/>
          <w:spacing w:val="0"/>
          <w:sz w:val="21"/>
          <w:szCs w:val="21"/>
          <w:highlight w:val="none"/>
          <w:lang w:val="en-US" w:eastAsia="zh-CN"/>
        </w:rPr>
        <w:t>实际情况</w:t>
      </w:r>
      <w:r>
        <w:rPr>
          <w:rFonts w:hint="eastAsia" w:ascii="宋体" w:hAnsi="宋体" w:cs="Times New Roman"/>
          <w:snapToGrid/>
          <w:spacing w:val="0"/>
          <w:sz w:val="21"/>
          <w:szCs w:val="21"/>
          <w:highlight w:val="none"/>
          <w:lang w:val="en-US" w:eastAsia="zh-CN"/>
        </w:rPr>
        <w:t>投入必要的设备设施，用于本项目的车辆设备。如设备数量不足以</w:t>
      </w:r>
      <w:r>
        <w:rPr>
          <w:rFonts w:hint="eastAsia" w:cs="Times New Roman"/>
          <w:snapToGrid/>
          <w:spacing w:val="0"/>
          <w:sz w:val="21"/>
          <w:szCs w:val="21"/>
          <w:highlight w:val="none"/>
          <w:lang w:val="en-US" w:eastAsia="zh-CN"/>
        </w:rPr>
        <w:t>按时</w:t>
      </w:r>
      <w:r>
        <w:rPr>
          <w:rFonts w:hint="eastAsia" w:ascii="宋体" w:hAnsi="宋体" w:cs="Times New Roman"/>
          <w:snapToGrid/>
          <w:spacing w:val="0"/>
          <w:sz w:val="21"/>
          <w:szCs w:val="21"/>
          <w:highlight w:val="none"/>
          <w:lang w:val="en-US" w:eastAsia="zh-CN"/>
        </w:rPr>
        <w:t>保质保量的完成作业任务时应按实际需求无条件的增加设备。</w:t>
      </w:r>
    </w:p>
    <w:p>
      <w:pPr>
        <w:pStyle w:val="39"/>
        <w:numPr>
          <w:ilvl w:val="0"/>
          <w:numId w:val="2"/>
        </w:numPr>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中标人需按要求于收到中标通知书后10天内配置完成本项目所需的最低数量同种车辆和设备以及中标人认为需要配备的其他设备，中标后向采购方提供相关证明材料(购置发票或租赁合同)。</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2、因防台风等应急、迎检、突发事故、设备维修等原因导致现有设备不足而要保证质保量的完成作业任务时，应按实际需求，无条件的自行调配增加性能良好的作业设备；中标服务期间有损坏的车辆和设备要及时维修或更换到位，不得因设备原因而影响日常作业。</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3、所有到位的车辆须按规定购买保险。</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4、所有车辆和设备的运行、维修、保养所需消耗的燃油、机油、零配件等材料及其费用均由中标人负责承担。</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p>
    <w:p>
      <w:pPr>
        <w:pStyle w:val="39"/>
        <w:wordWrap/>
        <w:spacing w:afterLines="0" w:line="360" w:lineRule="auto"/>
        <w:ind w:firstLine="420"/>
        <w:rPr>
          <w:rFonts w:hint="eastAsia" w:ascii="宋体" w:hAnsi="宋体" w:eastAsia="宋体" w:cs="Times New Roman"/>
          <w:b/>
          <w:bCs/>
          <w:snapToGrid/>
          <w:spacing w:val="0"/>
          <w:sz w:val="21"/>
          <w:szCs w:val="21"/>
          <w:lang w:val="en-US" w:eastAsia="zh-CN"/>
        </w:rPr>
      </w:pPr>
      <w:r>
        <w:rPr>
          <w:rFonts w:hint="eastAsia" w:ascii="宋体" w:hAnsi="宋体" w:eastAsia="宋体" w:cs="Times New Roman"/>
          <w:b/>
          <w:bCs/>
          <w:snapToGrid/>
          <w:spacing w:val="0"/>
          <w:sz w:val="21"/>
          <w:szCs w:val="21"/>
          <w:lang w:val="en-US" w:eastAsia="zh-CN"/>
        </w:rPr>
        <w:t>（六）工作质量及验收管理要求。</w:t>
      </w:r>
    </w:p>
    <w:p>
      <w:pPr>
        <w:pStyle w:val="39"/>
        <w:wordWrap/>
        <w:spacing w:afterLines="0" w:line="360" w:lineRule="auto"/>
        <w:ind w:firstLine="420"/>
        <w:rPr>
          <w:rFonts w:hint="eastAsia" w:ascii="宋体" w:hAnsi="宋体" w:eastAsia="宋体" w:cs="Times New Roman"/>
          <w:snapToGrid/>
          <w:spacing w:val="0"/>
          <w:sz w:val="21"/>
          <w:szCs w:val="21"/>
          <w:lang w:val="en-US" w:eastAsia="zh-CN"/>
        </w:rPr>
      </w:pPr>
      <w:r>
        <w:rPr>
          <w:rFonts w:hint="eastAsia" w:ascii="宋体" w:hAnsi="宋体" w:eastAsia="宋体" w:cs="Times New Roman"/>
          <w:snapToGrid/>
          <w:spacing w:val="0"/>
          <w:sz w:val="21"/>
          <w:szCs w:val="21"/>
          <w:lang w:val="en-US" w:eastAsia="zh-CN"/>
        </w:rPr>
        <w:t>本项目工作质量及技术要求标准参照《广东省森林质量精准提升行动技术指南》；《广东省林业局造林管理办法》；《森林抚育规程》；林业主管部门批复的项目相关设计文件及其它与项目有关资料。</w:t>
      </w:r>
    </w:p>
    <w:p>
      <w:pPr>
        <w:pStyle w:val="39"/>
        <w:wordWrap/>
        <w:spacing w:afterLines="0" w:line="360" w:lineRule="auto"/>
        <w:ind w:firstLine="420"/>
        <w:rPr>
          <w:rFonts w:hint="default" w:ascii="宋体" w:hAnsi="宋体" w:eastAsia="宋体" w:cs="Times New Roman"/>
          <w:b/>
          <w:bCs/>
          <w:snapToGrid/>
          <w:spacing w:val="0"/>
          <w:sz w:val="21"/>
          <w:szCs w:val="21"/>
          <w:lang w:val="en-US" w:eastAsia="zh-CN"/>
        </w:rPr>
      </w:pPr>
      <w:r>
        <w:rPr>
          <w:rFonts w:hint="eastAsia" w:ascii="宋体" w:hAnsi="宋体" w:eastAsia="宋体" w:cs="Times New Roman"/>
          <w:b/>
          <w:bCs/>
          <w:snapToGrid/>
          <w:spacing w:val="0"/>
          <w:sz w:val="21"/>
          <w:szCs w:val="21"/>
          <w:lang w:val="en-US" w:eastAsia="zh-CN"/>
        </w:rPr>
        <w:t>（七）其他：配合采购方完成其他工作任务。</w:t>
      </w:r>
    </w:p>
    <w:p>
      <w:pPr>
        <w:pStyle w:val="40"/>
        <w:ind w:firstLine="0" w:firstLineChars="0"/>
        <w:rPr>
          <w:b/>
        </w:rPr>
      </w:pPr>
    </w:p>
    <w:p>
      <w:pPr>
        <w:pStyle w:val="40"/>
        <w:ind w:firstLine="360" w:firstLineChars="150"/>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lang w:val="en-US" w:eastAsia="zh-CN"/>
        </w:rPr>
        <w:t>二</w:t>
      </w:r>
      <w:r>
        <w:rPr>
          <w:rFonts w:hint="eastAsia" w:ascii="方正黑体_GBK" w:hAnsi="方正黑体_GBK" w:eastAsia="方正黑体_GBK" w:cs="方正黑体_GBK"/>
          <w:b w:val="0"/>
          <w:bCs/>
        </w:rPr>
        <w:t>、项目商务要求</w:t>
      </w:r>
    </w:p>
    <w:p>
      <w:pPr>
        <w:spacing w:line="360" w:lineRule="auto"/>
        <w:ind w:firstLine="422" w:firstLineChars="200"/>
        <w:jc w:val="left"/>
        <w:rPr>
          <w:rFonts w:ascii="宋体" w:hAnsi="宋体"/>
          <w:b/>
          <w:bCs w:val="0"/>
          <w:color w:val="auto"/>
          <w:szCs w:val="21"/>
          <w:highlight w:val="yellow"/>
        </w:rPr>
      </w:pPr>
      <w:r>
        <w:rPr>
          <w:rFonts w:hint="eastAsia" w:ascii="宋体" w:hAnsi="宋体"/>
          <w:b/>
          <w:bCs w:val="0"/>
          <w:color w:val="auto"/>
          <w:szCs w:val="21"/>
          <w:highlight w:val="yellow"/>
        </w:rPr>
        <w:t>1.服务期限：本项目服务期限为自合同签订之日起</w:t>
      </w:r>
      <w:r>
        <w:rPr>
          <w:rFonts w:hint="default" w:ascii="宋体" w:hAnsi="宋体"/>
          <w:b/>
          <w:bCs w:val="0"/>
          <w:color w:val="auto"/>
          <w:szCs w:val="21"/>
          <w:highlight w:val="yellow"/>
          <w:lang w:val="en"/>
        </w:rPr>
        <w:t>四</w:t>
      </w:r>
      <w:r>
        <w:rPr>
          <w:rFonts w:hint="eastAsia" w:ascii="宋体" w:hAnsi="宋体"/>
          <w:b/>
          <w:bCs w:val="0"/>
          <w:color w:val="auto"/>
          <w:szCs w:val="21"/>
          <w:highlight w:val="yellow"/>
        </w:rPr>
        <w:t>个月（具体进场时间以采购方通知为准，项目结束时间为</w:t>
      </w:r>
      <w:r>
        <w:rPr>
          <w:rFonts w:hint="eastAsia" w:ascii="宋体" w:hAnsi="宋体"/>
          <w:b/>
          <w:bCs w:val="0"/>
          <w:color w:val="auto"/>
          <w:szCs w:val="21"/>
          <w:highlight w:val="yellow"/>
          <w:lang w:eastAsia="zh-CN"/>
        </w:rPr>
        <w:t>完成</w:t>
      </w:r>
      <w:r>
        <w:rPr>
          <w:rFonts w:hint="eastAsia" w:ascii="宋体" w:hAnsi="宋体"/>
          <w:b/>
          <w:bCs w:val="0"/>
          <w:color w:val="auto"/>
          <w:szCs w:val="21"/>
          <w:highlight w:val="yellow"/>
        </w:rPr>
        <w:t>第二次抚育且经采购方验收合格）。</w:t>
      </w:r>
    </w:p>
    <w:p>
      <w:pPr>
        <w:spacing w:line="360" w:lineRule="auto"/>
        <w:ind w:firstLine="422" w:firstLineChars="200"/>
        <w:jc w:val="left"/>
        <w:rPr>
          <w:rFonts w:ascii="宋体" w:hAnsi="宋体"/>
          <w:szCs w:val="21"/>
          <w:highlight w:val="none"/>
        </w:rPr>
      </w:pPr>
      <w:r>
        <w:rPr>
          <w:rFonts w:hint="eastAsia" w:ascii="宋体" w:hAnsi="宋体"/>
          <w:b/>
          <w:bCs/>
          <w:szCs w:val="21"/>
          <w:highlight w:val="none"/>
        </w:rPr>
        <w:t>2.付款方式：</w:t>
      </w:r>
      <w:r>
        <w:rPr>
          <w:rFonts w:hint="eastAsia" w:ascii="宋体" w:hAnsi="宋体"/>
          <w:szCs w:val="21"/>
          <w:highlight w:val="none"/>
        </w:rPr>
        <w:t>付款方式：第一次付款：完成割灌除草、补植和第一次抚育，支付至合同价的70%；第二次付款：完成第二次抚育，并经考核</w:t>
      </w:r>
      <w:r>
        <w:rPr>
          <w:rFonts w:hint="eastAsia" w:ascii="宋体" w:hAnsi="宋体"/>
          <w:szCs w:val="21"/>
          <w:highlight w:val="none"/>
          <w:lang w:eastAsia="zh-CN"/>
        </w:rPr>
        <w:t>达到验收标准后</w:t>
      </w:r>
      <w:r>
        <w:rPr>
          <w:rFonts w:hint="eastAsia" w:ascii="宋体" w:hAnsi="宋体"/>
          <w:szCs w:val="21"/>
          <w:highlight w:val="none"/>
        </w:rPr>
        <w:t>支付余款，支付余款时需根据考核验收情况扣除款项。考核验收标准及扣款标准详见</w:t>
      </w:r>
      <w:r>
        <w:rPr>
          <w:rFonts w:hint="eastAsia" w:ascii="宋体" w:hAnsi="宋体"/>
          <w:szCs w:val="21"/>
          <w:highlight w:val="none"/>
          <w:lang w:eastAsia="zh-CN"/>
        </w:rPr>
        <w:t>附件</w:t>
      </w:r>
      <w:r>
        <w:rPr>
          <w:rFonts w:hint="eastAsia" w:ascii="宋体" w:hAnsi="宋体"/>
          <w:szCs w:val="21"/>
          <w:highlight w:val="none"/>
          <w:lang w:val="en-US" w:eastAsia="zh-CN"/>
        </w:rPr>
        <w:t>2</w:t>
      </w:r>
      <w:r>
        <w:rPr>
          <w:rFonts w:hint="eastAsia" w:ascii="宋体" w:hAnsi="宋体"/>
          <w:szCs w:val="21"/>
          <w:highlight w:val="none"/>
        </w:rPr>
        <w:t>。</w:t>
      </w:r>
    </w:p>
    <w:p>
      <w:pPr>
        <w:spacing w:line="360" w:lineRule="auto"/>
        <w:ind w:firstLine="420" w:firstLineChars="200"/>
        <w:jc w:val="left"/>
        <w:rPr>
          <w:rFonts w:ascii="宋体" w:hAnsi="宋体"/>
          <w:szCs w:val="21"/>
        </w:rPr>
      </w:pPr>
      <w:r>
        <w:rPr>
          <w:rFonts w:hint="eastAsia" w:ascii="宋体" w:hAnsi="宋体"/>
          <w:szCs w:val="21"/>
        </w:rPr>
        <w:t>款项的支付由采购方按财政国库集中支付程序办理，在财政拨款到位后将协议款项支付中标方。因财政拨款或中标方未能按时向采购方出具合格发票等原因导致款项的迟延支付，采购方不构成违约，中标方不应停止履行合同义务。</w:t>
      </w:r>
    </w:p>
    <w:p>
      <w:pPr>
        <w:spacing w:line="360" w:lineRule="auto"/>
        <w:ind w:firstLine="422" w:firstLineChars="200"/>
        <w:jc w:val="left"/>
        <w:rPr>
          <w:rFonts w:hint="eastAsia" w:ascii="宋体" w:hAnsi="宋体" w:eastAsia="宋体"/>
          <w:b/>
          <w:bCs/>
          <w:szCs w:val="21"/>
          <w:highlight w:val="none"/>
        </w:rPr>
      </w:pPr>
      <w:r>
        <w:rPr>
          <w:rFonts w:hint="eastAsia" w:ascii="宋体" w:hAnsi="宋体" w:eastAsia="宋体"/>
          <w:b/>
          <w:bCs/>
          <w:szCs w:val="21"/>
          <w:highlight w:val="none"/>
        </w:rPr>
        <w:t>3.服务地点：</w:t>
      </w:r>
    </w:p>
    <w:p>
      <w:pPr>
        <w:spacing w:line="360" w:lineRule="auto"/>
        <w:ind w:firstLine="420" w:firstLineChars="200"/>
        <w:jc w:val="left"/>
        <w:rPr>
          <w:rFonts w:ascii="宋体" w:hAnsi="宋体"/>
          <w:szCs w:val="21"/>
        </w:rPr>
      </w:pPr>
      <w:r>
        <w:rPr>
          <w:rFonts w:hint="eastAsia" w:ascii="宋体" w:hAnsi="宋体"/>
          <w:szCs w:val="21"/>
        </w:rPr>
        <w:t>采购人指定地点。</w:t>
      </w:r>
    </w:p>
    <w:p>
      <w:pPr>
        <w:spacing w:line="360" w:lineRule="auto"/>
        <w:ind w:firstLine="422" w:firstLineChars="200"/>
        <w:jc w:val="left"/>
        <w:rPr>
          <w:rFonts w:ascii="宋体" w:hAnsi="宋体"/>
          <w:szCs w:val="21"/>
        </w:rPr>
      </w:pPr>
      <w:r>
        <w:rPr>
          <w:rFonts w:hint="eastAsia" w:ascii="宋体" w:hAnsi="宋体" w:eastAsia="宋体"/>
          <w:b/>
          <w:bCs/>
          <w:szCs w:val="21"/>
          <w:highlight w:val="none"/>
        </w:rPr>
        <w:t>4.报价要求：</w:t>
      </w:r>
    </w:p>
    <w:p>
      <w:pPr>
        <w:spacing w:line="360" w:lineRule="auto"/>
        <w:ind w:firstLine="420" w:firstLineChars="200"/>
        <w:jc w:val="left"/>
        <w:rPr>
          <w:rFonts w:ascii="宋体" w:hAnsi="宋体"/>
          <w:szCs w:val="21"/>
        </w:rPr>
      </w:pPr>
      <w:r>
        <w:rPr>
          <w:rFonts w:hint="eastAsia" w:ascii="宋体" w:hAnsi="宋体"/>
          <w:szCs w:val="21"/>
        </w:rPr>
        <w:t>投标人报价应按人民币报价，包括但不限于管理费用、人员费用、税费、苗木、药剂、林地清理</w:t>
      </w:r>
      <w:r>
        <w:rPr>
          <w:rFonts w:hint="eastAsia" w:ascii="宋体" w:hAnsi="宋体"/>
          <w:szCs w:val="21"/>
          <w:lang w:eastAsia="zh-CN"/>
        </w:rPr>
        <w:t>、</w:t>
      </w:r>
      <w:r>
        <w:rPr>
          <w:rFonts w:hint="eastAsia" w:ascii="宋体" w:hAnsi="宋体"/>
          <w:szCs w:val="21"/>
          <w:lang w:val="en-US" w:eastAsia="zh-CN"/>
        </w:rPr>
        <w:t>设备费</w:t>
      </w:r>
      <w:r>
        <w:rPr>
          <w:rFonts w:hint="eastAsia" w:ascii="宋体" w:hAnsi="宋体"/>
          <w:szCs w:val="21"/>
        </w:rPr>
        <w:t>等与完成本项目服务工作有关的全部费用。</w:t>
      </w:r>
    </w:p>
    <w:p>
      <w:pPr>
        <w:spacing w:line="360" w:lineRule="auto"/>
        <w:ind w:firstLine="422" w:firstLineChars="200"/>
        <w:jc w:val="left"/>
        <w:rPr>
          <w:rFonts w:hint="eastAsia" w:ascii="宋体" w:hAnsi="宋体" w:eastAsia="宋体"/>
          <w:b/>
          <w:bCs/>
          <w:szCs w:val="21"/>
          <w:highlight w:val="none"/>
        </w:rPr>
      </w:pPr>
      <w:r>
        <w:rPr>
          <w:rFonts w:hint="eastAsia" w:ascii="宋体" w:hAnsi="宋体" w:eastAsia="宋体"/>
          <w:b/>
          <w:bCs/>
          <w:szCs w:val="21"/>
          <w:highlight w:val="none"/>
        </w:rPr>
        <w:t>5.其他需说明的事项；</w:t>
      </w:r>
    </w:p>
    <w:p>
      <w:pPr>
        <w:spacing w:line="360" w:lineRule="auto"/>
        <w:ind w:firstLine="420" w:firstLineChars="200"/>
        <w:jc w:val="left"/>
        <w:rPr>
          <w:rFonts w:ascii="宋体" w:hAnsi="宋体"/>
          <w:szCs w:val="21"/>
        </w:rPr>
      </w:pPr>
      <w:r>
        <w:rPr>
          <w:rFonts w:hint="eastAsia" w:ascii="宋体" w:hAnsi="宋体"/>
          <w:szCs w:val="21"/>
        </w:rPr>
        <w:t>（1）投标人自行实地勘察。</w:t>
      </w:r>
    </w:p>
    <w:p>
      <w:pPr>
        <w:spacing w:line="360" w:lineRule="auto"/>
        <w:ind w:firstLine="420" w:firstLineChars="200"/>
        <w:jc w:val="left"/>
        <w:rPr>
          <w:rFonts w:ascii="宋体" w:hAnsi="宋体"/>
          <w:szCs w:val="21"/>
        </w:rPr>
      </w:pPr>
      <w:r>
        <w:rPr>
          <w:rFonts w:hint="eastAsia" w:ascii="宋体" w:hAnsi="宋体"/>
          <w:szCs w:val="21"/>
        </w:rPr>
        <w:t>（2）中标方在合同执行期间，须接受采购方及其上级主管部门的监管。</w:t>
      </w:r>
    </w:p>
    <w:p>
      <w:pPr>
        <w:spacing w:line="360" w:lineRule="auto"/>
        <w:ind w:firstLine="420" w:firstLineChars="200"/>
        <w:jc w:val="left"/>
        <w:rPr>
          <w:rFonts w:ascii="宋体" w:hAnsi="宋体"/>
          <w:szCs w:val="21"/>
        </w:rPr>
      </w:pPr>
      <w:r>
        <w:rPr>
          <w:rFonts w:hint="eastAsia" w:ascii="宋体" w:hAnsi="宋体"/>
          <w:szCs w:val="21"/>
        </w:rPr>
        <w:t>（3）中标方所聘请人员的工资、福利、社保、医保、意外保险（人身意外伤亡保险100万或以上或雇主责任险100万或以上）、住宿、交通等相关费用全部由中标方负责安排解决（费用含在中标价内），所聘请人员的基本工资水平不低于深圳市规定最低工资标准。</w:t>
      </w:r>
    </w:p>
    <w:p>
      <w:pPr>
        <w:spacing w:line="360" w:lineRule="auto"/>
        <w:ind w:firstLine="420" w:firstLineChars="200"/>
        <w:jc w:val="left"/>
        <w:rPr>
          <w:rFonts w:ascii="宋体" w:hAnsi="宋体"/>
          <w:szCs w:val="21"/>
        </w:rPr>
      </w:pPr>
      <w:r>
        <w:rPr>
          <w:rFonts w:hint="eastAsia" w:ascii="宋体" w:hAnsi="宋体"/>
          <w:szCs w:val="21"/>
        </w:rPr>
        <w:t>（4）中标方需自行解决所聘用作业和项目管理人员的住宿、用餐场所并承担相关管理责任和费用支出。</w:t>
      </w:r>
    </w:p>
    <w:p>
      <w:pPr>
        <w:spacing w:line="360" w:lineRule="auto"/>
        <w:ind w:firstLine="420" w:firstLineChars="200"/>
        <w:jc w:val="left"/>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）合同期内因国家建设需要征用或由于政府交接等原因造成的工作量、数量、责任单位调整的或者需要提前结束合同期时，中标方必须无条件接受，因此造成的损失，采购方不负任何责任。</w:t>
      </w:r>
    </w:p>
    <w:p>
      <w:pPr>
        <w:spacing w:line="360" w:lineRule="auto"/>
        <w:ind w:firstLine="420" w:firstLineChars="200"/>
        <w:jc w:val="left"/>
        <w:rPr>
          <w:rFonts w:ascii="宋体" w:hAnsi="宋体"/>
          <w:szCs w:val="21"/>
        </w:rPr>
      </w:pPr>
      <w:r>
        <w:rPr>
          <w:rFonts w:hint="eastAsia" w:ascii="宋体" w:hAnsi="宋体"/>
          <w:szCs w:val="21"/>
        </w:rPr>
        <w:t>（</w:t>
      </w:r>
      <w:r>
        <w:rPr>
          <w:rFonts w:hint="eastAsia" w:ascii="宋体" w:hAnsi="宋体"/>
          <w:szCs w:val="21"/>
          <w:lang w:val="en-US" w:eastAsia="zh-CN"/>
        </w:rPr>
        <w:t>6</w:t>
      </w:r>
      <w:r>
        <w:rPr>
          <w:rFonts w:hint="eastAsia" w:ascii="宋体" w:hAnsi="宋体"/>
          <w:szCs w:val="21"/>
        </w:rPr>
        <w:t>）中标人不得将项目非法分包或转包给任何单位和个人。否则，采购方有权即刻终止合同，并要求中标人赔偿相应损失。</w:t>
      </w:r>
    </w:p>
    <w:p>
      <w:pPr>
        <w:spacing w:line="360" w:lineRule="auto"/>
        <w:ind w:firstLine="420" w:firstLineChars="200"/>
        <w:jc w:val="left"/>
        <w:rPr>
          <w:rFonts w:ascii="宋体" w:hAnsi="宋体"/>
          <w:szCs w:val="21"/>
        </w:rPr>
      </w:pPr>
      <w:r>
        <w:rPr>
          <w:rFonts w:hint="eastAsia" w:ascii="宋体" w:hAnsi="宋体"/>
          <w:szCs w:val="21"/>
        </w:rPr>
        <w:t>（</w:t>
      </w:r>
      <w:r>
        <w:rPr>
          <w:rFonts w:hint="eastAsia" w:ascii="宋体" w:hAnsi="宋体"/>
          <w:szCs w:val="21"/>
          <w:lang w:val="en-US" w:eastAsia="zh-CN"/>
        </w:rPr>
        <w:t>7</w:t>
      </w:r>
      <w:r>
        <w:rPr>
          <w:rFonts w:hint="eastAsia" w:ascii="宋体" w:hAnsi="宋体"/>
          <w:szCs w:val="21"/>
        </w:rPr>
        <w:t>）中标方服务人员在岗履行工作职责期间，发生自身的人身伤害、伤亡、交通事故等</w:t>
      </w:r>
      <w:r>
        <w:rPr>
          <w:rFonts w:hint="eastAsia" w:ascii="宋体" w:hAnsi="宋体"/>
          <w:szCs w:val="21"/>
          <w:lang w:eastAsia="zh-CN"/>
        </w:rPr>
        <w:t>安全事故</w:t>
      </w:r>
      <w:r>
        <w:rPr>
          <w:rFonts w:hint="eastAsia" w:ascii="宋体" w:hAnsi="宋体"/>
          <w:szCs w:val="21"/>
        </w:rPr>
        <w:t>，均由中标方负责处理并承担经济和道义上的责任，采购方不承担任何责任。</w:t>
      </w:r>
    </w:p>
    <w:p>
      <w:pPr>
        <w:spacing w:line="360" w:lineRule="auto"/>
        <w:ind w:firstLine="420" w:firstLineChars="200"/>
        <w:jc w:val="left"/>
        <w:rPr>
          <w:rFonts w:ascii="宋体" w:hAnsi="宋体"/>
          <w:szCs w:val="21"/>
        </w:rPr>
      </w:pPr>
      <w:r>
        <w:rPr>
          <w:rFonts w:hint="eastAsia" w:ascii="宋体" w:hAnsi="宋体"/>
          <w:szCs w:val="21"/>
        </w:rPr>
        <w:t>（</w:t>
      </w:r>
      <w:r>
        <w:rPr>
          <w:rFonts w:hint="eastAsia" w:ascii="宋体" w:hAnsi="宋体"/>
          <w:szCs w:val="21"/>
          <w:lang w:val="en-US" w:eastAsia="zh-CN"/>
        </w:rPr>
        <w:t>8</w:t>
      </w:r>
      <w:r>
        <w:rPr>
          <w:rFonts w:hint="eastAsia" w:ascii="宋体" w:hAnsi="宋体"/>
          <w:szCs w:val="21"/>
        </w:rPr>
        <w:t>）中标方在管理服务中违反国家相关法规或行业规范或管理不善，造成他人人身伤亡的或他人财产损失的，均由中标服务单位负责处理并承担经济和道义上的责任，采购方不承担任何责任。</w:t>
      </w:r>
    </w:p>
    <w:p>
      <w:pPr>
        <w:spacing w:line="360" w:lineRule="auto"/>
        <w:ind w:firstLine="420" w:firstLineChars="200"/>
        <w:jc w:val="left"/>
        <w:rPr>
          <w:rFonts w:hint="eastAsia" w:ascii="宋体" w:hAnsi="宋体"/>
          <w:szCs w:val="21"/>
          <w:highlight w:val="yellow"/>
          <w:lang w:val="en-US" w:eastAsia="zh-CN"/>
        </w:rPr>
      </w:pPr>
      <w:r>
        <w:rPr>
          <w:rFonts w:hint="eastAsia" w:ascii="宋体" w:hAnsi="宋体"/>
          <w:szCs w:val="21"/>
          <w:highlight w:val="yellow"/>
          <w:lang w:eastAsia="zh-CN"/>
        </w:rPr>
        <w:t>（</w:t>
      </w:r>
      <w:r>
        <w:rPr>
          <w:rFonts w:hint="eastAsia" w:ascii="宋体" w:hAnsi="宋体"/>
          <w:szCs w:val="21"/>
          <w:highlight w:val="yellow"/>
          <w:lang w:val="en-US" w:eastAsia="zh-CN"/>
        </w:rPr>
        <w:t>9）在实际项目执行过程中，采购方有权根据项目的实际需要，对本标段的车辆设备型号提出调整要求，或要求中标单位增配车辆、设备，中标单位应予以配合，并在双方约定的时间内调整和配置到位，采购单位不再另行支付费用，额外增配的车辆等设备应符合采购单位车辆设备相关要求，具体实施由双方另行约定。</w:t>
      </w:r>
    </w:p>
    <w:p>
      <w:pPr>
        <w:pStyle w:val="15"/>
        <w:keepNext w:val="0"/>
        <w:keepLines w:val="0"/>
        <w:widowControl/>
        <w:suppressLineNumbers w:val="0"/>
        <w:spacing w:before="0" w:beforeAutospacing="0" w:after="0" w:afterAutospacing="0"/>
        <w:ind w:left="0" w:right="0" w:firstLine="0"/>
        <w:rPr>
          <w:rFonts w:hint="eastAsia" w:ascii="宋体" w:hAnsi="宋体" w:cs="宋体"/>
          <w:b/>
          <w:kern w:val="0"/>
          <w:szCs w:val="21"/>
          <w:lang w:val="en-US" w:eastAsia="zh-CN"/>
        </w:rPr>
      </w:pPr>
      <w:r>
        <w:rPr>
          <w:rFonts w:hint="eastAsia" w:ascii="宋体" w:hAnsi="宋体" w:cs="宋体"/>
          <w:b/>
          <w:kern w:val="0"/>
          <w:szCs w:val="21"/>
          <w:lang w:val="en-US" w:eastAsia="zh-CN"/>
        </w:rPr>
        <w:t>附件1</w:t>
      </w:r>
    </w:p>
    <w:p>
      <w:pPr>
        <w:pStyle w:val="15"/>
        <w:keepNext w:val="0"/>
        <w:keepLines w:val="0"/>
        <w:widowControl/>
        <w:suppressLineNumbers w:val="0"/>
        <w:spacing w:before="0" w:beforeAutospacing="0" w:after="0" w:afterAutospacing="0"/>
        <w:ind w:left="0" w:right="0" w:firstLine="0"/>
        <w:rPr>
          <w:rFonts w:hint="eastAsia" w:ascii="仿宋" w:hAnsi="仿宋" w:eastAsia="仿宋" w:cs="仿宋"/>
          <w:spacing w:val="-3"/>
          <w:sz w:val="24"/>
          <w:szCs w:val="24"/>
        </w:rPr>
      </w:pPr>
      <w:r>
        <w:rPr>
          <w:rFonts w:hint="eastAsia" w:ascii="仿宋" w:hAnsi="仿宋" w:eastAsia="仿宋" w:cs="仿宋"/>
          <w:spacing w:val="-3"/>
          <w:sz w:val="24"/>
          <w:szCs w:val="24"/>
        </w:rPr>
        <w:t>2025年石岩街道森林质量精准提升项目位置图</w:t>
      </w:r>
    </w:p>
    <w:p>
      <w:pPr>
        <w:pStyle w:val="15"/>
        <w:keepNext w:val="0"/>
        <w:keepLines w:val="0"/>
        <w:widowControl/>
        <w:suppressLineNumbers w:val="0"/>
        <w:spacing w:before="0" w:beforeAutospacing="0" w:after="0" w:afterAutospacing="0"/>
        <w:ind w:left="0" w:right="0" w:firstLine="0"/>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1、新造林抚育</w:t>
      </w:r>
    </w:p>
    <w:p>
      <w:pPr>
        <w:rPr>
          <w:rFonts w:hint="eastAsia" w:ascii="仿宋" w:hAnsi="仿宋" w:eastAsia="仿宋" w:cs="仿宋"/>
          <w:spacing w:val="-3"/>
          <w:sz w:val="28"/>
          <w:szCs w:val="28"/>
          <w:lang w:eastAsia="zh-CN"/>
        </w:rPr>
      </w:pPr>
      <w:r>
        <w:rPr>
          <w:rFonts w:hint="eastAsia" w:ascii="仿宋" w:hAnsi="仿宋" w:eastAsia="仿宋" w:cs="仿宋"/>
          <w:spacing w:val="-3"/>
          <w:sz w:val="28"/>
          <w:szCs w:val="28"/>
          <w:lang w:eastAsia="zh-CN"/>
        </w:rPr>
        <w:drawing>
          <wp:inline distT="0" distB="0" distL="114300" distR="114300">
            <wp:extent cx="5271135" cy="7448550"/>
            <wp:effectExtent l="0" t="0" r="12065" b="6350"/>
            <wp:docPr id="2" name="图片 1" descr="新造林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新造林7"/>
                    <pic:cNvPicPr>
                      <a:picLocks noChangeAspect="1"/>
                    </pic:cNvPicPr>
                  </pic:nvPicPr>
                  <pic:blipFill>
                    <a:blip r:embed="rId13"/>
                    <a:stretch>
                      <a:fillRect/>
                    </a:stretch>
                  </pic:blipFill>
                  <pic:spPr>
                    <a:xfrm>
                      <a:off x="0" y="0"/>
                      <a:ext cx="5271135" cy="7448550"/>
                    </a:xfrm>
                    <a:prstGeom prst="rect">
                      <a:avLst/>
                    </a:prstGeom>
                    <a:noFill/>
                    <a:ln>
                      <a:noFill/>
                    </a:ln>
                  </pic:spPr>
                </pic:pic>
              </a:graphicData>
            </a:graphic>
          </wp:inline>
        </w:drawing>
      </w:r>
    </w:p>
    <w:p>
      <w:pPr>
        <w:rPr>
          <w:rFonts w:hint="eastAsia" w:ascii="仿宋" w:hAnsi="仿宋" w:eastAsia="仿宋" w:cs="仿宋"/>
          <w:spacing w:val="-3"/>
          <w:sz w:val="28"/>
          <w:szCs w:val="28"/>
        </w:rPr>
      </w:pPr>
      <w:r>
        <w:rPr>
          <w:rFonts w:hint="eastAsia" w:ascii="仿宋" w:hAnsi="仿宋" w:eastAsia="仿宋" w:cs="仿宋"/>
          <w:spacing w:val="-3"/>
          <w:sz w:val="28"/>
          <w:szCs w:val="28"/>
        </w:rPr>
        <w:br w:type="page"/>
      </w:r>
    </w:p>
    <w:p>
      <w:pPr>
        <w:rPr>
          <w:rFonts w:hint="eastAsia" w:ascii="仿宋" w:hAnsi="仿宋" w:eastAsia="仿宋" w:cs="仿宋"/>
          <w:spacing w:val="-3"/>
          <w:sz w:val="28"/>
          <w:szCs w:val="28"/>
        </w:rPr>
      </w:pPr>
      <w:r>
        <w:rPr>
          <w:rFonts w:hint="eastAsia" w:ascii="仿宋" w:hAnsi="仿宋" w:eastAsia="仿宋" w:cs="仿宋"/>
          <w:spacing w:val="-3"/>
          <w:sz w:val="28"/>
          <w:szCs w:val="28"/>
        </w:rPr>
        <w:drawing>
          <wp:inline distT="0" distB="0" distL="114300" distR="114300">
            <wp:extent cx="5271135" cy="7448550"/>
            <wp:effectExtent l="0" t="0" r="12065" b="6350"/>
            <wp:docPr id="1" name="图片 2" descr="新造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新造林8"/>
                    <pic:cNvPicPr>
                      <a:picLocks noChangeAspect="1"/>
                    </pic:cNvPicPr>
                  </pic:nvPicPr>
                  <pic:blipFill>
                    <a:blip r:embed="rId14"/>
                    <a:stretch>
                      <a:fillRect/>
                    </a:stretch>
                  </pic:blipFill>
                  <pic:spPr>
                    <a:xfrm>
                      <a:off x="0" y="0"/>
                      <a:ext cx="5271135" cy="7448550"/>
                    </a:xfrm>
                    <a:prstGeom prst="rect">
                      <a:avLst/>
                    </a:prstGeom>
                    <a:noFill/>
                    <a:ln>
                      <a:noFill/>
                    </a:ln>
                  </pic:spPr>
                </pic:pic>
              </a:graphicData>
            </a:graphic>
          </wp:inline>
        </w:drawing>
      </w:r>
      <w:r>
        <w:rPr>
          <w:rFonts w:hint="eastAsia" w:ascii="仿宋" w:hAnsi="仿宋" w:eastAsia="仿宋" w:cs="仿宋"/>
          <w:spacing w:val="-3"/>
          <w:sz w:val="28"/>
          <w:szCs w:val="28"/>
        </w:rPr>
        <w:br w:type="page"/>
      </w:r>
    </w:p>
    <w:p>
      <w:pPr>
        <w:jc w:val="left"/>
      </w:pPr>
      <w:r>
        <w:rPr>
          <w:rFonts w:hint="eastAsia" w:ascii="仿宋" w:hAnsi="仿宋" w:eastAsia="仿宋" w:cs="仿宋"/>
          <w:spacing w:val="-3"/>
          <w:sz w:val="24"/>
          <w:szCs w:val="24"/>
          <w:lang w:val="en-US" w:eastAsia="zh-CN"/>
        </w:rPr>
        <w:t>2、森林抚育</w:t>
      </w:r>
      <w:r>
        <w:rPr>
          <w:rFonts w:hint="eastAsia" w:ascii="仿宋" w:hAnsi="仿宋" w:eastAsia="仿宋" w:cs="仿宋"/>
          <w:spacing w:val="-3"/>
          <w:sz w:val="28"/>
          <w:szCs w:val="28"/>
        </w:rPr>
        <w:drawing>
          <wp:inline distT="0" distB="0" distL="114300" distR="114300">
            <wp:extent cx="5273040" cy="7451725"/>
            <wp:effectExtent l="0" t="0" r="10160" b="3175"/>
            <wp:docPr id="3" name="图片 3" descr="石岩街道中有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石岩街道中有林"/>
                    <pic:cNvPicPr>
                      <a:picLocks noChangeAspect="1"/>
                    </pic:cNvPicPr>
                  </pic:nvPicPr>
                  <pic:blipFill>
                    <a:blip r:embed="rId15"/>
                    <a:stretch>
                      <a:fillRect/>
                    </a:stretch>
                  </pic:blipFill>
                  <pic:spPr>
                    <a:xfrm>
                      <a:off x="0" y="0"/>
                      <a:ext cx="5273040" cy="7451725"/>
                    </a:xfrm>
                    <a:prstGeom prst="rect">
                      <a:avLst/>
                    </a:prstGeom>
                    <a:noFill/>
                    <a:ln>
                      <a:noFill/>
                    </a:ln>
                  </pic:spPr>
                </pic:pic>
              </a:graphicData>
            </a:graphic>
          </wp:inline>
        </w:drawing>
      </w:r>
    </w:p>
    <w:p>
      <w:pPr>
        <w:rPr>
          <w:rFonts w:hint="eastAsia" w:ascii="宋体" w:hAnsi="宋体" w:cs="宋体"/>
          <w:b/>
          <w:kern w:val="0"/>
          <w:szCs w:val="21"/>
        </w:rPr>
      </w:pPr>
    </w:p>
    <w:p>
      <w:pPr>
        <w:pStyle w:val="2"/>
        <w:rPr>
          <w:rFonts w:hint="eastAsia"/>
          <w:lang w:val="en-US" w:eastAsia="zh-CN"/>
        </w:rPr>
      </w:pPr>
    </w:p>
    <w:p>
      <w:pPr>
        <w:pStyle w:val="2"/>
        <w:rPr>
          <w:rFonts w:hint="default" w:eastAsia="宋体"/>
          <w:lang w:val="en-US" w:eastAsia="zh-CN"/>
        </w:rPr>
      </w:pPr>
      <w:r>
        <w:rPr>
          <w:rFonts w:hint="eastAsia"/>
          <w:lang w:val="en-US" w:eastAsia="zh-CN"/>
        </w:rPr>
        <w:t>附件2：</w:t>
      </w:r>
    </w:p>
    <w:p>
      <w:pPr>
        <w:spacing w:line="360" w:lineRule="auto"/>
        <w:ind w:left="0" w:leftChars="0" w:firstLine="0" w:firstLineChars="0"/>
        <w:jc w:val="center"/>
        <w:rPr>
          <w:rFonts w:hint="eastAsia" w:ascii="仿宋" w:hAnsi="仿宋" w:eastAsia="仿宋" w:cs="仿宋"/>
          <w:spacing w:val="-3"/>
          <w:kern w:val="2"/>
          <w:sz w:val="30"/>
          <w:szCs w:val="30"/>
          <w:lang w:val="en-US" w:eastAsia="zh-CN" w:bidi="ar-SA"/>
        </w:rPr>
      </w:pPr>
      <w:r>
        <w:rPr>
          <w:rFonts w:hint="eastAsia" w:ascii="仿宋" w:hAnsi="仿宋" w:eastAsia="仿宋" w:cs="仿宋"/>
          <w:spacing w:val="-3"/>
          <w:kern w:val="2"/>
          <w:sz w:val="30"/>
          <w:szCs w:val="30"/>
          <w:lang w:val="en-US" w:eastAsia="zh-CN" w:bidi="ar-SA"/>
        </w:rPr>
        <w:t>2025年石岩街道森林质量精准提升工作考核验收评分表</w:t>
      </w: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0"/>
        <w:gridCol w:w="1052"/>
        <w:gridCol w:w="826"/>
        <w:gridCol w:w="4422"/>
        <w:gridCol w:w="996"/>
        <w:gridCol w:w="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60" w:lineRule="exact"/>
              <w:ind w:firstLine="0" w:firstLineChars="0"/>
              <w:jc w:val="center"/>
              <w:textAlignment w:val="top"/>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验收内容</w:t>
            </w: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60" w:lineRule="exact"/>
              <w:ind w:firstLine="0" w:firstLineChars="0"/>
              <w:jc w:val="center"/>
              <w:textAlignment w:val="top"/>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验收项</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60" w:lineRule="exact"/>
              <w:ind w:firstLine="0" w:firstLineChars="0"/>
              <w:jc w:val="center"/>
              <w:textAlignment w:val="top"/>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标准分</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60" w:lineRule="exact"/>
              <w:ind w:firstLine="0" w:firstLineChars="0"/>
              <w:jc w:val="center"/>
              <w:textAlignment w:val="top"/>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检查方法及评分标准</w:t>
            </w:r>
          </w:p>
        </w:tc>
        <w:tc>
          <w:tcPr>
            <w:tcW w:w="5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60" w:lineRule="exact"/>
              <w:ind w:firstLine="0" w:firstLineChars="0"/>
              <w:jc w:val="center"/>
              <w:textAlignment w:val="top"/>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得分</w:t>
            </w:r>
          </w:p>
        </w:tc>
        <w:tc>
          <w:tcPr>
            <w:tcW w:w="251"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60" w:lineRule="exact"/>
              <w:ind w:firstLine="0" w:firstLineChars="0"/>
              <w:jc w:val="center"/>
              <w:textAlignment w:val="top"/>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9" w:type="pct"/>
            <w:vMerge w:val="restar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新造林抚育</w:t>
            </w: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总分</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抚育对象</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抚育对象符合有关规定和相关技术要求的，10分，否则0分。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作业面积</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作业面积误差大于设计面积5%的不得分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作业区清理</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抚育剩余物清理符合要求的得5分；有清理但不符合要求的得2分；抚育剩余物不清理，或有病 菌和虫害的剩余物未按要求处理的，0分。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割灌除草</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按实际割灌除草面积与作业设计规定技术要求面积的占比进行打分，低于作业设计面积 80%不得分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修枝</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按作业设计规定技术要求修枝的，得满分；未按作业设计规定 技术要求修枝，不得分。</w:t>
            </w:r>
          </w:p>
        </w:tc>
        <w:tc>
          <w:tcPr>
            <w:tcW w:w="584" w:type="pct"/>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松土扩穴</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按作业设计规定技术要求松土扩穴、培土的，得满分；未按作业 设计规定技术要求松土扩穴、培土的，按实际松土扩穴、培土半 径与作业设计规定技术要求半径 的占比进行打分。低于作业设计80%不得分。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追肥</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按作业设计规定技术要求施肥量 施肥的，得满分；未按作业设计规定技术要求施肥量施肥的，按实际施肥量与作业设计规定技术要求施肥量的占比进行打分。低于作业设计80%不得分。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培土</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按实际培土面积与作业设计规定技术要求面积的占比进行打分，低于作业设计面积 80%不得分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9" w:type="pct"/>
            <w:vMerge w:val="restar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森林抚育</w:t>
            </w: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总分</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抚育伐</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已取得林木采伐许可证，并按作业设计要求进行采伐的，20分；作业小班内应采未采面积比例在5%以内不扣分，每增加5%扣2分，扣完为止。</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修枝</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按作业设计规定技术要求修枝的，10分；未按作业设计规定技 术要求修枝，0分。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割灌除草</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按作业设计规定技术要求割灌除草的，20 分；未按作业设计规定技术要求割除草面积与作业设计规定技术要求面积的占比×20赋分。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施肥</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按作业设计规定技术要求施肥量施肥的，20 分；未按作业设计规定技术要求施肥量施肥的，按实际施肥量与作业设计规定技术要求施肥量的占比×20赋分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补植</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按实际成活补苗量与设计补苗量占比进行打分，最高分为10分。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松土扩穴和培土</w:t>
            </w:r>
          </w:p>
        </w:tc>
        <w:tc>
          <w:tcPr>
            <w:tcW w:w="4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59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按作业设计规定技术要求松土扩穴培土的，15分；未按作业设计 规定技术要求松土扩穴培土的，按实际松土扩穴培土半径与作业 设计规定技术要求半径的占比×15 赋分</w:t>
            </w:r>
          </w:p>
        </w:tc>
        <w:tc>
          <w:tcPr>
            <w:tcW w:w="584"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c>
          <w:tcPr>
            <w:tcW w:w="251" w:type="pct"/>
            <w:tcBorders>
              <w:top w:val="nil"/>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default" w:ascii="Arial" w:hAnsi="Arial" w:eastAsia="宋体" w:cs="Arial"/>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20" w:lineRule="exact"/>
              <w:ind w:firstLine="0" w:firstLineChars="0"/>
              <w:jc w:val="center"/>
              <w:rPr>
                <w:rFonts w:hint="eastAsia" w:ascii="仿宋" w:hAnsi="仿宋" w:eastAsia="仿宋" w:cs="仿宋"/>
                <w:i w:val="0"/>
                <w:iCs w:val="0"/>
                <w:color w:val="000000"/>
                <w:sz w:val="24"/>
                <w:szCs w:val="24"/>
                <w:u w:val="none"/>
              </w:rPr>
            </w:pPr>
          </w:p>
        </w:tc>
        <w:tc>
          <w:tcPr>
            <w:tcW w:w="617" w:type="pct"/>
            <w:tcBorders>
              <w:top w:val="single" w:color="000000" w:sz="8" w:space="0"/>
              <w:left w:val="single" w:color="000000" w:sz="8" w:space="0"/>
              <w:bottom w:val="single" w:color="auto" w:sz="4"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作业区清理</w:t>
            </w:r>
          </w:p>
        </w:tc>
        <w:tc>
          <w:tcPr>
            <w:tcW w:w="484" w:type="pct"/>
            <w:tcBorders>
              <w:top w:val="single" w:color="000000" w:sz="8" w:space="0"/>
              <w:left w:val="single" w:color="000000" w:sz="8" w:space="0"/>
              <w:bottom w:val="single" w:color="auto" w:sz="4"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593" w:type="pct"/>
            <w:tcBorders>
              <w:top w:val="single" w:color="000000" w:sz="8" w:space="0"/>
              <w:left w:val="single" w:color="000000" w:sz="8" w:space="0"/>
              <w:bottom w:val="single" w:color="auto" w:sz="4" w:space="0"/>
              <w:right w:val="single" w:color="000000" w:sz="8"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抚育剩余物清理符合要求的得5分；有清理但不符合要求的得2分；抚育剩余物不清理，或有病 菌和虫害的剩余物未按要求处理的，0分。</w:t>
            </w:r>
          </w:p>
        </w:tc>
        <w:tc>
          <w:tcPr>
            <w:tcW w:w="584" w:type="pct"/>
            <w:tcBorders>
              <w:top w:val="nil"/>
              <w:left w:val="single" w:color="000000" w:sz="8" w:space="0"/>
              <w:bottom w:val="single" w:color="auto" w:sz="4" w:space="0"/>
              <w:right w:val="single" w:color="000000" w:sz="8" w:space="0"/>
            </w:tcBorders>
            <w:noWrap/>
            <w:vAlign w:val="center"/>
          </w:tcPr>
          <w:p>
            <w:pPr>
              <w:spacing w:line="320" w:lineRule="exact"/>
              <w:ind w:firstLine="0" w:firstLineChars="0"/>
              <w:jc w:val="center"/>
              <w:rPr>
                <w:rFonts w:hint="eastAsia" w:ascii="宋体" w:hAnsi="宋体" w:eastAsia="宋体" w:cs="宋体"/>
                <w:i w:val="0"/>
                <w:iCs w:val="0"/>
                <w:color w:val="000000"/>
                <w:sz w:val="22"/>
                <w:szCs w:val="22"/>
                <w:u w:val="none"/>
              </w:rPr>
            </w:pPr>
          </w:p>
        </w:tc>
        <w:tc>
          <w:tcPr>
            <w:tcW w:w="251" w:type="pct"/>
            <w:tcBorders>
              <w:top w:val="nil"/>
              <w:left w:val="single" w:color="000000" w:sz="8" w:space="0"/>
              <w:bottom w:val="single" w:color="auto" w:sz="4" w:space="0"/>
              <w:right w:val="single" w:color="000000" w:sz="8" w:space="0"/>
            </w:tcBorders>
            <w:noWrap/>
            <w:vAlign w:val="center"/>
          </w:tcPr>
          <w:p>
            <w:pPr>
              <w:spacing w:line="32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tcBorders>
              <w:top w:val="single" w:color="000000" w:sz="8" w:space="0"/>
              <w:left w:val="single" w:color="000000" w:sz="8" w:space="0"/>
              <w:bottom w:val="single" w:color="000000" w:sz="8"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6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总得分</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2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总得分=（新造林抚育得分+森林抚育得分）÷2</w:t>
            </w:r>
          </w:p>
        </w:tc>
        <w:tc>
          <w:tcPr>
            <w:tcW w:w="584"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25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469" w:type="pct"/>
            <w:tcBorders>
              <w:top w:val="single" w:color="000000" w:sz="8" w:space="0"/>
              <w:left w:val="single" w:color="000000" w:sz="8" w:space="0"/>
              <w:bottom w:val="single" w:color="000000" w:sz="8"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6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2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实际扣款金额</w:t>
            </w:r>
          </w:p>
        </w:tc>
        <w:tc>
          <w:tcPr>
            <w:tcW w:w="584"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c>
          <w:tcPr>
            <w:tcW w:w="25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line="320" w:lineRule="exact"/>
              <w:ind w:firstLine="0" w:firstLineChars="0"/>
              <w:jc w:val="center"/>
              <w:textAlignment w:val="top"/>
              <w:rPr>
                <w:rFonts w:hint="eastAsia" w:ascii="仿宋" w:hAnsi="仿宋" w:eastAsia="仿宋" w:cs="仿宋"/>
                <w:i w:val="0"/>
                <w:iCs w:val="0"/>
                <w:color w:val="000000"/>
                <w:kern w:val="0"/>
                <w:sz w:val="24"/>
                <w:szCs w:val="24"/>
                <w:u w:val="none"/>
                <w:lang w:val="en-US" w:eastAsia="zh-CN" w:bidi="ar"/>
              </w:rPr>
            </w:pPr>
          </w:p>
        </w:tc>
      </w:tr>
    </w:tbl>
    <w:p>
      <w:pPr>
        <w:pStyle w:val="2"/>
        <w:spacing w:after="78"/>
        <w:ind w:firstLine="480" w:firstLineChars="200"/>
        <w:rPr>
          <w:rFonts w:hint="eastAsia" w:ascii="宋体" w:hAnsi="宋体"/>
          <w:b w:val="0"/>
          <w:bCs w:val="0"/>
          <w:szCs w:val="21"/>
        </w:rPr>
      </w:pPr>
      <w:r>
        <w:rPr>
          <w:rFonts w:hint="eastAsia" w:ascii="宋体" w:hAnsi="宋体"/>
          <w:b w:val="0"/>
          <w:bCs w:val="0"/>
          <w:szCs w:val="21"/>
          <w:lang w:eastAsia="zh-CN"/>
        </w:rPr>
        <w:t>项目服务费与考核分值挂钩。</w:t>
      </w:r>
      <w:r>
        <w:rPr>
          <w:rFonts w:hint="eastAsia" w:ascii="宋体" w:hAnsi="宋体"/>
          <w:b w:val="0"/>
          <w:bCs w:val="0"/>
          <w:szCs w:val="21"/>
        </w:rPr>
        <w:t>考</w:t>
      </w:r>
      <w:r>
        <w:rPr>
          <w:rFonts w:hint="eastAsia" w:ascii="宋体" w:hAnsi="宋体"/>
          <w:b w:val="0"/>
          <w:bCs w:val="0"/>
          <w:szCs w:val="21"/>
          <w:lang w:eastAsia="zh-CN"/>
        </w:rPr>
        <w:t>核</w:t>
      </w:r>
      <w:r>
        <w:rPr>
          <w:rFonts w:hint="eastAsia" w:ascii="宋体" w:hAnsi="宋体"/>
          <w:b w:val="0"/>
          <w:bCs w:val="0"/>
          <w:szCs w:val="21"/>
        </w:rPr>
        <w:t>分值在95分以上(含), 不扣减费</w:t>
      </w:r>
      <w:r>
        <w:rPr>
          <w:rFonts w:hint="eastAsia" w:ascii="宋体" w:hAnsi="宋体"/>
          <w:b w:val="0"/>
          <w:bCs w:val="0"/>
          <w:szCs w:val="21"/>
          <w:lang w:eastAsia="zh-CN"/>
        </w:rPr>
        <w:t>用</w:t>
      </w:r>
      <w:r>
        <w:rPr>
          <w:rFonts w:hint="eastAsia" w:ascii="宋体" w:hAnsi="宋体"/>
          <w:b w:val="0"/>
          <w:bCs w:val="0"/>
          <w:szCs w:val="21"/>
        </w:rPr>
        <w:t>；得分90分至95分(含90分) 的, 扣减</w:t>
      </w:r>
      <w:r>
        <w:rPr>
          <w:rFonts w:hint="eastAsia" w:ascii="宋体" w:hAnsi="宋体"/>
          <w:b w:val="0"/>
          <w:bCs w:val="0"/>
          <w:szCs w:val="21"/>
          <w:lang w:eastAsia="zh-CN"/>
        </w:rPr>
        <w:t>合同价</w:t>
      </w:r>
      <w:r>
        <w:rPr>
          <w:rFonts w:hint="eastAsia" w:ascii="宋体" w:hAnsi="宋体"/>
          <w:b w:val="0"/>
          <w:bCs w:val="0"/>
          <w:szCs w:val="21"/>
        </w:rPr>
        <w:t>总额的</w:t>
      </w:r>
      <w:r>
        <w:rPr>
          <w:rFonts w:hint="eastAsia" w:ascii="宋体" w:hAnsi="宋体"/>
          <w:b w:val="0"/>
          <w:bCs w:val="0"/>
          <w:szCs w:val="21"/>
          <w:lang w:val="en-US" w:eastAsia="zh-CN"/>
        </w:rPr>
        <w:t>1</w:t>
      </w:r>
      <w:r>
        <w:rPr>
          <w:rFonts w:hint="eastAsia" w:ascii="宋体" w:hAnsi="宋体"/>
          <w:b w:val="0"/>
          <w:bCs w:val="0"/>
          <w:szCs w:val="21"/>
        </w:rPr>
        <w:t>%；得分85分至90分(含85分) 的, 扣减</w:t>
      </w:r>
      <w:r>
        <w:rPr>
          <w:rFonts w:hint="eastAsia" w:ascii="宋体" w:hAnsi="宋体"/>
          <w:b w:val="0"/>
          <w:bCs w:val="0"/>
          <w:szCs w:val="21"/>
          <w:lang w:eastAsia="zh-CN"/>
        </w:rPr>
        <w:t>合同价</w:t>
      </w:r>
      <w:r>
        <w:rPr>
          <w:rFonts w:hint="eastAsia" w:ascii="宋体" w:hAnsi="宋体"/>
          <w:b w:val="0"/>
          <w:bCs w:val="0"/>
          <w:szCs w:val="21"/>
        </w:rPr>
        <w:t>总额的</w:t>
      </w:r>
      <w:r>
        <w:rPr>
          <w:rFonts w:hint="eastAsia" w:ascii="宋体" w:hAnsi="宋体"/>
          <w:b w:val="0"/>
          <w:bCs w:val="0"/>
          <w:szCs w:val="21"/>
          <w:lang w:val="en-US" w:eastAsia="zh-CN"/>
        </w:rPr>
        <w:t>3</w:t>
      </w:r>
      <w:r>
        <w:rPr>
          <w:rFonts w:hint="eastAsia" w:ascii="宋体" w:hAnsi="宋体"/>
          <w:b w:val="0"/>
          <w:bCs w:val="0"/>
          <w:szCs w:val="21"/>
        </w:rPr>
        <w:t>%；得分80分至85分(含80分) 的, 扣减</w:t>
      </w:r>
      <w:r>
        <w:rPr>
          <w:rFonts w:hint="eastAsia" w:ascii="宋体" w:hAnsi="宋体"/>
          <w:b w:val="0"/>
          <w:bCs w:val="0"/>
          <w:szCs w:val="21"/>
          <w:lang w:eastAsia="zh-CN"/>
        </w:rPr>
        <w:t>合同价</w:t>
      </w:r>
      <w:r>
        <w:rPr>
          <w:rFonts w:hint="eastAsia" w:ascii="宋体" w:hAnsi="宋体"/>
          <w:b w:val="0"/>
          <w:bCs w:val="0"/>
          <w:szCs w:val="21"/>
        </w:rPr>
        <w:t>总额的</w:t>
      </w:r>
      <w:r>
        <w:rPr>
          <w:rFonts w:hint="eastAsia" w:ascii="宋体" w:hAnsi="宋体"/>
          <w:b w:val="0"/>
          <w:bCs w:val="0"/>
          <w:szCs w:val="21"/>
          <w:lang w:val="en-US" w:eastAsia="zh-CN"/>
        </w:rPr>
        <w:t>5</w:t>
      </w:r>
      <w:r>
        <w:rPr>
          <w:rFonts w:hint="eastAsia" w:ascii="宋体" w:hAnsi="宋体"/>
          <w:b w:val="0"/>
          <w:bCs w:val="0"/>
          <w:szCs w:val="21"/>
        </w:rPr>
        <w:t>%；得分75分至80分(含75分) 的, 扣减</w:t>
      </w:r>
      <w:r>
        <w:rPr>
          <w:rFonts w:hint="eastAsia" w:ascii="宋体" w:hAnsi="宋体"/>
          <w:b w:val="0"/>
          <w:bCs w:val="0"/>
          <w:szCs w:val="21"/>
          <w:lang w:eastAsia="zh-CN"/>
        </w:rPr>
        <w:t>合同价</w:t>
      </w:r>
      <w:r>
        <w:rPr>
          <w:rFonts w:hint="eastAsia" w:ascii="宋体" w:hAnsi="宋体"/>
          <w:b w:val="0"/>
          <w:bCs w:val="0"/>
          <w:szCs w:val="21"/>
        </w:rPr>
        <w:t>总额的10%；得分7</w:t>
      </w:r>
      <w:r>
        <w:rPr>
          <w:rFonts w:hint="eastAsia" w:ascii="宋体" w:hAnsi="宋体"/>
          <w:b w:val="0"/>
          <w:bCs w:val="0"/>
          <w:szCs w:val="21"/>
          <w:lang w:val="en-US" w:eastAsia="zh-CN"/>
        </w:rPr>
        <w:t>0</w:t>
      </w:r>
      <w:r>
        <w:rPr>
          <w:rFonts w:hint="eastAsia" w:ascii="宋体" w:hAnsi="宋体"/>
          <w:b w:val="0"/>
          <w:bCs w:val="0"/>
          <w:szCs w:val="21"/>
        </w:rPr>
        <w:t>分至</w:t>
      </w:r>
      <w:r>
        <w:rPr>
          <w:rFonts w:hint="eastAsia" w:ascii="宋体" w:hAnsi="宋体"/>
          <w:b w:val="0"/>
          <w:bCs w:val="0"/>
          <w:szCs w:val="21"/>
          <w:lang w:val="en-US" w:eastAsia="zh-CN"/>
        </w:rPr>
        <w:t>75</w:t>
      </w:r>
      <w:r>
        <w:rPr>
          <w:rFonts w:hint="eastAsia" w:ascii="宋体" w:hAnsi="宋体"/>
          <w:b w:val="0"/>
          <w:bCs w:val="0"/>
          <w:szCs w:val="21"/>
        </w:rPr>
        <w:t>分(含7</w:t>
      </w:r>
      <w:r>
        <w:rPr>
          <w:rFonts w:hint="eastAsia" w:ascii="宋体" w:hAnsi="宋体"/>
          <w:b w:val="0"/>
          <w:bCs w:val="0"/>
          <w:szCs w:val="21"/>
          <w:lang w:val="en-US" w:eastAsia="zh-CN"/>
        </w:rPr>
        <w:t>0</w:t>
      </w:r>
      <w:r>
        <w:rPr>
          <w:rFonts w:hint="eastAsia" w:ascii="宋体" w:hAnsi="宋体"/>
          <w:b w:val="0"/>
          <w:bCs w:val="0"/>
          <w:szCs w:val="21"/>
        </w:rPr>
        <w:t>分) 的, 扣减</w:t>
      </w:r>
      <w:r>
        <w:rPr>
          <w:rFonts w:hint="eastAsia" w:ascii="宋体" w:hAnsi="宋体"/>
          <w:b w:val="0"/>
          <w:bCs w:val="0"/>
          <w:szCs w:val="21"/>
          <w:lang w:eastAsia="zh-CN"/>
        </w:rPr>
        <w:t>合同价</w:t>
      </w:r>
      <w:r>
        <w:rPr>
          <w:rFonts w:hint="eastAsia" w:ascii="宋体" w:hAnsi="宋体"/>
          <w:b w:val="0"/>
          <w:bCs w:val="0"/>
          <w:szCs w:val="21"/>
        </w:rPr>
        <w:t>总额的</w:t>
      </w:r>
      <w:r>
        <w:rPr>
          <w:rFonts w:hint="eastAsia" w:ascii="宋体" w:hAnsi="宋体"/>
          <w:b w:val="0"/>
          <w:bCs w:val="0"/>
          <w:szCs w:val="21"/>
          <w:lang w:val="en-US" w:eastAsia="zh-CN"/>
        </w:rPr>
        <w:t>2</w:t>
      </w:r>
      <w:r>
        <w:rPr>
          <w:rFonts w:hint="eastAsia" w:ascii="宋体" w:hAnsi="宋体"/>
          <w:b w:val="0"/>
          <w:bCs w:val="0"/>
          <w:szCs w:val="21"/>
        </w:rPr>
        <w:t>0%；得分</w:t>
      </w:r>
      <w:r>
        <w:rPr>
          <w:rFonts w:hint="eastAsia" w:ascii="宋体" w:hAnsi="宋体"/>
          <w:b w:val="0"/>
          <w:bCs w:val="0"/>
          <w:szCs w:val="21"/>
          <w:lang w:val="en-US" w:eastAsia="zh-CN"/>
        </w:rPr>
        <w:t>70</w:t>
      </w:r>
      <w:r>
        <w:rPr>
          <w:rFonts w:hint="eastAsia" w:ascii="宋体" w:hAnsi="宋体"/>
          <w:b w:val="0"/>
          <w:bCs w:val="0"/>
          <w:szCs w:val="21"/>
        </w:rPr>
        <w:t>分以下(不含</w:t>
      </w:r>
      <w:r>
        <w:rPr>
          <w:rFonts w:hint="eastAsia" w:ascii="宋体" w:hAnsi="宋体"/>
          <w:b w:val="0"/>
          <w:bCs w:val="0"/>
          <w:szCs w:val="21"/>
          <w:lang w:val="en-US" w:eastAsia="zh-CN"/>
        </w:rPr>
        <w:t>70</w:t>
      </w:r>
      <w:r>
        <w:rPr>
          <w:rFonts w:hint="eastAsia" w:ascii="宋体" w:hAnsi="宋体"/>
          <w:b w:val="0"/>
          <w:bCs w:val="0"/>
          <w:szCs w:val="21"/>
        </w:rPr>
        <w:t>分) 的, 扣减</w:t>
      </w:r>
      <w:r>
        <w:rPr>
          <w:rFonts w:hint="eastAsia" w:ascii="宋体" w:hAnsi="宋体"/>
          <w:b w:val="0"/>
          <w:bCs w:val="0"/>
          <w:szCs w:val="21"/>
          <w:lang w:eastAsia="zh-CN"/>
        </w:rPr>
        <w:t>合同价</w:t>
      </w:r>
      <w:r>
        <w:rPr>
          <w:rFonts w:hint="eastAsia" w:ascii="宋体" w:hAnsi="宋体"/>
          <w:b w:val="0"/>
          <w:bCs w:val="0"/>
          <w:szCs w:val="21"/>
        </w:rPr>
        <w:t>总额的</w:t>
      </w:r>
      <w:r>
        <w:rPr>
          <w:rFonts w:hint="eastAsia" w:ascii="宋体" w:hAnsi="宋体"/>
          <w:b w:val="0"/>
          <w:bCs w:val="0"/>
          <w:szCs w:val="21"/>
          <w:lang w:val="en-US" w:eastAsia="zh-CN"/>
        </w:rPr>
        <w:t>3</w:t>
      </w:r>
      <w:r>
        <w:rPr>
          <w:rFonts w:hint="eastAsia" w:ascii="宋体" w:hAnsi="宋体"/>
          <w:b w:val="0"/>
          <w:bCs w:val="0"/>
          <w:szCs w:val="21"/>
        </w:rPr>
        <w:t>0%</w:t>
      </w:r>
      <w:r>
        <w:rPr>
          <w:rFonts w:hint="eastAsia" w:ascii="宋体" w:hAnsi="宋体"/>
          <w:b w:val="0"/>
          <w:bCs w:val="0"/>
          <w:szCs w:val="21"/>
          <w:lang w:eastAsia="zh-CN"/>
        </w:rPr>
        <w:t>，</w:t>
      </w:r>
      <w:r>
        <w:rPr>
          <w:rFonts w:hint="eastAsia" w:cs="仿宋"/>
          <w:color w:val="auto"/>
          <w:sz w:val="21"/>
          <w:szCs w:val="21"/>
        </w:rPr>
        <w:t>直接解除合同，并由</w:t>
      </w:r>
      <w:r>
        <w:rPr>
          <w:rFonts w:hint="eastAsia" w:cs="仿宋"/>
          <w:color w:val="auto"/>
          <w:sz w:val="21"/>
          <w:szCs w:val="21"/>
          <w:lang w:eastAsia="zh-CN"/>
        </w:rPr>
        <w:t>中标方</w:t>
      </w:r>
      <w:r>
        <w:rPr>
          <w:rFonts w:hint="eastAsia" w:cs="仿宋"/>
          <w:color w:val="auto"/>
          <w:sz w:val="21"/>
          <w:szCs w:val="21"/>
        </w:rPr>
        <w:t>承担相关责任</w:t>
      </w:r>
      <w:r>
        <w:rPr>
          <w:rFonts w:hint="eastAsia" w:ascii="宋体" w:hAnsi="宋体"/>
          <w:b w:val="0"/>
          <w:bCs w:val="0"/>
          <w:sz w:val="15"/>
          <w:szCs w:val="15"/>
        </w:rPr>
        <w:t>。</w:t>
      </w:r>
    </w:p>
    <w:p>
      <w:pPr>
        <w:pStyle w:val="2"/>
        <w:rPr>
          <w:rFonts w:hint="eastAsia"/>
          <w:lang w:eastAsia="zh-CN"/>
        </w:rPr>
      </w:pPr>
    </w:p>
    <w:p>
      <w:pPr>
        <w:pStyle w:val="7"/>
        <w:spacing w:before="120" w:beforeLines="50" w:after="120" w:afterLines="50"/>
        <w:jc w:val="center"/>
        <w:rPr>
          <w:szCs w:val="24"/>
        </w:rPr>
      </w:pPr>
      <w:r>
        <w:rPr>
          <w:rFonts w:hint="eastAsia"/>
          <w:szCs w:val="24"/>
          <w:lang w:val="en-US" w:eastAsia="zh-CN"/>
        </w:rPr>
        <w:t>六</w:t>
      </w:r>
      <w:r>
        <w:rPr>
          <w:rFonts w:hint="eastAsia"/>
          <w:szCs w:val="24"/>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r>
        <w:rPr>
          <w:rFonts w:hint="eastAsia"/>
        </w:rPr>
        <w:br w:type="page"/>
      </w:r>
    </w:p>
    <w:p>
      <w:pPr>
        <w:pStyle w:val="7"/>
        <w:jc w:val="center"/>
        <w:rPr>
          <w:kern w:val="2"/>
        </w:rPr>
      </w:pPr>
      <w:r>
        <w:rPr>
          <w:rFonts w:hint="eastAsia"/>
          <w:kern w:val="2"/>
        </w:rPr>
        <w:t>第四章 投标文件组成要求及格式</w:t>
      </w:r>
    </w:p>
    <w:p>
      <w:pPr>
        <w:rPr>
          <w:rStyle w:val="34"/>
          <w:sz w:val="24"/>
        </w:rPr>
      </w:pPr>
      <w:r>
        <w:rPr>
          <w:rStyle w:val="34"/>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6"/>
                    <a:stretch>
                      <a:fillRect/>
                    </a:stretch>
                  </pic:blipFill>
                  <pic:spPr>
                    <a:xfrm>
                      <a:off x="0" y="0"/>
                      <a:ext cx="5203190" cy="4043045"/>
                    </a:xfrm>
                    <a:prstGeom prst="rect">
                      <a:avLst/>
                    </a:prstGeom>
                  </pic:spPr>
                </pic:pic>
              </a:graphicData>
            </a:graphic>
          </wp:inline>
        </w:drawing>
      </w:r>
    </w:p>
    <w:p>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pPr>
        <w:ind w:firstLine="480" w:firstLineChars="200"/>
        <w:rPr>
          <w:rFonts w:ascii="仿宋_GB2312" w:eastAsia="仿宋_GB2312"/>
          <w:sz w:val="24"/>
        </w:rPr>
      </w:pPr>
    </w:p>
    <w:p>
      <w:pPr>
        <w:ind w:firstLine="482" w:firstLineChars="200"/>
        <w:rPr>
          <w:rFonts w:ascii="宋体" w:hAnsi="宋体"/>
          <w:b/>
          <w:sz w:val="24"/>
        </w:rPr>
      </w:pPr>
    </w:p>
    <w:p>
      <w:pPr>
        <w:rPr>
          <w:rFonts w:ascii="宋体" w:hAnsi="宋体"/>
          <w:sz w:val="24"/>
        </w:rPr>
      </w:pPr>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31" w:name="_Hlk72070784"/>
      <w:r>
        <w:rPr>
          <w:rFonts w:hint="eastAsia"/>
          <w:szCs w:val="21"/>
        </w:rPr>
        <w:t>投标函</w:t>
      </w:r>
      <w:bookmarkEnd w:id="31"/>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highlight w:val="yellow"/>
        </w:rPr>
      </w:pPr>
      <w:r>
        <w:rPr>
          <w:rFonts w:hint="eastAsia"/>
          <w:szCs w:val="21"/>
        </w:rPr>
        <w:t>（</w:t>
      </w:r>
      <w:r>
        <w:rPr>
          <w:rFonts w:hint="eastAsia"/>
          <w:szCs w:val="21"/>
          <w:lang w:val="en-US" w:eastAsia="zh-CN"/>
        </w:rPr>
        <w:t>5</w:t>
      </w:r>
      <w:r>
        <w:rPr>
          <w:rFonts w:hint="eastAsia"/>
          <w:szCs w:val="21"/>
        </w:rPr>
        <w:t>）</w:t>
      </w:r>
      <w:r>
        <w:rPr>
          <w:rFonts w:hint="eastAsia"/>
          <w:szCs w:val="21"/>
          <w:highlight w:val="yellow"/>
        </w:rPr>
        <w:t>投标人通过相关认证情况</w:t>
      </w:r>
    </w:p>
    <w:p>
      <w:pPr>
        <w:ind w:left="718" w:leftChars="342" w:firstLine="1417" w:firstLineChars="675"/>
        <w:rPr>
          <w:rFonts w:hint="eastAsia"/>
          <w:szCs w:val="21"/>
          <w:highlight w:val="yellow"/>
        </w:rPr>
      </w:pPr>
      <w:r>
        <w:rPr>
          <w:rFonts w:hint="eastAsia"/>
          <w:szCs w:val="21"/>
          <w:highlight w:val="yellow"/>
          <w:lang w:eastAsia="zh-CN"/>
        </w:rPr>
        <w:t>（</w:t>
      </w:r>
      <w:r>
        <w:rPr>
          <w:rFonts w:hint="eastAsia"/>
          <w:szCs w:val="21"/>
          <w:highlight w:val="yellow"/>
          <w:lang w:val="en-US" w:eastAsia="zh-CN"/>
        </w:rPr>
        <w:t>6</w:t>
      </w:r>
      <w:r>
        <w:rPr>
          <w:rFonts w:hint="eastAsia"/>
          <w:szCs w:val="21"/>
          <w:highlight w:val="yellow"/>
          <w:lang w:eastAsia="zh-CN"/>
        </w:rPr>
        <w:t>）</w:t>
      </w:r>
      <w:r>
        <w:rPr>
          <w:rFonts w:hint="eastAsia"/>
          <w:szCs w:val="21"/>
          <w:highlight w:val="yellow"/>
        </w:rPr>
        <w:t>投标人同类项目业绩情况</w:t>
      </w:r>
    </w:p>
    <w:p>
      <w:pPr>
        <w:ind w:left="718" w:leftChars="342" w:firstLine="1417" w:firstLineChars="675"/>
        <w:rPr>
          <w:rFonts w:hint="eastAsia"/>
          <w:szCs w:val="21"/>
          <w:highlight w:val="yellow"/>
        </w:rPr>
      </w:pPr>
      <w:r>
        <w:rPr>
          <w:rFonts w:hint="eastAsia"/>
          <w:szCs w:val="21"/>
          <w:highlight w:val="yellow"/>
          <w:lang w:eastAsia="zh-CN"/>
        </w:rPr>
        <w:t>（</w:t>
      </w:r>
      <w:r>
        <w:rPr>
          <w:rFonts w:hint="eastAsia"/>
          <w:szCs w:val="21"/>
          <w:highlight w:val="yellow"/>
          <w:lang w:val="en-US" w:eastAsia="zh-CN"/>
        </w:rPr>
        <w:t>7</w:t>
      </w:r>
      <w:r>
        <w:rPr>
          <w:rFonts w:hint="eastAsia"/>
          <w:szCs w:val="21"/>
          <w:highlight w:val="yellow"/>
          <w:lang w:eastAsia="zh-CN"/>
        </w:rPr>
        <w:t>）</w:t>
      </w:r>
      <w:r>
        <w:rPr>
          <w:rFonts w:hint="eastAsia"/>
          <w:szCs w:val="21"/>
          <w:highlight w:val="yellow"/>
        </w:rPr>
        <w:t>拟投入的车辆和设备情况</w:t>
      </w:r>
    </w:p>
    <w:p>
      <w:pPr>
        <w:ind w:left="718" w:leftChars="342" w:firstLine="1417" w:firstLineChars="675"/>
        <w:rPr>
          <w:rFonts w:hint="eastAsia"/>
          <w:szCs w:val="21"/>
          <w:lang w:eastAsia="zh-CN"/>
        </w:rPr>
      </w:pPr>
      <w:r>
        <w:rPr>
          <w:rFonts w:hint="eastAsia"/>
          <w:szCs w:val="21"/>
          <w:highlight w:val="yellow"/>
          <w:lang w:eastAsia="zh-CN"/>
        </w:rPr>
        <w:t>（</w:t>
      </w:r>
      <w:r>
        <w:rPr>
          <w:rFonts w:hint="eastAsia"/>
          <w:szCs w:val="21"/>
          <w:highlight w:val="yellow"/>
          <w:lang w:val="en-US" w:eastAsia="zh-CN"/>
        </w:rPr>
        <w:t>8</w:t>
      </w:r>
      <w:r>
        <w:rPr>
          <w:rFonts w:hint="eastAsia"/>
          <w:szCs w:val="21"/>
          <w:highlight w:val="yellow"/>
          <w:lang w:eastAsia="zh-CN"/>
        </w:rPr>
        <w:t>）</w:t>
      </w:r>
      <w:r>
        <w:rPr>
          <w:rFonts w:hint="eastAsia"/>
          <w:szCs w:val="21"/>
          <w:highlight w:val="yellow"/>
        </w:rPr>
        <w:t>投标人获奖情况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）实施方案</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）项目重点难点分析、应对措施及相关的合理化建议</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）质量保障措施及应急方案</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）项目进度的保证措施及违约承诺</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）拟安排的项目负责人情况（仅限一人）：</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）拟安排的团队成员情况（项目负责人除外）</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pPr>
        <w:rPr>
          <w:rFonts w:ascii="仿宋_GB2312" w:eastAsia="仿宋_GB2312"/>
          <w:sz w:val="24"/>
        </w:rPr>
      </w:pPr>
    </w:p>
    <w:p>
      <w:pPr>
        <w:rPr>
          <w:rFonts w:ascii="宋体" w:hAnsi="宋体"/>
          <w:b/>
          <w:szCs w:val="21"/>
        </w:rPr>
      </w:pPr>
    </w:p>
    <w:p>
      <w:pPr>
        <w:rPr>
          <w:rFonts w:ascii="宋体" w:hAnsi="宋体"/>
          <w:b/>
          <w:szCs w:val="21"/>
        </w:rPr>
      </w:pP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2"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3" w:name="_Hlk72263588"/>
      <w:r>
        <w:rPr>
          <w:rFonts w:hint="eastAsia"/>
          <w:szCs w:val="21"/>
        </w:rPr>
        <w:t>愿意按照招标文件要求承包上述项目并修补其任何缺陷。</w:t>
      </w:r>
      <w:bookmarkEnd w:id="33"/>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4" w:name="_Hlk73819847"/>
      <w:r>
        <w:rPr>
          <w:rFonts w:hint="eastAsia" w:ascii="宋体" w:hAnsi="宋体"/>
          <w:szCs w:val="21"/>
        </w:rPr>
        <w:t>投标价格见</w:t>
      </w:r>
      <w:r>
        <w:rPr>
          <w:rFonts w:hint="eastAsia"/>
          <w:szCs w:val="21"/>
        </w:rPr>
        <w:t>投标书编制软件中《开标一览表》中填写的投标总价。</w:t>
      </w:r>
      <w:bookmarkEnd w:id="34"/>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2"/>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rPr>
          <w:rFonts w:ascii="宋体" w:hAnsi="宋体"/>
          <w:b/>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宋体" w:hAnsi="宋体"/>
          <w:szCs w:val="21"/>
        </w:rPr>
      </w:pPr>
    </w:p>
    <w:p>
      <w:pPr>
        <w:pStyle w:val="5"/>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pPr>
        <w:rPr>
          <w:rFonts w:ascii="宋体" w:hAnsi="宋体"/>
          <w:sz w:val="24"/>
        </w:rPr>
      </w:pPr>
    </w:p>
    <w:p>
      <w:pPr>
        <w:rPr>
          <w:rFonts w:ascii="宋体" w:hAnsi="宋体"/>
          <w:color w:val="FF0000"/>
          <w:szCs w:val="21"/>
        </w:rPr>
      </w:pPr>
      <w:bookmarkStart w:id="35"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6" w:name="_Hlk72587269"/>
      <w:bookmarkStart w:id="37"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6"/>
      <w:r>
        <w:rPr>
          <w:rFonts w:hint="eastAsia" w:ascii="宋体" w:hAnsi="宋体"/>
          <w:szCs w:val="21"/>
        </w:rPr>
        <w:t>。</w:t>
      </w:r>
    </w:p>
    <w:bookmarkEnd w:id="37"/>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5"/>
    <w:p>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pPr>
        <w:rPr>
          <w:rFonts w:ascii="宋体" w:hAnsi="宋体"/>
          <w:szCs w:val="21"/>
        </w:rPr>
      </w:pPr>
    </w:p>
    <w:p>
      <w:pPr>
        <w:rPr>
          <w:rFonts w:ascii="宋体" w:hAnsi="宋体"/>
          <w:szCs w:val="21"/>
        </w:rPr>
      </w:pPr>
    </w:p>
    <w:p/>
    <w:p/>
    <w:p>
      <w:pPr>
        <w:pStyle w:val="5"/>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ind w:firstLine="482" w:firstLineChars="200"/>
        <w:rPr>
          <w:b/>
          <w:sz w:val="24"/>
        </w:rPr>
      </w:pPr>
    </w:p>
    <w:p>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8"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8"/>
      <w:r>
        <w:rPr>
          <w:rFonts w:hint="eastAsia" w:ascii="黑体" w:hAnsi="黑体" w:eastAsia="黑体"/>
          <w:color w:val="FF0000"/>
          <w:szCs w:val="21"/>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5、本项目属于服务类项目，相关服务承接商应当为中小企业或残疾人福利性单位或监狱企业，如包含硬件设备、产品等货物采购的，不再对其中涉及的货物制造商作出要求。</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w:t>
      </w:r>
      <w:r>
        <w:rPr>
          <w:rFonts w:hint="eastAsia"/>
          <w:b/>
          <w:sz w:val="24"/>
        </w:rPr>
        <w:t>服务</w:t>
      </w:r>
      <w:r>
        <w:rPr>
          <w:b/>
          <w:sz w:val="24"/>
        </w:rPr>
        <w:t>）</w:t>
      </w:r>
    </w:p>
    <w:p>
      <w:pPr>
        <w:pStyle w:val="2"/>
        <w:numPr>
          <w:ilvl w:val="0"/>
          <w:numId w:val="0"/>
        </w:num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39"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39"/>
    </w:p>
    <w:p>
      <w:pPr>
        <w:ind w:firstLine="420" w:firstLineChars="200"/>
      </w:pPr>
    </w:p>
    <w:p>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ind w:firstLine="420" w:firstLineChars="200"/>
        <w:outlineLvl w:val="9"/>
        <w:rPr>
          <w:rFonts w:ascii="宋体" w:hAnsi="宋体"/>
          <w:szCs w:val="21"/>
        </w:rPr>
      </w:pPr>
      <w:r>
        <w:rPr>
          <w:rFonts w:ascii="宋体" w:hAnsi="宋体"/>
          <w:szCs w:val="21"/>
        </w:rPr>
        <w:t xml:space="preserve">…… </w:t>
      </w:r>
    </w:p>
    <w:p>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pPr>
        <w:ind w:left="723" w:hanging="723" w:hangingChars="300"/>
        <w:rPr>
          <w:b/>
          <w:sz w:val="24"/>
        </w:rPr>
      </w:pPr>
    </w:p>
    <w:p>
      <w:pPr>
        <w:ind w:left="723" w:hanging="723" w:hangingChars="300"/>
        <w:rPr>
          <w:b/>
          <w:sz w:val="24"/>
        </w:rPr>
      </w:pPr>
    </w:p>
    <w:p>
      <w:pPr>
        <w:pStyle w:val="5"/>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以上各项之和</w:t>
            </w:r>
          </w:p>
        </w:tc>
      </w:tr>
    </w:tbl>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pPr>
        <w:pStyle w:val="2"/>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pPr>
        <w:tabs>
          <w:tab w:val="left" w:pos="720"/>
        </w:tabs>
        <w:jc w:val="center"/>
        <w:rPr>
          <w:b/>
          <w:sz w:val="24"/>
        </w:rPr>
      </w:pPr>
      <w:r>
        <w:rPr>
          <w:rFonts w:hint="eastAsia"/>
          <w:b/>
          <w:sz w:val="24"/>
        </w:rPr>
        <w:t>（二）</w:t>
      </w:r>
      <w:bookmarkStart w:id="40" w:name="_Hlk72073235"/>
      <w:r>
        <w:rPr>
          <w:rFonts w:hint="eastAsia"/>
          <w:b/>
          <w:sz w:val="24"/>
        </w:rPr>
        <w:t>投标人认为需要涉及的其他内容报价清单</w:t>
      </w:r>
      <w:bookmarkEnd w:id="40"/>
    </w:p>
    <w:p>
      <w:pPr>
        <w:rPr>
          <w:b/>
          <w:bCs/>
        </w:rPr>
      </w:pPr>
    </w:p>
    <w:p>
      <w:pPr>
        <w:pStyle w:val="3"/>
      </w:pPr>
    </w:p>
    <w:p>
      <w:pPr>
        <w:ind w:left="718" w:leftChars="342" w:firstLine="1417" w:firstLineChars="675"/>
        <w:jc w:val="center"/>
        <w:rPr>
          <w:rFonts w:hint="eastAsia"/>
          <w:szCs w:val="21"/>
          <w:highlight w:val="yellow"/>
        </w:rPr>
      </w:pPr>
      <w:r>
        <w:rPr>
          <w:rFonts w:hint="eastAsia"/>
          <w:lang w:val="en-US" w:eastAsia="zh-CN"/>
        </w:rPr>
        <w:t>五、</w:t>
      </w:r>
      <w:r>
        <w:rPr>
          <w:rFonts w:hint="eastAsia"/>
          <w:szCs w:val="21"/>
          <w:highlight w:val="yellow"/>
        </w:rPr>
        <w:t>投标人通过相关认证情况</w:t>
      </w:r>
    </w:p>
    <w:p>
      <w:pPr>
        <w:ind w:left="718" w:leftChars="342" w:firstLine="1417" w:firstLineChars="675"/>
        <w:jc w:val="center"/>
        <w:rPr>
          <w:rFonts w:hint="eastAsia"/>
          <w:szCs w:val="21"/>
          <w:highlight w:val="yellow"/>
        </w:rPr>
      </w:pPr>
      <w:r>
        <w:rPr>
          <w:rFonts w:hint="eastAsia"/>
          <w:szCs w:val="21"/>
          <w:highlight w:val="yellow"/>
          <w:lang w:val="en-US" w:eastAsia="zh-CN"/>
        </w:rPr>
        <w:t>六、</w:t>
      </w:r>
      <w:r>
        <w:rPr>
          <w:rFonts w:hint="eastAsia"/>
          <w:szCs w:val="21"/>
          <w:highlight w:val="yellow"/>
        </w:rPr>
        <w:t>投标人自主知识产权产品（创新、设计）情况</w:t>
      </w:r>
    </w:p>
    <w:p>
      <w:pPr>
        <w:ind w:left="718" w:leftChars="342" w:firstLine="1417" w:firstLineChars="675"/>
        <w:jc w:val="center"/>
        <w:rPr>
          <w:rFonts w:hint="eastAsia"/>
          <w:szCs w:val="21"/>
          <w:highlight w:val="yellow"/>
        </w:rPr>
      </w:pPr>
      <w:r>
        <w:rPr>
          <w:rFonts w:hint="eastAsia"/>
          <w:szCs w:val="21"/>
          <w:highlight w:val="yellow"/>
          <w:lang w:val="en-US" w:eastAsia="zh-CN"/>
        </w:rPr>
        <w:t>七、</w:t>
      </w:r>
      <w:r>
        <w:rPr>
          <w:rFonts w:hint="eastAsia"/>
          <w:szCs w:val="21"/>
          <w:highlight w:val="yellow"/>
        </w:rPr>
        <w:t>投标人同类项目业绩情况</w:t>
      </w:r>
    </w:p>
    <w:p>
      <w:pPr>
        <w:ind w:firstLine="630" w:firstLineChars="300"/>
        <w:jc w:val="center"/>
        <w:rPr>
          <w:sz w:val="24"/>
        </w:rPr>
      </w:pPr>
      <w:r>
        <w:rPr>
          <w:rFonts w:hint="eastAsia"/>
          <w:szCs w:val="21"/>
          <w:highlight w:val="yellow"/>
          <w:lang w:val="en-US" w:eastAsia="zh-CN"/>
        </w:rPr>
        <w:t>八、</w:t>
      </w:r>
      <w:r>
        <w:rPr>
          <w:rFonts w:hint="eastAsia"/>
          <w:szCs w:val="21"/>
          <w:highlight w:val="yellow"/>
        </w:rPr>
        <w:t>拟投入的车辆和设备情况</w:t>
      </w:r>
    </w:p>
    <w:p/>
    <w:p>
      <w:pPr>
        <w:pStyle w:val="2"/>
        <w:ind w:firstLine="0" w:firstLineChars="0"/>
      </w:pPr>
    </w:p>
    <w:p>
      <w:pPr>
        <w:pStyle w:val="3"/>
      </w:pPr>
    </w:p>
    <w:p>
      <w:pPr>
        <w:pStyle w:val="3"/>
      </w:pPr>
    </w:p>
    <w:p/>
    <w:p/>
    <w:p>
      <w:pPr>
        <w:ind w:firstLine="1446" w:firstLineChars="600"/>
        <w:rPr>
          <w:b/>
          <w:color w:val="FF0000"/>
          <w:sz w:val="24"/>
        </w:rPr>
      </w:pPr>
      <w:r>
        <w:rPr>
          <w:rFonts w:hint="eastAsia"/>
          <w:b/>
          <w:color w:val="FF0000"/>
          <w:sz w:val="24"/>
        </w:rPr>
        <w:t>（信息公开部分的内容到此为止！以下为信息不公开部分。）</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rPr>
          <w:rFonts w:ascii="仿宋_GB2312" w:eastAsia="仿宋_GB2312"/>
          <w:b/>
          <w:sz w:val="30"/>
          <w:szCs w:val="30"/>
        </w:rPr>
      </w:pPr>
      <w:r>
        <w:rPr>
          <w:rFonts w:hint="eastAsia" w:ascii="仿宋_GB2312" w:eastAsia="仿宋_GB2312"/>
          <w:b/>
          <w:sz w:val="30"/>
          <w:szCs w:val="30"/>
        </w:rPr>
        <w:br w:type="page"/>
      </w:r>
    </w:p>
    <w:p>
      <w:pPr>
        <w:outlineLvl w:val="1"/>
        <w:rPr>
          <w:rFonts w:ascii="宋体" w:hAnsi="宋体"/>
          <w:b/>
          <w:color w:val="FF0000"/>
          <w:sz w:val="28"/>
          <w:szCs w:val="28"/>
        </w:rPr>
      </w:pPr>
      <w:r>
        <w:rPr>
          <w:rFonts w:hint="eastAsia" w:ascii="宋体" w:hAnsi="宋体"/>
          <w:b/>
          <w:color w:val="FF0000"/>
          <w:sz w:val="28"/>
          <w:szCs w:val="28"/>
        </w:rPr>
        <w:t>投标文件附件（信息不公开部分）</w:t>
      </w:r>
    </w:p>
    <w:p>
      <w:pPr>
        <w:pStyle w:val="5"/>
        <w:jc w:val="center"/>
        <w:rPr>
          <w:sz w:val="24"/>
        </w:rPr>
      </w:pPr>
      <w:r>
        <w:rPr>
          <w:rFonts w:hint="eastAsia" w:ascii="黑体" w:eastAsia="黑体"/>
          <w:b w:val="0"/>
          <w:sz w:val="24"/>
        </w:rPr>
        <w:t>一、</w:t>
      </w:r>
      <w:bookmarkStart w:id="41" w:name="_Hlk72092499"/>
      <w:r>
        <w:rPr>
          <w:rFonts w:hint="eastAsia" w:ascii="黑体" w:eastAsia="黑体"/>
          <w:b w:val="0"/>
          <w:sz w:val="24"/>
        </w:rPr>
        <w:t>供应商基本情况表</w:t>
      </w:r>
      <w:bookmarkEnd w:id="41"/>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pStyle w:val="5"/>
        <w:spacing w:before="120" w:after="120"/>
        <w:jc w:val="center"/>
        <w:rPr>
          <w:rFonts w:ascii="黑体" w:eastAsia="黑体"/>
          <w:b w:val="0"/>
          <w:sz w:val="24"/>
        </w:rPr>
      </w:pPr>
      <w:r>
        <w:rPr>
          <w:rFonts w:hint="eastAsia" w:ascii="黑体" w:eastAsia="黑体"/>
          <w:b w:val="0"/>
          <w:sz w:val="24"/>
        </w:rPr>
        <w:t>二、法定代表人（负责人）证明书</w:t>
      </w:r>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7"/>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7"/>
        <w:rPr>
          <w:rFonts w:hint="eastAsia" w:ascii="黑体" w:hAnsi="黑体" w:eastAsia="黑体" w:cs="黑体"/>
          <w:b/>
          <w:bCs/>
          <w:color w:val="auto"/>
          <w:sz w:val="24"/>
          <w:szCs w:val="24"/>
          <w:u w:val="none"/>
          <w:lang w:val="en-US" w:eastAsia="zh-CN"/>
        </w:rPr>
      </w:pPr>
    </w:p>
    <w:p>
      <w:pPr>
        <w:ind w:firstLine="482" w:firstLineChars="200"/>
        <w:rPr>
          <w:rFonts w:hint="eastAsia"/>
          <w:b/>
          <w:sz w:val="24"/>
          <w:szCs w:val="22"/>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16"/>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pPr>
        <w:pStyle w:val="16"/>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2" w:name="_Hlk72092634"/>
      <w:r>
        <w:rPr>
          <w:rFonts w:hint="eastAsia" w:ascii="黑体" w:eastAsia="黑体"/>
          <w:b w:val="0"/>
          <w:kern w:val="0"/>
          <w:sz w:val="24"/>
          <w:szCs w:val="24"/>
        </w:rPr>
        <w:t>实质性条款响应情况表</w:t>
      </w:r>
      <w:bookmarkEnd w:id="42"/>
    </w:p>
    <w:p>
      <w:pPr>
        <w:pStyle w:val="37"/>
      </w:pP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43" w:name="_Hlk72092651"/>
            <w:r>
              <w:rPr>
                <w:rFonts w:hint="eastAsia" w:ascii="宋体" w:hAnsi="宋体"/>
                <w:kern w:val="0"/>
                <w:szCs w:val="21"/>
              </w:rPr>
              <w:t>序号</w:t>
            </w:r>
          </w:p>
        </w:tc>
        <w:tc>
          <w:tcPr>
            <w:tcW w:w="2788"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Pr>
        <w:pStyle w:val="37"/>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五、实施方案</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六、项目重点难点分析、应对措施及相关的合理化建议</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七、质量保障措施及应急方案</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八、项目进度的保证措施及违约承诺</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九、拟安排的项目负责人情况（仅限一人）：</w:t>
      </w:r>
    </w:p>
    <w:p>
      <w:pPr>
        <w:pStyle w:val="5"/>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十、拟安排的团队成员情况（项目负责人除外）</w:t>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投标人认为需要加以说明的其他内容</w:t>
      </w: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pPr>
        <w:widowControl/>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autoSpaceDE w:val="0"/>
        <w:autoSpaceDN w:val="0"/>
        <w:spacing w:line="400" w:lineRule="exact"/>
        <w:ind w:right="1414" w:firstLine="480" w:firstLineChars="200"/>
        <w:jc w:val="right"/>
        <w:rPr>
          <w:rFonts w:eastAsiaTheme="minorEastAsia"/>
          <w:kern w:val="0"/>
          <w:sz w:val="24"/>
        </w:rPr>
      </w:pPr>
    </w:p>
    <w:p>
      <w:pPr>
        <w:widowControl/>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
      <w:pPr>
        <w:pStyle w:val="2"/>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pPr>
        <w:pStyle w:val="2"/>
      </w:pPr>
    </w:p>
    <w:p>
      <w:pPr>
        <w:pStyle w:val="7"/>
        <w:jc w:val="center"/>
        <w:outlineLvl w:val="2"/>
      </w:pPr>
      <w:r>
        <w:rPr>
          <w:rFonts w:hint="eastAsia"/>
        </w:rPr>
        <w:t>第五章  合同条款及格式</w:t>
      </w:r>
    </w:p>
    <w:p>
      <w:pPr>
        <w:ind w:firstLine="411" w:firstLineChars="196"/>
      </w:pPr>
    </w:p>
    <w:p>
      <w:pPr>
        <w:jc w:val="center"/>
        <w:outlineLvl w:val="9"/>
      </w:pPr>
      <w:r>
        <w:rPr>
          <w:rFonts w:hint="eastAsia"/>
          <w:b/>
          <w:sz w:val="24"/>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8"/>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rPr>
        <w:t>１、应按照招标文件、投标文件要求按期完成本项目服务工作。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hint="eastAsia" w:ascii="宋体" w:hAnsi="宋体"/>
          <w:szCs w:val="21"/>
        </w:rPr>
      </w:pPr>
      <w:r>
        <w:rPr>
          <w:rFonts w:hint="eastAsia" w:ascii="宋体" w:hAnsi="宋体"/>
          <w:szCs w:val="21"/>
        </w:rPr>
        <w:t>（1）政府采购合同协议书及其变更、补充协议</w:t>
      </w:r>
    </w:p>
    <w:p>
      <w:pPr>
        <w:ind w:firstLine="420" w:firstLineChars="200"/>
        <w:rPr>
          <w:rFonts w:hint="eastAsia" w:ascii="宋体" w:hAnsi="宋体"/>
          <w:szCs w:val="21"/>
        </w:rPr>
      </w:pPr>
      <w:r>
        <w:rPr>
          <w:rFonts w:hint="eastAsia" w:ascii="宋体" w:hAnsi="宋体"/>
          <w:szCs w:val="21"/>
        </w:rPr>
        <w:t>（2）政府采购合同专用条款</w:t>
      </w:r>
    </w:p>
    <w:p>
      <w:pPr>
        <w:ind w:firstLine="420" w:firstLineChars="200"/>
        <w:rPr>
          <w:rFonts w:hint="eastAsia" w:ascii="宋体" w:hAnsi="宋体"/>
          <w:szCs w:val="21"/>
        </w:rPr>
      </w:pPr>
      <w:r>
        <w:rPr>
          <w:rFonts w:hint="eastAsia" w:ascii="宋体" w:hAnsi="宋体"/>
          <w:szCs w:val="21"/>
        </w:rPr>
        <w:t>（3）政府采购合同通用条款</w:t>
      </w:r>
    </w:p>
    <w:p>
      <w:pPr>
        <w:ind w:firstLine="420" w:firstLineChars="200"/>
        <w:rPr>
          <w:rFonts w:hint="eastAsia" w:ascii="宋体" w:hAnsi="宋体"/>
          <w:szCs w:val="21"/>
        </w:rPr>
      </w:pPr>
      <w:r>
        <w:rPr>
          <w:rFonts w:hint="eastAsia" w:ascii="宋体" w:hAnsi="宋体"/>
          <w:szCs w:val="21"/>
        </w:rPr>
        <w:t>（4）中标（成交）通知书</w:t>
      </w:r>
    </w:p>
    <w:p>
      <w:pPr>
        <w:ind w:firstLine="420" w:firstLineChars="200"/>
        <w:rPr>
          <w:rFonts w:hint="eastAsia" w:ascii="宋体" w:hAnsi="宋体"/>
          <w:szCs w:val="21"/>
        </w:rPr>
      </w:pPr>
      <w:r>
        <w:rPr>
          <w:rFonts w:hint="eastAsia" w:ascii="宋体" w:hAnsi="宋体"/>
          <w:szCs w:val="21"/>
        </w:rPr>
        <w:t>（5）投标（响应）文件</w:t>
      </w:r>
    </w:p>
    <w:p>
      <w:pPr>
        <w:ind w:firstLine="420" w:firstLineChars="200"/>
        <w:rPr>
          <w:rFonts w:hint="eastAsia" w:ascii="宋体" w:hAnsi="宋体"/>
          <w:szCs w:val="21"/>
        </w:rPr>
      </w:pPr>
      <w:r>
        <w:rPr>
          <w:rFonts w:hint="eastAsia" w:ascii="宋体" w:hAnsi="宋体"/>
          <w:szCs w:val="21"/>
        </w:rPr>
        <w:t>（6）采购文件</w:t>
      </w:r>
    </w:p>
    <w:p>
      <w:pPr>
        <w:ind w:firstLine="420" w:firstLineChars="200"/>
        <w:rPr>
          <w:rFonts w:hint="eastAsia"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ascii="宋体" w:hAnsi="宋体"/>
          <w:szCs w:val="21"/>
        </w:rPr>
      </w:pPr>
      <w:r>
        <w:rPr>
          <w:rFonts w:hint="eastAsia" w:ascii="宋体" w:hAnsi="宋体"/>
          <w:szCs w:val="21"/>
        </w:rPr>
        <w:t>委托代理人：                     委托代理人：</w:t>
      </w:r>
    </w:p>
    <w:p>
      <w:pPr>
        <w:ind w:firstLine="420" w:firstLineChars="200"/>
        <w:rPr>
          <w:rFonts w:ascii="宋体" w:hAnsi="宋体"/>
          <w:szCs w:val="21"/>
        </w:rPr>
      </w:pPr>
      <w:r>
        <w:rPr>
          <w:rFonts w:hint="eastAsia" w:ascii="宋体" w:hAnsi="宋体"/>
          <w:szCs w:val="21"/>
        </w:rPr>
        <w:t>日期：   年     月    日         日期：   年     月    日</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widowControl/>
        <w:jc w:val="left"/>
        <w:rPr>
          <w:rFonts w:ascii="宋体" w:hAnsi="宋体"/>
          <w:szCs w:val="21"/>
        </w:rPr>
      </w:pPr>
      <w:r>
        <w:rPr>
          <w:rFonts w:ascii="宋体" w:hAnsi="宋体"/>
          <w:szCs w:val="21"/>
        </w:rPr>
        <w:br w:type="page"/>
      </w:r>
    </w:p>
    <w:p>
      <w:pPr>
        <w:pStyle w:val="7"/>
        <w:spacing w:before="120" w:beforeLines="50" w:after="120" w:afterLines="50"/>
        <w:ind w:left="562"/>
        <w:jc w:val="center"/>
        <w:rPr>
          <w:sz w:val="28"/>
          <w:szCs w:val="28"/>
        </w:rPr>
      </w:pPr>
      <w:r>
        <w:rPr>
          <w:rFonts w:hint="eastAsia"/>
          <w:sz w:val="28"/>
          <w:szCs w:val="28"/>
        </w:rPr>
        <w:t>第二册  通用条款（公开招标）</w:t>
      </w: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4" w:name="_Hlk72399513"/>
      <w:bookmarkStart w:id="45" w:name="_Hlk72439706"/>
      <w:r>
        <w:rPr>
          <w:rFonts w:hint="eastAsia" w:asciiTheme="majorHAnsi" w:hAnsiTheme="majorHAnsi" w:eastAsiaTheme="majorEastAsia" w:cstheme="majorBidi"/>
          <w:b/>
          <w:bCs/>
          <w:sz w:val="28"/>
          <w:szCs w:val="28"/>
        </w:rPr>
        <w:t>总则</w:t>
      </w:r>
    </w:p>
    <w:bookmarkEnd w:id="44"/>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6" w:name="_Hlk72399729"/>
      <w:r>
        <w:rPr>
          <w:rFonts w:hint="eastAsia" w:ascii="宋体" w:hAnsi="宋体"/>
          <w:szCs w:val="21"/>
        </w:rPr>
        <w:t>如有需要，政府集中采购机构可以对通用条款的内容进行补充。</w:t>
      </w:r>
      <w:bookmarkEnd w:id="46"/>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47"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48"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8"/>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7"/>
    <w:p>
      <w:pPr>
        <w:ind w:firstLine="411" w:firstLineChars="196"/>
        <w:rPr>
          <w:rFonts w:ascii="宋体" w:hAnsi="宋体"/>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49"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49"/>
    </w:p>
    <w:p>
      <w:pPr>
        <w:rPr>
          <w:rFonts w:ascii="宋体" w:hAnsi="宋体"/>
          <w:szCs w:val="21"/>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50"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0"/>
    <w:p>
      <w:pPr>
        <w:ind w:firstLine="420" w:firstLineChars="200"/>
        <w:rPr>
          <w:rFonts w:ascii="黑体" w:hAnsi="宋体" w:eastAsia="黑体"/>
          <w:szCs w:val="21"/>
        </w:rPr>
      </w:pPr>
      <w:r>
        <w:rPr>
          <w:rFonts w:hint="eastAsia" w:ascii="黑体" w:hAnsi="宋体" w:eastAsia="黑体"/>
          <w:szCs w:val="21"/>
        </w:rPr>
        <w:t>15．</w:t>
      </w:r>
      <w:bookmarkStart w:id="51"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51"/>
    <w:p>
      <w:pPr>
        <w:ind w:firstLine="420" w:firstLineChars="200"/>
        <w:rPr>
          <w:rFonts w:ascii="黑体" w:hAnsi="宋体" w:eastAsia="黑体"/>
          <w:szCs w:val="21"/>
        </w:rPr>
      </w:pPr>
      <w:r>
        <w:rPr>
          <w:rFonts w:hint="eastAsia" w:ascii="黑体" w:hAnsi="宋体" w:eastAsia="黑体"/>
          <w:szCs w:val="21"/>
        </w:rPr>
        <w:t>18．</w:t>
      </w:r>
      <w:bookmarkStart w:id="52"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2"/>
    <w:p>
      <w:pPr>
        <w:ind w:firstLine="420" w:firstLineChars="200"/>
        <w:rPr>
          <w:rFonts w:ascii="黑体" w:hAnsi="宋体" w:eastAsia="黑体"/>
          <w:szCs w:val="21"/>
        </w:rPr>
      </w:pPr>
      <w:r>
        <w:rPr>
          <w:rFonts w:hint="eastAsia" w:ascii="黑体" w:hAnsi="宋体" w:eastAsia="黑体"/>
          <w:szCs w:val="21"/>
        </w:rPr>
        <w:t>19．</w:t>
      </w:r>
      <w:bookmarkStart w:id="53"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4" w:name="_Hlk71407299"/>
    </w:p>
    <w:bookmarkEnd w:id="54"/>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53"/>
    <w:p>
      <w:pPr>
        <w:ind w:firstLine="420" w:firstLineChars="200"/>
        <w:rPr>
          <w:rFonts w:ascii="宋体" w:hAnsi="宋体"/>
          <w:szCs w:val="21"/>
        </w:rPr>
      </w:pPr>
      <w:bookmarkStart w:id="5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5"/>
    <w:p>
      <w:pPr>
        <w:ind w:firstLine="420" w:firstLineChars="200"/>
        <w:rPr>
          <w:rFonts w:ascii="黑体" w:hAnsi="宋体" w:eastAsia="黑体"/>
          <w:szCs w:val="21"/>
        </w:rPr>
      </w:pPr>
      <w:r>
        <w:rPr>
          <w:rFonts w:hint="eastAsia" w:ascii="黑体" w:hAnsi="宋体" w:eastAsia="黑体"/>
          <w:szCs w:val="21"/>
        </w:rPr>
        <w:t>21．</w:t>
      </w:r>
      <w:bookmarkStart w:id="56"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6"/>
    <w:p>
      <w:pPr>
        <w:ind w:firstLine="420" w:firstLineChars="200"/>
        <w:rPr>
          <w:rFonts w:ascii="黑体" w:hAnsi="宋体" w:eastAsia="黑体"/>
          <w:szCs w:val="21"/>
        </w:rPr>
      </w:pPr>
      <w:r>
        <w:rPr>
          <w:rFonts w:hint="eastAsia" w:ascii="黑体" w:hAnsi="宋体" w:eastAsia="黑体"/>
          <w:szCs w:val="21"/>
        </w:rPr>
        <w:t>23．</w:t>
      </w:r>
      <w:bookmarkStart w:id="57"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7"/>
    </w:p>
    <w:p>
      <w:pPr>
        <w:ind w:firstLine="411" w:firstLineChars="196"/>
        <w:rPr>
          <w:rFonts w:ascii="宋体" w:hAnsi="宋体"/>
          <w:szCs w:val="21"/>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58"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58"/>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59"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59"/>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60"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0"/>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61"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1"/>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62" w:name="_Toc73517673"/>
      <w:bookmarkStart w:id="63" w:name="_Toc73521581"/>
      <w:bookmarkStart w:id="64" w:name="_Toc73518151"/>
      <w:bookmarkStart w:id="65" w:name="_Toc73521669"/>
      <w:bookmarkStart w:id="66" w:name="_Toc100052400"/>
      <w:r>
        <w:rPr>
          <w:rFonts w:hint="eastAsia" w:ascii="黑体" w:hAnsi="宋体" w:eastAsia="黑体"/>
          <w:szCs w:val="21"/>
        </w:rPr>
        <w:t>34．错误的修正</w:t>
      </w:r>
      <w:bookmarkEnd w:id="62"/>
      <w:bookmarkEnd w:id="63"/>
      <w:bookmarkEnd w:id="64"/>
      <w:bookmarkEnd w:id="65"/>
      <w:bookmarkEnd w:id="66"/>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67"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7"/>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68"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69" w:name="_Hlk73821177"/>
      <w:r>
        <w:rPr>
          <w:rFonts w:hint="eastAsia" w:ascii="ˎ̥" w:hAnsi="ˎ̥"/>
          <w:szCs w:val="21"/>
        </w:rPr>
        <w:t>唯一候选中标供应商</w:t>
      </w:r>
      <w:bookmarkEnd w:id="69"/>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70"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71"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0"/>
      <w:bookmarkEnd w:id="71"/>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68"/>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72"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2"/>
      <w:bookmarkStart w:id="73"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3"/>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4"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4"/>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75" w:name="_Hlk71407340"/>
      <w:r>
        <w:rPr>
          <w:rFonts w:hint="eastAsia" w:ascii="宋体" w:hAnsi="宋体"/>
          <w:szCs w:val="21"/>
        </w:rPr>
        <w:t>41.3因质疑投诉或其他原因导致项目结果变更或采购终止的，政府集中采购机构有权吊销中标通知书。</w:t>
      </w:r>
    </w:p>
    <w:bookmarkEnd w:id="75"/>
    <w:p>
      <w:pPr>
        <w:ind w:firstLine="411" w:firstLineChars="196"/>
        <w:rPr>
          <w:rFonts w:ascii="宋体" w:hAnsi="宋体"/>
          <w:szCs w:val="21"/>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6" w:name="_Hlk72439043"/>
      <w:r>
        <w:rPr>
          <w:rFonts w:hint="eastAsia" w:asciiTheme="majorHAnsi" w:hAnsiTheme="majorHAnsi" w:eastAsiaTheme="majorEastAsia" w:cstheme="majorBidi"/>
          <w:b/>
          <w:bCs/>
          <w:sz w:val="28"/>
          <w:szCs w:val="28"/>
        </w:rPr>
        <w:t>合同的授予与备案</w:t>
      </w:r>
      <w:bookmarkEnd w:id="76"/>
    </w:p>
    <w:p>
      <w:pPr>
        <w:ind w:firstLine="420" w:firstLineChars="200"/>
        <w:rPr>
          <w:rFonts w:ascii="黑体" w:hAnsi="宋体" w:eastAsia="黑体"/>
          <w:szCs w:val="21"/>
        </w:rPr>
      </w:pPr>
      <w:bookmarkStart w:id="77" w:name="_Toc73517679"/>
      <w:bookmarkStart w:id="78" w:name="_Toc73521586"/>
      <w:bookmarkStart w:id="79" w:name="_Toc73521674"/>
      <w:bookmarkStart w:id="80" w:name="_Toc100052408"/>
      <w:bookmarkStart w:id="81" w:name="_Toc73518157"/>
      <w:bookmarkStart w:id="82" w:name="_Hlk72439088"/>
      <w:r>
        <w:rPr>
          <w:rFonts w:hint="eastAsia" w:ascii="黑体" w:hAnsi="宋体" w:eastAsia="黑体"/>
          <w:szCs w:val="21"/>
        </w:rPr>
        <w:t>43．合同授予标准</w:t>
      </w:r>
      <w:bookmarkEnd w:id="77"/>
      <w:bookmarkEnd w:id="78"/>
      <w:bookmarkEnd w:id="79"/>
      <w:bookmarkEnd w:id="80"/>
      <w:bookmarkEnd w:id="81"/>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83" w:name="_Toc73517680"/>
      <w:bookmarkStart w:id="84" w:name="_Toc73521675"/>
      <w:bookmarkStart w:id="85" w:name="_Toc73521587"/>
      <w:bookmarkStart w:id="86" w:name="_Toc73518158"/>
      <w:bookmarkStart w:id="87" w:name="_Toc100052409"/>
      <w:r>
        <w:rPr>
          <w:rFonts w:hint="eastAsia" w:ascii="黑体" w:hAnsi="宋体" w:eastAsia="黑体"/>
          <w:szCs w:val="21"/>
        </w:rPr>
        <w:t>44．</w:t>
      </w:r>
      <w:bookmarkEnd w:id="83"/>
      <w:bookmarkEnd w:id="84"/>
      <w:bookmarkEnd w:id="85"/>
      <w:bookmarkEnd w:id="86"/>
      <w:bookmarkEnd w:id="87"/>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88" w:name="_Toc73517682"/>
      <w:bookmarkStart w:id="89" w:name="_Toc100052410"/>
      <w:bookmarkStart w:id="90" w:name="_Toc73521589"/>
      <w:bookmarkStart w:id="91" w:name="_Toc73521677"/>
      <w:bookmarkStart w:id="92" w:name="_Toc73518160"/>
      <w:r>
        <w:rPr>
          <w:rFonts w:hint="eastAsia" w:ascii="黑体" w:hAnsi="宋体" w:eastAsia="黑体"/>
          <w:szCs w:val="21"/>
        </w:rPr>
        <w:t>45．合同的签订</w:t>
      </w:r>
      <w:bookmarkEnd w:id="88"/>
      <w:bookmarkEnd w:id="89"/>
      <w:bookmarkEnd w:id="90"/>
      <w:bookmarkEnd w:id="91"/>
      <w:bookmarkEnd w:id="92"/>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93" w:name="_Toc73517683"/>
      <w:bookmarkStart w:id="94" w:name="_Toc100052411"/>
      <w:bookmarkStart w:id="95" w:name="_Toc73521678"/>
      <w:bookmarkStart w:id="96" w:name="_Toc73518161"/>
      <w:bookmarkStart w:id="97" w:name="_Toc73521590"/>
      <w:r>
        <w:rPr>
          <w:rFonts w:hint="eastAsia" w:ascii="黑体" w:hAnsi="宋体" w:eastAsia="黑体"/>
          <w:szCs w:val="21"/>
        </w:rPr>
        <w:t>46．履约担保</w:t>
      </w:r>
      <w:bookmarkEnd w:id="93"/>
      <w:bookmarkEnd w:id="94"/>
      <w:bookmarkEnd w:id="95"/>
      <w:bookmarkEnd w:id="96"/>
      <w:bookmarkEnd w:id="97"/>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98" w:name="_Hlk72440769"/>
      <w:r>
        <w:rPr>
          <w:rFonts w:hint="eastAsia" w:ascii="宋体" w:hAnsi="宋体"/>
          <w:szCs w:val="21"/>
        </w:rPr>
        <w:t>政府集中采购机构或采购人不予退还其交纳的谈判保证金，情节严重的，并由主管部门</w:t>
      </w:r>
      <w:bookmarkEnd w:id="98"/>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82"/>
    <w:p>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99" w:name="_Hlk75374941"/>
      <w:r>
        <w:rPr>
          <w:rFonts w:hint="eastAsia" w:ascii="宋体" w:hAnsi="宋体"/>
          <w:szCs w:val="21"/>
        </w:rPr>
        <w:t>以联合体形式参与的，质疑应当由组成联合体的所有成员共同提出</w:t>
      </w:r>
      <w:bookmarkEnd w:id="99"/>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45"/>
    </w:p>
    <w:p>
      <w:pPr>
        <w:ind w:firstLine="420" w:firstLineChars="200"/>
        <w:rPr>
          <w:rFonts w:ascii="宋体" w:hAnsi="宋体"/>
          <w:szCs w:val="21"/>
        </w:rPr>
      </w:pPr>
    </w:p>
    <w:p/>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58F533-647F-406A-B1E2-0621E927C6CB}"/>
  </w:font>
  <w:font w:name="Arial">
    <w:panose1 w:val="020B0604020202020204"/>
    <w:charset w:val="01"/>
    <w:family w:val="swiss"/>
    <w:pitch w:val="default"/>
    <w:sig w:usb0="E0002EFF" w:usb1="C000785B" w:usb2="00000009" w:usb3="00000000" w:csb0="400001FF" w:csb1="FFFF0000"/>
    <w:embedRegular r:id="rId2" w:fontKey="{FC4B54DA-C70F-4A01-A938-22E005F0F0F6}"/>
  </w:font>
  <w:font w:name="黑体">
    <w:panose1 w:val="02010609060101010101"/>
    <w:charset w:val="86"/>
    <w:family w:val="auto"/>
    <w:pitch w:val="default"/>
    <w:sig w:usb0="800002BF" w:usb1="38CF7CFA" w:usb2="00000016" w:usb3="00000000" w:csb0="00040001" w:csb1="00000000"/>
    <w:embedRegular r:id="rId3" w:fontKey="{A80E2BFF-872C-4E73-9B0D-B23A4F77AA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123C8652-C946-470F-9013-793768807DF4}"/>
  </w:font>
  <w:font w:name="Cambria">
    <w:panose1 w:val="02040503050406030204"/>
    <w:charset w:val="00"/>
    <w:family w:val="roman"/>
    <w:pitch w:val="default"/>
    <w:sig w:usb0="E00006FF" w:usb1="420024FF" w:usb2="02000000" w:usb3="00000000" w:csb0="2000019F" w:csb1="00000000"/>
    <w:embedRegular r:id="rId5" w:fontKey="{9F92796D-1F96-4779-8567-51314375B67A}"/>
  </w:font>
  <w:font w:name="隶书">
    <w:panose1 w:val="02010509060101010101"/>
    <w:charset w:val="86"/>
    <w:family w:val="modern"/>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embedRegular r:id="rId6" w:fontKey="{AF66933D-C1E3-44CB-B1DD-B41FAA9C0E3C}"/>
  </w:font>
  <w:font w:name="仿宋_GB2312">
    <w:panose1 w:val="02010609030101010101"/>
    <w:charset w:val="86"/>
    <w:family w:val="auto"/>
    <w:pitch w:val="default"/>
    <w:sig w:usb0="00000001" w:usb1="080E0000" w:usb2="00000000" w:usb3="00000000" w:csb0="00040000" w:csb1="00000000"/>
    <w:embedRegular r:id="rId7" w:fontKey="{12771FB8-2049-4D93-9E13-10F3AA1356AB}"/>
  </w:font>
  <w:font w:name="方正仿宋_GBK">
    <w:panose1 w:val="02000000000000000000"/>
    <w:charset w:val="86"/>
    <w:family w:val="auto"/>
    <w:pitch w:val="default"/>
    <w:sig w:usb0="00000000" w:usb1="00000000" w:usb2="00000000" w:usb3="00000000" w:csb0="00000000" w:csb1="00000000"/>
    <w:embedRegular r:id="rId8" w:fontKey="{E131CA9A-DFD1-439F-A5DC-CFCC15C1139F}"/>
  </w:font>
  <w:font w:name="方正小标宋简体">
    <w:panose1 w:val="02000000000000000000"/>
    <w:charset w:val="86"/>
    <w:family w:val="script"/>
    <w:pitch w:val="default"/>
    <w:sig w:usb0="A00002BF" w:usb1="184F6CFA" w:usb2="00000012" w:usb3="00000000" w:csb0="00040001" w:csb1="00000000"/>
    <w:embedRegular r:id="rId9" w:fontKey="{51F40433-41F1-4275-980F-80D103B04C85}"/>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0" w:fontKey="{E3F3E0ED-2821-4421-A4B4-286018D9F1B3}"/>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t xml:space="preserve">- </w:t>
    </w:r>
    <w:r>
      <w:fldChar w:fldCharType="begin"/>
    </w:r>
    <w:r>
      <w:instrText xml:space="preserve"> PAGE </w:instrText>
    </w:r>
    <w:r>
      <w:fldChar w:fldCharType="separate"/>
    </w:r>
    <w:r>
      <w:t>29</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pPr>
          <w:pStyle w:val="13"/>
          <w:jc w:val="center"/>
        </w:pPr>
        <w:r>
          <w:fldChar w:fldCharType="begin"/>
        </w:r>
        <w:r>
          <w:instrText xml:space="preserve"> PAGE   \* MERGEFORMAT </w:instrText>
        </w:r>
        <w:r>
          <w:fldChar w:fldCharType="separate"/>
        </w:r>
        <w:r>
          <w:rPr>
            <w:lang w:val="zh-CN"/>
          </w:rPr>
          <w:t>40</w:t>
        </w:r>
        <w:r>
          <w:rPr>
            <w:lang w:val="zh-CN"/>
          </w:rPr>
          <w:fldChar w:fldCharType="end"/>
        </w:r>
      </w:p>
    </w:sdtContent>
  </w:sdt>
  <w:p>
    <w:pPr>
      <w:pStyle w:val="13"/>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B9B9E8"/>
    <w:multiLevelType w:val="singleLevel"/>
    <w:tmpl w:val="51B9B9E8"/>
    <w:lvl w:ilvl="0" w:tentative="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DA6FC0"/>
    <w:rsid w:val="07EE41F1"/>
    <w:rsid w:val="080324F7"/>
    <w:rsid w:val="082F13F4"/>
    <w:rsid w:val="08381BDD"/>
    <w:rsid w:val="083D1CD8"/>
    <w:rsid w:val="087516B5"/>
    <w:rsid w:val="09A10A0F"/>
    <w:rsid w:val="0A1427BC"/>
    <w:rsid w:val="0A1C72DC"/>
    <w:rsid w:val="0AC37758"/>
    <w:rsid w:val="0AF25588"/>
    <w:rsid w:val="0B154457"/>
    <w:rsid w:val="0B212DFC"/>
    <w:rsid w:val="0B3E2722"/>
    <w:rsid w:val="0B91507D"/>
    <w:rsid w:val="0BBA6DAD"/>
    <w:rsid w:val="0C2543D3"/>
    <w:rsid w:val="0C27455C"/>
    <w:rsid w:val="0C610D37"/>
    <w:rsid w:val="0D0F2768"/>
    <w:rsid w:val="0D8458C4"/>
    <w:rsid w:val="0D9A55F5"/>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E4A73"/>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D628EA"/>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455C99"/>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2C7B0B"/>
    <w:rsid w:val="31992E3D"/>
    <w:rsid w:val="31A627E3"/>
    <w:rsid w:val="31B65F73"/>
    <w:rsid w:val="31E06CBE"/>
    <w:rsid w:val="32160E27"/>
    <w:rsid w:val="32236BAB"/>
    <w:rsid w:val="3244289A"/>
    <w:rsid w:val="32B97377"/>
    <w:rsid w:val="33941B0E"/>
    <w:rsid w:val="33C91D38"/>
    <w:rsid w:val="34291934"/>
    <w:rsid w:val="34453B3D"/>
    <w:rsid w:val="348D06FD"/>
    <w:rsid w:val="34CC177B"/>
    <w:rsid w:val="34DF325D"/>
    <w:rsid w:val="362E697F"/>
    <w:rsid w:val="362F1FC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AF14B1D"/>
    <w:rsid w:val="3B0E58C7"/>
    <w:rsid w:val="3B304812"/>
    <w:rsid w:val="3BCE7B87"/>
    <w:rsid w:val="3C033730"/>
    <w:rsid w:val="3C746980"/>
    <w:rsid w:val="3D406863"/>
    <w:rsid w:val="3DDF607B"/>
    <w:rsid w:val="3E260CC7"/>
    <w:rsid w:val="3EB92A82"/>
    <w:rsid w:val="3EB968CD"/>
    <w:rsid w:val="3EF8229A"/>
    <w:rsid w:val="3F446ADE"/>
    <w:rsid w:val="3F4563B2"/>
    <w:rsid w:val="40356427"/>
    <w:rsid w:val="40A35A86"/>
    <w:rsid w:val="40D93256"/>
    <w:rsid w:val="41540906"/>
    <w:rsid w:val="417B4FD7"/>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E5E67"/>
    <w:rsid w:val="47721D0E"/>
    <w:rsid w:val="47C754C6"/>
    <w:rsid w:val="47D71C0C"/>
    <w:rsid w:val="486E0FF2"/>
    <w:rsid w:val="486F44A0"/>
    <w:rsid w:val="48703269"/>
    <w:rsid w:val="49680B13"/>
    <w:rsid w:val="49D7054F"/>
    <w:rsid w:val="49F86187"/>
    <w:rsid w:val="4AA169B6"/>
    <w:rsid w:val="4ADA22E1"/>
    <w:rsid w:val="4B7B3A94"/>
    <w:rsid w:val="4BA12BC2"/>
    <w:rsid w:val="4C15710C"/>
    <w:rsid w:val="4C6C1422"/>
    <w:rsid w:val="4C7812B7"/>
    <w:rsid w:val="4CE2651F"/>
    <w:rsid w:val="4D0553D3"/>
    <w:rsid w:val="4D346757"/>
    <w:rsid w:val="4D3B1D7F"/>
    <w:rsid w:val="4DA83293"/>
    <w:rsid w:val="4E896D6E"/>
    <w:rsid w:val="4EDD03B5"/>
    <w:rsid w:val="4F6C6B6D"/>
    <w:rsid w:val="50487D45"/>
    <w:rsid w:val="50F639B0"/>
    <w:rsid w:val="51121E6C"/>
    <w:rsid w:val="514C35D0"/>
    <w:rsid w:val="5176064D"/>
    <w:rsid w:val="51AE6C00"/>
    <w:rsid w:val="52533F75"/>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404CD7"/>
    <w:rsid w:val="687B4E10"/>
    <w:rsid w:val="6881130A"/>
    <w:rsid w:val="68C06BF6"/>
    <w:rsid w:val="696B1E57"/>
    <w:rsid w:val="69E0280F"/>
    <w:rsid w:val="6A99742E"/>
    <w:rsid w:val="6AF405C0"/>
    <w:rsid w:val="6B555802"/>
    <w:rsid w:val="6CE013DA"/>
    <w:rsid w:val="6CF5724A"/>
    <w:rsid w:val="6E14501E"/>
    <w:rsid w:val="6E971ED7"/>
    <w:rsid w:val="6EB15DD3"/>
    <w:rsid w:val="6EC749B1"/>
    <w:rsid w:val="6EC91D52"/>
    <w:rsid w:val="6ED07E1A"/>
    <w:rsid w:val="6EE85353"/>
    <w:rsid w:val="6EF32E85"/>
    <w:rsid w:val="6F7A7850"/>
    <w:rsid w:val="703D7D6C"/>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157B73"/>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29"/>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2"/>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1"/>
    <w:semiHidden/>
    <w:unhideWhenUsed/>
    <w:qFormat/>
    <w:uiPriority w:val="99"/>
    <w:rPr>
      <w:rFonts w:ascii="宋体" w:eastAsia="宋体"/>
      <w:sz w:val="18"/>
      <w:szCs w:val="18"/>
    </w:rPr>
  </w:style>
  <w:style w:type="paragraph" w:styleId="10">
    <w:name w:val="annotation text"/>
    <w:basedOn w:val="1"/>
    <w:link w:val="33"/>
    <w:semiHidden/>
    <w:unhideWhenUsed/>
    <w:qFormat/>
    <w:uiPriority w:val="99"/>
    <w:pPr>
      <w:jc w:val="left"/>
    </w:pPr>
  </w:style>
  <w:style w:type="paragraph" w:styleId="11">
    <w:name w:val="Body Text Indent"/>
    <w:basedOn w:val="1"/>
    <w:qFormat/>
    <w:uiPriority w:val="0"/>
    <w:pPr>
      <w:spacing w:line="360" w:lineRule="auto"/>
      <w:ind w:firstLine="420" w:firstLineChars="200"/>
    </w:pPr>
  </w:style>
  <w:style w:type="paragraph" w:styleId="12">
    <w:name w:val="Balloon Text"/>
    <w:basedOn w:val="1"/>
    <w:link w:val="27"/>
    <w:semiHidden/>
    <w:unhideWhenUsed/>
    <w:qFormat/>
    <w:uiPriority w:val="99"/>
    <w:rPr>
      <w:sz w:val="18"/>
      <w:szCs w:val="18"/>
    </w:rPr>
  </w:style>
  <w:style w:type="paragraph" w:styleId="13">
    <w:name w:val="footer"/>
    <w:basedOn w:val="1"/>
    <w:link w:val="26"/>
    <w:unhideWhenUsed/>
    <w:qFormat/>
    <w:uiPriority w:val="99"/>
    <w:pPr>
      <w:tabs>
        <w:tab w:val="center" w:pos="4153"/>
        <w:tab w:val="right" w:pos="8306"/>
      </w:tabs>
      <w:snapToGrid w:val="0"/>
      <w:jc w:val="left"/>
    </w:pPr>
    <w:rPr>
      <w:sz w:val="18"/>
      <w:szCs w:val="18"/>
    </w:rPr>
  </w:style>
  <w:style w:type="paragraph" w:styleId="14">
    <w:name w:val="header"/>
    <w:basedOn w:val="1"/>
    <w:link w:val="2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link w:val="28"/>
    <w:qFormat/>
    <w:uiPriority w:val="99"/>
    <w:pPr>
      <w:widowControl/>
      <w:spacing w:before="100" w:beforeAutospacing="1" w:afterAutospacing="1"/>
      <w:jc w:val="left"/>
    </w:pPr>
    <w:rPr>
      <w:rFonts w:ascii="宋体" w:hAnsi="宋体"/>
      <w:sz w:val="24"/>
      <w:szCs w:val="24"/>
    </w:rPr>
  </w:style>
  <w:style w:type="paragraph" w:styleId="16">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5"/>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FollowedHyperlink"/>
    <w:basedOn w:val="20"/>
    <w:semiHidden/>
    <w:unhideWhenUsed/>
    <w:qFormat/>
    <w:uiPriority w:val="99"/>
    <w:rPr>
      <w:color w:val="800080" w:themeColor="followedHyperlink"/>
      <w:u w:val="single"/>
    </w:rPr>
  </w:style>
  <w:style w:type="character" w:styleId="23">
    <w:name w:val="Hyperlink"/>
    <w:basedOn w:val="20"/>
    <w:unhideWhenUsed/>
    <w:qFormat/>
    <w:uiPriority w:val="99"/>
    <w:rPr>
      <w:color w:val="0000FF" w:themeColor="hyperlink"/>
      <w:u w:val="single"/>
    </w:rPr>
  </w:style>
  <w:style w:type="character" w:styleId="24">
    <w:name w:val="annotation reference"/>
    <w:basedOn w:val="20"/>
    <w:semiHidden/>
    <w:unhideWhenUsed/>
    <w:qFormat/>
    <w:uiPriority w:val="99"/>
    <w:rPr>
      <w:sz w:val="21"/>
      <w:szCs w:val="21"/>
    </w:rPr>
  </w:style>
  <w:style w:type="character" w:customStyle="1" w:styleId="25">
    <w:name w:val="页眉 Char"/>
    <w:basedOn w:val="20"/>
    <w:link w:val="14"/>
    <w:semiHidden/>
    <w:qFormat/>
    <w:uiPriority w:val="99"/>
    <w:rPr>
      <w:sz w:val="18"/>
      <w:szCs w:val="18"/>
    </w:rPr>
  </w:style>
  <w:style w:type="character" w:customStyle="1" w:styleId="26">
    <w:name w:val="页脚 Char"/>
    <w:basedOn w:val="20"/>
    <w:link w:val="13"/>
    <w:qFormat/>
    <w:uiPriority w:val="99"/>
    <w:rPr>
      <w:sz w:val="18"/>
      <w:szCs w:val="18"/>
    </w:rPr>
  </w:style>
  <w:style w:type="character" w:customStyle="1" w:styleId="27">
    <w:name w:val="批注框文本 Char"/>
    <w:basedOn w:val="20"/>
    <w:link w:val="12"/>
    <w:semiHidden/>
    <w:qFormat/>
    <w:uiPriority w:val="99"/>
    <w:rPr>
      <w:sz w:val="18"/>
      <w:szCs w:val="18"/>
    </w:rPr>
  </w:style>
  <w:style w:type="character" w:customStyle="1" w:styleId="28">
    <w:name w:val="普通(网站) Char"/>
    <w:link w:val="15"/>
    <w:qFormat/>
    <w:uiPriority w:val="99"/>
    <w:rPr>
      <w:rFonts w:ascii="宋体" w:hAnsi="宋体"/>
      <w:sz w:val="24"/>
      <w:szCs w:val="24"/>
    </w:rPr>
  </w:style>
  <w:style w:type="character" w:customStyle="1" w:styleId="29">
    <w:name w:val="标题 1 Char"/>
    <w:basedOn w:val="20"/>
    <w:link w:val="4"/>
    <w:qFormat/>
    <w:uiPriority w:val="0"/>
    <w:rPr>
      <w:rFonts w:ascii="Arial" w:hAnsi="Arial" w:eastAsia="宋体" w:cs="Times New Roman"/>
      <w:b/>
      <w:bCs/>
      <w:kern w:val="44"/>
      <w:sz w:val="44"/>
      <w:szCs w:val="44"/>
    </w:rPr>
  </w:style>
  <w:style w:type="paragraph" w:styleId="30">
    <w:name w:val="List Paragraph"/>
    <w:basedOn w:val="1"/>
    <w:qFormat/>
    <w:uiPriority w:val="34"/>
    <w:pPr>
      <w:ind w:firstLine="420" w:firstLineChars="200"/>
    </w:pPr>
  </w:style>
  <w:style w:type="character" w:customStyle="1" w:styleId="31">
    <w:name w:val="文档结构图 Char"/>
    <w:basedOn w:val="20"/>
    <w:link w:val="9"/>
    <w:semiHidden/>
    <w:qFormat/>
    <w:uiPriority w:val="99"/>
    <w:rPr>
      <w:rFonts w:ascii="宋体" w:eastAsia="宋体"/>
      <w:sz w:val="18"/>
      <w:szCs w:val="18"/>
    </w:rPr>
  </w:style>
  <w:style w:type="character" w:customStyle="1" w:styleId="32">
    <w:name w:val="标题 2 Char"/>
    <w:basedOn w:val="20"/>
    <w:link w:val="7"/>
    <w:semiHidden/>
    <w:qFormat/>
    <w:uiPriority w:val="9"/>
    <w:rPr>
      <w:rFonts w:asciiTheme="majorHAnsi" w:hAnsiTheme="majorHAnsi" w:eastAsiaTheme="majorEastAsia" w:cstheme="majorBidi"/>
      <w:b/>
      <w:bCs/>
      <w:sz w:val="32"/>
      <w:szCs w:val="32"/>
    </w:rPr>
  </w:style>
  <w:style w:type="character" w:customStyle="1" w:styleId="33">
    <w:name w:val="批注文字 Char"/>
    <w:basedOn w:val="20"/>
    <w:link w:val="10"/>
    <w:semiHidden/>
    <w:qFormat/>
    <w:uiPriority w:val="99"/>
  </w:style>
  <w:style w:type="character" w:customStyle="1" w:styleId="34">
    <w:name w:val="标题 3 Char"/>
    <w:qFormat/>
    <w:uiPriority w:val="0"/>
    <w:rPr>
      <w:rFonts w:ascii="黑体" w:eastAsia="黑体"/>
      <w:bCs/>
      <w:sz w:val="30"/>
    </w:rPr>
  </w:style>
  <w:style w:type="character" w:customStyle="1" w:styleId="35">
    <w:name w:val="批注主题 Char"/>
    <w:basedOn w:val="33"/>
    <w:link w:val="17"/>
    <w:semiHidden/>
    <w:qFormat/>
    <w:uiPriority w:val="99"/>
    <w:rPr>
      <w:b/>
      <w:bCs/>
      <w:kern w:val="2"/>
      <w:sz w:val="21"/>
      <w:szCs w:val="22"/>
    </w:rPr>
  </w:style>
  <w:style w:type="table" w:customStyle="1" w:styleId="36">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38">
    <w:name w:val="列出段落1"/>
    <w:basedOn w:val="1"/>
    <w:qFormat/>
    <w:uiPriority w:val="99"/>
    <w:pPr>
      <w:ind w:firstLine="420" w:firstLineChars="200"/>
    </w:pPr>
    <w:rPr>
      <w:rFonts w:ascii="Calibri" w:hAnsi="Calibri"/>
      <w:szCs w:val="22"/>
    </w:rPr>
  </w:style>
  <w:style w:type="paragraph" w:customStyle="1" w:styleId="39">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40">
    <w:name w:val="*正文"/>
    <w:basedOn w:val="1"/>
    <w:qFormat/>
    <w:uiPriority w:val="0"/>
    <w:pPr>
      <w:spacing w:line="360" w:lineRule="auto"/>
      <w:ind w:firstLine="200" w:firstLineChars="200"/>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17608</Words>
  <Characters>18430</Characters>
  <Lines>316</Lines>
  <Paragraphs>89</Paragraphs>
  <TotalTime>8</TotalTime>
  <ScaleCrop>false</ScaleCrop>
  <LinksUpToDate>false</LinksUpToDate>
  <CharactersWithSpaces>18998</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2025-06-19T09:33:54Z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CFE91CA4ECE649769A50C56CCE24D2C7</vt:lpwstr>
  </property>
  <property fmtid="{D5CDD505-2E9C-101B-9397-08002B2CF9AE}" pid="4" name="KSOTemplateDocerSaveRecord">
    <vt:lpwstr>eyJoZGlkIjoiNGE3ZjU2M2NjZmFlYmQwYTc0ZDZkMjFmM2ExNmI5ZTQiLCJ1c2VySWQiOiIyMjQxNTg5MDcifQ==</vt:lpwstr>
  </property>
</Properties>
</file>