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6"/>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sz w:val="30"/>
                <w:szCs w:val="30"/>
              </w:rPr>
              <w:t>BAZXCG-2025-00080</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lang w:eastAsia="zh-CN"/>
              </w:rPr>
              <w:t>深圳市宝安区阳台山小学图书馆设备采购</w:t>
            </w:r>
            <w:r>
              <w:rPr>
                <w:rFonts w:hint="eastAsia"/>
                <w:sz w:val="30"/>
                <w:szCs w:val="30"/>
                <w:lang w:val="en-US" w:eastAsia="zh-CN"/>
              </w:rPr>
              <w:t>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hAnsi="Times New Roman" w:eastAsia="宋体" w:cs="Times New Roman"/>
                <w:b/>
                <w:bCs/>
                <w:sz w:val="24"/>
                <w:szCs w:val="24"/>
              </w:rPr>
            </w:pPr>
            <w:r>
              <w:rPr>
                <w:rFonts w:ascii="Times New Roman" w:hAnsi="Times New Roman" w:eastAsia="宋体" w:cs="Times New Roman"/>
                <w:b/>
                <w:bCs/>
                <w:szCs w:val="24"/>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widowControl w:val="0"/>
              <w:spacing w:after="120"/>
              <w:jc w:val="both"/>
              <w:rPr>
                <w:rFonts w:ascii="Times New Roman" w:hAnsi="Times New Roman" w:eastAsia="宋体" w:cs="Times New Roman"/>
                <w:kern w:val="2"/>
                <w:sz w:val="21"/>
                <w:szCs w:val="21"/>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ascii="Times New Roman" w:hAnsi="Times New Roman" w:eastAsia="宋体" w:cs="Times New Roman"/>
                <w:sz w:val="21"/>
                <w:szCs w:val="21"/>
              </w:rPr>
            </w:pPr>
            <w:r>
              <w:rPr>
                <w:rFonts w:ascii="Times New Roman" w:hAnsi="Times New Roman" w:eastAsia="宋体" w:cs="Times New Roman"/>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left="420" w:right="0"/>
              <w:jc w:val="left"/>
              <w:textAlignment w:val="auto"/>
              <w:rPr>
                <w:rFonts w:ascii="Times New Roman" w:hAnsi="Times New Roman" w:eastAsia="宋体" w:cs="Times New Roman"/>
                <w:kern w:val="0"/>
                <w:sz w:val="24"/>
                <w:szCs w:val="24"/>
                <w:lang w:val="en-US" w:eastAsia="zh-CN" w:bidi="ar"/>
              </w:rPr>
            </w:pPr>
            <w:r>
              <w:rPr>
                <w:rFonts w:hint="eastAsia" w:ascii="Times New Roman" w:hAnsi="Times New Roman" w:eastAsia="宋体" w:cs="Times New Roman"/>
                <w:b/>
                <w:bCs/>
                <w:color w:val="FF0000"/>
                <w:kern w:val="0"/>
                <w:sz w:val="21"/>
                <w:szCs w:val="21"/>
                <w:lang w:val="en-US" w:eastAsia="zh-CN" w:bidi="ar"/>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ascii="Times New Roman" w:hAnsi="Times New Roman" w:eastAsia="宋体" w:cs="Times New Roman"/>
                <w:b/>
                <w:bCs/>
                <w:sz w:val="24"/>
                <w:szCs w:val="24"/>
              </w:rPr>
            </w:pPr>
            <w:bookmarkStart w:id="2" w:name="_Hlk72360569"/>
            <w:r>
              <w:rPr>
                <w:rFonts w:ascii="宋体" w:hAnsi="宋体" w:eastAsia="宋体" w:cs="宋体"/>
                <w:b/>
                <w:bCs/>
                <w:kern w:val="0"/>
                <w:sz w:val="24"/>
                <w:szCs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ascii="Times New Roman" w:hAnsi="Times New Roman" w:eastAsia="宋体" w:cs="Times New Roman"/>
                <w:b/>
                <w:bCs/>
                <w:sz w:val="24"/>
                <w:szCs w:val="24"/>
              </w:rPr>
            </w:pPr>
            <w:r>
              <w:rPr>
                <w:rFonts w:ascii="宋体" w:hAnsi="宋体" w:eastAsia="宋体" w:cs="宋体"/>
                <w:b/>
                <w:bCs/>
                <w:kern w:val="0"/>
                <w:sz w:val="24"/>
                <w:szCs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ascii="Times New Roman" w:hAnsi="Times New Roman" w:eastAsia="宋体" w:cs="Times New Roman"/>
                <w:b/>
                <w:bCs/>
                <w:sz w:val="24"/>
                <w:szCs w:val="24"/>
              </w:rPr>
            </w:pPr>
            <w:r>
              <w:rPr>
                <w:rFonts w:ascii="宋体" w:hAnsi="宋体" w:eastAsia="宋体" w:cs="宋体"/>
                <w:b/>
                <w:bCs/>
                <w:kern w:val="0"/>
                <w:sz w:val="24"/>
                <w:szCs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ascii="宋体" w:hAnsi="宋体" w:eastAsia="宋体" w:cs="宋体"/>
                <w:b/>
                <w:bCs/>
                <w:color w:val="0000FF"/>
                <w:kern w:val="0"/>
                <w:sz w:val="24"/>
                <w:szCs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ascii="宋体" w:hAnsi="宋体" w:eastAsia="宋体" w:cs="宋体"/>
                <w:b/>
                <w:bCs/>
                <w:color w:val="0000FF"/>
                <w:kern w:val="0"/>
                <w:sz w:val="24"/>
                <w:szCs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ascii="宋体" w:hAnsi="宋体" w:eastAsia="宋体" w:cs="宋体"/>
                <w:b/>
                <w:bCs/>
                <w:color w:val="0000FF"/>
                <w:kern w:val="0"/>
                <w:sz w:val="24"/>
                <w:szCs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ascii="宋体" w:hAnsi="宋体" w:eastAsia="宋体" w:cs="宋体"/>
                <w:b/>
                <w:bCs/>
                <w:color w:val="0000FF"/>
                <w:kern w:val="0"/>
                <w:sz w:val="24"/>
                <w:szCs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ascii="宋体" w:hAnsi="宋体" w:eastAsia="宋体" w:cs="宋体"/>
                <w:b/>
                <w:bCs/>
                <w:color w:val="0000FF"/>
                <w:kern w:val="0"/>
                <w:sz w:val="24"/>
                <w:szCs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ascii="Times New Roman" w:hAnsi="Times New Roman" w:eastAsia="宋体" w:cs="Times New Roman"/>
                <w:b/>
                <w:bCs/>
                <w:color w:val="0000FF"/>
                <w:sz w:val="24"/>
                <w:szCs w:val="24"/>
                <w:lang w:val="en-US" w:eastAsia="zh-CN"/>
              </w:rPr>
            </w:pPr>
            <w:r>
              <w:rPr>
                <w:rFonts w:hint="eastAsia" w:ascii="Times New Roman" w:hAnsi="Times New Roman" w:eastAsia="宋体" w:cs="Times New Roman"/>
                <w:b/>
                <w:bCs/>
                <w:color w:val="0000FF"/>
                <w:sz w:val="24"/>
                <w:szCs w:val="24"/>
                <w:lang w:val="en-US" w:eastAsia="zh-CN"/>
              </w:rPr>
              <w:t>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hAnsi="Times New Roman" w:eastAsia="宋体" w:cs="Times New Roman"/>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Times New Roman" w:hAnsi="Times New Roman" w:eastAsia="宋体" w:cs="Times New Roman"/>
                <w:szCs w:val="21"/>
              </w:rPr>
            </w:pPr>
            <w:r>
              <w:rPr>
                <w:rFonts w:ascii="宋体" w:hAnsi="宋体" w:eastAsia="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cs="Times New Roman"/>
                <w:bCs/>
                <w:szCs w:val="21"/>
              </w:rPr>
              <w:t>“▲”参数响应</w:t>
            </w:r>
            <w:r>
              <w:rPr>
                <w:rFonts w:hint="default" w:ascii="宋体" w:hAnsi="宋体" w:eastAsia="宋体" w:cs="Times New Roman"/>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eastAsia="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eastAsia="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6.67</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Times New Roman"/>
                <w:szCs w:val="21"/>
              </w:rPr>
              <w:t>非“</w:t>
            </w:r>
            <w:r>
              <w:rPr>
                <w:rFonts w:hint="eastAsia" w:ascii="宋体" w:hAnsi="宋体" w:eastAsia="宋体" w:cs="Times New Roman"/>
                <w:bCs/>
                <w:szCs w:val="21"/>
              </w:rPr>
              <w:t>▲”参数</w:t>
            </w:r>
            <w:r>
              <w:rPr>
                <w:rFonts w:hint="eastAsia" w:ascii="宋体" w:hAnsi="宋体" w:eastAsia="宋体" w:cs="Times New Roman"/>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eastAsia="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eastAsia="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0.71</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eastAsia="宋体" w:cs="宋体"/>
                <w:kern w:val="0"/>
                <w:szCs w:val="21"/>
                <w:lang w:val="en-US" w:eastAsia="zh-CN" w:bidi="ar"/>
              </w:rPr>
            </w:pPr>
            <w:r>
              <w:rPr>
                <w:rFonts w:hint="eastAsia" w:ascii="宋体" w:hAnsi="宋体" w:eastAsia="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宋体"/>
                <w:sz w:val="21"/>
                <w:szCs w:val="21"/>
              </w:rPr>
            </w:pPr>
            <w:r>
              <w:rPr>
                <w:rFonts w:hint="eastAsia" w:ascii="宋体" w:hAnsi="宋体" w:eastAsia="宋体" w:cs="宋体"/>
                <w:kern w:val="0"/>
                <w:sz w:val="21"/>
                <w:szCs w:val="21"/>
                <w:lang w:bidi="ar"/>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1"/>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评审内容：</w:t>
            </w:r>
          </w:p>
          <w:p>
            <w:pPr>
              <w:widowControl/>
              <w:numPr>
                <w:ilvl w:val="0"/>
                <w:numId w:val="0"/>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投标人</w:t>
            </w:r>
            <w:r>
              <w:rPr>
                <w:rFonts w:hint="eastAsia" w:ascii="宋体" w:hAnsi="宋体" w:eastAsia="宋体" w:cs="宋体"/>
                <w:kern w:val="0"/>
                <w:sz w:val="21"/>
                <w:szCs w:val="21"/>
                <w:lang w:bidi="ar"/>
              </w:rPr>
              <w:t>针对本项目提供项目设计图方案，方案中应包含：</w:t>
            </w:r>
          </w:p>
          <w:p>
            <w:pPr>
              <w:widowControl/>
              <w:numPr>
                <w:ilvl w:val="0"/>
                <w:numId w:val="2"/>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图书馆全景俯视</w:t>
            </w:r>
            <w:r>
              <w:rPr>
                <w:rFonts w:hint="eastAsia" w:ascii="宋体" w:hAnsi="宋体" w:eastAsia="宋体" w:cs="宋体"/>
                <w:kern w:val="0"/>
                <w:sz w:val="21"/>
                <w:szCs w:val="21"/>
                <w:lang w:bidi="ar"/>
              </w:rPr>
              <w:t xml:space="preserve">布置图 </w:t>
            </w:r>
          </w:p>
          <w:p>
            <w:pPr>
              <w:widowControl/>
              <w:numPr>
                <w:ilvl w:val="-1"/>
                <w:numId w:val="0"/>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w:t>
            </w:r>
            <w:r>
              <w:rPr>
                <w:rFonts w:hint="eastAsia" w:ascii="宋体" w:hAnsi="宋体" w:eastAsia="宋体" w:cs="宋体"/>
                <w:kern w:val="0"/>
                <w:sz w:val="21"/>
                <w:szCs w:val="21"/>
                <w:lang w:val="en-US" w:eastAsia="zh-CN" w:bidi="ar"/>
              </w:rPr>
              <w:t>对照清单</w:t>
            </w:r>
            <w:r>
              <w:rPr>
                <w:rFonts w:hint="eastAsia" w:ascii="宋体" w:hAnsi="宋体" w:eastAsia="宋体" w:cs="宋体"/>
                <w:kern w:val="0"/>
                <w:sz w:val="21"/>
                <w:szCs w:val="21"/>
                <w:lang w:bidi="ar"/>
              </w:rPr>
              <w:t>对设备布置进行标注的</w:t>
            </w:r>
            <w:r>
              <w:rPr>
                <w:rFonts w:hint="eastAsia" w:ascii="宋体" w:hAnsi="宋体" w:eastAsia="宋体" w:cs="宋体"/>
                <w:kern w:val="0"/>
                <w:sz w:val="21"/>
                <w:szCs w:val="21"/>
                <w:lang w:val="en-US" w:eastAsia="zh-CN" w:bidi="ar"/>
              </w:rPr>
              <w:t>7</w:t>
            </w:r>
            <w:r>
              <w:rPr>
                <w:rFonts w:hint="eastAsia" w:ascii="宋体" w:hAnsi="宋体" w:eastAsia="宋体" w:cs="宋体"/>
                <w:kern w:val="0"/>
                <w:sz w:val="21"/>
                <w:szCs w:val="21"/>
                <w:lang w:bidi="ar"/>
              </w:rPr>
              <w:t>个</w:t>
            </w:r>
            <w:r>
              <w:rPr>
                <w:rFonts w:hint="eastAsia" w:ascii="宋体" w:hAnsi="宋体" w:eastAsia="宋体" w:cs="宋体"/>
                <w:kern w:val="0"/>
                <w:sz w:val="21"/>
                <w:szCs w:val="21"/>
                <w:lang w:val="en-US" w:eastAsia="zh-CN" w:bidi="ar"/>
              </w:rPr>
              <w:t>或以上</w:t>
            </w:r>
            <w:r>
              <w:rPr>
                <w:rFonts w:hint="eastAsia" w:ascii="宋体" w:hAnsi="宋体" w:eastAsia="宋体" w:cs="宋体"/>
                <w:kern w:val="0"/>
                <w:sz w:val="21"/>
                <w:szCs w:val="21"/>
                <w:lang w:bidi="ar"/>
              </w:rPr>
              <w:t>角度的设计效果图</w:t>
            </w:r>
          </w:p>
          <w:p>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（二）评审标准：</w:t>
            </w:r>
          </w:p>
          <w:p>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lang w:bidi="ar"/>
              </w:rPr>
              <w:t>方案中含有上述一个内容得</w:t>
            </w: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bidi="ar"/>
              </w:rPr>
              <w:t>0分</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最高得40分</w:t>
            </w:r>
            <w:r>
              <w:rPr>
                <w:rFonts w:hint="eastAsia" w:ascii="宋体" w:hAnsi="宋体" w:eastAsia="宋体" w:cs="宋体"/>
                <w:kern w:val="0"/>
                <w:sz w:val="21"/>
                <w:szCs w:val="21"/>
                <w:lang w:bidi="ar"/>
              </w:rPr>
              <w:t>。</w:t>
            </w:r>
          </w:p>
          <w:p>
            <w:pPr>
              <w:widowControl/>
              <w:spacing w:line="300" w:lineRule="exact"/>
              <w:jc w:val="left"/>
              <w:rPr>
                <w:rFonts w:ascii="宋体" w:hAnsi="宋体" w:eastAsia="宋体" w:cs="宋体"/>
                <w:kern w:val="0"/>
                <w:szCs w:val="21"/>
              </w:rPr>
            </w:pPr>
            <w:r>
              <w:rPr>
                <w:rFonts w:hint="eastAsia" w:ascii="宋体" w:hAnsi="宋体" w:eastAsia="宋体" w:cs="宋体"/>
                <w:kern w:val="0"/>
                <w:szCs w:val="21"/>
                <w:lang w:val="en-US" w:eastAsia="zh-CN"/>
              </w:rPr>
              <w:t>2.在上述的基础上，对设计图方案的合理性、可行性、科学性进行打分：</w:t>
            </w:r>
            <w:r>
              <w:rPr>
                <w:rFonts w:hint="eastAsia" w:ascii="宋体" w:hAnsi="宋体" w:eastAsia="宋体" w:cs="宋体"/>
                <w:kern w:val="0"/>
                <w:szCs w:val="21"/>
              </w:rPr>
              <w:t>1）优：效果图有结合现场实际环境设计、图纸合理符合评审要求、设计风格统一协调、可实施性强、清晰准确、符合学校的实际需求，评价为优，得60分；</w:t>
            </w:r>
          </w:p>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 xml:space="preserve"> 2）良：效果图有结合现场实际环境设计、图纸较合理、设计风格比较统一协调、可实施较强、较清晰准确，较好的满足学校实际需求，得40分；</w:t>
            </w:r>
          </w:p>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 xml:space="preserve"> 3）设计图有结合现场实际环境设计，内容不完整、设计风格不协调、效果图随意拼凑，得20分；</w:t>
            </w:r>
          </w:p>
          <w:p>
            <w:pPr>
              <w:widowControl/>
              <w:jc w:val="left"/>
              <w:textAlignment w:val="center"/>
              <w:rPr>
                <w:rFonts w:hint="eastAsia" w:ascii="宋体" w:hAnsi="宋体" w:eastAsia="宋体" w:cs="宋体"/>
                <w:color w:val="0000FF"/>
                <w:kern w:val="0"/>
                <w:sz w:val="21"/>
                <w:szCs w:val="21"/>
                <w:highlight w:val="none"/>
              </w:rPr>
            </w:pPr>
            <w:r>
              <w:rPr>
                <w:rFonts w:hint="eastAsia" w:ascii="宋体" w:hAnsi="宋体" w:eastAsia="宋体" w:cs="宋体"/>
                <w:kern w:val="0"/>
                <w:szCs w:val="21"/>
              </w:rPr>
              <w:t xml:space="preserve"> 4）差：未结合现场实际环境设计、随意用其它设计图纸代替，得0分。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3"/>
              </w:numPr>
              <w:jc w:val="left"/>
              <w:textAlignment w:val="center"/>
              <w:rPr>
                <w:rFonts w:hint="eastAsia" w:ascii="宋体" w:hAnsi="宋体" w:eastAsia="宋体" w:cs="宋体"/>
                <w:sz w:val="21"/>
                <w:szCs w:val="21"/>
              </w:rPr>
            </w:pPr>
            <w:r>
              <w:rPr>
                <w:rFonts w:hint="eastAsia" w:ascii="宋体" w:hAnsi="宋体" w:eastAsia="宋体" w:cs="宋体"/>
                <w:sz w:val="21"/>
                <w:szCs w:val="21"/>
              </w:rPr>
              <w:t>评审内容：</w:t>
            </w:r>
          </w:p>
          <w:p>
            <w:pPr>
              <w:widowControl/>
              <w:numPr>
                <w:ilvl w:val="-1"/>
                <w:numId w:val="0"/>
              </w:numPr>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rPr>
              <w:t>投标人提供本项目的组织实施方案，方案中应包含</w:t>
            </w:r>
            <w:r>
              <w:rPr>
                <w:rFonts w:hint="eastAsia" w:ascii="宋体" w:hAnsi="宋体" w:eastAsia="宋体" w:cs="宋体"/>
                <w:sz w:val="21"/>
                <w:szCs w:val="21"/>
                <w:lang w:eastAsia="zh-CN"/>
              </w:rPr>
              <w:t>：</w:t>
            </w:r>
          </w:p>
          <w:p>
            <w:pPr>
              <w:widowControl/>
              <w:numPr>
                <w:ilvl w:val="0"/>
                <w:numId w:val="4"/>
              </w:numPr>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项目进度计划安排 </w:t>
            </w:r>
          </w:p>
          <w:p>
            <w:pPr>
              <w:widowControl/>
              <w:numPr>
                <w:ilvl w:val="0"/>
                <w:numId w:val="4"/>
              </w:numPr>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施工组织计划 </w:t>
            </w:r>
          </w:p>
          <w:p>
            <w:pPr>
              <w:widowControl/>
              <w:numPr>
                <w:ilvl w:val="0"/>
                <w:numId w:val="4"/>
              </w:numPr>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验收组织计划 </w:t>
            </w:r>
          </w:p>
          <w:p>
            <w:pPr>
              <w:widowControl/>
              <w:numPr>
                <w:ilvl w:val="0"/>
                <w:numId w:val="4"/>
              </w:numPr>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产品培训方案 </w:t>
            </w:r>
          </w:p>
          <w:p>
            <w:pPr>
              <w:widowControl/>
              <w:numPr>
                <w:ilvl w:val="0"/>
                <w:numId w:val="3"/>
              </w:numPr>
              <w:jc w:val="left"/>
              <w:textAlignment w:val="center"/>
              <w:rPr>
                <w:rFonts w:hint="eastAsia" w:ascii="宋体" w:hAnsi="宋体" w:eastAsia="宋体" w:cs="宋体"/>
                <w:sz w:val="21"/>
                <w:szCs w:val="21"/>
              </w:rPr>
            </w:pPr>
            <w:r>
              <w:rPr>
                <w:rFonts w:hint="eastAsia" w:ascii="宋体" w:hAnsi="宋体" w:eastAsia="宋体" w:cs="宋体"/>
                <w:sz w:val="21"/>
                <w:szCs w:val="21"/>
              </w:rPr>
              <w:t>评审标准：</w:t>
            </w:r>
          </w:p>
          <w:p>
            <w:pPr>
              <w:widowControl/>
              <w:numPr>
                <w:ilvl w:val="0"/>
                <w:numId w:val="5"/>
              </w:numPr>
              <w:jc w:val="left"/>
              <w:textAlignment w:val="center"/>
              <w:rPr>
                <w:rFonts w:hint="eastAsia" w:ascii="宋体" w:hAnsi="宋体" w:eastAsia="宋体" w:cs="宋体"/>
                <w:sz w:val="21"/>
                <w:szCs w:val="21"/>
              </w:rPr>
            </w:pPr>
            <w:r>
              <w:rPr>
                <w:rFonts w:hint="eastAsia" w:ascii="宋体" w:hAnsi="宋体" w:eastAsia="宋体" w:cs="宋体"/>
                <w:sz w:val="21"/>
                <w:szCs w:val="21"/>
              </w:rPr>
              <w:t>方案中含有上述一个内容得15分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最高得60分</w:t>
            </w:r>
            <w:r>
              <w:rPr>
                <w:rFonts w:hint="eastAsia" w:ascii="宋体" w:hAnsi="宋体" w:eastAsia="宋体" w:cs="宋体"/>
                <w:sz w:val="21"/>
                <w:szCs w:val="21"/>
              </w:rPr>
              <w:t>。</w:t>
            </w:r>
          </w:p>
          <w:p>
            <w:pPr>
              <w:widowControl/>
              <w:numPr>
                <w:ilvl w:val="0"/>
                <w:numId w:val="5"/>
              </w:numPr>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在此基础上，对方案的合理性、可行性进行打分</w:t>
            </w:r>
            <w:r>
              <w:rPr>
                <w:rFonts w:hint="eastAsia" w:ascii="宋体" w:hAnsi="宋体" w:eastAsia="宋体" w:cs="宋体"/>
                <w:sz w:val="21"/>
                <w:szCs w:val="21"/>
                <w:lang w:eastAsia="zh-CN"/>
              </w:rPr>
              <w:t>：</w:t>
            </w:r>
          </w:p>
          <w:p>
            <w:pPr>
              <w:widowControl/>
              <w:numPr>
                <w:ilvl w:val="0"/>
                <w:numId w:val="6"/>
              </w:numPr>
              <w:jc w:val="left"/>
              <w:textAlignment w:val="center"/>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 xml:space="preserve">方案清晰周密、合理可行、表述完整、方法得当、技术先进、符合相关规范要求得40分。 </w:t>
            </w:r>
          </w:p>
          <w:p>
            <w:pPr>
              <w:widowControl/>
              <w:numPr>
                <w:ilvl w:val="-1"/>
                <w:numId w:val="0"/>
              </w:numPr>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方案基本可行表述基本完整得20分。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 xml:space="preserve">未提供或方案计划不切合本项目的实际情况、合理完善性差、可行性差的对应项不得分。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eastAsia="宋体" w:cs="宋体"/>
                <w:kern w:val="0"/>
                <w:szCs w:val="21"/>
                <w:lang w:val="en-US" w:eastAsia="zh-CN" w:bidi="ar"/>
              </w:rPr>
            </w:pPr>
            <w:r>
              <w:rPr>
                <w:rFonts w:hint="eastAsia" w:ascii="宋体" w:hAnsi="宋体" w:eastAsia="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kern w:val="0"/>
                <w:sz w:val="21"/>
                <w:szCs w:val="21"/>
                <w:lang w:eastAsia="zh-CN" w:bidi="ar"/>
              </w:rPr>
            </w:pPr>
            <w:r>
              <w:rPr>
                <w:rFonts w:hint="eastAsia" w:ascii="宋体" w:hAnsi="宋体" w:eastAsia="宋体" w:cs="宋体"/>
                <w:sz w:val="21"/>
                <w:szCs w:val="21"/>
                <w:lang w:val="en-US" w:eastAsia="zh-CN"/>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7"/>
              </w:numPr>
              <w:jc w:val="left"/>
              <w:textAlignment w:val="center"/>
              <w:rPr>
                <w:rFonts w:hint="eastAsia" w:ascii="宋体" w:hAnsi="宋体" w:eastAsia="宋体" w:cs="宋体"/>
                <w:sz w:val="21"/>
                <w:szCs w:val="21"/>
              </w:rPr>
            </w:pPr>
            <w:r>
              <w:rPr>
                <w:rFonts w:hint="eastAsia" w:ascii="宋体" w:hAnsi="宋体" w:eastAsia="宋体" w:cs="宋体"/>
                <w:sz w:val="21"/>
                <w:szCs w:val="21"/>
              </w:rPr>
              <w:t>评审内容：</w:t>
            </w:r>
          </w:p>
          <w:p>
            <w:pPr>
              <w:widowControl/>
              <w:numPr>
                <w:ilvl w:val="-1"/>
                <w:numId w:val="0"/>
              </w:numPr>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rPr>
              <w:t>投标人提供本项目的售后服务方案，方案中应包含</w:t>
            </w:r>
            <w:r>
              <w:rPr>
                <w:rFonts w:hint="eastAsia" w:ascii="宋体" w:hAnsi="宋体" w:eastAsia="宋体" w:cs="宋体"/>
                <w:sz w:val="21"/>
                <w:szCs w:val="21"/>
                <w:lang w:eastAsia="zh-CN"/>
              </w:rPr>
              <w:t>：</w:t>
            </w:r>
          </w:p>
          <w:p>
            <w:pPr>
              <w:widowControl/>
              <w:numPr>
                <w:ilvl w:val="0"/>
                <w:numId w:val="8"/>
              </w:numPr>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服务内容 </w:t>
            </w:r>
          </w:p>
          <w:p>
            <w:pPr>
              <w:widowControl/>
              <w:numPr>
                <w:ilvl w:val="0"/>
                <w:numId w:val="8"/>
              </w:numPr>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维修应急方案 </w:t>
            </w:r>
          </w:p>
          <w:p>
            <w:pPr>
              <w:widowControl/>
              <w:numPr>
                <w:ilvl w:val="0"/>
                <w:numId w:val="8"/>
              </w:numPr>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培训计划 </w:t>
            </w:r>
          </w:p>
          <w:p>
            <w:pPr>
              <w:widowControl/>
              <w:numPr>
                <w:ilvl w:val="0"/>
                <w:numId w:val="8"/>
              </w:numPr>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其他特色服务等 </w:t>
            </w:r>
          </w:p>
          <w:p>
            <w:pPr>
              <w:widowControl/>
              <w:numPr>
                <w:ilvl w:val="0"/>
                <w:numId w:val="7"/>
              </w:numPr>
              <w:jc w:val="left"/>
              <w:textAlignment w:val="center"/>
              <w:rPr>
                <w:rFonts w:hint="eastAsia" w:ascii="宋体" w:hAnsi="宋体" w:eastAsia="宋体" w:cs="宋体"/>
                <w:sz w:val="21"/>
                <w:szCs w:val="21"/>
              </w:rPr>
            </w:pPr>
            <w:r>
              <w:rPr>
                <w:rFonts w:hint="eastAsia" w:ascii="宋体" w:hAnsi="宋体" w:eastAsia="宋体" w:cs="宋体"/>
                <w:sz w:val="21"/>
                <w:szCs w:val="21"/>
              </w:rPr>
              <w:t>评审标准：</w:t>
            </w:r>
          </w:p>
          <w:p>
            <w:pPr>
              <w:widowControl/>
              <w:numPr>
                <w:ilvl w:val="0"/>
                <w:numId w:val="9"/>
              </w:numPr>
              <w:jc w:val="left"/>
              <w:textAlignment w:val="center"/>
              <w:rPr>
                <w:rFonts w:hint="eastAsia" w:ascii="宋体" w:hAnsi="宋体" w:eastAsia="宋体" w:cs="宋体"/>
                <w:sz w:val="21"/>
                <w:szCs w:val="21"/>
              </w:rPr>
            </w:pPr>
            <w:r>
              <w:rPr>
                <w:rFonts w:hint="eastAsia" w:ascii="宋体" w:hAnsi="宋体" w:eastAsia="宋体" w:cs="宋体"/>
                <w:sz w:val="21"/>
                <w:szCs w:val="21"/>
              </w:rPr>
              <w:t>方案中含有上述一个内容得15分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最高得60分</w:t>
            </w:r>
            <w:r>
              <w:rPr>
                <w:rFonts w:hint="eastAsia" w:ascii="宋体" w:hAnsi="宋体" w:eastAsia="宋体" w:cs="宋体"/>
                <w:sz w:val="21"/>
                <w:szCs w:val="21"/>
              </w:rPr>
              <w:t>。</w:t>
            </w:r>
          </w:p>
          <w:p>
            <w:pPr>
              <w:widowControl/>
              <w:numPr>
                <w:ilvl w:val="0"/>
                <w:numId w:val="9"/>
              </w:numPr>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rPr>
              <w:t>在此基础上，对方案的合理性、可行性进行打分</w:t>
            </w:r>
            <w:r>
              <w:rPr>
                <w:rFonts w:hint="eastAsia" w:ascii="宋体" w:hAnsi="宋体" w:eastAsia="宋体" w:cs="宋体"/>
                <w:sz w:val="21"/>
                <w:szCs w:val="21"/>
                <w:lang w:eastAsia="zh-CN"/>
              </w:rPr>
              <w:t>：</w:t>
            </w:r>
          </w:p>
          <w:p>
            <w:pPr>
              <w:widowControl/>
              <w:numPr>
                <w:ilvl w:val="0"/>
                <w:numId w:val="10"/>
              </w:numPr>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售后服务方案非常详细，保障措施完善可行，得40分； </w:t>
            </w:r>
          </w:p>
          <w:p>
            <w:pPr>
              <w:widowControl/>
              <w:numPr>
                <w:ilvl w:val="0"/>
                <w:numId w:val="10"/>
              </w:numPr>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售后服务方案比较具体，保障措施比较完善可行，能够满足招标文件要求的得20分； </w:t>
            </w:r>
          </w:p>
          <w:p>
            <w:pPr>
              <w:widowControl/>
              <w:numPr>
                <w:ilvl w:val="-1"/>
                <w:numId w:val="0"/>
              </w:numPr>
              <w:jc w:val="left"/>
              <w:textAlignment w:val="center"/>
              <w:rPr>
                <w:rFonts w:hint="eastAsia" w:ascii="宋体" w:hAnsi="宋体" w:eastAsia="宋体" w:cs="宋体"/>
                <w:sz w:val="21"/>
                <w:szCs w:val="21"/>
              </w:rPr>
            </w:pPr>
            <w:r>
              <w:rPr>
                <w:rFonts w:hint="eastAsia" w:ascii="宋体" w:hAnsi="宋体" w:eastAsia="宋体" w:cs="宋体"/>
                <w:sz w:val="21"/>
                <w:szCs w:val="21"/>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eastAsia="宋体" w:cs="宋体"/>
                <w:kern w:val="0"/>
                <w:szCs w:val="21"/>
                <w:lang w:val="en-US" w:eastAsia="zh-CN" w:bidi="ar"/>
              </w:rPr>
            </w:pPr>
            <w:r>
              <w:rPr>
                <w:rFonts w:hint="eastAsia" w:ascii="宋体" w:hAnsi="宋体" w:eastAsia="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 w:val="21"/>
                <w:szCs w:val="21"/>
                <w:lang w:val="en-US" w:eastAsia="zh-CN"/>
              </w:rPr>
            </w:pPr>
            <w:r>
              <w:rPr>
                <w:rFonts w:hint="eastAsia" w:ascii="宋体" w:hAnsi="宋体" w:eastAsia="宋体" w:cs="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w:t>
            </w:r>
            <w:r>
              <w:rPr>
                <w:rFonts w:hint="eastAsia" w:ascii="宋体" w:hAnsi="宋体" w:eastAsia="宋体" w:cs="宋体"/>
                <w:color w:val="000000"/>
                <w:kern w:val="2"/>
                <w:sz w:val="21"/>
                <w:szCs w:val="21"/>
                <w:lang w:val="en-US" w:eastAsia="zh-CN" w:bidi="ar-SA"/>
              </w:rPr>
              <w:t>得100分。</w:t>
            </w:r>
          </w:p>
          <w:p>
            <w:pPr>
              <w:keepNext w:val="0"/>
              <w:keepLines w:val="0"/>
              <w:suppressLineNumbers w:val="0"/>
              <w:spacing w:before="0" w:beforeAutospacing="0" w:after="0" w:afterAutospacing="0" w:line="300" w:lineRule="exact"/>
              <w:ind w:left="0" w:right="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highlight w:val="none"/>
              </w:rPr>
              <w:t>（二）评审依据：</w:t>
            </w:r>
          </w:p>
          <w:p>
            <w:pPr>
              <w:snapToGrid w:val="0"/>
              <w:ind w:firstLine="0" w:firstLineChars="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eastAsia="宋体" w:cs="宋体"/>
                <w:kern w:val="0"/>
                <w:szCs w:val="21"/>
                <w:lang w:val="en-US" w:eastAsia="zh-CN" w:bidi="ar"/>
              </w:rPr>
            </w:pPr>
            <w:r>
              <w:rPr>
                <w:rFonts w:hint="eastAsia" w:ascii="宋体" w:hAnsi="宋体" w:eastAsia="宋体" w:cs="宋体"/>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 w:val="21"/>
                <w:szCs w:val="21"/>
                <w:lang w:val="en-US" w:eastAsia="zh-CN"/>
              </w:rPr>
            </w:pPr>
            <w:r>
              <w:rPr>
                <w:rFonts w:hint="eastAsia" w:ascii="宋体" w:hAnsi="宋体" w:eastAsia="宋体" w:cs="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0" w:firstLineChars="0"/>
              <w:jc w:val="both"/>
              <w:rPr>
                <w:rFonts w:hint="eastAsia" w:ascii="Times New Roman" w:hAnsi="Times New Roman" w:eastAsia="宋体" w:cs="Times New Roman"/>
                <w:szCs w:val="21"/>
              </w:rPr>
            </w:pPr>
            <w:r>
              <w:rPr>
                <w:rFonts w:hint="eastAsia" w:ascii="Times New Roman" w:hAnsi="Times New Roman" w:eastAsia="宋体" w:cs="Times New Roman"/>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color w:val="000000"/>
                <w:kern w:val="0"/>
                <w:szCs w:val="21"/>
                <w:highlight w:val="none"/>
              </w:rPr>
            </w:pPr>
            <w:r>
              <w:rPr>
                <w:rFonts w:hint="eastAsia" w:ascii="宋体" w:hAnsi="宋体" w:eastAsia="宋体" w:cs="宋体"/>
                <w:color w:val="000000"/>
                <w:szCs w:val="21"/>
                <w:highlight w:val="none"/>
              </w:rPr>
              <w:t>（二）评审依据：</w:t>
            </w:r>
          </w:p>
          <w:p>
            <w:pPr>
              <w:snapToGrid w:val="0"/>
              <w:ind w:firstLine="0" w:firstLineChars="0"/>
              <w:jc w:val="both"/>
              <w:rPr>
                <w:rFonts w:hint="eastAsia" w:ascii="宋体" w:hAnsi="宋体" w:eastAsia="宋体" w:cs="宋体"/>
                <w:color w:val="0000FF"/>
                <w:sz w:val="21"/>
                <w:szCs w:val="21"/>
                <w:highlight w:val="none"/>
              </w:rPr>
            </w:pPr>
            <w:r>
              <w:rPr>
                <w:rFonts w:hint="eastAsia" w:ascii="宋体" w:hAnsi="宋体" w:eastAsia="宋体" w:cs="宋体"/>
                <w:color w:val="000000"/>
                <w:szCs w:val="21"/>
                <w:highlight w:val="none"/>
              </w:rPr>
              <w:t>投标人提供符合相关要求的承诺函</w:t>
            </w:r>
            <w:r>
              <w:rPr>
                <w:rFonts w:hint="eastAsia" w:ascii="宋体" w:hAnsi="宋体" w:eastAsia="宋体" w:cs="宋体"/>
                <w:color w:val="000000"/>
                <w:szCs w:val="21"/>
                <w:highlight w:val="none"/>
                <w:lang w:val="en-US" w:eastAsia="zh-CN"/>
              </w:rPr>
              <w:t>得100分</w:t>
            </w:r>
            <w:r>
              <w:rPr>
                <w:rFonts w:hint="eastAsia" w:ascii="宋体" w:hAnsi="宋体" w:eastAsia="宋体" w:cs="宋体"/>
                <w:color w:val="000000"/>
                <w:szCs w:val="21"/>
                <w:highlight w:val="none"/>
              </w:rPr>
              <w:t>（格式自定，</w:t>
            </w:r>
            <w:r>
              <w:rPr>
                <w:rFonts w:hint="eastAsia" w:ascii="宋体" w:hAnsi="宋体" w:eastAsia="宋体" w:cs="宋体"/>
                <w:color w:val="000000"/>
                <w:szCs w:val="21"/>
                <w:highlight w:val="none"/>
                <w:lang w:val="en-US" w:eastAsia="zh-CN"/>
              </w:rPr>
              <w:t>应在《自行采购投标及履约承诺函》外另起承诺函）可视为符合规定，</w:t>
            </w:r>
            <w:r>
              <w:rPr>
                <w:rFonts w:hint="eastAsia" w:ascii="宋体" w:hAnsi="宋体" w:eastAsia="宋体" w:cs="宋体"/>
                <w:color w:val="000000"/>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imes New Roman" w:hAnsi="Times New Roman" w:eastAsia="宋体" w:cs="Times New Roman"/>
                <w:b/>
                <w:bCs/>
                <w:color w:val="0000FF"/>
                <w:sz w:val="24"/>
                <w:szCs w:val="24"/>
                <w:lang w:eastAsia="zh-CN"/>
              </w:rPr>
            </w:pPr>
            <w:r>
              <w:rPr>
                <w:rFonts w:hint="eastAsia" w:ascii="宋体" w:hAnsi="宋体" w:eastAsia="宋体" w:cs="宋体"/>
                <w:b/>
                <w:bCs/>
                <w:color w:val="0000FF"/>
                <w:kern w:val="0"/>
                <w:sz w:val="24"/>
                <w:szCs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hint="eastAsia" w:ascii="Times New Roman" w:hAnsi="Times New Roman" w:eastAsia="宋体" w:cs="Times New Roman"/>
                <w:b/>
                <w:bCs/>
                <w:color w:val="0000FF"/>
                <w:sz w:val="24"/>
                <w:szCs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ascii="Times New Roman" w:hAnsi="Times New Roman" w:eastAsia="宋体" w:cs="Times New Roman"/>
                <w:b/>
                <w:bCs/>
                <w:color w:val="0000FF"/>
                <w:sz w:val="24"/>
                <w:szCs w:val="24"/>
                <w:lang w:val="en-US" w:eastAsia="zh-CN"/>
              </w:rPr>
            </w:pPr>
            <w:r>
              <w:rPr>
                <w:rFonts w:hint="eastAsia" w:ascii="Times New Roman" w:hAnsi="Times New Roman" w:eastAsia="宋体" w:cs="Times New Roman"/>
                <w:b/>
                <w:bCs/>
                <w:color w:val="0000FF"/>
                <w:sz w:val="24"/>
                <w:szCs w:val="24"/>
                <w:lang w:val="en-US" w:eastAsia="zh-CN"/>
              </w:rPr>
              <w:t>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jc w:val="center"/>
              <w:rPr>
                <w:rFonts w:ascii="宋体"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Times New Roman" w:eastAsia="宋体" w:cs="Times New Roman"/>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0" w:hRule="atLeast"/>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Times New Roman" w:eastAsia="宋体" w:cs="Times New Roman"/>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1</w:t>
            </w:r>
          </w:p>
        </w:tc>
        <w:tc>
          <w:tcPr>
            <w:tcW w:w="2837" w:type="dxa"/>
            <w:tcBorders>
              <w:top w:val="outset" w:color="000000" w:sz="6" w:space="0"/>
              <w:left w:val="outset" w:color="000000" w:sz="6" w:space="0"/>
              <w:bottom w:val="outset" w:color="000000" w:sz="6" w:space="0"/>
              <w:right w:val="outset" w:color="000000" w:sz="6" w:space="0"/>
            </w:tcBorders>
            <w:shd w:val="clear" w:color="auto" w:fill="auto"/>
            <w:vAlign w:val="center"/>
          </w:tcPr>
          <w:p>
            <w:pPr>
              <w:widowControl/>
              <w:jc w:val="center"/>
              <w:textAlignment w:val="center"/>
              <w:rPr>
                <w:rFonts w:hint="eastAsia" w:ascii="宋体" w:hAnsi="宋体" w:eastAsia="宋体" w:cs="宋体"/>
                <w:sz w:val="21"/>
                <w:szCs w:val="21"/>
                <w:lang w:val="en-US" w:eastAsia="zh-CN"/>
              </w:rPr>
            </w:pPr>
            <w:r>
              <w:rPr>
                <w:rFonts w:hint="eastAsia" w:ascii="宋体" w:hAnsi="宋体" w:eastAsia="宋体" w:cs="宋体"/>
                <w:kern w:val="0"/>
                <w:sz w:val="21"/>
                <w:szCs w:val="21"/>
                <w:lang w:bidi="ar"/>
              </w:rPr>
              <w:t>投标人通过相关</w:t>
            </w:r>
            <w:bookmarkStart w:id="138" w:name="_GoBack"/>
            <w:bookmarkEnd w:id="138"/>
            <w:r>
              <w:rPr>
                <w:rFonts w:hint="eastAsia" w:ascii="宋体" w:hAnsi="宋体" w:eastAsia="宋体" w:cs="宋体"/>
                <w:kern w:val="0"/>
                <w:sz w:val="21"/>
                <w:szCs w:val="21"/>
                <w:lang w:bidi="ar"/>
              </w:rPr>
              <w:t>认证情况</w:t>
            </w:r>
          </w:p>
        </w:tc>
        <w:tc>
          <w:tcPr>
            <w:tcW w:w="681" w:type="dxa"/>
            <w:tcBorders>
              <w:top w:val="outset" w:color="000000" w:sz="6" w:space="0"/>
              <w:left w:val="outset" w:color="000000" w:sz="6" w:space="0"/>
              <w:bottom w:val="outset" w:color="000000" w:sz="6" w:space="0"/>
              <w:right w:val="outset" w:color="000000" w:sz="6" w:space="0"/>
            </w:tcBorders>
            <w:shd w:val="clear" w:color="auto" w:fill="auto"/>
            <w:vAlign w:val="center"/>
          </w:tcPr>
          <w:p>
            <w:pPr>
              <w:widowControl/>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rPr>
              <w:t>3</w:t>
            </w:r>
          </w:p>
        </w:tc>
        <w:tc>
          <w:tcPr>
            <w:tcW w:w="4198" w:type="dxa"/>
            <w:tcBorders>
              <w:top w:val="outset" w:color="000000" w:sz="6" w:space="0"/>
              <w:left w:val="outset" w:color="000000" w:sz="6" w:space="0"/>
              <w:bottom w:val="outset" w:color="000000" w:sz="6" w:space="0"/>
              <w:right w:val="outset" w:color="000000" w:sz="6" w:space="0"/>
            </w:tcBorders>
            <w:shd w:val="clear" w:color="auto" w:fill="auto"/>
            <w:vAlign w:val="center"/>
          </w:tcPr>
          <w:p>
            <w:pPr>
              <w:numPr>
                <w:ilvl w:val="0"/>
                <w:numId w:val="11"/>
              </w:numPr>
              <w:spacing w:after="160"/>
              <w:rPr>
                <w:rFonts w:hint="eastAsia" w:ascii="宋体" w:hAnsi="宋体" w:eastAsia="宋体" w:cs="宋体"/>
                <w:sz w:val="21"/>
                <w:szCs w:val="21"/>
              </w:rPr>
            </w:pPr>
            <w:r>
              <w:rPr>
                <w:rFonts w:hint="eastAsia" w:ascii="宋体" w:hAnsi="宋体" w:eastAsia="宋体" w:cs="宋体"/>
                <w:sz w:val="21"/>
                <w:szCs w:val="21"/>
              </w:rPr>
              <w:t>评审内容：</w:t>
            </w:r>
          </w:p>
          <w:p>
            <w:pPr>
              <w:numPr>
                <w:ilvl w:val="-1"/>
                <w:numId w:val="0"/>
              </w:numPr>
              <w:spacing w:after="160"/>
              <w:rPr>
                <w:rFonts w:hint="default" w:ascii="宋体" w:hAnsi="宋体" w:eastAsia="宋体" w:cs="宋体"/>
                <w:sz w:val="21"/>
                <w:szCs w:val="21"/>
              </w:rPr>
            </w:pPr>
            <w:r>
              <w:rPr>
                <w:rFonts w:hint="eastAsia" w:ascii="宋体" w:hAnsi="宋体" w:eastAsia="宋体" w:cs="宋体"/>
                <w:sz w:val="21"/>
                <w:szCs w:val="21"/>
                <w:lang w:val="en-US" w:eastAsia="zh-CN"/>
              </w:rPr>
              <w:t>投标人具有以下证书：</w:t>
            </w:r>
          </w:p>
          <w:p>
            <w:pPr>
              <w:widowControl/>
              <w:jc w:val="left"/>
              <w:textAlignment w:val="center"/>
              <w:rPr>
                <w:rFonts w:hint="eastAsia" w:ascii="宋体" w:hAnsi="宋体" w:eastAsia="宋体" w:cs="宋体"/>
                <w:sz w:val="21"/>
                <w:szCs w:val="21"/>
              </w:rPr>
            </w:pPr>
            <w:r>
              <w:rPr>
                <w:rFonts w:hint="eastAsia" w:ascii="宋体" w:hAnsi="宋体" w:eastAsia="宋体" w:cs="宋体"/>
                <w:sz w:val="21"/>
                <w:szCs w:val="21"/>
              </w:rPr>
              <w:t>1、具有质量管理体系认证证书（认证范围</w:t>
            </w:r>
            <w:r>
              <w:rPr>
                <w:rFonts w:hint="eastAsia" w:ascii="宋体" w:hAnsi="宋体" w:eastAsia="宋体" w:cs="宋体"/>
                <w:sz w:val="21"/>
                <w:szCs w:val="21"/>
                <w:lang w:val="en-US" w:eastAsia="zh-CN"/>
              </w:rPr>
              <w:t>包含</w:t>
            </w:r>
            <w:r>
              <w:rPr>
                <w:rFonts w:hint="eastAsia" w:ascii="宋体" w:hAnsi="宋体" w:eastAsia="宋体" w:cs="宋体"/>
                <w:sz w:val="21"/>
                <w:szCs w:val="21"/>
              </w:rPr>
              <w:t>教学设备相关）的得34分；</w:t>
            </w:r>
          </w:p>
          <w:p>
            <w:pPr>
              <w:widowControl/>
              <w:jc w:val="left"/>
              <w:textAlignment w:val="center"/>
              <w:rPr>
                <w:rFonts w:hint="eastAsia" w:ascii="宋体" w:hAnsi="宋体" w:eastAsia="宋体" w:cs="宋体"/>
                <w:sz w:val="21"/>
                <w:szCs w:val="21"/>
              </w:rPr>
            </w:pPr>
            <w:r>
              <w:rPr>
                <w:rFonts w:hint="eastAsia" w:ascii="宋体" w:hAnsi="宋体" w:eastAsia="宋体" w:cs="宋体"/>
                <w:sz w:val="21"/>
                <w:szCs w:val="21"/>
              </w:rPr>
              <w:t>2、具有环境管理体系认证证书（认证范围</w:t>
            </w:r>
            <w:r>
              <w:rPr>
                <w:rFonts w:hint="eastAsia" w:ascii="宋体" w:hAnsi="宋体" w:eastAsia="宋体" w:cs="宋体"/>
                <w:sz w:val="21"/>
                <w:szCs w:val="21"/>
                <w:lang w:val="en-US" w:eastAsia="zh-CN"/>
              </w:rPr>
              <w:t>包含</w:t>
            </w:r>
            <w:r>
              <w:rPr>
                <w:rFonts w:hint="eastAsia" w:ascii="宋体" w:hAnsi="宋体" w:eastAsia="宋体" w:cs="宋体"/>
                <w:sz w:val="21"/>
                <w:szCs w:val="21"/>
              </w:rPr>
              <w:t>教学设备相关内容）的得34分；</w:t>
            </w:r>
          </w:p>
          <w:p>
            <w:pPr>
              <w:widowControl/>
              <w:jc w:val="left"/>
              <w:textAlignment w:val="center"/>
              <w:rPr>
                <w:rFonts w:hint="eastAsia" w:ascii="宋体" w:hAnsi="宋体" w:eastAsia="宋体" w:cs="宋体"/>
                <w:sz w:val="21"/>
                <w:szCs w:val="21"/>
              </w:rPr>
            </w:pPr>
            <w:r>
              <w:rPr>
                <w:rFonts w:hint="eastAsia" w:ascii="宋体" w:hAnsi="宋体" w:eastAsia="宋体" w:cs="宋体"/>
                <w:sz w:val="21"/>
                <w:szCs w:val="21"/>
              </w:rPr>
              <w:t>3、具有职业健康安全管理体系认证证书（认证范围</w:t>
            </w:r>
            <w:r>
              <w:rPr>
                <w:rFonts w:hint="eastAsia" w:ascii="宋体" w:hAnsi="宋体" w:eastAsia="宋体" w:cs="宋体"/>
                <w:sz w:val="21"/>
                <w:szCs w:val="21"/>
                <w:lang w:val="en-US" w:eastAsia="zh-CN"/>
              </w:rPr>
              <w:t>包含</w:t>
            </w:r>
            <w:r>
              <w:rPr>
                <w:rFonts w:hint="eastAsia" w:ascii="宋体" w:hAnsi="宋体" w:eastAsia="宋体" w:cs="宋体"/>
                <w:sz w:val="21"/>
                <w:szCs w:val="21"/>
              </w:rPr>
              <w:t>教学设备相关内容）的得34分；</w:t>
            </w:r>
          </w:p>
          <w:p>
            <w:pPr>
              <w:widowControl w:val="0"/>
              <w:spacing w:after="120"/>
              <w:jc w:val="both"/>
              <w:rPr>
                <w:rFonts w:hint="default" w:ascii="Times New Roman" w:hAnsi="Times New Roman" w:eastAsia="宋体" w:cs="Times New Roman"/>
                <w:kern w:val="2"/>
                <w:sz w:val="21"/>
                <w:szCs w:val="24"/>
                <w:lang w:val="en-US" w:eastAsia="zh-CN" w:bidi="ar-SA"/>
              </w:rPr>
            </w:pPr>
            <w:r>
              <w:rPr>
                <w:rFonts w:hint="eastAsia" w:ascii="宋体" w:hAnsi="宋体" w:eastAsia="宋体" w:cs="宋体"/>
                <w:kern w:val="2"/>
                <w:sz w:val="21"/>
                <w:szCs w:val="21"/>
                <w:lang w:val="en-US" w:eastAsia="zh-CN" w:bidi="ar-SA"/>
              </w:rPr>
              <w:t>以上合计最高得100分。</w:t>
            </w:r>
          </w:p>
          <w:p>
            <w:pPr>
              <w:widowControl/>
              <w:jc w:val="left"/>
              <w:rPr>
                <w:rFonts w:hint="eastAsia" w:ascii="宋体" w:hAnsi="宋体" w:eastAsia="宋体" w:cs="宋体"/>
                <w:sz w:val="21"/>
                <w:szCs w:val="21"/>
              </w:rPr>
            </w:pPr>
            <w:r>
              <w:rPr>
                <w:rFonts w:hint="eastAsia" w:ascii="宋体" w:hAnsi="宋体" w:eastAsia="宋体" w:cs="宋体"/>
                <w:sz w:val="21"/>
                <w:szCs w:val="21"/>
              </w:rPr>
              <w:t>（二）评分依据：</w:t>
            </w:r>
          </w:p>
          <w:p>
            <w:pPr>
              <w:keepNext w:val="0"/>
              <w:keepLines w:val="0"/>
              <w:pageBreakBefore w:val="0"/>
              <w:widowControl w:val="0"/>
              <w:numPr>
                <w:ilvl w:val="0"/>
                <w:numId w:val="0"/>
              </w:numPr>
              <w:kinsoku/>
              <w:overflowPunct/>
              <w:topLinePunct w:val="0"/>
              <w:bidi w:val="0"/>
              <w:spacing w:line="300" w:lineRule="exact"/>
              <w:ind w:leftChars="0" w:firstLine="420"/>
              <w:jc w:val="both"/>
              <w:rPr>
                <w:rFonts w:hint="eastAsia" w:ascii="宋体" w:hAnsi="宋体" w:eastAsia="宋体" w:cs="宋体"/>
                <w:i w:val="0"/>
                <w:iCs w:val="0"/>
                <w:color w:val="auto"/>
                <w:kern w:val="0"/>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SA"/>
              </w:rPr>
              <w:t>1、相关认证机构颁发的有效期内的认证证书扫描件及认证信息查询截图（截图需显示证书状态为有效）；</w:t>
            </w:r>
          </w:p>
          <w:p>
            <w:pPr>
              <w:keepNext w:val="0"/>
              <w:keepLines w:val="0"/>
              <w:pageBreakBefore w:val="0"/>
              <w:widowControl/>
              <w:suppressLineNumbers w:val="0"/>
              <w:kinsoku/>
              <w:overflowPunct/>
              <w:topLinePunct w:val="0"/>
              <w:bidi w:val="0"/>
              <w:spacing w:line="300" w:lineRule="exact"/>
              <w:jc w:val="left"/>
              <w:textAlignment w:val="center"/>
              <w:rPr>
                <w:rFonts w:hint="eastAsia" w:ascii="宋体" w:hAnsi="宋体" w:eastAsia="宋体" w:cs="宋体"/>
                <w:i w:val="0"/>
                <w:iCs w:val="0"/>
                <w:color w:val="auto"/>
                <w:kern w:val="0"/>
                <w:sz w:val="21"/>
                <w:szCs w:val="21"/>
                <w:u w:val="none"/>
                <w:lang w:val="en-US" w:eastAsia="zh-CN"/>
              </w:rPr>
            </w:pPr>
            <w:r>
              <w:rPr>
                <w:rFonts w:hint="eastAsia" w:ascii="宋体" w:hAnsi="宋体" w:eastAsia="宋体" w:cs="宋体"/>
                <w:i w:val="0"/>
                <w:iCs w:val="0"/>
                <w:color w:val="auto"/>
                <w:kern w:val="0"/>
                <w:sz w:val="21"/>
                <w:szCs w:val="21"/>
                <w:u w:val="none"/>
                <w:lang w:val="en-US" w:eastAsia="zh-CN"/>
              </w:rPr>
              <w:t>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w:t>
            </w:r>
          </w:p>
          <w:p>
            <w:pPr>
              <w:keepNext w:val="0"/>
              <w:keepLines w:val="0"/>
              <w:pageBreakBefore w:val="0"/>
              <w:widowControl/>
              <w:numPr>
                <w:ilvl w:val="0"/>
                <w:numId w:val="0"/>
              </w:numPr>
              <w:suppressLineNumbers w:val="0"/>
              <w:kinsoku/>
              <w:overflowPunct/>
              <w:topLinePunct w:val="0"/>
              <w:bidi w:val="0"/>
              <w:spacing w:line="300" w:lineRule="exact"/>
              <w:ind w:leftChars="0"/>
              <w:jc w:val="left"/>
              <w:textAlignment w:val="center"/>
              <w:rPr>
                <w:rFonts w:hint="eastAsia" w:ascii="宋体" w:hAnsi="宋体" w:eastAsia="宋体" w:cs="宋体"/>
                <w:i w:val="0"/>
                <w:iCs w:val="0"/>
                <w:color w:val="auto"/>
                <w:kern w:val="0"/>
                <w:sz w:val="21"/>
                <w:szCs w:val="21"/>
                <w:u w:val="none"/>
                <w:lang w:val="en-US" w:eastAsia="zh-CN"/>
              </w:rPr>
            </w:pPr>
            <w:r>
              <w:rPr>
                <w:rFonts w:hint="eastAsia" w:ascii="宋体" w:hAnsi="宋体" w:eastAsia="宋体" w:cs="宋体"/>
                <w:i w:val="0"/>
                <w:iCs w:val="0"/>
                <w:color w:val="auto"/>
                <w:kern w:val="0"/>
                <w:sz w:val="21"/>
                <w:szCs w:val="21"/>
                <w:u w:val="none"/>
                <w:lang w:val="en-US" w:eastAsia="zh-CN"/>
              </w:rPr>
              <w:t>③质疑投诉处理中对证书是否有效的认定，以国家认监委网站【全国认证认可信息公共服务平台（//cx.cnca.cn）】查询结果为准。</w:t>
            </w:r>
          </w:p>
          <w:p>
            <w:pPr>
              <w:widowControl/>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auto"/>
                <w:kern w:val="0"/>
                <w:sz w:val="21"/>
                <w:szCs w:val="21"/>
                <w:u w:val="none"/>
                <w:lang w:val="en-US" w:eastAsia="zh-CN"/>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4</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numPr>
                <w:ilvl w:val="-1"/>
                <w:numId w:val="0"/>
              </w:numPr>
              <w:spacing w:after="16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一</w:t>
            </w:r>
            <w:r>
              <w:rPr>
                <w:rFonts w:hint="eastAsia" w:ascii="宋体" w:hAnsi="宋体" w:eastAsia="宋体" w:cs="宋体"/>
                <w:sz w:val="21"/>
                <w:szCs w:val="21"/>
                <w:lang w:eastAsia="zh-CN"/>
              </w:rPr>
              <w:t>）</w:t>
            </w:r>
            <w:r>
              <w:rPr>
                <w:rFonts w:hint="eastAsia" w:ascii="宋体" w:hAnsi="宋体" w:eastAsia="宋体" w:cs="宋体"/>
                <w:sz w:val="21"/>
                <w:szCs w:val="21"/>
              </w:rPr>
              <w:t>评审内容：</w:t>
            </w:r>
          </w:p>
          <w:p>
            <w:pPr>
              <w:widowControl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2022年1月1日（以合同签订日期为准）以来，投标人具有图书馆</w:t>
            </w:r>
            <w:r>
              <w:rPr>
                <w:rFonts w:hint="eastAsia" w:ascii="Times New Roman" w:hAnsi="Times New Roman" w:eastAsia="宋体" w:cs="Times New Roman"/>
                <w:kern w:val="2"/>
                <w:sz w:val="21"/>
                <w:szCs w:val="24"/>
                <w:lang w:val="en-US" w:eastAsia="zh-CN" w:bidi="ar-SA"/>
              </w:rPr>
              <w:t>设备类相关</w:t>
            </w:r>
            <w:r>
              <w:rPr>
                <w:rFonts w:hint="eastAsia" w:ascii="宋体" w:hAnsi="宋体" w:eastAsia="宋体" w:cs="宋体"/>
                <w:kern w:val="0"/>
                <w:sz w:val="21"/>
                <w:szCs w:val="21"/>
                <w:lang w:val="en-US" w:eastAsia="zh-CN" w:bidi="ar"/>
              </w:rPr>
              <w:t>项目经验，且验收合格，每提供一个得 25分，最高得100分。</w:t>
            </w:r>
          </w:p>
          <w:p>
            <w:pPr>
              <w:widowControl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（二）证明材料：</w:t>
            </w:r>
          </w:p>
          <w:p>
            <w:pPr>
              <w:widowControl w:val="0"/>
              <w:numPr>
                <w:ilvl w:val="0"/>
                <w:numId w:val="12"/>
              </w:numPr>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同时提供以下：（1）中标通知书；（2）合同关键页（须能体现投标人信息）扫描件；（3）验收报告[加盖合同相对方公章（或合同相对方业务章）]； </w:t>
            </w:r>
          </w:p>
          <w:p>
            <w:pPr>
              <w:widowControl w:val="0"/>
              <w:numPr>
                <w:ilvl w:val="-1"/>
                <w:numId w:val="0"/>
              </w:numPr>
              <w:ind w:left="0"/>
              <w:jc w:val="left"/>
              <w:rPr>
                <w:rFonts w:hint="eastAsia" w:ascii="宋体" w:hAnsi="宋体" w:eastAsia="宋体" w:cs="宋体"/>
                <w:kern w:val="2"/>
                <w:sz w:val="21"/>
                <w:szCs w:val="21"/>
                <w:lang w:val="en-US" w:eastAsia="zh-CN" w:bidi="ar"/>
              </w:rPr>
            </w:pPr>
            <w:r>
              <w:rPr>
                <w:rFonts w:hint="eastAsia" w:ascii="宋体" w:hAnsi="宋体" w:eastAsia="宋体" w:cs="宋体"/>
                <w:kern w:val="0"/>
                <w:sz w:val="21"/>
                <w:szCs w:val="21"/>
                <w:lang w:val="en-US" w:eastAsia="zh-CN" w:bidi="ar"/>
              </w:rPr>
              <w:t>2.</w:t>
            </w:r>
            <w:r>
              <w:rPr>
                <w:rFonts w:hint="eastAsia" w:ascii="宋体" w:hAnsi="宋体" w:eastAsia="宋体" w:cs="宋体"/>
                <w:i w:val="0"/>
                <w:iCs w:val="0"/>
                <w:color w:val="auto"/>
                <w:kern w:val="0"/>
                <w:sz w:val="21"/>
                <w:szCs w:val="21"/>
                <w:u w:val="none"/>
                <w:lang w:val="en-US" w:eastAsia="zh-CN" w:bidi="ar-SA"/>
              </w:rPr>
              <w:t>未按要求提供证明材料（或证明材料无法判断是否符合评分要求）的不得分，原件备查。</w:t>
            </w:r>
          </w:p>
          <w:p>
            <w:pPr>
              <w:widowControl/>
              <w:jc w:val="left"/>
              <w:textAlignment w:val="center"/>
              <w:rPr>
                <w:rFonts w:hint="eastAsia" w:ascii="宋体" w:hAnsi="宋体" w:eastAsia="宋体" w:cs="宋体"/>
                <w:kern w:val="0"/>
                <w:sz w:val="21"/>
                <w:szCs w:val="21"/>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sz w:val="21"/>
                <w:szCs w:val="21"/>
              </w:rPr>
              <w:t>投标人所投知识产权产品(创新、设计)情况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sz w:val="21"/>
                <w:szCs w:val="21"/>
                <w:lang w:val="en-US" w:eastAsia="zh-CN"/>
              </w:rPr>
              <w:t>4</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auto"/>
              <w:rPr>
                <w:rFonts w:hint="eastAsia" w:ascii="宋体" w:hAnsi="宋体" w:eastAsia="宋体" w:cs="宋体"/>
                <w:sz w:val="21"/>
                <w:szCs w:val="21"/>
              </w:rPr>
            </w:pPr>
            <w:r>
              <w:rPr>
                <w:rFonts w:hint="eastAsia" w:ascii="宋体" w:hAnsi="宋体" w:eastAsia="宋体" w:cs="宋体"/>
                <w:sz w:val="21"/>
                <w:szCs w:val="21"/>
              </w:rPr>
              <w:t>(一)评分内容:</w:t>
            </w:r>
          </w:p>
          <w:p>
            <w:pPr>
              <w:widowControl/>
              <w:jc w:val="left"/>
              <w:textAlignment w:val="auto"/>
              <w:rPr>
                <w:rFonts w:hint="eastAsia" w:ascii="宋体" w:hAnsi="宋体" w:eastAsia="宋体" w:cs="宋体"/>
                <w:sz w:val="21"/>
                <w:szCs w:val="21"/>
              </w:rPr>
            </w:pPr>
            <w:r>
              <w:rPr>
                <w:rFonts w:hint="eastAsia" w:ascii="宋体" w:hAnsi="宋体" w:eastAsia="宋体" w:cs="宋体"/>
                <w:sz w:val="21"/>
                <w:szCs w:val="21"/>
              </w:rPr>
              <w:t>1、投标人</w:t>
            </w:r>
            <w:r>
              <w:rPr>
                <w:rFonts w:hint="eastAsia" w:ascii="宋体" w:hAnsi="宋体" w:eastAsia="宋体" w:cs="宋体"/>
                <w:sz w:val="21"/>
                <w:szCs w:val="21"/>
                <w:lang w:val="en-US" w:eastAsia="zh-CN"/>
              </w:rPr>
              <w:t>或所投产品</w:t>
            </w:r>
            <w:r>
              <w:rPr>
                <w:rFonts w:hint="eastAsia" w:ascii="宋体" w:hAnsi="宋体" w:eastAsia="宋体" w:cs="宋体"/>
                <w:sz w:val="21"/>
                <w:szCs w:val="21"/>
              </w:rPr>
              <w:t>具有以下类别计算机软件著作权登记证书的，每提供一类得50分，最高得100分:</w:t>
            </w:r>
          </w:p>
          <w:p>
            <w:pPr>
              <w:widowControl/>
              <w:jc w:val="left"/>
              <w:textAlignment w:val="auto"/>
              <w:rPr>
                <w:rFonts w:hint="eastAsia" w:ascii="宋体" w:hAnsi="宋体" w:eastAsia="宋体" w:cs="宋体"/>
                <w:sz w:val="21"/>
                <w:szCs w:val="21"/>
              </w:rPr>
            </w:pPr>
            <w:r>
              <w:rPr>
                <w:rFonts w:hint="eastAsia" w:ascii="宋体" w:hAnsi="宋体" w:eastAsia="宋体" w:cs="宋体"/>
                <w:sz w:val="21"/>
                <w:szCs w:val="21"/>
              </w:rPr>
              <w:t>（1）少儿书单数字资源库类；</w:t>
            </w:r>
          </w:p>
          <w:p>
            <w:pPr>
              <w:widowControl/>
              <w:jc w:val="left"/>
              <w:textAlignment w:val="auto"/>
              <w:rPr>
                <w:rFonts w:hint="eastAsia" w:ascii="宋体" w:hAnsi="宋体" w:eastAsia="宋体" w:cs="宋体"/>
                <w:sz w:val="21"/>
                <w:szCs w:val="21"/>
              </w:rPr>
            </w:pPr>
            <w:r>
              <w:rPr>
                <w:rFonts w:hint="eastAsia" w:ascii="宋体" w:hAnsi="宋体" w:eastAsia="宋体" w:cs="宋体"/>
                <w:sz w:val="21"/>
                <w:szCs w:val="21"/>
              </w:rPr>
              <w:t>（2）高清名画数字资源库类；</w:t>
            </w:r>
          </w:p>
          <w:p>
            <w:pPr>
              <w:widowControl/>
              <w:jc w:val="left"/>
              <w:textAlignment w:val="auto"/>
              <w:rPr>
                <w:rFonts w:hint="eastAsia" w:ascii="宋体" w:hAnsi="宋体" w:eastAsia="宋体" w:cs="宋体"/>
                <w:sz w:val="21"/>
                <w:szCs w:val="21"/>
              </w:rPr>
            </w:pPr>
            <w:r>
              <w:rPr>
                <w:rFonts w:hint="eastAsia" w:ascii="宋体" w:hAnsi="宋体" w:eastAsia="宋体" w:cs="宋体"/>
                <w:sz w:val="21"/>
                <w:szCs w:val="21"/>
              </w:rPr>
              <w:t>以上同一类中提供多个证书的不重复计分。</w:t>
            </w:r>
          </w:p>
          <w:p>
            <w:pPr>
              <w:widowControl/>
              <w:jc w:val="left"/>
              <w:textAlignment w:val="auto"/>
              <w:rPr>
                <w:rFonts w:hint="eastAsia" w:ascii="宋体" w:hAnsi="宋体" w:eastAsia="宋体" w:cs="宋体"/>
                <w:sz w:val="21"/>
                <w:szCs w:val="21"/>
              </w:rPr>
            </w:pPr>
            <w:r>
              <w:rPr>
                <w:rFonts w:hint="eastAsia" w:ascii="宋体" w:hAnsi="宋体" w:eastAsia="宋体" w:cs="宋体"/>
                <w:sz w:val="21"/>
                <w:szCs w:val="21"/>
              </w:rPr>
              <w:t>以上合计最高得100分。</w:t>
            </w:r>
          </w:p>
          <w:p>
            <w:pPr>
              <w:widowControl/>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 (二)评分依据:</w:t>
            </w:r>
          </w:p>
          <w:p>
            <w:pPr>
              <w:rPr>
                <w:rFonts w:ascii="宋体" w:hAnsi="宋体" w:eastAsia="宋体" w:cs="宋体"/>
                <w:szCs w:val="21"/>
              </w:rPr>
            </w:pPr>
            <w:r>
              <w:rPr>
                <w:rFonts w:hint="eastAsia" w:ascii="宋体" w:hAnsi="宋体" w:eastAsia="宋体" w:cs="宋体"/>
                <w:szCs w:val="21"/>
              </w:rPr>
              <w:t>1、提供</w:t>
            </w:r>
            <w:r>
              <w:rPr>
                <w:rFonts w:hint="eastAsia" w:ascii="宋体" w:hAnsi="宋体" w:eastAsia="宋体" w:cs="宋体"/>
                <w:szCs w:val="21"/>
                <w:lang w:val="en-US" w:eastAsia="zh-CN"/>
              </w:rPr>
              <w:t>国家版权局颁发的</w:t>
            </w:r>
            <w:r>
              <w:rPr>
                <w:rFonts w:hint="eastAsia" w:ascii="宋体" w:hAnsi="宋体" w:eastAsia="宋体" w:cs="宋体"/>
                <w:szCs w:val="21"/>
              </w:rPr>
              <w:t>计算机软件著作权登记证书扫描件；提供的计算机软件著作权登记证书扫描件如无法判断是否符合评分要求的，可同时提供系统或软件的功能截图辅助判断，证书及截图均无法判断的不得分；</w:t>
            </w:r>
          </w:p>
          <w:p>
            <w:pPr>
              <w:widowControl/>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szCs w:val="21"/>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imes New Roman" w:hAnsi="Times New Roman" w:eastAsia="宋体" w:cs="Times New Roman"/>
                <w:b/>
                <w:bCs/>
                <w:color w:val="0000FF"/>
                <w:sz w:val="24"/>
                <w:szCs w:val="24"/>
                <w:lang w:eastAsia="zh-CN"/>
              </w:rPr>
            </w:pPr>
            <w:r>
              <w:rPr>
                <w:rFonts w:hint="eastAsia" w:ascii="宋体" w:hAnsi="宋体" w:eastAsia="宋体" w:cs="宋体"/>
                <w:b/>
                <w:bCs/>
                <w:color w:val="0000FF"/>
                <w:kern w:val="0"/>
                <w:sz w:val="24"/>
                <w:szCs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hint="eastAsia" w:ascii="宋体" w:hAnsi="宋体" w:eastAsia="宋体" w:cs="宋体"/>
                <w:b/>
                <w:bCs/>
                <w:color w:val="0000FF"/>
                <w:kern w:val="0"/>
                <w:sz w:val="24"/>
                <w:szCs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ascii="Times New Roman" w:hAnsi="Times New Roman" w:eastAsia="宋体" w:cs="Times New Roman"/>
                <w:b/>
                <w:bCs/>
                <w:color w:val="0000FF"/>
                <w:sz w:val="24"/>
                <w:szCs w:val="24"/>
                <w:lang w:val="en-US" w:eastAsia="zh-CN"/>
              </w:rPr>
            </w:pPr>
            <w:r>
              <w:rPr>
                <w:rFonts w:hint="eastAsia" w:ascii="Times New Roman" w:hAnsi="Times New Roman" w:eastAsia="宋体" w:cs="Times New Roman"/>
                <w:b/>
                <w:bCs/>
                <w:color w:val="0000FF"/>
                <w:sz w:val="24"/>
                <w:szCs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Times New Roman" w:eastAsia="宋体" w:cs="Times New Roman"/>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Times New Roman" w:hAnsi="Times New Roman" w:eastAsia="宋体" w:cs="Times New Roman"/>
                <w:szCs w:val="21"/>
              </w:rPr>
            </w:pPr>
            <w:r>
              <w:rPr>
                <w:rFonts w:hint="eastAsia" w:ascii="Times New Roman" w:hAnsi="Times New Roman" w:eastAsia="宋体" w:cs="Times New Roman"/>
                <w:szCs w:val="24"/>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Times New Roman" w:hAnsi="Times New Roman" w:eastAsia="宋体" w:cs="Times New Roman"/>
                <w:szCs w:val="21"/>
              </w:rPr>
            </w:pPr>
            <w:r>
              <w:rPr>
                <w:rFonts w:hint="eastAsia" w:ascii="Times New Roman" w:hAnsi="Times New Roman" w:eastAsia="宋体" w:cs="Times New Roman"/>
                <w:szCs w:val="24"/>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Times New Roman" w:hAnsi="Times New Roman" w:eastAsia="宋体" w:cs="Times New Roman"/>
                <w:szCs w:val="21"/>
              </w:rPr>
            </w:pPr>
            <w:r>
              <w:rPr>
                <w:rFonts w:hint="eastAsia" w:ascii="Times New Roman" w:hAnsi="Times New Roman" w:eastAsia="宋体" w:cs="Times New Roman"/>
                <w:szCs w:val="24"/>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pageBreakBefore w:val="0"/>
              <w:widowControl w:val="0"/>
              <w:kinsoku/>
              <w:wordWrap w:val="0"/>
              <w:overflowPunct/>
              <w:topLinePunct w:val="0"/>
              <w:autoSpaceDE/>
              <w:autoSpaceDN/>
              <w:bidi w:val="0"/>
              <w:adjustRightInd/>
              <w:snapToGrid/>
              <w:spacing w:after="120"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keepNext w:val="0"/>
              <w:keepLines w:val="0"/>
              <w:pageBreakBefore w:val="0"/>
              <w:widowControl w:val="0"/>
              <w:kinsoku/>
              <w:wordWrap w:val="0"/>
              <w:overflowPunct/>
              <w:topLinePunct w:val="0"/>
              <w:autoSpaceDE/>
              <w:autoSpaceDN/>
              <w:bidi w:val="0"/>
              <w:adjustRightInd/>
              <w:snapToGrid/>
              <w:spacing w:after="120" w:line="240" w:lineRule="auto"/>
              <w:ind w:firstLine="420" w:firstLineChars="200"/>
              <w:jc w:val="both"/>
              <w:textAlignment w:val="auto"/>
              <w:rPr>
                <w:rFonts w:ascii="Times New Roman" w:hAnsi="Times New Roman" w:eastAsia="宋体" w:cs="Times New Roman"/>
                <w:kern w:val="2"/>
                <w:sz w:val="21"/>
                <w:szCs w:val="24"/>
                <w:lang w:val="en-US" w:eastAsia="zh-CN" w:bidi="ar-SA"/>
              </w:rPr>
            </w:pPr>
            <w:r>
              <w:rPr>
                <w:rFonts w:hint="eastAsia" w:ascii="宋体" w:hAnsi="宋体" w:eastAsia="宋体" w:cs="宋体"/>
                <w:b w:val="0"/>
                <w:bCs w:val="0"/>
                <w:kern w:val="2"/>
                <w:sz w:val="21"/>
                <w:szCs w:val="21"/>
                <w:lang w:val="en-US" w:eastAsia="zh-CN" w:bidi="ar-SA"/>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5"/>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2"/>
        <w:rPr>
          <w:rFonts w:hint="eastAsia"/>
        </w:rPr>
      </w:pPr>
    </w:p>
    <w:p>
      <w:pPr>
        <w:pStyle w:val="15"/>
        <w:rPr>
          <w:rFonts w:hint="eastAsia"/>
        </w:rPr>
      </w:pPr>
    </w:p>
    <w:p>
      <w:pPr>
        <w:pStyle w:val="15"/>
        <w:rPr>
          <w:rFonts w:hint="eastAsia"/>
        </w:rPr>
      </w:pPr>
    </w:p>
    <w:p>
      <w:pPr>
        <w:pStyle w:val="2"/>
        <w:rPr>
          <w:rFonts w:hint="eastAsia"/>
        </w:rPr>
        <w:sectPr>
          <w:pgSz w:w="11907" w:h="16840"/>
          <w:pgMar w:top="1440" w:right="1797" w:bottom="1440" w:left="1797" w:header="851" w:footer="992" w:gutter="0"/>
          <w:cols w:space="425" w:num="1"/>
          <w:titlePg/>
          <w:docGrid w:linePitch="462" w:charSpace="0"/>
        </w:sectPr>
      </w:pPr>
    </w:p>
    <w:bookmarkEnd w:id="4"/>
    <w:p>
      <w:pPr>
        <w:pStyle w:val="4"/>
        <w:jc w:val="center"/>
        <w:rPr>
          <w:color w:val="FF0000"/>
          <w:sz w:val="24"/>
        </w:rPr>
      </w:pPr>
      <w:bookmarkStart w:id="6" w:name="bt本工程承诺书"/>
      <w:bookmarkEnd w:id="6"/>
      <w:bookmarkStart w:id="7" w:name="bt其他资料2"/>
      <w:bookmarkEnd w:id="7"/>
      <w:bookmarkStart w:id="8" w:name="bt合同条款及格式"/>
      <w:bookmarkEnd w:id="8"/>
      <w:bookmarkStart w:id="9" w:name="bt合同格式"/>
      <w:bookmarkEnd w:id="9"/>
      <w:bookmarkStart w:id="10" w:name="bt商务标投标文件格式"/>
      <w:bookmarkEnd w:id="10"/>
      <w:bookmarkStart w:id="11" w:name="bt开标一览表"/>
      <w:bookmarkEnd w:id="11"/>
      <w:bookmarkStart w:id="12" w:name="bt投标人须知"/>
      <w:bookmarkEnd w:id="12"/>
      <w:bookmarkStart w:id="13" w:name="bt投标函"/>
      <w:bookmarkEnd w:id="13"/>
      <w:bookmarkStart w:id="14" w:name="bt项目管理班子配备情况"/>
      <w:bookmarkEnd w:id="14"/>
      <w:bookmarkStart w:id="15" w:name="合同格式"/>
      <w:bookmarkEnd w:id="15"/>
      <w:bookmarkStart w:id="16" w:name="bt其他资料由投标人自定"/>
      <w:bookmarkEnd w:id="16"/>
      <w:bookmarkStart w:id="17" w:name="bt投标报价汇总表"/>
      <w:bookmarkEnd w:id="17"/>
      <w:bookmarkStart w:id="18" w:name="bt合同条款"/>
      <w:bookmarkEnd w:id="18"/>
      <w:bookmarkStart w:id="19" w:name="bt技术标投标文件格式"/>
      <w:bookmarkEnd w:id="19"/>
      <w:bookmarkStart w:id="20" w:name="bt投标人情况介绍"/>
      <w:bookmarkEnd w:id="20"/>
      <w:bookmarkStart w:id="21" w:name="bt说明"/>
      <w:bookmarkEnd w:id="21"/>
      <w:bookmarkStart w:id="22" w:name="bt投标文件签署授权委托书"/>
      <w:bookmarkEnd w:id="22"/>
      <w:r>
        <w:rPr>
          <w:rFonts w:hint="eastAsia"/>
        </w:rPr>
        <w:t>第一册  专用条款</w:t>
      </w:r>
    </w:p>
    <w:p>
      <w:pPr>
        <w:pStyle w:val="7"/>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6"/>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7"/>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7"/>
        <w:spacing w:before="120" w:beforeLines="50" w:after="120" w:afterLines="50"/>
        <w:jc w:val="center"/>
        <w:rPr>
          <w:szCs w:val="24"/>
        </w:rPr>
      </w:pPr>
      <w:bookmarkStart w:id="24" w:name="_Toc73521635"/>
      <w:bookmarkStart w:id="25" w:name="_Toc100052364"/>
      <w:bookmarkStart w:id="26" w:name="_Toc101074876"/>
      <w:bookmarkStart w:id="27" w:name="_Toc60631620"/>
      <w:bookmarkStart w:id="28" w:name="_Toc73521547"/>
      <w:bookmarkStart w:id="29" w:name="_Toc73518117"/>
      <w:bookmarkStart w:id="30" w:name="_Toc73517639"/>
      <w:bookmarkStart w:id="31" w:name="_Toc60560625"/>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lang w:eastAsia="zh-CN"/>
              </w:rPr>
              <w:t>深圳市宝安区阳台山小学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hint="eastAsia" w:ascii="宋体" w:hAnsi="宋体" w:eastAsiaTheme="minorEastAsia"/>
                <w:lang w:eastAsia="zh-CN"/>
              </w:rPr>
            </w:pPr>
            <w:r>
              <w:rPr>
                <w:rFonts w:hint="eastAsia"/>
                <w:lang w:val="en-US" w:eastAsia="zh-CN"/>
              </w:rPr>
              <w:t>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bl>
    <w:p>
      <w:pPr>
        <w:rPr>
          <w:b/>
        </w:rPr>
      </w:pPr>
      <w:r>
        <w:rPr>
          <w:rFonts w:hint="eastAsia"/>
          <w:szCs w:val="21"/>
        </w:rPr>
        <w:t>备注：本表是通用条款相关条款的补充和明确，如与通用条款内容相冲突的，以本表为准。</w:t>
      </w:r>
    </w:p>
    <w:bookmarkEnd w:id="32"/>
    <w:p>
      <w:pPr>
        <w:pStyle w:val="7"/>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numPr>
          <w:ilvl w:val="0"/>
          <w:numId w:val="0"/>
        </w:numPr>
        <w:tabs>
          <w:tab w:val="left" w:pos="720"/>
        </w:tabs>
        <w:rPr>
          <w:rFonts w:hint="eastAsia" w:ascii="黑体" w:hAnsi="宋体" w:eastAsia="黑体"/>
          <w:sz w:val="24"/>
          <w:highlight w:val="yellow"/>
          <w:lang w:val="en-US" w:eastAsia="zh-CN"/>
        </w:rPr>
      </w:pPr>
    </w:p>
    <w:p>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2、踏勘现场要求</w:t>
      </w:r>
    </w:p>
    <w:p>
      <w:pPr>
        <w:pStyle w:val="10"/>
        <w:ind w:firstLine="420" w:firstLineChars="200"/>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w:t>
      </w:r>
      <w:r>
        <w:rPr>
          <w:rFonts w:hint="default" w:ascii="宋体" w:hAnsi="宋体" w:eastAsia="宋体" w:cs="Times New Roman"/>
          <w:kern w:val="2"/>
          <w:sz w:val="21"/>
          <w:szCs w:val="21"/>
          <w:lang w:val="en-US" w:eastAsia="zh-CN" w:bidi="ar-SA"/>
        </w:rPr>
        <w:t>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p>
      <w:pPr>
        <w:numPr>
          <w:ilvl w:val="0"/>
          <w:numId w:val="0"/>
        </w:numPr>
        <w:tabs>
          <w:tab w:val="left" w:pos="720"/>
        </w:tabs>
        <w:ind w:firstLine="420" w:firstLineChars="200"/>
        <w:rPr>
          <w:rFonts w:hint="eastAsia" w:ascii="Arial" w:hAnsi="Arial" w:cs="Arial" w:eastAsiaTheme="minorEastAsia"/>
          <w:b/>
          <w:color w:val="000000"/>
          <w:sz w:val="32"/>
          <w:szCs w:val="32"/>
          <w:highlight w:val="yellow"/>
          <w:lang w:eastAsia="zh-CN"/>
        </w:rPr>
      </w:pPr>
      <w:r>
        <w:rPr>
          <w:rFonts w:hint="eastAsia" w:ascii="宋体" w:hAnsi="宋体"/>
          <w:szCs w:val="21"/>
          <w:lang w:eastAsia="zh-CN"/>
        </w:rPr>
        <w:t>现场踏勘：本项目定于 2025年 06 月 24 日9:00-9:30 在深圳市宝安区阳台山小学门口集中签到，统一组织踏勘现场，请各投标人准时参加(参与现场踏勘的投标人代表携带加盖公章的营业执照、法定代表人资格证明书以及授权委托书)，逾期不再单独安排；联系人：祝丹，联系电话 18126155372</w:t>
      </w:r>
    </w:p>
    <w:p>
      <w:pPr>
        <w:ind w:firstLine="480" w:firstLineChars="200"/>
        <w:rPr>
          <w:rFonts w:hint="eastAsia" w:ascii="Arial" w:hAnsi="Arial" w:eastAsia="宋体" w:cs="Arial"/>
          <w:color w:val="000000"/>
          <w:sz w:val="24"/>
          <w:szCs w:val="24"/>
          <w:highlight w:val="yellow"/>
        </w:rPr>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2"/>
        <w:rPr>
          <w:b/>
        </w:rPr>
      </w:pPr>
    </w:p>
    <w:p>
      <w:pPr>
        <w:pStyle w:val="15"/>
        <w:rPr>
          <w:b/>
        </w:rPr>
      </w:pPr>
    </w:p>
    <w:p>
      <w:pPr>
        <w:pStyle w:val="15"/>
        <w:rPr>
          <w:b/>
        </w:rPr>
      </w:pPr>
    </w:p>
    <w:p>
      <w:pPr>
        <w:pStyle w:val="15"/>
        <w:rPr>
          <w:b/>
        </w:rPr>
        <w:sectPr>
          <w:pgSz w:w="11907" w:h="16840"/>
          <w:pgMar w:top="1440" w:right="1797" w:bottom="1440" w:left="1797" w:header="851" w:footer="992" w:gutter="0"/>
          <w:cols w:space="425" w:num="1"/>
          <w:titlePg/>
          <w:docGrid w:linePitch="462" w:charSpace="0"/>
        </w:sectPr>
      </w:pPr>
    </w:p>
    <w:bookmarkEnd w:id="34"/>
    <w:p>
      <w:pPr>
        <w:pStyle w:val="7"/>
        <w:jc w:val="center"/>
        <w:rPr>
          <w:sz w:val="28"/>
          <w:szCs w:val="28"/>
        </w:rPr>
      </w:pPr>
      <w:r>
        <w:rPr>
          <w:rFonts w:hint="eastAsia"/>
          <w:sz w:val="28"/>
          <w:szCs w:val="28"/>
        </w:rPr>
        <w:t>第三章 用户需求书</w:t>
      </w:r>
    </w:p>
    <w:p>
      <w:pPr>
        <w:pStyle w:val="7"/>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rFonts w:hint="eastAsia" w:eastAsiaTheme="minorEastAsia"/>
                <w:bCs/>
                <w:color w:val="FF0000"/>
                <w:szCs w:val="21"/>
                <w:lang w:eastAsia="zh-CN"/>
              </w:rPr>
            </w:pPr>
            <w:r>
              <w:rPr>
                <w:rFonts w:hint="eastAsia"/>
                <w:bCs/>
                <w:color w:val="FF0000"/>
                <w:szCs w:val="21"/>
                <w:lang w:eastAsia="zh-CN"/>
              </w:rPr>
              <w:t>BAJYJ2025052106995A</w:t>
            </w:r>
          </w:p>
        </w:tc>
        <w:tc>
          <w:tcPr>
            <w:tcW w:w="3158" w:type="dxa"/>
            <w:vAlign w:val="center"/>
          </w:tcPr>
          <w:p>
            <w:pPr>
              <w:jc w:val="center"/>
              <w:rPr>
                <w:b/>
                <w:bCs/>
                <w:color w:val="FF0000"/>
                <w:szCs w:val="21"/>
              </w:rPr>
            </w:pPr>
            <w:r>
              <w:rPr>
                <w:rFonts w:hint="eastAsia"/>
                <w:b/>
                <w:bCs/>
                <w:color w:val="FF0000"/>
                <w:szCs w:val="21"/>
                <w:lang w:eastAsia="zh-CN"/>
              </w:rPr>
              <w:t>深圳市宝安区阳台山小学图书馆设备采购</w:t>
            </w:r>
            <w:r>
              <w:rPr>
                <w:rFonts w:hint="eastAsia"/>
                <w:b/>
                <w:bCs/>
                <w:color w:val="FF0000"/>
                <w:szCs w:val="21"/>
                <w:lang w:val="en-US" w:eastAsia="zh-CN"/>
              </w:rPr>
              <w:t>项目</w:t>
            </w:r>
          </w:p>
        </w:tc>
        <w:tc>
          <w:tcPr>
            <w:tcW w:w="2355" w:type="dxa"/>
            <w:vAlign w:val="center"/>
          </w:tcPr>
          <w:p>
            <w:pPr>
              <w:jc w:val="center"/>
              <w:rPr>
                <w:rFonts w:hint="default"/>
                <w:bCs/>
                <w:color w:val="FF0000"/>
                <w:szCs w:val="21"/>
                <w:lang w:val="en-US"/>
              </w:rPr>
            </w:pPr>
            <w:r>
              <w:rPr>
                <w:rFonts w:hint="eastAsia"/>
                <w:bCs/>
                <w:color w:val="FF0000"/>
                <w:szCs w:val="21"/>
                <w:lang w:eastAsia="zh-CN"/>
              </w:rPr>
              <w:fldChar w:fldCharType="begin"/>
            </w:r>
            <w:r>
              <w:rPr>
                <w:rFonts w:hint="eastAsia"/>
                <w:bCs/>
                <w:color w:val="FF0000"/>
                <w:szCs w:val="21"/>
                <w:lang w:eastAsia="zh-CN"/>
              </w:rPr>
              <w:instrText xml:space="preserve"> = sum(G2:G42) \* MERGEFORMAT </w:instrText>
            </w:r>
            <w:r>
              <w:rPr>
                <w:rFonts w:hint="eastAsia"/>
                <w:bCs/>
                <w:color w:val="FF0000"/>
                <w:szCs w:val="21"/>
                <w:lang w:eastAsia="zh-CN"/>
              </w:rPr>
              <w:fldChar w:fldCharType="separate"/>
            </w:r>
            <w:r>
              <w:rPr>
                <w:rFonts w:hint="eastAsia"/>
                <w:bCs/>
                <w:color w:val="FF0000"/>
                <w:szCs w:val="21"/>
                <w:lang w:eastAsia="zh-CN"/>
              </w:rPr>
              <w:t>720000</w:t>
            </w:r>
            <w:r>
              <w:rPr>
                <w:rFonts w:hint="eastAsia"/>
                <w:bCs/>
                <w:color w:val="FF0000"/>
                <w:szCs w:val="21"/>
                <w:lang w:eastAsia="zh-CN"/>
              </w:rPr>
              <w:fldChar w:fldCharType="end"/>
            </w:r>
            <w:r>
              <w:rPr>
                <w:rFonts w:hint="eastAsia"/>
                <w:bCs/>
                <w:color w:val="FF0000"/>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lang w:eastAsia="zh-CN"/>
              </w:rPr>
              <w:fldChar w:fldCharType="begin"/>
            </w:r>
            <w:r>
              <w:rPr>
                <w:rFonts w:hint="eastAsia"/>
                <w:bCs/>
                <w:color w:val="FF0000"/>
                <w:szCs w:val="21"/>
                <w:lang w:eastAsia="zh-CN"/>
              </w:rPr>
              <w:instrText xml:space="preserve"> = sum(G2:G42) \* MERGEFORMAT </w:instrText>
            </w:r>
            <w:r>
              <w:rPr>
                <w:rFonts w:hint="eastAsia"/>
                <w:bCs/>
                <w:color w:val="FF0000"/>
                <w:szCs w:val="21"/>
                <w:lang w:eastAsia="zh-CN"/>
              </w:rPr>
              <w:fldChar w:fldCharType="separate"/>
            </w:r>
            <w:r>
              <w:rPr>
                <w:rFonts w:hint="eastAsia"/>
                <w:bCs/>
                <w:color w:val="FF0000"/>
                <w:szCs w:val="21"/>
                <w:lang w:eastAsia="zh-CN"/>
              </w:rPr>
              <w:t>720000</w:t>
            </w:r>
            <w:r>
              <w:rPr>
                <w:rFonts w:hint="eastAsia"/>
                <w:bCs/>
                <w:color w:val="FF0000"/>
                <w:szCs w:val="21"/>
                <w:lang w:eastAsia="zh-CN"/>
              </w:rPr>
              <w:fldChar w:fldCharType="end"/>
            </w:r>
            <w:r>
              <w:rPr>
                <w:rFonts w:hint="eastAsia"/>
                <w:bCs/>
                <w:color w:val="FF0000"/>
                <w:szCs w:val="21"/>
                <w:lang w:val="en-US" w:eastAsia="zh-CN"/>
              </w:rPr>
              <w:t>.00</w:t>
            </w:r>
          </w:p>
        </w:tc>
      </w:tr>
    </w:tbl>
    <w:p>
      <w:pPr>
        <w:rPr>
          <w:rFonts w:ascii="宋体" w:hAnsi="宋体"/>
          <w:b/>
          <w:color w:val="FF0000"/>
          <w:szCs w:val="21"/>
        </w:rPr>
      </w:pPr>
    </w:p>
    <w:p>
      <w:pPr>
        <w:rPr>
          <w:rFonts w:ascii="宋体" w:hAnsi="宋体"/>
          <w:b/>
          <w:color w:val="FF0000"/>
          <w:szCs w:val="21"/>
        </w:rPr>
      </w:pPr>
    </w:p>
    <w:p>
      <w:pPr>
        <w:pStyle w:val="7"/>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934"/>
        <w:gridCol w:w="2364"/>
        <w:gridCol w:w="1164"/>
        <w:gridCol w:w="554"/>
        <w:gridCol w:w="755"/>
        <w:gridCol w:w="763"/>
        <w:gridCol w:w="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采购计划编号</w:t>
            </w: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货物名称（标的名称）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kern w:val="0"/>
                <w:sz w:val="21"/>
                <w:szCs w:val="21"/>
                <w:u w:val="none"/>
                <w:lang w:val="en-US" w:eastAsia="zh-CN" w:bidi="ar"/>
              </w:rPr>
              <w:t>是否接受进口</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kern w:val="0"/>
                <w:sz w:val="21"/>
                <w:szCs w:val="21"/>
                <w:u w:val="none"/>
                <w:lang w:val="en-US" w:eastAsia="zh-CN" w:bidi="ar"/>
              </w:rPr>
              <w:t>是否专门面向中小企业</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kern w:val="0"/>
                <w:sz w:val="21"/>
                <w:szCs w:val="21"/>
                <w:u w:val="none"/>
                <w:lang w:val="en-US" w:eastAsia="zh-CN" w:bidi="ar"/>
              </w:rPr>
              <w:t>标的所属行业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BAJYJ2025052106995A</w:t>
            </w: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书架</w:t>
            </w:r>
            <w:r>
              <w:rPr>
                <w:rStyle w:val="39"/>
                <w:rFonts w:eastAsia="宋体"/>
                <w:lang w:val="en-US" w:eastAsia="zh-CN" w:bidi="ar"/>
              </w:rPr>
              <w:t>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拒绝进口</w:t>
            </w:r>
          </w:p>
        </w:tc>
        <w:tc>
          <w:tcPr>
            <w:tcW w:w="7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否</w:t>
            </w:r>
          </w:p>
        </w:tc>
        <w:tc>
          <w:tcPr>
            <w:tcW w:w="72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书架</w:t>
            </w:r>
            <w:r>
              <w:rPr>
                <w:rStyle w:val="39"/>
                <w:rFonts w:eastAsia="宋体"/>
                <w:lang w:val="en-US" w:eastAsia="zh-CN" w:bidi="ar"/>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书架</w:t>
            </w:r>
            <w:r>
              <w:rPr>
                <w:rStyle w:val="39"/>
                <w:rFonts w:eastAsia="宋体"/>
                <w:lang w:val="en-US" w:eastAsia="zh-CN" w:bidi="ar"/>
              </w:rPr>
              <w:t>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12.2</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书架</w:t>
            </w:r>
            <w:r>
              <w:rPr>
                <w:rStyle w:val="39"/>
                <w:rFonts w:eastAsia="宋体"/>
                <w:lang w:val="en-US" w:eastAsia="zh-CN" w:bidi="ar"/>
              </w:rPr>
              <w:t>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44.1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展示架</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挂件</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组</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柱子书架</w:t>
            </w:r>
            <w:r>
              <w:rPr>
                <w:rStyle w:val="39"/>
                <w:rFonts w:eastAsia="宋体"/>
                <w:lang w:val="en-US" w:eastAsia="zh-CN" w:bidi="ar"/>
              </w:rPr>
              <w:t>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17.5</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柱子书架</w:t>
            </w:r>
            <w:r>
              <w:rPr>
                <w:rStyle w:val="39"/>
                <w:rFonts w:eastAsia="宋体"/>
                <w:lang w:val="en-US" w:eastAsia="zh-CN" w:bidi="ar"/>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9.45</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艺术书柜</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67.1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教师书架</w:t>
            </w:r>
            <w:r>
              <w:rPr>
                <w:rStyle w:val="39"/>
                <w:rFonts w:eastAsia="宋体"/>
                <w:lang w:val="en-US" w:eastAsia="zh-CN" w:bidi="ar"/>
              </w:rPr>
              <w:t>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10.1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教师书架</w:t>
            </w:r>
            <w:r>
              <w:rPr>
                <w:rStyle w:val="39"/>
                <w:rFonts w:eastAsia="宋体"/>
                <w:lang w:val="en-US" w:eastAsia="zh-CN" w:bidi="ar"/>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30.45</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校徽</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艺术字</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组</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造型前台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97</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LED</w:t>
            </w:r>
            <w:r>
              <w:rPr>
                <w:rStyle w:val="40"/>
                <w:lang w:val="en-US" w:eastAsia="zh-CN" w:bidi="ar"/>
              </w:rPr>
              <w:t>灯具</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盏</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面板</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壁布</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94</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展示板</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98</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展示墙</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书单资源屏</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仿真植物墙面展示板</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13.3</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灯带</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m</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线性灯</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m</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矮书架</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圆桌</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凳子</w:t>
            </w:r>
            <w:r>
              <w:rPr>
                <w:rStyle w:val="39"/>
                <w:rFonts w:eastAsia="宋体"/>
                <w:lang w:val="en-US" w:eastAsia="zh-CN" w:bidi="ar"/>
              </w:rPr>
              <w:t>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把</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长条桌</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凳子</w:t>
            </w:r>
            <w:r>
              <w:rPr>
                <w:rStyle w:val="39"/>
                <w:rFonts w:eastAsia="宋体"/>
                <w:lang w:val="en-US" w:eastAsia="zh-CN" w:bidi="ar"/>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把</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造型桌</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学习椅</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把</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造型书架</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造型书架台</w:t>
            </w:r>
            <w:r>
              <w:rPr>
                <w:rStyle w:val="39"/>
                <w:rFonts w:eastAsia="宋体"/>
                <w:lang w:val="en-US" w:eastAsia="zh-CN" w:bidi="ar"/>
              </w:rPr>
              <w:t>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m</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造型书架台</w:t>
            </w:r>
            <w:r>
              <w:rPr>
                <w:rStyle w:val="39"/>
                <w:rFonts w:eastAsia="宋体"/>
                <w:lang w:val="en-US" w:eastAsia="zh-CN" w:bidi="ar"/>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m</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信息发布设备</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地毯</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110</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卡座</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休闲桌</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壁灯</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8.3</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智能网络时钟</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color w:val="000000"/>
                <w:kern w:val="0"/>
                <w:sz w:val="22"/>
                <w:szCs w:val="22"/>
                <w:u w:val="none"/>
                <w:lang w:val="en-US" w:eastAsia="zh-CN" w:bidi="ar"/>
              </w:rPr>
              <w:t>台</w:t>
            </w:r>
          </w:p>
        </w:tc>
        <w:tc>
          <w:tcPr>
            <w:tcW w:w="7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13"/>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13"/>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13"/>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lang w:val="en-US" w:eastAsia="zh-CN"/>
        </w:rPr>
        <w:t>6</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u w:val="single"/>
          <w:lang w:val="en-US" w:eastAsia="zh-CN"/>
        </w:rPr>
        <w:t>书单资源屏</w:t>
      </w:r>
      <w:r>
        <w:rPr>
          <w:rFonts w:hint="eastAsia" w:ascii="宋体" w:hAnsi="宋体"/>
          <w:b/>
          <w:color w:val="FF0000"/>
          <w:szCs w:val="21"/>
          <w:u w:val="single"/>
        </w:rPr>
        <w:t xml:space="preserve">   </w:t>
      </w:r>
      <w:r>
        <w:rPr>
          <w:rFonts w:hint="eastAsia" w:ascii="宋体" w:hAnsi="宋体"/>
          <w:b/>
          <w:color w:val="FF0000"/>
          <w:szCs w:val="21"/>
        </w:rPr>
        <w:t>。</w:t>
      </w:r>
    </w:p>
    <w:bookmarkEnd w:id="37"/>
    <w:p>
      <w:pPr>
        <w:rPr>
          <w:rFonts w:ascii="宋体" w:hAnsi="宋体"/>
          <w:b/>
          <w:color w:val="FF0000"/>
          <w:szCs w:val="21"/>
        </w:rPr>
      </w:pPr>
    </w:p>
    <w:p>
      <w:pPr>
        <w:pStyle w:val="2"/>
      </w:pPr>
    </w:p>
    <w:p>
      <w:pPr>
        <w:pStyle w:val="7"/>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2"/>
      </w:pPr>
    </w:p>
    <w:p>
      <w:pPr>
        <w:pStyle w:val="7"/>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15"/>
        <w:gridCol w:w="1015"/>
        <w:gridCol w:w="63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6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货物名称</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规格及技术参数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书架1</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1.规格：9700*3500*600mm，带6000*3000mm造型拱形门洞；根据现场实际情况允许偏离±5%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2.基材：采用E0级多层实木板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3.承重层板厚≥25mm，竖板≥18mm，背板≥9mm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4.封边：采用PVC封边，表面光滑，无节疤、凹凸、蜂窝气孔、划痕、污点、和镶入异物；边缘无局部曲折、裂口、锯齿；两端垂直于轴线且无毛刺和不平整现象。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5.五金：采用三合一连接件连接。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6.内含铝合金线性灯带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书架2</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7.规格：10500*3500*600mm，带6000*3000mm造型拱形门洞；根据现场实际情况允许偏离±5%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8.基材：采用E0级多层实木板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9.承重层板厚≥25mm，竖板≥18mm，背板≥9mm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10.封边：采用PVC封边，表面光滑，无节疤、凹凸、蜂窝气孔、划痕、污点、和镶入异物；边缘无局部曲折、裂口、锯齿；两端垂直于轴线且无毛刺和不平整现象。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11.五金：采用三合一偏心连接件连接。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12.内含铝合金线性灯带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书架3</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13.规格：8650*3500*600mm，带6000*3000mm造型拱形门洞；根据现场实际情况允许偏离±5%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14.基材：采用E0级多层实木板，承重层板厚≥25mm，竖板≥18mm，背板≥9mm；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15.门字夹板造型框内需内置钢架，结构稳固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16.封边：采用PVC封边，表面光滑，无节疤、凹凸、蜂窝气孔、划痕、污点、和镶入异物；边缘无局部曲折、裂口、锯齿；两端垂直于轴线且无毛刺和不平整现象。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17.五金：采用三合一偏心连接件连接。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18.内含铝合金线性灯带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书架4</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19.规格：12600mm*400mm*3500mm，根据现场实际情况允许偏离±5%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20.基材：采用E0级多层实木板,承重层板厚≥25mm，竖板≥18mm，背板≥9mm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21.封边：采用PVC封边，表面光滑，无节疤、凹凸、蜂窝气孔、划痕、污点、和镶入异物；边缘无局部曲折、裂口、锯齿；两端垂直于轴线且无毛刺和不平整现象。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22.五金：采用三合一偏心连接件连接。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23.带软包坐垫，铝合金线性灯带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展示架</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24.规格：10100mm*50*900mm，单块规格：200*100*50mm根据现场实际情况允许偏离±5%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25.材质与工艺：实心双面冰晶玻璃砖，水晶砖专用高透胶水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挂件</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26.白色球装饰挂件，≥16个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27.材质：不锈钢空心金属球，规格：φ400mm≥6个；φ300≥4个；φ200≥6个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柱子书架1</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28.规格1：1200*1300*3500mm，根据现场实际情况允许偏离±5%；规格2：1200*1300*3500mm，根据现场实际情况允许偏离±5%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29.材质与工艺：采用E0级多层实木层板,层板深度≥200mm，厚度≥30mm，内侧边安装铝合金线性灯，灯光：中性光；外侧安装≥6mm圆铁档条，表面黑色喷涂工艺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柱子书架2</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30.规格：1800*900*3500mm，根据现场实际情况允许偏离±5%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31.材质与工艺：采用E0级多层实木层板,层板深度≥200mm，厚度≥30mm，内侧边安装铝合金线性灯，灯光：中性光；外侧安装≥6mm圆铁档条，表面黑色喷涂工艺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艺术书柜</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32.规格：22000mm*400mm*3050mm，根据现场实际情况允许偏离±5%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33.基材：采用E0级多层实木板,承重层板厚≥25mm，竖板≥18mm，背板≥9mm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34.封边：采用PVC封边，表面光滑，无节疤、凹凸、蜂窝气孔、划痕、污点、和镶入异物；边缘无局部曲折、裂口、锯齿；两端垂直于轴线且无毛刺和不平整现象。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35.五金：采用三合一连接件连接。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36.内含铝合金灯带，高密度海绵布艺饰面软包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教师书架1</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37.规格：6500*600*3500mm，带4200*3000mm造型拱形门洞；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38.双面书架，基材：采用E0级多层实木板,承重层板厚≥25mm，竖板≥18mm，背板≥9mm，门字夹板造型框内需内置钢架，结构稳固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39.内含铝合金线性灯带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教师书架2</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40.规格：8700*450*3500mm，根据现场实际情况允许偏离±5%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41.基材：采用E0级多层实木板,承重层板厚≥25mm，竖板≥18mm，背板≥9mm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42.封边：采用PVC封边，表面光滑，无节疤、凹凸、蜂窝气孔、划痕、污点、和镶入异物；边缘无局部曲折、裂口、锯齿；两端垂直于轴线且无毛刺和不平整现象。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43.五金：采用三合一连接件连接。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44.带造型拱形座椅宽1000mm±5%，内含铝合金灯带，高密度海绵，布艺饰面软包坐垫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校徽</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45.规格：直径≥600mm校徽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46.材质：≥10mm亚克力雕刻烤漆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艺术字</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47.规格：单字大小220*270mm±5%，“阳台山小学尚仁馆”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48.材质：≥10mm亚克力雕刻烤漆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造型前台</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49.规格：3400mm*1000mm*800mm，根据现场实际情况允许偏离±5%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50.材料：台面人造石材或瓷板，木质柜身；带图案造型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▲51.台面板表面耐高温要求：参照T/CIQA 10-2020要求，测试温度不低于1000℃，检测结果为：表面无开裂、无变色。</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▲52.台面抗冲击性（恢复系数）要求：参照T/CIQA 10-2020要求，检测结果为：≥0.83；抗冻性要求：参照T/CIQA 10-2020要求，检测结果为：无裂纹及剥落；抗釉裂性要求：参照T/CIQA 10-2020要求，检测结果为：无釉裂。</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台面表面耐污染性能要求：参照GB/T17657-2022要求，检测至少包含：乳酸90%，硫氰酸钾饱和溶液，丙烯酸99%，磷酸90%，四氯化碳（纯品），四氢呋喃99%，异丙醇99%，甲醇99%，次甲基蓝（亚甲基蓝）饱和溶液，草酸饱和溶液，氢氧化钠饱和溶液，甲醛40%，英雄红墨水，氢氧化钾饱和溶液，乙酰丙酮99%，高氯酸钾饱和溶液，硫酸98%，三氯甲烷99%，硝酸68%，盐酸38%等不低于20种试剂，检测时间不低于48小时，检测结果为：5级（无明显变化）。</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展示台</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54.规格：22000mm*4450mm*450mm，根据现场实际情况允许偏离±5%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55.材质与工艺：三层台阶，每层高150mm±5%，≥40*40mm钢架焊接或≥25mm夹板造型龙骨，弧形造型展示台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LED灯具</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56.LED灯具为圆形格栅灯，整灯尺寸不小于Φ450*H100mm；格栅形状为六边形，灯具外形应平整、无凹陷和毛刺，焊缝无透光现象，表面均匀、光洁，无流挂现象。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57.LED灯具色温（或相关色温）4300-5300K，显色指数Ra≥90、R9≥50，色容差≤5 SDCM。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58.LED灯具频闪无危害或无频闪危害或无显著影响或P或合格。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59.LED灯具额定功率≤40W。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60.LED灯具至少依据《GB/T 26572》标准通过电器电子产品认证。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61.LED灯具蓝光危害等级为RG0（或0类危险）。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62.LED灯具经严酷自然环境实地测试，分别在极热环境：大气压力≤100kPa，平均湿度≤50%RH、极值空气温度≥37℃及相对温差≥28℃与在极寒环境：大气压力≥100kPa，平均湿度≥50%RH、极值空气温度≤-20℃及相对温差≥34℃均至少持续运行360小时后，至少依据《GB/T36979》标准均满足色品空间颜色非均匀性△u’v’≤0.007。</w:t>
            </w:r>
            <w:r>
              <w:rPr>
                <w:rFonts w:hint="eastAsia" w:ascii="宋体" w:hAnsi="宋体" w:eastAsia="宋体" w:cs="宋体"/>
                <w:i w:val="0"/>
                <w:color w:val="000000"/>
                <w:kern w:val="0"/>
                <w:sz w:val="21"/>
                <w:szCs w:val="21"/>
                <w:u w:val="none"/>
                <w:lang w:val="en-US" w:eastAsia="zh-CN" w:bidi="ar"/>
              </w:rPr>
              <w:t>（投标时同时提供：①由第三方检验检测机构出具并加盖（或带有）CMA</w:t>
            </w:r>
            <w:r>
              <w:rPr>
                <w:rFonts w:hint="eastAsia" w:ascii="宋体" w:hAnsi="宋体" w:eastAsia="宋体" w:cs="宋体"/>
                <w:i w:val="0"/>
                <w:color w:val="000000"/>
                <w:kern w:val="0"/>
                <w:sz w:val="24"/>
                <w:szCs w:val="24"/>
                <w:u w:val="none"/>
                <w:lang w:val="en-US" w:eastAsia="zh-CN" w:bidi="ar"/>
              </w:rPr>
              <w:t>及CNAS</w:t>
            </w:r>
            <w:r>
              <w:rPr>
                <w:rFonts w:hint="eastAsia" w:ascii="宋体" w:hAnsi="宋体" w:eastAsia="宋体" w:cs="宋体"/>
                <w:i w:val="0"/>
                <w:color w:val="000000"/>
                <w:kern w:val="0"/>
                <w:sz w:val="21"/>
                <w:szCs w:val="21"/>
                <w:u w:val="none"/>
                <w:lang w:val="en-US" w:eastAsia="zh-CN" w:bidi="ar"/>
              </w:rPr>
              <w:t>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w:t>
            </w:r>
            <w:r>
              <w:rPr>
                <w:rFonts w:hint="eastAsia" w:ascii="宋体" w:hAnsi="宋体" w:eastAsia="宋体" w:cs="宋体"/>
                <w:i w:val="0"/>
                <w:color w:val="0000FF"/>
                <w:kern w:val="0"/>
                <w:sz w:val="24"/>
                <w:szCs w:val="24"/>
                <w:u w:val="none"/>
                <w:lang w:val="en-US" w:eastAsia="zh-CN" w:bidi="ar"/>
              </w:rPr>
              <w:t>CMA或CNAS</w:t>
            </w:r>
            <w:r>
              <w:rPr>
                <w:rFonts w:hint="eastAsia" w:ascii="宋体" w:hAnsi="宋体" w:eastAsia="宋体" w:cs="宋体"/>
                <w:i w:val="0"/>
                <w:color w:val="000000"/>
                <w:kern w:val="0"/>
                <w:sz w:val="21"/>
                <w:szCs w:val="21"/>
                <w:u w:val="none"/>
                <w:lang w:val="en-US" w:eastAsia="zh-CN" w:bidi="ar"/>
              </w:rPr>
              <w:t>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5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63.LED灯具经严酷自然环境实地测试，分别在极热环境：大气压力≤100kPa，平均湿度≤50%RH、极值空气温度≥37℃及相对温差≥28℃与在极寒环境：大气压力≥100kPa，平均湿度≥50%RH、极值空气温度≤-20℃及相对温差≥34℃均至少持续运行360小时后，至少依据《GB/T9468》标准满足光束角C0-C180及C90-C270的实测值与初始值偏差均不超过±10%。</w:t>
            </w:r>
            <w:r>
              <w:rPr>
                <w:rFonts w:hint="eastAsia" w:ascii="宋体" w:hAnsi="宋体" w:eastAsia="宋体" w:cs="宋体"/>
                <w:i w:val="0"/>
                <w:color w:val="000000"/>
                <w:kern w:val="0"/>
                <w:sz w:val="21"/>
                <w:szCs w:val="21"/>
                <w:u w:val="none"/>
                <w:lang w:val="en-US" w:eastAsia="zh-CN" w:bidi="ar"/>
              </w:rPr>
              <w:t>（投标时同时提供：①由第三方检验检测机构出具并加盖（或带有）CMA</w:t>
            </w:r>
            <w:r>
              <w:rPr>
                <w:rFonts w:hint="eastAsia" w:ascii="宋体" w:hAnsi="宋体" w:eastAsia="宋体" w:cs="宋体"/>
                <w:i w:val="0"/>
                <w:color w:val="000000"/>
                <w:kern w:val="0"/>
                <w:sz w:val="24"/>
                <w:szCs w:val="24"/>
                <w:u w:val="none"/>
                <w:lang w:val="en-US" w:eastAsia="zh-CN" w:bidi="ar"/>
              </w:rPr>
              <w:t>及CNAS</w:t>
            </w:r>
            <w:r>
              <w:rPr>
                <w:rFonts w:hint="eastAsia" w:ascii="宋体" w:hAnsi="宋体" w:eastAsia="宋体" w:cs="宋体"/>
                <w:i w:val="0"/>
                <w:color w:val="000000"/>
                <w:kern w:val="0"/>
                <w:sz w:val="21"/>
                <w:szCs w:val="21"/>
                <w:u w:val="none"/>
                <w:lang w:val="en-US" w:eastAsia="zh-CN" w:bidi="ar"/>
              </w:rPr>
              <w:t>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w:t>
            </w:r>
            <w:r>
              <w:rPr>
                <w:rFonts w:hint="eastAsia" w:ascii="宋体" w:hAnsi="宋体" w:eastAsia="宋体" w:cs="宋体"/>
                <w:i w:val="0"/>
                <w:color w:val="0000FF"/>
                <w:kern w:val="0"/>
                <w:sz w:val="24"/>
                <w:szCs w:val="24"/>
                <w:u w:val="none"/>
                <w:lang w:val="en-US" w:eastAsia="zh-CN" w:bidi="ar"/>
              </w:rPr>
              <w:t>CMA或CNAS</w:t>
            </w:r>
            <w:r>
              <w:rPr>
                <w:rFonts w:hint="eastAsia" w:ascii="宋体" w:hAnsi="宋体" w:eastAsia="宋体" w:cs="宋体"/>
                <w:i w:val="0"/>
                <w:color w:val="000000"/>
                <w:kern w:val="0"/>
                <w:sz w:val="21"/>
                <w:szCs w:val="21"/>
                <w:u w:val="none"/>
                <w:lang w:val="en-US" w:eastAsia="zh-CN" w:bidi="ar"/>
              </w:rPr>
              <w:t>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1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LED灯具经严酷自然环境实地测试，分别在极热环境：大气压力≤100kPa，平均湿度≤50%RH、极值空气温度≥37℃及相对温差≥28℃与在极寒环境：大气压力≥100kPa，平均湿度≥50%RH、极值空气温度≤-20℃及相对温差≥34℃均至少持续运行120小时后，至少依据《GB/T9468》标准均满足光通量的实测值与初始值的偏差不超过-10%。</w:t>
            </w:r>
            <w:r>
              <w:rPr>
                <w:rFonts w:hint="eastAsia" w:ascii="宋体" w:hAnsi="宋体" w:eastAsia="宋体" w:cs="宋体"/>
                <w:i w:val="0"/>
                <w:color w:val="000000"/>
                <w:kern w:val="0"/>
                <w:sz w:val="21"/>
                <w:szCs w:val="21"/>
                <w:u w:val="none"/>
                <w:lang w:val="en-US" w:eastAsia="zh-CN" w:bidi="ar"/>
              </w:rPr>
              <w:t>（投标时同时提供：①由第三方检验检测机构出具并加盖（或带有）CMA</w:t>
            </w:r>
            <w:r>
              <w:rPr>
                <w:rFonts w:hint="eastAsia" w:ascii="宋体" w:hAnsi="宋体" w:eastAsia="宋体" w:cs="宋体"/>
                <w:i w:val="0"/>
                <w:color w:val="000000"/>
                <w:kern w:val="0"/>
                <w:sz w:val="24"/>
                <w:szCs w:val="24"/>
                <w:u w:val="none"/>
                <w:lang w:val="en-US" w:eastAsia="zh-CN" w:bidi="ar"/>
              </w:rPr>
              <w:t>及CNAS</w:t>
            </w:r>
            <w:r>
              <w:rPr>
                <w:rFonts w:hint="eastAsia" w:ascii="宋体" w:hAnsi="宋体" w:eastAsia="宋体" w:cs="宋体"/>
                <w:i w:val="0"/>
                <w:color w:val="000000"/>
                <w:kern w:val="0"/>
                <w:sz w:val="21"/>
                <w:szCs w:val="21"/>
                <w:u w:val="none"/>
                <w:lang w:val="en-US" w:eastAsia="zh-CN" w:bidi="ar"/>
              </w:rPr>
              <w:t>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w:t>
            </w:r>
            <w:r>
              <w:rPr>
                <w:rFonts w:hint="eastAsia" w:ascii="宋体" w:hAnsi="宋体" w:eastAsia="宋体" w:cs="宋体"/>
                <w:i w:val="0"/>
                <w:color w:val="0000FF"/>
                <w:kern w:val="0"/>
                <w:sz w:val="24"/>
                <w:szCs w:val="24"/>
                <w:u w:val="none"/>
                <w:lang w:val="en-US" w:eastAsia="zh-CN" w:bidi="ar"/>
              </w:rPr>
              <w:t>CMA或CNAS</w:t>
            </w:r>
            <w:r>
              <w:rPr>
                <w:rFonts w:hint="eastAsia" w:ascii="宋体" w:hAnsi="宋体" w:eastAsia="宋体" w:cs="宋体"/>
                <w:i w:val="0"/>
                <w:color w:val="000000"/>
                <w:kern w:val="0"/>
                <w:sz w:val="21"/>
                <w:szCs w:val="21"/>
                <w:u w:val="none"/>
                <w:lang w:val="en-US" w:eastAsia="zh-CN" w:bidi="ar"/>
              </w:rPr>
              <w:t>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65.LED灯具经严酷自然环境实地测试，分别在极热环境：大气压力≤100kPa，平均湿度≤50%RH、极值空气温度≥37℃及相对温差≥28℃与在极寒环境：大气压力≥100kPa，平均湿度≥50%RH、极值空气温度≤-20℃及相对温差≥34℃均至少持续运行360小时后，至少依据《GB/T18595》标准均满足浪涌性能为C或以上等级。</w:t>
            </w:r>
            <w:r>
              <w:rPr>
                <w:rFonts w:hint="eastAsia" w:ascii="宋体" w:hAnsi="宋体" w:eastAsia="宋体" w:cs="宋体"/>
                <w:i w:val="0"/>
                <w:color w:val="000000"/>
                <w:kern w:val="0"/>
                <w:sz w:val="21"/>
                <w:szCs w:val="21"/>
                <w:u w:val="none"/>
                <w:lang w:val="en-US" w:eastAsia="zh-CN" w:bidi="ar"/>
              </w:rPr>
              <w:t>（投标时同时提供：①由第三方检验检测机构出具并加盖（或带有）CMA</w:t>
            </w:r>
            <w:r>
              <w:rPr>
                <w:rFonts w:hint="eastAsia" w:ascii="宋体" w:hAnsi="宋体" w:eastAsia="宋体" w:cs="宋体"/>
                <w:i w:val="0"/>
                <w:color w:val="000000"/>
                <w:kern w:val="0"/>
                <w:sz w:val="24"/>
                <w:szCs w:val="24"/>
                <w:u w:val="none"/>
                <w:lang w:val="en-US" w:eastAsia="zh-CN" w:bidi="ar"/>
              </w:rPr>
              <w:t>及CNAS</w:t>
            </w:r>
            <w:r>
              <w:rPr>
                <w:rFonts w:hint="eastAsia" w:ascii="宋体" w:hAnsi="宋体" w:eastAsia="宋体" w:cs="宋体"/>
                <w:i w:val="0"/>
                <w:color w:val="000000"/>
                <w:kern w:val="0"/>
                <w:sz w:val="21"/>
                <w:szCs w:val="21"/>
                <w:u w:val="none"/>
                <w:lang w:val="en-US" w:eastAsia="zh-CN" w:bidi="ar"/>
              </w:rPr>
              <w:t>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w:t>
            </w:r>
            <w:r>
              <w:rPr>
                <w:rFonts w:hint="eastAsia" w:ascii="宋体" w:hAnsi="宋体" w:eastAsia="宋体" w:cs="宋体"/>
                <w:i w:val="0"/>
                <w:color w:val="0000FF"/>
                <w:kern w:val="0"/>
                <w:sz w:val="24"/>
                <w:szCs w:val="24"/>
                <w:u w:val="none"/>
                <w:lang w:val="en-US" w:eastAsia="zh-CN" w:bidi="ar"/>
              </w:rPr>
              <w:t>CMA或CNAS</w:t>
            </w:r>
            <w:r>
              <w:rPr>
                <w:rFonts w:hint="eastAsia" w:ascii="宋体" w:hAnsi="宋体" w:eastAsia="宋体" w:cs="宋体"/>
                <w:i w:val="0"/>
                <w:color w:val="000000"/>
                <w:kern w:val="0"/>
                <w:sz w:val="21"/>
                <w:szCs w:val="21"/>
                <w:u w:val="none"/>
                <w:lang w:val="en-US" w:eastAsia="zh-CN" w:bidi="ar"/>
              </w:rPr>
              <w:t>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LED灯具经严酷自然环境实地测试，分别在极热环境：大气压力≤100kPa，平均湿度≤50%RH、极值空气温度≥37℃及相对温差≥28℃与在极寒环境：大气压力≥100kPa，平均湿度≥50%RH、极值空气温度≤-20℃及相对温差≥34℃均至少持续运行360小时后，至少依据《GB/T6882》标准均满足噪声≤25dB（A）</w:t>
            </w:r>
            <w:r>
              <w:rPr>
                <w:rFonts w:hint="eastAsia" w:ascii="宋体" w:hAnsi="宋体" w:eastAsia="宋体" w:cs="宋体"/>
                <w:i w:val="0"/>
                <w:color w:val="000000"/>
                <w:kern w:val="0"/>
                <w:sz w:val="21"/>
                <w:szCs w:val="21"/>
                <w:u w:val="none"/>
                <w:lang w:val="en-US" w:eastAsia="zh-CN" w:bidi="ar"/>
              </w:rPr>
              <w:t>（投标时同时提供：①由第三方检验检测机构出具并加盖（或带有）CMA</w:t>
            </w:r>
            <w:r>
              <w:rPr>
                <w:rFonts w:hint="eastAsia" w:ascii="宋体" w:hAnsi="宋体" w:eastAsia="宋体" w:cs="宋体"/>
                <w:i w:val="0"/>
                <w:color w:val="000000"/>
                <w:kern w:val="0"/>
                <w:sz w:val="24"/>
                <w:szCs w:val="24"/>
                <w:u w:val="none"/>
                <w:lang w:val="en-US" w:eastAsia="zh-CN" w:bidi="ar"/>
              </w:rPr>
              <w:t>及CNAS</w:t>
            </w:r>
            <w:r>
              <w:rPr>
                <w:rFonts w:hint="eastAsia" w:ascii="宋体" w:hAnsi="宋体" w:eastAsia="宋体" w:cs="宋体"/>
                <w:i w:val="0"/>
                <w:color w:val="000000"/>
                <w:kern w:val="0"/>
                <w:sz w:val="21"/>
                <w:szCs w:val="21"/>
                <w:u w:val="none"/>
                <w:lang w:val="en-US" w:eastAsia="zh-CN" w:bidi="ar"/>
              </w:rPr>
              <w:t>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w:t>
            </w:r>
            <w:r>
              <w:rPr>
                <w:rFonts w:hint="eastAsia" w:ascii="宋体" w:hAnsi="宋体" w:eastAsia="宋体" w:cs="宋体"/>
                <w:i w:val="0"/>
                <w:color w:val="0000FF"/>
                <w:kern w:val="0"/>
                <w:sz w:val="24"/>
                <w:szCs w:val="24"/>
                <w:u w:val="none"/>
                <w:lang w:val="en-US" w:eastAsia="zh-CN" w:bidi="ar"/>
              </w:rPr>
              <w:t>CMA或CNAS</w:t>
            </w:r>
            <w:r>
              <w:rPr>
                <w:rFonts w:hint="eastAsia" w:ascii="宋体" w:hAnsi="宋体" w:eastAsia="宋体" w:cs="宋体"/>
                <w:i w:val="0"/>
                <w:color w:val="000000"/>
                <w:kern w:val="0"/>
                <w:sz w:val="21"/>
                <w:szCs w:val="21"/>
                <w:u w:val="none"/>
                <w:lang w:val="en-US" w:eastAsia="zh-CN" w:bidi="ar"/>
              </w:rPr>
              <w:t>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★67.投标时提供所投 LED灯具：（1）国家强制性产品认证CCC证书；（2）符合CQC 3155-2016规范的中国节能产品认证证书及检验检测报告扫描件；（3）依据《灯和灯系统的光生物安全性（GB/T 20145-2006）》标准检测，检测结果为合格或符合或通过或无危险。</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面板</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68.单控面板，标准86盒规格。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69.输入电压：220V AC。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70.采用单火供电，单路最大负载2200W。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71.防护等级≥IP20。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▲72.材质为阻燃PC，依据GB/T 5169.11通过灼热丝650℃试验合格；开关应具有足够的绝缘电阻，具有足够的电气强度，在防潮试验后马上用绝缘电阻表的直流500V测量，测量应符合GB/T 15092.1第15章的要求，测量部位与要求值应符合表13规定。</w:t>
            </w:r>
            <w:r>
              <w:rPr>
                <w:rFonts w:hint="eastAsia" w:ascii="宋体" w:hAnsi="宋体" w:eastAsia="宋体" w:cs="宋体"/>
                <w:i w:val="0"/>
                <w:color w:val="000000"/>
                <w:kern w:val="0"/>
                <w:sz w:val="21"/>
                <w:szCs w:val="21"/>
                <w:u w:val="none"/>
                <w:lang w:val="en-US" w:eastAsia="zh-CN" w:bidi="ar"/>
              </w:rPr>
              <w:t>（投标时同时提供：①由第三方检验检测机构出具并加盖（或带有）CMA</w:t>
            </w:r>
            <w:r>
              <w:rPr>
                <w:rFonts w:hint="eastAsia" w:ascii="宋体" w:hAnsi="宋体" w:eastAsia="宋体" w:cs="宋体"/>
                <w:i w:val="0"/>
                <w:color w:val="000000"/>
                <w:kern w:val="0"/>
                <w:sz w:val="24"/>
                <w:szCs w:val="24"/>
                <w:u w:val="none"/>
                <w:lang w:val="en-US" w:eastAsia="zh-CN" w:bidi="ar"/>
              </w:rPr>
              <w:t>及CNAS</w:t>
            </w:r>
            <w:r>
              <w:rPr>
                <w:rFonts w:hint="eastAsia" w:ascii="宋体" w:hAnsi="宋体" w:eastAsia="宋体" w:cs="宋体"/>
                <w:i w:val="0"/>
                <w:color w:val="000000"/>
                <w:kern w:val="0"/>
                <w:sz w:val="21"/>
                <w:szCs w:val="21"/>
                <w:u w:val="none"/>
                <w:lang w:val="en-US" w:eastAsia="zh-CN" w:bidi="ar"/>
              </w:rPr>
              <w:t>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w:t>
            </w:r>
            <w:r>
              <w:rPr>
                <w:rFonts w:hint="eastAsia" w:ascii="宋体" w:hAnsi="宋体" w:eastAsia="宋体" w:cs="宋体"/>
                <w:i w:val="0"/>
                <w:color w:val="0000FF"/>
                <w:kern w:val="0"/>
                <w:sz w:val="24"/>
                <w:szCs w:val="24"/>
                <w:u w:val="none"/>
                <w:lang w:val="en-US" w:eastAsia="zh-CN" w:bidi="ar"/>
              </w:rPr>
              <w:t>CMA或CNAS</w:t>
            </w:r>
            <w:r>
              <w:rPr>
                <w:rFonts w:hint="eastAsia" w:ascii="宋体" w:hAnsi="宋体" w:eastAsia="宋体" w:cs="宋体"/>
                <w:i w:val="0"/>
                <w:color w:val="000000"/>
                <w:kern w:val="0"/>
                <w:sz w:val="21"/>
                <w:szCs w:val="21"/>
                <w:u w:val="none"/>
                <w:lang w:val="en-US" w:eastAsia="zh-CN" w:bidi="ar"/>
              </w:rPr>
              <w:t>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6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壁布</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73.森林图案壁布；材质：涤棉无缝油画布，高清UV印制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6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6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展示板</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74.规格：≥15mm厚；材质：木质，‌含水率≤15%，漆膜耐磨度≥0.15g/100r，甲醛释放量≤0.124mg/m³‌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展示墙</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75.规格：2030*3500mm，根据现场实际情况允许偏离±5%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76.材料：底板：≥9mmE0级多层夹板，面板：木饰面板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书单资源屏</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77.屏幕：≥32英寸高清质感护眼屏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78.分辨率：1920*1080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79.色域（NTSC）：≥72%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80.可视角：≥178度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81.CPU：≥4核ARM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82.内存：≥4GB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83.存储：≥32GB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84.WIFI：IEEE 802.11 a/b/g/n/ac; 2.4G/5G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85.蓝牙：BlueTooth≥5.0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86.以太网：RJ45 10/100NET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87.接口：USB OTG*1; USB3.0*1;RJ45*1;AC电源输入*1; 3.5mm立体声耳机输出*1;HDMI 输入*1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88.采用护眼屏：25%雾度处理，3H 硬度；防眩光显示技术，低反射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89.系统后台内容管理：</w:t>
            </w:r>
            <w:r>
              <w:rPr>
                <w:rFonts w:hint="eastAsia" w:ascii="宋体" w:hAnsi="宋体" w:eastAsia="宋体" w:cs="宋体"/>
                <w:i w:val="0"/>
                <w:color w:val="000000"/>
                <w:kern w:val="0"/>
                <w:sz w:val="24"/>
                <w:szCs w:val="24"/>
                <w:u w:val="none"/>
                <w:lang w:val="en-US" w:eastAsia="zh-CN" w:bidi="ar"/>
              </w:rPr>
              <w:t>支持节目制作，支持自建节目，支持图片和视频素材播放，支持素材按设定的布局显示，支持设定节目播放计划。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90.支持定制化开发：</w:t>
            </w:r>
            <w:r>
              <w:rPr>
                <w:rFonts w:hint="eastAsia" w:ascii="宋体" w:hAnsi="宋体" w:eastAsia="宋体" w:cs="宋体"/>
                <w:i w:val="0"/>
                <w:color w:val="000000"/>
                <w:kern w:val="0"/>
                <w:sz w:val="24"/>
                <w:szCs w:val="24"/>
                <w:u w:val="none"/>
                <w:lang w:val="en-US" w:eastAsia="zh-CN" w:bidi="ar"/>
              </w:rPr>
              <w:t>免费支持客户定制开机logo画面和开机视频。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91.书单发布：</w:t>
            </w:r>
            <w:r>
              <w:rPr>
                <w:rFonts w:hint="eastAsia" w:ascii="宋体" w:hAnsi="宋体" w:eastAsia="宋体" w:cs="宋体"/>
                <w:i w:val="0"/>
                <w:color w:val="000000"/>
                <w:kern w:val="0"/>
                <w:sz w:val="24"/>
                <w:szCs w:val="24"/>
                <w:u w:val="none"/>
                <w:lang w:val="en-US" w:eastAsia="zh-CN" w:bidi="ar"/>
              </w:rPr>
              <w:t>免费支持书单编辑制作、审核和发布，支持选择推荐书单资源库数据直接发布，可支持馆藏信息对接。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92.名画发布：</w:t>
            </w:r>
            <w:r>
              <w:rPr>
                <w:rFonts w:hint="eastAsia" w:ascii="宋体" w:hAnsi="宋体" w:eastAsia="宋体" w:cs="宋体"/>
                <w:i w:val="0"/>
                <w:color w:val="000000"/>
                <w:kern w:val="0"/>
                <w:sz w:val="24"/>
                <w:szCs w:val="24"/>
                <w:u w:val="none"/>
                <w:lang w:val="en-US" w:eastAsia="zh-CN" w:bidi="ar"/>
              </w:rPr>
              <w:t>免费支持名画编辑制作、审核和发布，支持选择推荐名画资源库数据直接发布。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93.支持发布滚动文字公告</w:t>
            </w:r>
            <w:r>
              <w:rPr>
                <w:rFonts w:hint="eastAsia" w:ascii="宋体" w:hAnsi="宋体" w:eastAsia="宋体" w:cs="宋体"/>
                <w:i w:val="0"/>
                <w:color w:val="000000"/>
                <w:kern w:val="0"/>
                <w:sz w:val="24"/>
                <w:szCs w:val="24"/>
                <w:u w:val="none"/>
                <w:lang w:val="en-US" w:eastAsia="zh-CN" w:bidi="ar"/>
              </w:rPr>
              <w:t>：字体大小、颜色 、滚动速度和位置可通过后台设定。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94.节目计划</w:t>
            </w:r>
            <w:r>
              <w:rPr>
                <w:rFonts w:hint="eastAsia" w:ascii="宋体" w:hAnsi="宋体" w:eastAsia="宋体" w:cs="宋体"/>
                <w:i w:val="0"/>
                <w:color w:val="000000"/>
                <w:kern w:val="0"/>
                <w:sz w:val="24"/>
                <w:szCs w:val="24"/>
                <w:u w:val="none"/>
                <w:lang w:val="en-US" w:eastAsia="zh-CN" w:bidi="ar"/>
              </w:rPr>
              <w:t>：支持播放策略定制，支持播放时间段设定，支持播放日期设定，支持多节目在不同时间段混播。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95.节目审核</w:t>
            </w:r>
            <w:r>
              <w:rPr>
                <w:rFonts w:hint="eastAsia" w:ascii="宋体" w:hAnsi="宋体" w:eastAsia="宋体" w:cs="宋体"/>
                <w:i w:val="0"/>
                <w:color w:val="000000"/>
                <w:kern w:val="0"/>
                <w:sz w:val="24"/>
                <w:szCs w:val="24"/>
                <w:u w:val="none"/>
                <w:lang w:val="en-US" w:eastAsia="zh-CN" w:bidi="ar"/>
              </w:rPr>
              <w:t>：支持后台节目和计划审核机制，支持节目发布前的预览。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96.分组管理</w:t>
            </w:r>
            <w:r>
              <w:rPr>
                <w:rFonts w:hint="eastAsia" w:ascii="宋体" w:hAnsi="宋体" w:eastAsia="宋体" w:cs="宋体"/>
                <w:i w:val="0"/>
                <w:color w:val="000000"/>
                <w:kern w:val="0"/>
                <w:sz w:val="24"/>
                <w:szCs w:val="24"/>
                <w:u w:val="none"/>
                <w:lang w:val="en-US" w:eastAsia="zh-CN" w:bidi="ar"/>
              </w:rPr>
              <w:t>：支持不同终端设备的分组管理，不同的分组可以发布显示不同的节目，符合不同空间的信息显示需求。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97.实时监控</w:t>
            </w:r>
            <w:r>
              <w:rPr>
                <w:rFonts w:hint="eastAsia" w:ascii="宋体" w:hAnsi="宋体" w:eastAsia="宋体" w:cs="宋体"/>
                <w:i w:val="0"/>
                <w:color w:val="000000"/>
                <w:kern w:val="0"/>
                <w:sz w:val="24"/>
                <w:szCs w:val="24"/>
                <w:u w:val="none"/>
                <w:lang w:val="en-US" w:eastAsia="zh-CN" w:bidi="ar"/>
              </w:rPr>
              <w:t>：支持在系统后台截屏监控终端的播放信息。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98.支持远程控制产品终端</w:t>
            </w:r>
            <w:r>
              <w:rPr>
                <w:rFonts w:hint="eastAsia" w:ascii="宋体" w:hAnsi="宋体" w:eastAsia="宋体" w:cs="宋体"/>
                <w:i w:val="0"/>
                <w:color w:val="000000"/>
                <w:kern w:val="0"/>
                <w:sz w:val="24"/>
                <w:szCs w:val="24"/>
                <w:u w:val="none"/>
                <w:lang w:val="en-US" w:eastAsia="zh-CN" w:bidi="ar"/>
              </w:rPr>
              <w:t>：远程控制开关机、音量调节、亮度调节，支持系统重启等。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99.设备具备在线（OTA）智能升级功能</w:t>
            </w:r>
            <w:r>
              <w:rPr>
                <w:rFonts w:hint="eastAsia" w:ascii="宋体" w:hAnsi="宋体" w:eastAsia="宋体" w:cs="宋体"/>
                <w:i w:val="0"/>
                <w:color w:val="000000"/>
                <w:kern w:val="0"/>
                <w:sz w:val="24"/>
                <w:szCs w:val="24"/>
                <w:u w:val="none"/>
                <w:lang w:val="en-US" w:eastAsia="zh-CN" w:bidi="ar"/>
              </w:rPr>
              <w:t>：支持无线、远程、批量（多台）操作升级，节省馆员维护时间。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100.少儿书单资源库：</w:t>
            </w:r>
            <w:r>
              <w:rPr>
                <w:rFonts w:hint="eastAsia" w:ascii="宋体" w:hAnsi="宋体" w:eastAsia="宋体" w:cs="宋体"/>
                <w:i w:val="0"/>
                <w:color w:val="000000"/>
                <w:kern w:val="0"/>
                <w:sz w:val="24"/>
                <w:szCs w:val="24"/>
                <w:u w:val="none"/>
                <w:lang w:val="en-US" w:eastAsia="zh-CN" w:bidi="ar"/>
              </w:rPr>
              <w:t xml:space="preserve"> 内置不少于1千册名家书单推荐，推荐内容包括作品封面、作者介绍、推荐理由。涵盖国际国内获奖作品书单：纽伯瑞儿童文学奖作品、凯迪克奖金奖作品、国际安徒生奖插画奖作品、国际安徒生获奖作家作品、德国优秀儿童文学、凯特·格林纳威奖作品、宋庆龄儿童文学奖、陈伯吹国际儿童文学奖等作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101.名画资源鉴赏：提供2万世界知名画作高清原画资源库，并配备作者、画作赏析。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102. 收录知名西方艺术馆藏画作：俄罗斯冬宫博物馆、荷兰阿姆斯特丹国家美术馆、法国卢浮宫、美国波士顿美术馆、英国伦敦大英博物馆、美国纽约大都会博物馆、列支敦士登皇家美术馆等博物馆等；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收录中外多种艺术风格的名家名作：巴洛克、洛可可、新古典主义、浪漫主义、写实主义、印象派、表现主义、野兽派、立体派、后印象派、欧洲宫廷油画、世界风景油画、航海主题油画、古典花卉油画、静物油画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仿真植物墙面展示板</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104.规格：3800*3500mm，根据现场实际情况允许偏离±5%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105.材料：底板≥9mmE0级多层夹板，面贴仿真植物；植物材质塑料；打底植物：米兰；装饰植物：250-300mm高的各类仿真花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6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灯带</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106.规格：≥20mm宽，铝合金线型中性光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6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线性灯</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107.≥40mm宽金属边框，铝合金线中性光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矮书架</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108.规格：1400mm*600mm*1300mm，根据现场实际情况允许偏离±5%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109.基材：采用E0级多层实木板,承重层板厚≥25mm，竖板≥18mm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圆桌</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110.规格：直径900mm*高750mm，根据现场实际情况允许偏离±5%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111.材质：采用≥30mm厚木质台面，木质桌腿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凳子1</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112.规格：直径350mm*高400mm，根据现场实际情况允许偏离±5%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113.材质：木质框架、软质坐垫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长条桌</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114.规格：3000mm*900*750mm，根据现场实际情况允许偏离±5%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115.材质：采用≥30mm厚木质台面，木质桌脚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凳子2</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116.规格：350mm*400mm*750mm±5%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117.材质：软质坐垫、实木凳角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造型桌</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118.规格：5000*450*750mm，根据现场实际情况允许偏离±5%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119.材质：采用≥30mm厚木质台面，金属脚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120.产品聚氨酯木器漆(底漆）卤代烃含量苯含量未检出、游离二异氰酸酯[限甲苯二异氰酸酯（TDI)、六亚甲基二异氰酸酯（HDI）]总和含量（或含量总和）≤0.2%、甲苯二甲苯乙苯含量总和≤23%。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学习椅</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121. 座面：座高440mm，座宽420mm，座深440mm，允许偏离±5%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122. 椅背：镂空设计，增强背部散热，可独立拆卸式靠背。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123. 四脚（40*35mm）±5%成菱形设计、结构稳定，PU耐磨脚垫保护地板随意推拉。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124. 椅子尺寸:（宽485*深550*高815mm）±5%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125. 塑料板用料检验依据 QB/T 4371-2012，抑制金黄色葡萄球菌率大于99%，抑制大肠杆菌率大于99%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造型书架</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126.S型造型书架，规格：20000mm*350mm*850mm，根据现场实际情况允许偏离±5%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127.基材：采用E0级多层实木板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128.封边：采用PVC封边，表面光滑，无节疤、凹凸、蜂窝气孔、划痕、污点、和镶入异物；边缘无局部曲折、裂口、锯齿；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造型书架台1</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129.规格：弧长3500mm宽700mm，根据现场实际情况允许偏离±5%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130.双层台阶，一层300mm高二层300mm高，允许偏离±5%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131.基材：采用E0级多层实木板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132.封边：采用PVC封边，表面光滑，无节疤、凹凸、蜂窝气孔、划痕、污点、和镶入异物；边缘无局部曲折、裂口、锯齿；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造型书架台2</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133.规格：弧长4300mm宽700mm，根据现场实际情况允许偏离±5%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134.双层台阶一层300mm±5%高二层300mm±5%高，基材：采用E0级多层实木板，带软质坐垫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信息发布设备</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135.整机边框采用高强度铝合金边框，角部采用圆角设计，外边框采用喷涂环保木纹工艺，整机厚度≤46mm，安装在平整墙面上最大厚度≤48mm。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1"/>
                <w:szCs w:val="21"/>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136.液晶屏显示尺寸≥42寸，分辨率≥1920*1080，显示比例16:9，支持横、竖安装方式，整机最大显示亮度≥350nit，整机具备光线感应功能，根据环境光强度自动调整显示亮度。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1"/>
                <w:szCs w:val="21"/>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137.内置≥2.0声道环绕功放，支持音视频声音外放。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1"/>
                <w:szCs w:val="21"/>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138.整机接口USB 2.0*2，HDMI-IN*1,RJ45*1，内置Wi-Fi模块（10M/100M/1000M），内置蓝牙模块（支持蓝牙4.0、BLE），≥4核CPU，工作频率≥1.9GHz。运行内存≥2G，存储空间≥8G。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1"/>
                <w:szCs w:val="21"/>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▲139.系统与设备一体化集成，无需外接任何信息发布设备即可完成信息发布，支持在设备上生成二维码，通过微信扫码方式将设备与场地关联。</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1"/>
                <w:szCs w:val="21"/>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▲140.整机带有不少于三个实体按键，可以对播放的节目进行前后翻页和暂停/播放控制。</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1"/>
                <w:szCs w:val="21"/>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141.支持手机通过蓝牙连接整机，对整机进行遥控控制，支持通过网页管理后台或微信小程序将图库资源发送到设备上进行展示，支持通过网页管理后台，设置多图集节目轮播或逐级逐个轮播，支持通过遥控器或微信小程序可对云屏数据进行手动更新，支持通过网页端管理权限分配，指定场地设备管理员。</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w:t>
            </w:r>
          </w:p>
        </w:tc>
        <w:tc>
          <w:tcPr>
            <w:tcW w:w="6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地毯</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142.仿草坪地毯；规格：厚度30mm±5%，表层阻燃柔软草丝，背部双层渗水背胶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卡座</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143.规格：500*600*800mm，允许偏离±5%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144.材质：实木框架、高密度海绵、布艺饰面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38</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休闲桌</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145.规格：600*550*750mm，允许偏离±5%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146.材质：桌面木制，金属腿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壁灯</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147.规格：直径200mm，允许偏离±5%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148.灯罩主材质：玻璃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茶水柜</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149.规格：8300mm*400*800mm，允许偏离±5%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150.木质造型柜，仿石材台面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智能网络时钟</w:t>
            </w: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151.一体化外观设计，采用TFT LCD显示屏，显示分辨率为：2560*800，显示尺寸为：≥43cm*13cm。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152.具备1个千兆以太网口，支持POE/DC受电；具备一个USB接口。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153.支持通过NTP协议自动校准日期和时间，支持时区配置。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▲154.提供多个时钟显示模板，支持个性化时钟显示。</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▲155.配合系统平台可实现手动或定时息屏和亮屏、信息发布等功能。</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0"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378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▲156.支持在线升级功能，可直接联网升级新版软件。</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bl>
    <w:p>
      <w:pPr>
        <w:ind w:firstLine="422" w:firstLineChars="200"/>
        <w:rPr>
          <w:rFonts w:hint="eastAsia"/>
          <w:b/>
          <w:szCs w:val="21"/>
        </w:rPr>
      </w:pPr>
    </w:p>
    <w:bookmarkEnd w:id="40"/>
    <w:p>
      <w:pPr>
        <w:rPr>
          <w:b/>
          <w:szCs w:val="21"/>
        </w:rPr>
      </w:pPr>
    </w:p>
    <w:p>
      <w:pPr>
        <w:rPr>
          <w:b/>
          <w:szCs w:val="21"/>
        </w:rPr>
      </w:pPr>
    </w:p>
    <w:p>
      <w:pPr>
        <w:pStyle w:val="7"/>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8"/>
        <w:tblpPr w:leftFromText="180" w:rightFromText="180" w:vertAnchor="text" w:horzAnchor="page" w:tblpX="1686" w:tblpY="438"/>
        <w:tblOverlap w:val="never"/>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rFonts w:hint="eastAsia" w:ascii="宋体" w:hAnsi="宋体" w:eastAsia="宋体" w:cs="宋体"/>
                <w:b/>
                <w:color w:val="auto"/>
                <w:sz w:val="24"/>
              </w:rPr>
            </w:pPr>
            <w:bookmarkStart w:id="41" w:name="OLE_LINK9"/>
            <w:r>
              <w:rPr>
                <w:rFonts w:hint="eastAsia" w:ascii="宋体" w:hAnsi="宋体" w:eastAsia="宋体" w:cs="宋体"/>
                <w:b/>
                <w:color w:val="auto"/>
                <w:sz w:val="24"/>
              </w:rPr>
              <w:t>序号</w:t>
            </w:r>
          </w:p>
        </w:tc>
        <w:tc>
          <w:tcPr>
            <w:tcW w:w="1457" w:type="dxa"/>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商务需求项</w:t>
            </w:r>
          </w:p>
        </w:tc>
        <w:tc>
          <w:tcPr>
            <w:tcW w:w="6523" w:type="dxa"/>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tcPr>
          <w:p>
            <w:pPr>
              <w:rPr>
                <w:rFonts w:hint="eastAsia" w:ascii="宋体" w:hAnsi="宋体" w:eastAsia="宋体" w:cs="宋体"/>
                <w:b/>
                <w:color w:val="auto"/>
                <w:sz w:val="24"/>
              </w:rPr>
            </w:pPr>
            <w:r>
              <w:rPr>
                <w:rFonts w:hint="eastAsia" w:ascii="宋体" w:hAnsi="宋体" w:eastAsia="宋体" w:cs="宋体"/>
                <w:b/>
                <w:color w:val="auto"/>
                <w:sz w:val="24"/>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rFonts w:hint="eastAsia" w:ascii="宋体" w:hAnsi="宋体" w:eastAsia="宋体" w:cs="宋体"/>
                <w:bCs/>
                <w:color w:val="auto"/>
                <w:sz w:val="24"/>
              </w:rPr>
            </w:pPr>
            <w:r>
              <w:rPr>
                <w:rFonts w:hint="eastAsia" w:ascii="宋体" w:hAnsi="宋体" w:eastAsia="宋体" w:cs="宋体"/>
                <w:bCs/>
                <w:color w:val="auto"/>
                <w:sz w:val="24"/>
              </w:rPr>
              <w:t>1</w:t>
            </w:r>
          </w:p>
        </w:tc>
        <w:tc>
          <w:tcPr>
            <w:tcW w:w="1457" w:type="dxa"/>
            <w:noWrap w:val="0"/>
          </w:tcPr>
          <w:p>
            <w:pPr>
              <w:jc w:val="center"/>
              <w:rPr>
                <w:rFonts w:hint="eastAsia" w:ascii="宋体" w:hAnsi="宋体" w:eastAsia="宋体" w:cs="宋体"/>
                <w:color w:val="auto"/>
                <w:sz w:val="24"/>
              </w:rPr>
            </w:pPr>
            <w:r>
              <w:rPr>
                <w:rFonts w:hint="eastAsia" w:ascii="宋体" w:hAnsi="宋体" w:eastAsia="宋体" w:cs="宋体"/>
                <w:color w:val="auto"/>
                <w:sz w:val="24"/>
              </w:rPr>
              <w:t>维修响应及故障解决时间</w:t>
            </w:r>
          </w:p>
        </w:tc>
        <w:tc>
          <w:tcPr>
            <w:tcW w:w="6523" w:type="dxa"/>
            <w:noWrap w:val="0"/>
          </w:tcPr>
          <w:p>
            <w:pPr>
              <w:rPr>
                <w:rFonts w:hint="eastAsia" w:ascii="宋体" w:hAnsi="宋体" w:eastAsia="宋体" w:cs="宋体"/>
                <w:b/>
                <w:color w:val="auto"/>
                <w:sz w:val="24"/>
              </w:rPr>
            </w:pPr>
            <w:r>
              <w:rPr>
                <w:rFonts w:hint="eastAsia" w:ascii="宋体" w:hAnsi="宋体" w:eastAsia="宋体" w:cs="宋体"/>
                <w:bCs/>
                <w:color w:val="auto"/>
                <w:sz w:val="24"/>
                <w:szCs w:val="24"/>
              </w:rPr>
              <w:t>在免费保修期内，一旦发生质量问题，中标人保证在接到通知</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57" w:type="dxa"/>
            <w:vMerge w:val="restart"/>
            <w:noWrap w:val="0"/>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免费保修期</w:t>
            </w:r>
          </w:p>
        </w:tc>
        <w:tc>
          <w:tcPr>
            <w:tcW w:w="6523" w:type="dxa"/>
            <w:noWrap w:val="0"/>
          </w:tcPr>
          <w:p>
            <w:pPr>
              <w:rPr>
                <w:rFonts w:hint="eastAsia" w:ascii="宋体" w:hAnsi="宋体" w:eastAsia="宋体" w:cs="宋体"/>
                <w:b/>
                <w:color w:val="auto"/>
                <w:sz w:val="24"/>
                <w:szCs w:val="24"/>
              </w:rPr>
            </w:pPr>
            <w:r>
              <w:rPr>
                <w:rFonts w:hint="eastAsia" w:ascii="宋体" w:hAnsi="宋体" w:eastAsia="宋体" w:cs="宋体"/>
                <w:bCs/>
                <w:color w:val="auto"/>
                <w:sz w:val="24"/>
                <w:szCs w:val="24"/>
              </w:rPr>
              <w:t>1.货物免费保修期</w:t>
            </w:r>
            <w:r>
              <w:rPr>
                <w:rFonts w:hint="eastAsia" w:ascii="宋体" w:hAnsi="宋体" w:eastAsia="宋体" w:cs="宋体"/>
                <w:bCs/>
                <w:color w:val="auto"/>
                <w:sz w:val="24"/>
                <w:szCs w:val="24"/>
                <w:u w:val="single"/>
              </w:rPr>
              <w:t xml:space="preserve">  1  </w:t>
            </w:r>
            <w:r>
              <w:rPr>
                <w:rFonts w:hint="eastAsia" w:ascii="宋体" w:hAnsi="宋体" w:eastAsia="宋体" w:cs="宋体"/>
                <w:bCs/>
                <w:color w:val="auto"/>
                <w:sz w:val="24"/>
                <w:szCs w:val="24"/>
              </w:rPr>
              <w:t>年，时间自最终验收合格并交付使用之日起计算。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rFonts w:hint="eastAsia" w:ascii="宋体" w:hAnsi="宋体" w:eastAsia="宋体" w:cs="宋体"/>
                <w:b/>
                <w:color w:val="auto"/>
                <w:sz w:val="24"/>
              </w:rPr>
            </w:pPr>
          </w:p>
        </w:tc>
        <w:tc>
          <w:tcPr>
            <w:tcW w:w="1457" w:type="dxa"/>
            <w:vMerge w:val="continue"/>
            <w:noWrap w:val="0"/>
            <w:vAlign w:val="center"/>
          </w:tcPr>
          <w:p>
            <w:pPr>
              <w:rPr>
                <w:rFonts w:hint="eastAsia" w:ascii="宋体" w:hAnsi="宋体" w:eastAsia="宋体" w:cs="宋体"/>
                <w:color w:val="auto"/>
                <w:sz w:val="24"/>
              </w:rPr>
            </w:pPr>
          </w:p>
        </w:tc>
        <w:tc>
          <w:tcPr>
            <w:tcW w:w="6523" w:type="dxa"/>
            <w:noWrap w:val="0"/>
            <w:vAlign w:val="center"/>
          </w:tcPr>
          <w:p>
            <w:pPr>
              <w:rPr>
                <w:rFonts w:hint="eastAsia" w:ascii="宋体" w:hAnsi="宋体" w:eastAsia="宋体" w:cs="宋体"/>
                <w:bCs/>
                <w:color w:val="auto"/>
                <w:sz w:val="24"/>
                <w:szCs w:val="24"/>
              </w:rPr>
            </w:pPr>
            <w:r>
              <w:rPr>
                <w:rFonts w:hint="eastAsia" w:ascii="宋体" w:hAnsi="宋体" w:eastAsia="宋体" w:cs="宋体"/>
                <w:bCs/>
                <w:color w:val="auto"/>
                <w:sz w:val="24"/>
                <w:szCs w:val="24"/>
              </w:rPr>
              <w:t>2.免费保修期内，</w:t>
            </w:r>
            <w:r>
              <w:rPr>
                <w:rFonts w:hint="eastAsia" w:ascii="宋体" w:hAnsi="宋体" w:eastAsia="宋体" w:cs="宋体"/>
                <w:color w:val="auto"/>
                <w:sz w:val="24"/>
                <w:szCs w:val="24"/>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hint="eastAsia" w:ascii="宋体" w:hAnsi="宋体" w:eastAsia="宋体" w:cs="宋体"/>
                <w:b/>
                <w:color w:val="auto"/>
                <w:sz w:val="24"/>
              </w:rPr>
            </w:pPr>
            <w:r>
              <w:rPr>
                <w:rFonts w:hint="eastAsia" w:ascii="宋体" w:hAnsi="宋体" w:eastAsia="宋体" w:cs="宋体"/>
                <w:b/>
                <w:color w:val="auto"/>
                <w:sz w:val="24"/>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840" w:type="dxa"/>
            <w:noWrap w:val="0"/>
            <w:vAlign w:val="center"/>
          </w:tcPr>
          <w:p>
            <w:pPr>
              <w:spacing w:line="36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1</w:t>
            </w:r>
          </w:p>
        </w:tc>
        <w:tc>
          <w:tcPr>
            <w:tcW w:w="1457" w:type="dxa"/>
            <w:noWrap w:val="0"/>
            <w:vAlign w:val="center"/>
          </w:tcPr>
          <w:p>
            <w:pPr>
              <w:spacing w:line="360" w:lineRule="exact"/>
              <w:jc w:val="center"/>
              <w:rPr>
                <w:rFonts w:hint="eastAsia" w:ascii="宋体" w:hAnsi="宋体" w:eastAsia="宋体" w:cs="宋体"/>
                <w:b/>
                <w:color w:val="auto"/>
                <w:sz w:val="24"/>
                <w:szCs w:val="24"/>
              </w:rPr>
            </w:pPr>
            <w:r>
              <w:rPr>
                <w:rStyle w:val="21"/>
                <w:rFonts w:hint="eastAsia" w:ascii="宋体" w:hAnsi="宋体" w:eastAsia="宋体" w:cs="宋体"/>
                <w:color w:val="auto"/>
                <w:sz w:val="24"/>
                <w:szCs w:val="24"/>
              </w:rPr>
              <w:t>维修零配件、消耗品和延续保修合同的报价</w:t>
            </w:r>
          </w:p>
        </w:tc>
        <w:tc>
          <w:tcPr>
            <w:tcW w:w="6523" w:type="dxa"/>
            <w:noWrap w:val="0"/>
            <w:vAlign w:val="center"/>
          </w:tcPr>
          <w:p>
            <w:pPr>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由设备制造商提供售后服务，</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1 </w:t>
            </w:r>
            <w:r>
              <w:rPr>
                <w:rFonts w:hint="eastAsia" w:ascii="宋体" w:hAnsi="宋体" w:eastAsia="宋体" w:cs="宋体"/>
                <w:color w:val="auto"/>
                <w:sz w:val="24"/>
                <w:szCs w:val="24"/>
              </w:rPr>
              <w:t>小时内响应，</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24</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小时维修到位，并在48小时内消除故障（不可抗力情况除外）。消耗品和零配件供应及时，特殊情况下可提供备用机。在境内有相对应的零配件保税库，于中标后出具证明文件。</w:t>
            </w:r>
          </w:p>
          <w:p>
            <w:pPr>
              <w:spacing w:line="360" w:lineRule="exact"/>
              <w:rPr>
                <w:rFonts w:hint="eastAsia" w:ascii="宋体" w:hAnsi="宋体" w:eastAsia="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hint="eastAsia" w:ascii="宋体" w:hAnsi="宋体" w:eastAsia="宋体" w:cs="宋体"/>
                <w:b/>
                <w:color w:val="auto"/>
                <w:sz w:val="24"/>
              </w:rPr>
            </w:pPr>
            <w:r>
              <w:rPr>
                <w:rFonts w:hint="eastAsia" w:ascii="宋体" w:hAnsi="宋体" w:eastAsia="宋体" w:cs="宋体"/>
                <w:b/>
                <w:color w:val="auto"/>
                <w:sz w:val="24"/>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1</w:t>
            </w:r>
          </w:p>
        </w:tc>
        <w:tc>
          <w:tcPr>
            <w:tcW w:w="1457" w:type="dxa"/>
            <w:vMerge w:val="restart"/>
            <w:noWrap w:val="0"/>
            <w:vAlign w:val="center"/>
          </w:tcPr>
          <w:p>
            <w:pPr>
              <w:spacing w:line="36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违约责任</w:t>
            </w:r>
          </w:p>
        </w:tc>
        <w:tc>
          <w:tcPr>
            <w:tcW w:w="6523" w:type="dxa"/>
            <w:noWrap w:val="0"/>
          </w:tcPr>
          <w:p>
            <w:pPr>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.1中标人不能交货的，需偿付不能交货部分货款的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50</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eastAsia="宋体" w:cs="宋体"/>
                <w:b/>
                <w:color w:val="auto"/>
                <w:sz w:val="24"/>
                <w:szCs w:val="24"/>
              </w:rPr>
            </w:pPr>
          </w:p>
        </w:tc>
        <w:tc>
          <w:tcPr>
            <w:tcW w:w="1457" w:type="dxa"/>
            <w:vMerge w:val="continue"/>
            <w:noWrap w:val="0"/>
            <w:vAlign w:val="center"/>
          </w:tcPr>
          <w:p>
            <w:pPr>
              <w:spacing w:line="360" w:lineRule="exact"/>
              <w:jc w:val="center"/>
              <w:rPr>
                <w:rFonts w:hint="eastAsia" w:ascii="宋体" w:hAnsi="宋体" w:eastAsia="宋体" w:cs="宋体"/>
                <w:b/>
                <w:color w:val="auto"/>
                <w:sz w:val="24"/>
                <w:szCs w:val="24"/>
              </w:rPr>
            </w:pPr>
          </w:p>
        </w:tc>
        <w:tc>
          <w:tcPr>
            <w:tcW w:w="6523" w:type="dxa"/>
            <w:noWrap w:val="0"/>
          </w:tcPr>
          <w:p>
            <w:pPr>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trPr>
        <w:tc>
          <w:tcPr>
            <w:tcW w:w="840" w:type="dxa"/>
            <w:vMerge w:val="continue"/>
            <w:noWrap w:val="0"/>
            <w:vAlign w:val="center"/>
          </w:tcPr>
          <w:p>
            <w:pPr>
              <w:spacing w:line="360" w:lineRule="exact"/>
              <w:jc w:val="center"/>
              <w:rPr>
                <w:rFonts w:hint="eastAsia" w:ascii="宋体" w:hAnsi="宋体" w:eastAsia="宋体" w:cs="宋体"/>
                <w:b/>
                <w:color w:val="auto"/>
                <w:sz w:val="24"/>
                <w:szCs w:val="24"/>
              </w:rPr>
            </w:pPr>
          </w:p>
        </w:tc>
        <w:tc>
          <w:tcPr>
            <w:tcW w:w="1457" w:type="dxa"/>
            <w:vMerge w:val="continue"/>
            <w:noWrap w:val="0"/>
            <w:vAlign w:val="center"/>
          </w:tcPr>
          <w:p>
            <w:pPr>
              <w:spacing w:line="360" w:lineRule="exact"/>
              <w:jc w:val="center"/>
              <w:rPr>
                <w:rFonts w:hint="eastAsia" w:ascii="宋体" w:hAnsi="宋体" w:eastAsia="宋体" w:cs="宋体"/>
                <w:b/>
                <w:color w:val="auto"/>
                <w:sz w:val="24"/>
                <w:szCs w:val="24"/>
              </w:rPr>
            </w:pPr>
          </w:p>
        </w:tc>
        <w:tc>
          <w:tcPr>
            <w:tcW w:w="6523" w:type="dxa"/>
            <w:noWrap w:val="0"/>
          </w:tcPr>
          <w:p>
            <w:pPr>
              <w:spacing w:line="360" w:lineRule="exac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.3中标人所交付产品、工程或服务不符合其投标承诺的，或在投标阶段为了中标而盲目虚假承诺、低价恶性竞争，在履约阶段则通过偷工减料、以次充好而获取利润的，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color w:val="auto"/>
                <w:sz w:val="24"/>
                <w:szCs w:val="24"/>
                <w:lang w:val="en-US" w:eastAsia="zh-CN"/>
              </w:rPr>
              <w:t>采购人</w:t>
            </w:r>
            <w:r>
              <w:rPr>
                <w:rFonts w:hint="eastAsia" w:ascii="宋体" w:hAnsi="宋体" w:eastAsia="宋体" w:cs="宋体"/>
                <w:color w:val="auto"/>
                <w:sz w:val="24"/>
                <w:szCs w:val="24"/>
              </w:rPr>
              <w:t>将根据标的的性质以及损失的大小，可以合理选择要求</w:t>
            </w:r>
            <w:r>
              <w:rPr>
                <w:rFonts w:hint="eastAsia" w:ascii="宋体" w:hAnsi="宋体" w:eastAsia="宋体" w:cs="宋体"/>
                <w:color w:val="auto"/>
                <w:sz w:val="24"/>
                <w:szCs w:val="24"/>
                <w:lang w:val="en-US" w:eastAsia="zh-CN"/>
              </w:rPr>
              <w:t>中标人</w:t>
            </w:r>
            <w:r>
              <w:rPr>
                <w:rFonts w:hint="eastAsia" w:ascii="宋体" w:hAnsi="宋体" w:eastAsia="宋体" w:cs="宋体"/>
                <w:color w:val="auto"/>
                <w:sz w:val="24"/>
                <w:szCs w:val="24"/>
              </w:rPr>
              <w:t>承担修理、更换、重作、退货、减少价款或者报酬等违约责任。</w:t>
            </w:r>
          </w:p>
          <w:p>
            <w:pPr>
              <w:spacing w:line="36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lang w:val="en-US" w:eastAsia="zh-CN"/>
              </w:rPr>
              <w:t>2</w:t>
            </w:r>
          </w:p>
        </w:tc>
        <w:tc>
          <w:tcPr>
            <w:tcW w:w="1457" w:type="dxa"/>
            <w:vMerge w:val="restart"/>
            <w:noWrap w:val="0"/>
            <w:vAlign w:val="center"/>
          </w:tcPr>
          <w:p>
            <w:pPr>
              <w:spacing w:line="360" w:lineRule="exact"/>
              <w:jc w:val="center"/>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rPr>
              <w:t>交货</w:t>
            </w:r>
            <w:r>
              <w:rPr>
                <w:rFonts w:hint="eastAsia" w:ascii="宋体" w:hAnsi="宋体" w:eastAsia="宋体" w:cs="宋体"/>
                <w:b/>
                <w:bCs w:val="0"/>
                <w:color w:val="auto"/>
                <w:sz w:val="24"/>
                <w:szCs w:val="24"/>
                <w:lang w:val="en-US" w:eastAsia="zh-CN"/>
              </w:rPr>
              <w:t>及付款要求</w:t>
            </w:r>
          </w:p>
        </w:tc>
        <w:tc>
          <w:tcPr>
            <w:tcW w:w="6523" w:type="dxa"/>
            <w:noWrap w:val="0"/>
            <w:vAlign w:val="center"/>
          </w:tcPr>
          <w:p>
            <w:pPr>
              <w:spacing w:line="360" w:lineRule="exact"/>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.1履约时间和地点：投标供应商在签订合同之日起30天内交货，交货地点为</w:t>
            </w:r>
            <w:r>
              <w:rPr>
                <w:rFonts w:hint="eastAsia" w:ascii="宋体" w:hAnsi="宋体" w:eastAsia="宋体" w:cs="宋体"/>
                <w:b w:val="0"/>
                <w:color w:val="000000" w:themeColor="text1"/>
                <w:sz w:val="24"/>
                <w:szCs w:val="24"/>
                <w:lang w:eastAsia="zh-CN"/>
                <w14:textFill>
                  <w14:solidFill>
                    <w14:schemeClr w14:val="tx1"/>
                  </w14:solidFill>
                </w14:textFill>
              </w:rPr>
              <w:t>深圳市宝安区阳台山小学</w:t>
            </w:r>
            <w:r>
              <w:rPr>
                <w:rFonts w:hint="eastAsia" w:ascii="宋体" w:hAnsi="宋体" w:eastAsia="宋体" w:cs="宋体"/>
                <w:color w:val="000000" w:themeColor="text1"/>
                <w:sz w:val="24"/>
                <w14:textFill>
                  <w14:solidFill>
                    <w14:schemeClr w14:val="tx1"/>
                  </w14:solidFill>
                </w14:textFill>
              </w:rPr>
              <w:t>。</w:t>
            </w:r>
          </w:p>
          <w:p>
            <w:pPr>
              <w:widowControl w:val="0"/>
              <w:spacing w:after="120"/>
              <w:jc w:val="both"/>
              <w:rPr>
                <w:rFonts w:hint="eastAsia" w:ascii="宋体" w:hAnsi="宋体" w:eastAsia="宋体" w:cs="宋体"/>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注：长期货物政府采购合同履行期限最长不得超过二十四个月，如甲方对履约情况不满意，甲方不再续约。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hint="eastAsia" w:ascii="宋体" w:hAnsi="宋体" w:eastAsia="宋体" w:cs="宋体"/>
                <w:b/>
                <w:bCs w:val="0"/>
                <w:color w:val="auto"/>
                <w:sz w:val="24"/>
                <w:szCs w:val="24"/>
              </w:rPr>
            </w:pPr>
          </w:p>
        </w:tc>
        <w:tc>
          <w:tcPr>
            <w:tcW w:w="1457" w:type="dxa"/>
            <w:vMerge w:val="continue"/>
            <w:noWrap w:val="0"/>
            <w:vAlign w:val="center"/>
          </w:tcPr>
          <w:p>
            <w:pPr>
              <w:spacing w:line="360" w:lineRule="exact"/>
              <w:jc w:val="center"/>
              <w:rPr>
                <w:rFonts w:hint="eastAsia" w:ascii="宋体" w:hAnsi="宋体" w:eastAsia="宋体" w:cs="宋体"/>
                <w:b/>
                <w:bCs w:val="0"/>
                <w:color w:val="auto"/>
                <w:sz w:val="24"/>
                <w:szCs w:val="24"/>
              </w:rPr>
            </w:pPr>
          </w:p>
        </w:tc>
        <w:tc>
          <w:tcPr>
            <w:tcW w:w="6523" w:type="dxa"/>
            <w:noWrap w:val="0"/>
            <w:vAlign w:val="center"/>
          </w:tcPr>
          <w:p>
            <w:pPr>
              <w:spacing w:line="360" w:lineRule="exact"/>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.2付款期限和方式：</w:t>
            </w:r>
            <w:r>
              <w:rPr>
                <w:rFonts w:hint="eastAsia" w:ascii="宋体" w:hAnsi="宋体" w:eastAsia="宋体" w:cs="宋体"/>
                <w:color w:val="auto"/>
                <w:sz w:val="24"/>
                <w:szCs w:val="24"/>
              </w:rPr>
              <w:t>本项目完成并经验收合格后，</w:t>
            </w:r>
            <w:r>
              <w:rPr>
                <w:rFonts w:hint="eastAsia" w:ascii="宋体" w:hAnsi="宋体" w:eastAsia="宋体" w:cs="宋体"/>
                <w:bCs/>
                <w:color w:val="auto"/>
                <w:sz w:val="24"/>
                <w:szCs w:val="24"/>
                <w:highlight w:val="none"/>
              </w:rPr>
              <w:t>中标人提供发票，收到发票后10个工作日内（最长不超过15日历日）采购人按照有关程序要求向中标人支付</w:t>
            </w:r>
            <w:r>
              <w:rPr>
                <w:rFonts w:hint="eastAsia" w:ascii="宋体" w:hAnsi="宋体" w:eastAsia="宋体" w:cs="宋体"/>
                <w:bCs/>
                <w:color w:val="auto"/>
                <w:sz w:val="24"/>
                <w:szCs w:val="24"/>
                <w:highlight w:val="none"/>
                <w:lang w:val="en-US" w:eastAsia="zh-CN"/>
              </w:rPr>
              <w:t>100%的货款。</w:t>
            </w:r>
          </w:p>
          <w:p>
            <w:pPr>
              <w:widowControl w:val="0"/>
              <w:spacing w:after="120"/>
              <w:jc w:val="both"/>
              <w:rPr>
                <w:rFonts w:hint="eastAsia" w:ascii="宋体" w:hAnsi="宋体" w:eastAsia="宋体" w:cs="宋体"/>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注：根据《深圳市落实采购人主体责任实施办法》第34条规定，对于满足合同约定支付条件的，采购人应当自收到发票后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3</w:t>
            </w:r>
          </w:p>
        </w:tc>
        <w:tc>
          <w:tcPr>
            <w:tcW w:w="1457" w:type="dxa"/>
            <w:noWrap w:val="0"/>
            <w:vAlign w:val="center"/>
          </w:tcPr>
          <w:p>
            <w:pPr>
              <w:spacing w:line="360" w:lineRule="exact"/>
              <w:jc w:val="center"/>
              <w:rPr>
                <w:rStyle w:val="21"/>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验收条件</w:t>
            </w:r>
          </w:p>
        </w:tc>
        <w:tc>
          <w:tcPr>
            <w:tcW w:w="6523" w:type="dxa"/>
            <w:noWrap w:val="0"/>
            <w:vAlign w:val="center"/>
          </w:tcPr>
          <w:p>
            <w:pPr>
              <w:spacing w:line="360" w:lineRule="exac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供货安装完毕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4</w:t>
            </w:r>
          </w:p>
        </w:tc>
        <w:tc>
          <w:tcPr>
            <w:tcW w:w="1457" w:type="dxa"/>
            <w:vMerge w:val="restart"/>
            <w:noWrap w:val="0"/>
            <w:vAlign w:val="center"/>
          </w:tcPr>
          <w:p>
            <w:pPr>
              <w:spacing w:line="36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培训</w:t>
            </w:r>
          </w:p>
        </w:tc>
        <w:tc>
          <w:tcPr>
            <w:tcW w:w="6523" w:type="dxa"/>
            <w:noWrap w:val="0"/>
          </w:tcPr>
          <w:p>
            <w:pPr>
              <w:widowControl/>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eastAsia="宋体" w:cs="宋体"/>
                <w:b/>
                <w:color w:val="auto"/>
                <w:sz w:val="24"/>
                <w:szCs w:val="24"/>
              </w:rPr>
            </w:pPr>
          </w:p>
        </w:tc>
        <w:tc>
          <w:tcPr>
            <w:tcW w:w="1457" w:type="dxa"/>
            <w:vMerge w:val="continue"/>
            <w:noWrap w:val="0"/>
            <w:vAlign w:val="center"/>
          </w:tcPr>
          <w:p>
            <w:pPr>
              <w:spacing w:line="360" w:lineRule="exact"/>
              <w:rPr>
                <w:rFonts w:hint="eastAsia" w:ascii="宋体" w:hAnsi="宋体" w:eastAsia="宋体" w:cs="宋体"/>
                <w:b/>
                <w:color w:val="auto"/>
                <w:sz w:val="24"/>
                <w:szCs w:val="24"/>
              </w:rPr>
            </w:pPr>
          </w:p>
        </w:tc>
        <w:tc>
          <w:tcPr>
            <w:tcW w:w="6523" w:type="dxa"/>
            <w:noWrap w:val="0"/>
          </w:tcPr>
          <w:p>
            <w:pPr>
              <w:widowControl/>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5</w:t>
            </w:r>
          </w:p>
        </w:tc>
        <w:tc>
          <w:tcPr>
            <w:tcW w:w="1457" w:type="dxa"/>
            <w:vMerge w:val="restart"/>
            <w:noWrap w:val="0"/>
            <w:vAlign w:val="center"/>
          </w:tcPr>
          <w:p>
            <w:pPr>
              <w:spacing w:line="36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知识产权</w:t>
            </w:r>
          </w:p>
        </w:tc>
        <w:tc>
          <w:tcPr>
            <w:tcW w:w="6523" w:type="dxa"/>
            <w:noWrap w:val="0"/>
          </w:tcPr>
          <w:p>
            <w:pPr>
              <w:rPr>
                <w:rFonts w:hint="eastAsia" w:ascii="宋体" w:hAnsi="宋体" w:eastAsia="宋体" w:cs="宋体"/>
                <w:color w:val="auto"/>
                <w:sz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.1涉及采购标的的知识产权归属、处理的，</w:t>
            </w:r>
            <w:r>
              <w:rPr>
                <w:rFonts w:hint="eastAsia" w:ascii="宋体" w:hAnsi="宋体" w:eastAsia="宋体" w:cs="宋体"/>
                <w:color w:val="auto"/>
                <w:sz w:val="24"/>
                <w:szCs w:val="24"/>
                <w:lang w:val="en-US" w:eastAsia="zh-CN"/>
              </w:rPr>
              <w:t>应</w:t>
            </w:r>
            <w:r>
              <w:rPr>
                <w:rFonts w:hint="eastAsia" w:ascii="宋体" w:hAnsi="宋体" w:eastAsia="宋体" w:cs="宋体"/>
                <w:color w:val="auto"/>
                <w:sz w:val="24"/>
                <w:szCs w:val="24"/>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eastAsia="宋体" w:cs="宋体"/>
                <w:b/>
                <w:color w:val="auto"/>
                <w:sz w:val="24"/>
              </w:rPr>
            </w:pPr>
          </w:p>
        </w:tc>
        <w:tc>
          <w:tcPr>
            <w:tcW w:w="1457" w:type="dxa"/>
            <w:vMerge w:val="continue"/>
            <w:noWrap w:val="0"/>
            <w:vAlign w:val="center"/>
          </w:tcPr>
          <w:p>
            <w:pPr>
              <w:spacing w:line="360" w:lineRule="exact"/>
              <w:rPr>
                <w:rFonts w:hint="eastAsia" w:ascii="宋体" w:hAnsi="宋体" w:eastAsia="宋体" w:cs="宋体"/>
                <w:b/>
                <w:color w:val="auto"/>
                <w:sz w:val="24"/>
              </w:rPr>
            </w:pPr>
          </w:p>
        </w:tc>
        <w:tc>
          <w:tcPr>
            <w:tcW w:w="6523" w:type="dxa"/>
            <w:noWrap w:val="0"/>
          </w:tcPr>
          <w:p>
            <w:pPr>
              <w:widowControl/>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cs="宋体"/>
                <w:b/>
                <w:color w:val="auto"/>
                <w:sz w:val="24"/>
                <w:lang w:eastAsia="zh-CN"/>
              </w:rPr>
            </w:pPr>
            <w:r>
              <w:rPr>
                <w:rFonts w:hint="eastAsia" w:ascii="宋体" w:hAnsi="宋体" w:eastAsia="宋体" w:cs="宋体"/>
                <w:b/>
                <w:color w:val="auto"/>
                <w:sz w:val="24"/>
                <w:lang w:val="en-US" w:eastAsia="zh-CN"/>
              </w:rPr>
              <w:t>6</w:t>
            </w:r>
          </w:p>
        </w:tc>
        <w:tc>
          <w:tcPr>
            <w:tcW w:w="1457" w:type="dxa"/>
            <w:noWrap w:val="0"/>
            <w:vAlign w:val="center"/>
          </w:tcPr>
          <w:p>
            <w:pPr>
              <w:spacing w:line="360" w:lineRule="exact"/>
              <w:jc w:val="center"/>
              <w:rPr>
                <w:rFonts w:hint="eastAsia" w:ascii="宋体" w:hAnsi="宋体" w:eastAsia="宋体" w:cs="宋体"/>
                <w:b/>
                <w:bCs w:val="0"/>
                <w:color w:val="auto"/>
                <w:sz w:val="24"/>
              </w:rPr>
            </w:pPr>
            <w:r>
              <w:rPr>
                <w:rFonts w:hint="eastAsia" w:ascii="宋体" w:hAnsi="宋体" w:eastAsia="宋体" w:cs="宋体"/>
                <w:b/>
                <w:bCs w:val="0"/>
                <w:color w:val="auto"/>
                <w:sz w:val="24"/>
                <w:szCs w:val="24"/>
              </w:rPr>
              <w:t>其他</w:t>
            </w:r>
          </w:p>
        </w:tc>
        <w:tc>
          <w:tcPr>
            <w:tcW w:w="6523" w:type="dxa"/>
            <w:noWrap w:val="0"/>
          </w:tcPr>
          <w:p>
            <w:pPr>
              <w:widowControl/>
              <w:numPr>
                <w:ilvl w:val="-1"/>
                <w:numId w:val="0"/>
              </w:numPr>
              <w:jc w:val="left"/>
              <w:rPr>
                <w:rFonts w:hint="eastAsia" w:ascii="宋体" w:hAnsi="宋体" w:eastAsia="宋体" w:cs="宋体"/>
                <w:color w:val="auto"/>
                <w:sz w:val="24"/>
                <w:szCs w:val="24"/>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投标供应商应按其投标文件中的承诺，进行其他售后服务工作。</w:t>
            </w:r>
          </w:p>
          <w:p>
            <w:pPr>
              <w:widowControl/>
              <w:jc w:val="left"/>
              <w:rPr>
                <w:rFonts w:hint="eastAsia"/>
              </w:rPr>
            </w:pPr>
            <w:r>
              <w:rPr>
                <w:rFonts w:hint="eastAsia" w:ascii="宋体" w:hAnsi="宋体" w:cs="宋体"/>
                <w:bCs w:val="0"/>
                <w:color w:val="auto"/>
                <w:kern w:val="2"/>
                <w:sz w:val="24"/>
                <w:szCs w:val="24"/>
                <w:lang w:val="en-US" w:eastAsia="zh-CN"/>
              </w:rPr>
              <w:t>2.</w:t>
            </w:r>
            <w:r>
              <w:rPr>
                <w:rFonts w:hint="eastAsia" w:ascii="宋体" w:hAnsi="宋体" w:eastAsia="宋体" w:cs="宋体"/>
                <w:bCs w:val="0"/>
                <w:color w:val="auto"/>
                <w:kern w:val="2"/>
                <w:sz w:val="24"/>
                <w:szCs w:val="24"/>
                <w:lang w:val="en-US" w:eastAsia="zh-CN"/>
              </w:rPr>
              <w:t>清单中的定制类所有产品，如书架等，须提供图纸用户确认后供货。</w:t>
            </w:r>
          </w:p>
        </w:tc>
      </w:tr>
      <w:bookmarkEnd w:id="41"/>
    </w:tbl>
    <w:p>
      <w:pPr>
        <w:rPr>
          <w:b/>
        </w:rPr>
      </w:pPr>
    </w:p>
    <w:p>
      <w:pPr>
        <w:pStyle w:val="8"/>
        <w:spacing w:before="60" w:beforeLines="25" w:after="60" w:afterLines="25"/>
        <w:ind w:firstLine="0" w:firstLineChars="0"/>
        <w:rPr>
          <w:rFonts w:ascii="宋体" w:hAnsi="宋体"/>
          <w:szCs w:val="21"/>
        </w:rPr>
      </w:pPr>
    </w:p>
    <w:p>
      <w:pPr>
        <w:pStyle w:val="8"/>
        <w:spacing w:before="60" w:beforeLines="25" w:after="60" w:afterLines="25"/>
        <w:ind w:firstLine="0" w:firstLineChars="0"/>
        <w:rPr>
          <w:rFonts w:ascii="宋体" w:hAnsi="宋体"/>
          <w:szCs w:val="21"/>
        </w:rPr>
      </w:pPr>
    </w:p>
    <w:p>
      <w:pPr>
        <w:pStyle w:val="8"/>
        <w:spacing w:before="60" w:beforeLines="25" w:after="60" w:afterLines="25"/>
        <w:ind w:firstLine="0" w:firstLineChars="0"/>
        <w:rPr>
          <w:rFonts w:ascii="宋体" w:hAnsi="宋体"/>
          <w:szCs w:val="21"/>
        </w:rPr>
      </w:pPr>
    </w:p>
    <w:p>
      <w:pPr>
        <w:pStyle w:val="8"/>
        <w:spacing w:before="60" w:beforeLines="25" w:after="60" w:afterLines="25"/>
        <w:ind w:firstLine="0" w:firstLineChars="0"/>
        <w:rPr>
          <w:rFonts w:ascii="宋体" w:hAnsi="宋体"/>
          <w:szCs w:val="21"/>
        </w:rPr>
      </w:pPr>
    </w:p>
    <w:p>
      <w:pPr>
        <w:pStyle w:val="7"/>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2"/>
        <w:rPr>
          <w:rFonts w:ascii="宋体" w:hAnsi="宋体"/>
        </w:rPr>
      </w:pPr>
    </w:p>
    <w:p>
      <w:pPr>
        <w:pStyle w:val="15"/>
      </w:pPr>
    </w:p>
    <w:p>
      <w:pPr>
        <w:pStyle w:val="2"/>
        <w:rPr>
          <w:rFonts w:ascii="宋体" w:hAnsi="宋体"/>
        </w:rPr>
        <w:sectPr>
          <w:pgSz w:w="11907" w:h="16840"/>
          <w:pgMar w:top="1440" w:right="1797" w:bottom="1440" w:left="1797" w:header="851" w:footer="992" w:gutter="0"/>
          <w:cols w:space="425" w:num="1"/>
          <w:titlePg/>
          <w:docGrid w:linePitch="462" w:charSpace="0"/>
        </w:sectPr>
      </w:pPr>
    </w:p>
    <w:p>
      <w:pPr>
        <w:pStyle w:val="7"/>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6"/>
          <w:sz w:val="24"/>
        </w:rPr>
      </w:pPr>
      <w:r>
        <w:rPr>
          <w:rStyle w:val="36"/>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63559"/>
      <w:bookmarkStart w:id="44"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ind w:left="718" w:leftChars="342" w:firstLine="1417" w:firstLineChars="675"/>
        <w:rPr>
          <w:rFonts w:hint="eastAsia"/>
          <w:szCs w:val="21"/>
          <w:highlight w:val="yellow"/>
        </w:rPr>
      </w:pPr>
      <w:r>
        <w:rPr>
          <w:rFonts w:hint="eastAsia"/>
          <w:szCs w:val="21"/>
        </w:rPr>
        <w:t>（</w:t>
      </w:r>
      <w:r>
        <w:rPr>
          <w:rFonts w:hint="eastAsia"/>
          <w:szCs w:val="21"/>
          <w:lang w:val="en-US" w:eastAsia="zh-CN"/>
        </w:rPr>
        <w:t>5</w:t>
      </w:r>
      <w:r>
        <w:rPr>
          <w:rFonts w:hint="eastAsia"/>
          <w:szCs w:val="21"/>
        </w:rPr>
        <w:t>）</w:t>
      </w:r>
      <w:r>
        <w:rPr>
          <w:rFonts w:hint="eastAsia"/>
          <w:szCs w:val="21"/>
          <w:highlight w:val="yellow"/>
        </w:rPr>
        <w:t>投标人通过相关认证情况</w:t>
      </w:r>
    </w:p>
    <w:p>
      <w:pPr>
        <w:ind w:left="718" w:leftChars="342" w:firstLine="1417" w:firstLineChars="675"/>
        <w:rPr>
          <w:rFonts w:hint="eastAsia"/>
          <w:szCs w:val="21"/>
          <w:highlight w:val="yellow"/>
        </w:rPr>
      </w:pPr>
      <w:r>
        <w:rPr>
          <w:rFonts w:hint="eastAsia"/>
          <w:szCs w:val="21"/>
          <w:highlight w:val="yellow"/>
          <w:lang w:eastAsia="zh-CN"/>
        </w:rPr>
        <w:t>（</w:t>
      </w:r>
      <w:r>
        <w:rPr>
          <w:rFonts w:hint="eastAsia"/>
          <w:szCs w:val="21"/>
          <w:highlight w:val="yellow"/>
          <w:lang w:val="en-US" w:eastAsia="zh-CN"/>
        </w:rPr>
        <w:t>6</w:t>
      </w:r>
      <w:r>
        <w:rPr>
          <w:rFonts w:hint="eastAsia"/>
          <w:szCs w:val="21"/>
          <w:highlight w:val="yellow"/>
          <w:lang w:eastAsia="zh-CN"/>
        </w:rPr>
        <w:t>）</w:t>
      </w:r>
      <w:r>
        <w:rPr>
          <w:rFonts w:hint="eastAsia"/>
          <w:szCs w:val="21"/>
          <w:highlight w:val="yellow"/>
        </w:rPr>
        <w:t>经验评价</w:t>
      </w:r>
    </w:p>
    <w:p>
      <w:pPr>
        <w:ind w:left="718" w:leftChars="342" w:firstLine="1417" w:firstLineChars="675"/>
        <w:rPr>
          <w:rFonts w:hint="eastAsia"/>
          <w:szCs w:val="21"/>
          <w:lang w:eastAsia="zh-CN"/>
        </w:rPr>
      </w:pPr>
      <w:r>
        <w:rPr>
          <w:rFonts w:hint="eastAsia"/>
          <w:szCs w:val="21"/>
          <w:highlight w:val="yellow"/>
          <w:lang w:eastAsia="zh-CN"/>
        </w:rPr>
        <w:t>（</w:t>
      </w:r>
      <w:r>
        <w:rPr>
          <w:rFonts w:hint="eastAsia"/>
          <w:szCs w:val="21"/>
          <w:highlight w:val="yellow"/>
          <w:lang w:val="en-US" w:eastAsia="zh-CN"/>
        </w:rPr>
        <w:t>7</w:t>
      </w:r>
      <w:r>
        <w:rPr>
          <w:rFonts w:hint="eastAsia"/>
          <w:szCs w:val="21"/>
          <w:highlight w:val="yellow"/>
          <w:lang w:eastAsia="zh-CN"/>
        </w:rPr>
        <w:t>）</w:t>
      </w:r>
      <w:r>
        <w:rPr>
          <w:rFonts w:hint="eastAsia"/>
          <w:szCs w:val="21"/>
          <w:highlight w:val="yellow"/>
        </w:rPr>
        <w:t>投标人所投知识产权产品(创新、设计)情况</w:t>
      </w:r>
      <w:r>
        <w:rPr>
          <w:rFonts w:hint="eastAsia"/>
          <w:szCs w:val="21"/>
          <w:lang w:eastAsia="zh-CN"/>
        </w:rPr>
        <w:t>；</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8</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r>
        <w:rPr>
          <w:rFonts w:hint="eastAsia"/>
          <w:szCs w:val="21"/>
          <w:lang w:val="en-US" w:eastAsia="zh-CN"/>
        </w:rPr>
        <w:t>公开</w:t>
      </w:r>
      <w:r>
        <w:rPr>
          <w:rFonts w:hint="eastAsia"/>
          <w:szCs w:val="21"/>
          <w:lang w:eastAsia="zh-CN"/>
        </w:rPr>
        <w:t>）；</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设计图评价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）项目组织实施方案的评价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）售后服务评价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）政府采购节能环保产品情况</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）绿色采购情况</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11</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pStyle w:val="2"/>
      </w:pPr>
    </w:p>
    <w:p>
      <w:pPr>
        <w:pStyle w:val="8"/>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5"/>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6"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7"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8" w:name="_Hlk72263588"/>
      <w:r>
        <w:rPr>
          <w:rFonts w:hint="eastAsia"/>
          <w:szCs w:val="21"/>
        </w:rPr>
        <w:t>愿意按照招标文件要求承包上述项目并修补其任何缺陷。</w:t>
      </w:r>
      <w:bookmarkEnd w:id="48"/>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49" w:name="_Hlk73819847"/>
      <w:r>
        <w:rPr>
          <w:rFonts w:hint="eastAsia" w:ascii="宋体" w:hAnsi="宋体"/>
          <w:szCs w:val="21"/>
        </w:rPr>
        <w:t>投标价格见</w:t>
      </w:r>
      <w:r>
        <w:rPr>
          <w:rFonts w:hint="eastAsia"/>
          <w:szCs w:val="21"/>
        </w:rPr>
        <w:t>投标书编制软件中《开标一览表》中填写的投标总价。</w:t>
      </w:r>
      <w:bookmarkEnd w:id="49"/>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7"/>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6"/>
    <w:p>
      <w:pPr>
        <w:pStyle w:val="5"/>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0"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1" w:name="_Hlk72587269"/>
      <w:bookmarkStart w:id="52"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1"/>
      <w:r>
        <w:rPr>
          <w:rFonts w:hint="eastAsia" w:ascii="宋体" w:hAnsi="宋体"/>
          <w:szCs w:val="21"/>
        </w:rPr>
        <w:t>。</w:t>
      </w:r>
    </w:p>
    <w:bookmarkEnd w:id="52"/>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0"/>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5"/>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3"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4" w:name="_Hlk72257908"/>
      <w:r>
        <w:rPr>
          <w:rFonts w:hint="eastAsia" w:ascii="黑体" w:hAnsi="宋体" w:eastAsia="黑体"/>
          <w:bCs/>
          <w:kern w:val="0"/>
          <w:sz w:val="24"/>
          <w:szCs w:val="32"/>
        </w:rPr>
        <w:t>（二）中小企业声明函、残疾人福利性单位声明函及监狱企业声明函</w:t>
      </w:r>
    </w:p>
    <w:bookmarkEnd w:id="53"/>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4"/>
        </w:numPr>
        <w:jc w:val="center"/>
        <w:outlineLvl w:val="9"/>
        <w:rPr>
          <w:b/>
          <w:sz w:val="24"/>
        </w:rPr>
      </w:pPr>
      <w:r>
        <w:rPr>
          <w:b/>
          <w:sz w:val="24"/>
        </w:rPr>
        <w:t>中小企业声明函（货物）</w:t>
      </w:r>
    </w:p>
    <w:p>
      <w:pPr>
        <w:pStyle w:val="2"/>
        <w:widowControl w:val="0"/>
        <w:numPr>
          <w:ilvl w:val="0"/>
          <w:numId w:val="0"/>
        </w:numPr>
        <w:spacing w:line="360" w:lineRule="auto"/>
        <w:jc w:val="both"/>
      </w:pP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5"/>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5"/>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331"/>
      <w:bookmarkStart w:id="57"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6"/>
    </w:p>
    <w:bookmarkEnd w:id="57"/>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5"/>
        <w:jc w:val="center"/>
        <w:rPr>
          <w:rFonts w:ascii="黑体" w:eastAsia="黑体"/>
          <w:b w:val="0"/>
          <w:sz w:val="24"/>
          <w:szCs w:val="24"/>
        </w:rPr>
      </w:pPr>
      <w:bookmarkStart w:id="58"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8"/>
        <w:gridCol w:w="795"/>
        <w:gridCol w:w="1627"/>
        <w:gridCol w:w="421"/>
        <w:gridCol w:w="421"/>
        <w:gridCol w:w="421"/>
        <w:gridCol w:w="421"/>
        <w:gridCol w:w="756"/>
        <w:gridCol w:w="432"/>
        <w:gridCol w:w="560"/>
        <w:gridCol w:w="560"/>
        <w:gridCol w:w="1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采购计划编号</w:t>
            </w: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品牌</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w:t>
            </w:r>
            <w:r>
              <w:rPr>
                <w:rStyle w:val="44"/>
                <w:rFonts w:eastAsia="宋体"/>
                <w:lang w:val="en-US" w:eastAsia="zh-CN" w:bidi="ar"/>
              </w:rPr>
              <w:t>/</w:t>
            </w:r>
            <w:r>
              <w:rPr>
                <w:rFonts w:hint="eastAsia" w:ascii="宋体" w:hAnsi="宋体" w:eastAsia="宋体" w:cs="宋体"/>
                <w:i w:val="0"/>
                <w:iCs w:val="0"/>
                <w:color w:val="000000"/>
                <w:kern w:val="0"/>
                <w:sz w:val="21"/>
                <w:szCs w:val="21"/>
                <w:u w:val="none"/>
                <w:lang w:val="en-US" w:eastAsia="zh-CN" w:bidi="ar"/>
              </w:rPr>
              <w:t>型号</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kern w:val="0"/>
                <w:sz w:val="21"/>
                <w:szCs w:val="21"/>
                <w:u w:val="none"/>
                <w:lang w:val="en-US" w:eastAsia="zh-CN" w:bidi="ar"/>
              </w:rPr>
              <w:t>原产地</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制造商名称</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w:t>
            </w:r>
            <w:r>
              <w:rPr>
                <w:rStyle w:val="44"/>
                <w:rFonts w:eastAsia="宋体"/>
                <w:lang w:val="en-US" w:eastAsia="zh-CN" w:bidi="ar"/>
              </w:rPr>
              <w:t>(</w:t>
            </w:r>
            <w:r>
              <w:rPr>
                <w:rFonts w:hint="eastAsia" w:ascii="宋体" w:hAnsi="宋体" w:eastAsia="宋体" w:cs="宋体"/>
                <w:i w:val="0"/>
                <w:iCs w:val="0"/>
                <w:color w:val="000000"/>
                <w:kern w:val="0"/>
                <w:sz w:val="21"/>
                <w:szCs w:val="21"/>
                <w:u w:val="none"/>
                <w:lang w:val="en-US" w:eastAsia="zh-CN" w:bidi="ar"/>
              </w:rPr>
              <w:t>元</w:t>
            </w:r>
            <w:r>
              <w:rPr>
                <w:rStyle w:val="44"/>
                <w:rFonts w:eastAsia="宋体"/>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合价</w:t>
            </w:r>
            <w:r>
              <w:rPr>
                <w:rStyle w:val="44"/>
                <w:rFonts w:eastAsia="宋体"/>
                <w:lang w:val="en-US" w:eastAsia="zh-CN" w:bidi="ar"/>
              </w:rPr>
              <w:t>(</w:t>
            </w:r>
            <w:r>
              <w:rPr>
                <w:rFonts w:hint="eastAsia" w:ascii="宋体" w:hAnsi="宋体" w:eastAsia="宋体" w:cs="宋体"/>
                <w:i w:val="0"/>
                <w:iCs w:val="0"/>
                <w:color w:val="000000"/>
                <w:kern w:val="0"/>
                <w:sz w:val="21"/>
                <w:szCs w:val="21"/>
                <w:u w:val="none"/>
                <w:lang w:val="en-US" w:eastAsia="zh-CN" w:bidi="ar"/>
              </w:rPr>
              <w:t>元</w:t>
            </w:r>
            <w:r>
              <w:rPr>
                <w:rStyle w:val="44"/>
                <w:rFonts w:eastAsia="宋体"/>
                <w:lang w:val="en-US" w:eastAsia="zh-CN" w:bidi="ar"/>
              </w:rPr>
              <w:t>)</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BAJYJ2025052106995A</w:t>
            </w: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书架1</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15</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720,000.00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书架2</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18</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书架3</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12.2</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书架4</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44.1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展示架</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9</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挂件</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组</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柱子书架1</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17.5</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柱子书架2</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9.45</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艺术书柜</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67.1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教师书架1</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10.1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教师书架2</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30.45</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校徽</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艺术字</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组</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造型前台</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3.4</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展示台</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97</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kern w:val="2"/>
                <w:sz w:val="21"/>
                <w:szCs w:val="21"/>
                <w:u w:val="none"/>
                <w:lang w:val="en-US" w:eastAsia="zh-CN" w:bidi="ar-SA"/>
              </w:rPr>
            </w:pPr>
            <w:r>
              <w:rPr>
                <w:rFonts w:hint="default" w:ascii="Calibri" w:hAnsi="Calibri" w:eastAsia="宋体" w:cs="Calibri"/>
                <w:i w:val="0"/>
                <w:color w:val="000000"/>
                <w:kern w:val="0"/>
                <w:sz w:val="21"/>
                <w:szCs w:val="21"/>
                <w:u w:val="none"/>
                <w:lang w:val="en-US" w:eastAsia="zh-CN" w:bidi="ar"/>
              </w:rPr>
              <w:t>LED灯具</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4</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盏</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面板</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4</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壁布</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94</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展示板</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98</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展示墙</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7</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书单资源屏</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仿真植物墙面展示板</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13.3</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灯带</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7</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m</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线性灯</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3.5</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m</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矮书架</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7</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圆桌</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6</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张</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凳子1</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24</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把</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长条桌</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张</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凳子2</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20</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把</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造型桌</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张</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学习椅</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16</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把</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造型书架</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17</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造型书架台1</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3.5</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m</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造型书架台2</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4.3</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m</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信息发布设备</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地毯</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110</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卡座</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3</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休闲桌</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张</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壁灯</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茶水柜</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8.3</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米</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智能网络时钟</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cs="宋体"/>
                <w:i w:val="0"/>
                <w:color w:val="000000"/>
                <w:kern w:val="0"/>
                <w:sz w:val="22"/>
                <w:szCs w:val="22"/>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000" w:type="pct"/>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eastAsiaTheme="minorEastAsia"/>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合计（即投标总价；币种：人民币；单位：元） 小写：  720000   大写：</w:t>
            </w:r>
            <w:r>
              <w:rPr>
                <w:rFonts w:hint="eastAsia"/>
                <w:lang w:val="en-US" w:eastAsia="zh-CN"/>
              </w:rPr>
              <w:t>柒拾贰万元</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9"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9"/>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0" w:name="_Hlk72073235"/>
      <w:r>
        <w:rPr>
          <w:rFonts w:hint="eastAsia"/>
          <w:b/>
          <w:sz w:val="24"/>
        </w:rPr>
        <w:t>投标人认为需要涉及的其他内容报价清单</w:t>
      </w:r>
      <w:bookmarkEnd w:id="60"/>
    </w:p>
    <w:p>
      <w:pPr>
        <w:rPr>
          <w:b/>
          <w:bCs/>
        </w:rPr>
      </w:pPr>
    </w:p>
    <w:p>
      <w:pPr>
        <w:rPr>
          <w:rFonts w:hint="eastAsia"/>
        </w:rPr>
      </w:pPr>
      <w:r>
        <w:rPr>
          <w:rFonts w:hint="eastAsia"/>
          <w:lang w:val="en-US" w:eastAsia="zh-CN"/>
        </w:rPr>
        <w:t>五、</w:t>
      </w:r>
      <w:r>
        <w:rPr>
          <w:rFonts w:hint="eastAsia"/>
        </w:rPr>
        <w:t>投标人通过相关认证情况</w:t>
      </w:r>
    </w:p>
    <w:p>
      <w:pPr>
        <w:rPr>
          <w:rFonts w:hint="eastAsia"/>
        </w:rPr>
      </w:pPr>
      <w:r>
        <w:rPr>
          <w:rFonts w:hint="eastAsia"/>
          <w:lang w:val="en-US" w:eastAsia="zh-CN"/>
        </w:rPr>
        <w:t>六、</w:t>
      </w:r>
      <w:r>
        <w:rPr>
          <w:rFonts w:hint="eastAsia"/>
        </w:rPr>
        <w:t>经验评价</w:t>
      </w:r>
    </w:p>
    <w:p>
      <w:r>
        <w:rPr>
          <w:rFonts w:hint="eastAsia"/>
          <w:lang w:val="en-US" w:eastAsia="zh-CN"/>
        </w:rPr>
        <w:t>七、</w:t>
      </w:r>
      <w:r>
        <w:rPr>
          <w:rFonts w:hint="eastAsia"/>
        </w:rPr>
        <w:t>投标人所投知识产权产品(创新、设计)情况</w:t>
      </w:r>
    </w:p>
    <w:p/>
    <w:p>
      <w:pPr>
        <w:ind w:firstLine="723" w:firstLineChars="300"/>
        <w:rPr>
          <w:b/>
          <w:color w:val="FF0000"/>
          <w:sz w:val="24"/>
        </w:rPr>
      </w:pPr>
      <w:r>
        <w:rPr>
          <w:rFonts w:hint="eastAsia"/>
          <w:b/>
          <w:color w:val="FF0000"/>
          <w:sz w:val="24"/>
        </w:rPr>
        <w:t>（信息公开部分的内容到此为止！以下为信息不公开部分。）</w:t>
      </w:r>
    </w:p>
    <w:bookmarkEnd w:id="58"/>
    <w:p>
      <w:r>
        <w:br w:type="page"/>
      </w:r>
    </w:p>
    <w:p>
      <w:pPr>
        <w:outlineLvl w:val="1"/>
        <w:rPr>
          <w:rFonts w:ascii="宋体" w:hAnsi="宋体"/>
          <w:b/>
          <w:color w:val="FF0000"/>
          <w:sz w:val="28"/>
          <w:szCs w:val="28"/>
        </w:rPr>
      </w:pPr>
      <w:bookmarkStart w:id="61" w:name="_Hlk72260530"/>
      <w:r>
        <w:rPr>
          <w:rFonts w:hint="eastAsia" w:ascii="宋体" w:hAnsi="宋体"/>
          <w:b/>
          <w:color w:val="FF0000"/>
          <w:sz w:val="28"/>
          <w:szCs w:val="28"/>
        </w:rPr>
        <w:t>投标文件附件（信息不公开部分）</w:t>
      </w:r>
    </w:p>
    <w:p>
      <w:pPr>
        <w:pStyle w:val="5"/>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5"/>
        <w:spacing w:before="120" w:after="120"/>
        <w:jc w:val="center"/>
        <w:rPr>
          <w:rFonts w:ascii="黑体" w:eastAsia="黑体"/>
          <w:b w:val="0"/>
          <w:sz w:val="24"/>
        </w:rPr>
      </w:pPr>
      <w:r>
        <w:rPr>
          <w:rFonts w:hint="eastAsia" w:ascii="黑体" w:eastAsia="黑体"/>
          <w:b w:val="0"/>
          <w:sz w:val="24"/>
        </w:rPr>
        <w:t>二、</w:t>
      </w:r>
      <w:bookmarkStart w:id="62" w:name="_Hlk72092499"/>
      <w:r>
        <w:rPr>
          <w:rFonts w:hint="eastAsia" w:ascii="黑体" w:eastAsia="黑体"/>
          <w:b w:val="0"/>
          <w:sz w:val="24"/>
        </w:rPr>
        <w:t>法定代表人（负责人）证明书</w:t>
      </w:r>
      <w:bookmarkEnd w:id="62"/>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15"/>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15"/>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15"/>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2"/>
              <w:jc w:val="center"/>
              <w:rPr>
                <w:rFonts w:hint="eastAsia"/>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2"/>
              <w:jc w:val="center"/>
              <w:rPr>
                <w:rFonts w:hint="eastAsia"/>
                <w:lang w:val="en-US" w:eastAsia="zh-CN"/>
              </w:rPr>
            </w:pPr>
          </w:p>
          <w:p>
            <w:pPr>
              <w:pStyle w:val="15"/>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1"/>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center"/>
              <w:rPr>
                <w:rFonts w:hint="eastAsia"/>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15"/>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3"/>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3"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5"/>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42"/>
        <w:gridCol w:w="742"/>
        <w:gridCol w:w="4619"/>
        <w:gridCol w:w="742"/>
        <w:gridCol w:w="742"/>
        <w:gridCol w:w="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货物名称</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规格及技术参数</w:t>
            </w:r>
          </w:p>
        </w:tc>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投标技术响应</w:t>
            </w:r>
          </w:p>
        </w:tc>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偏离情况</w:t>
            </w:r>
          </w:p>
        </w:tc>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书架1</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1.规格：9700*3500*600mm，带6000*3000mm造型拱形门洞；根据现场实际情况允许偏离±5%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2.基材：采用E0级多层实木板</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3.承重层板厚≥25mm，竖板≥18mm，背板≥9mm</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4.封边：采用PVC封边，表面光滑，无节疤、凹凸、蜂窝气孔、划痕、污点、和镶入异物；边缘无局部曲折、裂口、锯齿；两端垂直于轴线且无毛刺和不平整现象。</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5.五金：采用三合一连接件连接。</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6.内含铝合金线性灯带</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书架2</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7.规格：10500*3500*600mm，带6000*3000mm造型拱形门洞；根据现场实际情况允许偏离±5%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8.基材：采用E0级多层实木板</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9.承重层板厚≥25mm，竖板≥18mm，背板≥9mm</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10.封边：采用PVC封边，表面光滑，无节疤、凹凸、蜂窝气孔、划痕、污点、和镶入异物；边缘无局部曲折、裂口、锯齿；两端垂直于轴线且无毛刺和不平整现象。</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11.五金：采用三合一偏心连接件连接。</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12.内含铝合金线性灯带</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书架3</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13.规格：8650*3500*600mm，带6000*3000mm造型拱形门洞；根据现场实际情况允许偏离±5%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14.基材：采用E0级多层实木板，承重层板厚≥25mm，竖板≥18mm，背板≥9mm；</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15.门字夹板造型框内需内置钢架，结构稳固</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16.封边：采用PVC封边，表面光滑，无节疤、凹凸、蜂窝气孔、划痕、污点、和镶入异物；边缘无局部曲折、裂口、锯齿；两端垂直于轴线且无毛刺和不平整现象。</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17.五金：采用三合一偏心连接件连接。</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18.内含铝合金线性灯带</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书架4</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19.规格：12600mm*400mm*3500mm，根据现场实际情况允许偏离±5%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20.基材：采用E0级多层实木板,承重层板厚≥25mm，竖板≥18mm，背板≥9mm</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21.封边：采用PVC封边，表面光滑，无节疤、凹凸、蜂窝气孔、划痕、污点、和镶入异物；边缘无局部曲折、裂口、锯齿；两端垂直于轴线且无毛刺和不平整现象。</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22.五金：采用三合一偏心连接件连接。</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23.带软包坐垫，铝合金线性灯带</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展示架</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24.规格：10100mm*50*900mm，单块规格：200*100*50mm根据现场实际情况允许偏离±5%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25.材质与工艺：实心双面冰晶玻璃砖，水晶砖专用高透胶水</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挂件</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26.白色球装饰挂件，≥16个</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27.材质：不锈钢空心金属球，规格：φ400mm≥6个；φ300≥4个；φ200≥6个</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柱子书架1</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28.规格1：1200*1300*3500mm，根据现场实际情况允许偏离±5%；规格2：1200*1300*3500mm，根据现场实际情况允许偏离±5%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29.材质与工艺：采用E0级多层实木层板,层板深度≥200mm，厚度≥30mm，内侧边安装铝合金线性灯，灯光：中性光；外侧安装≥6mm圆铁档条，表面黑色喷涂工艺</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柱子书架2</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30.规格：1800*900*3500mm，根据现场实际情况允许偏离±5%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31.材质与工艺：采用E0级多层实木层板,层板深度≥200mm，厚度≥30mm，内侧边安装铝合金线性灯，灯光：中性光；外侧安装≥6mm圆铁档条，表面黑色喷涂工艺</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艺术书柜</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32.规格：22000mm*400mm*3050mm，根据现场实际情况允许偏离±5%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33.基材：采用E0级多层实木板,承重层板厚≥25mm，竖板≥18mm，背板≥9mm</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34.封边：采用PVC封边，表面光滑，无节疤、凹凸、蜂窝气孔、划痕、污点、和镶入异物；边缘无局部曲折、裂口、锯齿；两端垂直于轴线且无毛刺和不平整现象。</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35.五金：采用三合一连接件连接。</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36.内含铝合金灯带，高密度海绵布艺饰面软包</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教师书架1</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37.规格：6500*600*3500mm，带4200*3000mm造型拱形门洞；</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38.双面书架，基材：采用E0级多层实木板,承重层板厚≥25mm，竖板≥18mm，背板≥9mm，门字夹板造型框内需内置钢架，结构稳固</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39.内含铝合金线性灯带</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教师书架2</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40.规格：8700*450*3500mm，根据现场实际情况允许偏离±5%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41.基材：采用E0级多层实木板,承重层板厚≥25mm，竖板≥18mm，背板≥9mm</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42.封边：采用PVC封边，表面光滑，无节疤、凹凸、蜂窝气孔、划痕、污点、和镶入异物；边缘无局部曲折、裂口、锯齿；两端垂直于轴线且无毛刺和不平整现象。</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43.五金：采用三合一连接件连接。</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44.带造型拱形座椅宽1000mm±5%，内含铝合金灯带，高密度海绵，布艺饰面软包坐垫</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校徽</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45.规格：直径≥600mm校徽</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46.材质：≥10mm亚克力雕刻烤漆</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艺术字</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47.规格：单字大小220*270mm±5%，“阳台山小学尚仁馆”</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48.材质：≥10mm亚克力雕刻烤漆</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造型前台</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49.规格：3400mm*1000mm*800mm，根据现场实际情况允许偏离±5%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50.材料：台面人造石材或瓷板，木质柜身；带图案造型</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▲51.台面板表面耐高温要求：参照T/CIQA 10-2020要求，测试温度不低于1000℃，检测结果为：表面无开裂、无变色。</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▲52.台面抗冲击性（恢复系数）要求：参照T/CIQA 10-2020要求，检测结果为：≥0.83；抗冻性要求：参照T/CIQA 10-2020要求，检测结果为：无裂纹及剥落；抗釉裂性要求：参照T/CIQA 10-2020要求，检测结果为：无釉裂。</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台面表面耐污染性能要求：参照GB/T17657-2022要求，检测至少包含：乳酸90%，硫氰酸钾饱和溶液，丙烯酸99%，磷酸90%，四氯化碳（纯品），四氢呋喃99%，异丙醇99%，甲醇99%，次甲基蓝（亚甲基蓝）饱和溶液，草酸饱和溶液，氢氧化钠饱和溶液，甲醛40%，英雄红墨水，氢氧化钾饱和溶液，乙酰丙酮99%，高氯酸钾饱和溶液，硫酸98%，三氯甲烷99%，硝酸68%，盐酸38%等不低于20种试剂，检测时间不低于48小时，检测结果为：5级（无明显变化）。</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展示台</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54.规格：22000mm*4450mm*450mm，根据现场实际情况允许偏离±5%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55.材质与工艺：三层台阶，每层高150mm±5%，≥40*40mm钢架焊接或≥25mm夹板造型龙骨，弧形造型展示台</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LED灯具</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56.LED灯具为圆形格栅灯，整灯尺寸不小于Φ450*H100mm；格栅形状为六边形，灯具外形应平整、无凹陷和毛刺，焊缝无透光现象，表面均匀、光洁，无流挂现象。</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57.LED灯具色温（或相关色温）4300-5300K，显色指数Ra≥90、R9≥50，色容差≤5 SDCM。</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58.LED灯具频闪无危害或无频闪危害或无显著影响或P或合格。</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59.LED灯具额定功率≤40W。</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60.LED灯具至少依据《GB/T 26572》标准通过电器电子产品认证。</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61.LED灯具蓝光危害等级为RG0（或0类危险）。</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62.LED灯具经严酷自然环境实地测试，分别在极热环境：大气压力≤100kPa，平均湿度≤50%RH、极值空气温度≥37℃及相对温差≥28℃与在极寒环境：大气压力≥100kPa，平均湿度≥50%RH、极值空气温度≤-20℃及相对温差≥34℃均至少持续运行360小时后，至少依据《GB/T36979》标准均满足色品空间颜色非均匀性△u’v’≤0.007。</w:t>
            </w:r>
            <w:r>
              <w:rPr>
                <w:rFonts w:hint="eastAsia" w:ascii="宋体" w:hAnsi="宋体" w:eastAsia="宋体" w:cs="宋体"/>
                <w:i w:val="0"/>
                <w:color w:val="000000"/>
                <w:kern w:val="0"/>
                <w:sz w:val="21"/>
                <w:szCs w:val="21"/>
                <w:u w:val="none"/>
                <w:lang w:val="en-US" w:eastAsia="zh-CN" w:bidi="ar"/>
              </w:rPr>
              <w:t>（投标时同时提供：①由第三方检验检测机构出具并加盖（或带有）CMA</w:t>
            </w:r>
            <w:r>
              <w:rPr>
                <w:rFonts w:hint="eastAsia" w:ascii="宋体" w:hAnsi="宋体" w:eastAsia="宋体" w:cs="宋体"/>
                <w:i w:val="0"/>
                <w:color w:val="000000"/>
                <w:kern w:val="0"/>
                <w:sz w:val="24"/>
                <w:szCs w:val="24"/>
                <w:u w:val="none"/>
                <w:lang w:val="en-US" w:eastAsia="zh-CN" w:bidi="ar"/>
              </w:rPr>
              <w:t>及CNAS</w:t>
            </w:r>
            <w:r>
              <w:rPr>
                <w:rFonts w:hint="eastAsia" w:ascii="宋体" w:hAnsi="宋体" w:eastAsia="宋体" w:cs="宋体"/>
                <w:i w:val="0"/>
                <w:color w:val="000000"/>
                <w:kern w:val="0"/>
                <w:sz w:val="21"/>
                <w:szCs w:val="21"/>
                <w:u w:val="none"/>
                <w:lang w:val="en-US" w:eastAsia="zh-CN" w:bidi="ar"/>
              </w:rPr>
              <w:t>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w:t>
            </w:r>
            <w:r>
              <w:rPr>
                <w:rFonts w:hint="eastAsia" w:ascii="宋体" w:hAnsi="宋体" w:eastAsia="宋体" w:cs="宋体"/>
                <w:i w:val="0"/>
                <w:color w:val="0000FF"/>
                <w:kern w:val="0"/>
                <w:sz w:val="24"/>
                <w:szCs w:val="24"/>
                <w:u w:val="none"/>
                <w:lang w:val="en-US" w:eastAsia="zh-CN" w:bidi="ar"/>
              </w:rPr>
              <w:t>CMA或CNAS</w:t>
            </w:r>
            <w:r>
              <w:rPr>
                <w:rFonts w:hint="eastAsia" w:ascii="宋体" w:hAnsi="宋体" w:eastAsia="宋体" w:cs="宋体"/>
                <w:i w:val="0"/>
                <w:color w:val="000000"/>
                <w:kern w:val="0"/>
                <w:sz w:val="21"/>
                <w:szCs w:val="21"/>
                <w:u w:val="none"/>
                <w:lang w:val="en-US" w:eastAsia="zh-CN" w:bidi="ar"/>
              </w:rPr>
              <w:t>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5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63.LED灯具经严酷自然环境实地测试，分别在极热环境：大气压力≤100kPa，平均湿度≤50%RH、极值空气温度≥37℃及相对温差≥28℃与在极寒环境：大气压力≥100kPa，平均湿度≥50%RH、极值空气温度≤-20℃及相对温差≥34℃均至少持续运行360小时后，至少依据《GB/T9468》标准满足光束角C0-C180及C90-C270的实测值与初始值偏差均不超过±10%。</w:t>
            </w:r>
            <w:r>
              <w:rPr>
                <w:rFonts w:hint="eastAsia" w:ascii="宋体" w:hAnsi="宋体" w:eastAsia="宋体" w:cs="宋体"/>
                <w:i w:val="0"/>
                <w:color w:val="000000"/>
                <w:kern w:val="0"/>
                <w:sz w:val="21"/>
                <w:szCs w:val="21"/>
                <w:u w:val="none"/>
                <w:lang w:val="en-US" w:eastAsia="zh-CN" w:bidi="ar"/>
              </w:rPr>
              <w:t>（投标时同时提供：①由第三方检验检测机构出具并加盖（或带有）CMA</w:t>
            </w:r>
            <w:r>
              <w:rPr>
                <w:rFonts w:hint="eastAsia" w:ascii="宋体" w:hAnsi="宋体" w:eastAsia="宋体" w:cs="宋体"/>
                <w:i w:val="0"/>
                <w:color w:val="000000"/>
                <w:kern w:val="0"/>
                <w:sz w:val="24"/>
                <w:szCs w:val="24"/>
                <w:u w:val="none"/>
                <w:lang w:val="en-US" w:eastAsia="zh-CN" w:bidi="ar"/>
              </w:rPr>
              <w:t>及CNAS</w:t>
            </w:r>
            <w:r>
              <w:rPr>
                <w:rFonts w:hint="eastAsia" w:ascii="宋体" w:hAnsi="宋体" w:eastAsia="宋体" w:cs="宋体"/>
                <w:i w:val="0"/>
                <w:color w:val="000000"/>
                <w:kern w:val="0"/>
                <w:sz w:val="21"/>
                <w:szCs w:val="21"/>
                <w:u w:val="none"/>
                <w:lang w:val="en-US" w:eastAsia="zh-CN" w:bidi="ar"/>
              </w:rPr>
              <w:t>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w:t>
            </w:r>
            <w:r>
              <w:rPr>
                <w:rFonts w:hint="eastAsia" w:ascii="宋体" w:hAnsi="宋体" w:eastAsia="宋体" w:cs="宋体"/>
                <w:i w:val="0"/>
                <w:color w:val="0000FF"/>
                <w:kern w:val="0"/>
                <w:sz w:val="24"/>
                <w:szCs w:val="24"/>
                <w:u w:val="none"/>
                <w:lang w:val="en-US" w:eastAsia="zh-CN" w:bidi="ar"/>
              </w:rPr>
              <w:t>CMA或CNAS</w:t>
            </w:r>
            <w:r>
              <w:rPr>
                <w:rFonts w:hint="eastAsia" w:ascii="宋体" w:hAnsi="宋体" w:eastAsia="宋体" w:cs="宋体"/>
                <w:i w:val="0"/>
                <w:color w:val="000000"/>
                <w:kern w:val="0"/>
                <w:sz w:val="21"/>
                <w:szCs w:val="21"/>
                <w:u w:val="none"/>
                <w:lang w:val="en-US" w:eastAsia="zh-CN" w:bidi="ar"/>
              </w:rPr>
              <w:t>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1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LED灯具经严酷自然环境实地测试，分别在极热环境：大气压力≤100kPa，平均湿度≤50%RH、极值空气温度≥37℃及相对温差≥28℃与在极寒环境：大气压力≥100kPa，平均湿度≥50%RH、极值空气温度≤-20℃及相对温差≥34℃均至少持续运行120小时后，至少依据《GB/T9468》标准均满足光通量的实测值与初始值的偏差不超过-10%。</w:t>
            </w:r>
            <w:r>
              <w:rPr>
                <w:rFonts w:hint="eastAsia" w:ascii="宋体" w:hAnsi="宋体" w:eastAsia="宋体" w:cs="宋体"/>
                <w:i w:val="0"/>
                <w:color w:val="000000"/>
                <w:kern w:val="0"/>
                <w:sz w:val="21"/>
                <w:szCs w:val="21"/>
                <w:u w:val="none"/>
                <w:lang w:val="en-US" w:eastAsia="zh-CN" w:bidi="ar"/>
              </w:rPr>
              <w:t>（投标时同时提供：①由第三方检验检测机构出具并加盖（或带有）CMA</w:t>
            </w:r>
            <w:r>
              <w:rPr>
                <w:rFonts w:hint="eastAsia" w:ascii="宋体" w:hAnsi="宋体" w:eastAsia="宋体" w:cs="宋体"/>
                <w:i w:val="0"/>
                <w:color w:val="000000"/>
                <w:kern w:val="0"/>
                <w:sz w:val="24"/>
                <w:szCs w:val="24"/>
                <w:u w:val="none"/>
                <w:lang w:val="en-US" w:eastAsia="zh-CN" w:bidi="ar"/>
              </w:rPr>
              <w:t>及CNAS</w:t>
            </w:r>
            <w:r>
              <w:rPr>
                <w:rFonts w:hint="eastAsia" w:ascii="宋体" w:hAnsi="宋体" w:eastAsia="宋体" w:cs="宋体"/>
                <w:i w:val="0"/>
                <w:color w:val="000000"/>
                <w:kern w:val="0"/>
                <w:sz w:val="21"/>
                <w:szCs w:val="21"/>
                <w:u w:val="none"/>
                <w:lang w:val="en-US" w:eastAsia="zh-CN" w:bidi="ar"/>
              </w:rPr>
              <w:t>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w:t>
            </w:r>
            <w:r>
              <w:rPr>
                <w:rFonts w:hint="eastAsia" w:ascii="宋体" w:hAnsi="宋体" w:eastAsia="宋体" w:cs="宋体"/>
                <w:i w:val="0"/>
                <w:color w:val="0000FF"/>
                <w:kern w:val="0"/>
                <w:sz w:val="24"/>
                <w:szCs w:val="24"/>
                <w:u w:val="none"/>
                <w:lang w:val="en-US" w:eastAsia="zh-CN" w:bidi="ar"/>
              </w:rPr>
              <w:t>CMA或CNAS</w:t>
            </w:r>
            <w:r>
              <w:rPr>
                <w:rFonts w:hint="eastAsia" w:ascii="宋体" w:hAnsi="宋体" w:eastAsia="宋体" w:cs="宋体"/>
                <w:i w:val="0"/>
                <w:color w:val="000000"/>
                <w:kern w:val="0"/>
                <w:sz w:val="21"/>
                <w:szCs w:val="21"/>
                <w:u w:val="none"/>
                <w:lang w:val="en-US" w:eastAsia="zh-CN" w:bidi="ar"/>
              </w:rPr>
              <w:t>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65.LED灯具经严酷自然环境实地测试，分别在极热环境：大气压力≤100kPa，平均湿度≤50%RH、极值空气温度≥37℃及相对温差≥28℃与在极寒环境：大气压力≥100kPa，平均湿度≥50%RH、极值空气温度≤-20℃及相对温差≥34℃均至少持续运行360小时后，至少依据《GB/T18595》标准均满足浪涌性能为C或以上等级。</w:t>
            </w:r>
            <w:r>
              <w:rPr>
                <w:rFonts w:hint="eastAsia" w:ascii="宋体" w:hAnsi="宋体" w:eastAsia="宋体" w:cs="宋体"/>
                <w:i w:val="0"/>
                <w:color w:val="000000"/>
                <w:kern w:val="0"/>
                <w:sz w:val="21"/>
                <w:szCs w:val="21"/>
                <w:u w:val="none"/>
                <w:lang w:val="en-US" w:eastAsia="zh-CN" w:bidi="ar"/>
              </w:rPr>
              <w:t>（投标时同时提供：①由第三方检验检测机构出具并加盖（或带有）CMA</w:t>
            </w:r>
            <w:r>
              <w:rPr>
                <w:rFonts w:hint="eastAsia" w:ascii="宋体" w:hAnsi="宋体" w:eastAsia="宋体" w:cs="宋体"/>
                <w:i w:val="0"/>
                <w:color w:val="000000"/>
                <w:kern w:val="0"/>
                <w:sz w:val="24"/>
                <w:szCs w:val="24"/>
                <w:u w:val="none"/>
                <w:lang w:val="en-US" w:eastAsia="zh-CN" w:bidi="ar"/>
              </w:rPr>
              <w:t>及CNAS</w:t>
            </w:r>
            <w:r>
              <w:rPr>
                <w:rFonts w:hint="eastAsia" w:ascii="宋体" w:hAnsi="宋体" w:eastAsia="宋体" w:cs="宋体"/>
                <w:i w:val="0"/>
                <w:color w:val="000000"/>
                <w:kern w:val="0"/>
                <w:sz w:val="21"/>
                <w:szCs w:val="21"/>
                <w:u w:val="none"/>
                <w:lang w:val="en-US" w:eastAsia="zh-CN" w:bidi="ar"/>
              </w:rPr>
              <w:t>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w:t>
            </w:r>
            <w:r>
              <w:rPr>
                <w:rFonts w:hint="eastAsia" w:ascii="宋体" w:hAnsi="宋体" w:eastAsia="宋体" w:cs="宋体"/>
                <w:i w:val="0"/>
                <w:color w:val="0000FF"/>
                <w:kern w:val="0"/>
                <w:sz w:val="24"/>
                <w:szCs w:val="24"/>
                <w:u w:val="none"/>
                <w:lang w:val="en-US" w:eastAsia="zh-CN" w:bidi="ar"/>
              </w:rPr>
              <w:t>CMA或CNAS</w:t>
            </w:r>
            <w:r>
              <w:rPr>
                <w:rFonts w:hint="eastAsia" w:ascii="宋体" w:hAnsi="宋体" w:eastAsia="宋体" w:cs="宋体"/>
                <w:i w:val="0"/>
                <w:color w:val="000000"/>
                <w:kern w:val="0"/>
                <w:sz w:val="21"/>
                <w:szCs w:val="21"/>
                <w:u w:val="none"/>
                <w:lang w:val="en-US" w:eastAsia="zh-CN" w:bidi="ar"/>
              </w:rPr>
              <w:t>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LED灯具经严酷自然环境实地测试，分别在极热环境：大气压力≤100kPa，平均湿度≤50%RH、极值空气温度≥37℃及相对温差≥28℃与在极寒环境：大气压力≥100kPa，平均湿度≥50%RH、极值空气温度≤-20℃及相对温差≥34℃均至少持续运行360小时后，至少依据《GB/T6882》标准均满足噪声≤25dB（A）</w:t>
            </w:r>
            <w:r>
              <w:rPr>
                <w:rFonts w:hint="eastAsia" w:ascii="宋体" w:hAnsi="宋体" w:eastAsia="宋体" w:cs="宋体"/>
                <w:i w:val="0"/>
                <w:color w:val="000000"/>
                <w:kern w:val="0"/>
                <w:sz w:val="21"/>
                <w:szCs w:val="21"/>
                <w:u w:val="none"/>
                <w:lang w:val="en-US" w:eastAsia="zh-CN" w:bidi="ar"/>
              </w:rPr>
              <w:t>（投标时同时提供：①由第三方检验检测机构出具并加盖（或带有）CMA</w:t>
            </w:r>
            <w:r>
              <w:rPr>
                <w:rFonts w:hint="eastAsia" w:ascii="宋体" w:hAnsi="宋体" w:eastAsia="宋体" w:cs="宋体"/>
                <w:i w:val="0"/>
                <w:color w:val="000000"/>
                <w:kern w:val="0"/>
                <w:sz w:val="24"/>
                <w:szCs w:val="24"/>
                <w:u w:val="none"/>
                <w:lang w:val="en-US" w:eastAsia="zh-CN" w:bidi="ar"/>
              </w:rPr>
              <w:t>及CNAS</w:t>
            </w:r>
            <w:r>
              <w:rPr>
                <w:rFonts w:hint="eastAsia" w:ascii="宋体" w:hAnsi="宋体" w:eastAsia="宋体" w:cs="宋体"/>
                <w:i w:val="0"/>
                <w:color w:val="000000"/>
                <w:kern w:val="0"/>
                <w:sz w:val="21"/>
                <w:szCs w:val="21"/>
                <w:u w:val="none"/>
                <w:lang w:val="en-US" w:eastAsia="zh-CN" w:bidi="ar"/>
              </w:rPr>
              <w:t>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w:t>
            </w:r>
            <w:r>
              <w:rPr>
                <w:rFonts w:hint="eastAsia" w:ascii="宋体" w:hAnsi="宋体" w:eastAsia="宋体" w:cs="宋体"/>
                <w:i w:val="0"/>
                <w:color w:val="0000FF"/>
                <w:kern w:val="0"/>
                <w:sz w:val="24"/>
                <w:szCs w:val="24"/>
                <w:u w:val="none"/>
                <w:lang w:val="en-US" w:eastAsia="zh-CN" w:bidi="ar"/>
              </w:rPr>
              <w:t>CMA或CNAS</w:t>
            </w:r>
            <w:r>
              <w:rPr>
                <w:rFonts w:hint="eastAsia" w:ascii="宋体" w:hAnsi="宋体" w:eastAsia="宋体" w:cs="宋体"/>
                <w:i w:val="0"/>
                <w:color w:val="000000"/>
                <w:kern w:val="0"/>
                <w:sz w:val="21"/>
                <w:szCs w:val="21"/>
                <w:u w:val="none"/>
                <w:lang w:val="en-US" w:eastAsia="zh-CN" w:bidi="ar"/>
              </w:rPr>
              <w:t>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★67.投标时提供所投 LED灯具：（1）国家强制性产品认证CCC证书；（2）符合CQC 3155-2016规范的中国节能产品认证证书及检验检测报告扫描件；（3）依据《灯和灯系统的光生物安全性（GB/T 20145-2006）》标准检测，检测结果为合格或符合或通过或无危险。</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面板</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68.单控面板，标准86盒规格。</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69.输入电压：220V AC。</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70.采用单火供电，单路最大负载2200W。</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71.防护等级≥IP20。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▲72.材质为阻燃PC，依据GB/T 5169.11通过灼热丝650℃试验合格；开关应具有足够的绝缘电阻，具有足够的电气强度，在防潮试验后马上用绝缘电阻表的直流500V测量，测量应符合GB/T 15092.1第15章的要求，测量部位与要求值应符合表13规定。</w:t>
            </w:r>
            <w:r>
              <w:rPr>
                <w:rFonts w:hint="eastAsia" w:ascii="宋体" w:hAnsi="宋体" w:eastAsia="宋体" w:cs="宋体"/>
                <w:i w:val="0"/>
                <w:color w:val="000000"/>
                <w:kern w:val="0"/>
                <w:sz w:val="21"/>
                <w:szCs w:val="21"/>
                <w:u w:val="none"/>
                <w:lang w:val="en-US" w:eastAsia="zh-CN" w:bidi="ar"/>
              </w:rPr>
              <w:t>（投标时同时提供：①由第三方检验检测机构出具并加盖（或带有）CMA</w:t>
            </w:r>
            <w:r>
              <w:rPr>
                <w:rFonts w:hint="eastAsia" w:ascii="宋体" w:hAnsi="宋体" w:eastAsia="宋体" w:cs="宋体"/>
                <w:i w:val="0"/>
                <w:color w:val="000000"/>
                <w:kern w:val="0"/>
                <w:sz w:val="24"/>
                <w:szCs w:val="24"/>
                <w:u w:val="none"/>
                <w:lang w:val="en-US" w:eastAsia="zh-CN" w:bidi="ar"/>
              </w:rPr>
              <w:t>及CNAS</w:t>
            </w:r>
            <w:r>
              <w:rPr>
                <w:rFonts w:hint="eastAsia" w:ascii="宋体" w:hAnsi="宋体" w:eastAsia="宋体" w:cs="宋体"/>
                <w:i w:val="0"/>
                <w:color w:val="000000"/>
                <w:kern w:val="0"/>
                <w:sz w:val="21"/>
                <w:szCs w:val="21"/>
                <w:u w:val="none"/>
                <w:lang w:val="en-US" w:eastAsia="zh-CN" w:bidi="ar"/>
              </w:rPr>
              <w:t>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w:t>
            </w:r>
            <w:r>
              <w:rPr>
                <w:rFonts w:hint="eastAsia" w:ascii="宋体" w:hAnsi="宋体" w:eastAsia="宋体" w:cs="宋体"/>
                <w:i w:val="0"/>
                <w:color w:val="0000FF"/>
                <w:kern w:val="0"/>
                <w:sz w:val="24"/>
                <w:szCs w:val="24"/>
                <w:u w:val="none"/>
                <w:lang w:val="en-US" w:eastAsia="zh-CN" w:bidi="ar"/>
              </w:rPr>
              <w:t>CMA或CNAS</w:t>
            </w:r>
            <w:r>
              <w:rPr>
                <w:rFonts w:hint="eastAsia" w:ascii="宋体" w:hAnsi="宋体" w:eastAsia="宋体" w:cs="宋体"/>
                <w:i w:val="0"/>
                <w:color w:val="000000"/>
                <w:kern w:val="0"/>
                <w:sz w:val="21"/>
                <w:szCs w:val="21"/>
                <w:u w:val="none"/>
                <w:lang w:val="en-US" w:eastAsia="zh-CN" w:bidi="ar"/>
              </w:rPr>
              <w:t>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壁布</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73.森林图案壁布；材质：涤棉无缝油画布，高清UV印制</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展示板</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74.规格：≥15mm厚；材质：木质，‌含水率≤15%，漆膜耐磨度≥0.15g/100r，甲醛释放量≤0.124mg/m³‌</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展示墙</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75.规格：2030*3500mm，根据现场实际情况允许偏离±5%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76.材料：底板：≥9mmE0级多层夹板，面板：木饰面板</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书单资源屏</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77.屏幕：≥32英寸高清质感护眼屏</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78.分辨率：1920*1080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79.色域（NTSC）：≥72%</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80.可视角：≥178度</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81.CPU：≥4核ARM</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82.内存：≥4GB</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83.存储：≥32GB</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84.WIFI：IEEE 802.11 a/b/g/n/ac; 2.4G/5G</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85.蓝牙：BlueTooth≥5.0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86.以太网：RJ45 10/100NET</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87.接口：USB OTG*1; USB3.0*1;RJ45*1;AC电源输入*1; 3.5mm立体声耳机输出*1;HDMI 输入*1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88.采用护眼屏：25%雾度处理，3H 硬度；防眩光显示技术，低反射</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89.系统后台内容管理：</w:t>
            </w:r>
            <w:r>
              <w:rPr>
                <w:rFonts w:hint="eastAsia" w:ascii="宋体" w:hAnsi="宋体" w:eastAsia="宋体" w:cs="宋体"/>
                <w:i w:val="0"/>
                <w:color w:val="000000"/>
                <w:kern w:val="0"/>
                <w:sz w:val="24"/>
                <w:szCs w:val="24"/>
                <w:u w:val="none"/>
                <w:lang w:val="en-US" w:eastAsia="zh-CN" w:bidi="ar"/>
              </w:rPr>
              <w:t>支持节目制作，支持自建节目，支持图片和视频素材播放，支持素材按设定的布局显示，支持设定节目播放计划。</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90.支持定制化开发：</w:t>
            </w:r>
            <w:r>
              <w:rPr>
                <w:rFonts w:hint="eastAsia" w:ascii="宋体" w:hAnsi="宋体" w:eastAsia="宋体" w:cs="宋体"/>
                <w:i w:val="0"/>
                <w:color w:val="000000"/>
                <w:kern w:val="0"/>
                <w:sz w:val="24"/>
                <w:szCs w:val="24"/>
                <w:u w:val="none"/>
                <w:lang w:val="en-US" w:eastAsia="zh-CN" w:bidi="ar"/>
              </w:rPr>
              <w:t>免费支持客户定制开机logo画面和开机视频。</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91.书单发布：</w:t>
            </w:r>
            <w:r>
              <w:rPr>
                <w:rFonts w:hint="eastAsia" w:ascii="宋体" w:hAnsi="宋体" w:eastAsia="宋体" w:cs="宋体"/>
                <w:i w:val="0"/>
                <w:color w:val="000000"/>
                <w:kern w:val="0"/>
                <w:sz w:val="24"/>
                <w:szCs w:val="24"/>
                <w:u w:val="none"/>
                <w:lang w:val="en-US" w:eastAsia="zh-CN" w:bidi="ar"/>
              </w:rPr>
              <w:t>免费支持书单编辑制作、审核和发布，支持选择推荐书单资源库数据直接发布，可支持馆藏信息对接。</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92.名画发布：</w:t>
            </w:r>
            <w:r>
              <w:rPr>
                <w:rFonts w:hint="eastAsia" w:ascii="宋体" w:hAnsi="宋体" w:eastAsia="宋体" w:cs="宋体"/>
                <w:i w:val="0"/>
                <w:color w:val="000000"/>
                <w:kern w:val="0"/>
                <w:sz w:val="24"/>
                <w:szCs w:val="24"/>
                <w:u w:val="none"/>
                <w:lang w:val="en-US" w:eastAsia="zh-CN" w:bidi="ar"/>
              </w:rPr>
              <w:t>免费支持名画编辑制作、审核和发布，支持选择推荐名画资源库数据直接发布。</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93.支持发布滚动文字公告</w:t>
            </w:r>
            <w:r>
              <w:rPr>
                <w:rFonts w:hint="eastAsia" w:ascii="宋体" w:hAnsi="宋体" w:eastAsia="宋体" w:cs="宋体"/>
                <w:i w:val="0"/>
                <w:color w:val="000000"/>
                <w:kern w:val="0"/>
                <w:sz w:val="24"/>
                <w:szCs w:val="24"/>
                <w:u w:val="none"/>
                <w:lang w:val="en-US" w:eastAsia="zh-CN" w:bidi="ar"/>
              </w:rPr>
              <w:t>：字体大小、颜色 、滚动速度和位置可通过后台设定。</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94.节目计划</w:t>
            </w:r>
            <w:r>
              <w:rPr>
                <w:rFonts w:hint="eastAsia" w:ascii="宋体" w:hAnsi="宋体" w:eastAsia="宋体" w:cs="宋体"/>
                <w:i w:val="0"/>
                <w:color w:val="000000"/>
                <w:kern w:val="0"/>
                <w:sz w:val="24"/>
                <w:szCs w:val="24"/>
                <w:u w:val="none"/>
                <w:lang w:val="en-US" w:eastAsia="zh-CN" w:bidi="ar"/>
              </w:rPr>
              <w:t>：支持播放策略定制，支持播放时间段设定，支持播放日期设定，支持多节目在不同时间段混播。</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95.节目审核</w:t>
            </w:r>
            <w:r>
              <w:rPr>
                <w:rFonts w:hint="eastAsia" w:ascii="宋体" w:hAnsi="宋体" w:eastAsia="宋体" w:cs="宋体"/>
                <w:i w:val="0"/>
                <w:color w:val="000000"/>
                <w:kern w:val="0"/>
                <w:sz w:val="24"/>
                <w:szCs w:val="24"/>
                <w:u w:val="none"/>
                <w:lang w:val="en-US" w:eastAsia="zh-CN" w:bidi="ar"/>
              </w:rPr>
              <w:t>：支持后台节目和计划审核机制，支持节目发布前的预览。</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96.分组管理</w:t>
            </w:r>
            <w:r>
              <w:rPr>
                <w:rFonts w:hint="eastAsia" w:ascii="宋体" w:hAnsi="宋体" w:eastAsia="宋体" w:cs="宋体"/>
                <w:i w:val="0"/>
                <w:color w:val="000000"/>
                <w:kern w:val="0"/>
                <w:sz w:val="24"/>
                <w:szCs w:val="24"/>
                <w:u w:val="none"/>
                <w:lang w:val="en-US" w:eastAsia="zh-CN" w:bidi="ar"/>
              </w:rPr>
              <w:t>：支持不同终端设备的分组管理，不同的分组可以发布显示不同的节目，符合不同空间的信息显示需求。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97.实时监控</w:t>
            </w:r>
            <w:r>
              <w:rPr>
                <w:rFonts w:hint="eastAsia" w:ascii="宋体" w:hAnsi="宋体" w:eastAsia="宋体" w:cs="宋体"/>
                <w:i w:val="0"/>
                <w:color w:val="000000"/>
                <w:kern w:val="0"/>
                <w:sz w:val="24"/>
                <w:szCs w:val="24"/>
                <w:u w:val="none"/>
                <w:lang w:val="en-US" w:eastAsia="zh-CN" w:bidi="ar"/>
              </w:rPr>
              <w:t>：支持在系统后台截屏监控终端的播放信息。</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98.支持远程控制产品终端</w:t>
            </w:r>
            <w:r>
              <w:rPr>
                <w:rFonts w:hint="eastAsia" w:ascii="宋体" w:hAnsi="宋体" w:eastAsia="宋体" w:cs="宋体"/>
                <w:i w:val="0"/>
                <w:color w:val="000000"/>
                <w:kern w:val="0"/>
                <w:sz w:val="24"/>
                <w:szCs w:val="24"/>
                <w:u w:val="none"/>
                <w:lang w:val="en-US" w:eastAsia="zh-CN" w:bidi="ar"/>
              </w:rPr>
              <w:t>：远程控制开关机、音量调节、亮度调节，支持系统重启等。</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99.设备具备在线（OTA）智能升级功能</w:t>
            </w:r>
            <w:r>
              <w:rPr>
                <w:rFonts w:hint="eastAsia" w:ascii="宋体" w:hAnsi="宋体" w:eastAsia="宋体" w:cs="宋体"/>
                <w:i w:val="0"/>
                <w:color w:val="000000"/>
                <w:kern w:val="0"/>
                <w:sz w:val="24"/>
                <w:szCs w:val="24"/>
                <w:u w:val="none"/>
                <w:lang w:val="en-US" w:eastAsia="zh-CN" w:bidi="ar"/>
              </w:rPr>
              <w:t>：支持无线、远程、批量（多台）操作升级，节省馆员维护时间。</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60AEB"/>
                <w:sz w:val="24"/>
                <w:szCs w:val="24"/>
                <w:u w:val="none"/>
              </w:rPr>
            </w:pPr>
            <w:r>
              <w:rPr>
                <w:rFonts w:hint="eastAsia" w:ascii="宋体" w:hAnsi="宋体" w:eastAsia="宋体" w:cs="宋体"/>
                <w:i w:val="0"/>
                <w:color w:val="060AEB"/>
                <w:kern w:val="0"/>
                <w:sz w:val="24"/>
                <w:szCs w:val="24"/>
                <w:u w:val="none"/>
                <w:lang w:val="en-US" w:eastAsia="zh-CN" w:bidi="ar"/>
              </w:rPr>
              <w:t>100.少儿书单资源库：</w:t>
            </w:r>
            <w:r>
              <w:rPr>
                <w:rFonts w:hint="eastAsia" w:ascii="宋体" w:hAnsi="宋体" w:eastAsia="宋体" w:cs="宋体"/>
                <w:i w:val="0"/>
                <w:color w:val="000000"/>
                <w:kern w:val="0"/>
                <w:sz w:val="24"/>
                <w:szCs w:val="24"/>
                <w:u w:val="none"/>
                <w:lang w:val="en-US" w:eastAsia="zh-CN" w:bidi="ar"/>
              </w:rPr>
              <w:t xml:space="preserve"> 内置不少于1千册名家书单推荐，推荐内容包括作品封面、作者介绍、推荐理由。涵盖国际国内获奖作品书单：纽伯瑞儿童文学奖作品、凯迪克奖金奖作品、国际安徒生奖插画奖作品、国际安徒生获奖作家作品、德国优秀儿童文学、凯特·格林纳威奖作品、宋庆龄儿童文学奖、陈伯吹国际儿童文学奖等作品。</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101.名画资源鉴赏：提供2万世界知名画作高清原画资源库，并配备作者、画作赏析。</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102. 收录知名西方艺术馆藏画作：俄罗斯冬宫博物馆、荷兰阿姆斯特丹国家美术馆、法国卢浮宫、美国波士顿美术馆、英国伦敦大英博物馆、美国纽约大都会博物馆、列支敦士登皇家美术馆等博物馆等；</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收录中外多种艺术风格的名家名作：巴洛克、洛可可、新古典主义、浪漫主义、写实主义、印象派、表现主义、野兽派、立体派、后印象派、欧洲宫廷油画、世界风景油画、航海主题油画、古典花卉油画、静物油画等。</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仿真植物墙面展示板</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104.规格：3800*3500mm，根据现场实际情况允许偏离±5%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105.材料：底板≥9mmE0级多层夹板，面贴仿真植物；植物材质塑料；打底植物：米兰；装饰植物：250-300mm高的各类仿真花</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灯带</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106.规格：≥20mm宽，铝合金线型中性光</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线性灯</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107.≥40mm宽金属边框，铝合金线中性光</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矮书架</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108.规格：1400mm*600mm*1300mm，根据现场实际情况允许偏离±5%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109.基材：采用E0级多层实木板,承重层板厚≥25mm，竖板≥18mm</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圆桌</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110.规格：直径900mm*高750mm，根据现场实际情况允许偏离±5%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111.材质：采用≥30mm厚木质台面，木质桌腿</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凳子1</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112.规格：直径350mm*高400mm，根据现场实际情况允许偏离±5%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113.材质：木质框架、软质坐垫</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长条桌</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114.规格：3000mm*900*750mm，根据现场实际情况允许偏离±5%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115.材质：采用≥30mm厚木质台面，木质桌脚</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凳子2</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116.规格：350mm*400mm*750mm±5%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117.材质：软质坐垫、实木凳角</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造型桌</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118.规格：5000*450*750mm，根据现场实际情况允许偏离±5%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119.材质：采用≥30mm厚木质台面，金属脚</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120.产品聚氨酯木器漆(底漆）卤代烃含量苯含量未检出、游离二异氰酸酯[限甲苯二异氰酸酯（TDI)、六亚甲基二异氰酸酯（HDI）]总和含量（或含量总和）≤0.2%、甲苯二甲苯乙苯含量总和≤23%。</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学习椅</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121. 座面：座高440mm，座宽420mm，座深440mm，允许偏离±5%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122. 椅背：镂空设计，增强背部散热，可独立拆卸式靠背。</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123. 四脚（40*35mm）±5%成菱形设计、结构稳定，PU耐磨脚垫保护地板随意推拉。</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124. 椅子尺寸:（宽485*深550*高815mm）±5%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125. 塑料板用料检验依据 QB/T 4371-2012，抑制金黄色葡萄球菌率大于99%，抑制大肠杆菌率大于99%</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造型书架</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126.S型造型书架，规格：20000mm*350mm*850mm，根据现场实际情况允许偏离±5%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127.基材：采用E0级多层实木板</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128.封边：采用PVC封边，表面光滑，无节疤、凹凸、蜂窝气孔、划痕、污点、和镶入异物；边缘无局部曲折、裂口、锯齿；</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造型书架台1</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129.规格：弧长3500mm宽700mm，根据现场实际情况允许偏离±5%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130.双层台阶，一层300mm高二层300mm高，允许偏离±5%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131.基材：采用E0级多层实木板</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132.封边：采用PVC封边，表面光滑，无节疤、凹凸、蜂窝气孔、划痕、污点、和镶入异物；边缘无局部曲折、裂口、锯齿；</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造型书架台2</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133.规格：弧长4300mm宽700mm，根据现场实际情况允许偏离±5%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134.双层台阶一层300mm±5%高二层300mm±5%高，基材：采用E0级多层实木板，带软质坐垫</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信息发布设备</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135.整机边框采用高强度铝合金边框，角部采用圆角设计，外边框采用喷涂环保木纹工艺，整机厚度≤46mm，安装在平整墙面上最大厚度≤48mm。</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1"/>
                <w:szCs w:val="21"/>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136.液晶屏显示尺寸≥42寸，分辨率≥1920*1080，显示比例16:9，支持横、竖安装方式，整机最大显示亮度≥350nit，整机具备光线感应功能，根据环境光强度自动调整显示亮度。</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1"/>
                <w:szCs w:val="21"/>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137.内置≥2.0声道环绕功放，支持音视频声音外放。</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1"/>
                <w:szCs w:val="21"/>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138.整机接口USB 2.0*2，HDMI-IN*1,RJ45*1，内置Wi-Fi模块（10M/100M/1000M），内置蓝牙模块（支持蓝牙4.0、BLE），≥4核CPU，工作频率≥1.9GHz。运行内存≥2G，存储空间≥8G。</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1"/>
                <w:szCs w:val="21"/>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▲139.系统与设备一体化集成，无需外接任何信息发布设备即可完成信息发布，支持在设备上生成二维码，通过微信扫码方式将设备与场地关联。</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1"/>
                <w:szCs w:val="21"/>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▲140.整机带有不少于三个实体按键，可以对播放的节目进行前后翻页和暂停/播放控制。</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1"/>
                <w:szCs w:val="21"/>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141.支持手机通过蓝牙连接整机，对整机进行遥控控制，支持通过网页管理后台或微信小程序将图库资源发送到设备上进行展示，支持通过网页管理后台，设置多图集节目轮播或逐级逐个轮播，支持通过遥控器或微信小程序可对云屏数据进行手动更新，支持通过网页端管理权限分配，指定场地设备管理员。</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w:t>
            </w:r>
          </w:p>
        </w:tc>
        <w:tc>
          <w:tcPr>
            <w:tcW w:w="44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地毯</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142.仿草坪地毯；规格：厚度30mm±5%，表层阻燃柔软草丝，背部双层渗水背胶</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卡座</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143.规格：500*600*800mm，允许偏离±5%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144.材质：实木框架、高密度海绵、布艺饰面</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38</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休闲桌</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145.规格：600*550*750mm，允许偏离±5%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146.材质：桌面木制，金属腿</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壁灯</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147.规格：直径200mm，允许偏离±5%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148.灯罩主材质：玻璃</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茶水柜</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149.规格：8300mm*400*800mm，允许偏离±5%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150.木质造型柜，仿石材台面</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智能网络时钟</w:t>
            </w: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151.一体化外观设计，采用TFT LCD显示屏，显示分辨率为：2560*800，显示尺寸为：≥43cm*13cm。</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152.具备1个千兆以太网口，支持POE/DC受电；具备一个USB接口。</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153.支持通过NTP协议自动校准日期和时间，支持时区配置。</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▲154.提供多个时钟显示模板，支持个性化时钟显示。</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▲155.配合系统平台可实现手动或定时息屏和亮屏、信息发布等功能。</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27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▲156.支持在线升级功能，可直接联网升级新版软件。</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4" w:name="_Hlk72095977"/>
      <w:r>
        <w:rPr>
          <w:rFonts w:hint="eastAsia"/>
          <w:sz w:val="21"/>
          <w:szCs w:val="21"/>
        </w:rPr>
        <w:t>证明资料【如有的话，提供的证明资料应统一编号（排序），格式自定】</w:t>
      </w:r>
      <w:bookmarkEnd w:id="64"/>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5" w:name="_Hlk72094407"/>
      <w:r>
        <w:rPr>
          <w:rFonts w:hint="eastAsia"/>
          <w:b w:val="0"/>
          <w:bCs/>
          <w:sz w:val="21"/>
          <w:szCs w:val="21"/>
        </w:rPr>
        <w:t>对应“用户需求书”中的“技术要求”章节</w:t>
      </w:r>
      <w:bookmarkEnd w:id="65"/>
      <w:r>
        <w:rPr>
          <w:rFonts w:hint="eastAsia"/>
          <w:b w:val="0"/>
          <w:bCs/>
          <w:sz w:val="21"/>
          <w:szCs w:val="21"/>
        </w:rPr>
        <w:t>相关内容。</w:t>
      </w:r>
    </w:p>
    <w:p>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6" w:name="_Hlk72158270"/>
      <w:r>
        <w:rPr>
          <w:rFonts w:hint="eastAsia"/>
          <w:b w:val="0"/>
          <w:bCs/>
          <w:sz w:val="21"/>
          <w:szCs w:val="21"/>
        </w:rPr>
        <w:t>“偏离情况”</w:t>
      </w:r>
      <w:bookmarkEnd w:id="66"/>
      <w:r>
        <w:rPr>
          <w:rFonts w:hint="eastAsia"/>
          <w:b w:val="0"/>
          <w:bCs/>
          <w:sz w:val="21"/>
          <w:szCs w:val="21"/>
        </w:rPr>
        <w:t>一栏填写如实填写“正偏离”、“负偏离”或“无偏离”，其中：</w:t>
      </w:r>
      <w:bookmarkStart w:id="67" w:name="_Hlk72093866"/>
      <w:r>
        <w:rPr>
          <w:rFonts w:hint="eastAsia"/>
          <w:b w:val="0"/>
          <w:bCs/>
          <w:sz w:val="21"/>
          <w:szCs w:val="21"/>
        </w:rPr>
        <w:t>“正偏离”表示“投标响应优于招标技术要求”，“负偏离”表示“投标响应不满足招标技术要求”，“无偏离”表示“投标响应与招标技术要求一致”</w:t>
      </w:r>
      <w:bookmarkEnd w:id="67"/>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8" w:name="_Hlk72096106"/>
      <w:r>
        <w:rPr>
          <w:rFonts w:hint="eastAsia"/>
          <w:b w:val="0"/>
          <w:bCs/>
          <w:sz w:val="21"/>
          <w:szCs w:val="21"/>
        </w:rPr>
        <w:t>证明资料条款响应要求</w:t>
      </w:r>
      <w:bookmarkEnd w:id="68"/>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9"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0" w:name="_Hlk73558164"/>
      <w:r>
        <w:rPr>
          <w:rFonts w:hint="eastAsia"/>
          <w:b w:val="0"/>
          <w:bCs/>
          <w:sz w:val="21"/>
          <w:szCs w:val="21"/>
        </w:rPr>
        <w:t>且投标人在“偏离情况”一栏响应为“正偏离”或“无偏离”的，经评审委员会认定，将判定为负偏离。</w:t>
      </w:r>
      <w:bookmarkEnd w:id="69"/>
      <w:bookmarkEnd w:id="70"/>
    </w:p>
    <w:p>
      <w:pPr>
        <w:ind w:firstLine="420" w:firstLineChars="200"/>
        <w:rPr>
          <w:b w:val="0"/>
          <w:bCs/>
          <w:sz w:val="21"/>
          <w:szCs w:val="21"/>
        </w:rPr>
      </w:pPr>
      <w:r>
        <w:rPr>
          <w:rFonts w:hint="eastAsia"/>
          <w:b w:val="0"/>
          <w:bCs/>
          <w:sz w:val="21"/>
          <w:szCs w:val="21"/>
        </w:rPr>
        <w:t>6、</w:t>
      </w:r>
      <w:bookmarkStart w:id="71" w:name="_Hlk72096137"/>
      <w:r>
        <w:rPr>
          <w:rFonts w:hint="eastAsia"/>
          <w:b w:val="0"/>
          <w:bCs/>
          <w:sz w:val="21"/>
          <w:szCs w:val="21"/>
        </w:rPr>
        <w:t>表后“证明资料”部分内容的编制</w:t>
      </w:r>
      <w:bookmarkEnd w:id="71"/>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2" w:name="_Hlk73558180"/>
      <w:r>
        <w:rPr>
          <w:rFonts w:hint="eastAsia"/>
          <w:b w:val="0"/>
          <w:bCs/>
          <w:sz w:val="21"/>
          <w:szCs w:val="21"/>
        </w:rPr>
        <w:t>未按照招标文件要求在表后放置证明材料的供应商将承担不利后果，经评审委员会认定，相关技术要求将判定为负偏离。</w:t>
      </w:r>
      <w:bookmarkEnd w:id="72"/>
    </w:p>
    <w:p>
      <w:pPr>
        <w:ind w:firstLine="420" w:firstLineChars="200"/>
        <w:rPr>
          <w:b w:val="0"/>
          <w:bCs/>
          <w:sz w:val="21"/>
          <w:szCs w:val="21"/>
        </w:rPr>
      </w:pPr>
      <w:r>
        <w:rPr>
          <w:rFonts w:hint="eastAsia"/>
          <w:b w:val="0"/>
          <w:bCs/>
          <w:sz w:val="21"/>
          <w:szCs w:val="21"/>
        </w:rPr>
        <w:t>7、</w:t>
      </w:r>
      <w:bookmarkStart w:id="73" w:name="_Hlk72096176"/>
      <w:r>
        <w:rPr>
          <w:rFonts w:hint="eastAsia"/>
          <w:b w:val="0"/>
          <w:bCs/>
          <w:sz w:val="21"/>
          <w:szCs w:val="21"/>
        </w:rPr>
        <w:t>证明资料的形式及其它具体要求</w:t>
      </w:r>
      <w:bookmarkEnd w:id="73"/>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4"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4"/>
    </w:p>
    <w:p>
      <w:pPr>
        <w:ind w:firstLine="482" w:firstLineChars="200"/>
        <w:rPr>
          <w:b/>
          <w:sz w:val="24"/>
        </w:rPr>
      </w:pPr>
    </w:p>
    <w:p>
      <w:pPr>
        <w:rPr>
          <w:sz w:val="24"/>
        </w:rPr>
      </w:pPr>
    </w:p>
    <w:p>
      <w:pPr>
        <w:pStyle w:val="5"/>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六、</w:t>
      </w:r>
      <w:bookmarkStart w:id="75" w:name="_Hlk72260576"/>
      <w:r>
        <w:rPr>
          <w:rFonts w:hint="eastAsia" w:ascii="黑体" w:eastAsia="黑体"/>
          <w:b w:val="0"/>
          <w:bCs w:val="0"/>
          <w:sz w:val="24"/>
          <w:szCs w:val="20"/>
          <w:lang w:val="en-US" w:eastAsia="zh-CN"/>
        </w:rPr>
        <w:t>设计图评价</w:t>
      </w:r>
    </w:p>
    <w:p>
      <w:pPr>
        <w:pStyle w:val="5"/>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七、项目组织实施方案的评价</w:t>
      </w:r>
    </w:p>
    <w:p>
      <w:pPr>
        <w:pStyle w:val="5"/>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八、售后服务评价</w:t>
      </w:r>
    </w:p>
    <w:p>
      <w:pPr>
        <w:pStyle w:val="5"/>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九、政府采购节能环保产品情况</w:t>
      </w:r>
    </w:p>
    <w:p>
      <w:pPr>
        <w:pStyle w:val="5"/>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十、绿色采购情况</w:t>
      </w:r>
    </w:p>
    <w:p>
      <w:pPr>
        <w:pStyle w:val="5"/>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6" w:name="_Hlk72062872"/>
      <w:r>
        <w:rPr>
          <w:rFonts w:hint="eastAsia" w:ascii="黑体" w:eastAsia="黑体"/>
          <w:b w:val="0"/>
          <w:bCs w:val="0"/>
          <w:sz w:val="24"/>
          <w:szCs w:val="20"/>
        </w:rPr>
        <w:t>投标人认为需要加以说明的其他内容</w:t>
      </w:r>
      <w:bookmarkEnd w:id="76"/>
    </w:p>
    <w:bookmarkEnd w:id="75"/>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7"/>
        <w:jc w:val="center"/>
      </w:pPr>
      <w:r>
        <w:rPr>
          <w:rFonts w:hint="eastAsia"/>
        </w:rPr>
        <w:t>第五章  合同条款及格式</w:t>
      </w:r>
    </w:p>
    <w:p/>
    <w:p>
      <w:pPr>
        <w:jc w:val="center"/>
        <w:outlineLvl w:val="9"/>
      </w:pPr>
      <w:bookmarkStart w:id="77"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2"/>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7"/>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8"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8"/>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1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17"/>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16"/>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16"/>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1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18"/>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1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1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1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9" w:name="_Toc27624"/>
      <w:r>
        <w:rPr>
          <w:rFonts w:hint="eastAsia" w:ascii="黑体" w:hAnsi="黑体" w:eastAsia="黑体" w:cs="Times New Roman"/>
          <w:b w:val="0"/>
          <w:bCs w:val="0"/>
          <w:kern w:val="2"/>
          <w:sz w:val="28"/>
          <w:szCs w:val="28"/>
          <w:lang w:val="en-US" w:eastAsia="zh-CN" w:bidi="ar-SA"/>
        </w:rPr>
        <w:t>第二节 政府采购合同通用条款</w:t>
      </w:r>
      <w:bookmarkEnd w:id="79"/>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9"/>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20"/>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0"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0"/>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21"/>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22"/>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1"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1"/>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2"/>
        <w:keepNext/>
        <w:keepLines/>
        <w:numPr>
          <w:ilvl w:val="0"/>
          <w:numId w:val="2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2" w:name="_Hlk72399513"/>
      <w:bookmarkStart w:id="83" w:name="_Hlk72439706"/>
      <w:r>
        <w:rPr>
          <w:rFonts w:hint="eastAsia" w:asciiTheme="majorHAnsi" w:hAnsiTheme="majorHAnsi" w:eastAsiaTheme="majorEastAsia" w:cstheme="majorBidi"/>
          <w:b/>
          <w:bCs/>
          <w:sz w:val="28"/>
          <w:szCs w:val="28"/>
        </w:rPr>
        <w:t>总则</w:t>
      </w:r>
    </w:p>
    <w:bookmarkEnd w:id="82"/>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4" w:name="_Hlk72399729"/>
      <w:r>
        <w:rPr>
          <w:rFonts w:hint="eastAsia" w:ascii="宋体" w:hAnsi="宋体"/>
          <w:szCs w:val="21"/>
        </w:rPr>
        <w:t>如有需要，政府集中采购机构可以对通用条款的内容进行补充。</w:t>
      </w:r>
      <w:bookmarkEnd w:id="84"/>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5"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6"/>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5"/>
    <w:p>
      <w:pPr>
        <w:ind w:firstLine="411" w:firstLineChars="196"/>
        <w:rPr>
          <w:rFonts w:ascii="宋体" w:hAnsi="宋体"/>
        </w:rPr>
      </w:pPr>
    </w:p>
    <w:p>
      <w:pPr>
        <w:pStyle w:val="32"/>
        <w:keepNext/>
        <w:keepLines/>
        <w:numPr>
          <w:ilvl w:val="0"/>
          <w:numId w:val="2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7"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7"/>
    </w:p>
    <w:p>
      <w:pPr>
        <w:rPr>
          <w:rFonts w:ascii="宋体" w:hAnsi="宋体"/>
          <w:szCs w:val="21"/>
        </w:rPr>
      </w:pPr>
    </w:p>
    <w:p>
      <w:pPr>
        <w:pStyle w:val="32"/>
        <w:keepNext/>
        <w:keepLines/>
        <w:numPr>
          <w:ilvl w:val="0"/>
          <w:numId w:val="2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8"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8"/>
    <w:p>
      <w:pPr>
        <w:ind w:firstLine="420" w:firstLineChars="200"/>
        <w:rPr>
          <w:rFonts w:ascii="黑体" w:hAnsi="宋体" w:eastAsia="黑体"/>
          <w:szCs w:val="21"/>
        </w:rPr>
      </w:pPr>
      <w:r>
        <w:rPr>
          <w:rFonts w:hint="eastAsia" w:ascii="黑体" w:hAnsi="宋体" w:eastAsia="黑体"/>
          <w:szCs w:val="21"/>
        </w:rPr>
        <w:t>15．</w:t>
      </w:r>
      <w:bookmarkStart w:id="89"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89"/>
    <w:p>
      <w:pPr>
        <w:ind w:firstLine="420" w:firstLineChars="200"/>
        <w:rPr>
          <w:rFonts w:ascii="黑体" w:hAnsi="宋体" w:eastAsia="黑体"/>
          <w:szCs w:val="21"/>
        </w:rPr>
      </w:pPr>
      <w:r>
        <w:rPr>
          <w:rFonts w:hint="eastAsia" w:ascii="黑体" w:hAnsi="宋体" w:eastAsia="黑体"/>
          <w:szCs w:val="21"/>
        </w:rPr>
        <w:t>18．</w:t>
      </w:r>
      <w:bookmarkStart w:id="90"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0"/>
    <w:p>
      <w:pPr>
        <w:ind w:firstLine="420" w:firstLineChars="200"/>
        <w:rPr>
          <w:rFonts w:ascii="黑体" w:hAnsi="宋体" w:eastAsia="黑体"/>
          <w:szCs w:val="21"/>
        </w:rPr>
      </w:pPr>
      <w:r>
        <w:rPr>
          <w:rFonts w:hint="eastAsia" w:ascii="黑体" w:hAnsi="宋体" w:eastAsia="黑体"/>
          <w:szCs w:val="21"/>
        </w:rPr>
        <w:t>19．</w:t>
      </w:r>
      <w:bookmarkStart w:id="91"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2" w:name="_Hlk71407299"/>
    </w:p>
    <w:bookmarkEnd w:id="92"/>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1"/>
    <w:p>
      <w:pPr>
        <w:ind w:firstLine="420" w:firstLineChars="200"/>
        <w:rPr>
          <w:rFonts w:ascii="宋体" w:hAnsi="宋体"/>
          <w:szCs w:val="21"/>
        </w:rPr>
      </w:pPr>
      <w:bookmarkStart w:id="9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3"/>
    <w:p>
      <w:pPr>
        <w:ind w:firstLine="420" w:firstLineChars="200"/>
        <w:rPr>
          <w:rFonts w:ascii="黑体" w:hAnsi="宋体" w:eastAsia="黑体"/>
          <w:szCs w:val="21"/>
        </w:rPr>
      </w:pPr>
      <w:r>
        <w:rPr>
          <w:rFonts w:hint="eastAsia" w:ascii="黑体" w:hAnsi="宋体" w:eastAsia="黑体"/>
          <w:szCs w:val="21"/>
        </w:rPr>
        <w:t>21．</w:t>
      </w:r>
      <w:bookmarkStart w:id="94"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4"/>
    <w:p>
      <w:pPr>
        <w:ind w:firstLine="420" w:firstLineChars="200"/>
        <w:rPr>
          <w:rFonts w:ascii="黑体" w:hAnsi="宋体" w:eastAsia="黑体"/>
          <w:szCs w:val="21"/>
        </w:rPr>
      </w:pPr>
      <w:r>
        <w:rPr>
          <w:rFonts w:hint="eastAsia" w:ascii="黑体" w:hAnsi="宋体" w:eastAsia="黑体"/>
          <w:szCs w:val="21"/>
        </w:rPr>
        <w:t>23．</w:t>
      </w:r>
      <w:bookmarkStart w:id="9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5"/>
    </w:p>
    <w:p>
      <w:pPr>
        <w:ind w:firstLine="411" w:firstLineChars="196"/>
        <w:rPr>
          <w:rFonts w:ascii="宋体" w:hAnsi="宋体"/>
          <w:szCs w:val="21"/>
        </w:rPr>
      </w:pPr>
    </w:p>
    <w:p>
      <w:pPr>
        <w:pStyle w:val="32"/>
        <w:keepNext/>
        <w:keepLines/>
        <w:numPr>
          <w:ilvl w:val="0"/>
          <w:numId w:val="2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6"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6"/>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7"/>
    <w:p>
      <w:pPr>
        <w:pStyle w:val="32"/>
        <w:keepNext/>
        <w:keepLines/>
        <w:numPr>
          <w:ilvl w:val="0"/>
          <w:numId w:val="2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2"/>
        <w:keepNext/>
        <w:keepLines/>
        <w:numPr>
          <w:ilvl w:val="0"/>
          <w:numId w:val="2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2"/>
        <w:keepNext/>
        <w:keepLines/>
        <w:numPr>
          <w:ilvl w:val="0"/>
          <w:numId w:val="2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9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9"/>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0" w:name="_Toc73521581"/>
      <w:bookmarkStart w:id="101" w:name="_Toc73517673"/>
      <w:bookmarkStart w:id="102" w:name="_Toc73518151"/>
      <w:bookmarkStart w:id="103" w:name="_Toc100052400"/>
      <w:bookmarkStart w:id="104" w:name="_Toc73521669"/>
      <w:r>
        <w:rPr>
          <w:rFonts w:hint="eastAsia" w:ascii="黑体" w:hAnsi="宋体" w:eastAsia="黑体"/>
          <w:szCs w:val="21"/>
        </w:rPr>
        <w:t>34．错误的修正</w:t>
      </w:r>
      <w:bookmarkEnd w:id="100"/>
      <w:bookmarkEnd w:id="101"/>
      <w:bookmarkEnd w:id="102"/>
      <w:bookmarkEnd w:id="103"/>
      <w:bookmarkEnd w:id="104"/>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5"/>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2"/>
        <w:keepNext/>
        <w:keepLines/>
        <w:numPr>
          <w:ilvl w:val="0"/>
          <w:numId w:val="2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6"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7" w:name="_Hlk73821177"/>
      <w:r>
        <w:rPr>
          <w:rFonts w:hint="eastAsia" w:ascii="ˎ̥" w:hAnsi="ˎ̥"/>
          <w:szCs w:val="21"/>
        </w:rPr>
        <w:t>唯一候选中标供应商</w:t>
      </w:r>
      <w:bookmarkEnd w:id="107"/>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0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8"/>
      <w:bookmarkEnd w:id="109"/>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6"/>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0"/>
      <w:bookmarkStart w:id="11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1"/>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2"/>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3" w:name="_Hlk71407340"/>
      <w:r>
        <w:rPr>
          <w:rFonts w:hint="eastAsia" w:ascii="宋体" w:hAnsi="宋体"/>
          <w:szCs w:val="21"/>
        </w:rPr>
        <w:t>41.3因质疑投诉或其他原因导致项目结果变更或采购终止的，政府集中采购机构有权吊销中标通知书。</w:t>
      </w:r>
    </w:p>
    <w:bookmarkEnd w:id="113"/>
    <w:p>
      <w:pPr>
        <w:ind w:firstLine="411" w:firstLineChars="196"/>
        <w:rPr>
          <w:rFonts w:ascii="宋体" w:hAnsi="宋体"/>
          <w:szCs w:val="21"/>
        </w:rPr>
      </w:pPr>
    </w:p>
    <w:p>
      <w:pPr>
        <w:pStyle w:val="32"/>
        <w:keepNext/>
        <w:keepLines/>
        <w:numPr>
          <w:ilvl w:val="0"/>
          <w:numId w:val="2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2"/>
        <w:keepNext/>
        <w:keepLines/>
        <w:numPr>
          <w:ilvl w:val="0"/>
          <w:numId w:val="2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4" w:name="_Hlk72439043"/>
      <w:r>
        <w:rPr>
          <w:rFonts w:hint="eastAsia" w:asciiTheme="majorHAnsi" w:hAnsiTheme="majorHAnsi" w:eastAsiaTheme="majorEastAsia" w:cstheme="majorBidi"/>
          <w:b/>
          <w:bCs/>
          <w:sz w:val="28"/>
          <w:szCs w:val="28"/>
        </w:rPr>
        <w:t>合同的授予与备案</w:t>
      </w:r>
      <w:bookmarkEnd w:id="114"/>
    </w:p>
    <w:p>
      <w:pPr>
        <w:ind w:firstLine="420" w:firstLineChars="200"/>
        <w:rPr>
          <w:rFonts w:ascii="黑体" w:hAnsi="宋体" w:eastAsia="黑体"/>
          <w:szCs w:val="21"/>
        </w:rPr>
      </w:pPr>
      <w:bookmarkStart w:id="115" w:name="_Toc73517679"/>
      <w:bookmarkStart w:id="116" w:name="_Toc73521586"/>
      <w:bookmarkStart w:id="117" w:name="_Toc100052408"/>
      <w:bookmarkStart w:id="118" w:name="_Toc73518157"/>
      <w:bookmarkStart w:id="119" w:name="_Toc73521674"/>
      <w:bookmarkStart w:id="120" w:name="_Hlk72439088"/>
      <w:r>
        <w:rPr>
          <w:rFonts w:hint="eastAsia" w:ascii="黑体" w:hAnsi="宋体" w:eastAsia="黑体"/>
          <w:szCs w:val="21"/>
        </w:rPr>
        <w:t>43．合同授予标准</w:t>
      </w:r>
      <w:bookmarkEnd w:id="115"/>
      <w:bookmarkEnd w:id="116"/>
      <w:bookmarkEnd w:id="117"/>
      <w:bookmarkEnd w:id="118"/>
      <w:bookmarkEnd w:id="119"/>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1" w:name="_Toc73518158"/>
      <w:bookmarkStart w:id="122" w:name="_Toc73521587"/>
      <w:bookmarkStart w:id="123" w:name="_Toc73521675"/>
      <w:bookmarkStart w:id="124" w:name="_Toc73517680"/>
      <w:bookmarkStart w:id="125" w:name="_Toc100052409"/>
      <w:r>
        <w:rPr>
          <w:rFonts w:hint="eastAsia" w:ascii="黑体" w:hAnsi="宋体" w:eastAsia="黑体"/>
          <w:szCs w:val="21"/>
        </w:rPr>
        <w:t>44．</w:t>
      </w:r>
      <w:bookmarkEnd w:id="121"/>
      <w:bookmarkEnd w:id="122"/>
      <w:bookmarkEnd w:id="123"/>
      <w:bookmarkEnd w:id="124"/>
      <w:bookmarkEnd w:id="125"/>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6" w:name="_Toc73517682"/>
      <w:bookmarkStart w:id="127" w:name="_Toc100052410"/>
      <w:bookmarkStart w:id="128" w:name="_Toc73521677"/>
      <w:bookmarkStart w:id="129" w:name="_Toc73518160"/>
      <w:bookmarkStart w:id="130" w:name="_Toc73521589"/>
      <w:r>
        <w:rPr>
          <w:rFonts w:hint="eastAsia" w:ascii="黑体" w:hAnsi="宋体" w:eastAsia="黑体"/>
          <w:szCs w:val="21"/>
        </w:rPr>
        <w:t>45．合同的签订</w:t>
      </w:r>
      <w:bookmarkEnd w:id="126"/>
      <w:bookmarkEnd w:id="127"/>
      <w:bookmarkEnd w:id="128"/>
      <w:bookmarkEnd w:id="129"/>
      <w:bookmarkEnd w:id="130"/>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1" w:name="_Toc73521678"/>
      <w:bookmarkStart w:id="132" w:name="_Toc73517683"/>
      <w:bookmarkStart w:id="133" w:name="_Toc73521590"/>
      <w:bookmarkStart w:id="134" w:name="_Toc73518161"/>
      <w:bookmarkStart w:id="135" w:name="_Toc100052411"/>
      <w:r>
        <w:rPr>
          <w:rFonts w:hint="eastAsia" w:ascii="黑体" w:hAnsi="宋体" w:eastAsia="黑体"/>
          <w:szCs w:val="21"/>
        </w:rPr>
        <w:t>46．履约担保</w:t>
      </w:r>
      <w:bookmarkEnd w:id="131"/>
      <w:bookmarkEnd w:id="132"/>
      <w:bookmarkEnd w:id="133"/>
      <w:bookmarkEnd w:id="134"/>
      <w:bookmarkEnd w:id="135"/>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6" w:name="_Hlk72440769"/>
      <w:r>
        <w:rPr>
          <w:rFonts w:hint="eastAsia" w:ascii="宋体" w:hAnsi="宋体"/>
          <w:szCs w:val="21"/>
        </w:rPr>
        <w:t>政府集中采购机构或采购人不予退还其交纳的谈判保证金，情节严重的，并由主管部门</w:t>
      </w:r>
      <w:bookmarkEnd w:id="136"/>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120"/>
    <w:p>
      <w:pPr>
        <w:pStyle w:val="32"/>
        <w:keepNext/>
        <w:keepLines/>
        <w:numPr>
          <w:ilvl w:val="0"/>
          <w:numId w:val="2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7" w:name="_Hlk75374941"/>
      <w:r>
        <w:rPr>
          <w:rFonts w:hint="eastAsia" w:ascii="宋体" w:hAnsi="宋体"/>
          <w:szCs w:val="21"/>
        </w:rPr>
        <w:t>以联合体形式参与的，质疑应当由组成联合体的所有成员共同提出</w:t>
      </w:r>
      <w:bookmarkEnd w:id="137"/>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3"/>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9DAE9B7-2AE5-4F03-AF35-67CE1CE4F003}"/>
  </w:font>
  <w:font w:name="Arial">
    <w:panose1 w:val="020B0604020202020204"/>
    <w:charset w:val="01"/>
    <w:family w:val="swiss"/>
    <w:pitch w:val="default"/>
    <w:sig w:usb0="E0002EFF" w:usb1="C000785B" w:usb2="00000009" w:usb3="00000000" w:csb0="400001FF" w:csb1="FFFF0000"/>
    <w:embedRegular r:id="rId2" w:fontKey="{C3FC8797-D9CC-4D88-9FF9-A27A7B8AD9C9}"/>
  </w:font>
  <w:font w:name="黑体">
    <w:panose1 w:val="02010609060101010101"/>
    <w:charset w:val="86"/>
    <w:family w:val="auto"/>
    <w:pitch w:val="default"/>
    <w:sig w:usb0="800002BF" w:usb1="38CF7CFA" w:usb2="00000016" w:usb3="00000000" w:csb0="00040001" w:csb1="00000000"/>
    <w:embedRegular r:id="rId3" w:fontKey="{8DA5291D-AEB2-4EAB-BF13-5A06E70578D0}"/>
  </w:font>
  <w:font w:name="Courier New">
    <w:panose1 w:val="02070309020205020404"/>
    <w:charset w:val="01"/>
    <w:family w:val="modern"/>
    <w:pitch w:val="default"/>
    <w:sig w:usb0="E0002EFF" w:usb1="C0007843" w:usb2="00000009" w:usb3="00000000" w:csb0="400001FF" w:csb1="FFFF0000"/>
    <w:embedRegular r:id="rId4" w:fontKey="{E3BF12FC-37A3-4230-A119-3CEDB6A60D5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259DE4B8-F5C0-42A1-96DD-D250336204F9}"/>
  </w:font>
  <w:font w:name="Cambria">
    <w:panose1 w:val="02040503050406030204"/>
    <w:charset w:val="00"/>
    <w:family w:val="roman"/>
    <w:pitch w:val="default"/>
    <w:sig w:usb0="E00006FF" w:usb1="420024FF" w:usb2="02000000" w:usb3="00000000" w:csb0="2000019F" w:csb1="00000000"/>
    <w:embedRegular r:id="rId6" w:fontKey="{5038AA6A-B053-4DA3-B771-71AAAD45A558}"/>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83D2EFB0-CE94-4039-9183-33E33B7FC7C8}"/>
  </w:font>
  <w:font w:name="方正仿宋_GBK">
    <w:panose1 w:val="02000000000000000000"/>
    <w:charset w:val="86"/>
    <w:family w:val="auto"/>
    <w:pitch w:val="default"/>
    <w:sig w:usb0="00000000" w:usb1="00000000" w:usb2="00000000" w:usb3="00000000" w:csb0="00000000" w:csb1="00000000"/>
    <w:embedRegular r:id="rId8" w:fontKey="{1880B5E6-6FE6-4EDB-88FC-F2266F0260DE}"/>
  </w:font>
  <w:font w:name="华文中宋">
    <w:panose1 w:val="02010600040101010101"/>
    <w:charset w:val="86"/>
    <w:family w:val="auto"/>
    <w:pitch w:val="default"/>
    <w:sig w:usb0="00000287" w:usb1="080F0000" w:usb2="00000000" w:usb3="00000000" w:csb0="0004009F" w:csb1="DFD70000"/>
    <w:embedRegular r:id="rId9" w:fontKey="{3767BED2-F449-4236-8528-027CFCBDCE86}"/>
  </w:font>
  <w:font w:name="汉仪书宋二S">
    <w:panose1 w:val="00020600040101010101"/>
    <w:charset w:val="86"/>
    <w:family w:val="auto"/>
    <w:pitch w:val="default"/>
    <w:sig w:usb0="00000000" w:usb1="00000000" w:usb2="00000000" w:usb3="00000000" w:csb0="00000000" w:csb1="00000000"/>
    <w:embedRegular r:id="rId10" w:fontKey="{ADC0D4F6-24A2-4D4D-8A92-C04361520DA9}"/>
  </w:font>
  <w:font w:name="华文楷体">
    <w:panose1 w:val="02010600040101010101"/>
    <w:charset w:val="86"/>
    <w:family w:val="auto"/>
    <w:pitch w:val="default"/>
    <w:sig w:usb0="00000287" w:usb1="080F0000" w:usb2="00000000" w:usb3="00000000" w:csb0="0004009F" w:csb1="DFD70000"/>
    <w:embedRegular r:id="rId11" w:fontKey="{BFE6141C-A97F-4A9D-8D12-3345121C6EE3}"/>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12" w:fontKey="{025ADA9C-9421-4965-801A-1C018F1DAE3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7A5916"/>
    <w:multiLevelType w:val="singleLevel"/>
    <w:tmpl w:val="A77A5916"/>
    <w:lvl w:ilvl="0" w:tentative="0">
      <w:start w:val="1"/>
      <w:numFmt w:val="decimal"/>
      <w:suff w:val="nothing"/>
      <w:lvlText w:val="%1、"/>
      <w:lvlJc w:val="left"/>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3DF1488"/>
    <w:multiLevelType w:val="singleLevel"/>
    <w:tmpl w:val="D3DF1488"/>
    <w:lvl w:ilvl="0" w:tentative="0">
      <w:start w:val="1"/>
      <w:numFmt w:val="chineseCounting"/>
      <w:suff w:val="nothing"/>
      <w:lvlText w:val="（%1）"/>
      <w:lvlJc w:val="left"/>
      <w:rPr>
        <w:rFonts w:hint="eastAsia"/>
      </w:rPr>
    </w:lvl>
  </w:abstractNum>
  <w:abstractNum w:abstractNumId="6">
    <w:nsid w:val="DC0B9752"/>
    <w:multiLevelType w:val="singleLevel"/>
    <w:tmpl w:val="DC0B9752"/>
    <w:lvl w:ilvl="0" w:tentative="0">
      <w:start w:val="1"/>
      <w:numFmt w:val="decimal"/>
      <w:suff w:val="nothing"/>
      <w:lvlText w:val="%1、"/>
      <w:lvlJc w:val="left"/>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E94AAA60"/>
    <w:multiLevelType w:val="singleLevel"/>
    <w:tmpl w:val="E94AAA60"/>
    <w:lvl w:ilvl="0" w:tentative="0">
      <w:start w:val="2"/>
      <w:numFmt w:val="decimal"/>
      <w:suff w:val="nothing"/>
      <w:lvlText w:val="%1、"/>
      <w:lvlJc w:val="left"/>
    </w:lvl>
  </w:abstractNum>
  <w:abstractNum w:abstractNumId="11">
    <w:nsid w:val="EF29D873"/>
    <w:multiLevelType w:val="singleLevel"/>
    <w:tmpl w:val="EF29D873"/>
    <w:lvl w:ilvl="0" w:tentative="0">
      <w:start w:val="1"/>
      <w:numFmt w:val="decimal"/>
      <w:lvlText w:val="%1."/>
      <w:lvlJc w:val="left"/>
      <w:pPr>
        <w:tabs>
          <w:tab w:val="left" w:pos="312"/>
        </w:tabs>
      </w:pPr>
    </w:lvl>
  </w:abstractNum>
  <w:abstractNum w:abstractNumId="12">
    <w:nsid w:val="FFEFC674"/>
    <w:multiLevelType w:val="singleLevel"/>
    <w:tmpl w:val="FFEFC674"/>
    <w:lvl w:ilvl="0" w:tentative="0">
      <w:start w:val="1"/>
      <w:numFmt w:val="decimal"/>
      <w:suff w:val="nothing"/>
      <w:lvlText w:val="（%1）"/>
      <w:lvlJc w:val="left"/>
    </w:lvl>
  </w:abstractNum>
  <w:abstractNum w:abstractNumId="13">
    <w:nsid w:val="00932C5F"/>
    <w:multiLevelType w:val="singleLevel"/>
    <w:tmpl w:val="00932C5F"/>
    <w:lvl w:ilvl="0" w:tentative="0">
      <w:start w:val="1"/>
      <w:numFmt w:val="decimal"/>
      <w:lvlText w:val="%1."/>
      <w:lvlJc w:val="left"/>
      <w:pPr>
        <w:tabs>
          <w:tab w:val="left" w:pos="312"/>
        </w:tabs>
      </w:pPr>
    </w:lvl>
  </w:abstractNum>
  <w:abstractNum w:abstractNumId="14">
    <w:nsid w:val="0147EE46"/>
    <w:multiLevelType w:val="singleLevel"/>
    <w:tmpl w:val="0147EE46"/>
    <w:lvl w:ilvl="0" w:tentative="0">
      <w:start w:val="1"/>
      <w:numFmt w:val="chineseCounting"/>
      <w:suff w:val="nothing"/>
      <w:lvlText w:val="（%1）"/>
      <w:lvlJc w:val="left"/>
      <w:rPr>
        <w:rFonts w:hint="eastAsia"/>
      </w:rPr>
    </w:lvl>
  </w:abstractNum>
  <w:abstractNum w:abstractNumId="15">
    <w:nsid w:val="1E87081C"/>
    <w:multiLevelType w:val="singleLevel"/>
    <w:tmpl w:val="1E87081C"/>
    <w:lvl w:ilvl="0" w:tentative="0">
      <w:start w:val="1"/>
      <w:numFmt w:val="decimal"/>
      <w:suff w:val="nothing"/>
      <w:lvlText w:val="%1、"/>
      <w:lvlJc w:val="left"/>
    </w:lvl>
  </w:abstractNum>
  <w:abstractNum w:abstractNumId="16">
    <w:nsid w:val="2CBE861B"/>
    <w:multiLevelType w:val="singleLevel"/>
    <w:tmpl w:val="2CBE861B"/>
    <w:lvl w:ilvl="0" w:tentative="0">
      <w:start w:val="1"/>
      <w:numFmt w:val="decimal"/>
      <w:suff w:val="nothing"/>
      <w:lvlText w:val="%1、"/>
      <w:lvlJc w:val="left"/>
    </w:lvl>
  </w:abstractNum>
  <w:abstractNum w:abstractNumId="17">
    <w:nsid w:val="2F21C4D2"/>
    <w:multiLevelType w:val="singleLevel"/>
    <w:tmpl w:val="2F21C4D2"/>
    <w:lvl w:ilvl="0" w:tentative="0">
      <w:start w:val="1"/>
      <w:numFmt w:val="chineseCounting"/>
      <w:suff w:val="nothing"/>
      <w:lvlText w:val="（%1）"/>
      <w:lvlJc w:val="left"/>
      <w:rPr>
        <w:rFonts w:hint="eastAsia"/>
      </w:rPr>
    </w:lvl>
  </w:abstractNum>
  <w:abstractNum w:abstractNumId="18">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B3E8A3E"/>
    <w:multiLevelType w:val="singleLevel"/>
    <w:tmpl w:val="4B3E8A3E"/>
    <w:lvl w:ilvl="0" w:tentative="0">
      <w:start w:val="1"/>
      <w:numFmt w:val="chineseCounting"/>
      <w:suff w:val="nothing"/>
      <w:lvlText w:val="（%1）"/>
      <w:lvlJc w:val="left"/>
      <w:rPr>
        <w:rFonts w:hint="eastAsia"/>
      </w:rPr>
    </w:lvl>
  </w:abstractNum>
  <w:abstractNum w:abstractNumId="20">
    <w:nsid w:val="559937DB"/>
    <w:multiLevelType w:val="singleLevel"/>
    <w:tmpl w:val="559937DB"/>
    <w:lvl w:ilvl="0" w:tentative="0">
      <w:start w:val="1"/>
      <w:numFmt w:val="decimal"/>
      <w:suff w:val="nothing"/>
      <w:lvlText w:val="%1、"/>
      <w:lvlJc w:val="left"/>
    </w:lvl>
  </w:abstractNum>
  <w:abstractNum w:abstractNumId="21">
    <w:nsid w:val="7A0F6431"/>
    <w:multiLevelType w:val="singleLevel"/>
    <w:tmpl w:val="7A0F6431"/>
    <w:lvl w:ilvl="0" w:tentative="0">
      <w:start w:val="1"/>
      <w:numFmt w:val="decimal"/>
      <w:suff w:val="space"/>
      <w:lvlText w:val="%1."/>
      <w:lvlJc w:val="left"/>
    </w:lvl>
  </w:abstractNum>
  <w:abstractNum w:abstractNumId="22">
    <w:nsid w:val="7C90DB6F"/>
    <w:multiLevelType w:val="singleLevel"/>
    <w:tmpl w:val="7C90DB6F"/>
    <w:lvl w:ilvl="0" w:tentative="0">
      <w:start w:val="1"/>
      <w:numFmt w:val="decimal"/>
      <w:lvlText w:val="(%1)"/>
      <w:lvlJc w:val="left"/>
      <w:pPr>
        <w:tabs>
          <w:tab w:val="left" w:pos="312"/>
        </w:tabs>
      </w:pPr>
    </w:lvl>
  </w:abstractNum>
  <w:num w:numId="1">
    <w:abstractNumId w:val="5"/>
  </w:num>
  <w:num w:numId="2">
    <w:abstractNumId w:val="15"/>
  </w:num>
  <w:num w:numId="3">
    <w:abstractNumId w:val="14"/>
  </w:num>
  <w:num w:numId="4">
    <w:abstractNumId w:val="6"/>
  </w:num>
  <w:num w:numId="5">
    <w:abstractNumId w:val="11"/>
  </w:num>
  <w:num w:numId="6">
    <w:abstractNumId w:val="16"/>
  </w:num>
  <w:num w:numId="7">
    <w:abstractNumId w:val="19"/>
  </w:num>
  <w:num w:numId="8">
    <w:abstractNumId w:val="20"/>
  </w:num>
  <w:num w:numId="9">
    <w:abstractNumId w:val="13"/>
  </w:num>
  <w:num w:numId="10">
    <w:abstractNumId w:val="22"/>
  </w:num>
  <w:num w:numId="11">
    <w:abstractNumId w:val="17"/>
  </w:num>
  <w:num w:numId="12">
    <w:abstractNumId w:val="0"/>
  </w:num>
  <w:num w:numId="13">
    <w:abstractNumId w:val="10"/>
  </w:num>
  <w:num w:numId="14">
    <w:abstractNumId w:val="1"/>
  </w:num>
  <w:num w:numId="15">
    <w:abstractNumId w:val="2"/>
  </w:num>
  <w:num w:numId="16">
    <w:abstractNumId w:val="21"/>
  </w:num>
  <w:num w:numId="17">
    <w:abstractNumId w:val="4"/>
  </w:num>
  <w:num w:numId="18">
    <w:abstractNumId w:val="12"/>
  </w:num>
  <w:num w:numId="19">
    <w:abstractNumId w:val="8"/>
  </w:num>
  <w:num w:numId="20">
    <w:abstractNumId w:val="7"/>
  </w:num>
  <w:num w:numId="21">
    <w:abstractNumId w:val="3"/>
  </w:num>
  <w:num w:numId="22">
    <w:abstractNumId w:val="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AC80C66"/>
    <w:rsid w:val="0B293767"/>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6E657BB"/>
    <w:rsid w:val="1741793A"/>
    <w:rsid w:val="1743234C"/>
    <w:rsid w:val="17933E49"/>
    <w:rsid w:val="17966F3F"/>
    <w:rsid w:val="179901BE"/>
    <w:rsid w:val="17C24EE1"/>
    <w:rsid w:val="17C27715"/>
    <w:rsid w:val="17C57205"/>
    <w:rsid w:val="17E4768B"/>
    <w:rsid w:val="17FC3BA5"/>
    <w:rsid w:val="182028E3"/>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1242B9"/>
    <w:rsid w:val="24266C7C"/>
    <w:rsid w:val="244A2F6C"/>
    <w:rsid w:val="246A64EC"/>
    <w:rsid w:val="248E0882"/>
    <w:rsid w:val="24AB04CD"/>
    <w:rsid w:val="24B85FE4"/>
    <w:rsid w:val="24D67678"/>
    <w:rsid w:val="252E63EA"/>
    <w:rsid w:val="25493224"/>
    <w:rsid w:val="256533FF"/>
    <w:rsid w:val="2571351D"/>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045E3"/>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077FC"/>
    <w:rsid w:val="2E954277"/>
    <w:rsid w:val="2EDF69A7"/>
    <w:rsid w:val="2F1A79DF"/>
    <w:rsid w:val="2F2A413F"/>
    <w:rsid w:val="2F363171"/>
    <w:rsid w:val="30311375"/>
    <w:rsid w:val="30473F91"/>
    <w:rsid w:val="306058C5"/>
    <w:rsid w:val="30610607"/>
    <w:rsid w:val="30634561"/>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147ED"/>
    <w:rsid w:val="365612FD"/>
    <w:rsid w:val="3677309A"/>
    <w:rsid w:val="36F40B16"/>
    <w:rsid w:val="370C52DF"/>
    <w:rsid w:val="370C5E5F"/>
    <w:rsid w:val="374B6987"/>
    <w:rsid w:val="374D6BA3"/>
    <w:rsid w:val="375A306E"/>
    <w:rsid w:val="37CE1367"/>
    <w:rsid w:val="37D746BF"/>
    <w:rsid w:val="38C84008"/>
    <w:rsid w:val="38CA5FD2"/>
    <w:rsid w:val="38EB0F04"/>
    <w:rsid w:val="3908201B"/>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AA53BAC"/>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1A52CE0"/>
    <w:rsid w:val="52195EFA"/>
    <w:rsid w:val="529674E9"/>
    <w:rsid w:val="535D3873"/>
    <w:rsid w:val="53876B42"/>
    <w:rsid w:val="53BC0B25"/>
    <w:rsid w:val="54153BAB"/>
    <w:rsid w:val="543978A8"/>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80A0A"/>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4A298D"/>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CA2FE0"/>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BE775F"/>
    <w:rsid w:val="65FE7BFD"/>
    <w:rsid w:val="66EC6F90"/>
    <w:rsid w:val="66F2031E"/>
    <w:rsid w:val="67AA7E58"/>
    <w:rsid w:val="67AB0BF9"/>
    <w:rsid w:val="67EA0511"/>
    <w:rsid w:val="68077DF9"/>
    <w:rsid w:val="68382663"/>
    <w:rsid w:val="686314D3"/>
    <w:rsid w:val="6888718C"/>
    <w:rsid w:val="68A629A9"/>
    <w:rsid w:val="68B506E4"/>
    <w:rsid w:val="68DE48A2"/>
    <w:rsid w:val="68E5527F"/>
    <w:rsid w:val="69382F41"/>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1D4C24"/>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8B205E9"/>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B367F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5"/>
    <w:next w:val="6"/>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Title"/>
    <w:basedOn w:val="1"/>
    <w:qFormat/>
    <w:uiPriority w:val="0"/>
    <w:pPr>
      <w:spacing w:before="240" w:after="60"/>
      <w:jc w:val="center"/>
      <w:outlineLvl w:val="0"/>
    </w:pPr>
    <w:rPr>
      <w:rFonts w:ascii="Arial" w:hAnsi="Arial" w:eastAsia="隶书" w:cs="Arial"/>
      <w:b/>
      <w:bCs/>
      <w:sz w:val="32"/>
      <w:szCs w:val="32"/>
    </w:rPr>
  </w:style>
  <w:style w:type="paragraph" w:styleId="8">
    <w:name w:val="Normal Indent"/>
    <w:basedOn w:val="1"/>
    <w:next w:val="1"/>
    <w:qFormat/>
    <w:uiPriority w:val="0"/>
    <w:pPr>
      <w:ind w:firstLine="420"/>
    </w:pPr>
    <w:rPr>
      <w:szCs w:val="20"/>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5"/>
    <w:unhideWhenUsed/>
    <w:qFormat/>
    <w:uiPriority w:val="99"/>
    <w:pPr>
      <w:jc w:val="left"/>
    </w:pPr>
  </w:style>
  <w:style w:type="paragraph" w:styleId="11">
    <w:name w:val="toc 5"/>
    <w:basedOn w:val="1"/>
    <w:next w:val="1"/>
    <w:semiHidden/>
    <w:qFormat/>
    <w:uiPriority w:val="0"/>
    <w:pPr>
      <w:ind w:left="840"/>
      <w:jc w:val="left"/>
    </w:pPr>
    <w:rPr>
      <w:szCs w:val="21"/>
    </w:rPr>
  </w:style>
  <w:style w:type="paragraph" w:styleId="12">
    <w:name w:val="Balloon Text"/>
    <w:basedOn w:val="1"/>
    <w:link w:val="29"/>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7">
    <w:name w:val="annotation subject"/>
    <w:basedOn w:val="10"/>
    <w:next w:val="10"/>
    <w:link w:val="37"/>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styleId="25">
    <w:name w:val="annotation reference"/>
    <w:basedOn w:val="20"/>
    <w:semiHidden/>
    <w:unhideWhenUsed/>
    <w:qFormat/>
    <w:uiPriority w:val="99"/>
    <w:rPr>
      <w:sz w:val="21"/>
      <w:szCs w:val="21"/>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Char"/>
    <w:basedOn w:val="20"/>
    <w:link w:val="14"/>
    <w:semiHidden/>
    <w:qFormat/>
    <w:uiPriority w:val="99"/>
    <w:rPr>
      <w:sz w:val="18"/>
      <w:szCs w:val="18"/>
    </w:rPr>
  </w:style>
  <w:style w:type="character" w:customStyle="1" w:styleId="28">
    <w:name w:val="页脚 Char"/>
    <w:basedOn w:val="20"/>
    <w:link w:val="13"/>
    <w:qFormat/>
    <w:uiPriority w:val="99"/>
    <w:rPr>
      <w:sz w:val="18"/>
      <w:szCs w:val="18"/>
    </w:rPr>
  </w:style>
  <w:style w:type="character" w:customStyle="1" w:styleId="29">
    <w:name w:val="批注框文本 Char"/>
    <w:basedOn w:val="20"/>
    <w:link w:val="12"/>
    <w:semiHidden/>
    <w:qFormat/>
    <w:uiPriority w:val="99"/>
    <w:rPr>
      <w:sz w:val="18"/>
      <w:szCs w:val="18"/>
    </w:rPr>
  </w:style>
  <w:style w:type="character" w:customStyle="1" w:styleId="30">
    <w:name w:val="普通(网站) Char"/>
    <w:link w:val="16"/>
    <w:qFormat/>
    <w:uiPriority w:val="99"/>
    <w:rPr>
      <w:rFonts w:ascii="宋体" w:hAnsi="宋体"/>
      <w:sz w:val="24"/>
      <w:szCs w:val="24"/>
    </w:rPr>
  </w:style>
  <w:style w:type="character" w:customStyle="1" w:styleId="31">
    <w:name w:val="标题 1 Char"/>
    <w:basedOn w:val="20"/>
    <w:link w:val="4"/>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20"/>
    <w:link w:val="9"/>
    <w:semiHidden/>
    <w:qFormat/>
    <w:uiPriority w:val="99"/>
    <w:rPr>
      <w:rFonts w:ascii="宋体" w:eastAsia="宋体"/>
      <w:sz w:val="18"/>
      <w:szCs w:val="18"/>
    </w:rPr>
  </w:style>
  <w:style w:type="character" w:customStyle="1" w:styleId="34">
    <w:name w:val="标题 2 Char"/>
    <w:basedOn w:val="20"/>
    <w:link w:val="7"/>
    <w:semiHidden/>
    <w:qFormat/>
    <w:uiPriority w:val="9"/>
    <w:rPr>
      <w:rFonts w:asciiTheme="majorHAnsi" w:hAnsiTheme="majorHAnsi" w:eastAsiaTheme="majorEastAsia" w:cstheme="majorBidi"/>
      <w:b/>
      <w:bCs/>
      <w:sz w:val="32"/>
      <w:szCs w:val="32"/>
    </w:rPr>
  </w:style>
  <w:style w:type="character" w:customStyle="1" w:styleId="35">
    <w:name w:val="批注文字 Char"/>
    <w:basedOn w:val="20"/>
    <w:link w:val="10"/>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7"/>
    <w:semiHidden/>
    <w:qFormat/>
    <w:uiPriority w:val="99"/>
    <w:rPr>
      <w:b/>
      <w:bCs/>
    </w:rPr>
  </w:style>
  <w:style w:type="table" w:customStyle="1" w:styleId="38">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
    <w:name w:val="font11"/>
    <w:basedOn w:val="20"/>
    <w:qFormat/>
    <w:uiPriority w:val="0"/>
    <w:rPr>
      <w:rFonts w:ascii="Calibri" w:hAnsi="Calibri" w:cs="Calibri"/>
      <w:color w:val="000000"/>
      <w:sz w:val="21"/>
      <w:szCs w:val="21"/>
      <w:u w:val="none"/>
    </w:rPr>
  </w:style>
  <w:style w:type="character" w:customStyle="1" w:styleId="40">
    <w:name w:val="font21"/>
    <w:basedOn w:val="20"/>
    <w:qFormat/>
    <w:uiPriority w:val="0"/>
    <w:rPr>
      <w:rFonts w:hint="eastAsia" w:ascii="宋体" w:hAnsi="宋体" w:eastAsia="宋体" w:cs="宋体"/>
      <w:color w:val="000000"/>
      <w:sz w:val="21"/>
      <w:szCs w:val="21"/>
      <w:u w:val="none"/>
    </w:rPr>
  </w:style>
  <w:style w:type="character" w:customStyle="1" w:styleId="41">
    <w:name w:val="font31"/>
    <w:basedOn w:val="20"/>
    <w:qFormat/>
    <w:uiPriority w:val="0"/>
    <w:rPr>
      <w:rFonts w:hint="eastAsia" w:ascii="宋体" w:hAnsi="宋体" w:eastAsia="宋体" w:cs="宋体"/>
      <w:color w:val="000000"/>
      <w:sz w:val="24"/>
      <w:szCs w:val="24"/>
      <w:u w:val="none"/>
    </w:rPr>
  </w:style>
  <w:style w:type="character" w:customStyle="1" w:styleId="42">
    <w:name w:val="font61"/>
    <w:basedOn w:val="20"/>
    <w:qFormat/>
    <w:uiPriority w:val="0"/>
    <w:rPr>
      <w:rFonts w:hint="eastAsia" w:ascii="宋体" w:hAnsi="宋体" w:eastAsia="宋体" w:cs="宋体"/>
      <w:color w:val="060AEB"/>
      <w:sz w:val="24"/>
      <w:szCs w:val="24"/>
      <w:u w:val="none"/>
    </w:rPr>
  </w:style>
  <w:style w:type="character" w:customStyle="1" w:styleId="43">
    <w:name w:val="font01"/>
    <w:basedOn w:val="20"/>
    <w:qFormat/>
    <w:uiPriority w:val="0"/>
    <w:rPr>
      <w:rFonts w:hint="eastAsia" w:ascii="宋体" w:hAnsi="宋体" w:eastAsia="宋体" w:cs="宋体"/>
      <w:color w:val="0000FF"/>
      <w:sz w:val="24"/>
      <w:szCs w:val="24"/>
      <w:u w:val="none"/>
    </w:rPr>
  </w:style>
  <w:style w:type="character" w:customStyle="1" w:styleId="44">
    <w:name w:val="font51"/>
    <w:basedOn w:val="20"/>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93</Pages>
  <Words>9925</Words>
  <Characters>10616</Characters>
  <Lines>316</Lines>
  <Paragraphs>88</Paragraphs>
  <TotalTime>22</TotalTime>
  <ScaleCrop>false</ScaleCrop>
  <LinksUpToDate>false</LinksUpToDate>
  <CharactersWithSpaces>10728</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覃普</cp:lastModifiedBy>
  <cp:lastPrinted>2021-01-15T01:17:00Z</cp:lastPrinted>
  <dcterms:modified xsi:type="dcterms:W3CDTF">2025-06-20T10:36:57Z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E41DF11279FA415E98382D9AAD2FCFB9_13</vt:lpwstr>
  </property>
  <property fmtid="{D5CDD505-2E9C-101B-9397-08002B2CF9AE}" pid="4" name="KSOTemplateDocerSaveRecord">
    <vt:lpwstr>eyJoZGlkIjoiYmE4N2MzMDJlMWRlYjExNDA5YzIyMGRhOTI4MTI4MzkiLCJ1c2VySWQiOiIzNzg1MjMzNjcifQ==</vt:lpwstr>
  </property>
</Properties>
</file>