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jc w:val="center"/>
        <w:textAlignment w:val="center"/>
        <w:rPr>
          <w:rFonts w:hint="eastAsia" w:ascii="宋体" w:hAnsi="宋体" w:eastAsia="宋体" w:cs="宋体"/>
          <w:b/>
          <w:kern w:val="0"/>
          <w:sz w:val="28"/>
          <w:szCs w:val="28"/>
          <w:lang w:val="en-US" w:eastAsia="zh-CN"/>
        </w:rPr>
      </w:pPr>
      <w:bookmarkStart w:id="1" w:name="_GoBack"/>
      <w:r>
        <w:rPr>
          <w:rFonts w:hint="eastAsia" w:ascii="宋体" w:hAnsi="宋体" w:eastAsia="宋体" w:cs="宋体"/>
          <w:b/>
          <w:kern w:val="0"/>
          <w:sz w:val="28"/>
          <w:szCs w:val="28"/>
          <w:lang w:val="en-US" w:eastAsia="zh-CN"/>
        </w:rPr>
        <w:t>深圳市深水龙华水务有限公司</w:t>
      </w:r>
      <w:r>
        <w:rPr>
          <w:rFonts w:hint="eastAsia" w:ascii="宋体" w:hAnsi="宋体" w:eastAsia="宋体" w:cs="宋体"/>
          <w:b/>
          <w:kern w:val="0"/>
          <w:sz w:val="28"/>
          <w:szCs w:val="28"/>
          <w:lang w:val="en-US" w:eastAsia="zh-CN"/>
        </w:rPr>
        <w:t>余氯分析仪</w:t>
      </w:r>
      <w:r>
        <w:rPr>
          <w:rFonts w:hint="eastAsia" w:ascii="宋体" w:hAnsi="宋体" w:eastAsia="宋体" w:cs="宋体"/>
          <w:b/>
          <w:kern w:val="0"/>
          <w:sz w:val="28"/>
          <w:szCs w:val="28"/>
          <w:lang w:val="en-US" w:eastAsia="zh-CN"/>
        </w:rPr>
        <w:t>设备采购项目</w:t>
      </w:r>
    </w:p>
    <w:p>
      <w:pPr>
        <w:keepNext w:val="0"/>
        <w:keepLines w:val="0"/>
        <w:widowControl/>
        <w:suppressLineNumbers w:val="0"/>
        <w:jc w:val="center"/>
        <w:textAlignment w:val="center"/>
        <w:rPr>
          <w:rFonts w:hint="eastAsia" w:ascii="宋体" w:hAnsi="宋体" w:eastAsia="宋体" w:cs="宋体"/>
          <w:b/>
          <w:kern w:val="0"/>
          <w:sz w:val="28"/>
          <w:szCs w:val="28"/>
          <w:lang w:val="en-US" w:eastAsia="zh-CN"/>
        </w:rPr>
      </w:pPr>
      <w:r>
        <w:rPr>
          <w:rFonts w:hint="eastAsia" w:ascii="宋体" w:hAnsi="宋体" w:eastAsia="宋体" w:cs="宋体"/>
          <w:b/>
          <w:kern w:val="0"/>
          <w:sz w:val="28"/>
          <w:szCs w:val="28"/>
          <w:lang w:val="en-US" w:eastAsia="zh-CN"/>
        </w:rPr>
        <w:t>市场价格询价文件</w:t>
      </w:r>
    </w:p>
    <w:bookmarkEnd w:id="1"/>
    <w:p>
      <w:pPr>
        <w:keepNext w:val="0"/>
        <w:keepLines w:val="0"/>
        <w:pageBreakBefore w:val="0"/>
        <w:widowControl w:val="0"/>
        <w:kinsoku/>
        <w:wordWrap/>
        <w:overflowPunct/>
        <w:topLinePunct w:val="0"/>
        <w:autoSpaceDE/>
        <w:autoSpaceDN/>
        <w:bidi w:val="0"/>
        <w:adjustRightInd/>
        <w:snapToGrid/>
        <w:spacing w:line="240" w:lineRule="auto"/>
        <w:ind w:left="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致各潜在供应商：</w:t>
      </w:r>
    </w:p>
    <w:p>
      <w:pPr>
        <w:keepNext w:val="0"/>
        <w:keepLines w:val="0"/>
        <w:pageBreakBefore w:val="0"/>
        <w:widowControl w:val="0"/>
        <w:kinsoku/>
        <w:wordWrap/>
        <w:overflowPunct/>
        <w:topLinePunct w:val="0"/>
        <w:autoSpaceDE/>
        <w:autoSpaceDN/>
        <w:bidi w:val="0"/>
        <w:adjustRightInd/>
        <w:snapToGrid/>
        <w:spacing w:line="240" w:lineRule="auto"/>
        <w:ind w:left="0" w:firstLine="420" w:firstLineChars="20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我单位拟采</w:t>
      </w:r>
      <w:r>
        <w:rPr>
          <w:rFonts w:hint="eastAsia" w:ascii="宋体" w:hAnsi="宋体" w:eastAsia="宋体" w:cs="宋体"/>
          <w:sz w:val="21"/>
          <w:szCs w:val="21"/>
          <w:lang w:val="en-US" w:eastAsia="zh-CN"/>
        </w:rPr>
        <w:t>购 2台余氯分析仪。</w:t>
      </w:r>
      <w:r>
        <w:rPr>
          <w:rFonts w:hint="eastAsia" w:ascii="宋体" w:hAnsi="宋体" w:eastAsia="宋体" w:cs="宋体"/>
          <w:sz w:val="21"/>
          <w:szCs w:val="21"/>
          <w:lang w:val="en-US" w:eastAsia="zh-CN"/>
        </w:rPr>
        <w:t>现开展市场询价工作。诚邀贵司根据要求，提供真实、有效的市场价格信息，作为我单位编制项目采购控制价的参考依据。</w:t>
      </w:r>
    </w:p>
    <w:p>
      <w:pPr>
        <w:keepNext w:val="0"/>
        <w:keepLines w:val="0"/>
        <w:pageBreakBefore w:val="0"/>
        <w:widowControl w:val="0"/>
        <w:kinsoku/>
        <w:wordWrap/>
        <w:overflowPunct/>
        <w:topLinePunct w:val="0"/>
        <w:autoSpaceDE/>
        <w:autoSpaceDN/>
        <w:bidi w:val="0"/>
        <w:adjustRightInd/>
        <w:snapToGrid/>
        <w:spacing w:line="240" w:lineRule="auto"/>
        <w:ind w:left="0" w:firstLine="420" w:firstLineChars="20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本次询价结果仅作为控制价编制的参考，不作为正式投标邀请或中标承诺。</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outlineLvl w:val="1"/>
        <w:rPr>
          <w:rFonts w:hint="eastAsia" w:ascii="宋体" w:hAnsi="宋体" w:eastAsia="宋体" w:cs="宋体"/>
          <w:kern w:val="0"/>
          <w:sz w:val="24"/>
          <w:szCs w:val="24"/>
        </w:rPr>
      </w:pPr>
    </w:p>
    <w:p>
      <w:pPr>
        <w:keepNext w:val="0"/>
        <w:keepLines w:val="0"/>
        <w:pageBreakBefore w:val="0"/>
        <w:widowControl w:val="0"/>
        <w:numPr>
          <w:ilvl w:val="0"/>
          <w:numId w:val="1"/>
        </w:numPr>
        <w:kinsoku/>
        <w:wordWrap/>
        <w:overflowPunct/>
        <w:topLinePunct w:val="0"/>
        <w:autoSpaceDE/>
        <w:autoSpaceDN/>
        <w:bidi w:val="0"/>
        <w:adjustRightInd/>
        <w:snapToGrid/>
        <w:spacing w:line="240" w:lineRule="auto"/>
        <w:ind w:left="0" w:leftChars="0" w:firstLine="0" w:firstLineChars="0"/>
        <w:jc w:val="left"/>
        <w:textAlignment w:val="auto"/>
        <w:outlineLvl w:val="1"/>
        <w:rPr>
          <w:rFonts w:hint="eastAsia" w:ascii="宋体" w:hAnsi="宋体" w:eastAsia="宋体" w:cs="宋体"/>
          <w:kern w:val="0"/>
          <w:sz w:val="24"/>
          <w:szCs w:val="24"/>
        </w:rPr>
      </w:pPr>
      <w:bookmarkStart w:id="0" w:name="heading_1"/>
      <w:r>
        <w:rPr>
          <w:rFonts w:hint="eastAsia" w:ascii="宋体" w:hAnsi="宋体" w:eastAsia="宋体" w:cs="宋体"/>
          <w:b/>
          <w:sz w:val="21"/>
          <w:szCs w:val="21"/>
        </w:rPr>
        <w:t>采购设备</w:t>
      </w:r>
      <w:r>
        <w:rPr>
          <w:rFonts w:hint="eastAsia" w:ascii="宋体" w:hAnsi="宋体" w:eastAsia="宋体" w:cs="宋体"/>
          <w:b/>
          <w:sz w:val="21"/>
          <w:szCs w:val="21"/>
          <w:lang w:val="en-US" w:eastAsia="zh-CN"/>
        </w:rPr>
        <w:t>清单</w:t>
      </w:r>
      <w:bookmarkEnd w:id="0"/>
    </w:p>
    <w:tbl>
      <w:tblPr>
        <w:tblStyle w:val="5"/>
        <w:tblpPr w:leftFromText="180" w:rightFromText="180" w:vertAnchor="text" w:horzAnchor="page" w:tblpX="1914" w:tblpY="102"/>
        <w:tblOverlap w:val="never"/>
        <w:tblW w:w="8519"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892"/>
        <w:gridCol w:w="1464"/>
        <w:gridCol w:w="2535"/>
        <w:gridCol w:w="886"/>
        <w:gridCol w:w="886"/>
        <w:gridCol w:w="928"/>
        <w:gridCol w:w="92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89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序号</w:t>
            </w:r>
          </w:p>
        </w:tc>
        <w:tc>
          <w:tcPr>
            <w:tcW w:w="146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名称</w:t>
            </w:r>
          </w:p>
        </w:tc>
        <w:tc>
          <w:tcPr>
            <w:tcW w:w="253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b/>
                <w:bCs/>
                <w:i w:val="0"/>
                <w:iCs w:val="0"/>
                <w:color w:val="000000"/>
                <w:sz w:val="18"/>
                <w:szCs w:val="18"/>
                <w:u w:val="none"/>
                <w:lang w:val="en-US" w:eastAsia="zh-CN"/>
              </w:rPr>
            </w:pPr>
            <w:r>
              <w:rPr>
                <w:rFonts w:hint="eastAsia" w:ascii="宋体" w:hAnsi="宋体" w:cs="宋体"/>
                <w:b/>
                <w:bCs/>
                <w:i w:val="0"/>
                <w:iCs w:val="0"/>
                <w:color w:val="000000"/>
                <w:sz w:val="18"/>
                <w:szCs w:val="18"/>
                <w:u w:val="none"/>
                <w:lang w:val="en-US" w:eastAsia="zh-CN"/>
              </w:rPr>
              <w:t>参数</w:t>
            </w:r>
          </w:p>
        </w:tc>
        <w:tc>
          <w:tcPr>
            <w:tcW w:w="88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单位</w:t>
            </w:r>
          </w:p>
        </w:tc>
        <w:tc>
          <w:tcPr>
            <w:tcW w:w="88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数量</w:t>
            </w:r>
          </w:p>
        </w:tc>
        <w:tc>
          <w:tcPr>
            <w:tcW w:w="92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b/>
                <w:bCs/>
                <w:i w:val="0"/>
                <w:iCs w:val="0"/>
                <w:color w:val="000000"/>
                <w:sz w:val="18"/>
                <w:szCs w:val="18"/>
                <w:u w:val="none"/>
                <w:lang w:val="en-US"/>
              </w:rPr>
            </w:pPr>
            <w:r>
              <w:rPr>
                <w:rFonts w:hint="eastAsia" w:ascii="宋体" w:hAnsi="宋体" w:cs="宋体"/>
                <w:b/>
                <w:bCs/>
                <w:i w:val="0"/>
                <w:iCs w:val="0"/>
                <w:color w:val="000000"/>
                <w:kern w:val="0"/>
                <w:sz w:val="18"/>
                <w:szCs w:val="18"/>
                <w:u w:val="none"/>
                <w:lang w:val="en-US" w:eastAsia="zh-CN" w:bidi="ar"/>
              </w:rPr>
              <w:t>单价</w:t>
            </w:r>
          </w:p>
        </w:tc>
        <w:tc>
          <w:tcPr>
            <w:tcW w:w="92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宋体" w:hAnsi="宋体" w:cs="宋体"/>
                <w:b/>
                <w:bCs/>
                <w:i w:val="0"/>
                <w:iCs w:val="0"/>
                <w:color w:val="000000"/>
                <w:kern w:val="0"/>
                <w:sz w:val="18"/>
                <w:szCs w:val="18"/>
                <w:u w:val="none"/>
                <w:lang w:val="en-US" w:eastAsia="zh-CN" w:bidi="ar"/>
              </w:rPr>
            </w:pPr>
            <w:r>
              <w:rPr>
                <w:rFonts w:hint="eastAsia" w:ascii="宋体" w:hAnsi="宋体" w:cs="宋体"/>
                <w:b/>
                <w:bCs/>
                <w:i w:val="0"/>
                <w:iCs w:val="0"/>
                <w:color w:val="000000"/>
                <w:kern w:val="0"/>
                <w:sz w:val="18"/>
                <w:szCs w:val="18"/>
                <w:u w:val="none"/>
                <w:lang w:val="en-US" w:eastAsia="zh-CN" w:bidi="ar"/>
              </w:rPr>
              <w:t>小计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9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cs="宋体"/>
                <w:i w:val="0"/>
                <w:iCs w:val="0"/>
                <w:color w:val="000000"/>
                <w:kern w:val="0"/>
                <w:sz w:val="22"/>
                <w:szCs w:val="22"/>
                <w:u w:val="none"/>
                <w:lang w:val="en-US" w:eastAsia="zh-CN" w:bidi="ar"/>
              </w:rPr>
              <w:t>1</w:t>
            </w:r>
          </w:p>
        </w:tc>
        <w:tc>
          <w:tcPr>
            <w:tcW w:w="146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余氯分析仪</w:t>
            </w:r>
          </w:p>
        </w:tc>
        <w:tc>
          <w:tcPr>
            <w:tcW w:w="253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测量范围：0～10 mg/L</w:t>
            </w:r>
          </w:p>
          <w:p>
            <w:pPr>
              <w:keepNext w:val="0"/>
              <w:keepLines w:val="0"/>
              <w:widowControl/>
              <w:suppressLineNumbers w:val="0"/>
              <w:jc w:val="center"/>
              <w:textAlignment w:val="center"/>
              <w:rPr>
                <w:rFonts w:hint="default"/>
                <w:lang w:val="en-US"/>
              </w:rPr>
            </w:pPr>
            <w:r>
              <w:rPr>
                <w:rFonts w:hint="eastAsia" w:ascii="宋体" w:hAnsi="宋体" w:eastAsia="宋体" w:cs="宋体"/>
                <w:i w:val="0"/>
                <w:iCs w:val="0"/>
                <w:color w:val="000000"/>
                <w:sz w:val="18"/>
                <w:szCs w:val="18"/>
                <w:u w:val="none"/>
                <w:lang w:val="en-US" w:eastAsia="zh-CN"/>
              </w:rPr>
              <w:t>准确度：在 0 到 5 mg/L 的范围内为 ±5% 或 ±0.04 mg/L（取较大值），以 Cl2 计</w:t>
            </w:r>
            <w:r>
              <w:rPr>
                <w:rFonts w:hint="eastAsia" w:ascii="宋体" w:hAnsi="宋体" w:eastAsia="宋体" w:cs="宋体"/>
                <w:i w:val="0"/>
                <w:iCs w:val="0"/>
                <w:color w:val="000000"/>
                <w:sz w:val="18"/>
                <w:szCs w:val="18"/>
                <w:u w:val="none"/>
                <w:lang w:val="en-US" w:eastAsia="zh-CN"/>
              </w:rPr>
              <w:br w:type="textWrapping"/>
            </w:r>
            <w:r>
              <w:rPr>
                <w:rFonts w:hint="eastAsia" w:ascii="宋体" w:hAnsi="宋体" w:eastAsia="宋体" w:cs="宋体"/>
                <w:i w:val="0"/>
                <w:iCs w:val="0"/>
                <w:color w:val="000000"/>
                <w:sz w:val="18"/>
                <w:szCs w:val="18"/>
                <w:u w:val="none"/>
                <w:lang w:val="en-US" w:eastAsia="zh-CN"/>
              </w:rPr>
              <w:t>在 5 到 10 mg/L 的范围内为 ±10%，以 Cl2 计</w:t>
            </w:r>
          </w:p>
        </w:tc>
        <w:tc>
          <w:tcPr>
            <w:tcW w:w="886"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595959"/>
                <w:sz w:val="18"/>
                <w:szCs w:val="18"/>
                <w:u w:val="none"/>
              </w:rPr>
            </w:pPr>
            <w:r>
              <w:rPr>
                <w:rFonts w:hint="eastAsia" w:ascii="宋体" w:hAnsi="宋体" w:eastAsia="宋体" w:cs="宋体"/>
                <w:i w:val="0"/>
                <w:iCs w:val="0"/>
                <w:color w:val="595959"/>
                <w:kern w:val="0"/>
                <w:sz w:val="18"/>
                <w:szCs w:val="18"/>
                <w:u w:val="none"/>
                <w:lang w:val="en-US" w:eastAsia="zh-CN" w:bidi="ar"/>
              </w:rPr>
              <w:t>套</w:t>
            </w:r>
          </w:p>
        </w:tc>
        <w:tc>
          <w:tcPr>
            <w:tcW w:w="88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cs="宋体"/>
                <w:i w:val="0"/>
                <w:iCs w:val="0"/>
                <w:color w:val="000000"/>
                <w:kern w:val="0"/>
                <w:sz w:val="22"/>
                <w:szCs w:val="22"/>
                <w:u w:val="none"/>
                <w:lang w:val="en-US" w:eastAsia="zh-CN" w:bidi="ar"/>
              </w:rPr>
              <w:t>2</w:t>
            </w:r>
          </w:p>
        </w:tc>
        <w:tc>
          <w:tcPr>
            <w:tcW w:w="92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eastAsia="zh-CN"/>
              </w:rPr>
            </w:pPr>
          </w:p>
        </w:tc>
        <w:tc>
          <w:tcPr>
            <w:tcW w:w="92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9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2</w:t>
            </w:r>
          </w:p>
        </w:tc>
        <w:tc>
          <w:tcPr>
            <w:tcW w:w="146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信号电缆</w:t>
            </w:r>
          </w:p>
        </w:tc>
        <w:tc>
          <w:tcPr>
            <w:tcW w:w="253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KVVP-7*1.0</w:t>
            </w:r>
          </w:p>
        </w:tc>
        <w:tc>
          <w:tcPr>
            <w:tcW w:w="886"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米</w:t>
            </w:r>
          </w:p>
        </w:tc>
        <w:tc>
          <w:tcPr>
            <w:tcW w:w="88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若干</w:t>
            </w:r>
          </w:p>
        </w:tc>
        <w:tc>
          <w:tcPr>
            <w:tcW w:w="92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eastAsia="zh-CN"/>
              </w:rPr>
            </w:pPr>
          </w:p>
        </w:tc>
        <w:tc>
          <w:tcPr>
            <w:tcW w:w="92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89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3</w:t>
            </w:r>
          </w:p>
        </w:tc>
        <w:tc>
          <w:tcPr>
            <w:tcW w:w="146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电源电缆</w:t>
            </w:r>
          </w:p>
        </w:tc>
        <w:tc>
          <w:tcPr>
            <w:tcW w:w="253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YJV-3*1.5</w:t>
            </w:r>
          </w:p>
        </w:tc>
        <w:tc>
          <w:tcPr>
            <w:tcW w:w="886"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米</w:t>
            </w:r>
          </w:p>
        </w:tc>
        <w:tc>
          <w:tcPr>
            <w:tcW w:w="88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若干</w:t>
            </w:r>
          </w:p>
        </w:tc>
        <w:tc>
          <w:tcPr>
            <w:tcW w:w="92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eastAsia="zh-CN"/>
              </w:rPr>
            </w:pPr>
          </w:p>
        </w:tc>
        <w:tc>
          <w:tcPr>
            <w:tcW w:w="92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9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4</w:t>
            </w:r>
          </w:p>
        </w:tc>
        <w:tc>
          <w:tcPr>
            <w:tcW w:w="146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取样管</w:t>
            </w:r>
          </w:p>
        </w:tc>
        <w:tc>
          <w:tcPr>
            <w:tcW w:w="253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PVC</w:t>
            </w:r>
          </w:p>
        </w:tc>
        <w:tc>
          <w:tcPr>
            <w:tcW w:w="886"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米</w:t>
            </w:r>
          </w:p>
        </w:tc>
        <w:tc>
          <w:tcPr>
            <w:tcW w:w="88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若干</w:t>
            </w:r>
          </w:p>
        </w:tc>
        <w:tc>
          <w:tcPr>
            <w:tcW w:w="92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eastAsia="zh-CN"/>
              </w:rPr>
            </w:pPr>
          </w:p>
        </w:tc>
        <w:tc>
          <w:tcPr>
            <w:tcW w:w="92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9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5</w:t>
            </w:r>
          </w:p>
        </w:tc>
        <w:tc>
          <w:tcPr>
            <w:tcW w:w="146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iFIX系统集成</w:t>
            </w:r>
          </w:p>
        </w:tc>
        <w:tc>
          <w:tcPr>
            <w:tcW w:w="253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w:t>
            </w:r>
          </w:p>
        </w:tc>
        <w:tc>
          <w:tcPr>
            <w:tcW w:w="886"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项</w:t>
            </w:r>
          </w:p>
        </w:tc>
        <w:tc>
          <w:tcPr>
            <w:tcW w:w="88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1</w:t>
            </w:r>
          </w:p>
        </w:tc>
        <w:tc>
          <w:tcPr>
            <w:tcW w:w="92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eastAsia="zh-CN"/>
              </w:rPr>
            </w:pPr>
          </w:p>
        </w:tc>
        <w:tc>
          <w:tcPr>
            <w:tcW w:w="92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89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6</w:t>
            </w:r>
          </w:p>
        </w:tc>
        <w:tc>
          <w:tcPr>
            <w:tcW w:w="146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系统调试费</w:t>
            </w:r>
          </w:p>
        </w:tc>
        <w:tc>
          <w:tcPr>
            <w:tcW w:w="253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w:t>
            </w:r>
          </w:p>
        </w:tc>
        <w:tc>
          <w:tcPr>
            <w:tcW w:w="886"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项</w:t>
            </w:r>
          </w:p>
        </w:tc>
        <w:tc>
          <w:tcPr>
            <w:tcW w:w="88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1</w:t>
            </w:r>
          </w:p>
        </w:tc>
        <w:tc>
          <w:tcPr>
            <w:tcW w:w="92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eastAsia="zh-CN"/>
              </w:rPr>
            </w:pPr>
          </w:p>
        </w:tc>
        <w:tc>
          <w:tcPr>
            <w:tcW w:w="92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5777"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合计</w:t>
            </w:r>
          </w:p>
        </w:tc>
        <w:tc>
          <w:tcPr>
            <w:tcW w:w="88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w:t>
            </w:r>
          </w:p>
        </w:tc>
        <w:tc>
          <w:tcPr>
            <w:tcW w:w="92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w:t>
            </w:r>
          </w:p>
        </w:tc>
        <w:tc>
          <w:tcPr>
            <w:tcW w:w="92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eastAsia="zh-CN"/>
              </w:rPr>
            </w:pPr>
          </w:p>
        </w:tc>
      </w:tr>
    </w:tbl>
    <w:p>
      <w:pPr>
        <w:rPr>
          <w:rFonts w:hint="eastAsia" w:ascii="宋体" w:hAnsi="宋体" w:eastAsia="宋体" w:cs="宋体"/>
          <w:sz w:val="21"/>
          <w:szCs w:val="21"/>
          <w:lang w:val="en-US" w:eastAsia="zh-CN"/>
        </w:rPr>
      </w:pPr>
      <w:r>
        <w:rPr>
          <w:rFonts w:hint="eastAsia" w:ascii="宋体" w:hAnsi="宋体" w:eastAsia="宋体" w:cs="宋体"/>
          <w:lang w:val="en-US" w:eastAsia="zh-CN"/>
        </w:rPr>
        <w:t>注</w:t>
      </w:r>
      <w:r>
        <w:rPr>
          <w:rFonts w:hint="eastAsia" w:ascii="宋体" w:hAnsi="宋体" w:eastAsia="宋体" w:cs="宋体"/>
          <w:sz w:val="21"/>
          <w:szCs w:val="21"/>
          <w:lang w:val="en-US" w:eastAsia="zh-CN"/>
        </w:rPr>
        <w:t>：本次询价要求报价包含以下全部费用：设备本身费用、安装调试</w:t>
      </w:r>
      <w:r>
        <w:rPr>
          <w:rFonts w:hint="eastAsia" w:ascii="宋体" w:hAnsi="宋体" w:eastAsia="宋体" w:cs="宋体"/>
          <w:sz w:val="21"/>
          <w:szCs w:val="21"/>
          <w:lang w:val="en-US" w:eastAsia="zh-CN"/>
        </w:rPr>
        <w:t>费</w:t>
      </w:r>
      <w:r>
        <w:rPr>
          <w:rFonts w:hint="eastAsia" w:ascii="宋体" w:hAnsi="宋体" w:eastAsia="宋体" w:cs="宋体"/>
          <w:sz w:val="21"/>
          <w:szCs w:val="21"/>
          <w:lang w:val="en-US" w:eastAsia="zh-CN"/>
        </w:rPr>
        <w:t>、检测费、培训费、质保费、税费、配送费等，为总价包干，不再另行支付其他费用。</w:t>
      </w:r>
    </w:p>
    <w:p>
      <w:pP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本“设备采购清单”不得被认为是详尽无遗的，无论规定与否，中标人应提供满足该项目工艺技术要求的设备及所有业主未提及的必要的元件、器材、附件、配套设备和相应材料等，并在投标文件报价中一一列明。包括但不限于数量、规格型号、材质及生产厂家等，投标方的投标设备清单及参数规格仅作为采购方定标的参考，最终的设备清单及参数规格按照中标后的获得采购方认可的清单为准。</w:t>
      </w:r>
    </w:p>
    <w:p>
      <w:pP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2、因现场安装条件有限，投标人应现场实地踏勘校核，确保投标的设备符合现场的使用环境。</w:t>
      </w:r>
    </w:p>
    <w:p>
      <w:pPr>
        <w:rPr>
          <w:rFonts w:hint="eastAsia" w:ascii="宋体" w:hAnsi="宋体" w:eastAsia="宋体" w:cs="宋体"/>
          <w:sz w:val="21"/>
          <w:szCs w:val="21"/>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宋体" w:hAnsi="宋体" w:eastAsia="宋体" w:cs="宋体"/>
          <w:sz w:val="21"/>
          <w:szCs w:val="21"/>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lang w:val="en-US" w:eastAsia="zh-CN"/>
        </w:rPr>
      </w:pPr>
      <w:r>
        <w:rPr>
          <w:rFonts w:hint="eastAsia" w:ascii="宋体" w:hAnsi="宋体" w:eastAsia="宋体" w:cs="宋体"/>
          <w:sz w:val="21"/>
          <w:szCs w:val="21"/>
          <w:lang w:val="en-US" w:eastAsia="zh-CN"/>
        </w:rPr>
        <w:t>报价单位</w:t>
      </w:r>
      <w:r>
        <w:rPr>
          <w:rFonts w:hint="default" w:ascii="宋体" w:hAnsi="宋体" w:eastAsia="宋体" w:cs="宋体"/>
          <w:sz w:val="21"/>
          <w:szCs w:val="21"/>
          <w:lang w:val="en-US" w:eastAsia="zh-CN"/>
        </w:rPr>
        <w:t>(盖章)</w:t>
      </w:r>
      <w:r>
        <w:rPr>
          <w:rFonts w:hint="eastAsia" w:ascii="宋体" w:hAnsi="宋体" w:eastAsia="宋体" w:cs="宋体"/>
          <w:sz w:val="21"/>
          <w:szCs w:val="21"/>
          <w:lang w:val="en-US" w:eastAsia="zh-CN"/>
        </w:rPr>
        <w:t xml:space="preserve">：   </w:t>
      </w:r>
      <w:r>
        <w:rPr>
          <w:rFonts w:hint="eastAsia"/>
          <w:lang w:val="en-US" w:eastAsia="zh-CN"/>
        </w:rPr>
        <w:t xml:space="preserve">                                 </w:t>
      </w:r>
    </w:p>
    <w:p>
      <w:pPr>
        <w:rPr>
          <w:rFonts w:hint="eastAsia"/>
          <w:lang w:val="en-US" w:eastAsia="zh-CN"/>
        </w:rPr>
      </w:pPr>
      <w:r>
        <w:rPr>
          <w:rFonts w:hint="eastAsia"/>
          <w:lang w:val="en-US" w:eastAsia="zh-CN"/>
        </w:rPr>
        <w:t>联系人：</w:t>
      </w:r>
    </w:p>
    <w:p>
      <w:pPr>
        <w:pStyle w:val="2"/>
        <w:rPr>
          <w:rFonts w:hint="default"/>
          <w:lang w:val="en-US" w:eastAsia="zh-CN"/>
        </w:rPr>
      </w:pPr>
      <w:r>
        <w:rPr>
          <w:rFonts w:hint="eastAsia"/>
          <w:lang w:val="en-US" w:eastAsia="zh-CN"/>
        </w:rPr>
        <w:t>联系方式：</w:t>
      </w:r>
    </w:p>
    <w:p>
      <w:pPr>
        <w:pStyle w:val="4"/>
        <w:rPr>
          <w:rFonts w:hint="eastAsia" w:ascii="宋体" w:hAnsi="宋体" w:eastAsia="宋体" w:cs="宋体"/>
          <w:sz w:val="21"/>
          <w:szCs w:val="21"/>
          <w:lang w:val="en-US" w:eastAsia="zh-CN"/>
        </w:rPr>
      </w:pPr>
    </w:p>
    <w:p>
      <w:pPr>
        <w:rPr>
          <w:rFonts w:hint="default"/>
          <w:lang w:val="en-US" w:eastAsia="zh-CN"/>
        </w:rPr>
      </w:pPr>
    </w:p>
    <w:p>
      <w:pPr>
        <w:keepNext w:val="0"/>
        <w:keepLines w:val="0"/>
        <w:pageBreakBefore w:val="0"/>
        <w:widowControl w:val="0"/>
        <w:numPr>
          <w:ilvl w:val="0"/>
          <w:numId w:val="1"/>
        </w:numPr>
        <w:kinsoku/>
        <w:wordWrap/>
        <w:overflowPunct/>
        <w:topLinePunct w:val="0"/>
        <w:autoSpaceDE/>
        <w:autoSpaceDN/>
        <w:bidi w:val="0"/>
        <w:adjustRightInd/>
        <w:snapToGrid/>
        <w:spacing w:line="240" w:lineRule="auto"/>
        <w:ind w:left="0" w:leftChars="0" w:firstLine="0" w:firstLineChars="0"/>
        <w:jc w:val="left"/>
        <w:textAlignment w:val="auto"/>
        <w:outlineLvl w:val="1"/>
        <w:rPr>
          <w:rFonts w:hint="default" w:ascii="宋体" w:hAnsi="宋体" w:eastAsia="宋体" w:cs="宋体"/>
          <w:b/>
          <w:sz w:val="21"/>
          <w:szCs w:val="21"/>
          <w:lang w:val="en-US" w:eastAsia="zh-CN"/>
        </w:rPr>
      </w:pPr>
      <w:r>
        <w:rPr>
          <w:rFonts w:hint="eastAsia" w:ascii="宋体" w:hAnsi="宋体" w:eastAsia="宋体" w:cs="宋体"/>
          <w:b/>
          <w:sz w:val="21"/>
          <w:szCs w:val="21"/>
          <w:lang w:val="en-US" w:eastAsia="zh-CN"/>
        </w:rPr>
        <w:t>标准、规范和技术要求</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outlineLvl w:val="1"/>
        <w:rPr>
          <w:rFonts w:hint="eastAsia" w:ascii="宋体" w:hAnsi="宋体" w:eastAsia="宋体" w:cs="宋体"/>
          <w:b/>
          <w:sz w:val="21"/>
          <w:szCs w:val="21"/>
          <w:lang w:val="en-US" w:eastAsia="zh-CN"/>
        </w:rPr>
      </w:pPr>
    </w:p>
    <w:p>
      <w:pPr>
        <w:keepNext w:val="0"/>
        <w:keepLines w:val="0"/>
        <w:pageBreakBefore w:val="0"/>
        <w:widowControl w:val="0"/>
        <w:numPr>
          <w:numId w:val="0"/>
        </w:numPr>
        <w:kinsoku/>
        <w:wordWrap/>
        <w:overflowPunct/>
        <w:topLinePunct w:val="0"/>
        <w:autoSpaceDE/>
        <w:autoSpaceDN/>
        <w:bidi w:val="0"/>
        <w:adjustRightInd/>
        <w:snapToGrid/>
        <w:spacing w:line="240" w:lineRule="auto"/>
        <w:ind w:leftChars="0"/>
        <w:jc w:val="left"/>
        <w:textAlignment w:val="auto"/>
        <w:outlineLvl w:val="1"/>
        <w:rPr>
          <w:rFonts w:hint="eastAsia" w:ascii="宋体" w:hAnsi="宋体" w:eastAsia="宋体" w:cs="宋体"/>
          <w:b/>
          <w:sz w:val="21"/>
          <w:szCs w:val="21"/>
          <w:lang w:val="en-US" w:eastAsia="zh-CN"/>
        </w:rPr>
      </w:pPr>
      <w:r>
        <w:rPr>
          <w:rFonts w:hint="eastAsia" w:ascii="宋体" w:hAnsi="宋体" w:eastAsia="宋体" w:cs="宋体"/>
          <w:b/>
          <w:sz w:val="21"/>
          <w:szCs w:val="21"/>
          <w:lang w:val="en-US" w:eastAsia="zh-CN"/>
        </w:rPr>
        <w:t>（一）总则</w:t>
      </w:r>
    </w:p>
    <w:p>
      <w:pP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1、技术条件的使用范围仅限于观澜茜坑水厂新增两台余氯仪项目的运行条件和技术条件。</w:t>
      </w:r>
    </w:p>
    <w:p>
      <w:pP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2、本技术条件提出的是最低限度的技术条件，并未对一切技术细节做出规定，也未充分引述有关标准和规范的条文，投标人应保证提供符合本条件和标准的优质产品。</w:t>
      </w:r>
    </w:p>
    <w:p>
      <w:pP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3、如果投标人没有以书面形式对本技术条件和条文提出异议，那么可以认为供货方提供的产品完成满足技术条件的要求。</w:t>
      </w:r>
    </w:p>
    <w:p>
      <w:pP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货物应满足本技术要求书及国家和地方规定的标准和规范进行设计和制造。若在设计和制造中应用的某项标准或规范在本技术规范书中没有规定，则投标人应详细说明其所采用的标准和规范，并提供该标准或规范的完整中文原件给招标人。只有当其采用的标准和规范是国际公认的、惯用的，且等于或优于本技术要求书的要求时，此标准或规范才能为招标人所接受。</w:t>
      </w:r>
    </w:p>
    <w:p>
      <w:pP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5.技术要求中所涉及的参考标准应以最新发布的标准为准。</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outlineLvl w:val="1"/>
        <w:rPr>
          <w:rFonts w:hint="eastAsia" w:ascii="宋体" w:hAnsi="宋体" w:eastAsia="宋体" w:cs="宋体"/>
          <w:b/>
          <w:sz w:val="21"/>
          <w:szCs w:val="21"/>
          <w:lang w:val="en-US" w:eastAsia="zh-CN"/>
        </w:rPr>
      </w:pPr>
      <w:r>
        <w:rPr>
          <w:rFonts w:hint="eastAsia" w:ascii="宋体" w:hAnsi="宋体" w:eastAsia="宋体" w:cs="宋体"/>
          <w:b/>
          <w:sz w:val="21"/>
          <w:szCs w:val="21"/>
          <w:lang w:val="en-US" w:eastAsia="zh-CN"/>
        </w:rPr>
        <w:t xml:space="preserve">（二）招标货物总体要求 </w:t>
      </w:r>
    </w:p>
    <w:p>
      <w:pP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 xml:space="preserve">1、招标范围包括货物的设计、生产制造、供应、安装调试、验收等。 </w:t>
      </w:r>
    </w:p>
    <w:p>
      <w:pP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 xml:space="preserve">2、所有主要设备必须可10年正常工作。 </w:t>
      </w:r>
    </w:p>
    <w:p>
      <w:pP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 xml:space="preserve">3、所有装置设计必须考虑防火、防尘、耐用、节能、容易清洁、 方便维护 。 </w:t>
      </w:r>
    </w:p>
    <w:p>
      <w:pP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 xml:space="preserve">4、所有使用的材料和工艺必须是满足要求的。 </w:t>
      </w:r>
    </w:p>
    <w:p>
      <w:pP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5、中标人负责原设备（如有）拆除、清理并按招标单位要求置于指定地点，施工、垃圾清运，以及后续设备安装，费用已包含在本次招标供货范围中。</w:t>
      </w:r>
    </w:p>
    <w:p>
      <w:pP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6、中标人送货时应提供仪表设备的合格证明文件，包含但不限于向设备生产厂家购买的合同文件、送货清单等。</w:t>
      </w:r>
    </w:p>
    <w:p>
      <w:pPr>
        <w:spacing w:line="360" w:lineRule="auto"/>
        <w:rPr>
          <w:rFonts w:ascii="宋体" w:hAnsi="宋体"/>
          <w:b/>
          <w:bCs/>
          <w:sz w:val="28"/>
          <w:szCs w:val="28"/>
        </w:rPr>
      </w:pPr>
      <w:r>
        <w:rPr>
          <w:rFonts w:hint="eastAsia" w:ascii="仿宋" w:hAnsi="仿宋" w:eastAsia="仿宋"/>
          <w:b/>
          <w:bCs/>
          <w:sz w:val="30"/>
          <w:szCs w:val="30"/>
        </w:rPr>
        <w:t>（</w:t>
      </w:r>
      <w:r>
        <w:rPr>
          <w:rFonts w:hint="eastAsia" w:ascii="宋体" w:hAnsi="宋体" w:eastAsia="宋体" w:cs="宋体"/>
          <w:b/>
          <w:sz w:val="21"/>
          <w:szCs w:val="21"/>
          <w:lang w:val="en-US" w:eastAsia="zh-CN"/>
        </w:rPr>
        <w:t>三）技术要求</w:t>
      </w:r>
    </w:p>
    <w:p>
      <w:pPr>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1.技术要求</w:t>
      </w:r>
    </w:p>
    <w:p>
      <w:pP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于一、二期滤池仪表台各安装一台余氯在线监测仪，若安装空间不足，需对原有仪表进行移位调整。所有新增余氯仪信号线缆均重新布设并接入滤池主站的PLC控制柜，全程采用 PVC 线管防护敷设。取样管路沿用原有管线，加装三通支管为新增设备取用水样；药剂排放管路统一接入非回收排水管道。</w:t>
      </w:r>
    </w:p>
    <w:p>
      <w:pP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中标人完成设备安装后，须完善仪表数据的PLC采集程序，实现监测数据同步上传至观澜、红木山中控上位机及厂站管理平台，保障中控服务器数据实时同步，同时确保服务器的主从切换功能。</w:t>
      </w:r>
    </w:p>
    <w:p>
      <w:pP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2.电线电缆</w:t>
      </w:r>
    </w:p>
    <w:p>
      <w:pP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推荐选用知名品牌，如金龙羽、成天泰、奔达康等本地或者国内知名品牌，需有CCC认证，不得使用国家禁止产品名录的电缆，尤其是橡皮电缆。本项目所涉及的产品，因现状处于腐蚀环境而迁改，新敷设线缆需充分做好各种保护，尤其是设备端接线，需考虑葛兰头或者其它密封防腐蚀措施。</w:t>
      </w:r>
    </w:p>
    <w:p>
      <w:pP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3.线管辅材类</w:t>
      </w:r>
    </w:p>
    <w:p>
      <w:pPr>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推荐选用知名品牌，选用联塑、日丰、伟星、金牛等知名品牌。</w:t>
      </w:r>
    </w:p>
    <w:p>
      <w:pP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4.仪表设备</w:t>
      </w:r>
    </w:p>
    <w:p>
      <w:pPr>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推荐选用主流品牌：哈希、swan、普罗名特或同档次以上知名品牌。</w:t>
      </w:r>
    </w:p>
    <w:p>
      <w:pPr>
        <w:spacing w:line="360" w:lineRule="auto"/>
        <w:rPr>
          <w:rFonts w:hint="eastAsia" w:ascii="宋体" w:hAnsi="宋体" w:eastAsia="宋体" w:cs="宋体"/>
          <w:b/>
          <w:sz w:val="21"/>
          <w:szCs w:val="21"/>
          <w:lang w:val="en-US" w:eastAsia="zh-CN"/>
        </w:rPr>
      </w:pPr>
      <w:r>
        <w:rPr>
          <w:rFonts w:hint="eastAsia" w:ascii="宋体" w:hAnsi="宋体" w:eastAsia="宋体" w:cs="宋体"/>
          <w:b/>
          <w:sz w:val="21"/>
          <w:szCs w:val="21"/>
          <w:lang w:val="en-US" w:eastAsia="zh-CN"/>
        </w:rPr>
        <w:t>三、联系方式</w:t>
      </w:r>
    </w:p>
    <w:p/>
    <w:tbl>
      <w:tblPr>
        <w:tblStyle w:val="5"/>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2503"/>
        <w:gridCol w:w="60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465" w:type="pct"/>
            <w:tcMar>
              <w:top w:w="60" w:type="dxa"/>
              <w:left w:w="120" w:type="dxa"/>
              <w:bottom w:w="30" w:type="dxa"/>
              <w:right w:w="120" w:type="dxa"/>
            </w:tcMar>
          </w:tcPr>
          <w:p>
            <w:pPr>
              <w:keepNext w:val="0"/>
              <w:keepLines w:val="0"/>
              <w:pageBreakBefore w:val="0"/>
              <w:widowControl w:val="0"/>
              <w:kinsoku/>
              <w:wordWrap/>
              <w:overflowPunct/>
              <w:topLinePunct w:val="0"/>
              <w:autoSpaceDE/>
              <w:autoSpaceDN/>
              <w:bidi w:val="0"/>
              <w:adjustRightInd/>
              <w:snapToGrid/>
              <w:spacing w:line="240" w:lineRule="auto"/>
              <w:ind w:left="0"/>
              <w:jc w:val="left"/>
              <w:textAlignment w:val="auto"/>
              <w:rPr>
                <w:rFonts w:hint="eastAsia" w:ascii="宋体" w:hAnsi="宋体" w:eastAsia="宋体" w:cs="宋体"/>
                <w:sz w:val="21"/>
                <w:szCs w:val="21"/>
              </w:rPr>
            </w:pPr>
            <w:r>
              <w:rPr>
                <w:rFonts w:hint="eastAsia" w:ascii="宋体" w:hAnsi="宋体" w:eastAsia="宋体" w:cs="宋体"/>
                <w:b/>
                <w:sz w:val="21"/>
                <w:szCs w:val="21"/>
              </w:rPr>
              <w:t>项目</w:t>
            </w:r>
          </w:p>
        </w:tc>
        <w:tc>
          <w:tcPr>
            <w:tcW w:w="3534" w:type="pct"/>
            <w:tcMar>
              <w:top w:w="60" w:type="dxa"/>
              <w:left w:w="120" w:type="dxa"/>
              <w:bottom w:w="30" w:type="dxa"/>
              <w:right w:w="120" w:type="dxa"/>
            </w:tcMar>
          </w:tcPr>
          <w:p>
            <w:pPr>
              <w:keepNext w:val="0"/>
              <w:keepLines w:val="0"/>
              <w:pageBreakBefore w:val="0"/>
              <w:widowControl w:val="0"/>
              <w:kinsoku/>
              <w:wordWrap/>
              <w:overflowPunct/>
              <w:topLinePunct w:val="0"/>
              <w:autoSpaceDE/>
              <w:autoSpaceDN/>
              <w:bidi w:val="0"/>
              <w:adjustRightInd/>
              <w:snapToGrid/>
              <w:spacing w:line="240" w:lineRule="auto"/>
              <w:ind w:left="0"/>
              <w:jc w:val="left"/>
              <w:textAlignment w:val="auto"/>
              <w:rPr>
                <w:rFonts w:hint="eastAsia" w:ascii="宋体" w:hAnsi="宋体" w:eastAsia="宋体" w:cs="宋体"/>
                <w:sz w:val="21"/>
                <w:szCs w:val="21"/>
              </w:rPr>
            </w:pPr>
            <w:r>
              <w:rPr>
                <w:rFonts w:hint="eastAsia" w:ascii="宋体" w:hAnsi="宋体" w:eastAsia="宋体" w:cs="宋体"/>
                <w:b/>
                <w:sz w:val="21"/>
                <w:szCs w:val="21"/>
              </w:rPr>
              <w:t>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465" w:type="pct"/>
            <w:tcMar>
              <w:top w:w="60" w:type="dxa"/>
              <w:left w:w="120" w:type="dxa"/>
              <w:bottom w:w="30" w:type="dxa"/>
              <w:right w:w="120" w:type="dxa"/>
            </w:tcMar>
          </w:tcPr>
          <w:p>
            <w:pPr>
              <w:keepNext w:val="0"/>
              <w:keepLines w:val="0"/>
              <w:pageBreakBefore w:val="0"/>
              <w:widowControl w:val="0"/>
              <w:kinsoku/>
              <w:wordWrap/>
              <w:overflowPunct/>
              <w:topLinePunct w:val="0"/>
              <w:autoSpaceDE/>
              <w:autoSpaceDN/>
              <w:bidi w:val="0"/>
              <w:adjustRightInd/>
              <w:snapToGrid/>
              <w:spacing w:line="240" w:lineRule="auto"/>
              <w:ind w:left="0"/>
              <w:jc w:val="left"/>
              <w:textAlignment w:val="auto"/>
              <w:rPr>
                <w:rFonts w:hint="eastAsia" w:ascii="宋体" w:hAnsi="宋体" w:eastAsia="宋体" w:cs="宋体"/>
                <w:sz w:val="21"/>
                <w:szCs w:val="21"/>
              </w:rPr>
            </w:pPr>
            <w:r>
              <w:rPr>
                <w:rFonts w:hint="eastAsia" w:ascii="宋体" w:hAnsi="宋体" w:eastAsia="宋体" w:cs="宋体"/>
                <w:sz w:val="21"/>
                <w:szCs w:val="21"/>
              </w:rPr>
              <w:t>询价单位</w:t>
            </w:r>
          </w:p>
        </w:tc>
        <w:tc>
          <w:tcPr>
            <w:tcW w:w="3534" w:type="pct"/>
            <w:tcMar>
              <w:top w:w="60" w:type="dxa"/>
              <w:left w:w="120" w:type="dxa"/>
              <w:bottom w:w="30" w:type="dxa"/>
              <w:right w:w="120" w:type="dxa"/>
            </w:tcMar>
          </w:tcPr>
          <w:p>
            <w:pPr>
              <w:keepNext w:val="0"/>
              <w:keepLines w:val="0"/>
              <w:pageBreakBefore w:val="0"/>
              <w:widowControl w:val="0"/>
              <w:kinsoku/>
              <w:wordWrap/>
              <w:overflowPunct/>
              <w:topLinePunct w:val="0"/>
              <w:autoSpaceDE/>
              <w:autoSpaceDN/>
              <w:bidi w:val="0"/>
              <w:adjustRightInd/>
              <w:snapToGrid/>
              <w:spacing w:line="240" w:lineRule="auto"/>
              <w:ind w:left="0"/>
              <w:jc w:val="left"/>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深圳市深水龙华水务有限公司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465" w:type="pct"/>
            <w:tcMar>
              <w:top w:w="60" w:type="dxa"/>
              <w:left w:w="120" w:type="dxa"/>
              <w:bottom w:w="30" w:type="dxa"/>
              <w:right w:w="120" w:type="dxa"/>
            </w:tcMar>
          </w:tcPr>
          <w:p>
            <w:pPr>
              <w:keepNext w:val="0"/>
              <w:keepLines w:val="0"/>
              <w:pageBreakBefore w:val="0"/>
              <w:widowControl w:val="0"/>
              <w:kinsoku/>
              <w:wordWrap/>
              <w:overflowPunct/>
              <w:topLinePunct w:val="0"/>
              <w:autoSpaceDE/>
              <w:autoSpaceDN/>
              <w:bidi w:val="0"/>
              <w:adjustRightInd/>
              <w:snapToGrid/>
              <w:spacing w:line="240" w:lineRule="auto"/>
              <w:ind w:left="0"/>
              <w:jc w:val="left"/>
              <w:textAlignment w:val="auto"/>
              <w:rPr>
                <w:rFonts w:hint="eastAsia" w:ascii="宋体" w:hAnsi="宋体" w:eastAsia="宋体" w:cs="宋体"/>
                <w:sz w:val="21"/>
                <w:szCs w:val="21"/>
              </w:rPr>
            </w:pPr>
            <w:r>
              <w:rPr>
                <w:rFonts w:hint="eastAsia" w:ascii="宋体" w:hAnsi="宋体" w:eastAsia="宋体" w:cs="宋体"/>
                <w:sz w:val="21"/>
                <w:szCs w:val="21"/>
              </w:rPr>
              <w:t>联系人</w:t>
            </w:r>
          </w:p>
        </w:tc>
        <w:tc>
          <w:tcPr>
            <w:tcW w:w="3534" w:type="pct"/>
            <w:tcMar>
              <w:top w:w="60" w:type="dxa"/>
              <w:left w:w="120" w:type="dxa"/>
              <w:bottom w:w="30" w:type="dxa"/>
              <w:right w:w="120" w:type="dxa"/>
            </w:tcMar>
          </w:tcPr>
          <w:p>
            <w:pPr>
              <w:keepNext w:val="0"/>
              <w:keepLines w:val="0"/>
              <w:pageBreakBefore w:val="0"/>
              <w:widowControl w:val="0"/>
              <w:kinsoku/>
              <w:wordWrap/>
              <w:overflowPunct/>
              <w:topLinePunct w:val="0"/>
              <w:autoSpaceDE/>
              <w:autoSpaceDN/>
              <w:bidi w:val="0"/>
              <w:adjustRightInd/>
              <w:snapToGrid/>
              <w:spacing w:line="240" w:lineRule="auto"/>
              <w:ind w:left="0"/>
              <w:jc w:val="left"/>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戴仪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465" w:type="pct"/>
            <w:tcMar>
              <w:top w:w="60" w:type="dxa"/>
              <w:left w:w="120" w:type="dxa"/>
              <w:bottom w:w="30" w:type="dxa"/>
              <w:right w:w="120" w:type="dxa"/>
            </w:tcMar>
          </w:tcPr>
          <w:p>
            <w:pPr>
              <w:keepNext w:val="0"/>
              <w:keepLines w:val="0"/>
              <w:pageBreakBefore w:val="0"/>
              <w:widowControl w:val="0"/>
              <w:kinsoku/>
              <w:wordWrap/>
              <w:overflowPunct/>
              <w:topLinePunct w:val="0"/>
              <w:autoSpaceDE/>
              <w:autoSpaceDN/>
              <w:bidi w:val="0"/>
              <w:adjustRightInd/>
              <w:snapToGrid/>
              <w:spacing w:line="240" w:lineRule="auto"/>
              <w:ind w:left="0"/>
              <w:jc w:val="left"/>
              <w:textAlignment w:val="auto"/>
              <w:rPr>
                <w:rFonts w:hint="eastAsia" w:ascii="宋体" w:hAnsi="宋体" w:eastAsia="宋体" w:cs="宋体"/>
                <w:sz w:val="21"/>
                <w:szCs w:val="21"/>
              </w:rPr>
            </w:pPr>
            <w:r>
              <w:rPr>
                <w:rFonts w:hint="eastAsia" w:ascii="宋体" w:hAnsi="宋体" w:eastAsia="宋体" w:cs="宋体"/>
                <w:sz w:val="21"/>
                <w:szCs w:val="21"/>
              </w:rPr>
              <w:t>联系电话</w:t>
            </w:r>
          </w:p>
        </w:tc>
        <w:tc>
          <w:tcPr>
            <w:tcW w:w="3534" w:type="pct"/>
            <w:tcMar>
              <w:top w:w="60" w:type="dxa"/>
              <w:left w:w="120" w:type="dxa"/>
              <w:bottom w:w="30" w:type="dxa"/>
              <w:right w:w="120" w:type="dxa"/>
            </w:tcMar>
          </w:tcPr>
          <w:p>
            <w:pPr>
              <w:keepNext w:val="0"/>
              <w:keepLines w:val="0"/>
              <w:pageBreakBefore w:val="0"/>
              <w:widowControl w:val="0"/>
              <w:kinsoku/>
              <w:wordWrap/>
              <w:overflowPunct/>
              <w:topLinePunct w:val="0"/>
              <w:autoSpaceDE/>
              <w:autoSpaceDN/>
              <w:bidi w:val="0"/>
              <w:adjustRightInd/>
              <w:snapToGrid/>
              <w:spacing w:line="240" w:lineRule="auto"/>
              <w:ind w:left="0"/>
              <w:jc w:val="left"/>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13025420342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465" w:type="pct"/>
            <w:tcMar>
              <w:top w:w="60" w:type="dxa"/>
              <w:left w:w="120" w:type="dxa"/>
              <w:bottom w:w="30" w:type="dxa"/>
              <w:right w:w="120" w:type="dxa"/>
            </w:tcMar>
          </w:tcPr>
          <w:p>
            <w:pPr>
              <w:keepNext w:val="0"/>
              <w:keepLines w:val="0"/>
              <w:pageBreakBefore w:val="0"/>
              <w:widowControl w:val="0"/>
              <w:kinsoku/>
              <w:wordWrap/>
              <w:overflowPunct/>
              <w:topLinePunct w:val="0"/>
              <w:autoSpaceDE/>
              <w:autoSpaceDN/>
              <w:bidi w:val="0"/>
              <w:adjustRightInd/>
              <w:snapToGrid/>
              <w:spacing w:line="240" w:lineRule="auto"/>
              <w:ind w:left="0"/>
              <w:jc w:val="left"/>
              <w:textAlignment w:val="auto"/>
              <w:rPr>
                <w:rFonts w:hint="eastAsia" w:ascii="宋体" w:hAnsi="宋体" w:eastAsia="宋体" w:cs="宋体"/>
                <w:sz w:val="21"/>
                <w:szCs w:val="21"/>
              </w:rPr>
            </w:pPr>
            <w:r>
              <w:rPr>
                <w:rFonts w:hint="eastAsia" w:ascii="宋体" w:hAnsi="宋体" w:eastAsia="宋体" w:cs="宋体"/>
                <w:sz w:val="21"/>
                <w:szCs w:val="21"/>
              </w:rPr>
              <w:t>电子邮箱</w:t>
            </w:r>
          </w:p>
        </w:tc>
        <w:tc>
          <w:tcPr>
            <w:tcW w:w="3534" w:type="pct"/>
            <w:tcMar>
              <w:top w:w="60" w:type="dxa"/>
              <w:left w:w="120" w:type="dxa"/>
              <w:bottom w:w="30" w:type="dxa"/>
              <w:right w:w="120" w:type="dxa"/>
            </w:tcMar>
          </w:tcPr>
          <w:p>
            <w:pPr>
              <w:keepNext w:val="0"/>
              <w:keepLines w:val="0"/>
              <w:pageBreakBefore w:val="0"/>
              <w:widowControl w:val="0"/>
              <w:kinsoku/>
              <w:wordWrap/>
              <w:overflowPunct/>
              <w:topLinePunct w:val="0"/>
              <w:autoSpaceDE/>
              <w:autoSpaceDN/>
              <w:bidi w:val="0"/>
              <w:adjustRightInd/>
              <w:snapToGrid/>
              <w:spacing w:line="240" w:lineRule="auto"/>
              <w:ind w:left="0"/>
              <w:jc w:val="left"/>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1042184057@QQ.com</w:t>
            </w:r>
          </w:p>
        </w:tc>
      </w:tr>
    </w:tbl>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outlineLvl w:val="1"/>
        <w:rPr>
          <w:rFonts w:hint="eastAsia" w:ascii="宋体" w:hAnsi="宋体" w:eastAsia="宋体" w:cs="宋体"/>
          <w:b/>
          <w:sz w:val="21"/>
          <w:szCs w:val="21"/>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ED5E0A4"/>
    <w:multiLevelType w:val="singleLevel"/>
    <w:tmpl w:val="CED5E0A4"/>
    <w:lvl w:ilvl="0" w:tentative="0">
      <w:start w:val="1"/>
      <w:numFmt w:val="chineseCounting"/>
      <w:suff w:val="nothing"/>
      <w:lvlText w:val="%1、"/>
      <w:lvlJc w:val="left"/>
      <w:pPr>
        <w:ind w:left="0" w:firstLine="42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U0NWIwZmNjNzkyMjg5NDc5ZTFmYjA5NWIyNzU1ZjYifQ=="/>
  </w:docVars>
  <w:rsids>
    <w:rsidRoot w:val="574F7460"/>
    <w:rsid w:val="574F74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4">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Plain Text"/>
    <w:basedOn w:val="1"/>
    <w:next w:val="3"/>
    <w:qFormat/>
    <w:uiPriority w:val="0"/>
    <w:rPr>
      <w:rFonts w:ascii="宋体" w:hAnsi="Courier New"/>
      <w:szCs w:val="20"/>
    </w:rPr>
  </w:style>
  <w:style w:type="paragraph" w:styleId="3">
    <w:name w:val="index 8"/>
    <w:basedOn w:val="1"/>
    <w:next w:val="1"/>
    <w:semiHidden/>
    <w:qFormat/>
    <w:uiPriority w:val="0"/>
    <w:pPr>
      <w:ind w:left="1680" w:hanging="210"/>
      <w:jc w:val="left"/>
    </w:pPr>
    <w:rPr>
      <w:sz w:val="20"/>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628</Words>
  <Characters>738</Characters>
  <Lines>0</Lines>
  <Paragraphs>0</Paragraphs>
  <TotalTime>2</TotalTime>
  <ScaleCrop>false</ScaleCrop>
  <LinksUpToDate>false</LinksUpToDate>
  <CharactersWithSpaces>743</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2026-06-08T02:00:00Z</dcterms:created>
  <dc:creator>肆拾2</dc:creator>
  <cp:lastModifiedBy>肆拾2</cp:lastModifiedBy>
  <dcterms:modified xsi:type="dcterms:W3CDTF">2026-06-08T09:08:15Z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7218562BC6BF41F1B746C19289E7743A_11</vt:lpwstr>
  </property>
</Properties>
</file>