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24"/>
          <w:szCs w:val="24"/>
        </w:rPr>
      </w:pPr>
      <w:bookmarkStart w:id="0" w:name="_GoBack"/>
      <w:r>
        <w:rPr>
          <w:rFonts w:hint="default" w:ascii="Segoe UI" w:hAnsi="Segoe UI" w:eastAsia="Segoe UI" w:cs="Segoe UI"/>
          <w:b/>
          <w:bCs/>
          <w:i w:val="0"/>
          <w:iCs w:val="0"/>
          <w:caps w:val="0"/>
          <w:color w:val="0F1115"/>
          <w:spacing w:val="0"/>
          <w:sz w:val="24"/>
          <w:szCs w:val="24"/>
          <w:shd w:val="clear" w:fill="FFFFFF"/>
        </w:rPr>
        <w:t>深圳市深水龙华水务有限公司观澜茜坑水厂一期滤池低压房配电柜更换项目</w:t>
      </w:r>
    </w:p>
    <w:p>
      <w:pPr>
        <w:pStyle w:val="6"/>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市场价格询价公告</w:t>
      </w:r>
    </w:p>
    <w:bookmarkEnd w:id="0"/>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致各潜在供应商：</w:t>
      </w:r>
    </w:p>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我单位拟实施观澜茜坑水厂一期滤池低压房配电柜更换项目，包含以下内容：</w:t>
      </w:r>
    </w:p>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设备供货：2台SCB14-1000KVA干式变压器（二级能效）；12面低压配电柜（含进线柜、母联柜、馈线柜、SVG无功补偿柜及风机软启动控制柜，其中两台水泵变频器利旧）；配套负荷监控箱、汇流铜排、配电房安健环等辅材。</w:t>
      </w:r>
    </w:p>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2.施工服务：原12面低压柜及2台变压器拆除、清理并运至指定地点；新设备安装、电缆敷设接线、设备基础制作、地面及墙面恢复（如有破坏）、施工及垃圾清运。</w:t>
      </w:r>
    </w:p>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3.调试服务：全系统安装调试、备自投装置调试、与厂区PLC及SCADA系统联调，确保设备正常运行并通过当地供电部门验收送电。</w:t>
      </w:r>
    </w:p>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4.所有设备材料须满足技术规范要求，保证符合国家及行业标准，并包含为完成项目所需的未列明但必要的附件及服务。</w:t>
      </w:r>
    </w:p>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现开展市场询价工作。诚邀贵司根据要求，提供真实、有效的市场价格信息，作为我单位编制项目采购控制价的参考依据。</w:t>
      </w:r>
    </w:p>
    <w:p>
      <w:pPr>
        <w:keepNext w:val="0"/>
        <w:keepLines w:val="0"/>
        <w:pageBreakBefore w:val="0"/>
        <w:widowControl w:val="0"/>
        <w:kinsoku/>
        <w:wordWrap/>
        <w:overflowPunct/>
        <w:topLinePunct w:val="0"/>
        <w:autoSpaceDE/>
        <w:autoSpaceDN/>
        <w:bidi w:val="0"/>
        <w:adjustRightInd/>
        <w:snapToGrid/>
        <w:spacing w:line="240" w:lineRule="auto"/>
        <w:ind w:left="0" w:firstLine="210" w:firstLineChars="1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本次询价结果仅作为控制价编制的参考，不作为正式投标邀请或中标承诺。</w:t>
      </w:r>
    </w:p>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outlineLvl w:val="1"/>
        <w:rPr>
          <w:rFonts w:hint="eastAsia" w:ascii="Times New Roman" w:hAnsi="Times New Roman" w:eastAsia="宋体" w:cs="Times New Roman"/>
          <w:kern w:val="0"/>
          <w:sz w:val="24"/>
          <w:szCs w:val="24"/>
        </w:rPr>
      </w:pPr>
      <w:r>
        <w:rPr>
          <w:rFonts w:hint="eastAsia" w:ascii="宋体" w:hAnsi="宋体" w:eastAsia="宋体" w:cs="宋体"/>
          <w:b/>
          <w:sz w:val="21"/>
          <w:szCs w:val="21"/>
        </w:rPr>
        <w:t>拟采购设备</w:t>
      </w:r>
      <w:r>
        <w:rPr>
          <w:rFonts w:hint="eastAsia" w:ascii="宋体" w:hAnsi="宋体" w:eastAsia="宋体" w:cs="宋体"/>
          <w:b/>
          <w:sz w:val="21"/>
          <w:szCs w:val="21"/>
          <w:lang w:val="en-US" w:eastAsia="zh-CN"/>
        </w:rPr>
        <w:t>清单</w:t>
      </w:r>
    </w:p>
    <w:tbl>
      <w:tblPr>
        <w:tblStyle w:val="7"/>
        <w:tblW w:w="9399" w:type="dxa"/>
        <w:tblInd w:w="0" w:type="dxa"/>
        <w:tblLayout w:type="fixed"/>
        <w:tblCellMar>
          <w:top w:w="0" w:type="dxa"/>
          <w:left w:w="108" w:type="dxa"/>
          <w:bottom w:w="0" w:type="dxa"/>
          <w:right w:w="108" w:type="dxa"/>
        </w:tblCellMar>
      </w:tblPr>
      <w:tblGrid>
        <w:gridCol w:w="489"/>
        <w:gridCol w:w="1095"/>
        <w:gridCol w:w="1740"/>
        <w:gridCol w:w="510"/>
        <w:gridCol w:w="495"/>
        <w:gridCol w:w="1080"/>
        <w:gridCol w:w="1245"/>
        <w:gridCol w:w="2745"/>
      </w:tblGrid>
      <w:tr>
        <w:tblPrEx>
          <w:tblCellMar>
            <w:top w:w="0" w:type="dxa"/>
            <w:left w:w="108" w:type="dxa"/>
            <w:bottom w:w="0" w:type="dxa"/>
            <w:right w:w="108" w:type="dxa"/>
          </w:tblCellMar>
        </w:tblPrEx>
        <w:trPr>
          <w:trHeight w:val="46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rPr>
            </w:pPr>
            <w:r>
              <w:rPr>
                <w:rFonts w:hint="eastAsia" w:ascii="宋体" w:hAnsi="宋体" w:eastAsia="宋体" w:cs="宋体"/>
                <w:sz w:val="20"/>
              </w:rPr>
              <w:t>序号</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rPr>
            </w:pPr>
            <w:r>
              <w:rPr>
                <w:rFonts w:hint="eastAsia" w:ascii="宋体" w:hAnsi="宋体" w:eastAsia="宋体" w:cs="宋体"/>
                <w:sz w:val="20"/>
              </w:rPr>
              <w:t>设备名称</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rPr>
              <w:t>规格</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rPr>
            </w:pPr>
            <w:r>
              <w:rPr>
                <w:rFonts w:hint="eastAsia" w:ascii="宋体" w:hAnsi="宋体" w:eastAsia="宋体" w:cs="宋体"/>
                <w:sz w:val="20"/>
              </w:rPr>
              <w:t>数量</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rPr>
            </w:pPr>
            <w:r>
              <w:rPr>
                <w:rFonts w:hint="eastAsia" w:ascii="宋体" w:hAnsi="宋体" w:eastAsia="宋体" w:cs="宋体"/>
                <w:sz w:val="20"/>
              </w:rPr>
              <w:t>单位</w:t>
            </w:r>
          </w:p>
        </w:tc>
        <w:tc>
          <w:tcPr>
            <w:tcW w:w="108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default" w:ascii="宋体" w:hAnsi="宋体" w:eastAsia="宋体" w:cs="宋体"/>
                <w:kern w:val="2"/>
                <w:sz w:val="20"/>
                <w:szCs w:val="21"/>
                <w:lang w:val="en-US" w:eastAsia="zh-CN" w:bidi="ar-SA"/>
              </w:rPr>
            </w:pPr>
            <w:r>
              <w:rPr>
                <w:rFonts w:hint="eastAsia" w:ascii="宋体" w:hAnsi="宋体" w:eastAsia="宋体" w:cs="宋体"/>
                <w:kern w:val="2"/>
                <w:sz w:val="20"/>
                <w:szCs w:val="21"/>
                <w:lang w:val="en-US" w:eastAsia="zh-CN" w:bidi="ar-SA"/>
              </w:rPr>
              <w:t>单价</w:t>
            </w:r>
          </w:p>
        </w:tc>
        <w:tc>
          <w:tcPr>
            <w:tcW w:w="1245"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default" w:ascii="宋体" w:hAnsi="宋体" w:eastAsia="宋体" w:cs="宋体"/>
                <w:kern w:val="2"/>
                <w:sz w:val="20"/>
                <w:szCs w:val="21"/>
                <w:lang w:val="en-US" w:eastAsia="zh-CN" w:bidi="ar-SA"/>
              </w:rPr>
            </w:pPr>
            <w:r>
              <w:rPr>
                <w:rFonts w:hint="eastAsia" w:ascii="宋体" w:hAnsi="宋体" w:eastAsia="宋体" w:cs="宋体"/>
                <w:kern w:val="2"/>
                <w:sz w:val="20"/>
                <w:szCs w:val="21"/>
                <w:lang w:val="en-US" w:eastAsia="zh-CN" w:bidi="ar-SA"/>
              </w:rPr>
              <w:t>小计</w:t>
            </w:r>
          </w:p>
        </w:tc>
        <w:tc>
          <w:tcPr>
            <w:tcW w:w="2745"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备注</w:t>
            </w:r>
          </w:p>
        </w:tc>
      </w:tr>
      <w:tr>
        <w:tblPrEx>
          <w:tblCellMar>
            <w:top w:w="0" w:type="dxa"/>
            <w:left w:w="108" w:type="dxa"/>
            <w:bottom w:w="0" w:type="dxa"/>
            <w:right w:w="108" w:type="dxa"/>
          </w:tblCellMar>
        </w:tblPrEx>
        <w:trPr>
          <w:trHeight w:val="46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eastAsia="zh-CN"/>
              </w:rPr>
            </w:pPr>
            <w:r>
              <w:rPr>
                <w:rFonts w:hint="eastAsia" w:ascii="宋体" w:hAnsi="宋体" w:eastAsia="宋体" w:cs="宋体"/>
                <w:sz w:val="20"/>
                <w:lang w:val="en-US" w:eastAsia="zh-CN"/>
              </w:rPr>
              <w:t>1</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变压器</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SCB14-1000/10/0.4kv,Uk=6%,D,yn11,带防护外壳、测温模块</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台</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推荐选用顺特、金盘、许继或同等档次的产品，排名不分先后。必须符合国家二级能效要求</w:t>
            </w:r>
          </w:p>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（GB 20052-2020）</w:t>
            </w:r>
          </w:p>
        </w:tc>
      </w:tr>
      <w:tr>
        <w:tblPrEx>
          <w:tblCellMar>
            <w:top w:w="0" w:type="dxa"/>
            <w:left w:w="108" w:type="dxa"/>
            <w:bottom w:w="0" w:type="dxa"/>
            <w:right w:w="108" w:type="dxa"/>
          </w:tblCellMar>
        </w:tblPrEx>
        <w:trPr>
          <w:trHeight w:val="6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rPr>
              <w:t>低压</w:t>
            </w:r>
            <w:r>
              <w:rPr>
                <w:rFonts w:hint="eastAsia" w:ascii="宋体" w:hAnsi="宋体" w:eastAsia="宋体" w:cs="宋体"/>
                <w:sz w:val="20"/>
                <w:lang w:val="en-US" w:eastAsia="zh-CN"/>
              </w:rPr>
              <w:t>进线</w:t>
            </w:r>
            <w:r>
              <w:rPr>
                <w:rFonts w:hint="eastAsia" w:ascii="宋体" w:hAnsi="宋体" w:eastAsia="宋体" w:cs="宋体"/>
                <w:sz w:val="20"/>
              </w:rPr>
              <w:t>柜</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0.4kV，配母排测温装置，预留485通讯接口</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面</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推荐选用不低于MDmax（ABB授权）、BLOKSET（施耐德授权）、SIVACON-8PT（西门子授权）品牌、型号的产品</w:t>
            </w:r>
          </w:p>
        </w:tc>
      </w:tr>
      <w:tr>
        <w:tblPrEx>
          <w:tblCellMar>
            <w:top w:w="0" w:type="dxa"/>
            <w:left w:w="108" w:type="dxa"/>
            <w:bottom w:w="0" w:type="dxa"/>
            <w:right w:w="108" w:type="dxa"/>
          </w:tblCellMar>
        </w:tblPrEx>
        <w:trPr>
          <w:trHeight w:val="6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3</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低压补偿柜</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400kVAR SVG</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面</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推荐选用不低于</w:t>
            </w:r>
            <w:r>
              <w:rPr>
                <w:rFonts w:hint="eastAsia" w:ascii="宋体" w:hAnsi="宋体" w:eastAsia="宋体" w:cs="宋体"/>
                <w:sz w:val="20"/>
                <w:lang w:eastAsia="zh-CN"/>
              </w:rPr>
              <w:t>深圳海思瑞科、深圳三和、</w:t>
            </w:r>
            <w:r>
              <w:rPr>
                <w:rFonts w:hint="eastAsia" w:ascii="宋体" w:hAnsi="宋体" w:eastAsia="宋体" w:cs="宋体"/>
                <w:sz w:val="20"/>
                <w:lang w:val="en-US" w:eastAsia="zh-CN"/>
              </w:rPr>
              <w:t>深圳恩玖等国产品牌SVG</w:t>
            </w:r>
          </w:p>
        </w:tc>
      </w:tr>
      <w:tr>
        <w:tblPrEx>
          <w:tblCellMar>
            <w:top w:w="0" w:type="dxa"/>
            <w:left w:w="108" w:type="dxa"/>
            <w:bottom w:w="0" w:type="dxa"/>
            <w:right w:w="108" w:type="dxa"/>
          </w:tblCellMar>
        </w:tblPrEx>
        <w:trPr>
          <w:trHeight w:val="6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4</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低压出线柜</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0.4kV</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5</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面</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推荐选用不低于MDmax（ABB授权）、BLOKSET（施耐德授权）、SIVACON-8PT（西门子授权）品牌、型号的产品</w:t>
            </w:r>
          </w:p>
        </w:tc>
      </w:tr>
      <w:tr>
        <w:tblPrEx>
          <w:tblCellMar>
            <w:top w:w="0" w:type="dxa"/>
            <w:left w:w="108" w:type="dxa"/>
            <w:bottom w:w="0" w:type="dxa"/>
            <w:right w:w="108" w:type="dxa"/>
          </w:tblCellMar>
        </w:tblPrEx>
        <w:trPr>
          <w:trHeight w:val="6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5</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低压联络柜</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0.4kV，配母排测温装置，预留485通讯接口</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1</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面</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推荐选用不低于MDmax（ABB授权）、BLOKSET（施耐德授权）、SIVACON-8PT（西门子授权）品牌、型号的产品</w:t>
            </w:r>
          </w:p>
        </w:tc>
      </w:tr>
      <w:tr>
        <w:tblPrEx>
          <w:tblCellMar>
            <w:top w:w="0" w:type="dxa"/>
            <w:left w:w="108" w:type="dxa"/>
            <w:bottom w:w="0" w:type="dxa"/>
            <w:right w:w="108" w:type="dxa"/>
          </w:tblCellMar>
        </w:tblPrEx>
        <w:trPr>
          <w:trHeight w:val="4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6</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低压出线柜</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含180KW风机配套软起动器，预留485通讯接口</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面</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1.软启动器采用施耐德 ATS490系列、ABB PSTX系列、西门子3RW55 系列或同等档次的产品，排名不分先后；</w:t>
            </w:r>
          </w:p>
        </w:tc>
      </w:tr>
      <w:tr>
        <w:tblPrEx>
          <w:tblCellMar>
            <w:top w:w="0" w:type="dxa"/>
            <w:left w:w="108" w:type="dxa"/>
            <w:bottom w:w="0" w:type="dxa"/>
            <w:right w:w="108" w:type="dxa"/>
          </w:tblCellMar>
        </w:tblPrEx>
        <w:trPr>
          <w:trHeight w:val="4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right="0" w:rightChars="0"/>
              <w:jc w:val="center"/>
              <w:rPr>
                <w:rFonts w:hint="eastAsia" w:ascii="宋体" w:hAnsi="宋体" w:eastAsia="宋体" w:cs="宋体"/>
                <w:sz w:val="20"/>
                <w:szCs w:val="21"/>
                <w:lang w:val="en-US" w:eastAsia="zh-CN" w:bidi="ar-SA"/>
              </w:rPr>
            </w:pPr>
            <w:r>
              <w:rPr>
                <w:rFonts w:hint="eastAsia" w:ascii="宋体" w:hAnsi="宋体" w:eastAsia="宋体" w:cs="宋体"/>
                <w:sz w:val="20"/>
                <w:lang w:val="en-US" w:eastAsia="zh-CN"/>
              </w:rPr>
              <w:t>7</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负荷监控箱</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台</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负荷监控箱(含控制线)</w:t>
            </w:r>
          </w:p>
        </w:tc>
      </w:tr>
      <w:tr>
        <w:tblPrEx>
          <w:tblCellMar>
            <w:top w:w="0" w:type="dxa"/>
            <w:left w:w="108" w:type="dxa"/>
            <w:bottom w:w="0" w:type="dxa"/>
            <w:right w:w="108" w:type="dxa"/>
          </w:tblCellMar>
        </w:tblPrEx>
        <w:trPr>
          <w:trHeight w:val="4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right="0" w:rightChars="0"/>
              <w:jc w:val="center"/>
              <w:rPr>
                <w:rFonts w:hint="eastAsia" w:ascii="宋体" w:hAnsi="宋体" w:eastAsia="宋体" w:cs="宋体"/>
                <w:sz w:val="20"/>
                <w:szCs w:val="21"/>
                <w:lang w:val="en-US" w:eastAsia="zh-CN" w:bidi="ar-SA"/>
              </w:rPr>
            </w:pPr>
            <w:r>
              <w:rPr>
                <w:rFonts w:hint="eastAsia" w:ascii="宋体" w:hAnsi="宋体" w:eastAsia="宋体" w:cs="宋体"/>
                <w:sz w:val="20"/>
                <w:lang w:val="en-US" w:eastAsia="zh-CN"/>
              </w:rPr>
              <w:t>8</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汇流铜排</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8</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rPr>
              <w:t>米</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具体以实际工程量为准</w:t>
            </w:r>
          </w:p>
        </w:tc>
      </w:tr>
      <w:tr>
        <w:tblPrEx>
          <w:tblCellMar>
            <w:top w:w="0" w:type="dxa"/>
            <w:left w:w="108" w:type="dxa"/>
            <w:bottom w:w="0" w:type="dxa"/>
            <w:right w:w="108" w:type="dxa"/>
          </w:tblCellMar>
        </w:tblPrEx>
        <w:trPr>
          <w:trHeight w:val="48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right="0" w:rightChars="0"/>
              <w:jc w:val="center"/>
              <w:rPr>
                <w:rFonts w:hint="eastAsia" w:ascii="宋体" w:hAnsi="宋体" w:eastAsia="宋体" w:cs="宋体"/>
                <w:sz w:val="20"/>
                <w:szCs w:val="21"/>
                <w:lang w:val="en-US" w:eastAsia="zh-CN" w:bidi="ar-SA"/>
              </w:rPr>
            </w:pPr>
            <w:r>
              <w:rPr>
                <w:rFonts w:hint="eastAsia" w:ascii="宋体" w:hAnsi="宋体" w:eastAsia="宋体" w:cs="宋体"/>
                <w:sz w:val="20"/>
                <w:lang w:val="en-US" w:eastAsia="zh-CN"/>
              </w:rPr>
              <w:t>8</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rPr>
              <w:t>配电房安健环（含挂牌、放置灭火器、绝缘脚垫等）</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rPr>
              <w:t>1</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rPr>
              <w:t>项</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w:t>
            </w:r>
          </w:p>
        </w:tc>
      </w:tr>
      <w:tr>
        <w:tblPrEx>
          <w:tblCellMar>
            <w:top w:w="0" w:type="dxa"/>
            <w:left w:w="108" w:type="dxa"/>
            <w:bottom w:w="0" w:type="dxa"/>
            <w:right w:w="108" w:type="dxa"/>
          </w:tblCellMar>
        </w:tblPrEx>
        <w:trPr>
          <w:trHeight w:val="747"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right="0" w:rightChars="0"/>
              <w:jc w:val="center"/>
              <w:rPr>
                <w:rFonts w:hint="eastAsia" w:ascii="宋体" w:hAnsi="宋体" w:eastAsia="宋体" w:cs="宋体"/>
                <w:sz w:val="20"/>
                <w:szCs w:val="21"/>
                <w:lang w:val="en-US" w:eastAsia="zh-CN" w:bidi="ar-SA"/>
              </w:rPr>
            </w:pPr>
            <w:r>
              <w:rPr>
                <w:rFonts w:hint="eastAsia" w:ascii="宋体" w:hAnsi="宋体" w:eastAsia="宋体" w:cs="宋体"/>
                <w:sz w:val="20"/>
                <w:lang w:val="en-US" w:eastAsia="zh-CN"/>
              </w:rPr>
              <w:t>9</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拆除现状低压柜</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12</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面</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含设备基础、进出线电缆头保护性拆除，施工过程中若对现有地面和管沟等造成破坏，需完成车间地面重新贴瓷片恢复和管沟修复等</w:t>
            </w:r>
          </w:p>
        </w:tc>
      </w:tr>
      <w:tr>
        <w:tblPrEx>
          <w:tblCellMar>
            <w:top w:w="0" w:type="dxa"/>
            <w:left w:w="108" w:type="dxa"/>
            <w:bottom w:w="0" w:type="dxa"/>
            <w:right w:w="108" w:type="dxa"/>
          </w:tblCellMar>
        </w:tblPrEx>
        <w:trPr>
          <w:trHeight w:val="747"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right="0" w:rightChars="0"/>
              <w:jc w:val="center"/>
              <w:rPr>
                <w:rFonts w:hint="eastAsia" w:ascii="宋体" w:hAnsi="宋体" w:eastAsia="宋体" w:cs="宋体"/>
                <w:sz w:val="20"/>
                <w:szCs w:val="21"/>
                <w:lang w:val="en-US" w:eastAsia="zh-CN" w:bidi="ar-SA"/>
              </w:rPr>
            </w:pPr>
            <w:r>
              <w:rPr>
                <w:rFonts w:hint="eastAsia" w:ascii="宋体" w:hAnsi="宋体" w:eastAsia="宋体" w:cs="宋体"/>
                <w:sz w:val="20"/>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拆除现状变压器</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台</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含设备基础、进出线电缆头保护性拆除，施工过程中若对现有地面和墙面大门等造成破坏，需完成车间地面重新贴瓷片恢复和管沟修复等</w:t>
            </w:r>
          </w:p>
        </w:tc>
      </w:tr>
      <w:tr>
        <w:tblPrEx>
          <w:tblCellMar>
            <w:top w:w="0" w:type="dxa"/>
            <w:left w:w="108" w:type="dxa"/>
            <w:bottom w:w="0" w:type="dxa"/>
            <w:right w:w="108" w:type="dxa"/>
          </w:tblCellMar>
        </w:tblPrEx>
        <w:trPr>
          <w:trHeight w:val="747"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right="0" w:rightChars="0"/>
              <w:jc w:val="center"/>
              <w:rPr>
                <w:rFonts w:hint="eastAsia" w:ascii="宋体" w:hAnsi="宋体" w:eastAsia="宋体" w:cs="宋体"/>
                <w:sz w:val="20"/>
                <w:szCs w:val="21"/>
                <w:lang w:val="en-US" w:eastAsia="zh-CN" w:bidi="ar-SA"/>
              </w:rPr>
            </w:pPr>
            <w:r>
              <w:rPr>
                <w:rFonts w:hint="eastAsia" w:ascii="宋体" w:hAnsi="宋体" w:eastAsia="宋体" w:cs="宋体"/>
                <w:sz w:val="20"/>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设备安装调试</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1.新建2台变压器，12面低压柜和管线等施工安装运行调试；</w:t>
            </w:r>
          </w:p>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2.水泵、风机等自控运行调试。</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1</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项</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施工过程中，投标人应提供临时供电保障方案/措施，确保送水泵房、综合楼等重要负荷供电，以保障施工期间用电需求。</w:t>
            </w:r>
          </w:p>
        </w:tc>
      </w:tr>
      <w:tr>
        <w:tblPrEx>
          <w:tblCellMar>
            <w:top w:w="0" w:type="dxa"/>
            <w:left w:w="108" w:type="dxa"/>
            <w:bottom w:w="0" w:type="dxa"/>
            <w:right w:w="108" w:type="dxa"/>
          </w:tblCellMar>
        </w:tblPrEx>
        <w:trPr>
          <w:trHeight w:val="747"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安全文明措施费</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1</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项</w:t>
            </w:r>
          </w:p>
        </w:tc>
        <w:tc>
          <w:tcPr>
            <w:tcW w:w="1080"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12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kern w:val="2"/>
                <w:sz w:val="20"/>
                <w:szCs w:val="21"/>
                <w:lang w:val="en-US" w:eastAsia="zh-CN" w:bidi="ar-SA"/>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r>
              <w:rPr>
                <w:rFonts w:hint="eastAsia" w:ascii="宋体" w:hAnsi="宋体" w:eastAsia="宋体" w:cs="宋体"/>
                <w:sz w:val="20"/>
                <w:lang w:val="en-US" w:eastAsia="zh-CN"/>
              </w:rPr>
              <w:t>1.投标人应制定完善的施工管理措施，并配置技术力量强的施工队伍，作业人员持证上岗。</w:t>
            </w:r>
          </w:p>
          <w:p>
            <w:pPr>
              <w:pStyle w:val="4"/>
              <w:ind w:left="0" w:leftChars="0"/>
              <w:jc w:val="center"/>
              <w:rPr>
                <w:rFonts w:hint="eastAsia" w:ascii="宋体" w:hAnsi="宋体" w:eastAsia="宋体" w:cs="宋体"/>
                <w:kern w:val="2"/>
                <w:sz w:val="20"/>
                <w:szCs w:val="21"/>
                <w:lang w:val="en-US" w:eastAsia="zh-CN" w:bidi="ar-SA"/>
              </w:rPr>
            </w:pPr>
            <w:r>
              <w:rPr>
                <w:rFonts w:hint="eastAsia" w:ascii="宋体" w:hAnsi="宋体" w:eastAsia="宋体" w:cs="宋体"/>
                <w:sz w:val="20"/>
                <w:lang w:val="en-US" w:eastAsia="zh-CN"/>
              </w:rPr>
              <w:t>2.投标人应该按照安全标准组织施工，采取必要的安全防护措施，消除事故隐患，杜绝安全事故发生。</w:t>
            </w:r>
          </w:p>
        </w:tc>
      </w:tr>
      <w:tr>
        <w:tblPrEx>
          <w:tblCellMar>
            <w:top w:w="0" w:type="dxa"/>
            <w:left w:w="108" w:type="dxa"/>
            <w:bottom w:w="0" w:type="dxa"/>
            <w:right w:w="108" w:type="dxa"/>
          </w:tblCellMar>
        </w:tblPrEx>
        <w:trPr>
          <w:trHeight w:val="747" w:hRule="atLeast"/>
        </w:trPr>
        <w:tc>
          <w:tcPr>
            <w:tcW w:w="3324" w:type="dxa"/>
            <w:gridSpan w:val="3"/>
            <w:tcBorders>
              <w:top w:val="single" w:color="000000" w:sz="4" w:space="0"/>
              <w:left w:val="single" w:color="000000" w:sz="4" w:space="0"/>
              <w:bottom w:val="single" w:color="000000" w:sz="4" w:space="0"/>
              <w:right w:val="single" w:color="000000" w:sz="4" w:space="0"/>
            </w:tcBorders>
            <w:noWrap/>
            <w:vAlign w:val="center"/>
          </w:tcPr>
          <w:p>
            <w:pPr>
              <w:pStyle w:val="4"/>
              <w:ind w:left="0" w:leftChars="0"/>
              <w:jc w:val="center"/>
              <w:rPr>
                <w:rFonts w:hint="default" w:ascii="宋体" w:hAnsi="宋体" w:eastAsia="宋体" w:cs="宋体"/>
                <w:kern w:val="2"/>
                <w:sz w:val="20"/>
                <w:szCs w:val="21"/>
                <w:lang w:val="en-US" w:eastAsia="zh-CN" w:bidi="ar-SA"/>
              </w:rPr>
            </w:pPr>
            <w:r>
              <w:rPr>
                <w:rFonts w:hint="eastAsia" w:ascii="宋体" w:hAnsi="宋体" w:eastAsia="宋体" w:cs="宋体"/>
                <w:kern w:val="2"/>
                <w:sz w:val="20"/>
                <w:szCs w:val="21"/>
                <w:lang w:val="en-US" w:eastAsia="zh-CN" w:bidi="ar-SA"/>
              </w:rPr>
              <w:t>合计报价</w:t>
            </w:r>
          </w:p>
        </w:tc>
        <w:tc>
          <w:tcPr>
            <w:tcW w:w="510"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default" w:ascii="宋体" w:hAnsi="宋体" w:eastAsia="宋体" w:cs="宋体"/>
                <w:sz w:val="20"/>
                <w:lang w:val="en-US" w:eastAsia="zh-CN"/>
              </w:rPr>
            </w:pPr>
            <w:r>
              <w:rPr>
                <w:rFonts w:hint="eastAsia" w:ascii="宋体" w:hAnsi="宋体" w:eastAsia="宋体" w:cs="宋体"/>
                <w:sz w:val="20"/>
                <w:lang w:val="en-US" w:eastAsia="zh-CN"/>
              </w:rPr>
              <w:t>41</w:t>
            </w:r>
          </w:p>
        </w:tc>
        <w:tc>
          <w:tcPr>
            <w:tcW w:w="495" w:type="dxa"/>
            <w:tcBorders>
              <w:top w:val="single" w:color="000000" w:sz="4" w:space="0"/>
              <w:left w:val="single" w:color="000000" w:sz="4" w:space="0"/>
              <w:bottom w:val="single" w:color="000000" w:sz="4" w:space="0"/>
              <w:right w:val="single" w:color="000000" w:sz="4" w:space="0"/>
            </w:tcBorders>
            <w:noWrap/>
            <w:vAlign w:val="center"/>
          </w:tcPr>
          <w:p>
            <w:pPr>
              <w:pStyle w:val="4"/>
              <w:ind w:left="0"/>
              <w:jc w:val="center"/>
              <w:rPr>
                <w:rFonts w:hint="default" w:ascii="宋体" w:hAnsi="宋体" w:eastAsia="宋体" w:cs="宋体"/>
                <w:sz w:val="20"/>
                <w:lang w:val="en-US" w:eastAsia="zh-CN"/>
              </w:rPr>
            </w:pPr>
            <w:r>
              <w:rPr>
                <w:rFonts w:hint="eastAsia" w:ascii="宋体" w:hAnsi="宋体" w:eastAsia="宋体" w:cs="宋体"/>
                <w:sz w:val="20"/>
                <w:lang w:val="en-US" w:eastAsia="zh-CN"/>
              </w:rPr>
              <w:t>/</w:t>
            </w:r>
          </w:p>
        </w:tc>
        <w:tc>
          <w:tcPr>
            <w:tcW w:w="1080" w:type="dxa"/>
            <w:tcBorders>
              <w:top w:val="single" w:color="000000" w:sz="4" w:space="0"/>
              <w:left w:val="nil"/>
              <w:bottom w:val="single" w:color="000000" w:sz="4" w:space="0"/>
              <w:right w:val="single" w:color="000000" w:sz="4" w:space="0"/>
            </w:tcBorders>
            <w:noWrap/>
            <w:vAlign w:val="center"/>
          </w:tcPr>
          <w:p>
            <w:pPr>
              <w:pStyle w:val="4"/>
              <w:ind w:left="0"/>
              <w:jc w:val="center"/>
              <w:rPr>
                <w:rFonts w:hint="default" w:ascii="宋体" w:hAnsi="宋体" w:eastAsia="宋体" w:cs="宋体"/>
                <w:sz w:val="20"/>
                <w:lang w:val="en-US" w:eastAsia="zh-CN"/>
              </w:rPr>
            </w:pPr>
            <w:r>
              <w:rPr>
                <w:rFonts w:hint="eastAsia" w:ascii="宋体" w:hAnsi="宋体" w:eastAsia="宋体" w:cs="宋体"/>
                <w:sz w:val="20"/>
                <w:lang w:val="en-US" w:eastAsia="zh-CN"/>
              </w:rPr>
              <w:t>/</w:t>
            </w:r>
          </w:p>
        </w:tc>
        <w:tc>
          <w:tcPr>
            <w:tcW w:w="1245" w:type="dxa"/>
            <w:tcBorders>
              <w:top w:val="single" w:color="000000" w:sz="4" w:space="0"/>
              <w:left w:val="nil"/>
              <w:bottom w:val="single" w:color="000000" w:sz="4" w:space="0"/>
              <w:right w:val="single" w:color="000000" w:sz="4" w:space="0"/>
            </w:tcBorders>
            <w:noWrap/>
            <w:vAlign w:val="center"/>
          </w:tcPr>
          <w:p>
            <w:pPr>
              <w:pStyle w:val="4"/>
              <w:ind w:left="0"/>
              <w:jc w:val="center"/>
              <w:rPr>
                <w:rFonts w:hint="eastAsia" w:ascii="宋体" w:hAnsi="宋体" w:eastAsia="宋体" w:cs="宋体"/>
                <w:sz w:val="20"/>
                <w:lang w:val="en-US" w:eastAsia="zh-CN"/>
              </w:rPr>
            </w:pPr>
          </w:p>
        </w:tc>
        <w:tc>
          <w:tcPr>
            <w:tcW w:w="2745" w:type="dxa"/>
            <w:tcBorders>
              <w:top w:val="single" w:color="000000" w:sz="4" w:space="0"/>
              <w:left w:val="nil"/>
              <w:bottom w:val="single" w:color="000000" w:sz="4" w:space="0"/>
              <w:right w:val="single" w:color="000000" w:sz="4" w:space="0"/>
            </w:tcBorders>
            <w:noWrap/>
            <w:vAlign w:val="center"/>
          </w:tcPr>
          <w:p>
            <w:pPr>
              <w:pStyle w:val="4"/>
              <w:ind w:left="0" w:leftChars="0"/>
              <w:jc w:val="center"/>
              <w:rPr>
                <w:rFonts w:hint="eastAsia" w:ascii="宋体" w:hAnsi="宋体" w:eastAsia="宋体" w:cs="宋体"/>
                <w:sz w:val="20"/>
                <w:lang w:val="en-US" w:eastAsia="zh-CN"/>
              </w:rPr>
            </w:pPr>
          </w:p>
        </w:tc>
      </w:tr>
    </w:tbl>
    <w:p>
      <w:pPr>
        <w:pStyle w:val="5"/>
        <w:jc w:val="center"/>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注：</w:t>
      </w:r>
      <w:r>
        <w:rPr>
          <w:rFonts w:hint="default" w:ascii="宋体" w:hAnsi="宋体" w:eastAsia="宋体" w:cs="宋体"/>
          <w:sz w:val="21"/>
          <w:szCs w:val="21"/>
          <w:lang w:val="en-US" w:eastAsia="zh-CN"/>
        </w:rPr>
        <w:t> 本报价已包含本项目全部货物（变压器、低压配电柜、电气元件、线缆、辅材等）的供货、运输、现场安装、接线、原设备拆除清理、系统编程调试、培训、验收及税金等所有费用，不再额外收取其他费用。报价范围同时涵盖技术规范中要求的未列明但必要的元件、附件及施工项</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lang w:val="en-US" w:eastAsia="zh-CN"/>
        </w:rPr>
      </w:pPr>
      <w:r>
        <w:rPr>
          <w:rFonts w:hint="eastAsia" w:ascii="宋体" w:hAnsi="宋体" w:eastAsia="宋体" w:cs="宋体"/>
          <w:sz w:val="21"/>
          <w:szCs w:val="21"/>
          <w:lang w:val="en-US" w:eastAsia="zh-CN"/>
        </w:rPr>
        <w:t>报价单位</w:t>
      </w:r>
      <w:r>
        <w:rPr>
          <w:rFonts w:hint="default" w:ascii="宋体" w:hAnsi="宋体" w:eastAsia="宋体" w:cs="宋体"/>
          <w:sz w:val="21"/>
          <w:szCs w:val="21"/>
          <w:lang w:val="en-US" w:eastAsia="zh-CN"/>
        </w:rPr>
        <w:t>(盖章)</w:t>
      </w:r>
      <w:r>
        <w:rPr>
          <w:rFonts w:hint="eastAsia" w:ascii="宋体" w:hAnsi="宋体" w:eastAsia="宋体" w:cs="宋体"/>
          <w:sz w:val="21"/>
          <w:szCs w:val="21"/>
          <w:lang w:val="en-US" w:eastAsia="zh-CN"/>
        </w:rPr>
        <w:t xml:space="preserve">：   </w:t>
      </w:r>
      <w:r>
        <w:rPr>
          <w:rFonts w:hint="eastAsia"/>
          <w:lang w:val="en-US" w:eastAsia="zh-CN"/>
        </w:rPr>
        <w:t xml:space="preserve">                                 </w:t>
      </w:r>
    </w:p>
    <w:p>
      <w:pPr>
        <w:rPr>
          <w:rFonts w:hint="eastAsia"/>
          <w:lang w:val="en-US" w:eastAsia="zh-CN"/>
        </w:rPr>
      </w:pPr>
      <w:r>
        <w:rPr>
          <w:rFonts w:hint="eastAsia"/>
          <w:lang w:val="en-US" w:eastAsia="zh-CN"/>
        </w:rPr>
        <w:t>联系人：</w:t>
      </w:r>
    </w:p>
    <w:p>
      <w:pPr>
        <w:pStyle w:val="5"/>
        <w:rPr>
          <w:rFonts w:hint="default"/>
          <w:lang w:val="en-US" w:eastAsia="zh-CN"/>
        </w:rPr>
      </w:pPr>
      <w:r>
        <w:rPr>
          <w:rFonts w:hint="eastAsia"/>
          <w:lang w:val="en-US" w:eastAsia="zh-CN"/>
        </w:rPr>
        <w:t>联系方式：</w:t>
      </w:r>
    </w:p>
    <w:p>
      <w:pPr>
        <w:pStyle w:val="5"/>
        <w:rPr>
          <w:rFonts w:hint="default"/>
          <w:lang w:val="en-US" w:eastAsia="zh-CN"/>
        </w:rPr>
      </w:pPr>
    </w:p>
    <w:p>
      <w:pPr>
        <w:pStyle w:val="3"/>
        <w:rPr>
          <w:rFonts w:hint="default"/>
          <w:lang w:val="en-US" w:eastAsia="zh-CN"/>
        </w:rPr>
      </w:pPr>
    </w:p>
    <w:p>
      <w:pPr>
        <w:rPr>
          <w:rFonts w:hint="default"/>
          <w:lang w:val="en-US" w:eastAsia="zh-CN"/>
        </w:rPr>
      </w:pPr>
    </w:p>
    <w:p>
      <w:pPr>
        <w:pStyle w:val="5"/>
        <w:rPr>
          <w:rFonts w:hint="default"/>
          <w:lang w:val="en-US" w:eastAsia="zh-CN"/>
        </w:rPr>
      </w:pPr>
    </w:p>
    <w:p>
      <w:pPr>
        <w:pStyle w:val="3"/>
        <w:rPr>
          <w:rFonts w:hint="default"/>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outlineLvl w:val="1"/>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标准、规范和技术要求</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（1）总则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1.技术条件的使用范围仅限于观澜茜坑水厂一期滤池低压房配电柜更换项目的运行条件和技术条件。</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2.本技术条件提出的是最低限度的技术条件，并未对一切技术细节做出规定，也未充分引述有关标准和规范的条文，投标人应保证提供符合本条件和标准的优质产品。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3.如果投标人没有以书面形式对本技术条件和条文提出异议，那么可以认为供货方提供的产品完全满足技术条件的要求。</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货物应满足本技术要求书及国家和地方规定的标准和规范进行设计和制造。若在设计和制造中应用的某项标准或规范在本技术规范书中没有规定，则投标人应详细说明其所采用的标准和规范，并提供该标准或规范的完整中文原件给招标人。只有当其采用的标准和规范是国际公认的、惯用的，且等于或优于本技术要求书的要求时，此标准或规范才能为招标人所接受。</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5.技术要求中所涉及的参考标准应以最新发布的标准为准。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（2）招标货物总体要求</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1.招标范围包括货物的设计、生产制造、供应、安装调试、验收等。</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2.所有主要设备必须保证符合国家质量检测标准，随机技术资料齐全。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3.所有装置设计必须考虑防火、防尘、耐用、节能、容易清洁、方便维护。</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4.所有使用的材料和工艺必须是满足要求的。</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5.中标人负责原设备拆除、清理并按招标单位要求置于指定地点，施工、垃圾清运，以及后续设备安装，费用已包含在本次招标供货范围中。</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6.中标人送货时应提供设备、电气元器件的合格证明文件，包含但不限于向设备生产厂家购买的合同文件、送货清单等。</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（3）技术要求</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1.低压开关柜（含无功补偿柜）</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★低压开关柜所有柜型要求授权生产，参考采用MDmax（ABB）、BLOKSET（施耐德）、SIVACON-8PT（西门子）品牌、型号的产品。全部低压配电柜与开关为同一品牌。投标产品须满足深圳供电局、国家规范和设计要求。</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▲低压开关柜所使用断路器应与开关柜为同一品牌。</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▲柜体形式为抽出式，其中大于630A的开关采用框架式断路器抽出式安装，小于等于630A开关采用塑壳式断路器抽出式安装。</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▲进线柜、联络柜母排应配置测温设备，软起动柜应配置电机三相电缆测温设备，并配置RS485通讯接口。</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▲回路开关柜应配备多功能综合电力监测仪，能实现就地LCD数据显示且有RS485通讯接口。</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★进线开关、母联开关柜内的断路器应具备通信功能，实现与水厂电力监控系统PLC通信，RS-485串口通讯方式，MODBUS通讯规约。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★框架式断路器采用不低于或可相当于Emax2系列（ABB）、3WL系列（西门子）、MT系列（施耐德）等品牌、型号的产品。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★塑壳断路器采用不低于或可相当于XT或者Tmax系列（ABB）、3VA系列（西门子）、NSX系列（施耐德）等品牌、型号的产品。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低压无功补偿柜采用与低压开关柜品牌型号一致的原厂柜型。低压SVG模块采用不低于或可相当于深圳海思瑞科、深圳三和、深圳恩玖等品牌产品，核心部件IGBT采用不低于或可相当于英飞凌、日本富士、日本三菱等合资品牌型号产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▲无功补偿功能装置应能将各相功率因数补偿至0.95以上（滞后、无过补）。</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▲各主要回路均采用具有485通讯接口的数显式综合电力仪表，选用珠海派诺SPM33、爱博精电Acuvim200、上海安科瑞AMC96或同等档次的产品。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▲备自投装置选用ABB ATS022、西门子ATC6300、施耐德ATMT或同等档次的产品。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2.干式变压器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★变压器选用顺特、金盘、许继或同等档次的产品，必须符合国家二级能效要求（GB 20052-2020）。</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▲变压器防护外壳：IP2X，铝合金外壳。</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▲此次更新变压器SCB14-1000KVA 2台。</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3.软启动控制柜</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▲软启动器选用施耐德ATS490系列、ABB PSTX系列、西门子3RW55系列或同等档次的产品。软启动器必须为重载选型或选择比电动机额定功率和额定电流值大一档的软启动器。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4.施工安装要求</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▲施工过程中，投标人应提供临时供电保障方案/措施，确保送水泵房、综合楼等核心负荷在改造实施过程中能正常使用。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★施工安全措施费计入安装费中。投标人应该为安装、调试、试运行作业投保，该费用由投标人承担。</w:t>
      </w:r>
    </w:p>
    <w:p>
      <w:pPr>
        <w:rPr>
          <w:rFonts w:hint="eastAsia" w:eastAsiaTheme="minorEastAsia"/>
          <w:lang w:val="en-US" w:eastAsia="zh-CN"/>
        </w:rPr>
      </w:pPr>
      <w:r>
        <w:rPr>
          <w:rFonts w:hint="eastAsia" w:ascii="宋体" w:hAnsi="宋体" w:eastAsia="宋体" w:cs="宋体"/>
          <w:b/>
          <w:sz w:val="21"/>
          <w:szCs w:val="21"/>
          <w:lang w:val="en-US" w:eastAsia="zh-CN"/>
        </w:rPr>
        <w:t>三、</w:t>
      </w:r>
      <w:r>
        <w:rPr>
          <w:rFonts w:hint="eastAsia" w:ascii="宋体" w:hAnsi="宋体" w:eastAsia="宋体" w:cs="宋体"/>
          <w:b/>
          <w:sz w:val="21"/>
          <w:szCs w:val="21"/>
        </w:rPr>
        <w:t>联系方式</w:t>
      </w:r>
    </w:p>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03"/>
        <w:gridCol w:w="6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b/>
                <w:sz w:val="21"/>
                <w:szCs w:val="21"/>
              </w:rPr>
              <w:t>项目</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b/>
                <w:sz w:val="21"/>
                <w:szCs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询价单位</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深圳市深水龙华水务有限公司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联系人</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戴仪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联系电话</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13025420342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电子邮箱</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1042184057@QQ.com</w:t>
            </w:r>
          </w:p>
        </w:tc>
      </w:tr>
    </w:tbl>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D5E0A4"/>
    <w:multiLevelType w:val="singleLevel"/>
    <w:tmpl w:val="CED5E0A4"/>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0NWIwZmNjNzkyMjg5NDc5ZTFmYjA5NWIyNzU1ZjYifQ=="/>
  </w:docVars>
  <w:rsids>
    <w:rsidRoot w:val="0F726697"/>
    <w:rsid w:val="0F726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ind w:left="1829" w:hanging="560"/>
      <w:outlineLvl w:val="2"/>
    </w:pPr>
    <w:rPr>
      <w:rFonts w:ascii="宋体" w:hAnsi="宋体" w:eastAsia="宋体" w:cs="宋体"/>
      <w:sz w:val="28"/>
      <w:szCs w:val="28"/>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index 8"/>
    <w:basedOn w:val="1"/>
    <w:next w:val="1"/>
    <w:semiHidden/>
    <w:qFormat/>
    <w:uiPriority w:val="0"/>
    <w:pPr>
      <w:ind w:left="1680" w:hanging="210"/>
      <w:jc w:val="left"/>
    </w:pPr>
    <w:rPr>
      <w:sz w:val="20"/>
      <w:szCs w:val="20"/>
    </w:rPr>
  </w:style>
  <w:style w:type="paragraph" w:styleId="4">
    <w:name w:val="Body Text"/>
    <w:basedOn w:val="1"/>
    <w:qFormat/>
    <w:uiPriority w:val="1"/>
    <w:pPr>
      <w:ind w:left="708"/>
    </w:pPr>
    <w:rPr>
      <w:rFonts w:ascii="宋体" w:hAnsi="宋体" w:eastAsia="宋体" w:cs="宋体"/>
      <w:sz w:val="21"/>
      <w:szCs w:val="21"/>
      <w:lang w:val="en-US" w:eastAsia="zh-CN" w:bidi="ar-SA"/>
    </w:rPr>
  </w:style>
  <w:style w:type="paragraph" w:styleId="5">
    <w:name w:val="Plain Text"/>
    <w:basedOn w:val="1"/>
    <w:next w:val="3"/>
    <w:qFormat/>
    <w:uiPriority w:val="0"/>
    <w:rPr>
      <w:rFonts w:ascii="宋体" w:hAnsi="Courier New"/>
      <w:szCs w:val="20"/>
    </w:rPr>
  </w:style>
  <w:style w:type="paragraph" w:styleId="6">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2026-09-08T06:25:00Z</dcterms:created>
  <dc:creator>肆拾2</dc:creator>
  <cp:lastModifiedBy>肆拾2</cp:lastModifiedBy>
  <dcterms:modified xsi:type="dcterms:W3CDTF">2026-09-08T06:42:53Z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B58A6AE439A3431DBAC3710F3B63A4B0_11</vt:lpwstr>
  </property>
</Properties>
</file>