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hd w:val="clear" w:fill="auto"/>
        <w:snapToGrid/>
        <w:spacing w:line="600" w:lineRule="exact"/>
        <w:jc w:val="center"/>
        <w:rPr>
          <w:rFonts w:hint="eastAsia" w:ascii="方正小标宋简体" w:hAnsi="宋体" w:eastAsia="方正小标宋简体" w:cs="Times New Roman"/>
          <w:color w:val="auto"/>
          <w:sz w:val="44"/>
          <w:szCs w:val="44"/>
          <w:lang w:val="en-US" w:eastAsia="zh-CN"/>
        </w:rPr>
      </w:pPr>
      <w:r>
        <w:rPr>
          <w:rFonts w:hint="eastAsia" w:ascii="方正小标宋简体" w:hAnsi="宋体" w:eastAsia="方正小标宋简体" w:cs="Times New Roman"/>
          <w:color w:val="auto"/>
          <w:sz w:val="44"/>
          <w:szCs w:val="44"/>
          <w:lang w:val="en-US" w:eastAsia="zh-CN"/>
        </w:rPr>
        <w:t>深汕特别合作区智慧消防（一期）项目监理服务</w:t>
      </w:r>
      <w:r>
        <w:rPr>
          <w:rFonts w:hint="eastAsia" w:ascii="方正小标宋简体" w:hAnsi="宋体" w:eastAsia="方正小标宋简体" w:cs="Times New Roman"/>
          <w:color w:val="auto"/>
          <w:sz w:val="44"/>
          <w:szCs w:val="44"/>
          <w:lang w:eastAsia="zh-CN"/>
        </w:rPr>
        <w:t>项目</w:t>
      </w:r>
      <w:r>
        <w:rPr>
          <w:rFonts w:hint="eastAsia" w:ascii="方正小标宋简体" w:hAnsi="宋体" w:eastAsia="方正小标宋简体" w:cs="Times New Roman"/>
          <w:color w:val="auto"/>
          <w:sz w:val="44"/>
          <w:szCs w:val="44"/>
          <w:lang w:val="en-US" w:eastAsia="zh-CN"/>
        </w:rPr>
        <w:t>采购文件</w:t>
      </w:r>
    </w:p>
    <w:p>
      <w:pPr>
        <w:pStyle w:val="19"/>
        <w:rPr>
          <w:rFonts w:hint="eastAsia"/>
          <w:lang w:val="en-US" w:eastAsia="zh-CN"/>
        </w:rPr>
      </w:pPr>
    </w:p>
    <w:p>
      <w:pPr>
        <w:pStyle w:val="4"/>
        <w:keepNext w:val="0"/>
        <w:keepLines w:val="0"/>
        <w:pageBreakBefore w:val="0"/>
        <w:widowControl/>
        <w:shd w:val="clear" w:color="auto" w:fill="FFFFFF"/>
        <w:snapToGrid/>
        <w:spacing w:line="560" w:lineRule="exact"/>
        <w:ind w:left="0" w:leftChars="0" w:firstLine="640" w:firstLineChars="200"/>
        <w:rPr>
          <w:rFonts w:cs="黑体"/>
          <w:color w:val="auto"/>
          <w:szCs w:val="32"/>
        </w:rPr>
      </w:pPr>
      <w:bookmarkStart w:id="0" w:name="OLE_LINK4"/>
      <w:r>
        <w:rPr>
          <w:rFonts w:hint="eastAsia" w:cs="黑体"/>
          <w:color w:val="auto"/>
          <w:szCs w:val="32"/>
        </w:rPr>
        <w:t>一、项目内容</w:t>
      </w:r>
    </w:p>
    <w:p>
      <w:pPr>
        <w:keepNext w:val="0"/>
        <w:keepLines w:val="0"/>
        <w:pageBreakBefore w:val="0"/>
        <w:widowControl w:val="0"/>
        <w:numPr>
          <w:ilvl w:val="0"/>
          <w:numId w:val="0"/>
        </w:numPr>
        <w:shd w:val="clear" w:color="auto" w:fill="FFFFFF"/>
        <w:snapToGrid/>
        <w:spacing w:line="560" w:lineRule="exact"/>
        <w:ind w:firstLine="640" w:firstLineChars="200"/>
        <w:rPr>
          <w:rFonts w:hint="default" w:ascii="楷体" w:hAnsi="楷体" w:eastAsia="楷体" w:cs="楷体"/>
          <w:color w:val="auto"/>
          <w:szCs w:val="32"/>
          <w:lang w:val="en-US" w:eastAsia="zh-CN"/>
        </w:rPr>
      </w:pPr>
      <w:r>
        <w:rPr>
          <w:rFonts w:hint="eastAsia" w:ascii="楷体" w:hAnsi="楷体" w:eastAsia="楷体" w:cs="楷体"/>
          <w:color w:val="auto"/>
          <w:szCs w:val="32"/>
          <w:lang w:val="en-US" w:eastAsia="zh-CN"/>
        </w:rPr>
        <w:t>（一）项目编号：</w:t>
      </w:r>
      <w:r>
        <w:rPr>
          <w:rFonts w:hint="eastAsia" w:ascii="宋体" w:hAnsi="宋体" w:cs="宋体"/>
          <w:kern w:val="0"/>
          <w:sz w:val="32"/>
          <w:szCs w:val="32"/>
          <w:lang w:val="en-US" w:eastAsia="zh-CN"/>
        </w:rPr>
        <w:t>JYCG-DECL-2025-05950</w:t>
      </w:r>
    </w:p>
    <w:p>
      <w:pPr>
        <w:keepNext w:val="0"/>
        <w:keepLines w:val="0"/>
        <w:pageBreakBefore w:val="0"/>
        <w:widowControl w:val="0"/>
        <w:numPr>
          <w:ilvl w:val="0"/>
          <w:numId w:val="0"/>
        </w:numPr>
        <w:shd w:val="clear" w:color="auto" w:fill="FFFFFF"/>
        <w:snapToGrid/>
        <w:spacing w:line="560" w:lineRule="exact"/>
        <w:ind w:firstLine="640" w:firstLineChars="200"/>
        <w:rPr>
          <w:rFonts w:hint="eastAsia"/>
          <w:u w:val="none"/>
          <w:lang w:val="en-US" w:eastAsia="zh-CN"/>
        </w:rPr>
      </w:pPr>
      <w:r>
        <w:rPr>
          <w:rFonts w:hint="eastAsia" w:ascii="楷体" w:hAnsi="楷体" w:eastAsia="楷体" w:cs="楷体"/>
          <w:color w:val="auto"/>
          <w:szCs w:val="32"/>
          <w:lang w:val="en-US" w:eastAsia="zh-CN"/>
        </w:rPr>
        <w:t>（二）项目名称:深汕特别合作区智慧消防（一期）项目监理服务项目</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（三）项目概况</w:t>
      </w:r>
    </w:p>
    <w:p>
      <w:pPr>
        <w:pStyle w:val="34"/>
        <w:keepNext w:val="0"/>
        <w:keepLines w:val="0"/>
        <w:pageBreakBefore w:val="0"/>
        <w:widowControl w:val="0"/>
        <w:snapToGrid/>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项目属性：服务类</w:t>
      </w:r>
    </w:p>
    <w:p>
      <w:pPr>
        <w:pStyle w:val="34"/>
        <w:keepNext w:val="0"/>
        <w:keepLines w:val="0"/>
        <w:pageBreakBefore w:val="0"/>
        <w:widowControl w:val="0"/>
        <w:snapToGrid/>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汕特别合作区智慧消防（一期）项目以“统一规划、融合共享、优化协同、平战一体”为基本原则，构建深汕特别合作区智慧消防平台。实施范围包括四街道的中心医院、卫生院、幼儿园、小学、中学，临邦里人才保障房、大百汇科技园、深乐花园人才保障房、临安里人才保障房、深颐村、深乐花园、深耕村、深汕西会展中心。主要建设内容：区IOC社会治理-消防管理专题应用（大屏）、智慧消防监测预警管理平台（包括消防管理一张图、消防监测预警管理、基础管理、移动端应用、接口设计、消防应用数据库）、消防监测设施设备（硬件）。项目总概算492万元，其中建筑安装工程费423.42万元，工程建设其他费54.62万元，预备费13.96万元。</w:t>
      </w:r>
    </w:p>
    <w:p>
      <w:pPr>
        <w:pStyle w:val="34"/>
        <w:keepNext w:val="0"/>
        <w:keepLines w:val="0"/>
        <w:pageBreakBefore w:val="0"/>
        <w:widowControl w:val="0"/>
        <w:snapToGrid/>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根据深汕特别合作区智慧消防（一期）项目实际情况，拟采购专业机构开展深汕特别合作区智慧消防（一期）项目监理工作。</w:t>
      </w:r>
    </w:p>
    <w:p>
      <w:pPr>
        <w:keepNext w:val="0"/>
        <w:keepLines w:val="0"/>
        <w:pageBreakBefore w:val="0"/>
        <w:widowControl/>
        <w:numPr>
          <w:ilvl w:val="0"/>
          <w:numId w:val="0"/>
        </w:numPr>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（四）采购（服务）内容</w:t>
      </w:r>
    </w:p>
    <w:p>
      <w:pPr>
        <w:pStyle w:val="32"/>
        <w:keepNext w:val="0"/>
        <w:keepLines w:val="0"/>
        <w:pageBreakBefore w:val="0"/>
        <w:widowControl/>
        <w:shd w:val="clear" w:color="auto" w:fill="FFFFFF"/>
        <w:snapToGrid/>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遵循国家、广东省、深圳市信息化工程建设及监理的标准规范，依据项目设计文件、建设合同和用户需求等，进行全程驻场监理。根据项目建设内容、目标、特点等，分析监理难点和重点，采用先进、科学、合理的管理技巧和手段，制定有针对性的项目管理实施计划，对施工单位在项目过程质量、成果质量、进度和资金使用等方面，代表采购方实施监督，包含项目建设实施阶段的监理服务与配合工作。主要工作内容包括但不限于：</w:t>
      </w:r>
    </w:p>
    <w:p>
      <w:pPr>
        <w:pStyle w:val="32"/>
        <w:keepNext w:val="0"/>
        <w:keepLines w:val="0"/>
        <w:pageBreakBefore w:val="0"/>
        <w:widowControl/>
        <w:shd w:val="clear" w:color="auto" w:fill="FFFFFF"/>
        <w:snapToGrid/>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建设施工准备阶段、施工阶段的监理和配合服务，在项目施工准备阶段完成监理规划、监理细则等文档的编制及承建方相关报审文件的审核。在施工准备阶段，完成监理规划、监理细则等文档的编制。在项目施工阶段，及时下发开工令，根据项目总体建设目标，对项目的质量、进度、工序、变更、费用控制、安全生产监督管理、施工人员等方面进行协调管理，同时对项目各方的合同、文件资料会议纪要等进行项目管理，保障项目建设情况达到设计要求，并输出相应的管控文档。在项目试运行和验收阶段，审查承建方的相关文档及质量情况，协助采购方完成项目验收工作。协助招标人办理与本工程相关的行政审批工作等；监理相关服务的范围内容与质量标准须符合现行《建设工程监理规范》《深圳市建设工程施工监理规范》等相关规定。</w:t>
      </w:r>
    </w:p>
    <w:p>
      <w:pPr>
        <w:pStyle w:val="32"/>
        <w:keepNext w:val="0"/>
        <w:keepLines w:val="0"/>
        <w:pageBreakBefore w:val="0"/>
        <w:widowControl/>
        <w:shd w:val="clear" w:color="auto" w:fill="FFFFFF"/>
        <w:snapToGrid/>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承担项目建设过程中采购方提出的与本项目相关的各类技术咨询顾问和技术指导工作。</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（五）服务要求</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1.技术/服务要求</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（1）日常监理要求</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①针对性的实施方案</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按项目总体建设目标的要求和用户需求，根据建设项目建设内容、目标、特点，分析各类项目的难点和监理重点，并根据分析的结果制定相应的监理工作规划、对策和策略，制定出有针对性的项目管理实施计划，对项目进行全程监理，主要内容包括项目计划管理、人员管理、进度管理、质量管理、变更与风险管理、合同管理、安全管理、知识产权管理、沟通与协调管理、评估与验收管理、文档管理、项目审计管理、承建单位管理办法等，提交给采购方审核，并依此进行过程管理。</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②监理工作制度要求</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投标人应制定针对深汕特别合作区智慧消防（一期）项目的监理工作制度，包括深化设计阶段、实施与验收阶段、以及信息系统工程监理组织内部等的工作制度、监理汇报制度、文件管理制度、监理现场工作制度等，通过这些制度规范各方工作流程，达到有效协调工程各方关系的目的。</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③监理项目组织要求</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监理组织形式应根据工程项目的特点、委托的任务以及监理单位自身情况确定有利于项目合同管理、有利于目标控制、有利于决策指挥、有利于信息沟通的监理组织形式。明确信息工程监理的各项运作，包括监理人员的相关资料、职能分配、监理组织的构成及工作流程、各项监理工作的相关负责人等。</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④监理信息管理要求</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应针对项目特点，制定相应的信息分类表、信息管理工作流程与措施，同时要求采用先进的信息管理软件对项目信息进行综合管理。</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a.及时向采购方准确反映项目的动态信息和监理工作情况的项目文档；</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b.建立全面、准确反映各子项目建设各阶段状况的图表、文档，收集、管理项目各类文档和资料；</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c.督促、检查施工单位及时完成各阶段设计文档、代码、会议纪要、变更单、问题跟踪单等各类资料的整理和归档工作；</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d.审查施工单位的设计文档、变更单、问题跟踪单，并加具处理意见；</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e.当软件工程质量或工期出现问题或严重偏离计划时，应及时向采购方报告，并提出对策建议，同时督促承建单位尽快采取措施。</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⑤组织协调</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a.帮助采购方划分或澄清施工单位的工作范围和职责；</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b.监督本项目各方履行职责，协调各方的工作关系；</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c.建立畅通的沟通平台和沟通渠道，采取有效措施使项目信息在有关各方之间保持顺畅流通，积极协调本项目各方之间的关系，推动项目实施过程中问题的解决。</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⑥信息安全管理</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a.督促施工单位建立完善的信息安全管理制度，数据备份制度；</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b.组织信息安全事故的调查与处理；</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c.建立信息化工程监理的信息安全管理工作目标和管理流程。</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⑦监理服务质量保障</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要求报价人根据自身特点，在公司资质、案例、质量保障体系、人员结构、监理设施配置等不同角度来说明完成上述监理工作的保证。</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（2）各阶段监理要点</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报价人应分别针对深汕特别合作区智慧消防（一期）项目监理从施工项目深化设计开始，到施工项目实施，至全部竣工验收的各阶段制定一整套信息系统工程监理的工作流程，并叙述工程各阶段主要监理工作内容。</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本项目监理工作主要分为项目深化设计阶段、施工项目招投标阶段、设备/材料采购阶段、施工项目实施阶段、试运行阶段、施工项目验收阶段、施工项目移交阶段等。</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①深化设计阶段监理</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协助进行项目深化设计工作；</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协助签订相关合同协议，并把关审核合同协议中的相应条款；</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协助进行项目需求调研，收集深化设计所需的技术资料是否适用，相关技术指标的确定是否准确；</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审核项目的规格需求是否合理，项目的内容和结构是否符合用户的实际需求；</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对方案设计进行技术分析，优化设计；</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参与主要设备、材料的技术指标确定和选型工作；</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审核方案中的主要图纸、材料清单；</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审核系统设计图纸、流程图等其他详细设计文件；</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组织设计文件的评审和报批；</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对方案设计内容进行知识产权保护监督；</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审核方案设计中的信息安全保障措施；</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审核设计是否满足国家规定的具体要求和设计规范；</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协助用户对设计方案中的工程建设周期总目标的合理性进行讨论分析；</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做出确认或否定设计方案的评审报告；</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对做出否定的设计方案，对方案进行重新设计和整改；</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协助采购方、设计单位消除设计文档在进入工程实施前可预见的缺陷。</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②施工项目招投标阶段监理</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协助采购方确定用户需求；</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协助采购方编写工程招标文件；</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协助组织投标文件审核；</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对施工单位的技术方案作进一步的优化，提出审核意见；</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协助采购方与施工单位谈判签订承包合同。</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③设备/材料采购阶段监理</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信息系统工程监理单位在设备/材料采购阶段监理工作主要是协助业主管理好采购合同，对采购计划进行监督与控制，审核、验收、移交符合合同和相关标准的设备材料。本阶段监理的主要工作为以下内容：</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审核施工单位的设备采购计划和设备采购清单；</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审核设备、材料、软件的质量和到货时间；</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订货、进货时间的确认；</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确定设备到货、开箱地点；</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组织到货验收，三方现场开箱；</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发现短缺或破损，及时要求设备提供商补发或免费更换；</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审核设备、材料、软件是否与合同所规定的规格相符；</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审核到货设备（系统）是否与合同所规定的规格相符，做好记录；</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审核到货设备的合格证明、渠道、供应商保证书等证明文件是否齐全、真实，必要时利用测试工具进行评估和测试；</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审查合同内规定的设备是否按规定的时间到货；</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审查设备（系统）配套软件包是否是成熟的、满足规范的；</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审核设备移交；</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提交设备到货验收报告。</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④施工项目实施阶段监理</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a.项目开工前的监理</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项目实施方案或开发计划：开工前，由监理单位组织实施方案或开发计划的审核，内容包括设计文件、实施方案、质量要求、依据设计招标文件，审核总体设计方案和有关文档，避免出现漏项，或避免因设计失误造成项目实施的障碍；</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审核项目实施方案的合法性、合理性、与设计方案的符合性；</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审核项目进度计划：对承建单位的建设进度计划进行评估和审查；</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审核项目建设人员的资格要求：确认承建单位提交的项目建设人员与实际工作人员的一致性，如有变更，则要求叙述其原因；</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b.实施阶段的监理</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工程材料、硬件设备、系统软件的供货计划的审核；</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工程材料、硬件设备、系统软件的进场、开箱和检验；</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促使工程中所使用的产品和服务符合合同及国家相关法律法规和标准；</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审核工程设计、安装、调试等工作所应遵循的规范和标准；</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审核软件开发方提交的各种开发计划、设计文档，并出具审核意见；</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参与软件需求的调研计划的制定，跟进软件需求调研的具体进展，审核需求规格说明文件；</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审核软件开发各阶段的相关设计文件并提出审核意见；</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参与系统的功能测试检查工作；</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对工程施工各个阶段的安装工艺进行检查；</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组织隐蔽工程验收；</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审核项目各个阶段进度计划；</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督促、检查施工单位进度执行情况；</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审查工程变更，提出监理意见；</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审核施工单位提交的工程款支付申请，提出监理意见；</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定期向建设报告工程情况；</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组织召开工程例会和工程专项会议。</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c.试运行阶段的监理</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协助采购方确认工程进入试运行；</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监查系统的调试和试运行情况，记录系统试运行数据；</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进行试运行期系统检测或测试，做出检测或测试报告；</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对试运行期间系统出现的质量问题进行记录，并责成有关单位解决。解决问题后，进行二次检测；</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进行试运行时间核算；</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协助采购方确认试运行通过。</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d.施工项目验收阶段</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审核施工单位测试方案，对测试过程进行全程监控，确保交付质量；</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制订项目验收计划；</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协助采购方进行项目初验、试运行和终验工作，并负责督促和检查施工单位的整改工作；</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对施工单位在试运行阶段出现的问题的整改情况进行监督和复查；</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监督检查施工单位的用户培训工作，检查工程各式用户文档；</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组织系统初步验收；</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审查施工单位提交的竣工文档；</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协助采购方组织评审会；</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签署工程验收报告；</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审核工程结算；</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审查施工单位阶段工程款支付申请，提出监理意见；</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向采购方提交监理工作总结；</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将所有的监理材料汇总，编制监理业务手册，提交采购方；</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各项目完工后根据相关合同督促施工单位将完整的原始实施技术资料移交给采购方，同时负责检查移交的文档，确保真实和完整；</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出具监理总结报告；</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其他需要监理的事项。</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e.施工项目移交阶段</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系统的设计方案、项目过程文档资料的移交；</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设备、软件、材料清点、核实与移交；</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工程项目的整体移交。</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2.项目组人员要求</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（1）项目总负责人（不少于1人）</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default"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项目负责人需为自有员工且至少从事相关行业八年以上。持有信息系统监理师证书或信息系统项目管理师证书（高级）或一级注册消防工程师优先。</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（2）项目主要团队成员</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auto"/>
          <w:sz w:val="32"/>
          <w:szCs w:val="32"/>
          <w:shd w:val="clear" w:color="auto" w:fill="FFFFFF"/>
        </w:rPr>
        <w:t>项目团队成员需为自有员工、本科或以上学历，且需包含以下成员，同时安排不少于一名成员驻场</w:t>
      </w:r>
      <w:r>
        <w:rPr>
          <w:rFonts w:hint="eastAsia" w:ascii="仿宋_GB2312" w:hAnsi="仿宋_GB2312" w:eastAsia="仿宋_GB2312" w:cs="仿宋_GB2312"/>
          <w:color w:val="000000"/>
          <w:kern w:val="0"/>
          <w:sz w:val="32"/>
          <w:szCs w:val="32"/>
          <w:shd w:val="clear" w:color="auto" w:fill="FFFFFF"/>
          <w:lang w:val="en-US" w:eastAsia="zh-CN" w:bidi="ar-SA"/>
        </w:rPr>
        <w:t>：</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①监理师（不少于2人）</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至少从事相关行业三年以上，持有信息系统监理师证书或监理工程师注册证书优先。</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②安全工程师（不少于1人）</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至少从事相关行业三年以上，持有注册安全工程师或信息系统监理师证书或监理工程师注册证书优先。</w:t>
      </w:r>
    </w:p>
    <w:p>
      <w:pPr>
        <w:pStyle w:val="19"/>
        <w:keepNext w:val="0"/>
        <w:keepLines w:val="0"/>
        <w:pageBreakBefore w:val="0"/>
        <w:snapToGrid/>
        <w:spacing w:line="560" w:lineRule="exact"/>
        <w:ind w:firstLine="640" w:firstLineChars="200"/>
        <w:rPr>
          <w:rFonts w:hint="default"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注：项目团队需经过采购方面试通过，否则需重新安排相同资质人员再次进行面试直至通过。</w:t>
      </w:r>
      <w:r>
        <w:rPr>
          <w:rFonts w:hint="default" w:ascii="仿宋_GB2312" w:hAnsi="仿宋_GB2312" w:eastAsia="仿宋_GB2312" w:cs="仿宋_GB2312"/>
          <w:color w:val="000000"/>
          <w:kern w:val="0"/>
          <w:sz w:val="32"/>
          <w:szCs w:val="32"/>
          <w:shd w:val="clear" w:color="auto" w:fill="FFFFFF"/>
          <w:lang w:val="en-US" w:eastAsia="zh-CN" w:bidi="ar-SA"/>
        </w:rPr>
        <w:t>在项目验收前，未经采购</w:t>
      </w:r>
      <w:r>
        <w:rPr>
          <w:rFonts w:hint="eastAsia" w:ascii="仿宋_GB2312" w:hAnsi="仿宋_GB2312" w:eastAsia="仿宋_GB2312" w:cs="仿宋_GB2312"/>
          <w:color w:val="000000"/>
          <w:kern w:val="0"/>
          <w:sz w:val="32"/>
          <w:szCs w:val="32"/>
          <w:shd w:val="clear" w:color="auto" w:fill="FFFFFF"/>
          <w:lang w:val="en-US" w:eastAsia="zh-CN" w:bidi="ar-SA"/>
        </w:rPr>
        <w:t>方</w:t>
      </w:r>
      <w:r>
        <w:rPr>
          <w:rFonts w:hint="default" w:ascii="仿宋_GB2312" w:hAnsi="仿宋_GB2312" w:eastAsia="仿宋_GB2312" w:cs="仿宋_GB2312"/>
          <w:color w:val="000000"/>
          <w:kern w:val="0"/>
          <w:sz w:val="32"/>
          <w:szCs w:val="32"/>
          <w:shd w:val="clear" w:color="auto" w:fill="FFFFFF"/>
          <w:lang w:val="en-US" w:eastAsia="zh-CN" w:bidi="ar-SA"/>
        </w:rPr>
        <w:t>同意不得调换项目</w:t>
      </w:r>
      <w:r>
        <w:rPr>
          <w:rFonts w:hint="eastAsia" w:ascii="仿宋_GB2312" w:hAnsi="仿宋_GB2312" w:eastAsia="仿宋_GB2312" w:cs="仿宋_GB2312"/>
          <w:color w:val="000000"/>
          <w:kern w:val="0"/>
          <w:sz w:val="32"/>
          <w:szCs w:val="32"/>
          <w:shd w:val="clear" w:color="auto" w:fill="FFFFFF"/>
          <w:lang w:val="en-US" w:eastAsia="zh-CN" w:bidi="ar-SA"/>
        </w:rPr>
        <w:t>组人员</w:t>
      </w:r>
      <w:r>
        <w:rPr>
          <w:rFonts w:hint="default" w:ascii="仿宋_GB2312" w:hAnsi="仿宋_GB2312" w:eastAsia="仿宋_GB2312" w:cs="仿宋_GB2312"/>
          <w:color w:val="000000"/>
          <w:kern w:val="0"/>
          <w:sz w:val="32"/>
          <w:szCs w:val="32"/>
          <w:shd w:val="clear" w:color="auto" w:fill="FFFFFF"/>
          <w:lang w:val="en-US" w:eastAsia="zh-CN" w:bidi="ar-SA"/>
        </w:rPr>
        <w:t>。</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default"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2.履约能力要求</w:t>
      </w:r>
    </w:p>
    <w:p>
      <w:pPr>
        <w:keepNext w:val="0"/>
        <w:keepLines w:val="0"/>
        <w:pageBreakBefore w:val="0"/>
        <w:widowControl/>
        <w:shd w:val="clear" w:color="auto" w:fill="FFFFFF"/>
        <w:snapToGrid/>
        <w:spacing w:before="0" w:beforeAutospacing="0" w:after="0" w:afterAutospacing="0" w:line="560" w:lineRule="exact"/>
        <w:ind w:left="0" w:firstLine="640" w:firstLineChars="200"/>
        <w:jc w:val="left"/>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具有履行该项目所必须的专业能力。包括但不限于：</w:t>
      </w:r>
    </w:p>
    <w:p>
      <w:pPr>
        <w:keepNext w:val="0"/>
        <w:keepLines w:val="0"/>
        <w:pageBreakBefore w:val="0"/>
        <w:widowControl/>
        <w:shd w:val="clear" w:color="auto" w:fill="FFFFFF"/>
        <w:snapToGrid/>
        <w:spacing w:before="0" w:beforeAutospacing="0" w:after="0" w:afterAutospacing="0" w:line="560" w:lineRule="exact"/>
        <w:ind w:left="0" w:firstLine="640" w:firstLineChars="200"/>
        <w:jc w:val="left"/>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（1）同类项目服务能力：近三年（自2022年2月1日起算，以合同签订时间为准）企事业单位同类项目（提供项目服务合同关键页证明材料或承诺函，格式自拟加盖公章）；</w:t>
      </w:r>
    </w:p>
    <w:p>
      <w:pPr>
        <w:keepNext w:val="0"/>
        <w:keepLines w:val="0"/>
        <w:pageBreakBefore w:val="0"/>
        <w:widowControl/>
        <w:shd w:val="clear" w:color="auto" w:fill="FFFFFF"/>
        <w:snapToGrid/>
        <w:spacing w:before="0" w:beforeAutospacing="0" w:after="0" w:afterAutospacing="0" w:line="560" w:lineRule="exact"/>
        <w:ind w:firstLine="640" w:firstLineChars="200"/>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b w:val="0"/>
          <w:bCs w:val="0"/>
          <w:color w:val="000000"/>
          <w:kern w:val="0"/>
          <w:sz w:val="32"/>
          <w:szCs w:val="32"/>
          <w:shd w:val="clear" w:color="auto" w:fill="FFFFFF"/>
          <w:lang w:val="en-US" w:eastAsia="zh-CN" w:bidi="ar-SA"/>
        </w:rPr>
        <w:t>（六）服务成果</w:t>
      </w:r>
    </w:p>
    <w:p>
      <w:pPr>
        <w:pStyle w:val="19"/>
        <w:keepNext w:val="0"/>
        <w:keepLines w:val="0"/>
        <w:pageBreakBefore w:val="0"/>
        <w:numPr>
          <w:ilvl w:val="0"/>
          <w:numId w:val="0"/>
        </w:numPr>
        <w:snapToGrid/>
        <w:spacing w:line="560" w:lineRule="exact"/>
        <w:ind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1.包括但不限于以下内容：</w:t>
      </w:r>
    </w:p>
    <w:p>
      <w:pPr>
        <w:pStyle w:val="19"/>
        <w:keepNext w:val="0"/>
        <w:keepLines w:val="0"/>
        <w:pageBreakBefore w:val="0"/>
        <w:numPr>
          <w:ilvl w:val="0"/>
          <w:numId w:val="0"/>
        </w:numPr>
        <w:snapToGrid/>
        <w:spacing w:line="560" w:lineRule="exact"/>
        <w:ind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（1）监理规划；</w:t>
      </w:r>
    </w:p>
    <w:p>
      <w:pPr>
        <w:pStyle w:val="19"/>
        <w:keepNext w:val="0"/>
        <w:keepLines w:val="0"/>
        <w:pageBreakBefore w:val="0"/>
        <w:numPr>
          <w:ilvl w:val="0"/>
          <w:numId w:val="0"/>
        </w:numPr>
        <w:snapToGrid/>
        <w:spacing w:line="560" w:lineRule="exact"/>
        <w:ind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（2）监理细则；</w:t>
      </w:r>
    </w:p>
    <w:p>
      <w:pPr>
        <w:pStyle w:val="19"/>
        <w:keepNext w:val="0"/>
        <w:keepLines w:val="0"/>
        <w:pageBreakBefore w:val="0"/>
        <w:numPr>
          <w:ilvl w:val="0"/>
          <w:numId w:val="0"/>
        </w:numPr>
        <w:snapToGrid/>
        <w:spacing w:line="560" w:lineRule="exact"/>
        <w:ind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（3）关键节点的会议纪要；</w:t>
      </w:r>
    </w:p>
    <w:p>
      <w:pPr>
        <w:pStyle w:val="19"/>
        <w:keepNext w:val="0"/>
        <w:keepLines w:val="0"/>
        <w:pageBreakBefore w:val="0"/>
        <w:numPr>
          <w:ilvl w:val="0"/>
          <w:numId w:val="0"/>
        </w:numPr>
        <w:snapToGrid/>
        <w:spacing w:line="560" w:lineRule="exact"/>
        <w:ind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（4）周报和月报；</w:t>
      </w:r>
    </w:p>
    <w:p>
      <w:pPr>
        <w:pStyle w:val="19"/>
        <w:keepNext w:val="0"/>
        <w:keepLines w:val="0"/>
        <w:pageBreakBefore w:val="0"/>
        <w:numPr>
          <w:ilvl w:val="0"/>
          <w:numId w:val="0"/>
        </w:numPr>
        <w:snapToGrid/>
        <w:spacing w:line="560" w:lineRule="exact"/>
        <w:ind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（5）出具各阶段审核意见；</w:t>
      </w:r>
    </w:p>
    <w:p>
      <w:pPr>
        <w:pStyle w:val="19"/>
        <w:keepNext w:val="0"/>
        <w:keepLines w:val="0"/>
        <w:pageBreakBefore w:val="0"/>
        <w:numPr>
          <w:ilvl w:val="0"/>
          <w:numId w:val="0"/>
        </w:numPr>
        <w:snapToGrid/>
        <w:spacing w:line="560" w:lineRule="exact"/>
        <w:ind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（6）出具监理总结报告。</w:t>
      </w:r>
    </w:p>
    <w:p>
      <w:pPr>
        <w:pStyle w:val="19"/>
        <w:keepNext w:val="0"/>
        <w:keepLines w:val="0"/>
        <w:pageBreakBefore w:val="0"/>
        <w:numPr>
          <w:ilvl w:val="0"/>
          <w:numId w:val="0"/>
        </w:numPr>
        <w:snapToGrid/>
        <w:spacing w:line="560" w:lineRule="exact"/>
        <w:ind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2.提交要求</w:t>
      </w:r>
    </w:p>
    <w:p>
      <w:pPr>
        <w:pStyle w:val="19"/>
        <w:keepNext w:val="0"/>
        <w:keepLines w:val="0"/>
        <w:pageBreakBefore w:val="0"/>
        <w:numPr>
          <w:ilvl w:val="0"/>
          <w:numId w:val="0"/>
        </w:numPr>
        <w:snapToGrid/>
        <w:spacing w:line="560" w:lineRule="exact"/>
        <w:ind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以双方合同约定为准。</w:t>
      </w:r>
    </w:p>
    <w:p>
      <w:pPr>
        <w:pStyle w:val="19"/>
        <w:keepNext w:val="0"/>
        <w:keepLines w:val="0"/>
        <w:pageBreakBefore w:val="0"/>
        <w:numPr>
          <w:ilvl w:val="0"/>
          <w:numId w:val="0"/>
        </w:numPr>
        <w:snapToGrid/>
        <w:spacing w:line="560" w:lineRule="exact"/>
        <w:ind w:firstLine="640" w:firstLineChars="200"/>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（七）商务要求</w:t>
      </w:r>
    </w:p>
    <w:p>
      <w:pPr>
        <w:pStyle w:val="4"/>
        <w:keepNext w:val="0"/>
        <w:keepLines w:val="0"/>
        <w:pageBreakBefore w:val="0"/>
        <w:widowControl/>
        <w:shd w:val="clear" w:color="auto" w:fill="FFFFFF"/>
        <w:snapToGrid/>
        <w:spacing w:line="560" w:lineRule="exact"/>
        <w:ind w:left="0" w:leftChars="0"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hAnsi="宋体"/>
          <w:kern w:val="0"/>
          <w:sz w:val="32"/>
          <w:szCs w:val="32"/>
        </w:rPr>
        <w:t>★</w:t>
      </w:r>
      <w:r>
        <w:rPr>
          <w:rFonts w:hint="eastAsia" w:ascii="仿宋_GB2312" w:hAnsi="仿宋_GB2312" w:eastAsia="仿宋_GB2312" w:cs="仿宋_GB2312"/>
          <w:color w:val="000000"/>
          <w:kern w:val="0"/>
          <w:sz w:val="32"/>
          <w:szCs w:val="32"/>
          <w:shd w:val="clear" w:color="auto" w:fill="FFFFFF"/>
          <w:lang w:val="en-US" w:eastAsia="zh-CN" w:bidi="ar-SA"/>
        </w:rPr>
        <w:t>1.服务期限</w:t>
      </w:r>
    </w:p>
    <w:p>
      <w:pPr>
        <w:pStyle w:val="4"/>
        <w:keepNext w:val="0"/>
        <w:keepLines w:val="0"/>
        <w:pageBreakBefore w:val="0"/>
        <w:widowControl/>
        <w:shd w:val="clear" w:color="auto" w:fill="FFFFFF"/>
        <w:snapToGrid/>
        <w:spacing w:line="560" w:lineRule="exact"/>
        <w:ind w:left="0" w:leftChars="0"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自合同签订之日起直至施工项目竣工决算为止。</w:t>
      </w:r>
    </w:p>
    <w:p>
      <w:pPr>
        <w:pStyle w:val="4"/>
        <w:keepNext w:val="0"/>
        <w:keepLines w:val="0"/>
        <w:pageBreakBefore w:val="0"/>
        <w:widowControl/>
        <w:shd w:val="clear" w:color="auto" w:fill="FFFFFF"/>
        <w:snapToGrid/>
        <w:spacing w:line="560" w:lineRule="exact"/>
        <w:ind w:left="0" w:leftChars="0"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2.付款方式</w:t>
      </w:r>
    </w:p>
    <w:p>
      <w:pPr>
        <w:pStyle w:val="4"/>
        <w:keepNext w:val="0"/>
        <w:keepLines w:val="0"/>
        <w:pageBreakBefore w:val="0"/>
        <w:widowControl/>
        <w:shd w:val="clear" w:color="auto" w:fill="FFFFFF"/>
        <w:snapToGrid/>
        <w:spacing w:line="560" w:lineRule="exact"/>
        <w:ind w:left="0" w:leftChars="0"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合同款由采购人分期支付给中标供应商，合同约定的资金支付条件与项目进度挂钩，具体如下：</w:t>
      </w:r>
    </w:p>
    <w:p>
      <w:pPr>
        <w:pStyle w:val="4"/>
        <w:keepNext w:val="0"/>
        <w:keepLines w:val="0"/>
        <w:pageBreakBefore w:val="0"/>
        <w:widowControl/>
        <w:shd w:val="clear" w:color="auto" w:fill="FFFFFF"/>
        <w:snapToGrid/>
        <w:spacing w:line="560" w:lineRule="exact"/>
        <w:ind w:left="0" w:leftChars="0"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（1）首期款：合同签订生效后，受托方向委托方开具等额有效发票，委托方收到发票审核无误后于10个工作日内，委托方向受托方支付合同金额30%的款项；</w:t>
      </w:r>
    </w:p>
    <w:p>
      <w:pPr>
        <w:shd w:val="clear" w:color="auto" w:fill="FFFFFF"/>
        <w:spacing w:line="560" w:lineRule="exact"/>
        <w:ind w:firstLine="640"/>
      </w:pPr>
      <w:r>
        <w:rPr>
          <w:rFonts w:ascii="仿宋_GB2312" w:hAnsi="仿宋_GB2312" w:eastAsia="仿宋_GB2312" w:cs="仿宋_GB2312"/>
          <w:color w:val="000000"/>
          <w:sz w:val="32"/>
          <w:highlight w:val="white"/>
        </w:rPr>
        <w:t>（2）进度款：在完成项目初验后，委托方收到受托方发出等额有效发票之日起10个工作日内，委托方结合考核结果，最高向受托方支付合同金额30%的款项。</w:t>
      </w:r>
    </w:p>
    <w:p>
      <w:pPr>
        <w:shd w:val="clear" w:color="auto" w:fill="FFFFFF"/>
        <w:spacing w:line="560" w:lineRule="exact"/>
        <w:ind w:firstLine="640"/>
      </w:pPr>
      <w:r>
        <w:rPr>
          <w:rFonts w:ascii="仿宋_GB2312" w:hAnsi="仿宋_GB2312" w:eastAsia="仿宋_GB2312" w:cs="仿宋_GB2312"/>
          <w:color w:val="000000"/>
          <w:sz w:val="32"/>
          <w:highlight w:val="white"/>
        </w:rPr>
        <w:t>（3）结算款：在完成项目决算后，委托方收到受托方发出等额有效发票之日起10个工作日内，委托方结合考核结果，最高向受托方支付合同金额40%的款项，最终结算金额以决算审核金额为准。</w:t>
      </w:r>
    </w:p>
    <w:p>
      <w:pPr>
        <w:shd w:val="clear" w:color="auto" w:fill="FFFFFF"/>
        <w:spacing w:line="560" w:lineRule="exact"/>
        <w:ind w:firstLine="640"/>
        <w:rPr>
          <w:rFonts w:hint="default" w:eastAsia="仿宋_GB2312"/>
          <w:lang w:val="en-US" w:eastAsia="zh-CN"/>
        </w:rPr>
      </w:pPr>
      <w:r>
        <w:rPr>
          <w:rFonts w:hint="eastAsia" w:ascii="仿宋_GB2312" w:hAnsi="仿宋_GB2312" w:eastAsia="仿宋_GB2312" w:cs="仿宋_GB2312"/>
          <w:color w:val="000000"/>
          <w:sz w:val="32"/>
          <w:highlight w:val="white"/>
        </w:rPr>
        <w:t>★</w:t>
      </w:r>
      <w:r>
        <w:rPr>
          <w:rFonts w:ascii="仿宋_GB2312" w:hAnsi="仿宋_GB2312" w:eastAsia="仿宋_GB2312" w:cs="仿宋_GB2312"/>
          <w:color w:val="000000"/>
          <w:sz w:val="32"/>
          <w:highlight w:val="white"/>
        </w:rPr>
        <w:t>3.服务质量验收标准</w:t>
      </w:r>
      <w:r>
        <w:rPr>
          <w:rFonts w:hint="eastAsia" w:ascii="仿宋_GB2312" w:hAnsi="仿宋_GB2312" w:eastAsia="仿宋_GB2312" w:cs="仿宋_GB2312"/>
          <w:color w:val="000000"/>
          <w:sz w:val="32"/>
          <w:highlight w:val="white"/>
          <w:lang w:val="en-US" w:eastAsia="zh-CN"/>
        </w:rPr>
        <w:t>及违约条款</w:t>
      </w:r>
    </w:p>
    <w:p>
      <w:pPr>
        <w:spacing w:line="560" w:lineRule="exact"/>
        <w:ind w:firstLine="640"/>
      </w:pPr>
      <w:r>
        <w:rPr>
          <w:rFonts w:ascii="仿宋_GB2312" w:hAnsi="仿宋_GB2312" w:eastAsia="仿宋_GB2312" w:cs="仿宋_GB2312"/>
          <w:color w:val="000000"/>
          <w:sz w:val="32"/>
          <w:highlight w:val="white"/>
        </w:rPr>
        <w:t>在乙方完成项目监理服务工作并提交资料后，乙方应及时通知甲方组织考核。</w:t>
      </w:r>
    </w:p>
    <w:p>
      <w:pPr>
        <w:spacing w:line="560" w:lineRule="exact"/>
        <w:ind w:firstLine="640"/>
      </w:pPr>
      <w:r>
        <w:rPr>
          <w:rFonts w:ascii="仿宋_GB2312" w:hAnsi="仿宋_GB2312" w:eastAsia="仿宋_GB2312" w:cs="仿宋_GB2312"/>
          <w:color w:val="000000"/>
          <w:sz w:val="32"/>
          <w:highlight w:val="white"/>
        </w:rPr>
        <w:t>（1）考核评价表</w:t>
      </w:r>
    </w:p>
    <w:tbl>
      <w:tblPr>
        <w:tblStyle w:val="3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786"/>
        <w:gridCol w:w="1512"/>
        <w:gridCol w:w="3751"/>
        <w:gridCol w:w="830"/>
        <w:gridCol w:w="876"/>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78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b/>
                <w:color w:val="000000"/>
                <w:sz w:val="28"/>
              </w:rPr>
              <w:t>编号</w:t>
            </w:r>
          </w:p>
        </w:tc>
        <w:tc>
          <w:tcPr>
            <w:tcW w:w="1512"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b/>
                <w:color w:val="000000"/>
                <w:sz w:val="28"/>
              </w:rPr>
              <w:t>评分指标</w:t>
            </w:r>
          </w:p>
        </w:tc>
        <w:tc>
          <w:tcPr>
            <w:tcW w:w="375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b/>
                <w:color w:val="000000"/>
                <w:sz w:val="28"/>
              </w:rPr>
              <w:t>评分标准（百分制）</w:t>
            </w:r>
          </w:p>
        </w:tc>
        <w:tc>
          <w:tcPr>
            <w:tcW w:w="83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b/>
                <w:color w:val="000000"/>
                <w:sz w:val="28"/>
              </w:rPr>
              <w:t>分数</w:t>
            </w:r>
          </w:p>
        </w:tc>
        <w:tc>
          <w:tcPr>
            <w:tcW w:w="87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b/>
                <w:color w:val="000000"/>
                <w:sz w:val="28"/>
              </w:rPr>
              <w:t>得分</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78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color w:val="000000"/>
                <w:sz w:val="28"/>
              </w:rPr>
              <w:t>1</w:t>
            </w:r>
          </w:p>
        </w:tc>
        <w:tc>
          <w:tcPr>
            <w:tcW w:w="15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color w:val="000000"/>
                <w:sz w:val="28"/>
              </w:rPr>
              <w:t>项目进度管控</w:t>
            </w:r>
          </w:p>
        </w:tc>
        <w:tc>
          <w:tcPr>
            <w:tcW w:w="37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pPr>
            <w:r>
              <w:rPr>
                <w:rFonts w:ascii="仿宋_GB2312" w:hAnsi="仿宋_GB2312" w:eastAsia="仿宋_GB2312" w:cs="仿宋_GB2312"/>
                <w:color w:val="000000"/>
                <w:sz w:val="28"/>
              </w:rPr>
              <w:t>根据承建单位提交的项目初验报告，组织验收评审和查验核实项目完成情况，发现未完成1项扣3分，本项扣完为止。</w:t>
            </w:r>
          </w:p>
        </w:tc>
        <w:tc>
          <w:tcPr>
            <w:tcW w:w="83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color w:val="000000"/>
                <w:sz w:val="28"/>
              </w:rPr>
              <w:t>25</w:t>
            </w:r>
          </w:p>
        </w:tc>
        <w:tc>
          <w:tcPr>
            <w:tcW w:w="8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ind w:firstLine="560"/>
              <w:jc w:val="center"/>
            </w:pPr>
            <w:r>
              <w:rPr>
                <w:rFonts w:ascii="仿宋_GB2312" w:hAnsi="仿宋_GB2312" w:eastAsia="仿宋_GB2312" w:cs="仿宋_GB2312"/>
                <w:color w:val="000000"/>
                <w:sz w:val="28"/>
              </w:rPr>
              <w:t xml:space="preserve">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78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color w:val="000000"/>
                <w:sz w:val="28"/>
              </w:rPr>
              <w:t>2</w:t>
            </w:r>
          </w:p>
        </w:tc>
        <w:tc>
          <w:tcPr>
            <w:tcW w:w="15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color w:val="000000"/>
                <w:sz w:val="28"/>
              </w:rPr>
              <w:t>项目质量管控</w:t>
            </w:r>
          </w:p>
        </w:tc>
        <w:tc>
          <w:tcPr>
            <w:tcW w:w="37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pPr>
            <w:r>
              <w:rPr>
                <w:rFonts w:ascii="仿宋_GB2312" w:hAnsi="仿宋_GB2312" w:eastAsia="仿宋_GB2312" w:cs="仿宋_GB2312"/>
                <w:color w:val="000000"/>
                <w:sz w:val="28"/>
              </w:rPr>
              <w:t>1、未对承建单位现场实施人员到岗、特殊工种人员持证上岗等情况进行检查、考核，扣5分。</w:t>
            </w:r>
          </w:p>
          <w:p>
            <w:pPr>
              <w:spacing w:before="40" w:after="40" w:line="85" w:lineRule="auto"/>
            </w:pPr>
            <w:r>
              <w:rPr>
                <w:rFonts w:ascii="仿宋_GB2312" w:hAnsi="仿宋_GB2312" w:eastAsia="仿宋_GB2312" w:cs="仿宋_GB2312"/>
                <w:color w:val="000000"/>
                <w:sz w:val="28"/>
              </w:rPr>
              <w:t>2、未充分审查项目的设计文件、实施方案、设计变更等导致出现质量问题，扣5分。</w:t>
            </w:r>
          </w:p>
          <w:p>
            <w:pPr>
              <w:spacing w:before="40" w:after="40" w:line="85" w:lineRule="auto"/>
            </w:pPr>
            <w:r>
              <w:rPr>
                <w:rFonts w:ascii="仿宋_GB2312" w:hAnsi="仿宋_GB2312" w:eastAsia="仿宋_GB2312" w:cs="仿宋_GB2312"/>
                <w:color w:val="000000"/>
                <w:sz w:val="28"/>
              </w:rPr>
              <w:t>3、未按照规范要求的程序第一时间处理质量缺陷、重大质量缺陷或质量事故，每次扣5分。</w:t>
            </w:r>
          </w:p>
          <w:p>
            <w:pPr>
              <w:spacing w:before="40" w:after="40" w:line="85" w:lineRule="auto"/>
            </w:pPr>
            <w:r>
              <w:rPr>
                <w:rFonts w:ascii="仿宋_GB2312" w:hAnsi="仿宋_GB2312" w:eastAsia="仿宋_GB2312" w:cs="仿宋_GB2312"/>
                <w:color w:val="000000"/>
                <w:sz w:val="28"/>
              </w:rPr>
              <w:t>4、本项扣完为止。</w:t>
            </w:r>
          </w:p>
        </w:tc>
        <w:tc>
          <w:tcPr>
            <w:tcW w:w="83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color w:val="000000"/>
                <w:sz w:val="28"/>
              </w:rPr>
              <w:t>25</w:t>
            </w:r>
          </w:p>
        </w:tc>
        <w:tc>
          <w:tcPr>
            <w:tcW w:w="8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ind w:firstLine="560"/>
              <w:jc w:val="center"/>
            </w:pPr>
            <w:r>
              <w:rPr>
                <w:rFonts w:ascii="仿宋_GB2312" w:hAnsi="仿宋_GB2312" w:eastAsia="仿宋_GB2312" w:cs="仿宋_GB2312"/>
                <w:color w:val="000000"/>
                <w:sz w:val="28"/>
              </w:rPr>
              <w:t xml:space="preserve">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78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color w:val="000000"/>
                <w:sz w:val="28"/>
              </w:rPr>
              <w:t>3</w:t>
            </w:r>
          </w:p>
        </w:tc>
        <w:tc>
          <w:tcPr>
            <w:tcW w:w="15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color w:val="000000"/>
                <w:sz w:val="28"/>
              </w:rPr>
              <w:t>资料质量管控</w:t>
            </w:r>
          </w:p>
        </w:tc>
        <w:tc>
          <w:tcPr>
            <w:tcW w:w="37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pPr>
            <w:r>
              <w:rPr>
                <w:rFonts w:ascii="仿宋_GB2312" w:hAnsi="仿宋_GB2312" w:eastAsia="仿宋_GB2312" w:cs="仿宋_GB2312"/>
                <w:color w:val="000000"/>
                <w:sz w:val="28"/>
              </w:rPr>
              <w:t>1、未按照甲方要求提交资料，每次扣5分。</w:t>
            </w:r>
          </w:p>
          <w:p>
            <w:pPr>
              <w:spacing w:before="40" w:after="40"/>
            </w:pPr>
            <w:r>
              <w:rPr>
                <w:rFonts w:ascii="仿宋_GB2312" w:hAnsi="仿宋_GB2312" w:eastAsia="仿宋_GB2312" w:cs="仿宋_GB2312"/>
                <w:color w:val="000000"/>
                <w:sz w:val="28"/>
              </w:rPr>
              <w:t>2、未按照甲方的指定的格式编制材料每次扣2分。</w:t>
            </w:r>
          </w:p>
          <w:p>
            <w:pPr>
              <w:spacing w:before="40" w:after="40"/>
            </w:pPr>
            <w:r>
              <w:rPr>
                <w:rFonts w:ascii="仿宋_GB2312" w:hAnsi="仿宋_GB2312" w:eastAsia="仿宋_GB2312" w:cs="仿宋_GB2312"/>
                <w:color w:val="000000"/>
                <w:sz w:val="28"/>
              </w:rPr>
              <w:t>3、未按照要求及时提供监理工作规划、周报、总结等相关材料，每次扣5分</w:t>
            </w:r>
          </w:p>
          <w:p>
            <w:pPr>
              <w:spacing w:before="40" w:after="40"/>
            </w:pPr>
            <w:r>
              <w:rPr>
                <w:rFonts w:ascii="仿宋_GB2312" w:hAnsi="仿宋_GB2312" w:eastAsia="仿宋_GB2312" w:cs="仿宋_GB2312"/>
                <w:color w:val="000000"/>
                <w:sz w:val="28"/>
              </w:rPr>
              <w:t>4、未充分审核项目初验、测评、终验等重要节点项目资料，导致项目资料出现及时性、完整性、准确性问题的，每次扣5分。</w:t>
            </w:r>
          </w:p>
          <w:p>
            <w:pPr>
              <w:spacing w:before="40" w:after="40"/>
            </w:pPr>
            <w:r>
              <w:rPr>
                <w:rFonts w:ascii="仿宋_GB2312" w:hAnsi="仿宋_GB2312" w:eastAsia="仿宋_GB2312" w:cs="仿宋_GB2312"/>
                <w:color w:val="000000"/>
                <w:sz w:val="28"/>
              </w:rPr>
              <w:t>5、本项扣完为止。</w:t>
            </w:r>
          </w:p>
        </w:tc>
        <w:tc>
          <w:tcPr>
            <w:tcW w:w="83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color w:val="000000"/>
                <w:sz w:val="28"/>
              </w:rPr>
              <w:t>20</w:t>
            </w:r>
          </w:p>
        </w:tc>
        <w:tc>
          <w:tcPr>
            <w:tcW w:w="8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ind w:firstLine="560"/>
              <w:jc w:val="center"/>
            </w:pPr>
            <w:r>
              <w:rPr>
                <w:rFonts w:ascii="仿宋_GB2312" w:hAnsi="仿宋_GB2312" w:eastAsia="仿宋_GB2312" w:cs="仿宋_GB2312"/>
                <w:color w:val="000000"/>
                <w:sz w:val="28"/>
              </w:rPr>
              <w:t xml:space="preserve">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78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color w:val="000000"/>
                <w:sz w:val="28"/>
              </w:rPr>
              <w:t>4</w:t>
            </w:r>
          </w:p>
        </w:tc>
        <w:tc>
          <w:tcPr>
            <w:tcW w:w="15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color w:val="000000"/>
                <w:sz w:val="28"/>
              </w:rPr>
              <w:t>驻场人员要求</w:t>
            </w:r>
          </w:p>
        </w:tc>
        <w:tc>
          <w:tcPr>
            <w:tcW w:w="37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pPr>
            <w:r>
              <w:rPr>
                <w:rFonts w:ascii="仿宋_GB2312" w:hAnsi="仿宋_GB2312" w:eastAsia="仿宋_GB2312" w:cs="仿宋_GB2312"/>
                <w:color w:val="000000"/>
                <w:sz w:val="28"/>
              </w:rPr>
              <w:t>1、按照要求组建监理团队，专业配备齐全，如发生人员更换未提前告知甲方，每次扣10分。</w:t>
            </w:r>
          </w:p>
          <w:p>
            <w:pPr>
              <w:spacing w:before="40" w:after="40" w:line="85" w:lineRule="auto"/>
            </w:pPr>
            <w:r>
              <w:rPr>
                <w:rFonts w:ascii="仿宋_GB2312" w:hAnsi="仿宋_GB2312" w:eastAsia="仿宋_GB2312" w:cs="仿宋_GB2312"/>
                <w:color w:val="000000"/>
                <w:sz w:val="28"/>
              </w:rPr>
              <w:t>2、按照甲方要求，严格遵守到岗制度，发现未按时到岗或擅自离岗1人次扣5分。</w:t>
            </w:r>
          </w:p>
          <w:p>
            <w:pPr>
              <w:spacing w:before="40" w:after="40" w:line="85" w:lineRule="auto"/>
            </w:pPr>
            <w:r>
              <w:rPr>
                <w:rFonts w:ascii="仿宋_GB2312" w:hAnsi="仿宋_GB2312" w:eastAsia="仿宋_GB2312" w:cs="仿宋_GB2312"/>
                <w:color w:val="000000"/>
                <w:sz w:val="28"/>
              </w:rPr>
              <w:t>3、本项扣完为止。</w:t>
            </w:r>
          </w:p>
        </w:tc>
        <w:tc>
          <w:tcPr>
            <w:tcW w:w="83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color w:val="000000"/>
                <w:sz w:val="28"/>
              </w:rPr>
              <w:t>15</w:t>
            </w:r>
          </w:p>
        </w:tc>
        <w:tc>
          <w:tcPr>
            <w:tcW w:w="8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ind w:firstLine="560"/>
              <w:jc w:val="center"/>
            </w:pPr>
            <w:r>
              <w:rPr>
                <w:rFonts w:ascii="仿宋_GB2312" w:hAnsi="仿宋_GB2312" w:eastAsia="仿宋_GB2312" w:cs="仿宋_GB2312"/>
                <w:color w:val="000000"/>
                <w:sz w:val="28"/>
              </w:rPr>
              <w:t xml:space="preserve">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78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color w:val="000000"/>
                <w:sz w:val="28"/>
              </w:rPr>
              <w:t>5</w:t>
            </w:r>
          </w:p>
        </w:tc>
        <w:tc>
          <w:tcPr>
            <w:tcW w:w="15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color w:val="000000"/>
                <w:sz w:val="28"/>
              </w:rPr>
              <w:t>工作态度与职业道德</w:t>
            </w:r>
          </w:p>
        </w:tc>
        <w:tc>
          <w:tcPr>
            <w:tcW w:w="37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pPr>
            <w:r>
              <w:rPr>
                <w:rFonts w:ascii="仿宋_GB2312" w:hAnsi="仿宋_GB2312" w:eastAsia="仿宋_GB2312" w:cs="仿宋_GB2312"/>
                <w:color w:val="000000"/>
                <w:sz w:val="28"/>
              </w:rPr>
              <w:t>1、自觉履行职责，主动完成任务，未达到1次扣2分。</w:t>
            </w:r>
          </w:p>
          <w:p>
            <w:pPr>
              <w:spacing w:before="40" w:after="40" w:line="85" w:lineRule="auto"/>
            </w:pPr>
            <w:r>
              <w:rPr>
                <w:rFonts w:ascii="仿宋_GB2312" w:hAnsi="仿宋_GB2312" w:eastAsia="仿宋_GB2312" w:cs="仿宋_GB2312"/>
                <w:color w:val="000000"/>
                <w:sz w:val="28"/>
              </w:rPr>
              <w:t>2、遵守理解甲方制度，服从安排，积极配合、服务态度良好，未达到1次扣2分。</w:t>
            </w:r>
          </w:p>
          <w:p>
            <w:pPr>
              <w:spacing w:before="40" w:after="40" w:line="85" w:lineRule="auto"/>
            </w:pPr>
            <w:r>
              <w:rPr>
                <w:rFonts w:ascii="仿宋_GB2312" w:hAnsi="仿宋_GB2312" w:eastAsia="仿宋_GB2312" w:cs="仿宋_GB2312"/>
                <w:color w:val="000000"/>
                <w:sz w:val="28"/>
              </w:rPr>
              <w:t>3、设置投诉和通报批评机制，收到1次扣2分。</w:t>
            </w:r>
          </w:p>
          <w:p>
            <w:pPr>
              <w:spacing w:before="40" w:after="40" w:line="85" w:lineRule="auto"/>
            </w:pPr>
            <w:r>
              <w:rPr>
                <w:rFonts w:ascii="仿宋_GB2312" w:hAnsi="仿宋_GB2312" w:eastAsia="仿宋_GB2312" w:cs="仿宋_GB2312"/>
                <w:color w:val="000000"/>
                <w:sz w:val="28"/>
              </w:rPr>
              <w:t>4、本项扣完为止。</w:t>
            </w:r>
          </w:p>
        </w:tc>
        <w:tc>
          <w:tcPr>
            <w:tcW w:w="83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color w:val="000000"/>
                <w:sz w:val="28"/>
              </w:rPr>
              <w:t>15</w:t>
            </w:r>
          </w:p>
        </w:tc>
        <w:tc>
          <w:tcPr>
            <w:tcW w:w="8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ind w:firstLine="560"/>
              <w:jc w:val="center"/>
            </w:pPr>
            <w:r>
              <w:rPr>
                <w:rFonts w:ascii="仿宋_GB2312" w:hAnsi="仿宋_GB2312" w:eastAsia="仿宋_GB2312" w:cs="仿宋_GB2312"/>
                <w:color w:val="000000"/>
                <w:sz w:val="28"/>
              </w:rPr>
              <w:t xml:space="preserve">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78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color w:val="000000"/>
                <w:sz w:val="28"/>
              </w:rPr>
              <w:t>总分</w:t>
            </w:r>
          </w:p>
        </w:tc>
        <w:tc>
          <w:tcPr>
            <w:tcW w:w="15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仿宋_GB2312" w:hAnsi="仿宋_GB2312" w:eastAsia="仿宋_GB2312" w:cs="仿宋_GB2312"/>
                <w:color w:val="000000"/>
                <w:sz w:val="28"/>
              </w:rPr>
              <w:t xml:space="preserve"> </w:t>
            </w:r>
          </w:p>
        </w:tc>
        <w:tc>
          <w:tcPr>
            <w:tcW w:w="37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pPr>
            <w:r>
              <w:rPr>
                <w:rFonts w:ascii="仿宋_GB2312" w:hAnsi="仿宋_GB2312" w:eastAsia="仿宋_GB2312" w:cs="仿宋_GB2312"/>
                <w:color w:val="000000"/>
                <w:sz w:val="28"/>
              </w:rPr>
              <w:t>评分等级：</w:t>
            </w:r>
          </w:p>
        </w:tc>
        <w:tc>
          <w:tcPr>
            <w:tcW w:w="1705"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jc w:val="center"/>
            </w:pPr>
            <w:r>
              <w:rPr>
                <w:rFonts w:ascii="&quot;Wingdings 2&quot;" w:hAnsi="&quot;Wingdings 2&quot;" w:eastAsia="&quot;Wingdings 2&quot;" w:cs="&quot;Wingdings 2&quot;"/>
                <w:color w:val="000000"/>
                <w:sz w:val="28"/>
              </w:rPr>
              <w:t>£</w:t>
            </w:r>
            <w:r>
              <w:rPr>
                <w:rFonts w:ascii="仿宋_GB2312" w:hAnsi="仿宋_GB2312" w:eastAsia="仿宋_GB2312" w:cs="仿宋_GB2312"/>
                <w:color w:val="000000"/>
                <w:sz w:val="28"/>
              </w:rPr>
              <w:t>A</w:t>
            </w:r>
            <w:r>
              <w:rPr>
                <w:rFonts w:ascii="&quot;Wingdings 2&quot;" w:hAnsi="&quot;Wingdings 2&quot;" w:eastAsia="&quot;Wingdings 2&quot;" w:cs="&quot;Wingdings 2&quot;"/>
                <w:color w:val="000000"/>
                <w:sz w:val="28"/>
              </w:rPr>
              <w:t>£</w:t>
            </w:r>
            <w:r>
              <w:rPr>
                <w:rFonts w:ascii="仿宋_GB2312" w:hAnsi="仿宋_GB2312" w:eastAsia="仿宋_GB2312" w:cs="仿宋_GB2312"/>
                <w:color w:val="000000"/>
                <w:sz w:val="28"/>
              </w:rPr>
              <w:t>B</w:t>
            </w:r>
            <w:r>
              <w:rPr>
                <w:rFonts w:ascii="&quot;Wingdings 2&quot;" w:hAnsi="&quot;Wingdings 2&quot;" w:eastAsia="&quot;Wingdings 2&quot;" w:cs="&quot;Wingdings 2&quot;"/>
                <w:color w:val="000000"/>
                <w:sz w:val="28"/>
              </w:rPr>
              <w:t>£</w:t>
            </w:r>
            <w:r>
              <w:rPr>
                <w:rFonts w:ascii="仿宋_GB2312" w:hAnsi="仿宋_GB2312" w:eastAsia="仿宋_GB2312" w:cs="仿宋_GB2312"/>
                <w:color w:val="000000"/>
                <w:sz w:val="28"/>
              </w:rPr>
              <w:t>C</w:t>
            </w:r>
            <w:r>
              <w:rPr>
                <w:rFonts w:ascii="&quot;Wingdings 2&quot;" w:hAnsi="&quot;Wingdings 2&quot;" w:eastAsia="&quot;Wingdings 2&quot;" w:cs="&quot;Wingdings 2&quot;"/>
                <w:color w:val="000000"/>
                <w:sz w:val="28"/>
              </w:rPr>
              <w:t>£</w:t>
            </w:r>
            <w:r>
              <w:rPr>
                <w:rFonts w:ascii="仿宋_GB2312" w:hAnsi="仿宋_GB2312" w:eastAsia="仿宋_GB2312" w:cs="仿宋_GB2312"/>
                <w:color w:val="000000"/>
                <w:sz w:val="28"/>
              </w:rPr>
              <w:t>D</w:t>
            </w:r>
            <w:r>
              <w:rPr>
                <w:rFonts w:ascii="&quot;Wingdings 2&quot;" w:hAnsi="&quot;Wingdings 2&quot;" w:eastAsia="&quot;Wingdings 2&quot;" w:cs="&quot;Wingdings 2&quot;"/>
                <w:color w:val="000000"/>
                <w:sz w:val="28"/>
              </w:rPr>
              <w:t>£</w:t>
            </w:r>
            <w:r>
              <w:rPr>
                <w:rFonts w:ascii="仿宋_GB2312" w:hAnsi="仿宋_GB2312" w:eastAsia="仿宋_GB2312" w:cs="仿宋_GB2312"/>
                <w:color w:val="000000"/>
                <w:sz w:val="28"/>
              </w:rPr>
              <w:t>E</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7755" w:type="dxa"/>
            <w:gridSpan w:val="5"/>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before="40" w:after="40" w:line="85" w:lineRule="auto"/>
              <w:ind w:firstLine="560"/>
            </w:pPr>
            <w:r>
              <w:rPr>
                <w:rFonts w:ascii="仿宋_GB2312" w:hAnsi="仿宋_GB2312" w:eastAsia="仿宋_GB2312" w:cs="仿宋_GB2312"/>
                <w:color w:val="000000"/>
                <w:sz w:val="28"/>
              </w:rPr>
              <w:t>1.A:90&lt;=总分&lt;=100，支付结算款的100%;</w:t>
            </w:r>
          </w:p>
          <w:p>
            <w:pPr>
              <w:spacing w:before="40" w:after="40" w:line="85" w:lineRule="auto"/>
              <w:ind w:firstLine="560"/>
            </w:pPr>
            <w:r>
              <w:rPr>
                <w:rFonts w:ascii="仿宋_GB2312" w:hAnsi="仿宋_GB2312" w:eastAsia="仿宋_GB2312" w:cs="仿宋_GB2312"/>
                <w:color w:val="000000"/>
                <w:sz w:val="28"/>
              </w:rPr>
              <w:t>2.B:80&lt;=总分&lt;90，支付结算款的85%;</w:t>
            </w:r>
          </w:p>
          <w:p>
            <w:pPr>
              <w:spacing w:before="40" w:after="40" w:line="85" w:lineRule="auto"/>
              <w:ind w:firstLine="560"/>
            </w:pPr>
            <w:r>
              <w:rPr>
                <w:rFonts w:ascii="仿宋_GB2312" w:hAnsi="仿宋_GB2312" w:eastAsia="仿宋_GB2312" w:cs="仿宋_GB2312"/>
                <w:color w:val="000000"/>
                <w:sz w:val="28"/>
              </w:rPr>
              <w:t>3.C:70&lt;=总分&lt;80，支付结算款的70%;</w:t>
            </w:r>
          </w:p>
          <w:p>
            <w:pPr>
              <w:spacing w:before="40" w:after="40" w:line="85" w:lineRule="auto"/>
              <w:ind w:firstLine="560"/>
            </w:pPr>
            <w:r>
              <w:rPr>
                <w:rFonts w:ascii="仿宋_GB2312" w:hAnsi="仿宋_GB2312" w:eastAsia="仿宋_GB2312" w:cs="仿宋_GB2312"/>
                <w:color w:val="000000"/>
                <w:sz w:val="28"/>
              </w:rPr>
              <w:t>4.D:60&lt;=总分&lt;70，支付结算款的50%;</w:t>
            </w:r>
          </w:p>
          <w:p>
            <w:pPr>
              <w:spacing w:before="40" w:after="40" w:line="85" w:lineRule="auto"/>
              <w:ind w:firstLine="560"/>
            </w:pPr>
            <w:r>
              <w:rPr>
                <w:rFonts w:ascii="仿宋_GB2312" w:hAnsi="仿宋_GB2312" w:eastAsia="仿宋_GB2312" w:cs="仿宋_GB2312"/>
                <w:color w:val="000000"/>
                <w:sz w:val="28"/>
              </w:rPr>
              <w:t>5.E:总分&lt;60，不支付该期应付结算款。（考核总分&lt;60，甲方有权直接更换监理人员）</w:t>
            </w:r>
          </w:p>
          <w:p>
            <w:pPr>
              <w:spacing w:before="40" w:after="40" w:line="85" w:lineRule="auto"/>
              <w:jc w:val="left"/>
            </w:pPr>
            <w:r>
              <w:rPr>
                <w:rFonts w:ascii="仿宋_GB2312" w:hAnsi="仿宋_GB2312" w:eastAsia="仿宋_GB2312" w:cs="仿宋_GB2312"/>
                <w:color w:val="000000"/>
                <w:sz w:val="28"/>
              </w:rPr>
              <w:t>6.甲方有权根据项目考核评价表的考核评分扣除对应的款项，如考核结果总分&lt;90，甲方按照考核等级支付结算款，该期扣除的款项甲方有权不再支付，根据后续建设情况，如乙方有重大进展，可向甲方书面申请支付扣除的款项，甲方视实际情况决定是否支付。</w:t>
            </w:r>
          </w:p>
          <w:p>
            <w:pPr>
              <w:spacing w:before="40" w:after="40" w:line="85" w:lineRule="auto"/>
              <w:ind w:firstLine="560"/>
            </w:pPr>
            <w:r>
              <w:rPr>
                <w:rFonts w:ascii="仿宋_GB2312" w:hAnsi="仿宋_GB2312" w:eastAsia="仿宋_GB2312" w:cs="仿宋_GB2312"/>
                <w:color w:val="000000"/>
                <w:sz w:val="28"/>
              </w:rPr>
              <w:t>7.乙方对考核结果有异议的，应当在收到甲方考核结果三个工作日内提出书面意见，未在约定时间内提出意见的，视为同意考核结果；</w:t>
            </w:r>
          </w:p>
          <w:p>
            <w:pPr>
              <w:spacing w:before="40" w:after="40" w:line="85" w:lineRule="auto"/>
              <w:ind w:firstLine="560"/>
              <w:jc w:val="left"/>
            </w:pPr>
            <w:r>
              <w:rPr>
                <w:rFonts w:ascii="仿宋_GB2312" w:hAnsi="仿宋_GB2312" w:eastAsia="仿宋_GB2312" w:cs="仿宋_GB2312"/>
                <w:color w:val="000000"/>
                <w:sz w:val="28"/>
              </w:rPr>
              <w:t>8.甲方要求及项目需要配置监理人员，按甲方要求完成项目监理工作。若乙方更换项目经理及团队成员，需提前10个工作日书面报请甲方，甲方审核同意后乙方方可更换，乙方更换的项目经理及其团队成员需通过甲方面试。乙方更换后的人员资质不得低于原项目人员。乙方更换的人员应先和被更换人员完成工作交接，交接时间不得少于5个工作日，不得影响项目正常运行。</w:t>
            </w:r>
          </w:p>
          <w:p>
            <w:pPr>
              <w:spacing w:before="40" w:after="40" w:line="85" w:lineRule="auto"/>
              <w:ind w:firstLine="560"/>
            </w:pPr>
            <w:r>
              <w:rPr>
                <w:rFonts w:ascii="仿宋_GB2312" w:hAnsi="仿宋_GB2312" w:eastAsia="仿宋_GB2312" w:cs="仿宋_GB2312"/>
                <w:color w:val="000000"/>
                <w:sz w:val="28"/>
              </w:rPr>
              <w:t>9、以上条款的解析权归深圳市深汕特别合作区智慧城市建设管理服务中心所有。</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7755" w:type="dxa"/>
            <w:gridSpan w:val="5"/>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spacing w:line="360" w:lineRule="atLeast"/>
            </w:pPr>
            <w:r>
              <w:rPr>
                <w:rFonts w:ascii="仿宋_GB2312" w:hAnsi="仿宋_GB2312" w:eastAsia="仿宋_GB2312" w:cs="仿宋_GB2312"/>
                <w:b/>
                <w:color w:val="000000"/>
                <w:sz w:val="28"/>
              </w:rPr>
              <w:t>甲方：</w:t>
            </w:r>
          </w:p>
          <w:p>
            <w:pPr>
              <w:spacing w:before="40" w:after="40" w:line="85" w:lineRule="auto"/>
              <w:jc w:val="center"/>
            </w:pPr>
            <w:r>
              <w:rPr>
                <w:rFonts w:ascii="仿宋_GB2312" w:hAnsi="仿宋_GB2312" w:eastAsia="仿宋_GB2312" w:cs="仿宋_GB2312"/>
                <w:color w:val="000000"/>
                <w:sz w:val="28"/>
              </w:rPr>
              <w:t xml:space="preserve"> </w:t>
            </w:r>
          </w:p>
          <w:p>
            <w:pPr>
              <w:spacing w:before="40" w:after="40" w:line="85" w:lineRule="auto"/>
              <w:jc w:val="center"/>
            </w:pPr>
            <w:r>
              <w:rPr>
                <w:rFonts w:ascii="仿宋_GB2312" w:hAnsi="仿宋_GB2312" w:eastAsia="仿宋_GB2312" w:cs="仿宋_GB2312"/>
                <w:color w:val="000000"/>
                <w:sz w:val="28"/>
              </w:rPr>
              <w:t>项目负责人：</w:t>
            </w:r>
          </w:p>
          <w:p>
            <w:pPr>
              <w:spacing w:before="40" w:after="40" w:line="85" w:lineRule="auto"/>
              <w:jc w:val="center"/>
            </w:pPr>
            <w:r>
              <w:rPr>
                <w:rFonts w:ascii="仿宋_GB2312" w:hAnsi="仿宋_GB2312" w:eastAsia="仿宋_GB2312" w:cs="仿宋_GB2312"/>
                <w:color w:val="000000"/>
                <w:sz w:val="28"/>
              </w:rPr>
              <w:t>（盖章）</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7755" w:type="dxa"/>
            <w:gridSpan w:val="5"/>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spacing w:before="40" w:after="40" w:line="85" w:lineRule="auto"/>
            </w:pPr>
            <w:r>
              <w:rPr>
                <w:rFonts w:ascii="仿宋_GB2312" w:hAnsi="仿宋_GB2312" w:eastAsia="仿宋_GB2312" w:cs="仿宋_GB2312"/>
                <w:color w:val="000000"/>
                <w:sz w:val="28"/>
              </w:rPr>
              <w:t>乙方：</w:t>
            </w:r>
          </w:p>
          <w:p>
            <w:pPr>
              <w:spacing w:before="40" w:after="40" w:line="85" w:lineRule="auto"/>
              <w:jc w:val="center"/>
            </w:pPr>
            <w:r>
              <w:rPr>
                <w:rFonts w:ascii="仿宋_GB2312" w:hAnsi="仿宋_GB2312" w:eastAsia="仿宋_GB2312" w:cs="仿宋_GB2312"/>
                <w:color w:val="000000"/>
                <w:sz w:val="28"/>
              </w:rPr>
              <w:t xml:space="preserve"> </w:t>
            </w:r>
          </w:p>
          <w:p>
            <w:pPr>
              <w:spacing w:before="40" w:after="40" w:line="85" w:lineRule="auto"/>
              <w:jc w:val="center"/>
            </w:pPr>
            <w:r>
              <w:rPr>
                <w:rFonts w:ascii="仿宋_GB2312" w:hAnsi="仿宋_GB2312" w:eastAsia="仿宋_GB2312" w:cs="仿宋_GB2312"/>
                <w:color w:val="000000"/>
                <w:sz w:val="28"/>
              </w:rPr>
              <w:t>项目负责人：</w:t>
            </w:r>
          </w:p>
          <w:p>
            <w:pPr>
              <w:spacing w:before="40" w:after="40" w:line="85" w:lineRule="auto"/>
              <w:ind w:firstLine="3920"/>
            </w:pPr>
            <w:r>
              <w:rPr>
                <w:rFonts w:ascii="仿宋_GB2312" w:hAnsi="仿宋_GB2312" w:eastAsia="仿宋_GB2312" w:cs="仿宋_GB2312"/>
                <w:color w:val="000000"/>
                <w:sz w:val="28"/>
              </w:rPr>
              <w:t>（盖章）</w:t>
            </w:r>
          </w:p>
        </w:tc>
      </w:tr>
    </w:tbl>
    <w:p>
      <w:pPr>
        <w:pStyle w:val="34"/>
        <w:keepNext w:val="0"/>
        <w:keepLines w:val="0"/>
        <w:pageBreakBefore w:val="0"/>
        <w:snapToGrid/>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（2）违约条款</w:t>
      </w:r>
    </w:p>
    <w:p>
      <w:pPr>
        <w:pStyle w:val="34"/>
        <w:keepNext w:val="0"/>
        <w:keepLines w:val="0"/>
        <w:pageBreakBefore w:val="0"/>
        <w:snapToGrid/>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要严格履行监理服务义务，保证智慧消防项目交付成果的正常运行，满足用户的使用需要。如果出现乙方不提供监理服务或未按照要求提供监理服务，导致问题出现等违约行为，深圳市深汕特别合作区智慧城市建设管理服务中心有权追回已支付款项，并要求赔偿期间造成的一切损失。此外，经深圳市深汕特别合作区智慧城市建设管理服务中心或其委托的专业机构核查，乙方及其法定代表人、负责人、股东、投资人等责任主体存在严重失信行为的、出现未按要求履约、履约考核不达标等情形，深圳市深汕特别合作区智慧城市建设管理服务中心有权建议相关部门依法将其列入失信核查对象，并有权及时报送至深圳市公共信用信息管理系统，通过深圳市信用中心向相关职能部门和社会披露。深圳市深汕特别合作区智慧城市建设管理服务中心有权组织相关职责部门依法依规实施联合惩戒。</w:t>
      </w:r>
    </w:p>
    <w:p>
      <w:pPr>
        <w:pStyle w:val="34"/>
        <w:keepNext w:val="0"/>
        <w:keepLines w:val="0"/>
        <w:pageBreakBefore w:val="0"/>
        <w:snapToGrid/>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其他条款以双方合同约定为准。</w:t>
      </w:r>
    </w:p>
    <w:p>
      <w:pPr>
        <w:pStyle w:val="4"/>
        <w:keepNext w:val="0"/>
        <w:keepLines w:val="0"/>
        <w:pageBreakBefore w:val="0"/>
        <w:widowControl/>
        <w:shd w:val="clear" w:color="auto" w:fill="FFFFFF"/>
        <w:snapToGrid/>
        <w:spacing w:line="560" w:lineRule="exact"/>
        <w:ind w:left="0" w:leftChars="0" w:firstLine="640" w:firstLineChars="200"/>
        <w:rPr>
          <w:rFonts w:cs="黑体"/>
          <w:color w:val="auto"/>
          <w:szCs w:val="32"/>
        </w:rPr>
      </w:pPr>
      <w:r>
        <w:rPr>
          <w:rFonts w:hint="eastAsia" w:cs="黑体"/>
          <w:color w:val="auto"/>
          <w:szCs w:val="32"/>
        </w:rPr>
        <w:t>二、报价要求</w:t>
      </w:r>
    </w:p>
    <w:p>
      <w:pPr>
        <w:keepNext w:val="0"/>
        <w:keepLines w:val="0"/>
        <w:pageBreakBefore w:val="0"/>
        <w:shd w:val="clear" w:color="auto" w:fill="FFFFFF"/>
        <w:snapToGrid/>
        <w:spacing w:line="560" w:lineRule="exact"/>
        <w:ind w:firstLine="640"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本次</w:t>
      </w:r>
      <w:r>
        <w:rPr>
          <w:rFonts w:hint="eastAsia" w:ascii="仿宋_GB2312" w:eastAsia="仿宋_GB2312"/>
          <w:color w:val="auto"/>
          <w:szCs w:val="32"/>
          <w:u w:val="none"/>
          <w:lang w:eastAsia="zh-CN"/>
        </w:rPr>
        <w:t>项目</w:t>
      </w:r>
      <w:r>
        <w:rPr>
          <w:rFonts w:hint="eastAsia" w:ascii="仿宋_GB2312" w:hAnsi="仿宋_GB2312" w:eastAsia="仿宋_GB2312" w:cs="仿宋_GB2312"/>
          <w:color w:val="auto"/>
          <w:szCs w:val="32"/>
        </w:rPr>
        <w:t>费用设上限值为</w:t>
      </w:r>
      <w:r>
        <w:rPr>
          <w:rFonts w:hint="eastAsia" w:ascii="仿宋_GB2312" w:hAnsi="仿宋_GB2312" w:eastAsia="仿宋_GB2312" w:cs="仿宋_GB2312"/>
          <w:color w:val="auto"/>
          <w:szCs w:val="32"/>
          <w:lang w:val="en-US" w:eastAsia="zh-CN"/>
        </w:rPr>
        <w:t>人民币</w:t>
      </w:r>
      <w:r>
        <w:rPr>
          <w:rFonts w:hint="eastAsia" w:ascii="仿宋_GB2312" w:eastAsia="仿宋_GB2312"/>
          <w:color w:val="auto"/>
          <w:szCs w:val="44"/>
          <w:u w:val="single"/>
          <w:lang w:val="en-US" w:eastAsia="zh-CN"/>
        </w:rPr>
        <w:t>100000</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rPr>
        <w:t>。项目报价为含税报</w:t>
      </w:r>
      <w:r>
        <w:rPr>
          <w:rFonts w:hint="eastAsia" w:ascii="仿宋_GB2312" w:hAnsi="仿宋_GB2312" w:eastAsia="仿宋_GB2312" w:cs="仿宋_GB2312"/>
          <w:color w:val="auto"/>
          <w:szCs w:val="32"/>
          <w:shd w:val="clear" w:color="auto" w:fill="FFFFFF"/>
        </w:rPr>
        <w:t>价</w:t>
      </w:r>
      <w:r>
        <w:rPr>
          <w:rFonts w:hint="eastAsia" w:ascii="仿宋_GB2312" w:hAnsi="仿宋_GB2312" w:eastAsia="仿宋_GB2312" w:cs="仿宋_GB2312"/>
          <w:color w:val="auto"/>
          <w:szCs w:val="32"/>
        </w:rPr>
        <w:t>。本项目询价采购完成后，以中标价签订合同。</w:t>
      </w:r>
    </w:p>
    <w:p>
      <w:pPr>
        <w:pStyle w:val="4"/>
        <w:keepNext w:val="0"/>
        <w:keepLines w:val="0"/>
        <w:pageBreakBefore w:val="0"/>
        <w:widowControl/>
        <w:shd w:val="clear" w:color="auto" w:fill="FFFFFF"/>
        <w:snapToGrid/>
        <w:spacing w:line="560" w:lineRule="exact"/>
        <w:ind w:left="0" w:leftChars="0" w:firstLine="640" w:firstLineChars="200"/>
        <w:rPr>
          <w:rFonts w:cs="黑体"/>
          <w:color w:val="auto"/>
          <w:szCs w:val="32"/>
        </w:rPr>
      </w:pPr>
      <w:r>
        <w:rPr>
          <w:rFonts w:hint="eastAsia" w:cs="黑体"/>
          <w:color w:val="auto"/>
          <w:szCs w:val="32"/>
        </w:rPr>
        <w:t>三、投标人资格要求</w:t>
      </w:r>
    </w:p>
    <w:p>
      <w:pPr>
        <w:keepNext w:val="0"/>
        <w:keepLines w:val="0"/>
        <w:pageBreakBefore w:val="0"/>
        <w:shd w:val="clear" w:color="auto" w:fill="FFFFFF"/>
        <w:snapToGrid/>
        <w:spacing w:line="540" w:lineRule="exact"/>
        <w:ind w:left="0" w:leftChars="0" w:right="0" w:firstLine="640" w:firstLineChars="200"/>
        <w:rPr>
          <w:rFonts w:hint="eastAsia"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rPr>
        <w:t>（一）具有独立法人资格或具有独立承担民事责任的能力的其它组织（提供营业执照或事业单位法人证等法人证明扫描件，原件备查）；如果参与投标的供应商为分公司则须提供分公司营业执照、其所属集团（或总公司）等具有独立法人资格的组织出具的授权函或承诺书及营业执照，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keepNext w:val="0"/>
        <w:keepLines w:val="0"/>
        <w:pageBreakBefore w:val="0"/>
        <w:shd w:val="clear" w:color="auto" w:fill="FFFFFF"/>
        <w:snapToGrid/>
        <w:spacing w:line="540" w:lineRule="exact"/>
        <w:ind w:left="0" w:leftChars="0" w:right="0" w:firstLine="640" w:firstLineChars="200"/>
        <w:rPr>
          <w:rFonts w:hint="eastAsia" w:ascii="华文隶书" w:hAnsi="华文隶书" w:eastAsia="仿宋_GB2312" w:cs="华文隶书"/>
          <w:b w:val="0"/>
          <w:bCs w:val="0"/>
          <w:i w:val="0"/>
          <w:iCs w:val="0"/>
          <w:caps w:val="0"/>
          <w:color w:val="000000"/>
          <w:spacing w:val="0"/>
          <w:kern w:val="0"/>
          <w:sz w:val="32"/>
          <w:szCs w:val="32"/>
          <w:shd w:val="clear" w:color="auto" w:fill="FFFFFF"/>
          <w:vertAlign w:val="baseline"/>
          <w:lang w:val="en-US" w:eastAsia="zh-CN" w:bidi="ar"/>
        </w:rPr>
      </w:pPr>
      <w:r>
        <w:rPr>
          <w:rFonts w:hint="eastAsia" w:ascii="仿宋_GB2312" w:hAnsi="仿宋_GB2312" w:eastAsia="仿宋_GB2312" w:cs="仿宋_GB2312"/>
          <w:color w:val="auto"/>
          <w:szCs w:val="32"/>
          <w:shd w:val="clear" w:color="auto" w:fill="FFFFFF"/>
        </w:rPr>
        <w:t>（二）</w:t>
      </w:r>
      <w:r>
        <w:rPr>
          <w:rFonts w:hint="eastAsia" w:ascii="仿宋_GB2312" w:hAnsi="仿宋_GB2312" w:eastAsia="仿宋_GB2312" w:cs="仿宋_GB2312"/>
          <w:color w:val="auto"/>
          <w:szCs w:val="32"/>
          <w:shd w:val="clear" w:color="auto" w:fill="FFFFFF"/>
          <w:lang w:val="en-US" w:eastAsia="zh-CN"/>
        </w:rPr>
        <w:t>本项目不接受联合体投标</w:t>
      </w:r>
      <w:r>
        <w:rPr>
          <w:rFonts w:hint="eastAsia" w:ascii="仿宋_GB2312" w:hAnsi="仿宋_GB2312" w:eastAsia="仿宋_GB2312" w:cs="仿宋_GB2312"/>
          <w:color w:val="000000"/>
          <w:kern w:val="0"/>
          <w:sz w:val="32"/>
          <w:szCs w:val="32"/>
          <w:shd w:val="clear" w:color="auto" w:fill="FFFFFF"/>
          <w:lang w:bidi="ar"/>
        </w:rPr>
        <w:t>，不接受投标人选用进口产品参与投标</w:t>
      </w:r>
      <w:r>
        <w:rPr>
          <w:rFonts w:hint="eastAsia" w:ascii="仿宋_GB2312" w:hAnsi="仿宋_GB2312" w:eastAsia="仿宋_GB2312" w:cs="仿宋_GB2312"/>
          <w:color w:val="000000"/>
          <w:kern w:val="0"/>
          <w:sz w:val="32"/>
          <w:szCs w:val="32"/>
          <w:shd w:val="clear" w:color="auto" w:fill="FFFFFF"/>
          <w:lang w:eastAsia="zh-CN" w:bidi="ar"/>
        </w:rPr>
        <w:t>。</w:t>
      </w:r>
    </w:p>
    <w:p>
      <w:pPr>
        <w:keepNext w:val="0"/>
        <w:keepLines w:val="0"/>
        <w:pageBreakBefore w:val="0"/>
        <w:shd w:val="clear" w:color="auto" w:fill="FFFFFF"/>
        <w:snapToGrid/>
        <w:spacing w:line="540" w:lineRule="exact"/>
        <w:ind w:left="0" w:leftChars="0" w:right="0" w:firstLine="640" w:firstLineChars="200"/>
        <w:rPr>
          <w:rFonts w:hint="eastAsia" w:ascii="仿宋_GB2312" w:hAnsi="仿宋_GB2312" w:eastAsia="仿宋_GB2312" w:cs="仿宋_GB2312"/>
          <w:color w:val="auto"/>
          <w:szCs w:val="32"/>
          <w:shd w:val="clear" w:color="auto" w:fill="FFFFFF"/>
          <w:lang w:val="en-US" w:eastAsia="zh-CN"/>
        </w:rPr>
      </w:pP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三</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bidi="ar"/>
        </w:rPr>
        <w:t>参与本项目政府采购活动时不存在被有关部门禁止参与政府采购活动且在有效期内的情况</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pPr>
        <w:keepNext w:val="0"/>
        <w:keepLines w:val="0"/>
        <w:pageBreakBefore w:val="0"/>
        <w:shd w:val="clear" w:color="auto" w:fill="FFFFFF"/>
        <w:snapToGrid/>
        <w:spacing w:line="540" w:lineRule="exact"/>
        <w:ind w:left="0" w:leftChars="0" w:right="0" w:firstLine="640" w:firstLineChars="200"/>
        <w:rPr>
          <w:rFonts w:hint="eastAsia" w:ascii="仿宋_GB2312" w:hAnsi="仿宋_GB2312" w:eastAsia="仿宋_GB2312" w:cs="仿宋_GB2312"/>
          <w:color w:val="auto"/>
          <w:szCs w:val="32"/>
          <w:shd w:val="clear" w:color="auto" w:fill="FFFFFF"/>
          <w:lang w:val="en-US" w:eastAsia="zh-CN"/>
        </w:rPr>
      </w:pPr>
      <w:r>
        <w:rPr>
          <w:rFonts w:hint="eastAsia" w:ascii="仿宋_GB2312" w:hAnsi="仿宋_GB2312" w:eastAsia="仿宋_GB2312" w:cs="仿宋_GB2312"/>
          <w:color w:val="auto"/>
          <w:szCs w:val="32"/>
          <w:shd w:val="clear" w:color="auto" w:fill="FFFFFF"/>
          <w:lang w:val="en-US" w:eastAsia="zh-CN"/>
        </w:rPr>
        <w:t>（四）</w:t>
      </w:r>
      <w:r>
        <w:rPr>
          <w:rFonts w:hint="eastAsia" w:ascii="仿宋_GB2312" w:hAnsi="仿宋_GB2312" w:eastAsia="仿宋_GB2312" w:cs="仿宋_GB2312"/>
          <w:color w:val="000000"/>
          <w:kern w:val="0"/>
          <w:sz w:val="32"/>
          <w:szCs w:val="32"/>
          <w:shd w:val="clear" w:color="auto" w:fill="FFFFFF"/>
          <w:lang w:bidi="ar"/>
        </w:rPr>
        <w:t>具备《中华人民共和国政府采购法》第二十二条第一款的条件</w:t>
      </w:r>
      <w:r>
        <w:rPr>
          <w:rFonts w:hint="eastAsia" w:ascii="仿宋_GB2312" w:hAnsi="仿宋_GB2312" w:eastAsia="仿宋_GB2312" w:cs="仿宋_GB2312"/>
          <w:color w:val="auto"/>
          <w:szCs w:val="32"/>
          <w:shd w:val="clear" w:color="auto" w:fill="FFFFFF"/>
          <w:lang w:val="en-US" w:eastAsia="zh-CN"/>
        </w:rPr>
        <w:t>。</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pPr>
        <w:keepNext w:val="0"/>
        <w:keepLines w:val="0"/>
        <w:pageBreakBefore w:val="0"/>
        <w:shd w:val="clear" w:color="auto" w:fill="FFFFFF"/>
        <w:snapToGrid/>
        <w:spacing w:line="540" w:lineRule="exact"/>
        <w:ind w:left="0" w:leftChars="0" w:right="0" w:firstLine="640" w:firstLineChars="200"/>
        <w:rPr>
          <w:rFonts w:hint="eastAsia" w:ascii="仿宋_GB2312" w:hAnsi="仿宋_GB2312" w:eastAsia="仿宋_GB2312" w:cs="仿宋_GB2312"/>
          <w:color w:val="auto"/>
          <w:szCs w:val="32"/>
          <w:shd w:val="clear" w:color="auto" w:fill="FFFFFF"/>
          <w:lang w:val="en-US" w:eastAsia="zh-CN"/>
        </w:rPr>
      </w:pPr>
      <w:r>
        <w:rPr>
          <w:rFonts w:hint="eastAsia" w:ascii="仿宋_GB2312" w:hAnsi="仿宋_GB2312" w:eastAsia="仿宋_GB2312" w:cs="仿宋_GB2312"/>
          <w:color w:val="auto"/>
          <w:szCs w:val="32"/>
          <w:shd w:val="clear" w:color="auto" w:fill="FFFFFF"/>
          <w:lang w:val="en-US" w:eastAsia="zh-CN"/>
        </w:rPr>
        <w:t>（五）未被列入失信被执行人、重大税收违法案件当事人名单、政府采购严重违法失信行为记录名单。</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pPr>
        <w:keepNext w:val="0"/>
        <w:keepLines w:val="0"/>
        <w:pageBreakBefore w:val="0"/>
        <w:shd w:val="clear" w:color="auto" w:fill="FFFFFF"/>
        <w:snapToGrid/>
        <w:spacing w:line="540" w:lineRule="exact"/>
        <w:ind w:left="0" w:leftChars="0" w:right="0" w:firstLine="640" w:firstLineChars="200"/>
        <w:rPr>
          <w:rFonts w:hint="eastAsia"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lang w:val="en-US" w:eastAsia="zh-CN"/>
        </w:rPr>
        <w:t>（六）</w:t>
      </w:r>
      <w:r>
        <w:rPr>
          <w:rFonts w:hint="eastAsia" w:ascii="仿宋_GB2312" w:hAnsi="仿宋_GB2312" w:eastAsia="仿宋_GB2312" w:cs="仿宋_GB2312"/>
          <w:color w:val="000000"/>
          <w:kern w:val="0"/>
          <w:sz w:val="32"/>
          <w:szCs w:val="32"/>
          <w:lang w:bidi="ar"/>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仿宋_GB2312" w:hAnsi="仿宋_GB2312" w:eastAsia="仿宋_GB2312" w:cs="仿宋_GB2312"/>
          <w:color w:val="auto"/>
          <w:szCs w:val="32"/>
          <w:shd w:val="clear" w:color="auto" w:fill="FFFFFF"/>
          <w:lang w:val="en-US" w:eastAsia="zh-CN"/>
        </w:rPr>
        <w:t>。</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pPr>
        <w:keepNext w:val="0"/>
        <w:keepLines w:val="0"/>
        <w:pageBreakBefore w:val="0"/>
        <w:shd w:val="clear" w:color="auto" w:fill="FFFFFF"/>
        <w:snapToGrid/>
        <w:spacing w:line="540" w:lineRule="exact"/>
        <w:ind w:left="0" w:leftChars="0" w:right="0" w:firstLine="640" w:firstLineChars="200"/>
        <w:rPr>
          <w:rFonts w:hint="eastAsia" w:ascii="华文隶书" w:hAnsi="华文隶书" w:eastAsia="华文隶书" w:cs="华文隶书"/>
          <w:b w:val="0"/>
          <w:bCs w:val="0"/>
          <w:i w:val="0"/>
          <w:iCs w:val="0"/>
          <w:caps w:val="0"/>
          <w:color w:val="000000"/>
          <w:spacing w:val="0"/>
          <w:sz w:val="32"/>
          <w:szCs w:val="32"/>
          <w:shd w:val="clear" w:color="auto" w:fill="FFFFFF"/>
          <w:vertAlign w:val="baseline"/>
          <w:lang w:eastAsia="zh-CN"/>
        </w:rPr>
      </w:pP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（七）</w:t>
      </w:r>
      <w:r>
        <w:rPr>
          <w:rFonts w:hint="eastAsia" w:ascii="仿宋_GB2312" w:hAnsi="Times New Roman" w:eastAsia="仿宋_GB2312" w:cs="仿宋_GB2312"/>
          <w:i w:val="0"/>
          <w:iCs w:val="0"/>
          <w:caps w:val="0"/>
          <w:color w:val="000000"/>
          <w:spacing w:val="0"/>
          <w:sz w:val="32"/>
          <w:szCs w:val="32"/>
          <w:shd w:val="clear" w:color="auto" w:fill="FFFFFF"/>
          <w:vertAlign w:val="baseline"/>
        </w:rPr>
        <w:t>本项目不</w:t>
      </w:r>
      <w:r>
        <w:rPr>
          <w:rFonts w:hint="eastAsia" w:ascii="仿宋_GB2312" w:hAnsi="Times New Roman" w:eastAsia="仿宋_GB2312" w:cs="仿宋_GB2312"/>
          <w:b w:val="0"/>
          <w:bCs w:val="0"/>
          <w:i w:val="0"/>
          <w:iCs w:val="0"/>
          <w:caps w:val="0"/>
          <w:color w:val="000000"/>
          <w:spacing w:val="0"/>
          <w:sz w:val="32"/>
          <w:szCs w:val="32"/>
          <w:shd w:val="clear" w:color="auto" w:fill="FFFFFF"/>
          <w:vertAlign w:val="baseline"/>
        </w:rPr>
        <w:t>接受联合体投</w:t>
      </w:r>
      <w:r>
        <w:rPr>
          <w:rFonts w:hint="eastAsia" w:ascii="仿宋_GB2312" w:hAnsi="Times New Roman" w:eastAsia="仿宋_GB2312" w:cs="仿宋_GB2312"/>
          <w:i w:val="0"/>
          <w:iCs w:val="0"/>
          <w:caps w:val="0"/>
          <w:color w:val="000000"/>
          <w:spacing w:val="0"/>
          <w:sz w:val="32"/>
          <w:szCs w:val="32"/>
          <w:shd w:val="clear" w:color="auto" w:fill="FFFFFF"/>
          <w:vertAlign w:val="baseline"/>
        </w:rPr>
        <w:t>标，</w:t>
      </w:r>
      <w:r>
        <w:rPr>
          <w:rFonts w:hint="eastAsia" w:ascii="仿宋_GB2312" w:hAnsi="仿宋_GB2312" w:eastAsia="仿宋_GB2312" w:cs="仿宋_GB2312"/>
          <w:color w:val="000000"/>
          <w:kern w:val="0"/>
          <w:sz w:val="32"/>
          <w:szCs w:val="32"/>
          <w:shd w:val="clear" w:color="auto" w:fill="FFFFFF"/>
          <w:lang w:bidi="ar"/>
        </w:rPr>
        <w:t>不接受投标人选用进口产品参与投标</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Times New Roman" w:eastAsia="仿宋_GB2312" w:cs="仿宋_GB2312"/>
          <w:i w:val="0"/>
          <w:iCs w:val="0"/>
          <w:caps w:val="0"/>
          <w:color w:val="000000"/>
          <w:spacing w:val="0"/>
          <w:sz w:val="32"/>
          <w:szCs w:val="32"/>
          <w:shd w:val="clear" w:color="auto" w:fill="FFFFFF"/>
          <w:vertAlign w:val="baseline"/>
        </w:rPr>
        <w:t>不允许转包</w:t>
      </w: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、分包</w:t>
      </w:r>
      <w:r>
        <w:rPr>
          <w:rFonts w:hint="eastAsia" w:ascii="仿宋_GB2312" w:hAnsi="Times New Roman" w:eastAsia="仿宋_GB2312" w:cs="仿宋_GB2312"/>
          <w:i w:val="0"/>
          <w:iCs w:val="0"/>
          <w:caps w:val="0"/>
          <w:color w:val="000000"/>
          <w:spacing w:val="0"/>
          <w:sz w:val="32"/>
          <w:szCs w:val="32"/>
          <w:shd w:val="clear" w:color="auto" w:fill="FFFFFF"/>
          <w:vertAlign w:val="baseline"/>
        </w:rPr>
        <w:t>。</w:t>
      </w:r>
    </w:p>
    <w:p>
      <w:pPr>
        <w:keepNext w:val="0"/>
        <w:keepLines w:val="0"/>
        <w:pageBreakBefore w:val="0"/>
        <w:shd w:val="clear" w:color="auto" w:fill="FFFFFF"/>
        <w:snapToGrid/>
        <w:spacing w:line="540" w:lineRule="exact"/>
        <w:ind w:left="0" w:leftChars="0" w:right="0" w:firstLine="640" w:firstLineChars="200"/>
        <w:rPr>
          <w:rFonts w:hint="default" w:ascii="仿宋_GB2312" w:hAnsi="Times New Roman" w:eastAsia="仿宋_GB2312" w:cs="仿宋_GB2312"/>
          <w:i w:val="0"/>
          <w:iCs w:val="0"/>
          <w:caps w:val="0"/>
          <w:color w:val="000000"/>
          <w:spacing w:val="0"/>
          <w:sz w:val="32"/>
          <w:szCs w:val="32"/>
          <w:shd w:val="clear" w:color="auto" w:fill="FFFFFF"/>
          <w:vertAlign w:val="baseline"/>
          <w:lang w:val="en-US" w:eastAsia="zh-CN"/>
        </w:rPr>
      </w:pPr>
      <w:r>
        <w:rPr>
          <w:rFonts w:hint="eastAsia" w:ascii="仿宋_GB2312" w:hAnsi="Times New Roman" w:eastAsia="仿宋_GB2312" w:cs="仿宋_GB2312"/>
          <w:i w:val="0"/>
          <w:iCs w:val="0"/>
          <w:caps w:val="0"/>
          <w:color w:val="000000"/>
          <w:spacing w:val="0"/>
          <w:sz w:val="32"/>
          <w:szCs w:val="32"/>
          <w:shd w:val="clear" w:color="auto" w:fill="FFFFFF"/>
          <w:vertAlign w:val="baseline"/>
          <w:lang w:val="en-US" w:eastAsia="zh-CN"/>
        </w:rPr>
        <w:t>★（</w:t>
      </w:r>
      <w:r>
        <w:rPr>
          <w:rFonts w:hint="eastAsia" w:ascii="仿宋_GB2312" w:eastAsia="仿宋_GB2312" w:cs="仿宋_GB2312"/>
          <w:i w:val="0"/>
          <w:iCs w:val="0"/>
          <w:caps w:val="0"/>
          <w:color w:val="000000"/>
          <w:spacing w:val="0"/>
          <w:sz w:val="32"/>
          <w:szCs w:val="32"/>
          <w:shd w:val="clear" w:color="auto" w:fill="FFFFFF"/>
          <w:vertAlign w:val="baseline"/>
          <w:lang w:val="en-US" w:eastAsia="zh-CN"/>
        </w:rPr>
        <w:t>八</w:t>
      </w:r>
      <w:r>
        <w:rPr>
          <w:rFonts w:hint="eastAsia" w:ascii="仿宋_GB2312" w:hAnsi="Times New Roman" w:eastAsia="仿宋_GB2312" w:cs="仿宋_GB2312"/>
          <w:i w:val="0"/>
          <w:iCs w:val="0"/>
          <w:caps w:val="0"/>
          <w:color w:val="000000"/>
          <w:spacing w:val="0"/>
          <w:sz w:val="32"/>
          <w:szCs w:val="32"/>
          <w:shd w:val="clear" w:color="auto" w:fill="FFFFFF"/>
          <w:vertAlign w:val="baseline"/>
          <w:lang w:val="en-US" w:eastAsia="zh-CN"/>
        </w:rPr>
        <w:t>）具有通信工程监理乙级以上证书（证书名称：工程监理资质证书）</w:t>
      </w:r>
      <w:r>
        <w:rPr>
          <w:rFonts w:hint="eastAsia" w:ascii="仿宋_GB2312" w:eastAsia="仿宋_GB2312" w:cs="仿宋_GB2312"/>
          <w:i w:val="0"/>
          <w:iCs w:val="0"/>
          <w:caps w:val="0"/>
          <w:color w:val="000000"/>
          <w:spacing w:val="0"/>
          <w:sz w:val="32"/>
          <w:szCs w:val="32"/>
          <w:shd w:val="clear" w:color="auto" w:fill="FFFFFF"/>
          <w:vertAlign w:val="baseline"/>
          <w:lang w:val="en-US" w:eastAsia="zh-CN"/>
        </w:rPr>
        <w:t>。</w:t>
      </w:r>
    </w:p>
    <w:p>
      <w:pPr>
        <w:pStyle w:val="14"/>
        <w:keepNext w:val="0"/>
        <w:keepLines w:val="0"/>
        <w:pageBreakBefore w:val="0"/>
        <w:widowControl w:val="0"/>
        <w:snapToGrid/>
        <w:spacing w:line="560" w:lineRule="exact"/>
        <w:ind w:firstLine="598" w:firstLineChars="187"/>
        <w:rPr>
          <w:rFonts w:hint="default" w:ascii="仿宋_GB2312" w:hAnsi="仿宋_GB2312" w:eastAsia="仿宋_GB2312" w:cs="仿宋_GB2312"/>
          <w:color w:val="000000"/>
          <w:kern w:val="0"/>
          <w:sz w:val="32"/>
          <w:szCs w:val="32"/>
          <w:highlight w:val="yellow"/>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注：“信用中国”、“中国政府采购网”以及“深圳市政府采购监管网”为供应商信用信息的查询渠道。</w:t>
      </w:r>
    </w:p>
    <w:p>
      <w:pPr>
        <w:pStyle w:val="4"/>
        <w:keepNext w:val="0"/>
        <w:keepLines w:val="0"/>
        <w:pageBreakBefore w:val="0"/>
        <w:widowControl/>
        <w:shd w:val="clear" w:color="auto" w:fill="FFFFFF"/>
        <w:snapToGrid/>
        <w:spacing w:line="560" w:lineRule="exact"/>
        <w:ind w:left="0" w:leftChars="0" w:firstLine="640" w:firstLineChars="200"/>
        <w:rPr>
          <w:rFonts w:cs="黑体"/>
          <w:color w:val="auto"/>
          <w:szCs w:val="32"/>
        </w:rPr>
      </w:pPr>
      <w:r>
        <w:rPr>
          <w:rFonts w:hint="eastAsia" w:cs="黑体"/>
          <w:color w:val="auto"/>
          <w:szCs w:val="32"/>
        </w:rPr>
        <w:t>四、报价文件的要求</w:t>
      </w:r>
    </w:p>
    <w:p>
      <w:pPr>
        <w:keepNext w:val="0"/>
        <w:keepLines w:val="0"/>
        <w:pageBreakBefore w:val="0"/>
        <w:shd w:val="clear" w:color="auto" w:fill="FFFFFF"/>
        <w:snapToGrid/>
        <w:spacing w:line="560" w:lineRule="exact"/>
        <w:ind w:firstLine="640" w:firstLineChars="200"/>
        <w:rPr>
          <w:rFonts w:hint="eastAsia" w:ascii="仿宋_GB2312" w:hAnsi="仿宋_GB2312" w:eastAsia="仿宋_GB2312" w:cs="仿宋_GB2312"/>
          <w:b/>
          <w:bCs/>
          <w:color w:val="auto"/>
          <w:szCs w:val="32"/>
          <w:lang w:eastAsia="zh-CN"/>
        </w:rPr>
      </w:pPr>
      <w:r>
        <w:rPr>
          <w:rFonts w:hint="eastAsia" w:ascii="仿宋_GB2312" w:hAnsi="仿宋_GB2312" w:eastAsia="仿宋_GB2312" w:cs="仿宋_GB2312"/>
          <w:color w:val="auto"/>
          <w:szCs w:val="32"/>
        </w:rPr>
        <w:t>（一）报价文件的组成</w:t>
      </w:r>
      <w:r>
        <w:rPr>
          <w:rFonts w:hint="eastAsia" w:ascii="仿宋_GB2312" w:hAnsi="仿宋_GB2312" w:eastAsia="仿宋_GB2312" w:cs="仿宋_GB2312"/>
          <w:b/>
          <w:bCs/>
          <w:color w:val="auto"/>
          <w:szCs w:val="32"/>
          <w:lang w:eastAsia="zh-CN"/>
        </w:rPr>
        <w:t>（</w:t>
      </w:r>
      <w:r>
        <w:rPr>
          <w:rFonts w:hint="eastAsia" w:ascii="仿宋_GB2312" w:hAnsi="仿宋_GB2312" w:eastAsia="仿宋_GB2312" w:cs="仿宋_GB2312"/>
          <w:b/>
          <w:bCs/>
          <w:color w:val="auto"/>
          <w:szCs w:val="32"/>
          <w:lang w:val="en-US" w:eastAsia="zh-CN"/>
        </w:rPr>
        <w:t>均需加盖单位公章</w:t>
      </w:r>
      <w:r>
        <w:rPr>
          <w:rFonts w:hint="eastAsia" w:ascii="仿宋_GB2312" w:hAnsi="仿宋_GB2312" w:eastAsia="仿宋_GB2312" w:cs="仿宋_GB2312"/>
          <w:b/>
          <w:bCs/>
          <w:color w:val="auto"/>
          <w:szCs w:val="32"/>
          <w:lang w:eastAsia="zh-CN"/>
        </w:rPr>
        <w:t>）</w:t>
      </w:r>
    </w:p>
    <w:p>
      <w:pPr>
        <w:keepNext w:val="0"/>
        <w:keepLines w:val="0"/>
        <w:pageBreakBefore w:val="0"/>
        <w:widowControl w:val="0"/>
        <w:shd w:val="clear" w:color="auto" w:fill="FFFFFF"/>
        <w:snapToGrid/>
        <w:spacing w:line="540" w:lineRule="exact"/>
        <w:ind w:left="0" w:leftChars="0" w:right="0" w:firstLine="640" w:firstLineChars="200"/>
        <w:outlineLvl w:val="2"/>
        <w:rPr>
          <w:rFonts w:ascii="仿宋_GB2312" w:hAnsi="仿宋_GB2312" w:eastAsia="仿宋_GB2312" w:cs="仿宋_GB2312"/>
          <w:color w:val="auto"/>
          <w:szCs w:val="32"/>
        </w:rPr>
      </w:pPr>
      <w:r>
        <w:rPr>
          <w:rFonts w:ascii="仿宋_GB2312" w:hAnsi="仿宋_GB2312" w:eastAsia="仿宋_GB2312" w:cs="仿宋_GB2312"/>
          <w:color w:val="auto"/>
          <w:szCs w:val="32"/>
        </w:rPr>
        <w:t>1.</w:t>
      </w:r>
      <w:r>
        <w:rPr>
          <w:rFonts w:hint="eastAsia" w:ascii="仿宋_GB2312" w:hAnsi="仿宋_GB2312" w:eastAsia="仿宋_GB2312" w:cs="仿宋_GB2312"/>
          <w:color w:val="auto"/>
          <w:szCs w:val="32"/>
        </w:rPr>
        <w:t>报价函（本函附件）；</w:t>
      </w:r>
    </w:p>
    <w:p>
      <w:pPr>
        <w:keepNext w:val="0"/>
        <w:keepLines w:val="0"/>
        <w:pageBreakBefore w:val="0"/>
        <w:widowControl w:val="0"/>
        <w:shd w:val="clear" w:color="auto" w:fill="FFFFFF"/>
        <w:snapToGrid/>
        <w:spacing w:line="540" w:lineRule="exact"/>
        <w:ind w:left="0" w:leftChars="0" w:right="0" w:firstLine="640" w:firstLineChars="200"/>
        <w:outlineLvl w:val="2"/>
        <w:rPr>
          <w:rFonts w:hint="default" w:ascii="仿宋_GB2312" w:hAnsi="仿宋_GB2312" w:eastAsia="仿宋_GB2312" w:cs="仿宋_GB2312"/>
          <w:color w:val="auto"/>
          <w:szCs w:val="32"/>
          <w:lang w:val="en-US" w:eastAsia="zh-CN"/>
        </w:rPr>
      </w:pPr>
      <w:r>
        <w:rPr>
          <w:rFonts w:ascii="仿宋_GB2312" w:hAnsi="仿宋_GB2312" w:eastAsia="仿宋_GB2312" w:cs="仿宋_GB2312"/>
          <w:color w:val="auto"/>
          <w:szCs w:val="32"/>
        </w:rPr>
        <w:t>2.</w:t>
      </w:r>
      <w:r>
        <w:rPr>
          <w:rFonts w:hint="eastAsia" w:ascii="仿宋_GB2312" w:hAnsi="仿宋_GB2312" w:eastAsia="仿宋_GB2312" w:cs="仿宋_GB2312"/>
          <w:color w:val="auto"/>
          <w:szCs w:val="32"/>
          <w:lang w:val="en-US" w:eastAsia="zh-CN"/>
        </w:rPr>
        <w:t>投标承诺书</w:t>
      </w:r>
      <w:r>
        <w:rPr>
          <w:rFonts w:hint="eastAsia" w:ascii="仿宋_GB2312" w:hAnsi="仿宋_GB2312" w:eastAsia="仿宋_GB2312" w:cs="仿宋_GB2312"/>
          <w:color w:val="auto"/>
          <w:szCs w:val="32"/>
        </w:rPr>
        <w:t>（本函附件）；</w:t>
      </w:r>
    </w:p>
    <w:p>
      <w:pPr>
        <w:keepNext w:val="0"/>
        <w:keepLines w:val="0"/>
        <w:pageBreakBefore w:val="0"/>
        <w:widowControl w:val="0"/>
        <w:shd w:val="clear" w:color="auto" w:fill="FFFFFF"/>
        <w:snapToGrid/>
        <w:spacing w:line="540" w:lineRule="exact"/>
        <w:ind w:left="0" w:leftChars="0" w:right="0" w:firstLine="640" w:firstLineChars="200"/>
        <w:outlineLvl w:val="2"/>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报价</w:t>
      </w:r>
      <w:r>
        <w:rPr>
          <w:rFonts w:hint="eastAsia" w:ascii="仿宋_GB2312" w:hAnsi="仿宋_GB2312" w:eastAsia="仿宋_GB2312" w:cs="仿宋_GB2312"/>
          <w:color w:val="auto"/>
          <w:szCs w:val="32"/>
          <w:lang w:val="en-US" w:eastAsia="zh-CN"/>
        </w:rPr>
        <w:t>明细</w:t>
      </w:r>
      <w:r>
        <w:rPr>
          <w:rFonts w:hint="eastAsia" w:ascii="仿宋_GB2312" w:hAnsi="仿宋_GB2312" w:eastAsia="仿宋_GB2312" w:cs="仿宋_GB2312"/>
          <w:color w:val="auto"/>
          <w:szCs w:val="32"/>
        </w:rPr>
        <w:t>表（本函附件）；</w:t>
      </w:r>
    </w:p>
    <w:p>
      <w:pPr>
        <w:keepNext w:val="0"/>
        <w:keepLines w:val="0"/>
        <w:pageBreakBefore w:val="0"/>
        <w:widowControl w:val="0"/>
        <w:shd w:val="clear" w:color="auto" w:fill="FFFFFF"/>
        <w:snapToGrid/>
        <w:spacing w:line="540" w:lineRule="exact"/>
        <w:ind w:left="0" w:leftChars="0" w:right="0" w:firstLine="640" w:firstLineChars="200"/>
        <w:outlineLvl w:val="2"/>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4</w:t>
      </w:r>
      <w:r>
        <w:rPr>
          <w:rFonts w:hint="eastAsia" w:ascii="仿宋_GB2312" w:hAnsi="仿宋_GB2312" w:eastAsia="仿宋_GB2312" w:cs="仿宋_GB2312"/>
          <w:color w:val="auto"/>
          <w:szCs w:val="32"/>
        </w:rPr>
        <w:t>.法定代表人（或授权人）证明书及其身份证复印件；</w:t>
      </w:r>
    </w:p>
    <w:p>
      <w:pPr>
        <w:keepNext w:val="0"/>
        <w:keepLines w:val="0"/>
        <w:pageBreakBefore w:val="0"/>
        <w:widowControl w:val="0"/>
        <w:shd w:val="clear" w:color="auto" w:fill="FFFFFF"/>
        <w:snapToGrid/>
        <w:spacing w:line="540" w:lineRule="exact"/>
        <w:ind w:left="0" w:leftChars="0" w:right="0" w:firstLine="640" w:firstLineChars="200"/>
        <w:outlineLvl w:val="2"/>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val="en-US" w:eastAsia="zh-CN"/>
        </w:rPr>
        <w:t>法人授权委托证明（如有授权人则需提供）；</w:t>
      </w:r>
    </w:p>
    <w:p>
      <w:pPr>
        <w:keepNext w:val="0"/>
        <w:keepLines w:val="0"/>
        <w:pageBreakBefore w:val="0"/>
        <w:widowControl w:val="0"/>
        <w:shd w:val="clear" w:color="auto" w:fill="FFFFFF"/>
        <w:snapToGrid/>
        <w:spacing w:line="540" w:lineRule="exact"/>
        <w:ind w:left="0" w:leftChars="0" w:right="0" w:firstLine="640" w:firstLineChars="200"/>
        <w:outlineLvl w:val="2"/>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6.</w:t>
      </w:r>
      <w:r>
        <w:rPr>
          <w:rFonts w:hint="eastAsia" w:ascii="仿宋_GB2312" w:hAnsi="仿宋_GB2312" w:eastAsia="仿宋_GB2312" w:cs="仿宋_GB2312"/>
          <w:color w:val="auto"/>
          <w:szCs w:val="32"/>
        </w:rPr>
        <w:t>企业营业执照复印件；</w:t>
      </w:r>
    </w:p>
    <w:p>
      <w:pPr>
        <w:keepNext w:val="0"/>
        <w:keepLines w:val="0"/>
        <w:pageBreakBefore w:val="0"/>
        <w:widowControl w:val="0"/>
        <w:shd w:val="clear" w:color="auto" w:fill="FFFFFF"/>
        <w:snapToGrid/>
        <w:spacing w:line="540" w:lineRule="exact"/>
        <w:ind w:left="0" w:leftChars="0" w:right="0" w:firstLine="640" w:firstLineChars="200"/>
        <w:outlineLvl w:val="2"/>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7</w:t>
      </w:r>
      <w:r>
        <w:rPr>
          <w:rFonts w:hint="eastAsia" w:ascii="仿宋_GB2312" w:hAnsi="仿宋_GB2312" w:eastAsia="仿宋_GB2312" w:cs="仿宋_GB2312"/>
          <w:color w:val="auto"/>
          <w:szCs w:val="32"/>
        </w:rPr>
        <w:t>.</w:t>
      </w:r>
      <w:r>
        <w:rPr>
          <w:rFonts w:hint="eastAsia" w:cs="黑体"/>
          <w:color w:val="auto"/>
          <w:szCs w:val="32"/>
        </w:rPr>
        <w:t>投标人资格要求</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三</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-（七）的</w:t>
      </w:r>
      <w:r>
        <w:rPr>
          <w:rFonts w:hint="eastAsia" w:ascii="仿宋_GB2312" w:hAnsi="仿宋_GB2312" w:eastAsia="仿宋_GB2312" w:cs="仿宋_GB2312"/>
          <w:color w:val="auto"/>
          <w:szCs w:val="32"/>
        </w:rPr>
        <w:t>承诺函；</w:t>
      </w:r>
    </w:p>
    <w:p>
      <w:pPr>
        <w:keepNext w:val="0"/>
        <w:keepLines w:val="0"/>
        <w:pageBreakBefore w:val="0"/>
        <w:widowControl w:val="0"/>
        <w:shd w:val="clear" w:color="auto" w:fill="FFFFFF"/>
        <w:snapToGrid/>
        <w:spacing w:line="540" w:lineRule="exact"/>
        <w:ind w:left="0" w:leftChars="0" w:right="0" w:firstLine="640" w:firstLineChars="200"/>
        <w:outlineLvl w:val="2"/>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val="en-US" w:eastAsia="zh-CN"/>
        </w:rPr>
        <w:t>8</w:t>
      </w:r>
      <w:r>
        <w:rPr>
          <w:rFonts w:hint="eastAsia" w:ascii="仿宋_GB2312" w:hAnsi="仿宋_GB2312" w:eastAsia="仿宋_GB2312" w:cs="仿宋_GB2312"/>
          <w:color w:val="auto"/>
          <w:szCs w:val="32"/>
        </w:rPr>
        <w:t>.企业资质证书复印件</w:t>
      </w:r>
      <w:r>
        <w:rPr>
          <w:rFonts w:hint="eastAsia" w:ascii="仿宋_GB2312" w:hAnsi="仿宋_GB2312" w:eastAsia="仿宋_GB2312" w:cs="仿宋_GB2312"/>
          <w:color w:val="auto"/>
          <w:szCs w:val="32"/>
          <w:lang w:eastAsia="zh-CN"/>
        </w:rPr>
        <w:t>；</w:t>
      </w:r>
    </w:p>
    <w:p>
      <w:pPr>
        <w:pStyle w:val="187"/>
        <w:keepNext w:val="0"/>
        <w:keepLines w:val="0"/>
        <w:pageBreakBefore w:val="0"/>
        <w:shd w:val="clear" w:color="auto" w:fill="FFFFFF"/>
        <w:snapToGrid/>
        <w:spacing w:line="560" w:lineRule="exact"/>
        <w:ind w:firstLine="640" w:firstLineChars="200"/>
        <w:rPr>
          <w:rFonts w:hint="eastAsia" w:ascii="仿宋_GB2312" w:hAnsi="仿宋_GB2312" w:eastAsia="仿宋_GB2312" w:cs="仿宋_GB2312"/>
          <w:color w:val="auto"/>
          <w:kern w:val="2"/>
          <w:szCs w:val="32"/>
          <w:lang w:val="en-US" w:eastAsia="zh-CN"/>
        </w:rPr>
      </w:pPr>
      <w:r>
        <w:rPr>
          <w:rFonts w:hint="eastAsia" w:ascii="仿宋_GB2312" w:hAnsi="仿宋_GB2312" w:eastAsia="仿宋_GB2312" w:cs="仿宋_GB2312"/>
          <w:color w:val="auto"/>
          <w:kern w:val="2"/>
          <w:szCs w:val="32"/>
          <w:lang w:val="en-US" w:eastAsia="zh-CN"/>
        </w:rPr>
        <w:t>9.纳税人资质证明（如为一般纳税人，需提供资质证明）</w:t>
      </w:r>
    </w:p>
    <w:p>
      <w:pPr>
        <w:pStyle w:val="187"/>
        <w:keepNext w:val="0"/>
        <w:keepLines w:val="0"/>
        <w:pageBreakBefore w:val="0"/>
        <w:shd w:val="clear" w:color="auto" w:fill="FFFFFF"/>
        <w:snapToGrid/>
        <w:spacing w:line="560" w:lineRule="exact"/>
        <w:ind w:firstLine="640" w:firstLineChars="200"/>
        <w:rPr>
          <w:rFonts w:hint="default" w:ascii="仿宋_GB2312" w:hAnsi="仿宋_GB2312" w:eastAsia="仿宋_GB2312" w:cs="仿宋_GB2312"/>
          <w:color w:val="auto"/>
          <w:kern w:val="2"/>
          <w:szCs w:val="32"/>
          <w:lang w:val="en-US" w:eastAsia="zh-CN"/>
        </w:rPr>
      </w:pPr>
      <w:r>
        <w:rPr>
          <w:rFonts w:hint="eastAsia" w:ascii="仿宋_GB2312" w:hAnsi="仿宋_GB2312" w:eastAsia="仿宋_GB2312" w:cs="仿宋_GB2312"/>
          <w:color w:val="auto"/>
          <w:kern w:val="2"/>
          <w:szCs w:val="32"/>
          <w:lang w:val="en-US" w:eastAsia="zh-CN"/>
        </w:rPr>
        <w:t>10.</w:t>
      </w:r>
      <w:r>
        <w:rPr>
          <w:rFonts w:hint="eastAsia" w:ascii="仿宋_GB2312" w:hAnsi="仿宋" w:eastAsia="仿宋_GB2312" w:cs="Times New Roman"/>
          <w:kern w:val="0"/>
          <w:sz w:val="32"/>
          <w:szCs w:val="32"/>
          <w:lang w:val="en-US" w:eastAsia="zh-CN" w:bidi="ar-SA"/>
        </w:rPr>
        <w:t>同类项目服务能力证明材料；</w:t>
      </w:r>
    </w:p>
    <w:p>
      <w:pPr>
        <w:pStyle w:val="187"/>
        <w:keepNext w:val="0"/>
        <w:keepLines w:val="0"/>
        <w:pageBreakBefore w:val="0"/>
        <w:shd w:val="clear" w:color="auto" w:fill="FFFFFF"/>
        <w:snapToGrid/>
        <w:spacing w:line="560" w:lineRule="exact"/>
        <w:ind w:firstLine="640" w:firstLineChars="200"/>
        <w:rPr>
          <w:rFonts w:hint="default" w:ascii="仿宋_GB2312" w:hAnsi="仿宋_GB2312" w:eastAsia="仿宋_GB2312" w:cs="仿宋_GB2312"/>
          <w:color w:val="auto"/>
          <w:kern w:val="2"/>
          <w:szCs w:val="32"/>
          <w:lang w:val="en-US" w:eastAsia="zh-CN"/>
        </w:rPr>
      </w:pPr>
      <w:r>
        <w:rPr>
          <w:rFonts w:hint="eastAsia" w:ascii="仿宋_GB2312" w:hAnsi="仿宋_GB2312" w:eastAsia="仿宋_GB2312" w:cs="仿宋_GB2312"/>
          <w:color w:val="auto"/>
          <w:kern w:val="2"/>
          <w:szCs w:val="32"/>
          <w:lang w:val="en-US" w:eastAsia="zh-CN"/>
        </w:rPr>
        <w:t>11.</w:t>
      </w:r>
      <w:r>
        <w:rPr>
          <w:rFonts w:hint="eastAsia" w:ascii="仿宋_GB2312" w:hAnsi="仿宋" w:eastAsia="仿宋_GB2312" w:cs="Times New Roman"/>
          <w:kern w:val="0"/>
          <w:sz w:val="32"/>
          <w:szCs w:val="32"/>
          <w:lang w:val="en-US" w:eastAsia="zh-CN" w:bidi="ar-SA"/>
        </w:rPr>
        <w:t>企业获奖、荣誉情况证明材料；</w:t>
      </w:r>
    </w:p>
    <w:p>
      <w:pPr>
        <w:keepNext w:val="0"/>
        <w:keepLines w:val="0"/>
        <w:pageBreakBefore w:val="0"/>
        <w:widowControl w:val="0"/>
        <w:shd w:val="clear" w:color="auto" w:fill="FFFFFF"/>
        <w:snapToGrid/>
        <w:spacing w:line="540" w:lineRule="exact"/>
        <w:ind w:left="0" w:leftChars="0" w:right="0" w:firstLine="640" w:firstLineChars="200"/>
        <w:outlineLvl w:val="2"/>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12.拟安排的项目团队成员名单及成员资质情况【包括但不限于项目组成员自有员工证明（社保情况）、资质证书扫描件、同类项目实施经验证明（合同关键信息、合同关键页、投标单位出具承诺、或其他可替代证明）等】。</w:t>
      </w:r>
    </w:p>
    <w:p>
      <w:pPr>
        <w:pStyle w:val="187"/>
        <w:keepNext w:val="0"/>
        <w:keepLines w:val="0"/>
        <w:pageBreakBefore w:val="0"/>
        <w:shd w:val="clear" w:color="auto" w:fill="FFFFFF"/>
        <w:snapToGrid/>
        <w:spacing w:line="560" w:lineRule="exact"/>
        <w:ind w:firstLine="640" w:firstLineChars="200"/>
        <w:rPr>
          <w:rFonts w:hint="eastAsia" w:ascii="仿宋_GB2312" w:hAnsi="仿宋_GB2312" w:eastAsia="仿宋_GB2312" w:cs="仿宋_GB2312"/>
          <w:color w:val="auto"/>
          <w:kern w:val="2"/>
          <w:szCs w:val="32"/>
          <w:lang w:val="en-US" w:eastAsia="zh-CN"/>
        </w:rPr>
      </w:pPr>
      <w:r>
        <w:rPr>
          <w:rFonts w:hint="eastAsia" w:ascii="仿宋_GB2312" w:hAnsi="仿宋_GB2312" w:eastAsia="仿宋_GB2312" w:cs="仿宋_GB2312"/>
          <w:color w:val="auto"/>
          <w:szCs w:val="32"/>
          <w:lang w:val="en-US" w:eastAsia="zh-CN"/>
        </w:rPr>
        <w:t>13.响应本项目实施方案（格式自拟。不提供或提供内容不全，按作废处理）</w:t>
      </w:r>
    </w:p>
    <w:p>
      <w:pPr>
        <w:pStyle w:val="187"/>
        <w:keepNext w:val="0"/>
        <w:keepLines w:val="0"/>
        <w:pageBreakBefore w:val="0"/>
        <w:shd w:val="clear" w:color="auto" w:fill="FFFFFF"/>
        <w:snapToGrid/>
        <w:spacing w:line="560" w:lineRule="exact"/>
        <w:ind w:firstLine="640" w:firstLineChars="200"/>
        <w:rPr>
          <w:rFonts w:hint="eastAsia" w:ascii="仿宋_GB2312" w:hAnsi="仿宋_GB2312" w:eastAsia="仿宋_GB2312" w:cs="仿宋_GB2312"/>
          <w:color w:val="auto"/>
          <w:kern w:val="2"/>
          <w:szCs w:val="32"/>
          <w:lang w:val="en-US" w:eastAsia="zh-CN"/>
        </w:rPr>
      </w:pPr>
      <w:r>
        <w:rPr>
          <w:rFonts w:hint="eastAsia" w:ascii="仿宋_GB2312" w:hAnsi="仿宋_GB2312" w:eastAsia="仿宋_GB2312" w:cs="仿宋_GB2312"/>
          <w:color w:val="auto"/>
          <w:kern w:val="2"/>
          <w:szCs w:val="32"/>
          <w:lang w:val="en-US" w:eastAsia="zh-CN"/>
        </w:rPr>
        <w:t>14.</w:t>
      </w:r>
      <w:r>
        <w:rPr>
          <w:rFonts w:hint="eastAsia" w:ascii="仿宋_GB2312" w:hAnsi="仿宋_GB2312" w:eastAsia="仿宋_GB2312" w:cs="仿宋_GB2312"/>
          <w:b w:val="0"/>
          <w:bCs w:val="0"/>
          <w:color w:val="auto"/>
          <w:kern w:val="2"/>
          <w:sz w:val="32"/>
          <w:szCs w:val="32"/>
          <w:lang w:val="en-US" w:eastAsia="zh-CN"/>
        </w:rPr>
        <w:t>供应商基本情况表（本函附件）</w:t>
      </w:r>
    </w:p>
    <w:p>
      <w:pPr>
        <w:pStyle w:val="187"/>
        <w:keepNext w:val="0"/>
        <w:keepLines w:val="0"/>
        <w:pageBreakBefore w:val="0"/>
        <w:shd w:val="clear" w:color="auto" w:fill="FFFFFF"/>
        <w:snapToGrid/>
        <w:spacing w:line="560" w:lineRule="exact"/>
        <w:ind w:firstLine="640" w:firstLineChars="200"/>
        <w:rPr>
          <w:rFonts w:hint="default" w:ascii="仿宋_GB2312" w:hAnsi="仿宋_GB2312" w:eastAsia="仿宋_GB2312" w:cs="仿宋_GB2312"/>
          <w:color w:val="auto"/>
          <w:kern w:val="2"/>
          <w:szCs w:val="32"/>
          <w:lang w:val="en-US" w:eastAsia="zh-CN"/>
        </w:rPr>
      </w:pPr>
      <w:r>
        <w:rPr>
          <w:rFonts w:hint="eastAsia" w:ascii="仿宋_GB2312" w:hAnsi="仿宋_GB2312" w:eastAsia="仿宋_GB2312" w:cs="仿宋_GB2312"/>
          <w:color w:val="auto"/>
          <w:kern w:val="2"/>
          <w:szCs w:val="32"/>
          <w:lang w:val="en-US" w:eastAsia="zh-CN"/>
        </w:rPr>
        <w:t>15.投标供应商认为其他需要提供的材料。</w:t>
      </w:r>
    </w:p>
    <w:p>
      <w:pPr>
        <w:keepNext w:val="0"/>
        <w:keepLines w:val="0"/>
        <w:pageBreakBefore w:val="0"/>
        <w:shd w:val="clear" w:color="auto" w:fill="FFFFFF"/>
        <w:snapToGrid/>
        <w:spacing w:line="560" w:lineRule="exact"/>
        <w:ind w:firstLine="640"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（二）报价说明</w:t>
      </w:r>
    </w:p>
    <w:p>
      <w:pPr>
        <w:keepNext w:val="0"/>
        <w:keepLines w:val="0"/>
        <w:pageBreakBefore w:val="0"/>
        <w:shd w:val="clear" w:color="auto" w:fill="FFFFFF"/>
        <w:snapToGrid/>
        <w:spacing w:line="560" w:lineRule="exact"/>
        <w:ind w:firstLine="640" w:firstLineChars="200"/>
        <w:rPr>
          <w:rFonts w:ascii="仿宋_GB2312" w:hAnsi="仿宋_GB2312" w:eastAsia="仿宋_GB2312" w:cs="仿宋_GB2312"/>
          <w:color w:val="auto"/>
          <w:szCs w:val="32"/>
        </w:rPr>
      </w:pPr>
      <w:r>
        <w:rPr>
          <w:rFonts w:ascii="仿宋_GB2312" w:hAnsi="仿宋_GB2312" w:eastAsia="仿宋_GB2312" w:cs="仿宋_GB2312"/>
          <w:color w:val="auto"/>
          <w:szCs w:val="32"/>
        </w:rPr>
        <w:t>1.</w:t>
      </w:r>
      <w:r>
        <w:rPr>
          <w:rFonts w:hint="eastAsia" w:ascii="仿宋_GB2312" w:hAnsi="仿宋_GB2312" w:eastAsia="仿宋_GB2312" w:cs="仿宋_GB2312"/>
          <w:color w:val="auto"/>
          <w:szCs w:val="32"/>
        </w:rPr>
        <w:t>报价币种为人民币；所报价格应包括本次项目全部费用。</w:t>
      </w:r>
    </w:p>
    <w:p>
      <w:pPr>
        <w:keepNext w:val="0"/>
        <w:keepLines w:val="0"/>
        <w:pageBreakBefore w:val="0"/>
        <w:shd w:val="clear" w:color="auto" w:fill="FFFFFF"/>
        <w:snapToGrid/>
        <w:spacing w:line="560" w:lineRule="exact"/>
        <w:ind w:firstLine="640" w:firstLineChars="200"/>
        <w:rPr>
          <w:rFonts w:ascii="仿宋_GB2312" w:hAnsi="仿宋_GB2312" w:eastAsia="仿宋_GB2312" w:cs="仿宋_GB2312"/>
          <w:color w:val="auto"/>
          <w:szCs w:val="32"/>
        </w:rPr>
      </w:pPr>
      <w:r>
        <w:rPr>
          <w:rFonts w:ascii="仿宋_GB2312" w:hAnsi="仿宋_GB2312" w:eastAsia="仿宋_GB2312" w:cs="仿宋_GB2312"/>
          <w:color w:val="auto"/>
          <w:szCs w:val="32"/>
        </w:rPr>
        <w:t>2.</w:t>
      </w:r>
      <w:r>
        <w:rPr>
          <w:rFonts w:hint="eastAsia" w:ascii="仿宋_GB2312" w:hAnsi="仿宋_GB2312" w:eastAsia="仿宋_GB2312" w:cs="仿宋_GB2312"/>
          <w:color w:val="auto"/>
          <w:szCs w:val="32"/>
        </w:rPr>
        <w:t>投标人免费提供的项目应先填写该项目的实际价格并注明免费，此项不计入总价或合计价；</w:t>
      </w:r>
    </w:p>
    <w:p>
      <w:pPr>
        <w:keepNext w:val="0"/>
        <w:keepLines w:val="0"/>
        <w:pageBreakBefore w:val="0"/>
        <w:shd w:val="clear" w:color="auto" w:fill="FFFFFF"/>
        <w:snapToGrid/>
        <w:spacing w:line="560" w:lineRule="exact"/>
        <w:ind w:firstLine="640" w:firstLineChars="200"/>
        <w:rPr>
          <w:rFonts w:ascii="仿宋_GB2312" w:hAnsi="仿宋_GB2312" w:eastAsia="仿宋_GB2312" w:cs="仿宋_GB2312"/>
          <w:color w:val="auto"/>
          <w:szCs w:val="32"/>
        </w:rPr>
      </w:pPr>
      <w:r>
        <w:rPr>
          <w:rFonts w:ascii="仿宋_GB2312" w:hAnsi="仿宋_GB2312" w:eastAsia="仿宋_GB2312" w:cs="仿宋_GB2312"/>
          <w:color w:val="auto"/>
          <w:szCs w:val="32"/>
        </w:rPr>
        <w:t>3.</w:t>
      </w:r>
      <w:r>
        <w:rPr>
          <w:rFonts w:hint="eastAsia" w:ascii="仿宋_GB2312" w:hAnsi="仿宋_GB2312" w:eastAsia="仿宋_GB2312" w:cs="仿宋_GB2312"/>
          <w:color w:val="auto"/>
          <w:szCs w:val="32"/>
        </w:rPr>
        <w:t>投标书应详细表述做好所投项目的措施、应达到的标准、服务承诺等内容；</w:t>
      </w:r>
    </w:p>
    <w:p>
      <w:pPr>
        <w:keepNext w:val="0"/>
        <w:keepLines w:val="0"/>
        <w:pageBreakBefore w:val="0"/>
        <w:shd w:val="clear" w:color="auto" w:fill="FFFFFF"/>
        <w:snapToGrid/>
        <w:spacing w:line="560" w:lineRule="exact"/>
        <w:ind w:firstLine="640" w:firstLineChars="200"/>
        <w:rPr>
          <w:rFonts w:ascii="仿宋_GB2312" w:hAnsi="仿宋_GB2312" w:eastAsia="仿宋_GB2312" w:cs="仿宋_GB2312"/>
          <w:color w:val="auto"/>
          <w:szCs w:val="32"/>
        </w:rPr>
      </w:pPr>
      <w:r>
        <w:rPr>
          <w:rFonts w:ascii="仿宋_GB2312" w:hAnsi="仿宋_GB2312" w:eastAsia="仿宋_GB2312" w:cs="仿宋_GB2312"/>
          <w:color w:val="auto"/>
          <w:szCs w:val="32"/>
        </w:rPr>
        <w:t>4.</w:t>
      </w:r>
      <w:r>
        <w:rPr>
          <w:rFonts w:hint="eastAsia" w:ascii="仿宋_GB2312" w:hAnsi="仿宋_GB2312" w:eastAsia="仿宋_GB2312" w:cs="仿宋_GB2312"/>
          <w:color w:val="auto"/>
          <w:szCs w:val="32"/>
        </w:rPr>
        <w:t>如果报价一览表大写金额与小写金额不一致，以大写金额为准；</w:t>
      </w:r>
    </w:p>
    <w:p>
      <w:pPr>
        <w:keepNext w:val="0"/>
        <w:keepLines w:val="0"/>
        <w:pageBreakBefore w:val="0"/>
        <w:shd w:val="clear" w:color="auto" w:fill="FFFFFF"/>
        <w:snapToGrid/>
        <w:spacing w:line="560" w:lineRule="exact"/>
        <w:ind w:firstLine="640" w:firstLineChars="200"/>
        <w:rPr>
          <w:rFonts w:ascii="仿宋_GB2312" w:hAnsi="仿宋_GB2312" w:eastAsia="仿宋_GB2312" w:cs="仿宋_GB2312"/>
          <w:color w:val="auto"/>
          <w:szCs w:val="32"/>
        </w:rPr>
      </w:pPr>
      <w:r>
        <w:rPr>
          <w:rFonts w:ascii="仿宋_GB2312" w:hAnsi="仿宋_GB2312" w:eastAsia="仿宋_GB2312" w:cs="仿宋_GB2312"/>
          <w:color w:val="auto"/>
          <w:szCs w:val="32"/>
        </w:rPr>
        <w:t>5.</w:t>
      </w:r>
      <w:r>
        <w:rPr>
          <w:rFonts w:hint="eastAsia" w:ascii="仿宋_GB2312" w:hAnsi="仿宋_GB2312" w:eastAsia="仿宋_GB2312" w:cs="仿宋_GB2312"/>
          <w:color w:val="auto"/>
          <w:szCs w:val="32"/>
        </w:rPr>
        <w:t>投标人应提供分项单价和总价，如果单价与总价不符，以总价为准；</w:t>
      </w:r>
    </w:p>
    <w:p>
      <w:pPr>
        <w:pStyle w:val="4"/>
        <w:keepNext w:val="0"/>
        <w:keepLines w:val="0"/>
        <w:pageBreakBefore w:val="0"/>
        <w:shd w:val="clear" w:color="auto" w:fill="FFFFFF"/>
        <w:snapToGrid/>
        <w:spacing w:line="560" w:lineRule="exact"/>
        <w:ind w:left="0" w:leftChars="0" w:firstLine="640" w:firstLineChars="200"/>
        <w:rPr>
          <w:color w:val="auto"/>
        </w:rPr>
      </w:pPr>
      <w:r>
        <w:rPr>
          <w:rFonts w:hint="eastAsia"/>
          <w:color w:val="auto"/>
        </w:rPr>
        <w:t>五、报价</w:t>
      </w:r>
      <w:r>
        <w:rPr>
          <w:rFonts w:hint="eastAsia"/>
          <w:color w:val="auto"/>
          <w:lang w:val="en-US" w:eastAsia="zh-CN"/>
        </w:rPr>
        <w:t>文件递交</w:t>
      </w:r>
      <w:r>
        <w:rPr>
          <w:rFonts w:hint="eastAsia"/>
          <w:color w:val="auto"/>
        </w:rPr>
        <w:t>要求</w:t>
      </w:r>
    </w:p>
    <w:p>
      <w:pPr>
        <w:keepNext w:val="0"/>
        <w:keepLines w:val="0"/>
        <w:pageBreakBefore w:val="0"/>
        <w:shd w:val="clear" w:color="auto" w:fill="FFFFFF"/>
        <w:snapToGrid/>
        <w:spacing w:line="560" w:lineRule="exact"/>
        <w:ind w:firstLine="640" w:firstLineChars="200"/>
        <w:rPr>
          <w:rFonts w:hint="default" w:ascii="仿宋_GB2312" w:hAnsi="Times New Roman" w:eastAsia="仿宋_GB2312" w:cs="Times New Roman"/>
          <w:color w:val="auto"/>
          <w:kern w:val="2"/>
          <w:sz w:val="32"/>
          <w:szCs w:val="20"/>
          <w:lang w:val="en-US" w:eastAsia="zh-CN" w:bidi="ar-SA"/>
        </w:rPr>
      </w:pPr>
      <w:r>
        <w:rPr>
          <w:rFonts w:hint="eastAsia" w:ascii="仿宋_GB2312" w:eastAsia="仿宋_GB2312"/>
          <w:color w:val="auto"/>
          <w:lang w:eastAsia="zh-CN"/>
        </w:rPr>
        <w:t>符合资格的供应商应</w:t>
      </w:r>
      <w:r>
        <w:rPr>
          <w:rFonts w:hint="eastAsia" w:ascii="仿宋_GB2312" w:eastAsia="仿宋_GB2312"/>
          <w:color w:val="auto"/>
        </w:rPr>
        <w:t>于截标时间前将按要求密封的报价</w:t>
      </w:r>
      <w:r>
        <w:rPr>
          <w:rFonts w:hint="eastAsia" w:ascii="仿宋_GB2312" w:eastAsia="仿宋_GB2312"/>
          <w:color w:val="auto"/>
          <w:lang w:val="en-US" w:eastAsia="zh-CN"/>
        </w:rPr>
        <w:t>文件</w:t>
      </w:r>
      <w:r>
        <w:rPr>
          <w:rFonts w:hint="eastAsia" w:ascii="仿宋_GB2312" w:eastAsia="仿宋_GB2312"/>
          <w:color w:val="auto"/>
        </w:rPr>
        <w:t>送达我</w:t>
      </w:r>
      <w:r>
        <w:rPr>
          <w:rFonts w:hint="eastAsia" w:ascii="仿宋_GB2312" w:eastAsia="仿宋_GB2312"/>
          <w:color w:val="auto"/>
          <w:lang w:val="en-US" w:eastAsia="zh-CN"/>
        </w:rPr>
        <w:t>中心</w:t>
      </w:r>
      <w:r>
        <w:rPr>
          <w:rFonts w:hint="eastAsia" w:ascii="仿宋_GB2312" w:eastAsia="仿宋_GB2312"/>
          <w:color w:val="auto"/>
        </w:rPr>
        <w:t>（地址：广东省汕尾市海丰县鹅埠镇</w:t>
      </w:r>
      <w:r>
        <w:rPr>
          <w:rFonts w:hint="eastAsia" w:ascii="仿宋_GB2312" w:eastAsia="仿宋_GB2312"/>
          <w:color w:val="auto"/>
          <w:lang w:val="en-US" w:eastAsia="zh-CN"/>
        </w:rPr>
        <w:t>深汕特别合作区</w:t>
      </w:r>
      <w:r>
        <w:rPr>
          <w:rFonts w:hint="eastAsia" w:ascii="仿宋_GB2312" w:eastAsia="仿宋_GB2312"/>
          <w:color w:val="auto"/>
        </w:rPr>
        <w:t>创富路文贞楼</w:t>
      </w:r>
      <w:r>
        <w:rPr>
          <w:rFonts w:ascii="仿宋_GB2312" w:eastAsia="仿宋_GB2312"/>
          <w:color w:val="auto"/>
        </w:rPr>
        <w:t>2栋</w:t>
      </w:r>
      <w:r>
        <w:rPr>
          <w:rFonts w:hint="eastAsia" w:ascii="仿宋_GB2312" w:eastAsia="仿宋_GB2312"/>
          <w:color w:val="auto"/>
          <w:lang w:val="en-US" w:eastAsia="zh-CN"/>
        </w:rPr>
        <w:t>深圳市深汕特别合作区智慧城市建设管理服务中心</w:t>
      </w:r>
      <w:r>
        <w:rPr>
          <w:rFonts w:hint="eastAsia" w:ascii="仿宋_GB2312" w:eastAsia="仿宋_GB2312"/>
          <w:color w:val="auto"/>
        </w:rPr>
        <w:t>，接收人：</w:t>
      </w:r>
      <w:r>
        <w:rPr>
          <w:rFonts w:hint="eastAsia" w:ascii="仿宋_GB2312" w:hAnsi="仿宋_GB2312" w:cs="仿宋_GB2312"/>
          <w:b w:val="0"/>
          <w:bCs w:val="0"/>
          <w:color w:val="000000"/>
          <w:sz w:val="32"/>
          <w:szCs w:val="32"/>
          <w:u w:val="single"/>
          <w:shd w:val="clear" w:color="auto" w:fill="FFFFFF"/>
          <w:lang w:val="en-US" w:eastAsia="zh-CN"/>
        </w:rPr>
        <w:t>曾工</w:t>
      </w:r>
      <w:r>
        <w:rPr>
          <w:rFonts w:hint="eastAsia" w:ascii="仿宋_GB2312" w:eastAsia="仿宋_GB2312"/>
          <w:color w:val="auto"/>
        </w:rPr>
        <w:t>，联系电话：</w:t>
      </w:r>
      <w:r>
        <w:rPr>
          <w:rFonts w:hint="eastAsia" w:ascii="仿宋_GB2312" w:eastAsia="仿宋_GB2312"/>
          <w:color w:val="auto"/>
          <w:u w:val="single"/>
          <w:lang w:val="en-US" w:eastAsia="zh-CN"/>
        </w:rPr>
        <w:t>13242666072</w:t>
      </w:r>
      <w:r>
        <w:rPr>
          <w:rFonts w:hint="eastAsia" w:ascii="仿宋_GB2312" w:eastAsia="仿宋_GB2312"/>
          <w:color w:val="auto"/>
        </w:rPr>
        <w:t>）。</w:t>
      </w:r>
    </w:p>
    <w:p>
      <w:pPr>
        <w:pStyle w:val="4"/>
        <w:keepNext w:val="0"/>
        <w:keepLines w:val="0"/>
        <w:pageBreakBefore w:val="0"/>
        <w:shd w:val="clear" w:color="auto" w:fill="FFFFFF"/>
        <w:snapToGrid/>
        <w:spacing w:line="560" w:lineRule="exact"/>
        <w:ind w:left="0" w:leftChars="0" w:firstLine="640" w:firstLineChars="200"/>
        <w:rPr>
          <w:color w:val="auto"/>
        </w:rPr>
      </w:pPr>
      <w:r>
        <w:rPr>
          <w:rFonts w:hint="eastAsia"/>
          <w:color w:val="auto"/>
        </w:rPr>
        <w:t>六、密封要求</w:t>
      </w:r>
    </w:p>
    <w:p>
      <w:pPr>
        <w:keepNext w:val="0"/>
        <w:keepLines w:val="0"/>
        <w:pageBreakBefore w:val="0"/>
        <w:shd w:val="clear" w:color="auto" w:fill="FFFFFF"/>
        <w:snapToGrid/>
        <w:spacing w:line="560" w:lineRule="exact"/>
        <w:ind w:firstLine="640" w:firstLineChars="200"/>
        <w:rPr>
          <w:rFonts w:ascii="仿宋_GB2312" w:eastAsia="仿宋_GB2312"/>
          <w:color w:val="auto"/>
        </w:rPr>
      </w:pPr>
      <w:r>
        <w:rPr>
          <w:rFonts w:hint="eastAsia" w:ascii="仿宋_GB2312" w:eastAsia="仿宋_GB2312"/>
          <w:color w:val="auto"/>
        </w:rPr>
        <w:t>1.密封封面注明项目名称及投标人名称；</w:t>
      </w:r>
    </w:p>
    <w:p>
      <w:pPr>
        <w:keepNext w:val="0"/>
        <w:keepLines w:val="0"/>
        <w:pageBreakBefore w:val="0"/>
        <w:shd w:val="clear" w:color="auto" w:fill="FFFFFF"/>
        <w:snapToGrid/>
        <w:spacing w:line="560" w:lineRule="exact"/>
        <w:ind w:firstLine="640" w:firstLineChars="200"/>
        <w:rPr>
          <w:rFonts w:ascii="仿宋_GB2312" w:eastAsia="仿宋_GB2312"/>
          <w:color w:val="auto"/>
        </w:rPr>
      </w:pPr>
      <w:r>
        <w:rPr>
          <w:rFonts w:hint="eastAsia" w:ascii="仿宋_GB2312" w:eastAsia="仿宋_GB2312"/>
          <w:color w:val="auto"/>
        </w:rPr>
        <w:t>2.密封袋需加盖投标人公章；</w:t>
      </w:r>
    </w:p>
    <w:p>
      <w:pPr>
        <w:keepNext w:val="0"/>
        <w:keepLines w:val="0"/>
        <w:pageBreakBefore w:val="0"/>
        <w:shd w:val="clear" w:color="auto" w:fill="FFFFFF"/>
        <w:snapToGrid/>
        <w:spacing w:line="560" w:lineRule="exact"/>
        <w:ind w:firstLine="640" w:firstLineChars="200"/>
        <w:rPr>
          <w:rFonts w:hint="eastAsia" w:ascii="仿宋_GB2312" w:eastAsia="仿宋_GB2312"/>
          <w:color w:val="auto"/>
          <w:lang w:eastAsia="zh-CN"/>
        </w:rPr>
      </w:pPr>
      <w:r>
        <w:rPr>
          <w:rFonts w:hint="eastAsia" w:ascii="仿宋_GB2312" w:eastAsia="仿宋_GB2312"/>
          <w:color w:val="auto"/>
        </w:rPr>
        <w:t>3.封口处必须用“封条”密封且密封完好</w:t>
      </w:r>
      <w:r>
        <w:rPr>
          <w:rFonts w:hint="eastAsia" w:ascii="仿宋_GB2312" w:eastAsia="仿宋_GB2312"/>
          <w:color w:val="auto"/>
          <w:lang w:eastAsia="zh-CN"/>
        </w:rPr>
        <w:t>；</w:t>
      </w:r>
    </w:p>
    <w:p>
      <w:pPr>
        <w:pStyle w:val="19"/>
        <w:ind w:firstLine="640" w:firstLineChars="200"/>
        <w:rPr>
          <w:rFonts w:hint="default"/>
          <w:lang w:val="en-US" w:eastAsia="zh-CN"/>
        </w:rPr>
      </w:pPr>
      <w:r>
        <w:rPr>
          <w:rFonts w:hint="eastAsia" w:ascii="仿宋_GB2312" w:hAnsi="Times New Roman" w:eastAsia="仿宋_GB2312" w:cs="Times New Roman"/>
          <w:color w:val="auto"/>
          <w:kern w:val="2"/>
          <w:sz w:val="32"/>
          <w:szCs w:val="20"/>
          <w:lang w:val="en-US" w:eastAsia="zh-CN" w:bidi="ar-SA"/>
        </w:rPr>
        <w:t>4.盖章报价文件电子扫描件需于报价截标时间当天18：00后发送至深圳市深汕特别合作区智慧城市建设管理服务中心邮箱：zjzx@szss.gov.cn（或盖章电子扫描件存于USB储存设备或光盘储存设备随原件快递寄送）</w:t>
      </w:r>
    </w:p>
    <w:p>
      <w:pPr>
        <w:pStyle w:val="4"/>
        <w:keepNext w:val="0"/>
        <w:keepLines w:val="0"/>
        <w:pageBreakBefore w:val="0"/>
        <w:shd w:val="clear" w:color="auto" w:fill="FFFFFF"/>
        <w:snapToGrid/>
        <w:spacing w:line="560" w:lineRule="exact"/>
        <w:ind w:left="0" w:leftChars="0" w:firstLine="640" w:firstLineChars="200"/>
        <w:rPr>
          <w:rFonts w:hint="eastAsia" w:eastAsia="黑体"/>
          <w:color w:val="auto"/>
          <w:lang w:eastAsia="zh-CN"/>
        </w:rPr>
      </w:pPr>
      <w:r>
        <w:rPr>
          <w:rFonts w:hint="eastAsia"/>
          <w:color w:val="auto"/>
        </w:rPr>
        <w:t>七、截标、</w:t>
      </w:r>
      <w:r>
        <w:rPr>
          <w:rFonts w:hint="eastAsia"/>
          <w:color w:val="auto"/>
          <w:lang w:val="en-US" w:eastAsia="zh-CN"/>
        </w:rPr>
        <w:t>评审</w:t>
      </w:r>
    </w:p>
    <w:p>
      <w:pPr>
        <w:keepNext w:val="0"/>
        <w:keepLines w:val="0"/>
        <w:pageBreakBefore w:val="0"/>
        <w:shd w:val="clear" w:color="auto" w:fill="FFFFFF"/>
        <w:snapToGrid/>
        <w:spacing w:line="560" w:lineRule="exact"/>
        <w:ind w:firstLine="640" w:firstLineChars="200"/>
        <w:rPr>
          <w:rFonts w:hint="eastAsia" w:ascii="仿宋" w:hAnsi="仿宋"/>
          <w:color w:val="auto"/>
          <w:szCs w:val="32"/>
        </w:rPr>
      </w:pPr>
      <w:r>
        <w:rPr>
          <w:rFonts w:hint="eastAsia" w:ascii="仿宋" w:hAnsi="仿宋"/>
          <w:color w:val="auto"/>
          <w:szCs w:val="32"/>
        </w:rPr>
        <w:t>截标时间：20</w:t>
      </w:r>
      <w:r>
        <w:rPr>
          <w:rFonts w:hint="eastAsia" w:ascii="仿宋" w:hAnsi="仿宋"/>
          <w:color w:val="auto"/>
          <w:szCs w:val="32"/>
          <w:lang w:val="en-US" w:eastAsia="zh-CN"/>
        </w:rPr>
        <w:t>25</w:t>
      </w:r>
      <w:r>
        <w:rPr>
          <w:rFonts w:hint="eastAsia" w:ascii="仿宋" w:hAnsi="仿宋"/>
          <w:color w:val="auto"/>
          <w:szCs w:val="32"/>
        </w:rPr>
        <w:t>年</w:t>
      </w:r>
      <w:r>
        <w:rPr>
          <w:rFonts w:hint="eastAsia" w:ascii="仿宋_GB2312" w:hAnsi="仿宋_GB2312" w:cs="仿宋_GB2312"/>
          <w:b w:val="0"/>
          <w:bCs w:val="0"/>
          <w:color w:val="000000"/>
          <w:sz w:val="32"/>
          <w:szCs w:val="32"/>
          <w:u w:val="single"/>
          <w:shd w:val="clear" w:color="auto" w:fill="FFFFFF"/>
          <w:lang w:val="en-US" w:eastAsia="zh-CN"/>
        </w:rPr>
        <w:t xml:space="preserve"> 4 </w:t>
      </w:r>
      <w:r>
        <w:rPr>
          <w:rFonts w:hint="eastAsia" w:ascii="仿宋" w:hAnsi="仿宋"/>
          <w:color w:val="auto"/>
          <w:szCs w:val="32"/>
        </w:rPr>
        <w:t>月</w:t>
      </w:r>
      <w:r>
        <w:rPr>
          <w:rFonts w:hint="eastAsia" w:ascii="仿宋_GB2312" w:hAnsi="仿宋_GB2312" w:cs="仿宋_GB2312"/>
          <w:b w:val="0"/>
          <w:bCs w:val="0"/>
          <w:color w:val="000000"/>
          <w:sz w:val="32"/>
          <w:szCs w:val="32"/>
          <w:u w:val="single"/>
          <w:shd w:val="clear" w:color="auto" w:fill="FFFFFF"/>
          <w:lang w:val="en-US" w:eastAsia="zh-CN"/>
        </w:rPr>
        <w:t xml:space="preserve"> 8 </w:t>
      </w:r>
      <w:r>
        <w:rPr>
          <w:rFonts w:hint="eastAsia" w:ascii="仿宋" w:hAnsi="仿宋"/>
          <w:color w:val="auto"/>
          <w:szCs w:val="32"/>
        </w:rPr>
        <w:t>日</w:t>
      </w:r>
    </w:p>
    <w:p>
      <w:pPr>
        <w:pStyle w:val="32"/>
        <w:keepNext w:val="0"/>
        <w:keepLines w:val="0"/>
        <w:pageBreakBefore w:val="0"/>
        <w:widowControl/>
        <w:shd w:val="clear" w:color="auto" w:fill="FFFFFF"/>
        <w:snapToGrid/>
        <w:spacing w:before="0" w:beforeAutospacing="0" w:after="0" w:afterAutospacing="0" w:line="560" w:lineRule="exact"/>
        <w:ind w:firstLine="642" w:firstLineChars="200"/>
        <w:jc w:val="both"/>
        <w:rPr>
          <w:rFonts w:hint="eastAsia"/>
          <w:lang w:val="en-US" w:eastAsia="zh-CN"/>
        </w:rPr>
      </w:pPr>
      <w:r>
        <w:rPr>
          <w:rFonts w:hint="eastAsia" w:ascii="仿宋_GB2312" w:hAnsi="仿宋_GB2312" w:eastAsia="仿宋_GB2312" w:cs="仿宋_GB2312"/>
          <w:b/>
          <w:bCs/>
          <w:color w:val="000000"/>
          <w:sz w:val="32"/>
          <w:szCs w:val="32"/>
          <w:shd w:val="clear" w:color="auto" w:fill="FFFFFF"/>
        </w:rPr>
        <w:t>（</w:t>
      </w:r>
      <w:r>
        <w:rPr>
          <w:rFonts w:hint="eastAsia" w:ascii="仿宋_GB2312" w:hAnsi="仿宋_GB2312" w:eastAsia="仿宋_GB2312" w:cs="仿宋_GB2312"/>
          <w:b/>
          <w:bCs/>
          <w:color w:val="000000"/>
          <w:sz w:val="32"/>
          <w:szCs w:val="32"/>
          <w:shd w:val="clear" w:color="auto" w:fill="FFFFFF"/>
          <w:lang w:val="en-US" w:eastAsia="zh-CN"/>
        </w:rPr>
        <w:t>3</w:t>
      </w:r>
      <w:r>
        <w:rPr>
          <w:rFonts w:hint="eastAsia" w:ascii="仿宋_GB2312" w:hAnsi="仿宋_GB2312" w:eastAsia="仿宋_GB2312" w:cs="仿宋_GB2312"/>
          <w:b/>
          <w:bCs/>
          <w:color w:val="000000"/>
          <w:sz w:val="32"/>
          <w:szCs w:val="32"/>
          <w:shd w:val="clear" w:color="auto" w:fill="FFFFFF"/>
        </w:rPr>
        <w:t>个工作日,公布当天不算）</w:t>
      </w:r>
    </w:p>
    <w:p>
      <w:pPr>
        <w:keepNext w:val="0"/>
        <w:keepLines w:val="0"/>
        <w:pageBreakBefore w:val="0"/>
        <w:shd w:val="clear" w:color="auto" w:fill="FFFFFF"/>
        <w:snapToGrid/>
        <w:spacing w:line="560" w:lineRule="exact"/>
        <w:ind w:firstLine="640" w:firstLineChars="200"/>
        <w:rPr>
          <w:rFonts w:hint="eastAsia" w:ascii="仿宋" w:hAnsi="仿宋"/>
          <w:color w:val="auto"/>
          <w:szCs w:val="32"/>
        </w:rPr>
      </w:pPr>
      <w:r>
        <w:rPr>
          <w:rFonts w:hint="eastAsia" w:ascii="仿宋" w:hAnsi="仿宋"/>
          <w:color w:val="auto"/>
          <w:szCs w:val="32"/>
          <w:lang w:val="en-US" w:eastAsia="zh-CN"/>
        </w:rPr>
        <w:t>评审</w:t>
      </w:r>
      <w:r>
        <w:rPr>
          <w:rFonts w:hint="eastAsia" w:ascii="仿宋" w:hAnsi="仿宋"/>
          <w:color w:val="auto"/>
          <w:szCs w:val="32"/>
        </w:rPr>
        <w:t>时间：20</w:t>
      </w:r>
      <w:r>
        <w:rPr>
          <w:rFonts w:hint="eastAsia" w:ascii="仿宋" w:hAnsi="仿宋"/>
          <w:color w:val="auto"/>
          <w:szCs w:val="32"/>
          <w:lang w:val="en-US" w:eastAsia="zh-CN"/>
        </w:rPr>
        <w:t>25</w:t>
      </w:r>
      <w:r>
        <w:rPr>
          <w:rFonts w:hint="eastAsia" w:ascii="仿宋" w:hAnsi="仿宋"/>
          <w:color w:val="auto"/>
          <w:szCs w:val="32"/>
        </w:rPr>
        <w:t>年</w:t>
      </w:r>
      <w:r>
        <w:rPr>
          <w:rFonts w:hint="eastAsia" w:ascii="仿宋_GB2312" w:hAnsi="仿宋_GB2312" w:cs="仿宋_GB2312"/>
          <w:b w:val="0"/>
          <w:bCs w:val="0"/>
          <w:color w:val="000000"/>
          <w:sz w:val="32"/>
          <w:szCs w:val="32"/>
          <w:u w:val="single"/>
          <w:shd w:val="clear" w:color="auto" w:fill="FFFFFF"/>
          <w:lang w:val="en-US" w:eastAsia="zh-CN"/>
        </w:rPr>
        <w:t xml:space="preserve"> 4 </w:t>
      </w:r>
      <w:r>
        <w:rPr>
          <w:rFonts w:hint="eastAsia" w:ascii="仿宋" w:hAnsi="仿宋"/>
          <w:color w:val="auto"/>
          <w:szCs w:val="32"/>
        </w:rPr>
        <w:t>月</w:t>
      </w:r>
      <w:r>
        <w:rPr>
          <w:rFonts w:hint="eastAsia" w:ascii="仿宋_GB2312" w:hAnsi="仿宋_GB2312" w:cs="仿宋_GB2312"/>
          <w:b w:val="0"/>
          <w:bCs w:val="0"/>
          <w:color w:val="000000"/>
          <w:sz w:val="32"/>
          <w:szCs w:val="32"/>
          <w:u w:val="single"/>
          <w:shd w:val="clear" w:color="auto" w:fill="FFFFFF"/>
          <w:lang w:val="en-US" w:eastAsia="zh-CN"/>
        </w:rPr>
        <w:t xml:space="preserve"> 9 </w:t>
      </w:r>
      <w:r>
        <w:rPr>
          <w:rFonts w:hint="eastAsia" w:ascii="仿宋" w:hAnsi="仿宋"/>
          <w:color w:val="auto"/>
          <w:szCs w:val="32"/>
        </w:rPr>
        <w:t>日</w:t>
      </w:r>
    </w:p>
    <w:p>
      <w:pPr>
        <w:keepNext w:val="0"/>
        <w:keepLines w:val="0"/>
        <w:pageBreakBefore w:val="0"/>
        <w:shd w:val="clear" w:color="auto" w:fill="FFFFFF"/>
        <w:snapToGrid/>
        <w:spacing w:line="560" w:lineRule="exact"/>
        <w:ind w:firstLine="640" w:firstLineChars="200"/>
        <w:rPr>
          <w:rFonts w:ascii="仿宋" w:hAnsi="仿宋"/>
          <w:color w:val="auto"/>
          <w:szCs w:val="32"/>
        </w:rPr>
      </w:pPr>
      <w:r>
        <w:rPr>
          <w:rFonts w:hint="eastAsia" w:ascii="仿宋" w:hAnsi="仿宋"/>
          <w:color w:val="auto"/>
          <w:szCs w:val="32"/>
          <w:lang w:val="en-US" w:eastAsia="zh-CN"/>
        </w:rPr>
        <w:t>评审</w:t>
      </w:r>
      <w:r>
        <w:rPr>
          <w:rFonts w:hint="eastAsia" w:ascii="仿宋" w:hAnsi="仿宋"/>
          <w:color w:val="auto"/>
          <w:szCs w:val="32"/>
        </w:rPr>
        <w:t>地点：</w:t>
      </w:r>
      <w:r>
        <w:rPr>
          <w:rFonts w:hint="eastAsia" w:ascii="仿宋_GB2312" w:eastAsia="仿宋_GB2312"/>
          <w:color w:val="auto"/>
        </w:rPr>
        <w:t>广东省汕尾市海丰县鹅埠镇</w:t>
      </w:r>
      <w:r>
        <w:rPr>
          <w:rFonts w:hint="eastAsia" w:ascii="仿宋_GB2312" w:eastAsia="仿宋_GB2312"/>
          <w:color w:val="auto"/>
          <w:lang w:val="en-US" w:eastAsia="zh-CN"/>
        </w:rPr>
        <w:t>深汕特别合作区</w:t>
      </w:r>
      <w:r>
        <w:rPr>
          <w:rFonts w:hint="eastAsia" w:ascii="仿宋_GB2312" w:eastAsia="仿宋_GB2312"/>
          <w:color w:val="auto"/>
        </w:rPr>
        <w:t>创富路文贞楼</w:t>
      </w:r>
      <w:bookmarkStart w:id="2" w:name="_GoBack"/>
      <w:bookmarkEnd w:id="2"/>
      <w:r>
        <w:rPr>
          <w:rFonts w:ascii="仿宋_GB2312" w:eastAsia="仿宋_GB2312"/>
          <w:color w:val="auto"/>
        </w:rPr>
        <w:t>2栋</w:t>
      </w:r>
      <w:r>
        <w:rPr>
          <w:rFonts w:hint="eastAsia" w:ascii="仿宋_GB2312" w:eastAsia="仿宋_GB2312"/>
          <w:color w:val="auto"/>
          <w:lang w:val="en-US" w:eastAsia="zh-CN"/>
        </w:rPr>
        <w:t>深圳市深汕特别合作区智慧城市建设管理服务中心</w:t>
      </w:r>
      <w:r>
        <w:rPr>
          <w:rFonts w:hint="eastAsia" w:ascii="仿宋" w:hAnsi="仿宋"/>
          <w:color w:val="auto"/>
          <w:szCs w:val="32"/>
        </w:rPr>
        <w:t>多</w:t>
      </w:r>
      <w:r>
        <w:rPr>
          <w:rFonts w:hint="eastAsia" w:ascii="仿宋" w:hAnsi="仿宋"/>
          <w:color w:val="auto"/>
          <w:szCs w:val="32"/>
          <w:lang w:eastAsia="zh-CN"/>
        </w:rPr>
        <w:t>功能</w:t>
      </w:r>
      <w:r>
        <w:rPr>
          <w:rFonts w:hint="eastAsia" w:ascii="仿宋" w:hAnsi="仿宋"/>
          <w:color w:val="auto"/>
          <w:szCs w:val="32"/>
        </w:rPr>
        <w:t>会议室</w:t>
      </w:r>
    </w:p>
    <w:p>
      <w:pPr>
        <w:keepNext w:val="0"/>
        <w:keepLines w:val="0"/>
        <w:pageBreakBefore w:val="0"/>
        <w:shd w:val="clear" w:color="auto" w:fill="FFFFFF"/>
        <w:snapToGrid/>
        <w:spacing w:line="560" w:lineRule="exact"/>
        <w:ind w:firstLine="640" w:firstLineChars="200"/>
        <w:rPr>
          <w:rFonts w:hint="eastAsia" w:ascii="仿宋" w:hAnsi="仿宋" w:eastAsia="仿宋"/>
          <w:color w:val="auto"/>
          <w:szCs w:val="32"/>
          <w:lang w:eastAsia="zh-CN"/>
        </w:rPr>
      </w:pPr>
      <w:r>
        <w:rPr>
          <w:rFonts w:hint="eastAsia" w:ascii="仿宋_GB2312" w:hAnsi="Times New Roman" w:eastAsia="仿宋_GB2312" w:cs="Times New Roman"/>
          <w:color w:val="auto"/>
        </w:rPr>
        <w:t>定标方法：最低</w:t>
      </w:r>
      <w:r>
        <w:rPr>
          <w:rFonts w:hint="eastAsia" w:ascii="仿宋_GB2312" w:eastAsia="仿宋_GB2312" w:cs="Times New Roman"/>
          <w:color w:val="auto"/>
          <w:lang w:eastAsia="zh-CN"/>
        </w:rPr>
        <w:t>价</w:t>
      </w:r>
      <w:r>
        <w:rPr>
          <w:rFonts w:hint="eastAsia" w:ascii="仿宋_GB2312" w:hAnsi="Times New Roman" w:eastAsia="仿宋_GB2312" w:cs="Times New Roman"/>
          <w:color w:val="auto"/>
          <w:lang w:val="en-US" w:eastAsia="zh-CN"/>
        </w:rPr>
        <w:t>评标法。（</w:t>
      </w:r>
      <w:r>
        <w:rPr>
          <w:rFonts w:hint="eastAsia" w:ascii="仿宋_GB2312" w:hAnsi="Times New Roman" w:eastAsia="仿宋_GB2312" w:cs="Times New Roman"/>
          <w:color w:val="auto"/>
        </w:rPr>
        <w:t>通过对报价</w:t>
      </w:r>
      <w:r>
        <w:rPr>
          <w:rFonts w:hint="eastAsia" w:ascii="仿宋_GB2312" w:hAnsi="Times New Roman" w:eastAsia="仿宋_GB2312" w:cs="Times New Roman"/>
          <w:color w:val="auto"/>
          <w:lang w:val="en-US" w:eastAsia="zh-CN"/>
        </w:rPr>
        <w:t>文件</w:t>
      </w:r>
      <w:r>
        <w:rPr>
          <w:rFonts w:hint="eastAsia" w:ascii="仿宋_GB2312" w:hAnsi="Times New Roman" w:eastAsia="仿宋_GB2312" w:cs="Times New Roman"/>
          <w:color w:val="auto"/>
        </w:rPr>
        <w:t>对比</w:t>
      </w:r>
      <w:r>
        <w:rPr>
          <w:rFonts w:hint="eastAsia" w:ascii="仿宋_GB2312" w:hAnsi="Times New Roman" w:eastAsia="仿宋_GB2312" w:cs="Times New Roman"/>
          <w:color w:val="auto"/>
          <w:lang w:eastAsia="zh-CN"/>
        </w:rPr>
        <w:t>，</w:t>
      </w:r>
      <w:r>
        <w:rPr>
          <w:rFonts w:hint="eastAsia" w:ascii="仿宋_GB2312" w:hAnsi="Times New Roman" w:eastAsia="仿宋_GB2312" w:cs="Times New Roman"/>
          <w:color w:val="auto"/>
          <w:lang w:val="en-US" w:eastAsia="zh-CN"/>
        </w:rPr>
        <w:t>以</w:t>
      </w:r>
      <w:r>
        <w:rPr>
          <w:rFonts w:hint="eastAsia" w:ascii="仿宋_GB2312" w:hAnsi="Times New Roman" w:eastAsia="仿宋_GB2312" w:cs="Times New Roman"/>
          <w:b/>
          <w:bCs/>
          <w:color w:val="auto"/>
          <w:lang w:val="en-US" w:eastAsia="zh-CN"/>
        </w:rPr>
        <w:t>符合</w:t>
      </w:r>
      <w:r>
        <w:rPr>
          <w:rFonts w:hint="eastAsia" w:ascii="仿宋_GB2312" w:eastAsia="仿宋_GB2312" w:cs="Times New Roman"/>
          <w:b/>
          <w:bCs/>
          <w:color w:val="auto"/>
          <w:lang w:val="en-US" w:eastAsia="zh-CN"/>
        </w:rPr>
        <w:t>采购</w:t>
      </w:r>
      <w:r>
        <w:rPr>
          <w:rFonts w:hint="eastAsia" w:ascii="仿宋_GB2312" w:hAnsi="Times New Roman" w:eastAsia="仿宋_GB2312" w:cs="Times New Roman"/>
          <w:b/>
          <w:bCs/>
          <w:color w:val="auto"/>
          <w:lang w:val="en-US" w:eastAsia="zh-CN"/>
        </w:rPr>
        <w:t>文件要求且最低价格</w:t>
      </w:r>
      <w:r>
        <w:rPr>
          <w:rFonts w:hint="eastAsia" w:ascii="仿宋_GB2312" w:hAnsi="Times New Roman" w:eastAsia="仿宋_GB2312" w:cs="Times New Roman"/>
          <w:color w:val="auto"/>
          <w:lang w:val="en-US" w:eastAsia="zh-CN"/>
        </w:rPr>
        <w:t>确定中标候选单位</w:t>
      </w:r>
      <w:r>
        <w:rPr>
          <w:rFonts w:hint="eastAsia" w:ascii="仿宋_GB2312" w:hAnsi="Times New Roman" w:eastAsia="仿宋_GB2312" w:cs="Times New Roman"/>
          <w:color w:val="auto"/>
        </w:rPr>
        <w:t>。</w:t>
      </w:r>
      <w:r>
        <w:rPr>
          <w:rFonts w:hint="eastAsia" w:ascii="仿宋_GB2312" w:hAnsi="Times New Roman" w:eastAsia="仿宋_GB2312" w:cs="Times New Roman"/>
          <w:color w:val="auto"/>
          <w:lang w:eastAsia="zh-CN"/>
        </w:rPr>
        <w:t>）</w:t>
      </w:r>
    </w:p>
    <w:p>
      <w:pPr>
        <w:pStyle w:val="4"/>
        <w:keepNext w:val="0"/>
        <w:keepLines w:val="0"/>
        <w:pageBreakBefore w:val="0"/>
        <w:shd w:val="clear" w:color="auto" w:fill="FFFFFF"/>
        <w:snapToGrid/>
        <w:spacing w:line="560" w:lineRule="exact"/>
        <w:ind w:left="0" w:leftChars="0" w:firstLine="640" w:firstLineChars="200"/>
        <w:rPr>
          <w:color w:val="auto"/>
        </w:rPr>
      </w:pPr>
      <w:r>
        <w:rPr>
          <w:rFonts w:hint="eastAsia"/>
          <w:color w:val="auto"/>
        </w:rPr>
        <w:t>八、废标</w:t>
      </w:r>
    </w:p>
    <w:p>
      <w:pPr>
        <w:keepNext w:val="0"/>
        <w:keepLines w:val="0"/>
        <w:pageBreakBefore w:val="0"/>
        <w:shd w:val="clear" w:color="auto" w:fill="FFFFFF"/>
        <w:snapToGrid/>
        <w:spacing w:line="560" w:lineRule="exact"/>
        <w:ind w:firstLine="640" w:firstLineChars="200"/>
        <w:rPr>
          <w:color w:val="auto"/>
        </w:rPr>
      </w:pPr>
      <w:r>
        <w:rPr>
          <w:color w:val="auto"/>
        </w:rPr>
        <w:t>1.</w:t>
      </w:r>
      <w:r>
        <w:rPr>
          <w:rFonts w:hint="eastAsia"/>
          <w:color w:val="auto"/>
        </w:rPr>
        <w:t>未按要求密封；</w:t>
      </w:r>
    </w:p>
    <w:p>
      <w:pPr>
        <w:keepNext w:val="0"/>
        <w:keepLines w:val="0"/>
        <w:pageBreakBefore w:val="0"/>
        <w:shd w:val="clear" w:color="auto" w:fill="FFFFFF"/>
        <w:snapToGrid/>
        <w:spacing w:line="560" w:lineRule="exact"/>
        <w:ind w:firstLine="640" w:firstLineChars="200"/>
        <w:rPr>
          <w:color w:val="auto"/>
        </w:rPr>
      </w:pPr>
      <w:r>
        <w:rPr>
          <w:color w:val="auto"/>
        </w:rPr>
        <w:t>2.</w:t>
      </w:r>
      <w:r>
        <w:rPr>
          <w:rFonts w:hint="eastAsia"/>
          <w:color w:val="auto"/>
        </w:rPr>
        <w:t>未在截标时间前送达指定地点；</w:t>
      </w:r>
    </w:p>
    <w:p>
      <w:pPr>
        <w:keepNext w:val="0"/>
        <w:keepLines w:val="0"/>
        <w:pageBreakBefore w:val="0"/>
        <w:shd w:val="clear" w:color="auto" w:fill="FFFFFF"/>
        <w:snapToGrid/>
        <w:spacing w:line="560" w:lineRule="exact"/>
        <w:ind w:firstLine="640" w:firstLineChars="200"/>
        <w:rPr>
          <w:color w:val="auto"/>
        </w:rPr>
      </w:pPr>
      <w:r>
        <w:rPr>
          <w:color w:val="auto"/>
        </w:rPr>
        <w:t>3.</w:t>
      </w:r>
      <w:r>
        <w:rPr>
          <w:rFonts w:hint="eastAsia"/>
          <w:color w:val="auto"/>
        </w:rPr>
        <w:t>投标报价不符合我</w:t>
      </w:r>
      <w:r>
        <w:rPr>
          <w:rFonts w:hint="eastAsia"/>
          <w:color w:val="auto"/>
          <w:lang w:val="en-US" w:eastAsia="zh-CN"/>
        </w:rPr>
        <w:t>单位</w:t>
      </w:r>
      <w:r>
        <w:rPr>
          <w:rFonts w:hint="eastAsia"/>
          <w:color w:val="auto"/>
        </w:rPr>
        <w:t>报价要求；</w:t>
      </w:r>
    </w:p>
    <w:p>
      <w:pPr>
        <w:keepNext w:val="0"/>
        <w:keepLines w:val="0"/>
        <w:pageBreakBefore w:val="0"/>
        <w:shd w:val="clear" w:color="auto" w:fill="FFFFFF"/>
        <w:snapToGrid/>
        <w:spacing w:line="560" w:lineRule="exact"/>
        <w:ind w:firstLine="640" w:firstLineChars="200"/>
        <w:rPr>
          <w:rFonts w:hint="eastAsia" w:eastAsia="仿宋"/>
          <w:color w:val="auto"/>
          <w:szCs w:val="22"/>
          <w:lang w:eastAsia="zh-CN"/>
        </w:rPr>
      </w:pPr>
      <w:r>
        <w:rPr>
          <w:rFonts w:hint="eastAsia"/>
          <w:color w:val="auto"/>
          <w:szCs w:val="22"/>
        </w:rPr>
        <w:t>4.</w:t>
      </w:r>
      <w:r>
        <w:rPr>
          <w:rFonts w:hint="eastAsia"/>
          <w:color w:val="auto"/>
          <w:szCs w:val="22"/>
          <w:lang w:val="en-US" w:eastAsia="zh-CN"/>
        </w:rPr>
        <w:t>不符合本采购文件</w:t>
      </w:r>
      <w:r>
        <w:rPr>
          <w:rFonts w:hint="eastAsia" w:cs="黑体"/>
          <w:color w:val="auto"/>
          <w:szCs w:val="32"/>
        </w:rPr>
        <w:t>投标人资格要求</w:t>
      </w:r>
      <w:r>
        <w:rPr>
          <w:rFonts w:hint="eastAsia" w:cs="黑体"/>
          <w:color w:val="auto"/>
          <w:szCs w:val="32"/>
          <w:lang w:eastAsia="zh-CN"/>
        </w:rPr>
        <w:t>；</w:t>
      </w:r>
    </w:p>
    <w:p>
      <w:pPr>
        <w:keepNext w:val="0"/>
        <w:keepLines w:val="0"/>
        <w:pageBreakBefore w:val="0"/>
        <w:shd w:val="clear" w:color="auto" w:fill="FFFFFF"/>
        <w:snapToGrid/>
        <w:spacing w:line="560" w:lineRule="exact"/>
        <w:ind w:firstLine="640" w:firstLineChars="200"/>
        <w:rPr>
          <w:color w:val="auto"/>
          <w:szCs w:val="22"/>
        </w:rPr>
      </w:pPr>
      <w:r>
        <w:rPr>
          <w:rFonts w:hint="eastAsia"/>
          <w:color w:val="auto"/>
          <w:szCs w:val="22"/>
          <w:lang w:val="en-US" w:eastAsia="zh-CN"/>
        </w:rPr>
        <w:t>5.</w:t>
      </w:r>
      <w:r>
        <w:rPr>
          <w:rFonts w:hint="eastAsia"/>
          <w:color w:val="auto"/>
          <w:szCs w:val="22"/>
        </w:rPr>
        <w:t>不按照</w:t>
      </w:r>
      <w:r>
        <w:rPr>
          <w:rFonts w:hint="eastAsia"/>
          <w:color w:val="auto"/>
        </w:rPr>
        <w:t>报价文件的组成要求编制报价文件的。</w:t>
      </w:r>
    </w:p>
    <w:p>
      <w:pPr>
        <w:pStyle w:val="4"/>
        <w:keepNext w:val="0"/>
        <w:keepLines w:val="0"/>
        <w:pageBreakBefore w:val="0"/>
        <w:shd w:val="clear" w:color="auto" w:fill="FFFFFF"/>
        <w:snapToGrid/>
        <w:spacing w:line="560" w:lineRule="exact"/>
        <w:ind w:left="0" w:leftChars="0" w:firstLine="640" w:firstLineChars="200"/>
        <w:rPr>
          <w:color w:val="auto"/>
        </w:rPr>
      </w:pPr>
      <w:r>
        <w:rPr>
          <w:rFonts w:hint="eastAsia"/>
          <w:color w:val="auto"/>
        </w:rPr>
        <w:t>九、其他事项</w:t>
      </w:r>
    </w:p>
    <w:p>
      <w:pPr>
        <w:keepNext w:val="0"/>
        <w:keepLines w:val="0"/>
        <w:pageBreakBefore w:val="0"/>
        <w:shd w:val="clear" w:color="auto" w:fill="FFFFFF"/>
        <w:snapToGrid/>
        <w:spacing w:line="560" w:lineRule="exact"/>
        <w:ind w:firstLine="640" w:firstLineChars="200"/>
        <w:rPr>
          <w:rFonts w:ascii="仿宋_GB2312" w:eastAsia="仿宋_GB2312"/>
          <w:color w:val="auto"/>
          <w:szCs w:val="44"/>
        </w:rPr>
      </w:pPr>
      <w:r>
        <w:rPr>
          <w:rFonts w:hint="eastAsia" w:ascii="仿宋_GB2312" w:hAnsi="宋体" w:eastAsia="仿宋_GB2312"/>
          <w:color w:val="auto"/>
          <w:szCs w:val="32"/>
        </w:rPr>
        <w:t>其他条款按照双方签订的</w:t>
      </w:r>
      <w:r>
        <w:rPr>
          <w:rFonts w:hint="eastAsia" w:ascii="仿宋_GB2312" w:eastAsia="仿宋_GB2312"/>
          <w:color w:val="auto"/>
          <w:szCs w:val="44"/>
        </w:rPr>
        <w:t>合同执行。</w:t>
      </w:r>
    </w:p>
    <w:p>
      <w:pPr>
        <w:keepNext w:val="0"/>
        <w:keepLines w:val="0"/>
        <w:pageBreakBefore w:val="0"/>
        <w:shd w:val="clear" w:color="auto" w:fill="FFFFFF"/>
        <w:snapToGrid/>
        <w:spacing w:line="560" w:lineRule="exact"/>
        <w:ind w:firstLine="640" w:firstLineChars="200"/>
        <w:jc w:val="left"/>
        <w:rPr>
          <w:rFonts w:ascii="仿宋_GB2312" w:hAnsi="仿宋_GB2312" w:eastAsia="仿宋_GB2312" w:cs="仿宋_GB2312"/>
          <w:color w:val="auto"/>
          <w:szCs w:val="32"/>
        </w:rPr>
      </w:pPr>
    </w:p>
    <w:p>
      <w:pPr>
        <w:keepNext w:val="0"/>
        <w:keepLines w:val="0"/>
        <w:pageBreakBefore w:val="0"/>
        <w:shd w:val="clear" w:color="auto" w:fill="FFFFFF"/>
        <w:snapToGrid/>
        <w:spacing w:line="560" w:lineRule="exact"/>
        <w:ind w:firstLine="640" w:firstLineChars="200"/>
        <w:jc w:val="left"/>
        <w:rPr>
          <w:rFonts w:ascii="仿宋_GB2312" w:hAnsi="仿宋_GB2312" w:eastAsia="仿宋_GB2312" w:cs="仿宋_GB2312"/>
          <w:color w:val="auto"/>
          <w:szCs w:val="32"/>
        </w:rPr>
      </w:pPr>
      <w:r>
        <w:rPr>
          <w:rFonts w:hint="eastAsia" w:ascii="仿宋_GB2312" w:hAnsi="仿宋_GB2312" w:eastAsia="仿宋_GB2312" w:cs="仿宋_GB2312"/>
          <w:color w:val="auto"/>
          <w:szCs w:val="32"/>
        </w:rPr>
        <w:t>附件：1</w:t>
      </w:r>
      <w:r>
        <w:rPr>
          <w:rFonts w:ascii="仿宋_GB2312" w:hAnsi="仿宋_GB2312" w:eastAsia="仿宋_GB2312" w:cs="仿宋_GB2312"/>
          <w:color w:val="auto"/>
          <w:szCs w:val="32"/>
        </w:rPr>
        <w:t>.</w:t>
      </w:r>
      <w:r>
        <w:rPr>
          <w:rFonts w:hint="eastAsia" w:ascii="仿宋_GB2312" w:hAnsi="仿宋_GB2312" w:eastAsia="仿宋_GB2312" w:cs="仿宋_GB2312"/>
          <w:color w:val="auto"/>
          <w:szCs w:val="32"/>
        </w:rPr>
        <w:t>报价函</w:t>
      </w:r>
    </w:p>
    <w:p>
      <w:pPr>
        <w:keepNext w:val="0"/>
        <w:keepLines w:val="0"/>
        <w:pageBreakBefore w:val="0"/>
        <w:shd w:val="clear" w:color="auto" w:fill="FFFFFF"/>
        <w:snapToGrid/>
        <w:spacing w:line="560" w:lineRule="exact"/>
        <w:ind w:firstLine="1600" w:firstLineChars="5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投标承诺书</w:t>
      </w:r>
    </w:p>
    <w:p>
      <w:pPr>
        <w:keepNext w:val="0"/>
        <w:keepLines w:val="0"/>
        <w:pageBreakBefore w:val="0"/>
        <w:shd w:val="clear" w:color="auto" w:fill="FFFFFF"/>
        <w:snapToGrid/>
        <w:spacing w:line="560" w:lineRule="exact"/>
        <w:ind w:firstLine="1600" w:firstLineChars="5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报价</w:t>
      </w:r>
      <w:r>
        <w:rPr>
          <w:rFonts w:hint="eastAsia" w:ascii="仿宋_GB2312" w:hAnsi="仿宋_GB2312" w:eastAsia="仿宋_GB2312" w:cs="仿宋_GB2312"/>
          <w:color w:val="auto"/>
          <w:szCs w:val="32"/>
          <w:lang w:val="en-US" w:eastAsia="zh-CN"/>
        </w:rPr>
        <w:t>明细</w:t>
      </w:r>
      <w:r>
        <w:rPr>
          <w:rFonts w:hint="eastAsia" w:ascii="仿宋_GB2312" w:hAnsi="仿宋_GB2312" w:eastAsia="仿宋_GB2312" w:cs="仿宋_GB2312"/>
          <w:color w:val="auto"/>
          <w:szCs w:val="32"/>
        </w:rPr>
        <w:t>表</w:t>
      </w:r>
    </w:p>
    <w:p>
      <w:pPr>
        <w:keepNext w:val="0"/>
        <w:keepLines w:val="0"/>
        <w:pageBreakBefore w:val="0"/>
        <w:shd w:val="clear" w:color="auto" w:fill="FFFFFF"/>
        <w:snapToGrid/>
        <w:spacing w:line="560" w:lineRule="exact"/>
        <w:ind w:firstLine="1600" w:firstLineChars="5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4.供应商基本情况表</w:t>
      </w:r>
    </w:p>
    <w:p>
      <w:pPr>
        <w:pStyle w:val="2"/>
      </w:pPr>
    </w:p>
    <w:p>
      <w:pPr>
        <w:pStyle w:val="187"/>
        <w:keepNext w:val="0"/>
        <w:keepLines w:val="0"/>
        <w:pageBreakBefore w:val="0"/>
        <w:shd w:val="clear" w:color="auto" w:fill="FFFFFF"/>
        <w:snapToGrid/>
        <w:spacing w:line="560" w:lineRule="exact"/>
        <w:rPr>
          <w:color w:val="auto"/>
        </w:rPr>
      </w:pPr>
    </w:p>
    <w:p>
      <w:pPr>
        <w:keepNext w:val="0"/>
        <w:keepLines w:val="0"/>
        <w:pageBreakBefore w:val="0"/>
        <w:shd w:val="clear" w:color="auto" w:fill="FFFFFF"/>
        <w:snapToGrid/>
        <w:spacing w:line="560" w:lineRule="exact"/>
        <w:ind w:right="640" w:firstLine="0" w:firstLineChars="0"/>
        <w:jc w:val="right"/>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深圳市深汕特别合作区智慧城市</w:t>
      </w:r>
      <w:r>
        <w:rPr>
          <w:rFonts w:hint="eastAsia" w:ascii="仿宋_GB2312" w:hAnsi="仿宋_GB2312" w:eastAsia="仿宋_GB2312" w:cs="仿宋_GB2312"/>
          <w:color w:val="auto"/>
          <w:szCs w:val="32"/>
          <w:lang w:val="en-US" w:eastAsia="zh-CN"/>
        </w:rPr>
        <w:t>建设管理服务中心</w:t>
      </w:r>
    </w:p>
    <w:p>
      <w:pPr>
        <w:keepNext w:val="0"/>
        <w:keepLines w:val="0"/>
        <w:pageBreakBefore w:val="0"/>
        <w:shd w:val="clear" w:color="auto" w:fill="FFFFFF"/>
        <w:snapToGrid/>
        <w:spacing w:line="560" w:lineRule="exact"/>
        <w:ind w:right="1906" w:firstLine="3200" w:firstLineChars="1000"/>
        <w:jc w:val="both"/>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2025</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4</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日</w:t>
      </w:r>
      <w:bookmarkEnd w:id="0"/>
    </w:p>
    <w:p>
      <w:pPr>
        <w:shd w:val="clear" w:color="auto" w:fill="FFFFFF"/>
        <w:spacing w:line="240" w:lineRule="auto"/>
        <w:ind w:right="0" w:firstLine="0" w:firstLineChars="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br w:type="page"/>
      </w:r>
    </w:p>
    <w:p>
      <w:pPr>
        <w:keepNext w:val="0"/>
        <w:keepLines w:val="0"/>
        <w:pageBreakBefore w:val="0"/>
        <w:widowControl w:val="0"/>
        <w:shd w:val="clear" w:color="auto" w:fill="FFFFFF"/>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shd w:val="clear" w:color="auto" w:fill="FFFFFF"/>
        <w:snapToGrid/>
        <w:spacing w:line="600" w:lineRule="exact"/>
        <w:jc w:val="center"/>
        <w:rPr>
          <w:rFonts w:hint="eastAsia" w:ascii="黑体" w:hAnsi="黑体" w:eastAsia="黑体"/>
          <w:color w:val="auto"/>
          <w:sz w:val="44"/>
          <w:szCs w:val="44"/>
          <w:lang w:eastAsia="zh-CN"/>
        </w:rPr>
      </w:pPr>
      <w:r>
        <w:rPr>
          <w:rFonts w:hint="eastAsia" w:ascii="黑体" w:hAnsi="黑体" w:eastAsia="黑体"/>
          <w:color w:val="auto"/>
          <w:sz w:val="44"/>
          <w:szCs w:val="44"/>
        </w:rPr>
        <w:t>深圳市深汕特别合作区智慧城市</w:t>
      </w:r>
      <w:r>
        <w:rPr>
          <w:rFonts w:hint="eastAsia" w:ascii="黑体" w:hAnsi="黑体" w:eastAsia="黑体"/>
          <w:color w:val="auto"/>
          <w:sz w:val="44"/>
          <w:szCs w:val="44"/>
          <w:lang w:val="en-US" w:eastAsia="zh-CN"/>
        </w:rPr>
        <w:t>建设管理服务中心</w:t>
      </w:r>
      <w:r>
        <w:rPr>
          <w:rFonts w:hint="eastAsia" w:ascii="黑体" w:hAnsi="黑体" w:eastAsia="黑体"/>
          <w:color w:val="auto"/>
          <w:sz w:val="44"/>
          <w:szCs w:val="44"/>
        </w:rPr>
        <w:t>关于</w:t>
      </w:r>
      <w:r>
        <w:rPr>
          <w:rFonts w:hint="eastAsia" w:ascii="黑体" w:hAnsi="黑体" w:eastAsia="黑体"/>
          <w:color w:val="auto"/>
          <w:sz w:val="44"/>
          <w:szCs w:val="44"/>
          <w:u w:val="single"/>
          <w:lang w:val="en-US" w:eastAsia="zh-CN"/>
        </w:rPr>
        <w:t>深汕特别合作区智慧消防（一期）项目监理服务</w:t>
      </w:r>
      <w:r>
        <w:rPr>
          <w:rFonts w:hint="eastAsia" w:ascii="黑体" w:hAnsi="黑体" w:eastAsia="黑体"/>
          <w:color w:val="auto"/>
          <w:sz w:val="44"/>
          <w:szCs w:val="44"/>
          <w:lang w:val="en-US" w:eastAsia="zh-CN"/>
        </w:rPr>
        <w:t>项目</w:t>
      </w:r>
    </w:p>
    <w:p>
      <w:pPr>
        <w:keepNext w:val="0"/>
        <w:keepLines w:val="0"/>
        <w:pageBreakBefore w:val="0"/>
        <w:widowControl w:val="0"/>
        <w:shd w:val="clear" w:color="auto" w:fill="FFFFFF"/>
        <w:snapToGrid/>
        <w:spacing w:line="600" w:lineRule="exact"/>
        <w:jc w:val="center"/>
        <w:rPr>
          <w:rFonts w:ascii="黑体" w:hAnsi="黑体" w:eastAsia="黑体"/>
          <w:color w:val="auto"/>
          <w:sz w:val="44"/>
          <w:szCs w:val="44"/>
        </w:rPr>
      </w:pPr>
      <w:r>
        <w:rPr>
          <w:rFonts w:hint="eastAsia" w:ascii="黑体" w:hAnsi="黑体" w:eastAsia="黑体"/>
          <w:color w:val="auto"/>
          <w:sz w:val="44"/>
          <w:szCs w:val="44"/>
        </w:rPr>
        <w:t>投标单位报价函</w:t>
      </w:r>
    </w:p>
    <w:p>
      <w:pPr>
        <w:keepNext w:val="0"/>
        <w:keepLines w:val="0"/>
        <w:pageBreakBefore w:val="0"/>
        <w:widowControl w:val="0"/>
        <w:shd w:val="clear" w:color="auto" w:fill="FFFFFF"/>
        <w:spacing w:line="560" w:lineRule="exact"/>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rPr>
          <w:rFonts w:ascii="仿宋_GB2312" w:hAnsi="仿宋_GB2312" w:eastAsia="仿宋_GB2312" w:cs="仿宋_GB2312"/>
          <w:color w:val="auto"/>
          <w:szCs w:val="32"/>
        </w:rPr>
      </w:pPr>
      <w:r>
        <w:rPr>
          <w:rFonts w:hint="eastAsia" w:ascii="仿宋_GB2312" w:hAnsi="仿宋_GB2312" w:eastAsia="仿宋_GB2312" w:cs="仿宋_GB2312"/>
          <w:color w:val="auto"/>
          <w:szCs w:val="32"/>
        </w:rPr>
        <w:t>致</w:t>
      </w:r>
      <w:r>
        <w:rPr>
          <w:rFonts w:hint="eastAsia" w:ascii="仿宋_GB2312" w:hAnsi="仿宋_GB2312" w:eastAsia="仿宋_GB2312" w:cs="仿宋_GB2312"/>
          <w:b/>
          <w:bCs/>
          <w:color w:val="auto"/>
          <w:szCs w:val="32"/>
          <w:u w:val="single"/>
        </w:rPr>
        <w:t>深圳市深汕特别合作区智慧城市</w:t>
      </w:r>
      <w:r>
        <w:rPr>
          <w:rFonts w:hint="eastAsia" w:ascii="仿宋_GB2312" w:hAnsi="仿宋_GB2312" w:eastAsia="仿宋_GB2312" w:cs="仿宋_GB2312"/>
          <w:b/>
          <w:bCs/>
          <w:color w:val="auto"/>
          <w:szCs w:val="32"/>
          <w:u w:val="single"/>
          <w:lang w:val="en-US" w:eastAsia="zh-CN"/>
        </w:rPr>
        <w:t>建设管理服务中心</w:t>
      </w:r>
      <w:r>
        <w:rPr>
          <w:rFonts w:hint="eastAsia" w:ascii="仿宋_GB2312" w:hAnsi="仿宋_GB2312" w:eastAsia="仿宋_GB2312" w:cs="仿宋_GB2312"/>
          <w:color w:val="auto"/>
          <w:szCs w:val="32"/>
        </w:rPr>
        <w:t>：</w:t>
      </w:r>
    </w:p>
    <w:p>
      <w:pPr>
        <w:keepNext w:val="0"/>
        <w:keepLines w:val="0"/>
        <w:pageBreakBefore w:val="0"/>
        <w:widowControl w:val="0"/>
        <w:shd w:val="clear" w:color="auto" w:fill="FFFFFF"/>
        <w:spacing w:line="560" w:lineRule="exact"/>
        <w:ind w:left="-746" w:leftChars="-295" w:hanging="198" w:hangingChars="62"/>
        <w:rPr>
          <w:rFonts w:ascii="仿宋_GB2312" w:hAnsi="仿宋_GB2312" w:eastAsia="仿宋_GB2312" w:cs="仿宋_GB2312"/>
          <w:color w:val="auto"/>
          <w:szCs w:val="32"/>
        </w:rPr>
      </w:pPr>
    </w:p>
    <w:p>
      <w:pPr>
        <w:keepNext w:val="0"/>
        <w:keepLines w:val="0"/>
        <w:pageBreakBefore w:val="0"/>
        <w:widowControl w:val="0"/>
        <w:shd w:val="clear" w:color="auto" w:fill="FFFFFF"/>
        <w:snapToGrid w:val="0"/>
        <w:spacing w:line="560" w:lineRule="exact"/>
        <w:ind w:firstLine="640"/>
        <w:rPr>
          <w:rFonts w:ascii="仿宋_GB2312" w:hAnsi="仿宋_GB2312" w:eastAsia="仿宋_GB2312" w:cs="仿宋_GB2312"/>
          <w:color w:val="auto"/>
          <w:szCs w:val="32"/>
          <w:u w:val="single"/>
        </w:rPr>
      </w:pPr>
      <w:r>
        <w:rPr>
          <w:rFonts w:hint="eastAsia" w:ascii="仿宋_GB2312" w:eastAsia="仿宋_GB2312"/>
          <w:color w:val="auto"/>
          <w:szCs w:val="32"/>
          <w:u w:val="single"/>
          <w:lang w:val="en-US" w:eastAsia="zh-CN"/>
        </w:rPr>
        <w:t>深汕特别合作区智慧消防（一期）项目监理服务</w:t>
      </w:r>
      <w:r>
        <w:rPr>
          <w:rFonts w:hint="eastAsia" w:ascii="仿宋_GB2312" w:eastAsia="仿宋_GB2312"/>
          <w:color w:val="auto"/>
          <w:szCs w:val="32"/>
          <w:lang w:eastAsia="zh-CN"/>
        </w:rPr>
        <w:t>项目</w:t>
      </w:r>
      <w:r>
        <w:rPr>
          <w:rFonts w:hint="eastAsia" w:ascii="仿宋_GB2312" w:eastAsia="仿宋_GB2312"/>
          <w:color w:val="auto"/>
          <w:szCs w:val="44"/>
        </w:rPr>
        <w:t>，我单</w:t>
      </w:r>
      <w:r>
        <w:rPr>
          <w:rFonts w:hint="eastAsia" w:ascii="仿宋_GB2312" w:hAnsi="仿宋_GB2312" w:eastAsia="仿宋_GB2312" w:cs="仿宋_GB2312"/>
          <w:color w:val="auto"/>
          <w:szCs w:val="32"/>
        </w:rPr>
        <w:t>位愿意按照</w:t>
      </w:r>
      <w:r>
        <w:rPr>
          <w:rFonts w:hint="eastAsia" w:ascii="仿宋_GB2312" w:hAnsi="仿宋_GB2312" w:eastAsia="仿宋_GB2312" w:cs="仿宋_GB2312"/>
          <w:color w:val="auto"/>
          <w:szCs w:val="32"/>
          <w:lang w:eastAsia="zh-CN"/>
        </w:rPr>
        <w:t>采购文件</w:t>
      </w:r>
      <w:r>
        <w:rPr>
          <w:rFonts w:hint="eastAsia" w:ascii="仿宋_GB2312" w:hAnsi="仿宋_GB2312" w:eastAsia="仿宋_GB2312" w:cs="仿宋_GB2312"/>
          <w:color w:val="auto"/>
          <w:szCs w:val="32"/>
        </w:rPr>
        <w:t>中的要求，以</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的价格承包该项目</w:t>
      </w:r>
      <w:r>
        <w:rPr>
          <w:rFonts w:hint="eastAsia" w:ascii="仿宋_GB2312" w:eastAsia="仿宋_GB2312"/>
          <w:color w:val="auto"/>
          <w:szCs w:val="32"/>
        </w:rPr>
        <w:t>。</w:t>
      </w:r>
      <w:r>
        <w:rPr>
          <w:rFonts w:hint="eastAsia" w:ascii="仿宋_GB2312" w:eastAsia="仿宋_GB2312"/>
          <w:color w:val="auto"/>
          <w:szCs w:val="44"/>
        </w:rPr>
        <w:t>最终结算价不得超过暂估价（本次</w:t>
      </w:r>
      <w:r>
        <w:rPr>
          <w:rFonts w:hint="eastAsia" w:ascii="仿宋_GB2312" w:eastAsia="仿宋_GB2312"/>
          <w:color w:val="auto"/>
          <w:szCs w:val="32"/>
          <w:u w:val="single"/>
          <w:lang w:val="en-US" w:eastAsia="zh-CN"/>
        </w:rPr>
        <w:t xml:space="preserve">         </w:t>
      </w:r>
      <w:r>
        <w:rPr>
          <w:rFonts w:hint="eastAsia" w:ascii="仿宋_GB2312" w:eastAsia="仿宋_GB2312"/>
          <w:color w:val="auto"/>
          <w:szCs w:val="32"/>
          <w:lang w:eastAsia="zh-CN"/>
        </w:rPr>
        <w:t>项目</w:t>
      </w:r>
      <w:r>
        <w:rPr>
          <w:rFonts w:hint="eastAsia" w:ascii="仿宋_GB2312" w:eastAsia="仿宋_GB2312"/>
          <w:color w:val="auto"/>
          <w:szCs w:val="44"/>
        </w:rPr>
        <w:t>费用暂估价为</w:t>
      </w:r>
      <w:r>
        <w:rPr>
          <w:rFonts w:hint="eastAsia" w:ascii="仿宋_GB2312" w:eastAsia="仿宋_GB2312"/>
          <w:color w:val="auto"/>
          <w:szCs w:val="44"/>
          <w:lang w:val="en-US" w:eastAsia="zh-CN"/>
        </w:rPr>
        <w:t>￥</w:t>
      </w:r>
      <w:r>
        <w:rPr>
          <w:rFonts w:hint="eastAsia" w:ascii="仿宋_GB2312" w:eastAsia="仿宋_GB2312"/>
          <w:color w:val="auto"/>
          <w:szCs w:val="44"/>
          <w:u w:val="single"/>
          <w:lang w:val="en-US" w:eastAsia="zh-CN"/>
        </w:rPr>
        <w:t xml:space="preserve">            </w:t>
      </w:r>
      <w:r>
        <w:rPr>
          <w:rFonts w:hint="eastAsia" w:ascii="仿宋_GB2312" w:hAnsi="仿宋_GB2312" w:eastAsia="仿宋_GB2312"/>
          <w:sz w:val="32"/>
          <w:szCs w:val="32"/>
          <w:lang w:bidi="ar"/>
        </w:rPr>
        <w:t>元</w:t>
      </w:r>
      <w:r>
        <w:rPr>
          <w:rFonts w:hint="eastAsia" w:ascii="仿宋_GB2312" w:eastAsia="仿宋_GB2312"/>
          <w:color w:val="auto"/>
          <w:szCs w:val="44"/>
        </w:rPr>
        <w:t>），增值税</w:t>
      </w:r>
      <w:r>
        <w:rPr>
          <w:rFonts w:hint="eastAsia" w:ascii="仿宋_GB2312" w:eastAsia="仿宋_GB2312"/>
          <w:color w:val="auto"/>
          <w:szCs w:val="44"/>
          <w:lang w:val="en-US" w:eastAsia="zh-CN"/>
        </w:rPr>
        <w:t>普</w:t>
      </w:r>
      <w:r>
        <w:rPr>
          <w:rFonts w:hint="eastAsia" w:ascii="仿宋_GB2312" w:eastAsia="仿宋_GB2312"/>
          <w:color w:val="auto"/>
          <w:szCs w:val="44"/>
        </w:rPr>
        <w:t>票的税金由我单位承担。</w:t>
      </w:r>
    </w:p>
    <w:p>
      <w:pPr>
        <w:keepNext w:val="0"/>
        <w:keepLines w:val="0"/>
        <w:pageBreakBefore w:val="0"/>
        <w:widowControl w:val="0"/>
        <w:shd w:val="clear" w:color="auto" w:fill="FFFFFF"/>
        <w:snapToGrid w:val="0"/>
        <w:spacing w:line="560" w:lineRule="exact"/>
        <w:ind w:firstLine="640"/>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640" w:firstLineChars="200"/>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640" w:firstLineChars="200"/>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640" w:firstLineChars="200"/>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640" w:firstLineChars="200"/>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投标单位：</w:t>
      </w:r>
      <w:r>
        <w:rPr>
          <w:rFonts w:hint="eastAsia" w:ascii="仿宋_GB2312" w:hAnsi="仿宋_GB2312" w:eastAsia="仿宋_GB2312" w:cs="仿宋_GB2312"/>
          <w:color w:val="auto"/>
          <w:szCs w:val="32"/>
          <w:u w:val="single"/>
        </w:rPr>
        <w:t xml:space="preserve">                       （盖章）</w:t>
      </w:r>
    </w:p>
    <w:p>
      <w:pPr>
        <w:keepNext w:val="0"/>
        <w:keepLines w:val="0"/>
        <w:pageBreakBefore w:val="0"/>
        <w:widowControl w:val="0"/>
        <w:shd w:val="clear" w:color="auto" w:fill="FFFFFF"/>
        <w:wordWrap w:val="0"/>
        <w:spacing w:line="56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法定代表人或授权委托人：</w:t>
      </w:r>
      <w:r>
        <w:rPr>
          <w:rFonts w:hint="eastAsia" w:ascii="仿宋_GB2312" w:hAnsi="仿宋_GB2312" w:eastAsia="仿宋_GB2312" w:cs="仿宋_GB2312"/>
          <w:color w:val="auto"/>
          <w:szCs w:val="32"/>
          <w:u w:val="single"/>
        </w:rPr>
        <w:t xml:space="preserve">                 （签字）</w:t>
      </w:r>
    </w:p>
    <w:p>
      <w:pPr>
        <w:keepNext w:val="0"/>
        <w:keepLines w:val="0"/>
        <w:pageBreakBefore w:val="0"/>
        <w:widowControl w:val="0"/>
        <w:shd w:val="clear" w:color="auto" w:fill="FFFFFF"/>
        <w:wordWrap w:val="0"/>
        <w:spacing w:line="560" w:lineRule="exact"/>
        <w:ind w:firstLine="560"/>
        <w:jc w:val="right"/>
        <w:rPr>
          <w:rFonts w:ascii="仿宋_GB2312" w:hAnsi="仿宋_GB2312" w:eastAsia="仿宋_GB2312" w:cs="仿宋_GB2312"/>
          <w:color w:val="auto"/>
          <w:szCs w:val="32"/>
        </w:rPr>
      </w:pP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日</w:t>
      </w:r>
    </w:p>
    <w:p>
      <w:pPr>
        <w:shd w:val="clear" w:color="auto" w:fill="FFFFFF"/>
        <w:rPr>
          <w:rFonts w:ascii="黑体" w:eastAsia="黑体"/>
          <w:b/>
          <w:snapToGrid w:val="0"/>
          <w:color w:val="auto"/>
          <w:kern w:val="0"/>
          <w:sz w:val="44"/>
          <w:szCs w:val="44"/>
        </w:rPr>
      </w:pPr>
      <w:r>
        <w:rPr>
          <w:rFonts w:hint="eastAsia" w:ascii="黑体" w:eastAsia="黑体"/>
          <w:b/>
          <w:snapToGrid w:val="0"/>
          <w:color w:val="auto"/>
          <w:kern w:val="0"/>
          <w:sz w:val="44"/>
          <w:szCs w:val="44"/>
        </w:rPr>
        <w:br w:type="page"/>
      </w:r>
    </w:p>
    <w:p>
      <w:pPr>
        <w:keepNext w:val="0"/>
        <w:keepLines w:val="0"/>
        <w:pageBreakBefore w:val="0"/>
        <w:widowControl w:val="0"/>
        <w:shd w:val="clear" w:color="auto" w:fill="FFFFFF"/>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shd w:val="clear" w:color="auto" w:fill="FFFFFF"/>
        <w:snapToGrid/>
        <w:spacing w:line="600" w:lineRule="exact"/>
        <w:jc w:val="center"/>
        <w:rPr>
          <w:rFonts w:ascii="黑体" w:eastAsia="黑体"/>
          <w:b/>
          <w:snapToGrid w:val="0"/>
          <w:color w:val="auto"/>
          <w:kern w:val="0"/>
          <w:sz w:val="44"/>
          <w:szCs w:val="44"/>
        </w:rPr>
      </w:pPr>
      <w:r>
        <w:rPr>
          <w:rFonts w:hint="eastAsia" w:ascii="黑体" w:eastAsia="黑体"/>
          <w:b w:val="0"/>
          <w:bCs/>
          <w:snapToGrid w:val="0"/>
          <w:color w:val="auto"/>
          <w:kern w:val="0"/>
          <w:sz w:val="44"/>
          <w:szCs w:val="44"/>
        </w:rPr>
        <w:t>投 标 承 诺 书</w:t>
      </w:r>
    </w:p>
    <w:p>
      <w:pPr>
        <w:keepNext w:val="0"/>
        <w:keepLines w:val="0"/>
        <w:pageBreakBefore w:val="0"/>
        <w:widowControl w:val="0"/>
        <w:shd w:val="clear" w:color="auto" w:fill="FFFFFF"/>
        <w:spacing w:line="560" w:lineRule="exact"/>
        <w:jc w:val="left"/>
        <w:rPr>
          <w:rFonts w:ascii="仿宋" w:hAnsi="仿宋" w:cs="仿宋"/>
          <w:color w:val="auto"/>
          <w:szCs w:val="32"/>
        </w:rPr>
      </w:pPr>
      <w:r>
        <w:rPr>
          <w:rFonts w:hint="eastAsia" w:ascii="仿宋" w:hAnsi="仿宋" w:cs="仿宋"/>
          <w:color w:val="auto"/>
          <w:szCs w:val="32"/>
        </w:rPr>
        <w:t>致：</w:t>
      </w:r>
      <w:r>
        <w:rPr>
          <w:rFonts w:hint="eastAsia" w:ascii="仿宋" w:hAnsi="仿宋" w:cs="仿宋"/>
          <w:color w:val="auto"/>
          <w:szCs w:val="32"/>
          <w:u w:val="single"/>
        </w:rPr>
        <w:t>深圳市深汕特别合作区智慧城市</w:t>
      </w:r>
      <w:r>
        <w:rPr>
          <w:rFonts w:hint="eastAsia" w:ascii="仿宋" w:hAnsi="仿宋" w:cs="仿宋"/>
          <w:color w:val="auto"/>
          <w:szCs w:val="32"/>
          <w:u w:val="single"/>
          <w:lang w:val="en-US" w:eastAsia="zh-CN"/>
        </w:rPr>
        <w:t>建设管理服务中心</w:t>
      </w:r>
      <w:r>
        <w:rPr>
          <w:rFonts w:hint="eastAsia" w:ascii="仿宋" w:hAnsi="仿宋" w:cs="仿宋"/>
          <w:color w:val="auto"/>
          <w:szCs w:val="32"/>
          <w:u w:val="single"/>
        </w:rPr>
        <w:t xml:space="preserve"> </w:t>
      </w:r>
    </w:p>
    <w:p>
      <w:pPr>
        <w:keepNext w:val="0"/>
        <w:keepLines w:val="0"/>
        <w:pageBreakBefore w:val="0"/>
        <w:widowControl w:val="0"/>
        <w:shd w:val="clear" w:color="auto" w:fill="FFFFFF"/>
        <w:spacing w:line="560" w:lineRule="exact"/>
        <w:ind w:firstLine="640" w:firstLineChars="200"/>
        <w:jc w:val="left"/>
        <w:rPr>
          <w:rFonts w:ascii="仿宋" w:hAnsi="仿宋" w:cs="仿宋"/>
          <w:color w:val="auto"/>
          <w:szCs w:val="32"/>
        </w:rPr>
      </w:pPr>
      <w:r>
        <w:rPr>
          <w:rFonts w:hint="eastAsia" w:ascii="仿宋" w:hAnsi="仿宋" w:cs="仿宋"/>
          <w:color w:val="auto"/>
          <w:szCs w:val="32"/>
        </w:rPr>
        <w:t>我方已仔细研究</w:t>
      </w:r>
      <w:r>
        <w:rPr>
          <w:rFonts w:hint="eastAsia" w:ascii="仿宋" w:hAnsi="仿宋" w:cs="仿宋"/>
          <w:bCs/>
          <w:color w:val="auto"/>
          <w:szCs w:val="32"/>
        </w:rPr>
        <w:t>关于</w:t>
      </w:r>
      <w:r>
        <w:rPr>
          <w:rFonts w:hint="eastAsia" w:ascii="仿宋_GB2312"/>
          <w:color w:val="auto"/>
          <w:szCs w:val="32"/>
          <w:u w:val="single"/>
          <w:lang w:val="en-US" w:eastAsia="zh-CN"/>
        </w:rPr>
        <w:t>深汕特别合作区智慧消防（一期）项目监理服务</w:t>
      </w:r>
      <w:r>
        <w:rPr>
          <w:rFonts w:hint="eastAsia" w:ascii="仿宋_GB2312"/>
          <w:color w:val="auto"/>
          <w:szCs w:val="32"/>
          <w:u w:val="single"/>
          <w:lang w:eastAsia="zh-CN"/>
        </w:rPr>
        <w:t>项目</w:t>
      </w:r>
      <w:r>
        <w:rPr>
          <w:rFonts w:hint="eastAsia" w:ascii="仿宋_GB2312"/>
          <w:color w:val="auto"/>
          <w:szCs w:val="32"/>
          <w:u w:val="none"/>
          <w:lang w:val="en-US" w:eastAsia="zh-CN"/>
        </w:rPr>
        <w:t>的采购文件</w:t>
      </w:r>
      <w:r>
        <w:rPr>
          <w:rFonts w:hint="eastAsia" w:ascii="仿宋" w:hAnsi="仿宋" w:cs="仿宋"/>
          <w:bCs/>
          <w:color w:val="auto"/>
          <w:szCs w:val="32"/>
        </w:rPr>
        <w:t>的</w:t>
      </w:r>
      <w:r>
        <w:rPr>
          <w:rFonts w:hint="eastAsia" w:ascii="仿宋" w:hAnsi="仿宋" w:cs="仿宋"/>
          <w:color w:val="auto"/>
          <w:szCs w:val="32"/>
        </w:rPr>
        <w:t>全部内容，包括澄清或者修改文件以及有关附件，我方将严格按照招标文件要求递交符合要求的全部投标文件。</w:t>
      </w:r>
    </w:p>
    <w:p>
      <w:pPr>
        <w:keepNext w:val="0"/>
        <w:keepLines w:val="0"/>
        <w:pageBreakBefore w:val="0"/>
        <w:widowControl w:val="0"/>
        <w:shd w:val="clear" w:color="auto" w:fill="FFFFFF"/>
        <w:spacing w:line="560" w:lineRule="exact"/>
        <w:ind w:firstLine="640" w:firstLineChars="200"/>
        <w:jc w:val="left"/>
        <w:rPr>
          <w:rFonts w:ascii="仿宋" w:hAnsi="仿宋" w:cs="仿宋"/>
          <w:color w:val="auto"/>
          <w:szCs w:val="32"/>
        </w:rPr>
      </w:pPr>
      <w:r>
        <w:rPr>
          <w:rFonts w:hint="eastAsia" w:ascii="仿宋" w:hAnsi="仿宋" w:cs="仿宋"/>
          <w:color w:val="auto"/>
          <w:szCs w:val="32"/>
        </w:rPr>
        <w:t>我方作出如下承诺：</w:t>
      </w:r>
    </w:p>
    <w:p>
      <w:pPr>
        <w:keepNext w:val="0"/>
        <w:keepLines w:val="0"/>
        <w:pageBreakBefore w:val="0"/>
        <w:widowControl w:val="0"/>
        <w:shd w:val="clear" w:color="auto" w:fill="FFFFFF"/>
        <w:spacing w:line="560" w:lineRule="exact"/>
        <w:ind w:firstLine="640" w:firstLineChars="200"/>
        <w:jc w:val="left"/>
        <w:rPr>
          <w:rFonts w:ascii="宋体" w:hAnsi="宋体" w:cs="方正小标宋简体"/>
          <w:b/>
          <w:color w:val="auto"/>
          <w:sz w:val="44"/>
          <w:szCs w:val="44"/>
        </w:rPr>
      </w:pPr>
      <w:r>
        <w:rPr>
          <w:rFonts w:hint="eastAsia" w:ascii="仿宋" w:hAnsi="仿宋" w:cs="仿宋"/>
          <w:color w:val="auto"/>
          <w:szCs w:val="32"/>
        </w:rPr>
        <w:t>1、我方根据企业自身情况，承诺理性报价，不以低于成本的报价竞标，并愿以</w:t>
      </w:r>
      <w:r>
        <w:rPr>
          <w:rFonts w:hint="eastAsia" w:ascii="仿宋" w:hAnsi="仿宋" w:cs="仿宋"/>
          <w:color w:val="auto"/>
          <w:szCs w:val="32"/>
          <w:u w:val="single"/>
        </w:rPr>
        <w:t xml:space="preserve">    </w:t>
      </w:r>
      <w:r>
        <w:rPr>
          <w:rFonts w:ascii="仿宋" w:hAnsi="仿宋" w:cs="仿宋"/>
          <w:color w:val="auto"/>
          <w:szCs w:val="32"/>
          <w:u w:val="single"/>
        </w:rPr>
        <w:t xml:space="preserve">  </w:t>
      </w:r>
      <w:r>
        <w:rPr>
          <w:rFonts w:hint="eastAsia" w:ascii="仿宋" w:hAnsi="仿宋" w:cs="仿宋"/>
          <w:color w:val="auto"/>
          <w:szCs w:val="32"/>
        </w:rPr>
        <w:t>元人民币（含税），按照</w:t>
      </w:r>
      <w:r>
        <w:rPr>
          <w:rFonts w:hint="eastAsia" w:ascii="仿宋" w:hAnsi="仿宋" w:cs="仿宋"/>
          <w:color w:val="auto"/>
          <w:szCs w:val="32"/>
          <w:lang w:eastAsia="zh-CN"/>
        </w:rPr>
        <w:t>采购文件</w:t>
      </w:r>
      <w:r>
        <w:rPr>
          <w:rFonts w:hint="eastAsia" w:ascii="仿宋" w:hAnsi="仿宋" w:cs="仿宋"/>
          <w:color w:val="auto"/>
          <w:szCs w:val="32"/>
        </w:rPr>
        <w:t>的要求承包本项目，发包人保留调整发包范围的权利，我方无异议。否则，我方愿意承担</w:t>
      </w:r>
      <w:r>
        <w:rPr>
          <w:rFonts w:hint="eastAsia" w:ascii="仿宋" w:hAnsi="仿宋" w:cs="仿宋"/>
          <w:bCs/>
          <w:color w:val="auto"/>
          <w:szCs w:val="32"/>
        </w:rPr>
        <w:t>任何风险。</w:t>
      </w:r>
    </w:p>
    <w:p>
      <w:pPr>
        <w:pStyle w:val="19"/>
        <w:keepNext w:val="0"/>
        <w:keepLines w:val="0"/>
        <w:pageBreakBefore w:val="0"/>
        <w:widowControl w:val="0"/>
        <w:shd w:val="clear" w:color="auto" w:fill="FFFFFF"/>
        <w:snapToGrid w:val="0"/>
        <w:spacing w:line="560" w:lineRule="exact"/>
        <w:ind w:firstLine="640" w:firstLineChars="200"/>
        <w:jc w:val="left"/>
        <w:rPr>
          <w:rFonts w:ascii="仿宋" w:hAnsi="仿宋" w:eastAsia="仿宋" w:cs="仿宋"/>
          <w:bCs/>
          <w:color w:val="auto"/>
          <w:sz w:val="32"/>
          <w:szCs w:val="32"/>
        </w:rPr>
      </w:pPr>
      <w:r>
        <w:rPr>
          <w:rFonts w:hint="eastAsia" w:ascii="仿宋" w:hAnsi="仿宋" w:eastAsia="仿宋" w:cs="仿宋"/>
          <w:bCs/>
          <w:color w:val="auto"/>
          <w:sz w:val="32"/>
          <w:szCs w:val="32"/>
        </w:rPr>
        <w:t>2、我方保证</w:t>
      </w:r>
      <w:r>
        <w:rPr>
          <w:rFonts w:hint="eastAsia" w:ascii="仿宋" w:hAnsi="仿宋" w:eastAsia="仿宋" w:cs="仿宋"/>
          <w:bCs/>
          <w:color w:val="auto"/>
          <w:sz w:val="32"/>
          <w:szCs w:val="32"/>
          <w:lang w:val="en-US" w:eastAsia="zh-CN"/>
        </w:rPr>
        <w:t>按</w:t>
      </w:r>
      <w:r>
        <w:rPr>
          <w:rFonts w:hint="eastAsia" w:ascii="仿宋" w:hAnsi="仿宋" w:eastAsia="仿宋" w:cs="仿宋"/>
          <w:bCs/>
          <w:color w:val="auto"/>
          <w:sz w:val="32"/>
          <w:szCs w:val="32"/>
          <w:u w:val="none"/>
          <w:lang w:val="en-US" w:eastAsia="zh-CN"/>
        </w:rPr>
        <w:t>照</w:t>
      </w:r>
      <w:r>
        <w:rPr>
          <w:rFonts w:hint="eastAsia" w:ascii="仿宋" w:hAnsi="仿宋" w:eastAsia="仿宋" w:cs="仿宋"/>
          <w:bCs/>
          <w:color w:val="auto"/>
          <w:sz w:val="32"/>
          <w:szCs w:val="32"/>
          <w:lang w:val="en-US" w:eastAsia="zh-CN"/>
        </w:rPr>
        <w:t>合同约定期限</w:t>
      </w:r>
      <w:r>
        <w:rPr>
          <w:rFonts w:hint="eastAsia" w:ascii="仿宋" w:hAnsi="仿宋" w:eastAsia="仿宋" w:cs="仿宋"/>
          <w:bCs/>
          <w:color w:val="auto"/>
          <w:sz w:val="32"/>
          <w:szCs w:val="32"/>
        </w:rPr>
        <w:t>完成项目内容（</w:t>
      </w:r>
      <w:r>
        <w:rPr>
          <w:rFonts w:hint="eastAsia" w:ascii="仿宋" w:hAnsi="仿宋" w:eastAsia="仿宋" w:cs="仿宋"/>
          <w:bCs/>
          <w:color w:val="auto"/>
          <w:sz w:val="32"/>
          <w:szCs w:val="32"/>
          <w:lang w:val="en-US" w:eastAsia="zh-CN"/>
        </w:rPr>
        <w:t>具体时间要求以双方合同约定为准</w:t>
      </w:r>
      <w:r>
        <w:rPr>
          <w:rFonts w:hint="eastAsia" w:ascii="仿宋" w:hAnsi="仿宋" w:eastAsia="仿宋" w:cs="仿宋"/>
          <w:bCs/>
          <w:color w:val="auto"/>
          <w:sz w:val="32"/>
          <w:szCs w:val="32"/>
        </w:rPr>
        <w:t>），因我方原因未能按期完成项目内容的，我方无条件接受贵方按招标文件约定的处罚方式进行处罚</w:t>
      </w:r>
      <w:r>
        <w:rPr>
          <w:rFonts w:hint="eastAsia" w:ascii="仿宋" w:hAnsi="仿宋" w:eastAsia="仿宋" w:cs="仿宋"/>
          <w:color w:val="auto"/>
          <w:sz w:val="32"/>
          <w:szCs w:val="32"/>
        </w:rPr>
        <w:t>。</w:t>
      </w:r>
    </w:p>
    <w:p>
      <w:pPr>
        <w:keepNext w:val="0"/>
        <w:keepLines w:val="0"/>
        <w:pageBreakBefore w:val="0"/>
        <w:widowControl w:val="0"/>
        <w:shd w:val="clear" w:color="auto" w:fill="FFFFFF"/>
        <w:snapToGrid w:val="0"/>
        <w:spacing w:line="560" w:lineRule="exact"/>
        <w:ind w:firstLine="640" w:firstLineChars="200"/>
        <w:jc w:val="left"/>
        <w:rPr>
          <w:rFonts w:ascii="仿宋" w:hAnsi="仿宋" w:cs="仿宋"/>
          <w:color w:val="auto"/>
          <w:szCs w:val="32"/>
        </w:rPr>
      </w:pPr>
      <w:r>
        <w:rPr>
          <w:rFonts w:hint="eastAsia" w:ascii="仿宋" w:hAnsi="仿宋" w:cs="仿宋"/>
          <w:bCs/>
          <w:color w:val="auto"/>
          <w:szCs w:val="32"/>
        </w:rPr>
        <w:t>3、一旦我</w:t>
      </w:r>
      <w:r>
        <w:rPr>
          <w:rFonts w:hint="eastAsia" w:ascii="仿宋" w:hAnsi="仿宋" w:cs="仿宋"/>
          <w:color w:val="auto"/>
          <w:szCs w:val="32"/>
        </w:rPr>
        <w:t>方中标，将保证在收到中标</w:t>
      </w:r>
      <w:r>
        <w:rPr>
          <w:rFonts w:hint="eastAsia" w:ascii="仿宋" w:hAnsi="仿宋" w:cs="仿宋"/>
          <w:color w:val="auto"/>
          <w:szCs w:val="32"/>
          <w:lang w:val="en-US" w:eastAsia="zh-CN"/>
        </w:rPr>
        <w:t>结果</w:t>
      </w:r>
      <w:r>
        <w:rPr>
          <w:rFonts w:hint="eastAsia" w:ascii="仿宋" w:hAnsi="仿宋" w:cs="仿宋"/>
          <w:color w:val="auto"/>
          <w:szCs w:val="32"/>
        </w:rPr>
        <w:t>后</w:t>
      </w:r>
      <w:r>
        <w:rPr>
          <w:rFonts w:hint="eastAsia" w:ascii="仿宋" w:hAnsi="仿宋" w:cs="仿宋"/>
          <w:color w:val="auto"/>
          <w:szCs w:val="32"/>
          <w:lang w:val="en-US" w:eastAsia="zh-CN"/>
        </w:rPr>
        <w:t>10个工作日</w:t>
      </w:r>
      <w:r>
        <w:rPr>
          <w:rFonts w:hint="eastAsia" w:ascii="仿宋" w:hAnsi="仿宋" w:cs="仿宋"/>
          <w:color w:val="auto"/>
          <w:szCs w:val="32"/>
        </w:rPr>
        <w:t>内，与贵方按照</w:t>
      </w:r>
      <w:r>
        <w:rPr>
          <w:rFonts w:hint="eastAsia" w:ascii="仿宋" w:hAnsi="仿宋" w:cs="仿宋"/>
          <w:color w:val="auto"/>
          <w:szCs w:val="32"/>
          <w:lang w:eastAsia="zh-CN"/>
        </w:rPr>
        <w:t>采购文件</w:t>
      </w:r>
      <w:r>
        <w:rPr>
          <w:rFonts w:hint="eastAsia" w:ascii="仿宋" w:hAnsi="仿宋" w:cs="仿宋"/>
          <w:color w:val="auto"/>
          <w:szCs w:val="32"/>
        </w:rPr>
        <w:t>、</w:t>
      </w:r>
      <w:r>
        <w:rPr>
          <w:rFonts w:hint="eastAsia" w:ascii="仿宋" w:hAnsi="仿宋" w:cs="仿宋"/>
          <w:color w:val="auto"/>
          <w:szCs w:val="32"/>
          <w:lang w:val="en-US" w:eastAsia="zh-CN"/>
        </w:rPr>
        <w:t>投标报价</w:t>
      </w:r>
      <w:r>
        <w:rPr>
          <w:rFonts w:hint="eastAsia" w:ascii="仿宋" w:hAnsi="仿宋" w:cs="仿宋"/>
          <w:color w:val="auto"/>
          <w:szCs w:val="32"/>
        </w:rPr>
        <w:t>内容签订合同，否则，视为我方自愿放弃中标资格。</w:t>
      </w:r>
    </w:p>
    <w:p>
      <w:pPr>
        <w:keepNext w:val="0"/>
        <w:keepLines w:val="0"/>
        <w:pageBreakBefore w:val="0"/>
        <w:widowControl w:val="0"/>
        <w:shd w:val="clear" w:color="auto" w:fill="FFFFFF"/>
        <w:snapToGrid w:val="0"/>
        <w:spacing w:line="560" w:lineRule="exact"/>
        <w:ind w:firstLine="640" w:firstLineChars="200"/>
        <w:jc w:val="left"/>
        <w:rPr>
          <w:rFonts w:ascii="仿宋" w:hAnsi="仿宋" w:cs="仿宋"/>
          <w:bCs/>
          <w:color w:val="auto"/>
          <w:szCs w:val="32"/>
        </w:rPr>
      </w:pPr>
      <w:r>
        <w:rPr>
          <w:rFonts w:hint="eastAsia" w:ascii="仿宋" w:hAnsi="仿宋" w:cs="仿宋"/>
          <w:color w:val="auto"/>
          <w:szCs w:val="32"/>
        </w:rPr>
        <w:t>4、除非另外达成协议并生效，贵方的中标</w:t>
      </w:r>
      <w:r>
        <w:rPr>
          <w:rFonts w:hint="eastAsia" w:ascii="仿宋" w:hAnsi="仿宋" w:cs="仿宋"/>
          <w:color w:val="auto"/>
          <w:szCs w:val="32"/>
          <w:lang w:val="en-US" w:eastAsia="zh-CN"/>
        </w:rPr>
        <w:t>结果</w:t>
      </w:r>
      <w:r>
        <w:rPr>
          <w:rFonts w:hint="eastAsia" w:ascii="仿宋" w:hAnsi="仿宋" w:cs="仿宋"/>
          <w:color w:val="auto"/>
          <w:szCs w:val="32"/>
        </w:rPr>
        <w:t>和本投标文件将成为约束双方的合同文件的组成部分。</w:t>
      </w:r>
    </w:p>
    <w:p>
      <w:pPr>
        <w:keepNext w:val="0"/>
        <w:keepLines w:val="0"/>
        <w:pageBreakBefore w:val="0"/>
        <w:widowControl w:val="0"/>
        <w:shd w:val="clear" w:color="auto" w:fill="FFFFFF"/>
        <w:snapToGrid w:val="0"/>
        <w:spacing w:line="560" w:lineRule="exact"/>
        <w:ind w:firstLine="640" w:firstLineChars="200"/>
        <w:jc w:val="left"/>
        <w:rPr>
          <w:rFonts w:ascii="仿宋" w:hAnsi="仿宋" w:cs="仿宋"/>
          <w:bCs/>
          <w:color w:val="auto"/>
          <w:szCs w:val="32"/>
        </w:rPr>
      </w:pPr>
      <w:r>
        <w:rPr>
          <w:rFonts w:hint="eastAsia" w:ascii="仿宋" w:hAnsi="仿宋" w:cs="仿宋"/>
          <w:bCs/>
          <w:color w:val="auto"/>
          <w:szCs w:val="32"/>
        </w:rPr>
        <w:t>5、我方承诺不向第三方透露与招标相关的所有信息。</w:t>
      </w:r>
    </w:p>
    <w:p>
      <w:pPr>
        <w:keepNext w:val="0"/>
        <w:keepLines w:val="0"/>
        <w:pageBreakBefore w:val="0"/>
        <w:widowControl w:val="0"/>
        <w:shd w:val="clear" w:color="auto" w:fill="FFFFFF"/>
        <w:tabs>
          <w:tab w:val="left" w:pos="900"/>
        </w:tabs>
        <w:snapToGrid w:val="0"/>
        <w:spacing w:line="560" w:lineRule="exact"/>
        <w:ind w:firstLine="640" w:firstLineChars="200"/>
        <w:jc w:val="left"/>
        <w:rPr>
          <w:rFonts w:ascii="仿宋" w:hAnsi="仿宋" w:cs="仿宋"/>
          <w:bCs/>
          <w:color w:val="auto"/>
          <w:szCs w:val="32"/>
        </w:rPr>
      </w:pPr>
      <w:r>
        <w:rPr>
          <w:rFonts w:ascii="仿宋" w:hAnsi="仿宋" w:cs="仿宋"/>
          <w:bCs/>
          <w:color w:val="auto"/>
          <w:szCs w:val="32"/>
        </w:rPr>
        <w:t>6</w:t>
      </w:r>
      <w:r>
        <w:rPr>
          <w:rFonts w:hint="eastAsia" w:ascii="仿宋" w:hAnsi="仿宋" w:cs="仿宋"/>
          <w:bCs/>
          <w:color w:val="auto"/>
          <w:szCs w:val="32"/>
        </w:rPr>
        <w:t>、如果违反本承诺书中任何条款，我方愿意接受：</w:t>
      </w:r>
    </w:p>
    <w:p>
      <w:pPr>
        <w:pStyle w:val="19"/>
        <w:keepNext w:val="0"/>
        <w:keepLines w:val="0"/>
        <w:pageBreakBefore w:val="0"/>
        <w:widowControl w:val="0"/>
        <w:shd w:val="clear" w:color="auto" w:fill="FFFFFF"/>
        <w:snapToGrid w:val="0"/>
        <w:spacing w:line="560" w:lineRule="exact"/>
        <w:ind w:firstLine="640" w:firstLineChars="200"/>
        <w:jc w:val="left"/>
        <w:rPr>
          <w:rFonts w:ascii="仿宋" w:hAnsi="仿宋" w:eastAsia="仿宋" w:cs="仿宋"/>
          <w:bCs/>
          <w:color w:val="auto"/>
          <w:sz w:val="32"/>
          <w:szCs w:val="32"/>
        </w:rPr>
      </w:pPr>
      <w:r>
        <w:rPr>
          <w:rFonts w:hint="eastAsia" w:ascii="仿宋" w:hAnsi="仿宋" w:eastAsia="仿宋" w:cs="仿宋"/>
          <w:bCs/>
          <w:color w:val="auto"/>
          <w:sz w:val="32"/>
          <w:szCs w:val="32"/>
        </w:rPr>
        <w:t>（1）视作我方单方面违约，并按照合同规定向贵方支付违约金或解除合同；</w:t>
      </w:r>
    </w:p>
    <w:p>
      <w:pPr>
        <w:pStyle w:val="19"/>
        <w:keepNext w:val="0"/>
        <w:keepLines w:val="0"/>
        <w:pageBreakBefore w:val="0"/>
        <w:widowControl w:val="0"/>
        <w:shd w:val="clear" w:color="auto" w:fill="FFFFFF"/>
        <w:snapToGrid w:val="0"/>
        <w:spacing w:line="560" w:lineRule="exact"/>
        <w:ind w:firstLine="640" w:firstLineChars="200"/>
        <w:jc w:val="left"/>
        <w:rPr>
          <w:rFonts w:ascii="仿宋" w:hAnsi="仿宋" w:eastAsia="仿宋" w:cs="仿宋"/>
          <w:bCs/>
          <w:color w:val="auto"/>
          <w:sz w:val="32"/>
          <w:szCs w:val="32"/>
        </w:rPr>
      </w:pPr>
      <w:r>
        <w:rPr>
          <w:rFonts w:hint="eastAsia" w:ascii="仿宋" w:hAnsi="仿宋" w:eastAsia="仿宋" w:cs="仿宋"/>
          <w:bCs/>
          <w:color w:val="auto"/>
          <w:sz w:val="32"/>
          <w:szCs w:val="32"/>
        </w:rPr>
        <w:t>（2）履约评价评定为合格及以下；</w:t>
      </w:r>
    </w:p>
    <w:p>
      <w:pPr>
        <w:pStyle w:val="19"/>
        <w:keepNext w:val="0"/>
        <w:keepLines w:val="0"/>
        <w:pageBreakBefore w:val="0"/>
        <w:widowControl w:val="0"/>
        <w:shd w:val="clear" w:color="auto" w:fill="FFFFFF"/>
        <w:snapToGrid w:val="0"/>
        <w:spacing w:line="560" w:lineRule="exact"/>
        <w:ind w:firstLine="640" w:firstLineChars="200"/>
        <w:jc w:val="left"/>
        <w:rPr>
          <w:rFonts w:ascii="仿宋" w:hAnsi="仿宋" w:eastAsia="仿宋" w:cs="仿宋"/>
          <w:bCs/>
          <w:color w:val="auto"/>
          <w:sz w:val="32"/>
          <w:szCs w:val="32"/>
        </w:rPr>
      </w:pPr>
      <w:r>
        <w:rPr>
          <w:rFonts w:hint="eastAsia" w:ascii="仿宋" w:hAnsi="仿宋" w:eastAsia="仿宋" w:cs="仿宋"/>
          <w:bCs/>
          <w:color w:val="auto"/>
          <w:sz w:val="32"/>
          <w:szCs w:val="32"/>
        </w:rPr>
        <w:t>（3）本项目招标人今后可拒绝我方参与投标；</w:t>
      </w:r>
    </w:p>
    <w:p>
      <w:pPr>
        <w:pStyle w:val="19"/>
        <w:keepNext w:val="0"/>
        <w:keepLines w:val="0"/>
        <w:pageBreakBefore w:val="0"/>
        <w:widowControl w:val="0"/>
        <w:shd w:val="clear" w:color="auto" w:fill="FFFFFF"/>
        <w:snapToGrid w:val="0"/>
        <w:spacing w:line="560" w:lineRule="exact"/>
        <w:ind w:firstLine="640" w:firstLineChars="200"/>
        <w:jc w:val="left"/>
        <w:rPr>
          <w:rFonts w:ascii="仿宋" w:hAnsi="仿宋" w:eastAsia="仿宋" w:cs="仿宋"/>
          <w:bCs/>
          <w:color w:val="auto"/>
          <w:sz w:val="32"/>
          <w:szCs w:val="32"/>
        </w:rPr>
      </w:pPr>
      <w:r>
        <w:rPr>
          <w:rFonts w:hint="eastAsia" w:ascii="仿宋" w:hAnsi="仿宋" w:eastAsia="仿宋" w:cs="仿宋"/>
          <w:bCs/>
          <w:color w:val="auto"/>
          <w:sz w:val="32"/>
          <w:szCs w:val="32"/>
        </w:rPr>
        <w:t>（4）建设单位行政主管部门或相关主管部门的不良行为记录、行政处罚。</w:t>
      </w:r>
    </w:p>
    <w:p>
      <w:pPr>
        <w:pStyle w:val="19"/>
        <w:keepNext w:val="0"/>
        <w:keepLines w:val="0"/>
        <w:pageBreakBefore w:val="0"/>
        <w:widowControl w:val="0"/>
        <w:shd w:val="clear" w:color="auto" w:fill="FFFFFF"/>
        <w:snapToGrid w:val="0"/>
        <w:spacing w:line="560" w:lineRule="exact"/>
        <w:ind w:firstLine="480" w:firstLineChars="200"/>
        <w:jc w:val="left"/>
        <w:rPr>
          <w:rFonts w:hAnsi="宋体"/>
          <w:bCs/>
          <w:color w:val="auto"/>
          <w:sz w:val="24"/>
          <w:szCs w:val="24"/>
        </w:rPr>
      </w:pPr>
    </w:p>
    <w:p>
      <w:pPr>
        <w:keepNext w:val="0"/>
        <w:keepLines w:val="0"/>
        <w:pageBreakBefore w:val="0"/>
        <w:widowControl w:val="0"/>
        <w:shd w:val="clear" w:color="auto" w:fill="FFFFFF"/>
        <w:spacing w:line="560" w:lineRule="exact"/>
        <w:ind w:firstLine="560"/>
        <w:jc w:val="right"/>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投标人：</w:t>
      </w:r>
      <w:r>
        <w:rPr>
          <w:rFonts w:hint="eastAsia" w:ascii="仿宋_GB2312" w:hAnsi="仿宋_GB2312" w:eastAsia="仿宋_GB2312" w:cs="仿宋_GB2312"/>
          <w:color w:val="auto"/>
          <w:szCs w:val="32"/>
          <w:u w:val="single"/>
        </w:rPr>
        <w:t xml:space="preserve">                       （盖章）</w:t>
      </w:r>
    </w:p>
    <w:p>
      <w:pPr>
        <w:keepNext w:val="0"/>
        <w:keepLines w:val="0"/>
        <w:pageBreakBefore w:val="0"/>
        <w:widowControl w:val="0"/>
        <w:shd w:val="clear" w:color="auto" w:fill="FFFFFF"/>
        <w:wordWrap w:val="0"/>
        <w:spacing w:line="56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法定代表人或授权委托人：</w:t>
      </w:r>
      <w:r>
        <w:rPr>
          <w:rFonts w:hint="eastAsia" w:ascii="仿宋_GB2312" w:hAnsi="仿宋_GB2312" w:eastAsia="仿宋_GB2312" w:cs="仿宋_GB2312"/>
          <w:color w:val="auto"/>
          <w:szCs w:val="32"/>
          <w:u w:val="single"/>
        </w:rPr>
        <w:t xml:space="preserve">                 （签字）</w:t>
      </w:r>
    </w:p>
    <w:p>
      <w:pPr>
        <w:keepNext w:val="0"/>
        <w:keepLines w:val="0"/>
        <w:pageBreakBefore w:val="0"/>
        <w:widowControl w:val="0"/>
        <w:shd w:val="clear" w:color="auto" w:fill="FFFFFF"/>
        <w:wordWrap w:val="0"/>
        <w:spacing w:line="560" w:lineRule="exact"/>
        <w:ind w:firstLine="560"/>
        <w:jc w:val="right"/>
        <w:rPr>
          <w:rFonts w:ascii="仿宋_GB2312" w:hAnsi="仿宋_GB2312" w:eastAsia="仿宋_GB2312" w:cs="仿宋_GB2312"/>
          <w:color w:val="auto"/>
          <w:szCs w:val="32"/>
        </w:rPr>
      </w:pP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日</w:t>
      </w:r>
    </w:p>
    <w:p>
      <w:pPr>
        <w:shd w:val="clear" w:color="auto" w:fill="FFFFFF"/>
        <w:rPr>
          <w:rFonts w:ascii="宋体" w:hAnsi="宋体"/>
          <w:b/>
          <w:color w:val="auto"/>
          <w:sz w:val="44"/>
          <w:szCs w:val="44"/>
        </w:rPr>
      </w:pPr>
    </w:p>
    <w:p>
      <w:pPr>
        <w:rPr>
          <w:rFonts w:ascii="Times New Roman" w:hAnsi="Times New Roman" w:eastAsia="仿宋" w:cs="Times New Roman"/>
          <w:kern w:val="2"/>
          <w:sz w:val="32"/>
          <w:lang w:val="en-US" w:eastAsia="zh-CN" w:bidi="ar-SA"/>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pStyle w:val="19"/>
        <w:rPr>
          <w:lang w:val="en-US" w:eastAsia="zh-CN"/>
        </w:rPr>
      </w:pPr>
    </w:p>
    <w:p>
      <w:pPr>
        <w:keepNext w:val="0"/>
        <w:keepLines w:val="0"/>
        <w:pageBreakBefore w:val="0"/>
        <w:widowControl w:val="0"/>
        <w:shd w:val="clear" w:color="auto" w:fill="FFFFFF"/>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pStyle w:val="4"/>
        <w:keepNext w:val="0"/>
        <w:keepLines w:val="0"/>
        <w:pageBreakBefore w:val="0"/>
        <w:widowControl/>
        <w:shd w:val="clear" w:color="auto" w:fill="FFFFFF"/>
        <w:snapToGrid/>
        <w:spacing w:before="0" w:beforeAutospacing="0" w:after="0" w:afterAutospacing="0" w:line="600" w:lineRule="exact"/>
        <w:jc w:val="center"/>
        <w:rPr>
          <w:rFonts w:hint="eastAsia" w:ascii="黑体" w:hAnsi="黑体" w:eastAsia="黑体" w:cs="黑体"/>
          <w:b w:val="0"/>
          <w:bCs/>
          <w:sz w:val="44"/>
          <w:szCs w:val="44"/>
          <w:shd w:val="clear" w:color="auto" w:fill="FFFFFF"/>
          <w:lang w:val="en-US" w:eastAsia="zh-CN"/>
        </w:rPr>
      </w:pPr>
      <w:r>
        <w:rPr>
          <w:rFonts w:hint="eastAsia" w:ascii="仿宋_GB2312" w:hAnsi="仿宋_GB2312" w:cs="仿宋_GB2312"/>
          <w:b w:val="0"/>
          <w:bCs w:val="0"/>
          <w:color w:val="000000"/>
          <w:sz w:val="44"/>
          <w:szCs w:val="44"/>
          <w:u w:val="single"/>
          <w:shd w:val="clear" w:color="auto" w:fill="FFFFFF"/>
          <w:lang w:val="en-US" w:eastAsia="zh-CN"/>
        </w:rPr>
        <w:t>深汕特别合作区智慧消防（一期）项目监理服务</w:t>
      </w:r>
      <w:r>
        <w:rPr>
          <w:rFonts w:hint="eastAsia" w:ascii="黑体" w:hAnsi="黑体" w:eastAsia="黑体" w:cs="黑体"/>
          <w:b w:val="0"/>
          <w:bCs/>
          <w:color w:val="000000"/>
          <w:sz w:val="44"/>
          <w:szCs w:val="44"/>
          <w:shd w:val="clear" w:color="auto" w:fill="FFFFFF"/>
          <w:lang w:eastAsia="zh-CN"/>
        </w:rPr>
        <w:t>项目</w:t>
      </w:r>
      <w:r>
        <w:rPr>
          <w:rFonts w:hint="eastAsia" w:ascii="黑体" w:hAnsi="黑体" w:eastAsia="黑体" w:cs="黑体"/>
          <w:b w:val="0"/>
          <w:bCs/>
          <w:color w:val="000000"/>
          <w:sz w:val="44"/>
          <w:szCs w:val="44"/>
          <w:shd w:val="clear" w:color="auto" w:fill="FFFFFF"/>
          <w:lang w:val="en-US" w:eastAsia="zh-CN"/>
        </w:rPr>
        <w:t>报价</w:t>
      </w:r>
      <w:r>
        <w:rPr>
          <w:rFonts w:hint="eastAsia" w:ascii="黑体" w:hAnsi="黑体" w:cs="黑体"/>
          <w:b w:val="0"/>
          <w:bCs/>
          <w:color w:val="000000"/>
          <w:sz w:val="44"/>
          <w:szCs w:val="44"/>
          <w:shd w:val="clear" w:color="auto" w:fill="FFFFFF"/>
          <w:lang w:val="en-US" w:eastAsia="zh-CN"/>
        </w:rPr>
        <w:t>明细表</w:t>
      </w:r>
    </w:p>
    <w:p>
      <w:pPr>
        <w:widowControl/>
        <w:shd w:val="clear" w:color="auto" w:fill="FFFFFF"/>
        <w:spacing w:line="560" w:lineRule="exact"/>
        <w:ind w:firstLine="640" w:firstLineChars="200"/>
        <w:rPr>
          <w:rFonts w:hint="eastAsia" w:ascii="仿宋_GB2312"/>
          <w:color w:val="000000"/>
          <w:kern w:val="0"/>
          <w:szCs w:val="32"/>
          <w:shd w:val="clear" w:color="auto" w:fill="FFFFFF"/>
        </w:rPr>
      </w:pPr>
    </w:p>
    <w:p>
      <w:pPr>
        <w:widowControl/>
        <w:shd w:val="clear" w:color="auto" w:fill="FFFFFF"/>
        <w:spacing w:line="560" w:lineRule="exact"/>
        <w:ind w:firstLine="642" w:firstLineChars="200"/>
        <w:rPr>
          <w:rFonts w:hint="eastAsia" w:ascii="仿宋_GB2312" w:hAnsi="黑体" w:cs="黑体"/>
          <w:b/>
          <w:color w:val="000000"/>
          <w:kern w:val="0"/>
          <w:szCs w:val="32"/>
          <w:shd w:val="clear" w:color="auto" w:fill="FFFFFF"/>
        </w:rPr>
      </w:pPr>
      <w:r>
        <w:rPr>
          <w:rFonts w:hint="eastAsia" w:ascii="仿宋_GB2312" w:hAnsi="黑体" w:cs="黑体"/>
          <w:b/>
          <w:color w:val="000000"/>
          <w:kern w:val="0"/>
          <w:szCs w:val="32"/>
          <w:shd w:val="clear" w:color="auto" w:fill="FFFFFF"/>
        </w:rPr>
        <w:t>一、报价内容</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rPr>
        <w:t>项目名称：</w:t>
      </w:r>
      <w:r>
        <w:rPr>
          <w:rFonts w:hint="eastAsia" w:ascii="仿宋_GB2312" w:hAnsi="仿宋_GB2312" w:cs="仿宋_GB2312"/>
          <w:b w:val="0"/>
          <w:bCs w:val="0"/>
          <w:color w:val="000000"/>
          <w:sz w:val="32"/>
          <w:szCs w:val="32"/>
          <w:u w:val="single"/>
          <w:shd w:val="clear" w:color="auto" w:fill="FFFFFF"/>
          <w:lang w:val="en-US" w:eastAsia="zh-CN"/>
        </w:rPr>
        <w:t>深汕特别合作区智慧消防（一期）项目监理服务</w:t>
      </w:r>
      <w:r>
        <w:rPr>
          <w:rFonts w:hint="eastAsia" w:ascii="仿宋_GB2312" w:hAnsi="仿宋_GB2312" w:cs="仿宋_GB2312"/>
          <w:b w:val="0"/>
          <w:bCs w:val="0"/>
          <w:color w:val="000000"/>
          <w:sz w:val="32"/>
          <w:szCs w:val="32"/>
          <w:shd w:val="clear" w:color="auto" w:fill="FFFFFF"/>
          <w:lang w:val="en-US" w:eastAsia="zh-CN"/>
        </w:rPr>
        <w:t>项目</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rPr>
        <w:t>采购单位：深圳市深汕特别合作区智慧城市</w:t>
      </w:r>
      <w:r>
        <w:rPr>
          <w:rFonts w:hint="eastAsia" w:ascii="仿宋_GB2312" w:hAnsi="仿宋_GB2312" w:cs="仿宋_GB2312"/>
          <w:color w:val="000000"/>
          <w:kern w:val="0"/>
          <w:szCs w:val="32"/>
          <w:shd w:val="clear" w:color="auto" w:fill="FFFFFF"/>
          <w:lang w:eastAsia="zh-CN"/>
        </w:rPr>
        <w:t>建设</w:t>
      </w:r>
      <w:r>
        <w:rPr>
          <w:rFonts w:hint="eastAsia" w:ascii="仿宋_GB2312" w:hAnsi="仿宋_GB2312" w:cs="仿宋_GB2312"/>
          <w:color w:val="000000"/>
          <w:kern w:val="0"/>
          <w:szCs w:val="32"/>
          <w:shd w:val="clear" w:color="auto" w:fill="FFFFFF"/>
        </w:rPr>
        <w:t>管理服务中</w:t>
      </w:r>
      <w:r>
        <w:rPr>
          <w:rFonts w:hint="eastAsia" w:ascii="仿宋_GB2312" w:hAnsi="仿宋_GB2312" w:cs="仿宋_GB2312"/>
          <w:color w:val="000000"/>
          <w:kern w:val="0"/>
          <w:szCs w:val="32"/>
          <w:shd w:val="clear" w:color="auto" w:fill="FFFFFF"/>
          <w:lang w:val="en-US" w:eastAsia="zh-CN"/>
        </w:rPr>
        <w:t>心</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报价单位：</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报价（总价）：</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联系人：</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电话：</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邮编：</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地址：</w:t>
      </w:r>
    </w:p>
    <w:p>
      <w:pPr>
        <w:widowControl/>
        <w:shd w:val="clear" w:color="auto" w:fill="FFFFFF"/>
        <w:spacing w:line="560" w:lineRule="exact"/>
        <w:jc w:val="left"/>
        <w:rPr>
          <w:rFonts w:ascii="仿宋_GB2312" w:hAnsi="黑体" w:eastAsia="仿宋_GB2312"/>
          <w:b/>
          <w:bCs/>
          <w:color w:val="000000"/>
          <w:kern w:val="0"/>
          <w:sz w:val="32"/>
          <w:shd w:val="clear" w:color="auto" w:fill="FFFFFF"/>
        </w:rPr>
      </w:pPr>
      <w:r>
        <w:rPr>
          <w:rFonts w:hint="eastAsia" w:ascii="仿宋_GB2312" w:hAnsi="黑体" w:eastAsia="仿宋_GB2312"/>
          <w:b/>
          <w:bCs/>
          <w:color w:val="000000"/>
          <w:kern w:val="0"/>
          <w:sz w:val="32"/>
          <w:shd w:val="clear" w:color="auto" w:fill="FFFFFF"/>
        </w:rPr>
        <w:t>二、报价明细</w:t>
      </w:r>
    </w:p>
    <w:p>
      <w:pPr>
        <w:spacing w:line="480" w:lineRule="atLeast"/>
        <w:ind w:firstLine="640" w:firstLineChars="200"/>
        <w:jc w:val="left"/>
        <w:rPr>
          <w:rFonts w:ascii="仿宋_GB2312" w:hAnsi="Times New Roman" w:eastAsia="仿宋_GB2312"/>
          <w:kern w:val="0"/>
          <w:sz w:val="32"/>
          <w:szCs w:val="21"/>
        </w:rPr>
      </w:pPr>
      <w:r>
        <w:rPr>
          <w:rFonts w:hint="eastAsia" w:ascii="仿宋_GB2312" w:hAnsi="Times New Roman" w:eastAsia="仿宋_GB2312"/>
          <w:kern w:val="0"/>
          <w:sz w:val="32"/>
          <w:szCs w:val="21"/>
        </w:rPr>
        <w:t>（一）报价明细</w:t>
      </w:r>
      <w:r>
        <w:rPr>
          <w:rFonts w:hint="eastAsia" w:ascii="华文隶书" w:hAnsi="华文隶书" w:eastAsia="华文隶书" w:cs="华文隶书"/>
          <w:b w:val="0"/>
          <w:bCs w:val="0"/>
          <w:i w:val="0"/>
          <w:iCs w:val="0"/>
          <w:caps w:val="0"/>
          <w:color w:val="000000"/>
          <w:spacing w:val="0"/>
          <w:sz w:val="32"/>
          <w:szCs w:val="32"/>
          <w:shd w:val="clear" w:color="auto" w:fill="FFFFFF"/>
          <w:vertAlign w:val="baseline"/>
          <w:lang w:eastAsia="zh-CN"/>
        </w:rPr>
        <w:t>（需求部门可按需求细化报价明细表，如设置每一单项的上限价和总项目上限）</w:t>
      </w:r>
    </w:p>
    <w:p>
      <w:pPr>
        <w:pStyle w:val="15"/>
        <w:jc w:val="center"/>
        <w:rPr>
          <w:rFonts w:hint="eastAsia" w:eastAsia="宋体"/>
          <w:lang w:eastAsia="zh-CN"/>
        </w:rPr>
      </w:pPr>
      <w:bookmarkStart w:id="1" w:name="_Hlk59894005"/>
      <w:r>
        <w:t xml:space="preserve">表 </w:t>
      </w:r>
      <w:r>
        <w:fldChar w:fldCharType="begin"/>
      </w:r>
      <w:r>
        <w:instrText xml:space="preserve"> SEQ 表 \* ARABIC </w:instrText>
      </w:r>
      <w:r>
        <w:fldChar w:fldCharType="separate"/>
      </w:r>
      <w:r>
        <w:t>1</w:t>
      </w:r>
      <w:r>
        <w:fldChar w:fldCharType="end"/>
      </w:r>
      <w:r>
        <w:rPr>
          <w:rFonts w:hint="eastAsia"/>
          <w:lang w:eastAsia="zh-CN"/>
        </w:rPr>
        <w:t xml:space="preserve"> </w:t>
      </w:r>
      <w:r>
        <w:rPr>
          <w:rFonts w:hint="eastAsia"/>
          <w:lang w:val="en-US" w:eastAsia="zh-CN"/>
        </w:rPr>
        <w:t>项目报价</w:t>
      </w:r>
      <w:r>
        <w:rPr>
          <w:rFonts w:hint="eastAsia"/>
          <w:lang w:eastAsia="zh-CN"/>
        </w:rPr>
        <w:t>明细表</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558"/>
        <w:gridCol w:w="1379"/>
        <w:gridCol w:w="158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pStyle w:val="32"/>
              <w:widowControl/>
              <w:spacing w:before="0" w:beforeAutospacing="0" w:after="0" w:afterAutospacing="0" w:line="56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bidi="ar"/>
              </w:rPr>
              <w:t>序号</w:t>
            </w:r>
            <w:bookmarkEnd w:id="1"/>
          </w:p>
        </w:tc>
        <w:tc>
          <w:tcPr>
            <w:tcW w:w="1501" w:type="pct"/>
            <w:tcBorders>
              <w:top w:val="single" w:color="auto" w:sz="4" w:space="0"/>
              <w:left w:val="nil"/>
              <w:bottom w:val="single" w:color="auto" w:sz="4" w:space="0"/>
              <w:right w:val="single" w:color="auto" w:sz="4" w:space="0"/>
            </w:tcBorders>
            <w:noWrap w:val="0"/>
            <w:vAlign w:val="center"/>
          </w:tcPr>
          <w:p>
            <w:pPr>
              <w:pStyle w:val="32"/>
              <w:widowControl/>
              <w:spacing w:before="0" w:beforeAutospacing="0" w:after="0" w:afterAutospacing="0" w:line="560" w:lineRule="exact"/>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bidi="ar"/>
              </w:rPr>
              <w:t>服务内容</w:t>
            </w:r>
          </w:p>
        </w:tc>
        <w:tc>
          <w:tcPr>
            <w:tcW w:w="809" w:type="pct"/>
            <w:tcBorders>
              <w:top w:val="single" w:color="auto" w:sz="4" w:space="0"/>
              <w:left w:val="nil"/>
              <w:bottom w:val="single" w:color="auto" w:sz="4" w:space="0"/>
              <w:right w:val="single" w:color="auto" w:sz="4" w:space="0"/>
            </w:tcBorders>
            <w:noWrap w:val="0"/>
            <w:vAlign w:val="center"/>
          </w:tcPr>
          <w:p>
            <w:pPr>
              <w:pStyle w:val="32"/>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数量</w:t>
            </w:r>
          </w:p>
        </w:tc>
        <w:tc>
          <w:tcPr>
            <w:tcW w:w="927" w:type="pct"/>
            <w:tcBorders>
              <w:top w:val="single" w:color="auto" w:sz="4" w:space="0"/>
              <w:left w:val="nil"/>
              <w:bottom w:val="single" w:color="auto" w:sz="4" w:space="0"/>
              <w:right w:val="single" w:color="auto" w:sz="4" w:space="0"/>
            </w:tcBorders>
            <w:noWrap w:val="0"/>
            <w:vAlign w:val="center"/>
          </w:tcPr>
          <w:p>
            <w:pPr>
              <w:pStyle w:val="32"/>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单价（元）</w:t>
            </w:r>
          </w:p>
        </w:tc>
        <w:tc>
          <w:tcPr>
            <w:tcW w:w="1257" w:type="pct"/>
            <w:tcBorders>
              <w:top w:val="single" w:color="auto" w:sz="4" w:space="0"/>
              <w:left w:val="nil"/>
              <w:bottom w:val="single" w:color="auto" w:sz="4" w:space="0"/>
              <w:right w:val="single" w:color="auto" w:sz="4" w:space="0"/>
            </w:tcBorders>
            <w:noWrap w:val="0"/>
            <w:vAlign w:val="center"/>
          </w:tcPr>
          <w:p>
            <w:pPr>
              <w:pStyle w:val="32"/>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1</w:t>
            </w:r>
          </w:p>
        </w:tc>
        <w:tc>
          <w:tcPr>
            <w:tcW w:w="1501"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2"/>
                <w:sz w:val="28"/>
                <w:szCs w:val="28"/>
                <w:lang w:val="en" w:eastAsia="zh-CN" w:bidi="ar-SA"/>
              </w:rPr>
            </w:pPr>
          </w:p>
        </w:tc>
        <w:tc>
          <w:tcPr>
            <w:tcW w:w="809"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8"/>
                <w:szCs w:val="28"/>
                <w:lang w:val="en-US" w:eastAsia="zh-CN"/>
              </w:rPr>
            </w:pPr>
          </w:p>
        </w:tc>
        <w:tc>
          <w:tcPr>
            <w:tcW w:w="92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2</w:t>
            </w:r>
          </w:p>
        </w:tc>
        <w:tc>
          <w:tcPr>
            <w:tcW w:w="1501"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2"/>
                <w:sz w:val="28"/>
                <w:szCs w:val="28"/>
                <w:lang w:val="en-US" w:eastAsia="zh-CN" w:bidi="ar-SA"/>
              </w:rPr>
            </w:pPr>
          </w:p>
        </w:tc>
        <w:tc>
          <w:tcPr>
            <w:tcW w:w="809"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8"/>
                <w:szCs w:val="28"/>
                <w:lang w:val="en-US" w:eastAsia="zh-CN"/>
              </w:rPr>
            </w:pPr>
          </w:p>
        </w:tc>
        <w:tc>
          <w:tcPr>
            <w:tcW w:w="92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3</w:t>
            </w:r>
          </w:p>
        </w:tc>
        <w:tc>
          <w:tcPr>
            <w:tcW w:w="1501"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2"/>
                <w:sz w:val="28"/>
                <w:szCs w:val="28"/>
                <w:lang w:val="en-US" w:eastAsia="zh-CN" w:bidi="ar-SA"/>
              </w:rPr>
            </w:pPr>
          </w:p>
        </w:tc>
        <w:tc>
          <w:tcPr>
            <w:tcW w:w="809"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8"/>
                <w:szCs w:val="28"/>
                <w:lang w:val="en-US" w:eastAsia="zh-CN"/>
              </w:rPr>
            </w:pPr>
          </w:p>
        </w:tc>
        <w:tc>
          <w:tcPr>
            <w:tcW w:w="92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42"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sz w:val="28"/>
                <w:szCs w:val="28"/>
                <w:lang w:val="en-US" w:eastAsia="zh-CN"/>
              </w:rPr>
              <w:t>费用合计（元）</w:t>
            </w:r>
          </w:p>
        </w:tc>
        <w:tc>
          <w:tcPr>
            <w:tcW w:w="125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8"/>
                <w:szCs w:val="28"/>
              </w:rPr>
            </w:pPr>
            <w:r>
              <w:rPr>
                <w:rFonts w:hint="eastAsia" w:ascii="仿宋_GB2312" w:eastAsia="仿宋_GB2312"/>
                <w:color w:val="auto"/>
                <w:szCs w:val="44"/>
                <w:u w:val="single"/>
                <w:lang w:val="en-US" w:eastAsia="zh-CN"/>
              </w:rPr>
              <w:t xml:space="preserve">    </w:t>
            </w:r>
            <w:r>
              <w:rPr>
                <w:rFonts w:hint="eastAsia" w:ascii="仿宋_GB2312" w:hAnsi="仿宋_GB2312" w:eastAsia="仿宋_GB2312"/>
                <w:sz w:val="32"/>
                <w:szCs w:val="32"/>
                <w:lang w:bidi="ar"/>
              </w:rPr>
              <w:t>元</w:t>
            </w:r>
          </w:p>
          <w:p>
            <w:pPr>
              <w:pStyle w:val="19"/>
              <w:rPr>
                <w:rFonts w:hint="eastAsia" w:eastAsia="宋体"/>
                <w:lang w:eastAsia="zh-CN"/>
              </w:rPr>
            </w:pPr>
            <w:r>
              <w:rPr>
                <w:rFonts w:hint="eastAsia" w:ascii="仿宋_GB2312" w:hAnsi="仿宋_GB2312" w:eastAsia="仿宋_GB2312" w:cs="Times New Roman"/>
                <w:kern w:val="2"/>
                <w:sz w:val="32"/>
                <w:szCs w:val="32"/>
                <w:lang w:val="en-US" w:eastAsia="zh-CN" w:bidi="ar"/>
              </w:rPr>
              <w:t>（大写： ）</w:t>
            </w:r>
          </w:p>
        </w:tc>
      </w:tr>
    </w:tbl>
    <w:p>
      <w:pPr>
        <w:jc w:val="left"/>
        <w:rPr>
          <w:rFonts w:hint="eastAsia" w:ascii="仿宋_GB2312" w:hAnsi="Times New Roman" w:eastAsia="仿宋_GB2312"/>
          <w:sz w:val="32"/>
        </w:rPr>
      </w:pPr>
      <w:r>
        <w:rPr>
          <w:rFonts w:hint="eastAsia" w:ascii="仿宋_GB2312" w:hAnsi="Times New Roman" w:eastAsia="仿宋_GB2312"/>
          <w:sz w:val="32"/>
        </w:rPr>
        <w:t>备注：</w:t>
      </w:r>
    </w:p>
    <w:p>
      <w:pPr>
        <w:pStyle w:val="34"/>
        <w:ind w:left="0" w:leftChars="0" w:firstLine="0" w:firstLineChars="0"/>
        <w:rPr>
          <w:rFonts w:hint="default" w:eastAsia="仿宋_GB2312"/>
          <w:lang w:val="en-US" w:eastAsia="zh-CN"/>
        </w:rPr>
      </w:pPr>
      <w:r>
        <w:rPr>
          <w:rFonts w:hint="eastAsia" w:ascii="仿宋_GB2312" w:hAnsi="Times New Roman" w:eastAsia="仿宋_GB2312"/>
          <w:sz w:val="32"/>
          <w:lang w:val="en-US" w:eastAsia="zh-CN"/>
        </w:rPr>
        <w:t>1.费用合计包含所有服务费用；</w:t>
      </w:r>
    </w:p>
    <w:p>
      <w:pPr>
        <w:pStyle w:val="34"/>
        <w:ind w:left="0" w:leftChars="0" w:firstLine="0" w:firstLineChars="0"/>
        <w:rPr>
          <w:rFonts w:hint="eastAsia" w:ascii="仿宋_GB2312" w:hAnsi="Times New Roman" w:eastAsia="仿宋_GB2312"/>
          <w:sz w:val="32"/>
          <w:lang w:val="en-US" w:eastAsia="zh-CN"/>
        </w:rPr>
      </w:pPr>
      <w:r>
        <w:rPr>
          <w:rFonts w:hint="eastAsia" w:ascii="仿宋_GB2312" w:hAnsi="Times New Roman" w:eastAsia="仿宋_GB2312"/>
          <w:sz w:val="32"/>
          <w:lang w:val="en-US" w:eastAsia="zh-CN"/>
        </w:rPr>
        <w:t>2.以上报价均为含税价格。</w:t>
      </w:r>
    </w:p>
    <w:p>
      <w:pPr>
        <w:keepNext w:val="0"/>
        <w:keepLines w:val="0"/>
        <w:pageBreakBefore w:val="0"/>
        <w:widowControl/>
        <w:shd w:val="clear" w:color="auto" w:fill="FFFFFF"/>
        <w:snapToGrid/>
        <w:spacing w:line="440" w:lineRule="exact"/>
        <w:jc w:val="left"/>
        <w:rPr>
          <w:rFonts w:ascii="仿宋_GB2312" w:hAnsi="仿宋_GB2312" w:eastAsia="仿宋_GB2312" w:cs="仿宋_GB2312"/>
          <w:b/>
          <w:bCs/>
          <w:color w:val="000000"/>
          <w:kern w:val="0"/>
          <w:sz w:val="32"/>
          <w:szCs w:val="32"/>
          <w:shd w:val="clear" w:color="auto" w:fill="FFFFFF"/>
          <w:lang w:bidi="ar"/>
        </w:rPr>
      </w:pPr>
      <w:r>
        <w:rPr>
          <w:rFonts w:hint="eastAsia" w:ascii="黑体" w:hAnsi="黑体" w:eastAsia="黑体" w:cs="黑体"/>
          <w:b w:val="0"/>
          <w:bCs w:val="0"/>
          <w:color w:val="000000"/>
          <w:kern w:val="0"/>
          <w:sz w:val="32"/>
          <w:szCs w:val="24"/>
          <w:shd w:val="clear" w:color="auto" w:fill="FFFFFF"/>
          <w:lang w:bidi="ar"/>
        </w:rPr>
        <w:t>三、具体需求响应情况</w:t>
      </w:r>
    </w:p>
    <w:tbl>
      <w:tblPr>
        <w:tblStyle w:val="3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995"/>
        <w:gridCol w:w="291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snapToGrid/>
              <w:spacing w:before="0" w:after="0" w:line="440" w:lineRule="exact"/>
              <w:jc w:val="center"/>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序号</w:t>
            </w:r>
          </w:p>
        </w:tc>
        <w:tc>
          <w:tcPr>
            <w:tcW w:w="1171" w:type="pct"/>
            <w:noWrap w:val="0"/>
            <w:vAlign w:val="top"/>
          </w:tcPr>
          <w:p>
            <w:pPr>
              <w:keepNext w:val="0"/>
              <w:keepLines w:val="0"/>
              <w:pageBreakBefore w:val="0"/>
              <w:widowControl w:val="0"/>
              <w:snapToGrid/>
              <w:spacing w:before="0" w:after="0" w:line="440" w:lineRule="exact"/>
              <w:jc w:val="center"/>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需求内容</w:t>
            </w:r>
          </w:p>
        </w:tc>
        <w:tc>
          <w:tcPr>
            <w:tcW w:w="1713" w:type="pct"/>
            <w:noWrap w:val="0"/>
            <w:vAlign w:val="top"/>
          </w:tcPr>
          <w:p>
            <w:pPr>
              <w:keepNext w:val="0"/>
              <w:keepLines w:val="0"/>
              <w:pageBreakBefore w:val="0"/>
              <w:widowControl w:val="0"/>
              <w:snapToGrid/>
              <w:spacing w:before="0" w:after="0" w:line="440" w:lineRule="exact"/>
              <w:jc w:val="center"/>
              <w:rPr>
                <w:rFonts w:hint="default"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响应情况</w:t>
            </w:r>
          </w:p>
          <w:p>
            <w:pPr>
              <w:keepNext w:val="0"/>
              <w:keepLines w:val="0"/>
              <w:pageBreakBefore w:val="0"/>
              <w:widowControl w:val="0"/>
              <w:snapToGrid/>
              <w:spacing w:before="0" w:after="0" w:line="440" w:lineRule="exact"/>
              <w:jc w:val="center"/>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（完全响应/部分响应/不响应）</w:t>
            </w:r>
          </w:p>
        </w:tc>
        <w:tc>
          <w:tcPr>
            <w:tcW w:w="1653" w:type="pct"/>
            <w:noWrap w:val="0"/>
            <w:vAlign w:val="top"/>
          </w:tcPr>
          <w:p>
            <w:pPr>
              <w:keepNext w:val="0"/>
              <w:keepLines w:val="0"/>
              <w:pageBreakBefore w:val="0"/>
              <w:widowControl w:val="0"/>
              <w:snapToGrid/>
              <w:spacing w:before="0" w:after="0" w:line="440" w:lineRule="exact"/>
              <w:jc w:val="center"/>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snapToGrid/>
              <w:spacing w:before="0" w:after="0" w:line="440" w:lineRule="exact"/>
              <w:jc w:val="center"/>
              <w:rPr>
                <w:rFonts w:hint="default"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1</w:t>
            </w:r>
          </w:p>
        </w:tc>
        <w:tc>
          <w:tcPr>
            <w:tcW w:w="1171" w:type="pct"/>
            <w:noWrap w:val="0"/>
            <w:vAlign w:val="top"/>
          </w:tcPr>
          <w:p>
            <w:pPr>
              <w:keepNext w:val="0"/>
              <w:keepLines w:val="0"/>
              <w:pageBreakBefore w:val="0"/>
              <w:widowControl/>
              <w:shd w:val="clear" w:color="auto" w:fill="FFFFFF"/>
              <w:snapToGrid/>
              <w:spacing w:before="0" w:beforeAutospacing="0" w:after="0" w:afterAutospacing="0" w:line="440" w:lineRule="exact"/>
              <w:outlineLvl w:val="1"/>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采购文件所有服务内容及服务要求</w:t>
            </w:r>
          </w:p>
        </w:tc>
        <w:tc>
          <w:tcPr>
            <w:tcW w:w="1713" w:type="pct"/>
            <w:noWrap w:val="0"/>
            <w:vAlign w:val="top"/>
          </w:tcPr>
          <w:p>
            <w:pPr>
              <w:keepNext w:val="0"/>
              <w:keepLines w:val="0"/>
              <w:pageBreakBefore w:val="0"/>
              <w:widowControl w:val="0"/>
              <w:snapToGrid/>
              <w:spacing w:before="0" w:after="0" w:line="440" w:lineRule="exact"/>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pPr>
              <w:keepNext w:val="0"/>
              <w:keepLines w:val="0"/>
              <w:pageBreakBefore w:val="0"/>
              <w:widowControl w:val="0"/>
              <w:snapToGrid/>
              <w:spacing w:before="0" w:after="0" w:line="440" w:lineRule="exact"/>
              <w:rPr>
                <w:rFonts w:hint="eastAsia" w:ascii="宋体" w:hAnsi="宋体" w:eastAsia="宋体" w:cs="宋体"/>
                <w:b w:val="0"/>
                <w:bCs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snapToGrid/>
              <w:spacing w:before="0" w:after="0" w:line="440" w:lineRule="exact"/>
              <w:jc w:val="center"/>
              <w:rPr>
                <w:rFonts w:hint="eastAsia"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2</w:t>
            </w:r>
          </w:p>
        </w:tc>
        <w:tc>
          <w:tcPr>
            <w:tcW w:w="1171" w:type="pct"/>
            <w:noWrap w:val="0"/>
            <w:vAlign w:val="top"/>
          </w:tcPr>
          <w:p>
            <w:pPr>
              <w:pStyle w:val="19"/>
              <w:keepNext w:val="0"/>
              <w:keepLines w:val="0"/>
              <w:pageBreakBefore w:val="0"/>
              <w:numPr>
                <w:ilvl w:val="0"/>
                <w:numId w:val="0"/>
              </w:numPr>
              <w:snapToGrid/>
              <w:spacing w:line="440" w:lineRule="exact"/>
              <w:rPr>
                <w:rFonts w:hint="eastAsia" w:ascii="宋体" w:hAnsi="宋体" w:eastAsia="宋体" w:cs="宋体"/>
                <w:color w:val="000000"/>
                <w:kern w:val="0"/>
                <w:sz w:val="28"/>
                <w:szCs w:val="28"/>
                <w:shd w:val="clear" w:color="auto" w:fill="FFFFFF"/>
                <w:lang w:val="en-US" w:eastAsia="zh-CN" w:bidi="ar-SA"/>
              </w:rPr>
            </w:pPr>
            <w:r>
              <w:rPr>
                <w:rFonts w:hint="eastAsia" w:ascii="宋体" w:hAnsi="宋体" w:eastAsia="宋体" w:cs="宋体"/>
                <w:kern w:val="0"/>
                <w:sz w:val="28"/>
                <w:szCs w:val="28"/>
              </w:rPr>
              <w:t>★</w:t>
            </w:r>
            <w:r>
              <w:rPr>
                <w:rFonts w:hint="eastAsia" w:hAnsi="宋体" w:cs="宋体"/>
                <w:kern w:val="0"/>
                <w:sz w:val="28"/>
                <w:szCs w:val="28"/>
                <w:lang w:val="en-US" w:eastAsia="zh-CN"/>
              </w:rPr>
              <w:t>1.</w:t>
            </w:r>
            <w:r>
              <w:rPr>
                <w:rFonts w:hint="eastAsia" w:ascii="宋体" w:hAnsi="宋体" w:eastAsia="宋体" w:cs="宋体"/>
                <w:color w:val="000000"/>
                <w:kern w:val="0"/>
                <w:sz w:val="28"/>
                <w:szCs w:val="28"/>
                <w:shd w:val="clear" w:color="auto" w:fill="FFFFFF"/>
                <w:lang w:val="en-US" w:eastAsia="zh-CN" w:bidi="ar-SA"/>
              </w:rPr>
              <w:t>服务期限</w:t>
            </w:r>
          </w:p>
          <w:p>
            <w:pPr>
              <w:keepNext w:val="0"/>
              <w:keepLines w:val="0"/>
              <w:pageBreakBefore w:val="0"/>
              <w:widowControl w:val="0"/>
              <w:snapToGrid/>
              <w:spacing w:before="0" w:after="0" w:line="440" w:lineRule="exact"/>
              <w:jc w:val="center"/>
              <w:rPr>
                <w:rFonts w:hint="eastAsia" w:ascii="宋体" w:hAnsi="宋体" w:eastAsia="宋体" w:cs="宋体"/>
                <w:b w:val="0"/>
                <w:bCs w:val="0"/>
                <w:color w:val="000000"/>
                <w:kern w:val="0"/>
                <w:sz w:val="28"/>
                <w:szCs w:val="28"/>
                <w:vertAlign w:val="baseline"/>
                <w:lang w:val="en-US" w:eastAsia="zh-CN"/>
              </w:rPr>
            </w:pPr>
          </w:p>
        </w:tc>
        <w:tc>
          <w:tcPr>
            <w:tcW w:w="1713" w:type="pct"/>
            <w:noWrap w:val="0"/>
            <w:vAlign w:val="top"/>
          </w:tcPr>
          <w:p>
            <w:pPr>
              <w:keepNext w:val="0"/>
              <w:keepLines w:val="0"/>
              <w:pageBreakBefore w:val="0"/>
              <w:widowControl w:val="0"/>
              <w:snapToGrid/>
              <w:spacing w:before="0" w:after="0" w:line="440" w:lineRule="exact"/>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pPr>
              <w:keepNext w:val="0"/>
              <w:keepLines w:val="0"/>
              <w:pageBreakBefore w:val="0"/>
              <w:widowControl w:val="0"/>
              <w:snapToGrid/>
              <w:spacing w:before="0" w:after="0" w:line="440" w:lineRule="exact"/>
              <w:rPr>
                <w:rFonts w:hint="eastAsia"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提供承诺函，格式自拟。（不提供或提供内容不全，按作废处理。）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2" w:type="pct"/>
            <w:noWrap w:val="0"/>
            <w:vAlign w:val="top"/>
          </w:tcPr>
          <w:p>
            <w:pPr>
              <w:keepNext w:val="0"/>
              <w:keepLines w:val="0"/>
              <w:pageBreakBefore w:val="0"/>
              <w:widowControl w:val="0"/>
              <w:snapToGrid/>
              <w:spacing w:before="0" w:after="0" w:line="440" w:lineRule="exact"/>
              <w:jc w:val="center"/>
              <w:rPr>
                <w:rFonts w:hint="default"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3</w:t>
            </w:r>
          </w:p>
        </w:tc>
        <w:tc>
          <w:tcPr>
            <w:tcW w:w="1171" w:type="pct"/>
            <w:noWrap w:val="0"/>
            <w:vAlign w:val="top"/>
          </w:tcPr>
          <w:p>
            <w:pPr>
              <w:keepNext w:val="0"/>
              <w:keepLines w:val="0"/>
              <w:pageBreakBefore w:val="0"/>
              <w:widowControl w:val="0"/>
              <w:snapToGrid/>
              <w:spacing w:before="0" w:after="0" w:line="440" w:lineRule="exact"/>
              <w:jc w:val="center"/>
              <w:rPr>
                <w:rFonts w:hint="eastAsia"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★2.服务质量验收标准及违约条款</w:t>
            </w:r>
          </w:p>
        </w:tc>
        <w:tc>
          <w:tcPr>
            <w:tcW w:w="1713" w:type="pct"/>
            <w:noWrap w:val="0"/>
            <w:vAlign w:val="top"/>
          </w:tcPr>
          <w:p>
            <w:pPr>
              <w:keepNext w:val="0"/>
              <w:keepLines w:val="0"/>
              <w:pageBreakBefore w:val="0"/>
              <w:widowControl w:val="0"/>
              <w:snapToGrid/>
              <w:spacing w:before="0" w:after="0" w:line="440" w:lineRule="exact"/>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pPr>
              <w:keepNext w:val="0"/>
              <w:keepLines w:val="0"/>
              <w:pageBreakBefore w:val="0"/>
              <w:widowControl w:val="0"/>
              <w:snapToGrid/>
              <w:spacing w:before="0" w:after="0" w:line="440" w:lineRule="exact"/>
              <w:rPr>
                <w:rFonts w:hint="eastAsia" w:ascii="宋体" w:hAnsi="宋体" w:eastAsia="宋体" w:cs="宋体"/>
                <w:b w:val="0"/>
                <w:bCs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snapToGrid/>
              <w:spacing w:before="0" w:after="0" w:line="440" w:lineRule="exact"/>
              <w:jc w:val="center"/>
              <w:rPr>
                <w:rFonts w:hint="default"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4</w:t>
            </w:r>
          </w:p>
        </w:tc>
        <w:tc>
          <w:tcPr>
            <w:tcW w:w="1171" w:type="pct"/>
            <w:noWrap w:val="0"/>
            <w:vAlign w:val="top"/>
          </w:tcPr>
          <w:p>
            <w:pPr>
              <w:keepNext w:val="0"/>
              <w:keepLines w:val="0"/>
              <w:pageBreakBefore w:val="0"/>
              <w:widowControl w:val="0"/>
              <w:snapToGrid/>
              <w:spacing w:before="0" w:after="0" w:line="440" w:lineRule="exact"/>
              <w:jc w:val="center"/>
              <w:rPr>
                <w:rFonts w:hint="eastAsia"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★（八）具有通信工程监理乙级以上证书（证书名称：工程监理资质证书）</w:t>
            </w:r>
          </w:p>
        </w:tc>
        <w:tc>
          <w:tcPr>
            <w:tcW w:w="1713" w:type="pct"/>
            <w:noWrap w:val="0"/>
            <w:vAlign w:val="top"/>
          </w:tcPr>
          <w:p>
            <w:pPr>
              <w:keepNext w:val="0"/>
              <w:keepLines w:val="0"/>
              <w:pageBreakBefore w:val="0"/>
              <w:widowControl w:val="0"/>
              <w:snapToGrid/>
              <w:spacing w:before="0" w:after="0" w:line="440" w:lineRule="exact"/>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pPr>
              <w:keepNext w:val="0"/>
              <w:keepLines w:val="0"/>
              <w:pageBreakBefore w:val="0"/>
              <w:widowControl w:val="0"/>
              <w:snapToGrid/>
              <w:spacing w:before="0" w:after="0" w:line="440" w:lineRule="exact"/>
              <w:rPr>
                <w:rFonts w:hint="eastAsia" w:ascii="宋体" w:hAnsi="宋体" w:eastAsia="宋体" w:cs="宋体"/>
                <w:b w:val="0"/>
                <w:bCs w:val="0"/>
                <w:color w:val="000000"/>
                <w:kern w:val="0"/>
                <w:sz w:val="28"/>
                <w:szCs w:val="28"/>
                <w:vertAlign w:val="baseline"/>
                <w:lang w:val="en-US" w:eastAsia="zh-CN"/>
              </w:rPr>
            </w:pPr>
          </w:p>
        </w:tc>
      </w:tr>
    </w:tbl>
    <w:p>
      <w:pPr>
        <w:keepNext w:val="0"/>
        <w:keepLines w:val="0"/>
        <w:pageBreakBefore w:val="0"/>
        <w:widowControl/>
        <w:shd w:val="clear" w:color="auto" w:fill="FFFFFF"/>
        <w:snapToGrid/>
        <w:spacing w:line="440" w:lineRule="exact"/>
        <w:jc w:val="left"/>
        <w:rPr>
          <w:rFonts w:hint="eastAsia" w:ascii="黑体" w:hAnsi="黑体" w:eastAsia="黑体" w:cs="黑体"/>
          <w:b w:val="0"/>
          <w:bCs w:val="0"/>
          <w:color w:val="000000"/>
          <w:kern w:val="0"/>
          <w:sz w:val="32"/>
          <w:szCs w:val="24"/>
          <w:shd w:val="clear" w:color="auto" w:fill="FFFFFF"/>
          <w:lang w:bidi="ar"/>
        </w:rPr>
      </w:pPr>
      <w:r>
        <w:rPr>
          <w:rFonts w:hint="eastAsia" w:ascii="黑体" w:hAnsi="黑体" w:eastAsia="黑体" w:cs="黑体"/>
          <w:b w:val="0"/>
          <w:bCs w:val="0"/>
          <w:color w:val="000000"/>
          <w:kern w:val="0"/>
          <w:sz w:val="32"/>
          <w:szCs w:val="24"/>
          <w:shd w:val="clear" w:color="auto" w:fill="FFFFFF"/>
          <w:lang w:bidi="ar"/>
        </w:rPr>
        <w:t>四、供应商资格条件</w:t>
      </w:r>
    </w:p>
    <w:p>
      <w:pPr>
        <w:keepNext w:val="0"/>
        <w:keepLines w:val="0"/>
        <w:pageBreakBefore w:val="0"/>
        <w:widowControl/>
        <w:shd w:val="clear" w:color="auto" w:fill="FFFFFF"/>
        <w:snapToGrid/>
        <w:spacing w:line="440" w:lineRule="exact"/>
        <w:ind w:firstLine="64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是否</w:t>
      </w:r>
      <w:r>
        <w:rPr>
          <w:rFonts w:hint="eastAsia" w:ascii="仿宋_GB2312" w:hAnsi="仿宋_GB2312" w:eastAsia="仿宋_GB2312" w:cs="仿宋_GB2312"/>
          <w:color w:val="000000"/>
          <w:kern w:val="0"/>
          <w:sz w:val="32"/>
          <w:szCs w:val="32"/>
          <w:shd w:val="clear" w:color="auto" w:fill="FFFFFF"/>
          <w:lang w:bidi="ar"/>
        </w:rPr>
        <w:t>满足本项目资格要求</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完全响应/部分响应/不响应）</w:t>
      </w:r>
      <w:r>
        <w:rPr>
          <w:rFonts w:hint="eastAsia" w:ascii="仿宋_GB2312" w:hAnsi="仿宋_GB2312" w:eastAsia="仿宋_GB2312" w:cs="仿宋_GB2312"/>
          <w:color w:val="000000"/>
          <w:kern w:val="0"/>
          <w:sz w:val="32"/>
          <w:szCs w:val="32"/>
          <w:shd w:val="clear" w:color="auto" w:fill="FFFFFF"/>
          <w:lang w:bidi="ar"/>
        </w:rPr>
        <w:t>。</w:t>
      </w:r>
    </w:p>
    <w:p>
      <w:pPr>
        <w:pStyle w:val="34"/>
        <w:keepNext w:val="0"/>
        <w:keepLines w:val="0"/>
        <w:pageBreakBefore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pStyle w:val="34"/>
        <w:keepNext w:val="0"/>
        <w:keepLines w:val="0"/>
        <w:pageBreakBefore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pStyle w:val="34"/>
        <w:keepNext w:val="0"/>
        <w:keepLines w:val="0"/>
        <w:pageBreakBefore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keepNext w:val="0"/>
        <w:keepLines w:val="0"/>
        <w:pageBreakBefore w:val="0"/>
        <w:shd w:val="clear" w:color="auto" w:fill="FFFFFF"/>
        <w:snapToGrid/>
        <w:spacing w:line="44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投标人：</w:t>
      </w:r>
      <w:r>
        <w:rPr>
          <w:rFonts w:hint="eastAsia" w:ascii="仿宋_GB2312" w:hAnsi="仿宋_GB2312" w:eastAsia="仿宋_GB2312" w:cs="仿宋_GB2312"/>
          <w:color w:val="auto"/>
          <w:szCs w:val="32"/>
          <w:u w:val="single"/>
        </w:rPr>
        <w:t xml:space="preserve">             （盖章）</w:t>
      </w:r>
    </w:p>
    <w:p>
      <w:pPr>
        <w:pStyle w:val="34"/>
        <w:keepNext w:val="0"/>
        <w:keepLines w:val="0"/>
        <w:pageBreakBefore w:val="0"/>
        <w:snapToGrid/>
        <w:spacing w:line="440" w:lineRule="exact"/>
        <w:ind w:firstLine="4480" w:firstLineChars="1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日</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snapToGrid/>
        <w:spacing w:before="0" w:beforeAutospacing="0" w:afterAutospacing="0" w:line="560" w:lineRule="exact"/>
        <w:ind w:left="0" w:right="0" w:firstLine="0"/>
        <w:jc w:val="both"/>
        <w:rPr>
          <w:rFonts w:hint="default" w:ascii="黑体" w:hAnsi="黑体" w:eastAsia="黑体" w:cs="黑体"/>
          <w:color w:val="000000"/>
          <w:sz w:val="32"/>
          <w:szCs w:val="32"/>
          <w:lang w:val="en-US" w:eastAsia="zh-CN" w:bidi="ar"/>
        </w:rPr>
      </w:pPr>
      <w:r>
        <w:rPr>
          <w:rFonts w:hint="eastAsia" w:ascii="黑体" w:hAnsi="黑体" w:eastAsia="黑体" w:cs="黑体"/>
          <w:color w:val="000000"/>
          <w:sz w:val="32"/>
          <w:szCs w:val="32"/>
          <w:lang w:val="en-US" w:eastAsia="zh-CN" w:bidi="ar"/>
        </w:rPr>
        <w:t>附件4</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snapToGrid/>
        <w:spacing w:before="0" w:beforeAutospacing="0" w:afterAutospacing="0" w:line="500" w:lineRule="exact"/>
        <w:ind w:left="0" w:right="0" w:firstLine="0"/>
        <w:jc w:val="center"/>
        <w:rPr>
          <w:rFonts w:hint="eastAsia" w:ascii="方正小标宋简体" w:hAnsi="方正小标宋简体" w:eastAsia="方正小标宋简体" w:cs="方正小标宋简体"/>
          <w:color w:val="auto"/>
          <w:kern w:val="2"/>
          <w:sz w:val="44"/>
          <w:szCs w:val="44"/>
          <w:lang w:val="en-US" w:eastAsia="zh-CN" w:bidi="ar-SA"/>
        </w:rPr>
      </w:pPr>
    </w:p>
    <w:p>
      <w:pPr>
        <w:pStyle w:val="33"/>
        <w:snapToGrid w:val="0"/>
        <w:spacing w:before="0" w:after="0" w:line="500" w:lineRule="exact"/>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spacing w:line="400" w:lineRule="exact"/>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3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1991"/>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2"/>
                <w:szCs w:val="22"/>
              </w:rPr>
              <w:t>法定代表人</w:t>
            </w:r>
            <w:r>
              <w:rPr>
                <w:rFonts w:hint="eastAsia" w:ascii="方正仿宋_GBK" w:hAnsi="方正仿宋_GBK" w:eastAsia="方正仿宋_GBK" w:cs="方正仿宋_GBK"/>
                <w:color w:val="auto"/>
                <w:sz w:val="22"/>
                <w:szCs w:val="22"/>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项目负责人</w:t>
            </w:r>
          </w:p>
        </w:tc>
        <w:tc>
          <w:tcPr>
            <w:tcW w:w="947"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主要技术人员</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14"/>
              <w:snapToGrid w:val="0"/>
              <w:spacing w:line="400" w:lineRule="exact"/>
              <w:ind w:left="0" w:leftChars="0" w:firstLine="0" w:firstLineChars="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rPr>
              <w:t>投标文件</w:t>
            </w:r>
            <w:r>
              <w:rPr>
                <w:rFonts w:hint="eastAsia" w:ascii="方正仿宋_GBK" w:hAnsi="方正仿宋_GBK" w:eastAsia="方正仿宋_GBK" w:cs="方正仿宋_GBK"/>
                <w:color w:val="auto"/>
                <w:sz w:val="24"/>
                <w:szCs w:val="24"/>
                <w:lang w:eastAsia="zh-CN"/>
              </w:rPr>
              <w:t>编制人员</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7"/>
            <w:noWrap w:val="0"/>
            <w:vAlign w:val="center"/>
          </w:tcPr>
          <w:p>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eastAsia="zh-CN" w:bidi="ar"/>
              </w:rPr>
            </w:pPr>
            <w:r>
              <w:rPr>
                <w:rFonts w:hint="eastAsia" w:ascii="方正仿宋_GBK" w:hAnsi="方正仿宋_GBK" w:eastAsia="方正仿宋_GBK" w:cs="方正仿宋_GBK"/>
                <w:sz w:val="24"/>
                <w:szCs w:val="24"/>
                <w:lang w:eastAsia="zh-CN" w:bidi="ar"/>
              </w:rPr>
              <w:t>序号</w:t>
            </w:r>
          </w:p>
        </w:tc>
        <w:tc>
          <w:tcPr>
            <w:tcW w:w="2282" w:type="dxa"/>
            <w:gridSpan w:val="2"/>
            <w:noWrap w:val="0"/>
            <w:vAlign w:val="center"/>
          </w:tcPr>
          <w:p>
            <w:pPr>
              <w:pStyle w:val="14"/>
              <w:snapToGrid w:val="0"/>
              <w:spacing w:line="400" w:lineRule="exact"/>
              <w:ind w:left="0" w:leftChars="0" w:firstLine="0" w:firstLineChars="0"/>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关联关系类型</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关联主体名称</w:t>
            </w:r>
          </w:p>
        </w:tc>
        <w:tc>
          <w:tcPr>
            <w:tcW w:w="4976" w:type="dxa"/>
            <w:gridSpan w:val="3"/>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1</w:t>
            </w:r>
          </w:p>
        </w:tc>
        <w:tc>
          <w:tcPr>
            <w:tcW w:w="2282" w:type="dxa"/>
            <w:gridSpan w:val="2"/>
            <w:noWrap w:val="0"/>
            <w:vAlign w:val="center"/>
          </w:tcPr>
          <w:p>
            <w:pPr>
              <w:pStyle w:val="32"/>
              <w:keepNext w:val="0"/>
              <w:keepLines w:val="0"/>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00" w:lineRule="exact"/>
              <w:ind w:left="0" w:right="0"/>
              <w:jc w:val="left"/>
            </w:pPr>
            <w:r>
              <w:rPr>
                <w:rFonts w:ascii="方正仿宋_GBK" w:hAnsi="方正仿宋_GBK" w:eastAsia="方正仿宋_GBK" w:cs="方正仿宋_GBK"/>
                <w:color w:val="000000"/>
                <w:sz w:val="24"/>
                <w:szCs w:val="24"/>
              </w:rPr>
              <w:t>控股股东</w:t>
            </w:r>
          </w:p>
          <w:p>
            <w:pPr>
              <w:pStyle w:val="14"/>
              <w:snapToGrid w:val="0"/>
              <w:spacing w:line="400" w:lineRule="exact"/>
              <w:ind w:left="0" w:leftChars="0" w:firstLine="0" w:firstLineChars="0"/>
              <w:jc w:val="left"/>
              <w:rPr>
                <w:rFonts w:hint="eastAsia" w:ascii="方正仿宋_GBK" w:hAnsi="方正仿宋_GBK" w:eastAsia="方正仿宋_GBK" w:cs="方正仿宋_GBK"/>
                <w:color w:val="auto"/>
                <w:sz w:val="24"/>
                <w:szCs w:val="24"/>
              </w:rPr>
            </w:pP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ascii="方正仿宋_GBK" w:hAnsi="方正仿宋_GBK" w:eastAsia="方正仿宋_GBK" w:cs="方正仿宋_GBK"/>
                <w:color w:val="000000"/>
                <w:kern w:val="0"/>
                <w:sz w:val="24"/>
                <w:szCs w:val="24"/>
                <w:lang w:val="en-US" w:eastAsia="zh-CN"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2</w:t>
            </w:r>
          </w:p>
        </w:tc>
        <w:tc>
          <w:tcPr>
            <w:tcW w:w="2282" w:type="dxa"/>
            <w:gridSpan w:val="2"/>
            <w:noWrap w:val="0"/>
            <w:vAlign w:val="center"/>
          </w:tcPr>
          <w:p>
            <w:pPr>
              <w:keepNext w:val="0"/>
              <w:keepLines w:val="0"/>
              <w:widowControl/>
              <w:spacing w:line="400" w:lineRule="exact"/>
              <w:jc w:val="left"/>
            </w:pPr>
            <w:r>
              <w:rPr>
                <w:rFonts w:ascii="方正仿宋_GBK" w:hAnsi="方正仿宋_GBK" w:eastAsia="方正仿宋_GBK" w:cs="方正仿宋_GBK"/>
                <w:color w:val="000000"/>
                <w:kern w:val="0"/>
                <w:sz w:val="24"/>
                <w:szCs w:val="24"/>
                <w:lang w:val="en-US" w:eastAsia="zh-CN" w:bidi="ar"/>
              </w:rPr>
              <w:t>管理关系</w:t>
            </w:r>
          </w:p>
          <w:p>
            <w:pPr>
              <w:pStyle w:val="14"/>
              <w:snapToGrid w:val="0"/>
              <w:spacing w:line="400" w:lineRule="exact"/>
              <w:ind w:left="0" w:leftChars="0" w:firstLine="0" w:firstLineChars="0"/>
              <w:jc w:val="left"/>
              <w:rPr>
                <w:rFonts w:hint="eastAsia" w:ascii="方正仿宋_GBK" w:hAnsi="方正仿宋_GBK" w:eastAsia="方正仿宋_GBK" w:cs="方正仿宋_GBK"/>
                <w:color w:val="auto"/>
                <w:sz w:val="24"/>
                <w:szCs w:val="24"/>
              </w:rPr>
            </w:pP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keepNext w:val="0"/>
              <w:keepLines w:val="0"/>
              <w:widowControl/>
              <w:spacing w:line="400" w:lineRule="exact"/>
              <w:jc w:val="left"/>
            </w:pPr>
            <w:r>
              <w:rPr>
                <w:rFonts w:ascii="方正仿宋_GBK" w:hAnsi="方正仿宋_GBK" w:eastAsia="方正仿宋_GBK" w:cs="方正仿宋_GBK"/>
                <w:color w:val="000000"/>
                <w:kern w:val="0"/>
                <w:sz w:val="24"/>
                <w:szCs w:val="24"/>
                <w:lang w:val="en-US" w:eastAsia="zh-CN" w:bidi="ar"/>
              </w:rPr>
              <w:t>指对投标（响应）供应商不具有出资持股关系，但对其存在管理关系的主体。</w:t>
            </w:r>
          </w:p>
          <w:p>
            <w:pPr>
              <w:widowControl/>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说明：</w:t>
            </w:r>
            <w:r>
              <w:rPr>
                <w:rFonts w:ascii="方正仿宋_GBK" w:hAnsi="方正仿宋_GBK" w:eastAsia="方正仿宋_GBK" w:cs="方正仿宋_GBK"/>
                <w:b/>
                <w:bCs/>
                <w:color w:val="000000"/>
                <w:kern w:val="0"/>
                <w:sz w:val="24"/>
                <w:szCs w:val="24"/>
                <w:u w:val="none"/>
                <w:lang w:val="en-US" w:eastAsia="zh-CN" w:bidi="ar"/>
              </w:rPr>
              <w:t>同一关联关系类型有多个主体的，应分行填写。</w:t>
            </w:r>
          </w:p>
        </w:tc>
      </w:tr>
    </w:tbl>
    <w:p>
      <w:pPr>
        <w:pStyle w:val="2"/>
        <w:rPr>
          <w:rFonts w:hint="default"/>
          <w:lang w:val="en-US" w:eastAsia="zh-CN"/>
        </w:rPr>
      </w:pPr>
    </w:p>
    <w:p>
      <w:pPr>
        <w:pStyle w:val="19"/>
        <w:jc w:val="center"/>
        <w:rPr>
          <w:rFonts w:hint="eastAsia" w:ascii="仿宋_GB2312" w:hAnsi="仿宋_GB2312" w:eastAsia="仿宋_GB2312" w:cs="仿宋_GB2312"/>
          <w:sz w:val="32"/>
          <w:szCs w:val="32"/>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隶书">
    <w:altName w:val="方正隶书_GBK"/>
    <w:panose1 w:val="02010609030101010101"/>
    <w:charset w:val="00"/>
    <w:family w:val="auto"/>
    <w:pitch w:val="default"/>
    <w:sig w:usb0="00000000" w:usb1="00000000" w:usb2="00000000" w:usb3="00000000" w:csb0="00000000" w:csb1="00000000"/>
  </w:font>
  <w:font w:name="方正隶书_GBK">
    <w:panose1 w:val="02000000000000000000"/>
    <w:charset w:val="86"/>
    <w:family w:val="auto"/>
    <w:pitch w:val="default"/>
    <w:sig w:usb0="00000001" w:usb1="08000000" w:usb2="00000000" w:usb3="00000000" w:csb0="00040000" w:csb1="00000000"/>
  </w:font>
  <w:font w:name="iconfont">
    <w:altName w:val="Noto Serif CJK JP Light"/>
    <w:panose1 w:val="02020309000000000000"/>
    <w:charset w:val="00"/>
    <w:family w:val="auto"/>
    <w:pitch w:val="default"/>
    <w:sig w:usb0="00000000" w:usb1="00000000" w:usb2="00000000" w:usb3="00000000" w:csb0="00000000" w:csb1="00000000"/>
  </w:font>
  <w:font w:name="Noto Serif CJK JP Light">
    <w:panose1 w:val="02020300000000000000"/>
    <w:charset w:val="86"/>
    <w:family w:val="auto"/>
    <w:pitch w:val="default"/>
    <w:sig w:usb0="30000083" w:usb1="2BDF3C10" w:usb2="00000016" w:usb3="00000000" w:csb0="602E0107" w:csb1="00000000"/>
  </w:font>
  <w:font w:name="????">
    <w:altName w:val="Noto Serif CJK JP Light"/>
    <w:panose1 w:val="02020309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quot;Wingdings 2&quot;">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w="6350">
                        <a:noFill/>
                        <a:miter/>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AnLf9LUAAAABQEAAA8AAAAA&#10;AAAAAQAgAAAAOAAAAGRycy9kb3ducmV2LnhtbFBLAQIUABQAAAAIAIdO4kAIsUOCOwIAAG8EAAAO&#10;AAAAAAAAAAEAIAAAADkBAABkcnMvZTJvRG9jLnhtbFBLBQYAAAAABgAGAFkBAADmBQAAAAA=&#10;">
              <v:fill on="f" focussize="0,0"/>
              <v:stroke on="f" weight="0.5pt" joinstyle="miter"/>
              <v:imagedata o:title=""/>
              <o:lock v:ext="edit" aspectratio="f"/>
              <v:textbox inset="0mm,0mm,0mm,0mm" style="mso-fit-shape-to-text:t;">
                <w:txbxContent>
                  <w:p>
                    <w:pPr>
                      <w:pStyle w:val="23"/>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C7374"/>
    <w:rsid w:val="0D2A3A39"/>
    <w:rsid w:val="11FD464A"/>
    <w:rsid w:val="1E832B00"/>
    <w:rsid w:val="FFEC8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jc w:val="both"/>
    </w:pPr>
    <w:rPr>
      <w:rFonts w:hint="default" w:ascii="Times New Roman" w:hAnsi="Times New Roman" w:eastAsia="仿宋" w:cs="Times New Roman"/>
      <w:color w:val="auto"/>
      <w:spacing w:val="0"/>
      <w:kern w:val="2"/>
      <w:position w:val="0"/>
      <w:sz w:val="32"/>
      <w:szCs w:val="22"/>
      <w:lang w:val="en-US" w:eastAsia="zh-CN" w:bidi="ar-SA"/>
    </w:rPr>
  </w:style>
  <w:style w:type="paragraph" w:styleId="4">
    <w:name w:val="heading 1"/>
    <w:basedOn w:val="1"/>
    <w:next w:val="1"/>
    <w:link w:val="191"/>
    <w:qFormat/>
    <w:uiPriority w:val="9"/>
    <w:pPr>
      <w:spacing w:line="578" w:lineRule="auto"/>
      <w:ind w:left="200" w:leftChars="200"/>
      <w:outlineLvl w:val="0"/>
    </w:pPr>
    <w:rPr>
      <w:rFonts w:eastAsia="黑体"/>
      <w:bCs/>
      <w:kern w:val="44"/>
      <w:szCs w:val="44"/>
    </w:rPr>
  </w:style>
  <w:style w:type="paragraph" w:styleId="5">
    <w:name w:val="heading 2"/>
    <w:basedOn w:val="1"/>
    <w:next w:val="1"/>
    <w:link w:val="42"/>
    <w:unhideWhenUsed/>
    <w:qFormat/>
    <w:uiPriority w:val="9"/>
    <w:pPr>
      <w:keepNext/>
      <w:keepLines/>
      <w:overflowPunct w:val="0"/>
      <w:autoSpaceDE w:val="0"/>
      <w:autoSpaceDN w:val="0"/>
      <w:spacing w:before="360" w:after="200"/>
      <w:outlineLvl w:val="1"/>
    </w:pPr>
    <w:rPr>
      <w:rFonts w:ascii="Arial" w:hAnsi="Arial" w:eastAsia="Arial" w:cs="Arial"/>
      <w:sz w:val="34"/>
    </w:rPr>
  </w:style>
  <w:style w:type="paragraph" w:styleId="6">
    <w:name w:val="heading 3"/>
    <w:basedOn w:val="1"/>
    <w:next w:val="1"/>
    <w:link w:val="43"/>
    <w:unhideWhenUsed/>
    <w:qFormat/>
    <w:uiPriority w:val="9"/>
    <w:pPr>
      <w:keepNext/>
      <w:keepLines/>
      <w:overflowPunct w:val="0"/>
      <w:autoSpaceDE w:val="0"/>
      <w:autoSpaceDN w:val="0"/>
      <w:spacing w:before="320" w:after="200"/>
      <w:outlineLvl w:val="2"/>
    </w:pPr>
    <w:rPr>
      <w:rFonts w:ascii="Arial" w:hAnsi="Arial" w:eastAsia="Arial" w:cs="Arial"/>
      <w:sz w:val="30"/>
      <w:szCs w:val="30"/>
    </w:rPr>
  </w:style>
  <w:style w:type="paragraph" w:styleId="7">
    <w:name w:val="heading 4"/>
    <w:basedOn w:val="1"/>
    <w:next w:val="1"/>
    <w:link w:val="44"/>
    <w:unhideWhenUsed/>
    <w:qFormat/>
    <w:uiPriority w:val="9"/>
    <w:pPr>
      <w:keepNext/>
      <w:keepLines/>
      <w:overflowPunct w:val="0"/>
      <w:autoSpaceDE w:val="0"/>
      <w:autoSpaceDN w:val="0"/>
      <w:spacing w:before="320" w:after="200"/>
      <w:outlineLvl w:val="3"/>
    </w:pPr>
    <w:rPr>
      <w:rFonts w:ascii="Arial" w:hAnsi="Arial" w:eastAsia="Arial" w:cs="Arial"/>
      <w:b/>
      <w:bCs/>
      <w:sz w:val="26"/>
      <w:szCs w:val="26"/>
    </w:rPr>
  </w:style>
  <w:style w:type="paragraph" w:styleId="8">
    <w:name w:val="heading 5"/>
    <w:basedOn w:val="1"/>
    <w:next w:val="1"/>
    <w:link w:val="45"/>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9">
    <w:name w:val="heading 6"/>
    <w:basedOn w:val="1"/>
    <w:next w:val="1"/>
    <w:link w:val="46"/>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10">
    <w:name w:val="heading 7"/>
    <w:basedOn w:val="1"/>
    <w:next w:val="1"/>
    <w:link w:val="47"/>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11">
    <w:name w:val="heading 8"/>
    <w:basedOn w:val="1"/>
    <w:next w:val="1"/>
    <w:link w:val="48"/>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2">
    <w:name w:val="heading 9"/>
    <w:basedOn w:val="1"/>
    <w:next w:val="1"/>
    <w:link w:val="49"/>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sz w:val="24"/>
    </w:rPr>
  </w:style>
  <w:style w:type="paragraph" w:styleId="13">
    <w:name w:val="toc 7"/>
    <w:basedOn w:val="1"/>
    <w:next w:val="1"/>
    <w:unhideWhenUsed/>
    <w:qFormat/>
    <w:uiPriority w:val="39"/>
    <w:pPr>
      <w:overflowPunct w:val="0"/>
      <w:autoSpaceDE w:val="0"/>
      <w:autoSpaceDN w:val="0"/>
      <w:spacing w:after="57"/>
      <w:ind w:left="1701" w:right="0" w:firstLine="0"/>
    </w:pPr>
  </w:style>
  <w:style w:type="paragraph" w:styleId="14">
    <w:name w:val="Normal Indent"/>
    <w:basedOn w:val="1"/>
    <w:qFormat/>
    <w:uiPriority w:val="0"/>
    <w:pPr>
      <w:ind w:firstLine="420"/>
    </w:pPr>
    <w:rPr>
      <w:szCs w:val="20"/>
    </w:rPr>
  </w:style>
  <w:style w:type="paragraph" w:styleId="15">
    <w:name w:val="caption"/>
    <w:basedOn w:val="1"/>
    <w:next w:val="1"/>
    <w:semiHidden/>
    <w:unhideWhenUsed/>
    <w:qFormat/>
    <w:uiPriority w:val="0"/>
    <w:rPr>
      <w:rFonts w:ascii="Arial" w:hAnsi="Arial" w:eastAsia="黑体"/>
      <w:sz w:val="20"/>
    </w:rPr>
  </w:style>
  <w:style w:type="paragraph" w:styleId="16">
    <w:name w:val="annotation text"/>
    <w:basedOn w:val="1"/>
    <w:semiHidden/>
    <w:unhideWhenUsed/>
    <w:qFormat/>
    <w:uiPriority w:val="99"/>
    <w:pPr>
      <w:jc w:val="left"/>
    </w:pPr>
  </w:style>
  <w:style w:type="paragraph" w:styleId="17">
    <w:name w:val="toc 5"/>
    <w:basedOn w:val="1"/>
    <w:next w:val="1"/>
    <w:unhideWhenUsed/>
    <w:qFormat/>
    <w:uiPriority w:val="39"/>
    <w:pPr>
      <w:overflowPunct w:val="0"/>
      <w:autoSpaceDE w:val="0"/>
      <w:autoSpaceDN w:val="0"/>
      <w:spacing w:after="57"/>
      <w:ind w:left="1134" w:right="0" w:firstLine="0"/>
    </w:pPr>
  </w:style>
  <w:style w:type="paragraph" w:styleId="18">
    <w:name w:val="toc 3"/>
    <w:basedOn w:val="1"/>
    <w:next w:val="1"/>
    <w:unhideWhenUsed/>
    <w:qFormat/>
    <w:uiPriority w:val="39"/>
    <w:pPr>
      <w:overflowPunct w:val="0"/>
      <w:autoSpaceDE w:val="0"/>
      <w:autoSpaceDN w:val="0"/>
      <w:spacing w:after="57"/>
      <w:ind w:left="567" w:right="0" w:firstLine="0"/>
    </w:pPr>
  </w:style>
  <w:style w:type="paragraph" w:styleId="19">
    <w:name w:val="Plain Text"/>
    <w:basedOn w:val="1"/>
    <w:link w:val="194"/>
    <w:qFormat/>
    <w:uiPriority w:val="0"/>
    <w:rPr>
      <w:rFonts w:ascii="宋体" w:hAnsi="Courier New" w:eastAsia="宋体" w:cs="Courier New"/>
      <w:sz w:val="21"/>
      <w:szCs w:val="21"/>
    </w:rPr>
  </w:style>
  <w:style w:type="paragraph" w:styleId="20">
    <w:name w:val="toc 8"/>
    <w:basedOn w:val="1"/>
    <w:next w:val="1"/>
    <w:unhideWhenUsed/>
    <w:qFormat/>
    <w:uiPriority w:val="39"/>
    <w:pPr>
      <w:overflowPunct w:val="0"/>
      <w:autoSpaceDE w:val="0"/>
      <w:autoSpaceDN w:val="0"/>
      <w:spacing w:after="57"/>
      <w:ind w:left="1984" w:right="0" w:firstLine="0"/>
    </w:pPr>
  </w:style>
  <w:style w:type="paragraph" w:styleId="21">
    <w:name w:val="Date"/>
    <w:basedOn w:val="1"/>
    <w:next w:val="1"/>
    <w:link w:val="193"/>
    <w:semiHidden/>
    <w:unhideWhenUsed/>
    <w:qFormat/>
    <w:uiPriority w:val="99"/>
    <w:pPr>
      <w:ind w:left="100" w:leftChars="2500"/>
    </w:pPr>
  </w:style>
  <w:style w:type="paragraph" w:styleId="22">
    <w:name w:val="Balloon Text"/>
    <w:basedOn w:val="1"/>
    <w:link w:val="192"/>
    <w:semiHidden/>
    <w:unhideWhenUsed/>
    <w:qFormat/>
    <w:uiPriority w:val="99"/>
    <w:rPr>
      <w:sz w:val="18"/>
      <w:szCs w:val="18"/>
    </w:rPr>
  </w:style>
  <w:style w:type="paragraph" w:styleId="23">
    <w:name w:val="footer"/>
    <w:basedOn w:val="1"/>
    <w:link w:val="190"/>
    <w:unhideWhenUsed/>
    <w:qFormat/>
    <w:uiPriority w:val="99"/>
    <w:pPr>
      <w:tabs>
        <w:tab w:val="center" w:pos="4153"/>
        <w:tab w:val="right" w:pos="8306"/>
      </w:tabs>
      <w:snapToGrid w:val="0"/>
      <w:jc w:val="left"/>
    </w:pPr>
    <w:rPr>
      <w:sz w:val="18"/>
      <w:szCs w:val="18"/>
    </w:rPr>
  </w:style>
  <w:style w:type="paragraph" w:styleId="24">
    <w:name w:val="header"/>
    <w:basedOn w:val="1"/>
    <w:link w:val="189"/>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overflowPunct w:val="0"/>
      <w:autoSpaceDE w:val="0"/>
      <w:autoSpaceDN w:val="0"/>
      <w:spacing w:after="57"/>
      <w:ind w:left="0" w:right="0" w:firstLine="0"/>
    </w:pPr>
  </w:style>
  <w:style w:type="paragraph" w:styleId="26">
    <w:name w:val="toc 4"/>
    <w:basedOn w:val="1"/>
    <w:next w:val="1"/>
    <w:unhideWhenUsed/>
    <w:qFormat/>
    <w:uiPriority w:val="39"/>
    <w:pPr>
      <w:overflowPunct w:val="0"/>
      <w:autoSpaceDE w:val="0"/>
      <w:autoSpaceDN w:val="0"/>
      <w:spacing w:after="57"/>
      <w:ind w:left="850" w:right="0" w:firstLine="0"/>
    </w:pPr>
  </w:style>
  <w:style w:type="paragraph" w:styleId="27">
    <w:name w:val="Subtitle"/>
    <w:basedOn w:val="1"/>
    <w:next w:val="1"/>
    <w:link w:val="52"/>
    <w:qFormat/>
    <w:uiPriority w:val="11"/>
    <w:pPr>
      <w:overflowPunct w:val="0"/>
      <w:autoSpaceDE w:val="0"/>
      <w:autoSpaceDN w:val="0"/>
      <w:spacing w:before="200" w:after="200"/>
    </w:pPr>
    <w:rPr>
      <w:sz w:val="24"/>
      <w:szCs w:val="24"/>
    </w:rPr>
  </w:style>
  <w:style w:type="paragraph" w:styleId="28">
    <w:name w:val="footnote text"/>
    <w:basedOn w:val="1"/>
    <w:link w:val="185"/>
    <w:semiHidden/>
    <w:unhideWhenUsed/>
    <w:qFormat/>
    <w:uiPriority w:val="99"/>
    <w:pPr>
      <w:overflowPunct w:val="0"/>
      <w:autoSpaceDE w:val="0"/>
      <w:autoSpaceDN w:val="0"/>
      <w:spacing w:after="40" w:line="240" w:lineRule="auto"/>
    </w:pPr>
    <w:rPr>
      <w:sz w:val="18"/>
    </w:rPr>
  </w:style>
  <w:style w:type="paragraph" w:styleId="29">
    <w:name w:val="toc 6"/>
    <w:basedOn w:val="1"/>
    <w:next w:val="1"/>
    <w:unhideWhenUsed/>
    <w:qFormat/>
    <w:uiPriority w:val="39"/>
    <w:pPr>
      <w:overflowPunct w:val="0"/>
      <w:autoSpaceDE w:val="0"/>
      <w:autoSpaceDN w:val="0"/>
      <w:spacing w:after="57"/>
      <w:ind w:left="1417" w:right="0" w:firstLine="0"/>
    </w:pPr>
  </w:style>
  <w:style w:type="paragraph" w:styleId="30">
    <w:name w:val="toc 2"/>
    <w:basedOn w:val="1"/>
    <w:next w:val="1"/>
    <w:unhideWhenUsed/>
    <w:qFormat/>
    <w:uiPriority w:val="39"/>
    <w:pPr>
      <w:overflowPunct w:val="0"/>
      <w:autoSpaceDE w:val="0"/>
      <w:autoSpaceDN w:val="0"/>
      <w:spacing w:after="57"/>
      <w:ind w:left="283" w:right="0" w:firstLine="0"/>
    </w:pPr>
  </w:style>
  <w:style w:type="paragraph" w:styleId="31">
    <w:name w:val="toc 9"/>
    <w:basedOn w:val="1"/>
    <w:next w:val="1"/>
    <w:unhideWhenUsed/>
    <w:qFormat/>
    <w:uiPriority w:val="39"/>
    <w:pPr>
      <w:overflowPunct w:val="0"/>
      <w:autoSpaceDE w:val="0"/>
      <w:autoSpaceDN w:val="0"/>
      <w:spacing w:after="57"/>
      <w:ind w:left="2268" w:right="0" w:firstLine="0"/>
    </w:pPr>
  </w:style>
  <w:style w:type="paragraph" w:styleId="32">
    <w:name w:val="Normal (Web)"/>
    <w:basedOn w:val="1"/>
    <w:qFormat/>
    <w:uiPriority w:val="0"/>
    <w:pPr>
      <w:spacing w:before="100" w:beforeAutospacing="1" w:after="100" w:afterAutospacing="1"/>
      <w:jc w:val="left"/>
    </w:pPr>
    <w:rPr>
      <w:kern w:val="0"/>
      <w:sz w:val="24"/>
    </w:rPr>
  </w:style>
  <w:style w:type="paragraph" w:styleId="33">
    <w:name w:val="Title"/>
    <w:basedOn w:val="1"/>
    <w:next w:val="1"/>
    <w:qFormat/>
    <w:uiPriority w:val="0"/>
    <w:pPr>
      <w:spacing w:before="240" w:after="60"/>
      <w:jc w:val="center"/>
      <w:outlineLvl w:val="0"/>
    </w:pPr>
    <w:rPr>
      <w:rFonts w:ascii="Arial" w:hAnsi="Arial" w:eastAsia="隶书" w:cs="Arial"/>
      <w:b/>
      <w:bCs/>
      <w:sz w:val="32"/>
      <w:szCs w:val="32"/>
    </w:rPr>
  </w:style>
  <w:style w:type="paragraph" w:styleId="34">
    <w:name w:val="Body Text First Indent 2"/>
    <w:qFormat/>
    <w:uiPriority w:val="0"/>
    <w:pPr>
      <w:widowControl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440" w:lineRule="exact"/>
      <w:ind w:left="0" w:right="0" w:firstLine="420" w:firstLineChars="200"/>
      <w:jc w:val="both"/>
    </w:pPr>
    <w:rPr>
      <w:rFonts w:hint="default" w:ascii="Calibri" w:hAnsi="Calibri" w:eastAsia="宋体" w:cs="Times New Roman"/>
      <w:color w:val="auto"/>
      <w:spacing w:val="0"/>
      <w:kern w:val="2"/>
      <w:position w:val="0"/>
      <w:sz w:val="24"/>
      <w:szCs w:val="20"/>
      <w:lang w:val="en-US" w:eastAsia="zh-CN" w:bidi="ar-SA"/>
    </w:rPr>
  </w:style>
  <w:style w:type="table" w:styleId="36">
    <w:name w:val="Table Grid"/>
    <w:basedOn w:val="35"/>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8">
    <w:name w:val="Strong"/>
    <w:basedOn w:val="37"/>
    <w:qFormat/>
    <w:uiPriority w:val="0"/>
    <w:rPr>
      <w:rFonts w:hint="default" w:ascii="iconfont" w:hAnsi="iconfont" w:eastAsia="iconfont" w:cs="iconfont"/>
      <w:b/>
      <w:sz w:val="19"/>
      <w:szCs w:val="19"/>
      <w:u w:val="none"/>
    </w:rPr>
  </w:style>
  <w:style w:type="character" w:styleId="39">
    <w:name w:val="Hyperlink"/>
    <w:basedOn w:val="37"/>
    <w:semiHidden/>
    <w:unhideWhenUsed/>
    <w:qFormat/>
    <w:uiPriority w:val="99"/>
    <w:rPr>
      <w:color w:val="0000FF"/>
      <w:u w:val="single"/>
    </w:rPr>
  </w:style>
  <w:style w:type="character" w:styleId="40">
    <w:name w:val="footnote reference"/>
    <w:basedOn w:val="37"/>
    <w:unhideWhenUsed/>
    <w:qFormat/>
    <w:uiPriority w:val="99"/>
    <w:rPr>
      <w:vertAlign w:val="superscript"/>
    </w:rPr>
  </w:style>
  <w:style w:type="character" w:customStyle="1" w:styleId="41">
    <w:name w:val="Heading 1 Char"/>
    <w:basedOn w:val="37"/>
    <w:qFormat/>
    <w:uiPriority w:val="9"/>
    <w:rPr>
      <w:rFonts w:ascii="Arial" w:hAnsi="Arial" w:eastAsia="Arial" w:cs="Arial"/>
      <w:sz w:val="40"/>
      <w:szCs w:val="40"/>
    </w:rPr>
  </w:style>
  <w:style w:type="character" w:customStyle="1" w:styleId="42">
    <w:name w:val="Heading 2 Char"/>
    <w:basedOn w:val="37"/>
    <w:link w:val="5"/>
    <w:qFormat/>
    <w:uiPriority w:val="9"/>
    <w:rPr>
      <w:rFonts w:ascii="Arial" w:hAnsi="Arial" w:eastAsia="Arial" w:cs="Arial"/>
      <w:sz w:val="34"/>
    </w:rPr>
  </w:style>
  <w:style w:type="character" w:customStyle="1" w:styleId="43">
    <w:name w:val="Heading 3 Char"/>
    <w:basedOn w:val="37"/>
    <w:link w:val="6"/>
    <w:qFormat/>
    <w:uiPriority w:val="9"/>
    <w:rPr>
      <w:rFonts w:ascii="Arial" w:hAnsi="Arial" w:eastAsia="Arial" w:cs="Arial"/>
      <w:sz w:val="30"/>
      <w:szCs w:val="30"/>
    </w:rPr>
  </w:style>
  <w:style w:type="character" w:customStyle="1" w:styleId="44">
    <w:name w:val="Heading 4 Char"/>
    <w:basedOn w:val="37"/>
    <w:link w:val="7"/>
    <w:qFormat/>
    <w:uiPriority w:val="9"/>
    <w:rPr>
      <w:rFonts w:ascii="Arial" w:hAnsi="Arial" w:eastAsia="Arial" w:cs="Arial"/>
      <w:b/>
      <w:bCs/>
      <w:sz w:val="26"/>
      <w:szCs w:val="26"/>
    </w:rPr>
  </w:style>
  <w:style w:type="character" w:customStyle="1" w:styleId="45">
    <w:name w:val="Heading 5 Char"/>
    <w:basedOn w:val="37"/>
    <w:link w:val="8"/>
    <w:qFormat/>
    <w:uiPriority w:val="9"/>
    <w:rPr>
      <w:rFonts w:ascii="Arial" w:hAnsi="Arial" w:eastAsia="Arial" w:cs="Arial"/>
      <w:b/>
      <w:bCs/>
      <w:sz w:val="24"/>
      <w:szCs w:val="24"/>
    </w:rPr>
  </w:style>
  <w:style w:type="character" w:customStyle="1" w:styleId="46">
    <w:name w:val="Heading 6 Char"/>
    <w:basedOn w:val="37"/>
    <w:link w:val="9"/>
    <w:qFormat/>
    <w:uiPriority w:val="9"/>
    <w:rPr>
      <w:rFonts w:ascii="Arial" w:hAnsi="Arial" w:eastAsia="Arial" w:cs="Arial"/>
      <w:b/>
      <w:bCs/>
      <w:sz w:val="22"/>
      <w:szCs w:val="22"/>
    </w:rPr>
  </w:style>
  <w:style w:type="character" w:customStyle="1" w:styleId="47">
    <w:name w:val="Heading 7 Char"/>
    <w:basedOn w:val="37"/>
    <w:link w:val="10"/>
    <w:qFormat/>
    <w:uiPriority w:val="9"/>
    <w:rPr>
      <w:rFonts w:ascii="Arial" w:hAnsi="Arial" w:eastAsia="Arial" w:cs="Arial"/>
      <w:b/>
      <w:bCs/>
      <w:i/>
      <w:iCs/>
      <w:sz w:val="22"/>
      <w:szCs w:val="22"/>
    </w:rPr>
  </w:style>
  <w:style w:type="character" w:customStyle="1" w:styleId="48">
    <w:name w:val="Heading 8 Char"/>
    <w:basedOn w:val="37"/>
    <w:link w:val="11"/>
    <w:qFormat/>
    <w:uiPriority w:val="9"/>
    <w:rPr>
      <w:rFonts w:ascii="Arial" w:hAnsi="Arial" w:eastAsia="Arial" w:cs="Arial"/>
      <w:i/>
      <w:iCs/>
      <w:sz w:val="22"/>
      <w:szCs w:val="22"/>
    </w:rPr>
  </w:style>
  <w:style w:type="character" w:customStyle="1" w:styleId="49">
    <w:name w:val="Heading 9 Char"/>
    <w:basedOn w:val="37"/>
    <w:link w:val="12"/>
    <w:qFormat/>
    <w:uiPriority w:val="9"/>
    <w:rPr>
      <w:rFonts w:ascii="Arial" w:hAnsi="Arial" w:eastAsia="Arial" w:cs="Arial"/>
      <w:i/>
      <w:iCs/>
      <w:sz w:val="21"/>
      <w:szCs w:val="21"/>
    </w:rPr>
  </w:style>
  <w:style w:type="paragraph" w:styleId="50">
    <w:name w:val="No Spacing"/>
    <w:qFormat/>
    <w:uiPriority w:val="1"/>
    <w:pPr>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32"/>
      <w:szCs w:val="22"/>
      <w:lang w:val="en-US" w:eastAsia="en-US" w:bidi="en-US"/>
    </w:rPr>
  </w:style>
  <w:style w:type="character" w:customStyle="1" w:styleId="51">
    <w:name w:val="Title Char"/>
    <w:basedOn w:val="37"/>
    <w:qFormat/>
    <w:uiPriority w:val="10"/>
    <w:rPr>
      <w:sz w:val="48"/>
      <w:szCs w:val="48"/>
    </w:rPr>
  </w:style>
  <w:style w:type="character" w:customStyle="1" w:styleId="52">
    <w:name w:val="Subtitle Char"/>
    <w:basedOn w:val="37"/>
    <w:link w:val="27"/>
    <w:qFormat/>
    <w:uiPriority w:val="11"/>
    <w:rPr>
      <w:sz w:val="24"/>
      <w:szCs w:val="24"/>
    </w:rPr>
  </w:style>
  <w:style w:type="paragraph" w:styleId="53">
    <w:name w:val="Quote"/>
    <w:basedOn w:val="1"/>
    <w:next w:val="1"/>
    <w:link w:val="54"/>
    <w:qFormat/>
    <w:uiPriority w:val="29"/>
    <w:pPr>
      <w:overflowPunct w:val="0"/>
      <w:autoSpaceDE w:val="0"/>
      <w:autoSpaceDN w:val="0"/>
      <w:ind w:left="720" w:right="720"/>
    </w:pPr>
    <w:rPr>
      <w:i/>
    </w:rPr>
  </w:style>
  <w:style w:type="character" w:customStyle="1" w:styleId="54">
    <w:name w:val="Quote Char"/>
    <w:link w:val="53"/>
    <w:qFormat/>
    <w:uiPriority w:val="29"/>
    <w:rPr>
      <w:i/>
    </w:rPr>
  </w:style>
  <w:style w:type="paragraph" w:styleId="55">
    <w:name w:val="Intense Quote"/>
    <w:basedOn w:val="1"/>
    <w:next w:val="1"/>
    <w:link w:val="56"/>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56">
    <w:name w:val="Intense Quote Char"/>
    <w:link w:val="55"/>
    <w:qFormat/>
    <w:uiPriority w:val="30"/>
    <w:rPr>
      <w:i/>
    </w:rPr>
  </w:style>
  <w:style w:type="character" w:customStyle="1" w:styleId="57">
    <w:name w:val="Header Char"/>
    <w:basedOn w:val="37"/>
    <w:qFormat/>
    <w:uiPriority w:val="99"/>
  </w:style>
  <w:style w:type="character" w:customStyle="1" w:styleId="58">
    <w:name w:val="Footer Char"/>
    <w:basedOn w:val="37"/>
    <w:qFormat/>
    <w:uiPriority w:val="99"/>
  </w:style>
  <w:style w:type="character" w:customStyle="1" w:styleId="59">
    <w:name w:val="Caption Char"/>
    <w:qFormat/>
    <w:uiPriority w:val="99"/>
  </w:style>
  <w:style w:type="table" w:customStyle="1" w:styleId="60">
    <w:name w:val="Table Grid Light"/>
    <w:basedOn w:val="35"/>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61">
    <w:name w:val="Plain Table 1"/>
    <w:basedOn w:val="35"/>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62">
    <w:name w:val="Plain Table 2"/>
    <w:basedOn w:val="35"/>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3">
    <w:name w:val="Plain Table 3"/>
    <w:basedOn w:val="35"/>
    <w:qFormat/>
    <w:uiPriority w:val="99"/>
    <w:pPr>
      <w:overflowPunct w:val="0"/>
      <w:autoSpaceDE w:val="0"/>
      <w:autoSpaceDN w:val="0"/>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4">
    <w:name w:val="Plain Table 4"/>
    <w:basedOn w:val="35"/>
    <w:qFormat/>
    <w:uiPriority w:val="99"/>
    <w:pPr>
      <w:overflowPunct w:val="0"/>
      <w:autoSpaceDE w:val="0"/>
      <w:autoSpaceDN w:val="0"/>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5">
    <w:name w:val="Plain Table 5"/>
    <w:basedOn w:val="35"/>
    <w:qFormat/>
    <w:uiPriority w:val="99"/>
    <w:pPr>
      <w:overflowPunct w:val="0"/>
      <w:autoSpaceDE w:val="0"/>
      <w:autoSpaceDN w:val="0"/>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6">
    <w:name w:val="Grid Table 1 Light"/>
    <w:basedOn w:val="35"/>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7">
    <w:name w:val="Grid Table 1 Light - Accent 1"/>
    <w:basedOn w:val="35"/>
    <w:qFormat/>
    <w:uiPriority w:val="99"/>
    <w:pPr>
      <w:overflowPunct w:val="0"/>
      <w:autoSpaceDE w:val="0"/>
      <w:autoSpaceDN w:val="0"/>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tblStylePr w:type="band2Horz"/>
    <w:tblStylePr w:type="neCell"/>
    <w:tblStylePr w:type="nwCell"/>
    <w:tblStylePr w:type="seCell"/>
    <w:tblStylePr w:type="swCell"/>
  </w:style>
  <w:style w:type="table" w:customStyle="1" w:styleId="68">
    <w:name w:val="Grid Table 1 Light - Accent 2"/>
    <w:basedOn w:val="35"/>
    <w:qFormat/>
    <w:uiPriority w:val="99"/>
    <w:pPr>
      <w:overflowPunct w:val="0"/>
      <w:autoSpaceDE w:val="0"/>
      <w:autoSpaceDN w:val="0"/>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9">
    <w:name w:val="Grid Table 1 Light - Accent 3"/>
    <w:basedOn w:val="35"/>
    <w:qFormat/>
    <w:uiPriority w:val="99"/>
    <w:pPr>
      <w:overflowPunct w:val="0"/>
      <w:autoSpaceDE w:val="0"/>
      <w:autoSpaceDN w:val="0"/>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70">
    <w:name w:val="Grid Table 1 Light - Accent 4"/>
    <w:basedOn w:val="35"/>
    <w:qFormat/>
    <w:uiPriority w:val="99"/>
    <w:pPr>
      <w:overflowPunct w:val="0"/>
      <w:autoSpaceDE w:val="0"/>
      <w:autoSpaceDN w:val="0"/>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71">
    <w:name w:val="Grid Table 1 Light - Accent 5"/>
    <w:basedOn w:val="35"/>
    <w:qFormat/>
    <w:uiPriority w:val="99"/>
    <w:pPr>
      <w:overflowPunct w:val="0"/>
      <w:autoSpaceDE w:val="0"/>
      <w:autoSpaceDN w:val="0"/>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2Horz"/>
    <w:tblStylePr w:type="neCell"/>
    <w:tblStylePr w:type="nwCell"/>
    <w:tblStylePr w:type="seCell"/>
    <w:tblStylePr w:type="swCell"/>
  </w:style>
  <w:style w:type="table" w:customStyle="1" w:styleId="72">
    <w:name w:val="Grid Table 1 Light - Accent 6"/>
    <w:basedOn w:val="35"/>
    <w:qFormat/>
    <w:uiPriority w:val="99"/>
    <w:pPr>
      <w:overflowPunct w:val="0"/>
      <w:autoSpaceDE w:val="0"/>
      <w:autoSpaceDN w:val="0"/>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73">
    <w:name w:val="Grid Table 2"/>
    <w:basedOn w:val="35"/>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4">
    <w:name w:val="Grid Table 2 - Accent 1"/>
    <w:basedOn w:val="35"/>
    <w:qFormat/>
    <w:uiPriority w:val="99"/>
    <w:pPr>
      <w:overflowPunct w:val="0"/>
      <w:autoSpaceDE w:val="0"/>
      <w:autoSpaceDN w:val="0"/>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auto" w:fill="FFFFFF"/>
      </w:tcPr>
    </w:tblStylePr>
    <w:tblStylePr w:type="lastRow">
      <w:rPr>
        <w:b/>
        <w:color w:val="404040"/>
      </w:rPr>
      <w:tcPr>
        <w:tcBorders>
          <w:top w:val="single" w:color="537DC8"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tblStylePr w:type="neCell"/>
    <w:tblStylePr w:type="nwCell"/>
    <w:tblStylePr w:type="seCell"/>
    <w:tblStylePr w:type="swCell"/>
  </w:style>
  <w:style w:type="table" w:customStyle="1" w:styleId="75">
    <w:name w:val="Grid Table 2 - Accent 2"/>
    <w:basedOn w:val="35"/>
    <w:qFormat/>
    <w:uiPriority w:val="99"/>
    <w:pPr>
      <w:overflowPunct w:val="0"/>
      <w:autoSpaceDE w:val="0"/>
      <w:autoSpaceDN w:val="0"/>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auto" w:fill="FFFFFF"/>
      </w:tcPr>
    </w:tblStylePr>
    <w:tblStylePr w:type="lastRow">
      <w:rPr>
        <w:b/>
        <w:color w:val="404040"/>
      </w:rPr>
      <w:tcPr>
        <w:tcBorders>
          <w:top w:val="single" w:color="F4B28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76">
    <w:name w:val="Grid Table 2 - Accent 3"/>
    <w:basedOn w:val="35"/>
    <w:qFormat/>
    <w:uiPriority w:val="99"/>
    <w:pPr>
      <w:overflowPunct w:val="0"/>
      <w:autoSpaceDE w:val="0"/>
      <w:autoSpaceDN w:val="0"/>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auto" w:fill="FFFFFF"/>
      </w:tcPr>
    </w:tblStylePr>
    <w:tblStylePr w:type="lastRow">
      <w:rPr>
        <w:b/>
        <w:color w:val="404040"/>
      </w:rPr>
      <w:tcPr>
        <w:tcBorders>
          <w:top w:val="single" w:color="A5A5A5"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77">
    <w:name w:val="Grid Table 2 - Accent 4"/>
    <w:basedOn w:val="35"/>
    <w:qFormat/>
    <w:uiPriority w:val="99"/>
    <w:pPr>
      <w:overflowPunct w:val="0"/>
      <w:autoSpaceDE w:val="0"/>
      <w:autoSpaceDN w:val="0"/>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auto" w:fill="FFFFFF"/>
      </w:tcPr>
    </w:tblStylePr>
    <w:tblStylePr w:type="lastRow">
      <w:rPr>
        <w:b/>
        <w:color w:val="404040"/>
      </w:rPr>
      <w:tcPr>
        <w:tcBorders>
          <w:top w:val="single" w:color="FFD864"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78">
    <w:name w:val="Grid Table 2 - Accent 5"/>
    <w:basedOn w:val="35"/>
    <w:qFormat/>
    <w:uiPriority w:val="99"/>
    <w:pPr>
      <w:overflowPunct w:val="0"/>
      <w:autoSpaceDE w:val="0"/>
      <w:autoSpaceDN w:val="0"/>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auto" w:fill="FFFFFF"/>
      </w:tcPr>
    </w:tblStylePr>
    <w:tblStylePr w:type="lastRow">
      <w:rPr>
        <w:b/>
        <w:color w:val="404040"/>
      </w:rPr>
      <w:tcPr>
        <w:tcBorders>
          <w:top w:val="single" w:color="5B9BD5"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79">
    <w:name w:val="Grid Table 2 - Accent 6"/>
    <w:basedOn w:val="35"/>
    <w:qFormat/>
    <w:uiPriority w:val="99"/>
    <w:pPr>
      <w:overflowPunct w:val="0"/>
      <w:autoSpaceDE w:val="0"/>
      <w:autoSpaceDN w:val="0"/>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auto" w:fill="FFFFFF"/>
      </w:tcPr>
    </w:tblStylePr>
    <w:tblStylePr w:type="lastRow">
      <w:rPr>
        <w:b/>
        <w:color w:val="404040"/>
      </w:rPr>
      <w:tcPr>
        <w:tcBorders>
          <w:top w:val="single" w:color="70AD47"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80">
    <w:name w:val="Grid Table 3"/>
    <w:basedOn w:val="35"/>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1">
    <w:name w:val="Grid Table 3 - Accent 1"/>
    <w:basedOn w:val="35"/>
    <w:qFormat/>
    <w:uiPriority w:val="99"/>
    <w:pPr>
      <w:overflowPunct w:val="0"/>
      <w:autoSpaceDE w:val="0"/>
      <w:autoSpaceDN w:val="0"/>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tblStylePr w:type="neCell"/>
    <w:tblStylePr w:type="nwCell"/>
    <w:tblStylePr w:type="seCell"/>
    <w:tblStylePr w:type="swCell"/>
  </w:style>
  <w:style w:type="table" w:customStyle="1" w:styleId="82">
    <w:name w:val="Grid Table 3 - Accent 2"/>
    <w:basedOn w:val="35"/>
    <w:qFormat/>
    <w:uiPriority w:val="99"/>
    <w:pPr>
      <w:overflowPunct w:val="0"/>
      <w:autoSpaceDE w:val="0"/>
      <w:autoSpaceDN w:val="0"/>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83">
    <w:name w:val="Grid Table 3 - Accent 3"/>
    <w:basedOn w:val="35"/>
    <w:qFormat/>
    <w:uiPriority w:val="99"/>
    <w:pPr>
      <w:overflowPunct w:val="0"/>
      <w:autoSpaceDE w:val="0"/>
      <w:autoSpaceDN w:val="0"/>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84">
    <w:name w:val="Grid Table 3 - Accent 4"/>
    <w:basedOn w:val="35"/>
    <w:qFormat/>
    <w:uiPriority w:val="99"/>
    <w:pPr>
      <w:overflowPunct w:val="0"/>
      <w:autoSpaceDE w:val="0"/>
      <w:autoSpaceDN w:val="0"/>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85">
    <w:name w:val="Grid Table 3 - Accent 5"/>
    <w:basedOn w:val="35"/>
    <w:qFormat/>
    <w:uiPriority w:val="99"/>
    <w:pPr>
      <w:overflowPunct w:val="0"/>
      <w:autoSpaceDE w:val="0"/>
      <w:autoSpaceDN w:val="0"/>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86">
    <w:name w:val="Grid Table 3 - Accent 6"/>
    <w:basedOn w:val="35"/>
    <w:qFormat/>
    <w:uiPriority w:val="99"/>
    <w:pPr>
      <w:overflowPunct w:val="0"/>
      <w:autoSpaceDE w:val="0"/>
      <w:autoSpaceDN w:val="0"/>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87">
    <w:name w:val="Grid Table 4"/>
    <w:basedOn w:val="35"/>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8">
    <w:name w:val="Grid Table 4 - Accent 1"/>
    <w:basedOn w:val="35"/>
    <w:qFormat/>
    <w:uiPriority w:val="59"/>
    <w:pPr>
      <w:overflowPunct w:val="0"/>
      <w:autoSpaceDE w:val="0"/>
      <w:autoSpaceDN w:val="0"/>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auto"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3F3" w:themeFill="accent1" w:themeFillTint="32"/>
      </w:tcPr>
    </w:tblStylePr>
    <w:tblStylePr w:type="band1Horz">
      <w:rPr>
        <w:rFonts w:ascii="Arial" w:hAnsi="Arial"/>
        <w:color w:val="404040"/>
        <w:sz w:val="22"/>
      </w:rPr>
      <w:tcPr>
        <w:shd w:val="clear" w:color="auto" w:fill="DAE3F3" w:themeFill="accent1" w:themeFillTint="32"/>
      </w:tcPr>
    </w:tblStylePr>
    <w:tblStylePr w:type="neCell"/>
    <w:tblStylePr w:type="nwCell"/>
    <w:tblStylePr w:type="seCell"/>
    <w:tblStylePr w:type="swCell"/>
  </w:style>
  <w:style w:type="table" w:customStyle="1" w:styleId="89">
    <w:name w:val="Grid Table 4 - Accent 2"/>
    <w:basedOn w:val="35"/>
    <w:qFormat/>
    <w:uiPriority w:val="59"/>
    <w:pPr>
      <w:overflowPunct w:val="0"/>
      <w:autoSpaceDE w:val="0"/>
      <w:autoSpaceDN w:val="0"/>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90">
    <w:name w:val="Grid Table 4 - Accent 3"/>
    <w:basedOn w:val="35"/>
    <w:qFormat/>
    <w:uiPriority w:val="59"/>
    <w:pPr>
      <w:overflowPunct w:val="0"/>
      <w:autoSpaceDE w:val="0"/>
      <w:autoSpaceDN w:val="0"/>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91">
    <w:name w:val="Grid Table 4 - Accent 4"/>
    <w:basedOn w:val="35"/>
    <w:qFormat/>
    <w:uiPriority w:val="59"/>
    <w:pPr>
      <w:overflowPunct w:val="0"/>
      <w:autoSpaceDE w:val="0"/>
      <w:autoSpaceDN w:val="0"/>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92">
    <w:name w:val="Grid Table 4 - Accent 5"/>
    <w:basedOn w:val="35"/>
    <w:qFormat/>
    <w:uiPriority w:val="59"/>
    <w:pPr>
      <w:overflowPunct w:val="0"/>
      <w:autoSpaceDE w:val="0"/>
      <w:autoSpaceDN w:val="0"/>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auto"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93">
    <w:name w:val="Grid Table 4 - Accent 6"/>
    <w:basedOn w:val="35"/>
    <w:qFormat/>
    <w:uiPriority w:val="59"/>
    <w:pPr>
      <w:overflowPunct w:val="0"/>
      <w:autoSpaceDE w:val="0"/>
      <w:autoSpaceDN w:val="0"/>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94">
    <w:name w:val="Grid Table 5 Dark"/>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95">
    <w:name w:val="Grid Table 5 Dark- Accent 1"/>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472C4" w:themeFill="accent1"/>
      </w:tcPr>
    </w:tblStylePr>
    <w:tblStylePr w:type="lastRow">
      <w:rPr>
        <w:rFonts w:ascii="Arial" w:hAnsi="Arial"/>
        <w:b/>
        <w:color w:val="FFFFFF"/>
        <w:sz w:val="22"/>
      </w:rPr>
      <w:tcPr>
        <w:tcBorders>
          <w:top w:val="single" w:color="FFFFFF" w:themeColor="light1" w:sz="4" w:space="0"/>
        </w:tcBorders>
        <w:shd w:val="clear" w:color="auto" w:fill="4472C4" w:themeFill="accent1"/>
      </w:tcPr>
    </w:tblStylePr>
    <w:tblStylePr w:type="firstCol">
      <w:rPr>
        <w:rFonts w:ascii="Arial" w:hAnsi="Arial"/>
        <w:b/>
        <w:color w:val="FFFFFF"/>
        <w:sz w:val="22"/>
      </w:rPr>
      <w:tcPr>
        <w:shd w:val="clear" w:color="auto" w:fill="4472C4" w:themeFill="accent1"/>
      </w:tcPr>
    </w:tblStylePr>
    <w:tblStylePr w:type="lastCol">
      <w:rPr>
        <w:rFonts w:ascii="Arial" w:hAnsi="Arial"/>
        <w:b/>
        <w:color w:val="FFFFFF"/>
        <w:sz w:val="22"/>
      </w:rPr>
      <w:tcPr>
        <w:shd w:val="clear" w:color="auto" w:fill="4472C4" w:themeFill="accent1"/>
      </w:tcPr>
    </w:tblStylePr>
    <w:tblStylePr w:type="band1Vert">
      <w:tcPr>
        <w:shd w:val="clear" w:color="auto" w:fill="A9BEE3" w:themeFill="accent1" w:themeFillTint="75"/>
      </w:tcPr>
    </w:tblStylePr>
    <w:tblStylePr w:type="band1Horz">
      <w:tcPr>
        <w:shd w:val="clear" w:color="auto" w:fill="A9BEE3" w:themeFill="accent1" w:themeFillTint="75"/>
      </w:tcPr>
    </w:tblStylePr>
    <w:tblStylePr w:type="neCell"/>
    <w:tblStylePr w:type="nwCell"/>
    <w:tblStylePr w:type="seCell"/>
    <w:tblStylePr w:type="swCell"/>
  </w:style>
  <w:style w:type="table" w:customStyle="1" w:styleId="96">
    <w:name w:val="Grid Table 5 Dark - Accent 2"/>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ED7D31" w:themeFill="accent2"/>
      </w:tcPr>
    </w:tblStylePr>
    <w:tblStylePr w:type="lastRow">
      <w:rPr>
        <w:rFonts w:ascii="Arial" w:hAnsi="Arial"/>
        <w:b/>
        <w:color w:val="FFFFFF"/>
        <w:sz w:val="22"/>
      </w:rPr>
      <w:tcPr>
        <w:tcBorders>
          <w:top w:val="single" w:color="FFFFFF" w:themeColor="light1" w:sz="4" w:space="0"/>
        </w:tcBorders>
        <w:shd w:val="clear" w:color="auto" w:fill="ED7D31" w:themeFill="accent2"/>
      </w:tcPr>
    </w:tblStylePr>
    <w:tblStylePr w:type="firstCol">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band1Vert">
      <w:tcPr>
        <w:shd w:val="clear" w:color="auto" w:fill="F6C3A0" w:themeFill="accent2" w:themeFillTint="75"/>
      </w:tcPr>
    </w:tblStylePr>
    <w:tblStylePr w:type="band1Horz">
      <w:tcPr>
        <w:shd w:val="clear" w:color="auto" w:fill="F6C3A0" w:themeFill="accent2" w:themeFillTint="75"/>
      </w:tcPr>
    </w:tblStylePr>
    <w:tblStylePr w:type="neCell"/>
    <w:tblStylePr w:type="nwCell"/>
    <w:tblStylePr w:type="seCell"/>
    <w:tblStylePr w:type="swCell"/>
  </w:style>
  <w:style w:type="table" w:customStyle="1" w:styleId="97">
    <w:name w:val="Grid Table 5 Dark - Accent 3"/>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A5A5A5" w:themeFill="accent3"/>
      </w:tcPr>
    </w:tblStylePr>
    <w:tblStylePr w:type="lastRow">
      <w:rPr>
        <w:rFonts w:ascii="Arial" w:hAnsi="Arial"/>
        <w:b/>
        <w:color w:val="FFFFFF"/>
        <w:sz w:val="22"/>
      </w:rPr>
      <w:tcPr>
        <w:tcBorders>
          <w:top w:val="single" w:color="FFFFFF" w:themeColor="light1" w:sz="4" w:space="0"/>
        </w:tcBorders>
        <w:shd w:val="clear" w:color="auto" w:fill="A5A5A5" w:themeFill="accent3"/>
      </w:tcPr>
    </w:tblStylePr>
    <w:tblStylePr w:type="firstCol">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band1Vert">
      <w:tcPr>
        <w:shd w:val="clear" w:color="auto" w:fill="D5D5D5" w:themeFill="accent3" w:themeFillTint="75"/>
      </w:tcPr>
    </w:tblStylePr>
    <w:tblStylePr w:type="band1Horz">
      <w:tcPr>
        <w:shd w:val="clear" w:color="auto" w:fill="D5D5D5" w:themeFill="accent3" w:themeFillTint="75"/>
      </w:tcPr>
    </w:tblStylePr>
    <w:tblStylePr w:type="neCell"/>
    <w:tblStylePr w:type="nwCell"/>
    <w:tblStylePr w:type="seCell"/>
    <w:tblStylePr w:type="swCell"/>
  </w:style>
  <w:style w:type="table" w:customStyle="1" w:styleId="98">
    <w:name w:val="Grid Table 5 Dark- Accent 4"/>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FC000" w:themeFill="accent4"/>
      </w:tcPr>
    </w:tblStylePr>
    <w:tblStylePr w:type="lastRow">
      <w:rPr>
        <w:rFonts w:ascii="Arial" w:hAnsi="Arial"/>
        <w:b/>
        <w:color w:val="FFFFFF"/>
        <w:sz w:val="22"/>
      </w:rPr>
      <w:tcPr>
        <w:tcBorders>
          <w:top w:val="single" w:color="FFFFFF" w:themeColor="light1" w:sz="4" w:space="0"/>
        </w:tcBorders>
        <w:shd w:val="clear" w:color="auto" w:fill="FFC000" w:themeFill="accent4"/>
      </w:tcPr>
    </w:tblStylePr>
    <w:tblStylePr w:type="firstCol">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band1Vert">
      <w:tcPr>
        <w:shd w:val="clear" w:color="auto" w:fill="FEE289" w:themeFill="accent4" w:themeFillTint="75"/>
      </w:tcPr>
    </w:tblStylePr>
    <w:tblStylePr w:type="band1Horz">
      <w:tcPr>
        <w:shd w:val="clear" w:color="auto" w:fill="FEE289" w:themeFill="accent4" w:themeFillTint="75"/>
      </w:tcPr>
    </w:tblStylePr>
    <w:tblStylePr w:type="neCell"/>
    <w:tblStylePr w:type="nwCell"/>
    <w:tblStylePr w:type="seCell"/>
    <w:tblStylePr w:type="swCell"/>
  </w:style>
  <w:style w:type="table" w:customStyle="1" w:styleId="99">
    <w:name w:val="Grid Table 5 Dark - Accent 5"/>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5B9BD5" w:themeFill="accent5"/>
      </w:tcPr>
    </w:tblStylePr>
    <w:tblStylePr w:type="lastRow">
      <w:rPr>
        <w:rFonts w:ascii="Arial" w:hAnsi="Arial"/>
        <w:b/>
        <w:color w:val="FFFFFF"/>
        <w:sz w:val="22"/>
      </w:rPr>
      <w:tcPr>
        <w:tcBorders>
          <w:top w:val="single" w:color="FFFFFF" w:themeColor="light1" w:sz="4" w:space="0"/>
        </w:tcBorders>
        <w:shd w:val="clear" w:color="auto" w:fill="5B9BD5" w:themeFill="accent5"/>
      </w:tcPr>
    </w:tblStylePr>
    <w:tblStylePr w:type="firstCol">
      <w:rPr>
        <w:rFonts w:ascii="Arial" w:hAnsi="Arial"/>
        <w:b/>
        <w:color w:val="FFFFFF"/>
        <w:sz w:val="22"/>
      </w:rPr>
      <w:tcPr>
        <w:shd w:val="clear" w:color="auto" w:fill="5B9BD5" w:themeFill="accent5"/>
      </w:tcPr>
    </w:tblStylePr>
    <w:tblStylePr w:type="lastCol">
      <w:rPr>
        <w:rFonts w:ascii="Arial" w:hAnsi="Arial"/>
        <w:b/>
        <w:color w:val="FFFFFF"/>
        <w:sz w:val="22"/>
      </w:rPr>
      <w:tcPr>
        <w:shd w:val="clear" w:color="auto" w:fill="5B9BD5" w:themeFill="accent5"/>
      </w:tcPr>
    </w:tblStylePr>
    <w:tblStylePr w:type="band1Vert">
      <w:tcPr>
        <w:shd w:val="clear" w:color="auto" w:fill="B3D1EB" w:themeFill="accent5" w:themeFillTint="75"/>
      </w:tcPr>
    </w:tblStylePr>
    <w:tblStylePr w:type="band1Horz">
      <w:tcPr>
        <w:shd w:val="clear" w:color="auto" w:fill="B3D1EB" w:themeFill="accent5" w:themeFillTint="75"/>
      </w:tcPr>
    </w:tblStylePr>
    <w:tblStylePr w:type="neCell"/>
    <w:tblStylePr w:type="nwCell"/>
    <w:tblStylePr w:type="seCell"/>
    <w:tblStylePr w:type="swCell"/>
  </w:style>
  <w:style w:type="table" w:customStyle="1" w:styleId="100">
    <w:name w:val="Grid Table 5 Dark - Accent 6"/>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70AD47" w:themeFill="accent6"/>
      </w:tcPr>
    </w:tblStylePr>
    <w:tblStylePr w:type="lastRow">
      <w:rPr>
        <w:rFonts w:ascii="Arial" w:hAnsi="Arial"/>
        <w:b/>
        <w:color w:val="FFFFFF"/>
        <w:sz w:val="22"/>
      </w:rPr>
      <w:tcPr>
        <w:tcBorders>
          <w:top w:val="single" w:color="FFFFFF" w:themeColor="light1" w:sz="4" w:space="0"/>
        </w:tcBorders>
        <w:shd w:val="clear" w:color="auto" w:fill="70AD47" w:themeFill="accent6"/>
      </w:tcPr>
    </w:tblStylePr>
    <w:tblStylePr w:type="firstCol">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band1Vert">
      <w:tcPr>
        <w:shd w:val="clear" w:color="auto" w:fill="BCDBA8" w:themeFill="accent6" w:themeFillTint="75"/>
      </w:tcPr>
    </w:tblStylePr>
    <w:tblStylePr w:type="band1Horz">
      <w:tcPr>
        <w:shd w:val="clear" w:color="auto" w:fill="BCDBA8" w:themeFill="accent6" w:themeFillTint="75"/>
      </w:tcPr>
    </w:tblStylePr>
    <w:tblStylePr w:type="neCell"/>
    <w:tblStylePr w:type="nwCell"/>
    <w:tblStylePr w:type="seCell"/>
    <w:tblStylePr w:type="swCell"/>
  </w:style>
  <w:style w:type="table" w:customStyle="1" w:styleId="101">
    <w:name w:val="Grid Table 6 Colorful"/>
    <w:basedOn w:val="35"/>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2">
    <w:name w:val="Grid Table 6 Colorful - Accent 1"/>
    <w:basedOn w:val="35"/>
    <w:qFormat/>
    <w:uiPriority w:val="99"/>
    <w:pPr>
      <w:overflowPunct w:val="0"/>
      <w:autoSpaceDE w:val="0"/>
      <w:autoSpaceDN w:val="0"/>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auto" w:fill="D8E2F2" w:themeFill="accent1" w:themeFillTint="34"/>
      </w:tcPr>
    </w:tblStylePr>
    <w:tblStylePr w:type="band2Vert"/>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auto"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3">
    <w:name w:val="Grid Table 6 Colorful - Accent 2"/>
    <w:basedOn w:val="35"/>
    <w:qFormat/>
    <w:uiPriority w:val="99"/>
    <w:pPr>
      <w:overflowPunct w:val="0"/>
      <w:autoSpaceDE w:val="0"/>
      <w:autoSpaceDN w:val="0"/>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4">
    <w:name w:val="Grid Table 6 Colorful - Accent 3"/>
    <w:basedOn w:val="35"/>
    <w:qFormat/>
    <w:uiPriority w:val="99"/>
    <w:pPr>
      <w:overflowPunct w:val="0"/>
      <w:autoSpaceDE w:val="0"/>
      <w:autoSpaceDN w:val="0"/>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auto"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5">
    <w:name w:val="Grid Table 6 Colorful - Accent 4"/>
    <w:basedOn w:val="35"/>
    <w:qFormat/>
    <w:uiPriority w:val="99"/>
    <w:pPr>
      <w:overflowPunct w:val="0"/>
      <w:autoSpaceDE w:val="0"/>
      <w:autoSpaceDN w:val="0"/>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6">
    <w:name w:val="Grid Table 6 Colorful - Accent 5"/>
    <w:basedOn w:val="35"/>
    <w:qFormat/>
    <w:uiPriority w:val="99"/>
    <w:pPr>
      <w:overflowPunct w:val="0"/>
      <w:autoSpaceDE w:val="0"/>
      <w:autoSpaceDN w:val="0"/>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auto" w:fill="DDEAF6" w:themeFill="accent5" w:themeFillTint="34"/>
      </w:tcPr>
    </w:tblStylePr>
    <w:tblStylePr w:type="band2Vert"/>
    <w:tblStylePr w:type="band1Horz">
      <w:rPr>
        <w:rFonts w:ascii="Arial" w:hAnsi="Arial"/>
        <w:color w:val="245B8C" w:themeColor="accent5" w:themeShade="94"/>
        <w:sz w:val="22"/>
      </w:rPr>
      <w:tcPr>
        <w:shd w:val="clear" w:color="auto" w:fill="DDEAF6" w:themeFill="accent5" w:themeFillTint="34"/>
      </w:tcPr>
    </w:tblStylePr>
    <w:tblStylePr w:type="band2Horz">
      <w:rPr>
        <w:rFonts w:ascii="Arial" w:hAnsi="Arial"/>
        <w:color w:val="245B8C" w:themeColor="accent5" w:themeShade="94"/>
        <w:sz w:val="22"/>
      </w:rPr>
    </w:tblStylePr>
    <w:tblStylePr w:type="neCell"/>
    <w:tblStylePr w:type="nwCell"/>
    <w:tblStylePr w:type="seCell"/>
    <w:tblStylePr w:type="swCell"/>
  </w:style>
  <w:style w:type="table" w:customStyle="1" w:styleId="107">
    <w:name w:val="Grid Table 6 Colorful - Accent 6"/>
    <w:basedOn w:val="35"/>
    <w:qFormat/>
    <w:uiPriority w:val="99"/>
    <w:pPr>
      <w:overflowPunct w:val="0"/>
      <w:autoSpaceDE w:val="0"/>
      <w:autoSpaceDN w:val="0"/>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auto" w:fill="E1EFD8" w:themeFill="accent6" w:themeFillTint="34"/>
      </w:tcPr>
    </w:tblStylePr>
    <w:tblStylePr w:type="band2Vert"/>
    <w:tblStylePr w:type="band1Horz">
      <w:rPr>
        <w:rFonts w:ascii="Arial" w:hAnsi="Arial"/>
        <w:color w:val="245B8C" w:themeColor="accent5" w:themeShade="94"/>
        <w:sz w:val="22"/>
      </w:rPr>
      <w:tcPr>
        <w:shd w:val="clear" w:color="auto" w:fill="E1EFD8" w:themeFill="accent6" w:themeFillTint="34"/>
      </w:tcPr>
    </w:tblStylePr>
    <w:tblStylePr w:type="band2Horz">
      <w:rPr>
        <w:rFonts w:ascii="Arial" w:hAnsi="Arial"/>
        <w:color w:val="245B8C" w:themeColor="accent5" w:themeShade="94"/>
        <w:sz w:val="22"/>
      </w:rPr>
    </w:tblStylePr>
    <w:tblStylePr w:type="neCell"/>
    <w:tblStylePr w:type="nwCell"/>
    <w:tblStylePr w:type="seCell"/>
    <w:tblStylePr w:type="swCell"/>
  </w:style>
  <w:style w:type="table" w:customStyle="1" w:styleId="108">
    <w:name w:val="Grid Table 7 Colorful"/>
    <w:basedOn w:val="35"/>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9">
    <w:name w:val="Grid Table 7 Colorful - Accent 1"/>
    <w:basedOn w:val="35"/>
    <w:qFormat/>
    <w:uiPriority w:val="99"/>
    <w:pPr>
      <w:overflowPunct w:val="0"/>
      <w:autoSpaceDE w:val="0"/>
      <w:autoSpaceDN w:val="0"/>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auto" w:fill="FFFFF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auto" w:fill="auto"/>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auto" w:fill="auto"/>
      </w:tcPr>
    </w:tblStylePr>
    <w:tblStylePr w:type="band1Vert">
      <w:tcPr>
        <w:shd w:val="clear" w:color="auto" w:fill="D8E2F2" w:themeFill="accent1" w:themeFillTint="34"/>
      </w:tcPr>
    </w:tblStylePr>
    <w:tblStylePr w:type="band2Vert"/>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auto"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10">
    <w:name w:val="Grid Table 7 Colorful - Accent 2"/>
    <w:basedOn w:val="35"/>
    <w:qFormat/>
    <w:uiPriority w:val="99"/>
    <w:pPr>
      <w:overflowPunct w:val="0"/>
      <w:autoSpaceDE w:val="0"/>
      <w:autoSpaceDN w:val="0"/>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auto"/>
      </w:tcPr>
    </w:tblStylePr>
    <w:tblStylePr w:type="band1Vert">
      <w:tcPr>
        <w:shd w:val="clear" w:color="auto"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11">
    <w:name w:val="Grid Table 7 Colorful - Accent 3"/>
    <w:basedOn w:val="35"/>
    <w:qFormat/>
    <w:uiPriority w:val="99"/>
    <w:pPr>
      <w:overflowPunct w:val="0"/>
      <w:autoSpaceDE w:val="0"/>
      <w:autoSpaceDN w:val="0"/>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auto"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auto"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auto" w:fill="auto"/>
      </w:tcPr>
    </w:tblStylePr>
    <w:tblStylePr w:type="band1Vert">
      <w:tcPr>
        <w:shd w:val="clear" w:color="auto"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2">
    <w:name w:val="Grid Table 7 Colorful - Accent 4"/>
    <w:basedOn w:val="35"/>
    <w:qFormat/>
    <w:uiPriority w:val="99"/>
    <w:pPr>
      <w:overflowPunct w:val="0"/>
      <w:autoSpaceDE w:val="0"/>
      <w:autoSpaceDN w:val="0"/>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auto"/>
      </w:tcPr>
    </w:tblStylePr>
    <w:tblStylePr w:type="band1Vert">
      <w:tcPr>
        <w:shd w:val="clear" w:color="auto"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3">
    <w:name w:val="Grid Table 7 Colorful - Accent 5"/>
    <w:basedOn w:val="35"/>
    <w:qFormat/>
    <w:uiPriority w:val="99"/>
    <w:pPr>
      <w:overflowPunct w:val="0"/>
      <w:autoSpaceDE w:val="0"/>
      <w:autoSpaceDN w:val="0"/>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auto"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auto"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auto" w:fill="auto"/>
      </w:tcPr>
    </w:tblStylePr>
    <w:tblStylePr w:type="band1Vert">
      <w:tcPr>
        <w:shd w:val="clear" w:color="auto" w:fill="DDEAF6" w:themeFill="accent5" w:themeFillTint="34"/>
      </w:tcPr>
    </w:tblStylePr>
    <w:tblStylePr w:type="band2Vert"/>
    <w:tblStylePr w:type="band1Horz">
      <w:rPr>
        <w:rFonts w:ascii="Arial" w:hAnsi="Arial"/>
        <w:color w:val="245B8C" w:themeColor="accent5" w:themeShade="94"/>
        <w:sz w:val="22"/>
      </w:rPr>
      <w:tcPr>
        <w:shd w:val="clear" w:color="auto" w:fill="DDEAF6" w:themeFill="accent5" w:themeFillTint="34"/>
      </w:tcPr>
    </w:tblStylePr>
    <w:tblStylePr w:type="band2Horz">
      <w:rPr>
        <w:rFonts w:ascii="Arial" w:hAnsi="Arial"/>
        <w:color w:val="245B8C" w:themeColor="accent5" w:themeShade="94"/>
        <w:sz w:val="22"/>
      </w:rPr>
    </w:tblStylePr>
    <w:tblStylePr w:type="neCell"/>
    <w:tblStylePr w:type="nwCell"/>
    <w:tblStylePr w:type="seCell"/>
    <w:tblStylePr w:type="swCell"/>
  </w:style>
  <w:style w:type="table" w:customStyle="1" w:styleId="114">
    <w:name w:val="Grid Table 7 Colorful - Accent 6"/>
    <w:basedOn w:val="35"/>
    <w:qFormat/>
    <w:uiPriority w:val="99"/>
    <w:pPr>
      <w:overflowPunct w:val="0"/>
      <w:autoSpaceDE w:val="0"/>
      <w:autoSpaceDN w:val="0"/>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auto"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auto"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auto" w:fill="auto"/>
      </w:tcPr>
    </w:tblStylePr>
    <w:tblStylePr w:type="band1Vert">
      <w:tcPr>
        <w:shd w:val="clear" w:color="auto" w:fill="E1EFD8" w:themeFill="accent6" w:themeFillTint="34"/>
      </w:tcPr>
    </w:tblStylePr>
    <w:tblStylePr w:type="band2Vert"/>
    <w:tblStylePr w:type="band1Horz">
      <w:rPr>
        <w:rFonts w:ascii="Arial" w:hAnsi="Arial"/>
        <w:color w:val="416429" w:themeColor="accent6" w:themeShade="94"/>
        <w:sz w:val="22"/>
      </w:rPr>
      <w:tcPr>
        <w:shd w:val="clear" w:color="auto"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5">
    <w:name w:val="List Table 1 Light"/>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16">
    <w:name w:val="List Table 1 Light - Accent 1"/>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0DBF0" w:themeFill="accent1" w:themeFillTint="40"/>
      </w:tcPr>
    </w:tblStylePr>
    <w:tblStylePr w:type="band1Horz">
      <w:tcPr>
        <w:shd w:val="clear" w:color="auto" w:fill="D0DBF0" w:themeFill="accent1" w:themeFillTint="40"/>
      </w:tcPr>
    </w:tblStylePr>
    <w:tblStylePr w:type="neCell"/>
    <w:tblStylePr w:type="nwCell"/>
    <w:tblStylePr w:type="seCell"/>
    <w:tblStylePr w:type="swCell"/>
  </w:style>
  <w:style w:type="table" w:customStyle="1" w:styleId="117">
    <w:name w:val="List Table 1 Light - Accent 2"/>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ECB" w:themeFill="accent2" w:themeFillTint="40"/>
      </w:tcPr>
    </w:tblStylePr>
    <w:tblStylePr w:type="band1Horz">
      <w:tcPr>
        <w:shd w:val="clear" w:color="auto" w:fill="FADECB" w:themeFill="accent2" w:themeFillTint="40"/>
      </w:tcPr>
    </w:tblStylePr>
    <w:tblStylePr w:type="neCell"/>
    <w:tblStylePr w:type="nwCell"/>
    <w:tblStylePr w:type="seCell"/>
    <w:tblStylePr w:type="swCell"/>
  </w:style>
  <w:style w:type="table" w:customStyle="1" w:styleId="118">
    <w:name w:val="List Table 1 Light - Accent 3"/>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8E8E8" w:themeFill="accent3" w:themeFillTint="40"/>
      </w:tcPr>
    </w:tblStylePr>
    <w:tblStylePr w:type="band1Horz">
      <w:tcPr>
        <w:shd w:val="clear" w:color="auto" w:fill="E8E8E8" w:themeFill="accent3" w:themeFillTint="40"/>
      </w:tcPr>
    </w:tblStylePr>
    <w:tblStylePr w:type="neCell"/>
    <w:tblStylePr w:type="nwCell"/>
    <w:tblStylePr w:type="seCell"/>
    <w:tblStylePr w:type="swCell"/>
  </w:style>
  <w:style w:type="table" w:customStyle="1" w:styleId="119">
    <w:name w:val="List Table 1 Light - Accent 4"/>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FEFBE" w:themeFill="accent4" w:themeFillTint="40"/>
      </w:tcPr>
    </w:tblStylePr>
    <w:tblStylePr w:type="band1Horz">
      <w:tcPr>
        <w:shd w:val="clear" w:color="auto" w:fill="FFEFBE" w:themeFill="accent4" w:themeFillTint="40"/>
      </w:tcPr>
    </w:tblStylePr>
    <w:tblStylePr w:type="neCell"/>
    <w:tblStylePr w:type="nwCell"/>
    <w:tblStylePr w:type="seCell"/>
    <w:tblStylePr w:type="swCell"/>
  </w:style>
  <w:style w:type="table" w:customStyle="1" w:styleId="120">
    <w:name w:val="List Table 1 Light - Accent 5"/>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5E5F4" w:themeFill="accent5" w:themeFillTint="40"/>
      </w:tcPr>
    </w:tblStylePr>
    <w:tblStylePr w:type="band1Horz">
      <w:tcPr>
        <w:shd w:val="clear" w:color="auto" w:fill="D5E5F4" w:themeFill="accent5" w:themeFillTint="40"/>
      </w:tcPr>
    </w:tblStylePr>
    <w:tblStylePr w:type="neCell"/>
    <w:tblStylePr w:type="nwCell"/>
    <w:tblStylePr w:type="seCell"/>
    <w:tblStylePr w:type="swCell"/>
  </w:style>
  <w:style w:type="table" w:customStyle="1" w:styleId="121">
    <w:name w:val="List Table 1 Light - Accent 6"/>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AEBCF" w:themeFill="accent6" w:themeFillTint="40"/>
      </w:tcPr>
    </w:tblStylePr>
    <w:tblStylePr w:type="band1Horz">
      <w:tcPr>
        <w:shd w:val="clear" w:color="auto" w:fill="DAEBCF" w:themeFill="accent6" w:themeFillTint="40"/>
      </w:tcPr>
    </w:tblStylePr>
    <w:tblStylePr w:type="neCell"/>
    <w:tblStylePr w:type="nwCell"/>
    <w:tblStylePr w:type="seCell"/>
    <w:tblStylePr w:type="swCell"/>
  </w:style>
  <w:style w:type="table" w:customStyle="1" w:styleId="122">
    <w:name w:val="List Table 2"/>
    <w:basedOn w:val="35"/>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23">
    <w:name w:val="List Table 2 - Accent 1"/>
    <w:basedOn w:val="35"/>
    <w:qFormat/>
    <w:uiPriority w:val="99"/>
    <w:pPr>
      <w:overflowPunct w:val="0"/>
      <w:autoSpaceDE w:val="0"/>
      <w:autoSpaceDN w:val="0"/>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tblStylePr w:type="neCell"/>
    <w:tblStylePr w:type="nwCell"/>
    <w:tblStylePr w:type="seCell"/>
    <w:tblStylePr w:type="swCell"/>
  </w:style>
  <w:style w:type="table" w:customStyle="1" w:styleId="124">
    <w:name w:val="List Table 2 - Accent 2"/>
    <w:basedOn w:val="35"/>
    <w:qFormat/>
    <w:uiPriority w:val="99"/>
    <w:pPr>
      <w:overflowPunct w:val="0"/>
      <w:autoSpaceDE w:val="0"/>
      <w:autoSpaceDN w:val="0"/>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tblStylePr w:type="neCell"/>
    <w:tblStylePr w:type="nwCell"/>
    <w:tblStylePr w:type="seCell"/>
    <w:tblStylePr w:type="swCell"/>
  </w:style>
  <w:style w:type="table" w:customStyle="1" w:styleId="125">
    <w:name w:val="List Table 2 - Accent 3"/>
    <w:basedOn w:val="35"/>
    <w:qFormat/>
    <w:uiPriority w:val="99"/>
    <w:pPr>
      <w:overflowPunct w:val="0"/>
      <w:autoSpaceDE w:val="0"/>
      <w:autoSpaceDN w:val="0"/>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tblStylePr w:type="neCell"/>
    <w:tblStylePr w:type="nwCell"/>
    <w:tblStylePr w:type="seCell"/>
    <w:tblStylePr w:type="swCell"/>
  </w:style>
  <w:style w:type="table" w:customStyle="1" w:styleId="126">
    <w:name w:val="List Table 2 - Accent 4"/>
    <w:basedOn w:val="35"/>
    <w:qFormat/>
    <w:uiPriority w:val="99"/>
    <w:pPr>
      <w:overflowPunct w:val="0"/>
      <w:autoSpaceDE w:val="0"/>
      <w:autoSpaceDN w:val="0"/>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tblStylePr w:type="neCell"/>
    <w:tblStylePr w:type="nwCell"/>
    <w:tblStylePr w:type="seCell"/>
    <w:tblStylePr w:type="swCell"/>
  </w:style>
  <w:style w:type="table" w:customStyle="1" w:styleId="127">
    <w:name w:val="List Table 2 - Accent 5"/>
    <w:basedOn w:val="35"/>
    <w:qFormat/>
    <w:uiPriority w:val="99"/>
    <w:pPr>
      <w:overflowPunct w:val="0"/>
      <w:autoSpaceDE w:val="0"/>
      <w:autoSpaceDN w:val="0"/>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tblStylePr w:type="neCell"/>
    <w:tblStylePr w:type="nwCell"/>
    <w:tblStylePr w:type="seCell"/>
    <w:tblStylePr w:type="swCell"/>
  </w:style>
  <w:style w:type="table" w:customStyle="1" w:styleId="128">
    <w:name w:val="List Table 2 - Accent 6"/>
    <w:basedOn w:val="35"/>
    <w:qFormat/>
    <w:uiPriority w:val="99"/>
    <w:pPr>
      <w:overflowPunct w:val="0"/>
      <w:autoSpaceDE w:val="0"/>
      <w:autoSpaceDN w:val="0"/>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tblStylePr w:type="neCell"/>
    <w:tblStylePr w:type="nwCell"/>
    <w:tblStylePr w:type="seCell"/>
    <w:tblStylePr w:type="swCell"/>
  </w:style>
  <w:style w:type="table" w:customStyle="1" w:styleId="129">
    <w:name w:val="List Table 3"/>
    <w:basedOn w:val="35"/>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30">
    <w:name w:val="List Table 3 - Accent 1"/>
    <w:basedOn w:val="35"/>
    <w:qFormat/>
    <w:uiPriority w:val="99"/>
    <w:pPr>
      <w:overflowPunct w:val="0"/>
      <w:autoSpaceDE w:val="0"/>
      <w:autoSpaceDN w:val="0"/>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2Vert"/>
    <w:tblStylePr w:type="band1Horz">
      <w:rPr>
        <w:rFonts w:ascii="Arial" w:hAnsi="Arial"/>
        <w:color w:val="404040"/>
        <w:sz w:val="22"/>
      </w:rPr>
      <w:tcPr>
        <w:tcBorders>
          <w:top w:val="single" w:color="4472C4" w:themeColor="accent1" w:sz="4" w:space="0"/>
          <w:bottom w:val="single" w:color="4472C4" w:themeColor="accent1" w:sz="4" w:space="0"/>
        </w:tcBorders>
      </w:tcPr>
    </w:tblStylePr>
    <w:tblStylePr w:type="band2Horz"/>
    <w:tblStylePr w:type="neCell"/>
    <w:tblStylePr w:type="nwCell"/>
    <w:tblStylePr w:type="seCell"/>
    <w:tblStylePr w:type="swCell"/>
  </w:style>
  <w:style w:type="table" w:customStyle="1" w:styleId="131">
    <w:name w:val="List Table 3 - Accent 2"/>
    <w:basedOn w:val="35"/>
    <w:qFormat/>
    <w:uiPriority w:val="99"/>
    <w:pPr>
      <w:overflowPunct w:val="0"/>
      <w:autoSpaceDE w:val="0"/>
      <w:autoSpaceDN w:val="0"/>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auto"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32">
    <w:name w:val="List Table 3 - Accent 3"/>
    <w:basedOn w:val="35"/>
    <w:qFormat/>
    <w:uiPriority w:val="99"/>
    <w:pPr>
      <w:overflowPunct w:val="0"/>
      <w:autoSpaceDE w:val="0"/>
      <w:autoSpaceDN w:val="0"/>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33">
    <w:name w:val="List Table 3 - Accent 4"/>
    <w:basedOn w:val="35"/>
    <w:qFormat/>
    <w:uiPriority w:val="99"/>
    <w:pPr>
      <w:overflowPunct w:val="0"/>
      <w:autoSpaceDE w:val="0"/>
      <w:autoSpaceDN w:val="0"/>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auto"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34">
    <w:name w:val="List Table 3 - Accent 5"/>
    <w:basedOn w:val="35"/>
    <w:qFormat/>
    <w:uiPriority w:val="99"/>
    <w:pPr>
      <w:overflowPunct w:val="0"/>
      <w:autoSpaceDE w:val="0"/>
      <w:autoSpaceDN w:val="0"/>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2Vert"/>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tblStylePr w:type="band2Horz"/>
    <w:tblStylePr w:type="neCell"/>
    <w:tblStylePr w:type="nwCell"/>
    <w:tblStylePr w:type="seCell"/>
    <w:tblStylePr w:type="swCell"/>
  </w:style>
  <w:style w:type="table" w:customStyle="1" w:styleId="135">
    <w:name w:val="List Table 3 - Accent 6"/>
    <w:basedOn w:val="35"/>
    <w:qFormat/>
    <w:uiPriority w:val="99"/>
    <w:pPr>
      <w:overflowPunct w:val="0"/>
      <w:autoSpaceDE w:val="0"/>
      <w:autoSpaceDN w:val="0"/>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6">
    <w:name w:val="List Table 4"/>
    <w:basedOn w:val="35"/>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37">
    <w:name w:val="List Table 4 - Accent 1"/>
    <w:basedOn w:val="35"/>
    <w:qFormat/>
    <w:uiPriority w:val="99"/>
    <w:pPr>
      <w:overflowPunct w:val="0"/>
      <w:autoSpaceDE w:val="0"/>
      <w:autoSpaceDN w:val="0"/>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tblStylePr w:type="neCell"/>
    <w:tblStylePr w:type="nwCell"/>
    <w:tblStylePr w:type="seCell"/>
    <w:tblStylePr w:type="swCell"/>
  </w:style>
  <w:style w:type="table" w:customStyle="1" w:styleId="138">
    <w:name w:val="List Table 4 - Accent 2"/>
    <w:basedOn w:val="35"/>
    <w:qFormat/>
    <w:uiPriority w:val="99"/>
    <w:pPr>
      <w:overflowPunct w:val="0"/>
      <w:autoSpaceDE w:val="0"/>
      <w:autoSpaceDN w:val="0"/>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tblStylePr w:type="neCell"/>
    <w:tblStylePr w:type="nwCell"/>
    <w:tblStylePr w:type="seCell"/>
    <w:tblStylePr w:type="swCell"/>
  </w:style>
  <w:style w:type="table" w:customStyle="1" w:styleId="139">
    <w:name w:val="List Table 4 - Accent 3"/>
    <w:basedOn w:val="35"/>
    <w:qFormat/>
    <w:uiPriority w:val="99"/>
    <w:pPr>
      <w:overflowPunct w:val="0"/>
      <w:autoSpaceDE w:val="0"/>
      <w:autoSpaceDN w:val="0"/>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tblStylePr w:type="neCell"/>
    <w:tblStylePr w:type="nwCell"/>
    <w:tblStylePr w:type="seCell"/>
    <w:tblStylePr w:type="swCell"/>
  </w:style>
  <w:style w:type="table" w:customStyle="1" w:styleId="140">
    <w:name w:val="List Table 4 - Accent 4"/>
    <w:basedOn w:val="35"/>
    <w:qFormat/>
    <w:uiPriority w:val="99"/>
    <w:pPr>
      <w:overflowPunct w:val="0"/>
      <w:autoSpaceDE w:val="0"/>
      <w:autoSpaceDN w:val="0"/>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tblStylePr w:type="neCell"/>
    <w:tblStylePr w:type="nwCell"/>
    <w:tblStylePr w:type="seCell"/>
    <w:tblStylePr w:type="swCell"/>
  </w:style>
  <w:style w:type="table" w:customStyle="1" w:styleId="141">
    <w:name w:val="List Table 4 - Accent 5"/>
    <w:basedOn w:val="35"/>
    <w:qFormat/>
    <w:uiPriority w:val="99"/>
    <w:pPr>
      <w:overflowPunct w:val="0"/>
      <w:autoSpaceDE w:val="0"/>
      <w:autoSpaceDN w:val="0"/>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tblStylePr w:type="neCell"/>
    <w:tblStylePr w:type="nwCell"/>
    <w:tblStylePr w:type="seCell"/>
    <w:tblStylePr w:type="swCell"/>
  </w:style>
  <w:style w:type="table" w:customStyle="1" w:styleId="142">
    <w:name w:val="List Table 4 - Accent 6"/>
    <w:basedOn w:val="35"/>
    <w:qFormat/>
    <w:uiPriority w:val="99"/>
    <w:pPr>
      <w:overflowPunct w:val="0"/>
      <w:autoSpaceDE w:val="0"/>
      <w:autoSpaceDN w:val="0"/>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tblStylePr w:type="neCell"/>
    <w:tblStylePr w:type="nwCell"/>
    <w:tblStylePr w:type="seCell"/>
    <w:tblStylePr w:type="swCell"/>
  </w:style>
  <w:style w:type="table" w:customStyle="1" w:styleId="143">
    <w:name w:val="List Table 5 Dark"/>
    <w:basedOn w:val="35"/>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44">
    <w:name w:val="List Table 5 Dark - Accent 1"/>
    <w:basedOn w:val="35"/>
    <w:qFormat/>
    <w:uiPriority w:val="99"/>
    <w:pPr>
      <w:overflowPunct w:val="0"/>
      <w:autoSpaceDE w:val="0"/>
      <w:autoSpaceDN w:val="0"/>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auto"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auto"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472C4" w:themeFill="accent1"/>
      </w:tcPr>
    </w:tblStylePr>
    <w:tblStylePr w:type="band2Horz">
      <w:tcPr>
        <w:tcBorders>
          <w:top w:val="single" w:color="FFFFFF" w:themeColor="light1" w:sz="4" w:space="0"/>
          <w:bottom w:val="single" w:color="FFFFFF" w:themeColor="light1" w:sz="4" w:space="0"/>
        </w:tcBorders>
        <w:shd w:val="clear" w:color="auto" w:fill="4472C4" w:themeFill="accent1"/>
      </w:tcPr>
    </w:tblStylePr>
    <w:tblStylePr w:type="neCell"/>
    <w:tblStylePr w:type="nwCell"/>
    <w:tblStylePr w:type="seCell"/>
    <w:tblStylePr w:type="swCell"/>
  </w:style>
  <w:style w:type="table" w:customStyle="1" w:styleId="145">
    <w:name w:val="List Table 5 Dark - Accent 2"/>
    <w:basedOn w:val="35"/>
    <w:qFormat/>
    <w:uiPriority w:val="99"/>
    <w:pPr>
      <w:overflowPunct w:val="0"/>
      <w:autoSpaceDE w:val="0"/>
      <w:autoSpaceDN w:val="0"/>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285" w:themeFill="accent2" w:themeFillTint="97"/>
      </w:tcPr>
    </w:tblStylePr>
    <w:tblStylePr w:type="band2Horz">
      <w:tcPr>
        <w:tcBorders>
          <w:top w:val="single" w:color="FFFFFF" w:themeColor="light1" w:sz="4" w:space="0"/>
          <w:bottom w:val="single" w:color="FFFFFF" w:themeColor="light1" w:sz="4" w:space="0"/>
        </w:tcBorders>
        <w:shd w:val="clear" w:color="auto" w:fill="F4B285" w:themeFill="accent2" w:themeFillTint="97"/>
      </w:tcPr>
    </w:tblStylePr>
    <w:tblStylePr w:type="neCell"/>
    <w:tblStylePr w:type="nwCell"/>
    <w:tblStylePr w:type="seCell"/>
    <w:tblStylePr w:type="swCell"/>
  </w:style>
  <w:style w:type="table" w:customStyle="1" w:styleId="146">
    <w:name w:val="List Table 5 Dark - Accent 3"/>
    <w:basedOn w:val="35"/>
    <w:qFormat/>
    <w:uiPriority w:val="99"/>
    <w:pPr>
      <w:overflowPunct w:val="0"/>
      <w:autoSpaceDE w:val="0"/>
      <w:autoSpaceDN w:val="0"/>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9C9C9" w:themeFill="accent3" w:themeFillTint="98"/>
      </w:tcPr>
    </w:tblStylePr>
    <w:tblStylePr w:type="band2Horz">
      <w:tcPr>
        <w:tcBorders>
          <w:top w:val="single" w:color="FFFFFF" w:themeColor="light1" w:sz="4" w:space="0"/>
          <w:bottom w:val="single" w:color="FFFFFF" w:themeColor="light1" w:sz="4" w:space="0"/>
        </w:tcBorders>
        <w:shd w:val="clear" w:color="auto" w:fill="C9C9C9" w:themeFill="accent3" w:themeFillTint="98"/>
      </w:tcPr>
    </w:tblStylePr>
    <w:tblStylePr w:type="neCell"/>
    <w:tblStylePr w:type="nwCell"/>
    <w:tblStylePr w:type="seCell"/>
    <w:tblStylePr w:type="swCell"/>
  </w:style>
  <w:style w:type="table" w:customStyle="1" w:styleId="147">
    <w:name w:val="List Table 5 Dark - Accent 4"/>
    <w:basedOn w:val="35"/>
    <w:qFormat/>
    <w:uiPriority w:val="99"/>
    <w:pPr>
      <w:overflowPunct w:val="0"/>
      <w:autoSpaceDE w:val="0"/>
      <w:autoSpaceDN w:val="0"/>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FD864" w:themeFill="accent4" w:themeFillTint="9A"/>
      </w:tcPr>
    </w:tblStylePr>
    <w:tblStylePr w:type="band2Horz">
      <w:tcPr>
        <w:tcBorders>
          <w:top w:val="single" w:color="FFFFFF" w:themeColor="light1" w:sz="4" w:space="0"/>
          <w:bottom w:val="single" w:color="FFFFFF" w:themeColor="light1" w:sz="4" w:space="0"/>
        </w:tcBorders>
        <w:shd w:val="clear" w:color="auto" w:fill="FFD864" w:themeFill="accent4" w:themeFillTint="9A"/>
      </w:tcPr>
    </w:tblStylePr>
    <w:tblStylePr w:type="neCell"/>
    <w:tblStylePr w:type="nwCell"/>
    <w:tblStylePr w:type="seCell"/>
    <w:tblStylePr w:type="swCell"/>
  </w:style>
  <w:style w:type="table" w:customStyle="1" w:styleId="148">
    <w:name w:val="List Table 5 Dark - Accent 5"/>
    <w:basedOn w:val="35"/>
    <w:qFormat/>
    <w:uiPriority w:val="99"/>
    <w:pPr>
      <w:overflowPunct w:val="0"/>
      <w:autoSpaceDE w:val="0"/>
      <w:autoSpaceDN w:val="0"/>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auto"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BC2E5" w:themeFill="accent5" w:themeFillTint="9A"/>
      </w:tcPr>
    </w:tblStylePr>
    <w:tblStylePr w:type="band2Horz">
      <w:tcPr>
        <w:tcBorders>
          <w:top w:val="single" w:color="FFFFFF" w:themeColor="light1" w:sz="4" w:space="0"/>
          <w:bottom w:val="single" w:color="FFFFFF" w:themeColor="light1" w:sz="4" w:space="0"/>
        </w:tcBorders>
        <w:shd w:val="clear" w:color="auto" w:fill="9BC2E5" w:themeFill="accent5" w:themeFillTint="9A"/>
      </w:tcPr>
    </w:tblStylePr>
    <w:tblStylePr w:type="neCell"/>
    <w:tblStylePr w:type="nwCell"/>
    <w:tblStylePr w:type="seCell"/>
    <w:tblStylePr w:type="swCell"/>
  </w:style>
  <w:style w:type="table" w:customStyle="1" w:styleId="149">
    <w:name w:val="List Table 5 Dark - Accent 6"/>
    <w:basedOn w:val="35"/>
    <w:qFormat/>
    <w:uiPriority w:val="99"/>
    <w:pPr>
      <w:overflowPunct w:val="0"/>
      <w:autoSpaceDE w:val="0"/>
      <w:autoSpaceDN w:val="0"/>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9D08E" w:themeFill="accent6" w:themeFillTint="98"/>
      </w:tcPr>
    </w:tblStylePr>
    <w:tblStylePr w:type="band2Horz">
      <w:tcPr>
        <w:tcBorders>
          <w:top w:val="single" w:color="FFFFFF" w:themeColor="light1" w:sz="4" w:space="0"/>
          <w:bottom w:val="single" w:color="FFFFFF" w:themeColor="light1" w:sz="4" w:space="0"/>
        </w:tcBorders>
        <w:shd w:val="clear" w:color="auto" w:fill="A9D08E" w:themeFill="accent6" w:themeFillTint="98"/>
      </w:tcPr>
    </w:tblStylePr>
    <w:tblStylePr w:type="neCell"/>
    <w:tblStylePr w:type="nwCell"/>
    <w:tblStylePr w:type="seCell"/>
    <w:tblStylePr w:type="swCell"/>
  </w:style>
  <w:style w:type="table" w:customStyle="1" w:styleId="150">
    <w:name w:val="List Table 6 Colorful"/>
    <w:basedOn w:val="35"/>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51">
    <w:name w:val="List Table 6 Colorful - Accent 1"/>
    <w:basedOn w:val="35"/>
    <w:qFormat/>
    <w:uiPriority w:val="99"/>
    <w:pPr>
      <w:overflowPunct w:val="0"/>
      <w:autoSpaceDE w:val="0"/>
      <w:autoSpaceDN w:val="0"/>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auto" w:fill="D0DBF0" w:themeFill="accent1" w:themeFillTint="40"/>
      </w:tcPr>
    </w:tblStylePr>
    <w:tblStylePr w:type="band2Vert"/>
    <w:tblStylePr w:type="band1Horz">
      <w:rPr>
        <w:rFonts w:ascii="Arial" w:hAnsi="Arial"/>
        <w:color w:val="254174" w:themeColor="accent1" w:themeShade="94"/>
        <w:sz w:val="22"/>
      </w:rPr>
      <w:tcPr>
        <w:shd w:val="clear" w:color="auto" w:fill="D0DBF0" w:themeFill="accent1" w:themeFillTint="40"/>
      </w:tcPr>
    </w:tblStylePr>
    <w:tblStylePr w:type="band2Horz">
      <w:rPr>
        <w:rFonts w:ascii="Arial" w:hAnsi="Arial"/>
        <w:color w:val="254174" w:themeColor="accent1" w:themeShade="94"/>
        <w:sz w:val="22"/>
      </w:rPr>
    </w:tblStylePr>
    <w:tblStylePr w:type="neCell"/>
    <w:tblStylePr w:type="nwCell"/>
    <w:tblStylePr w:type="seCell"/>
    <w:tblStylePr w:type="swCell"/>
  </w:style>
  <w:style w:type="table" w:customStyle="1" w:styleId="152">
    <w:name w:val="List Table 6 Colorful - Accent 2"/>
    <w:basedOn w:val="35"/>
    <w:qFormat/>
    <w:uiPriority w:val="99"/>
    <w:pPr>
      <w:overflowPunct w:val="0"/>
      <w:autoSpaceDE w:val="0"/>
      <w:autoSpaceDN w:val="0"/>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3">
    <w:name w:val="List Table 6 Colorful - Accent 3"/>
    <w:basedOn w:val="35"/>
    <w:qFormat/>
    <w:uiPriority w:val="99"/>
    <w:pPr>
      <w:overflowPunct w:val="0"/>
      <w:autoSpaceDE w:val="0"/>
      <w:autoSpaceDN w:val="0"/>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auto"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4">
    <w:name w:val="List Table 6 Colorful - Accent 4"/>
    <w:basedOn w:val="35"/>
    <w:qFormat/>
    <w:uiPriority w:val="99"/>
    <w:pPr>
      <w:overflowPunct w:val="0"/>
      <w:autoSpaceDE w:val="0"/>
      <w:autoSpaceDN w:val="0"/>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5">
    <w:name w:val="List Table 6 Colorful - Accent 5"/>
    <w:basedOn w:val="35"/>
    <w:qFormat/>
    <w:uiPriority w:val="99"/>
    <w:pPr>
      <w:overflowPunct w:val="0"/>
      <w:autoSpaceDE w:val="0"/>
      <w:autoSpaceDN w:val="0"/>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auto" w:fill="D5E5F4" w:themeFill="accent5" w:themeFillTint="40"/>
      </w:tcPr>
    </w:tblStylePr>
    <w:tblStylePr w:type="band2Vert"/>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auto"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6">
    <w:name w:val="List Table 6 Colorful - Accent 6"/>
    <w:basedOn w:val="35"/>
    <w:qFormat/>
    <w:uiPriority w:val="99"/>
    <w:pPr>
      <w:overflowPunct w:val="0"/>
      <w:autoSpaceDE w:val="0"/>
      <w:autoSpaceDN w:val="0"/>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auto"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7">
    <w:name w:val="List Table 7 Colorful"/>
    <w:basedOn w:val="35"/>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8">
    <w:name w:val="List Table 7 Colorful - Accent 1"/>
    <w:basedOn w:val="35"/>
    <w:qFormat/>
    <w:uiPriority w:val="99"/>
    <w:pPr>
      <w:overflowPunct w:val="0"/>
      <w:autoSpaceDE w:val="0"/>
      <w:autoSpaceDN w:val="0"/>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auto"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auto"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auto" w:fill="auto"/>
      </w:tcPr>
    </w:tblStylePr>
    <w:tblStylePr w:type="band1Vert">
      <w:tcPr>
        <w:shd w:val="clear" w:color="auto" w:fill="D0DBF0" w:themeFill="accent1" w:themeFillTint="40"/>
      </w:tcPr>
    </w:tblStylePr>
    <w:tblStylePr w:type="band2Vert"/>
    <w:tblStylePr w:type="band1Horz">
      <w:rPr>
        <w:rFonts w:ascii="Arial" w:hAnsi="Arial"/>
        <w:color w:val="254174" w:themeColor="accent1" w:themeShade="94"/>
        <w:sz w:val="22"/>
      </w:rPr>
      <w:tcPr>
        <w:shd w:val="clear" w:color="auto" w:fill="D0DBF0" w:themeFill="accent1" w:themeFillTint="40"/>
      </w:tcPr>
    </w:tblStylePr>
    <w:tblStylePr w:type="band2Horz">
      <w:rPr>
        <w:rFonts w:ascii="Arial" w:hAnsi="Arial"/>
        <w:color w:val="254174" w:themeColor="accent1" w:themeShade="94"/>
        <w:sz w:val="22"/>
      </w:rPr>
    </w:tblStylePr>
    <w:tblStylePr w:type="neCell"/>
    <w:tblStylePr w:type="nwCell"/>
    <w:tblStylePr w:type="seCell"/>
    <w:tblStylePr w:type="swCell"/>
  </w:style>
  <w:style w:type="table" w:customStyle="1" w:styleId="159">
    <w:name w:val="List Table 7 Colorful - Accent 2"/>
    <w:basedOn w:val="35"/>
    <w:qFormat/>
    <w:uiPriority w:val="99"/>
    <w:pPr>
      <w:overflowPunct w:val="0"/>
      <w:autoSpaceDE w:val="0"/>
      <w:autoSpaceDN w:val="0"/>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auto"/>
      </w:tcPr>
    </w:tblStylePr>
    <w:tblStylePr w:type="band1Vert">
      <w:tcPr>
        <w:shd w:val="clear" w:color="auto"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60">
    <w:name w:val="List Table 7 Colorful - Accent 3"/>
    <w:basedOn w:val="35"/>
    <w:qFormat/>
    <w:uiPriority w:val="99"/>
    <w:pPr>
      <w:overflowPunct w:val="0"/>
      <w:autoSpaceDE w:val="0"/>
      <w:autoSpaceDN w:val="0"/>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auto"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auto"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auto" w:fill="auto"/>
      </w:tcPr>
    </w:tblStylePr>
    <w:tblStylePr w:type="band1Vert">
      <w:tcPr>
        <w:shd w:val="clear" w:color="auto"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61">
    <w:name w:val="List Table 7 Colorful - Accent 4"/>
    <w:basedOn w:val="35"/>
    <w:qFormat/>
    <w:uiPriority w:val="99"/>
    <w:pPr>
      <w:overflowPunct w:val="0"/>
      <w:autoSpaceDE w:val="0"/>
      <w:autoSpaceDN w:val="0"/>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auto"/>
      </w:tcPr>
    </w:tblStylePr>
    <w:tblStylePr w:type="band1Vert">
      <w:tcPr>
        <w:shd w:val="clear" w:color="auto"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2">
    <w:name w:val="List Table 7 Colorful - Accent 5"/>
    <w:basedOn w:val="35"/>
    <w:qFormat/>
    <w:uiPriority w:val="99"/>
    <w:pPr>
      <w:overflowPunct w:val="0"/>
      <w:autoSpaceDE w:val="0"/>
      <w:autoSpaceDN w:val="0"/>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auto"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auto"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auto" w:fill="auto"/>
      </w:tcPr>
    </w:tblStylePr>
    <w:tblStylePr w:type="band1Vert">
      <w:tcPr>
        <w:shd w:val="clear" w:color="auto" w:fill="D5E5F4" w:themeFill="accent5" w:themeFillTint="40"/>
      </w:tcPr>
    </w:tblStylePr>
    <w:tblStylePr w:type="band2Vert"/>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auto"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3">
    <w:name w:val="List Table 7 Colorful - Accent 6"/>
    <w:basedOn w:val="35"/>
    <w:qFormat/>
    <w:uiPriority w:val="99"/>
    <w:pPr>
      <w:overflowPunct w:val="0"/>
      <w:autoSpaceDE w:val="0"/>
      <w:autoSpaceDN w:val="0"/>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auto"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auto"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auto" w:fill="auto"/>
      </w:tcPr>
    </w:tblStylePr>
    <w:tblStylePr w:type="band1Vert">
      <w:tcPr>
        <w:shd w:val="clear" w:color="auto"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4">
    <w:name w:val="Lined - Accent"/>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5">
    <w:name w:val="Lined - Accent 1"/>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66">
    <w:name w:val="Lined - Accent 2"/>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7">
    <w:name w:val="Lined - Accent 3"/>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68">
    <w:name w:val="Lined - Accent 4"/>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69">
    <w:name w:val="Lined - Accent 5"/>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170">
    <w:name w:val="Lined - Accent 6"/>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171">
    <w:name w:val="Bordered &amp; Lined - Accent"/>
    <w:basedOn w:val="35"/>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72">
    <w:name w:val="Bordered &amp; Lined - Accent 1"/>
    <w:basedOn w:val="35"/>
    <w:qFormat/>
    <w:uiPriority w:val="99"/>
    <w:pPr>
      <w:overflowPunct w:val="0"/>
      <w:autoSpaceDE w:val="0"/>
      <w:autoSpaceDN w:val="0"/>
      <w:spacing w:after="0" w:line="240" w:lineRule="auto"/>
    </w:pPr>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73">
    <w:name w:val="Bordered &amp; Lined - Accent 2"/>
    <w:basedOn w:val="35"/>
    <w:qFormat/>
    <w:uiPriority w:val="99"/>
    <w:pPr>
      <w:overflowPunct w:val="0"/>
      <w:autoSpaceDE w:val="0"/>
      <w:autoSpaceDN w:val="0"/>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74">
    <w:name w:val="Bordered &amp; Lined - Accent 3"/>
    <w:basedOn w:val="35"/>
    <w:qFormat/>
    <w:uiPriority w:val="99"/>
    <w:pPr>
      <w:overflowPunct w:val="0"/>
      <w:autoSpaceDE w:val="0"/>
      <w:autoSpaceDN w:val="0"/>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75">
    <w:name w:val="Bordered &amp; Lined - Accent 4"/>
    <w:basedOn w:val="35"/>
    <w:qFormat/>
    <w:uiPriority w:val="99"/>
    <w:pPr>
      <w:overflowPunct w:val="0"/>
      <w:autoSpaceDE w:val="0"/>
      <w:autoSpaceDN w:val="0"/>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76">
    <w:name w:val="Bordered &amp; Lined - Accent 5"/>
    <w:basedOn w:val="35"/>
    <w:qFormat/>
    <w:uiPriority w:val="99"/>
    <w:pPr>
      <w:overflowPunct w:val="0"/>
      <w:autoSpaceDE w:val="0"/>
      <w:autoSpaceDN w:val="0"/>
      <w:spacing w:after="0" w:line="240" w:lineRule="auto"/>
    </w:pPr>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177">
    <w:name w:val="Bordered &amp; Lined - Accent 6"/>
    <w:basedOn w:val="35"/>
    <w:qFormat/>
    <w:uiPriority w:val="99"/>
    <w:pPr>
      <w:overflowPunct w:val="0"/>
      <w:autoSpaceDE w:val="0"/>
      <w:autoSpaceDN w:val="0"/>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178">
    <w:name w:val="Bordered"/>
    <w:basedOn w:val="35"/>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9">
    <w:name w:val="Bordered - Accent 1"/>
    <w:basedOn w:val="35"/>
    <w:qFormat/>
    <w:uiPriority w:val="99"/>
    <w:pPr>
      <w:overflowPunct w:val="0"/>
      <w:autoSpaceDE w:val="0"/>
      <w:autoSpaceDN w:val="0"/>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Vert"/>
    <w:tblStylePr w:type="band2Vert"/>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tblStylePr w:type="band2Horz"/>
    <w:tblStylePr w:type="neCell"/>
    <w:tblStylePr w:type="nwCell"/>
    <w:tblStylePr w:type="seCell"/>
    <w:tblStylePr w:type="swCell"/>
  </w:style>
  <w:style w:type="table" w:customStyle="1" w:styleId="180">
    <w:name w:val="Bordered - Accent 2"/>
    <w:basedOn w:val="35"/>
    <w:qFormat/>
    <w:uiPriority w:val="99"/>
    <w:pPr>
      <w:overflowPunct w:val="0"/>
      <w:autoSpaceDE w:val="0"/>
      <w:autoSpaceDN w:val="0"/>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81">
    <w:name w:val="Bordered - Accent 3"/>
    <w:basedOn w:val="35"/>
    <w:qFormat/>
    <w:uiPriority w:val="99"/>
    <w:pPr>
      <w:overflowPunct w:val="0"/>
      <w:autoSpaceDE w:val="0"/>
      <w:autoSpaceDN w:val="0"/>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82">
    <w:name w:val="Bordered - Accent 4"/>
    <w:basedOn w:val="35"/>
    <w:qFormat/>
    <w:uiPriority w:val="99"/>
    <w:pPr>
      <w:overflowPunct w:val="0"/>
      <w:autoSpaceDE w:val="0"/>
      <w:autoSpaceDN w:val="0"/>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83">
    <w:name w:val="Bordered - Accent 5"/>
    <w:basedOn w:val="35"/>
    <w:qFormat/>
    <w:uiPriority w:val="99"/>
    <w:pPr>
      <w:overflowPunct w:val="0"/>
      <w:autoSpaceDE w:val="0"/>
      <w:autoSpaceDN w:val="0"/>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Vert"/>
    <w:tblStylePr w:type="band2Vert"/>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2Horz"/>
    <w:tblStylePr w:type="neCell"/>
    <w:tblStylePr w:type="nwCell"/>
    <w:tblStylePr w:type="seCell"/>
    <w:tblStylePr w:type="swCell"/>
  </w:style>
  <w:style w:type="table" w:customStyle="1" w:styleId="184">
    <w:name w:val="Bordered - Accent 6"/>
    <w:basedOn w:val="35"/>
    <w:qFormat/>
    <w:uiPriority w:val="99"/>
    <w:pPr>
      <w:overflowPunct w:val="0"/>
      <w:autoSpaceDE w:val="0"/>
      <w:autoSpaceDN w:val="0"/>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5">
    <w:name w:val="Footnote Text Char"/>
    <w:link w:val="28"/>
    <w:qFormat/>
    <w:uiPriority w:val="99"/>
    <w:rPr>
      <w:sz w:val="18"/>
    </w:rPr>
  </w:style>
  <w:style w:type="paragraph" w:customStyle="1" w:styleId="186">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32"/>
      <w:szCs w:val="22"/>
      <w:lang w:val="en-US" w:eastAsia="en-US" w:bidi="en-US"/>
    </w:rPr>
  </w:style>
  <w:style w:type="paragraph" w:customStyle="1" w:styleId="187">
    <w:name w:val="文档正文"/>
    <w:basedOn w:val="1"/>
    <w:qFormat/>
    <w:uiPriority w:val="99"/>
    <w:pPr>
      <w:spacing w:line="480" w:lineRule="atLeast"/>
      <w:ind w:firstLine="567"/>
    </w:pPr>
    <w:rPr>
      <w:rFonts w:ascii="????"/>
      <w:kern w:val="0"/>
      <w:szCs w:val="21"/>
    </w:rPr>
  </w:style>
  <w:style w:type="paragraph" w:styleId="188">
    <w:name w:val="List Paragraph"/>
    <w:basedOn w:val="1"/>
    <w:qFormat/>
    <w:uiPriority w:val="34"/>
    <w:pPr>
      <w:ind w:firstLine="420" w:firstLineChars="200"/>
    </w:pPr>
  </w:style>
  <w:style w:type="character" w:customStyle="1" w:styleId="189">
    <w:name w:val="页眉 字符"/>
    <w:basedOn w:val="37"/>
    <w:link w:val="24"/>
    <w:qFormat/>
    <w:uiPriority w:val="99"/>
    <w:rPr>
      <w:rFonts w:ascii="Times New Roman" w:hAnsi="Times New Roman" w:eastAsia="宋体" w:cs="Times New Roman"/>
      <w:sz w:val="18"/>
      <w:szCs w:val="18"/>
    </w:rPr>
  </w:style>
  <w:style w:type="character" w:customStyle="1" w:styleId="190">
    <w:name w:val="页脚 字符"/>
    <w:basedOn w:val="37"/>
    <w:link w:val="23"/>
    <w:qFormat/>
    <w:uiPriority w:val="99"/>
    <w:rPr>
      <w:rFonts w:ascii="Times New Roman" w:hAnsi="Times New Roman" w:eastAsia="宋体" w:cs="Times New Roman"/>
      <w:sz w:val="18"/>
      <w:szCs w:val="18"/>
    </w:rPr>
  </w:style>
  <w:style w:type="character" w:customStyle="1" w:styleId="191">
    <w:name w:val="标题 1 字符"/>
    <w:basedOn w:val="37"/>
    <w:link w:val="4"/>
    <w:qFormat/>
    <w:uiPriority w:val="9"/>
    <w:rPr>
      <w:rFonts w:eastAsia="黑体"/>
      <w:bCs/>
      <w:kern w:val="44"/>
      <w:sz w:val="32"/>
      <w:szCs w:val="44"/>
    </w:rPr>
  </w:style>
  <w:style w:type="character" w:customStyle="1" w:styleId="192">
    <w:name w:val="批注框文本 字符"/>
    <w:basedOn w:val="37"/>
    <w:link w:val="22"/>
    <w:semiHidden/>
    <w:qFormat/>
    <w:uiPriority w:val="99"/>
    <w:rPr>
      <w:rFonts w:eastAsia="仿宋"/>
      <w:kern w:val="2"/>
      <w:sz w:val="18"/>
      <w:szCs w:val="18"/>
    </w:rPr>
  </w:style>
  <w:style w:type="character" w:customStyle="1" w:styleId="193">
    <w:name w:val="日期 字符"/>
    <w:basedOn w:val="37"/>
    <w:link w:val="21"/>
    <w:semiHidden/>
    <w:qFormat/>
    <w:uiPriority w:val="99"/>
    <w:rPr>
      <w:rFonts w:eastAsia="仿宋"/>
      <w:kern w:val="2"/>
      <w:sz w:val="32"/>
    </w:rPr>
  </w:style>
  <w:style w:type="character" w:customStyle="1" w:styleId="194">
    <w:name w:val="纯文本 字符"/>
    <w:basedOn w:val="37"/>
    <w:link w:val="19"/>
    <w:qFormat/>
    <w:uiPriority w:val="0"/>
    <w:rPr>
      <w:rFonts w:ascii="宋体" w:hAnsi="Courier New" w:cs="Courier New"/>
      <w:kern w:val="2"/>
      <w:sz w:val="21"/>
      <w:szCs w:val="21"/>
    </w:rPr>
  </w:style>
  <w:style w:type="paragraph" w:customStyle="1" w:styleId="195">
    <w:name w:val="引用1"/>
    <w:next w:val="1"/>
    <w:qFormat/>
    <w:uiPriority w:val="0"/>
    <w:pPr>
      <w:widowControl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jc w:val="both"/>
    </w:pPr>
    <w:rPr>
      <w:rFonts w:hint="default" w:ascii="Calibri" w:hAnsi="Calibri" w:eastAsia="宋体" w:cs="Calibri"/>
      <w:i/>
      <w:iCs/>
      <w:color w:val="000000"/>
      <w:spacing w:val="0"/>
      <w:kern w:val="2"/>
      <w:position w:val="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28</Pages>
  <Words>6939</Words>
  <Characters>7079</Characters>
  <TotalTime>2</TotalTime>
  <ScaleCrop>false</ScaleCrop>
  <LinksUpToDate>false</LinksUpToDate>
  <CharactersWithSpaces>7087</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2018-01-22T00:50:00Z</dcterms:created>
  <dc:creator>技术支持</dc:creator>
  <cp:lastModifiedBy>智建中心伟大的采购</cp:lastModifiedBy>
  <dcterms:modified xsi:type="dcterms:W3CDTF">2025-04-02T10:56:09Z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eyJoZGlkIjoiODMxMTNiZjU1OWI4OGY0NDFmMWVlNTE1MmQ2MGRhMDciLCJ1c2VySWQiOiIxNTUzMTI3MjYyIn0=</vt:lpwstr>
  </property>
  <property fmtid="{D5CDD505-2E9C-101B-9397-08002B2CF9AE}" pid="3" name="KSOProductBuildVer">
    <vt:lpwstr>2052-11.8.2.1131</vt:lpwstr>
  </property>
  <property fmtid="{D5CDD505-2E9C-101B-9397-08002B2CF9AE}" pid="4" name="ICV">
    <vt:lpwstr>A6A59EF9BD12478F843E0C3AD2D45419_12</vt:lpwstr>
  </property>
</Properties>
</file>