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lang w:eastAsia="zh-CN" w:bidi="ar"/>
        </w:rPr>
        <w:t>深圳市深汕特别合作区城市管理和综合执法局</w:t>
      </w:r>
      <w:r>
        <w:rPr>
          <w:rFonts w:hint="eastAsia" w:ascii="方正小标宋_GBK" w:hAnsi="方正小标宋_GBK" w:eastAsia="方正小标宋_GBK" w:cs="方正小标宋_GBK"/>
          <w:bCs/>
          <w:color w:val="000000"/>
          <w:sz w:val="44"/>
          <w:szCs w:val="44"/>
          <w:shd w:val="clear" w:color="auto" w:fill="FFFFFF"/>
          <w:lang w:val="en-US" w:eastAsia="zh-CN"/>
        </w:rPr>
        <w:t>2025-2026年郊野径、古驿道管养服务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项目采购公告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根据《深圳市深汕特别合作区政府采购管理暂行办法》的要求，我局拟开展深汕特别合作区2025-2026年管养服务采购工作，</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lang w:val="en-US" w:eastAsia="zh-CN"/>
        </w:rPr>
        <w:t>诚发布采购公告</w:t>
      </w:r>
      <w:r>
        <w:rPr>
          <w:rFonts w:hint="eastAsia" w:ascii="仿宋_GB2312" w:hAnsi="仿宋_GB2312" w:eastAsia="仿宋_GB2312" w:cs="仿宋_GB2312"/>
          <w:b w:val="0"/>
          <w:bCs w:val="0"/>
          <w:kern w:val="2"/>
          <w:sz w:val="32"/>
          <w:szCs w:val="32"/>
          <w:highlight w:val="none"/>
          <w:lang w:val="en-US" w:eastAsia="zh-CN" w:bidi="ar-SA"/>
        </w:rPr>
        <w:t>，有关事项说明如下：</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lang w:eastAsia="zh-CN"/>
        </w:rPr>
        <w:t>项目概况</w:t>
      </w:r>
      <w:r>
        <w:rPr>
          <w:rFonts w:hint="eastAsia" w:ascii="黑体" w:hAnsi="黑体" w:eastAsia="黑体" w:cs="Times New Roman"/>
          <w:color w:val="000000"/>
          <w:sz w:val="32"/>
          <w:szCs w:val="32"/>
          <w:lang w:eastAsia="zh-CN"/>
        </w:rPr>
        <w:tab/>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1.采购单位：深圳市深汕特别合作区城市管理和综合执法局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2.项目名称：深圳市深汕特别合作区2025-2026年郊野径、古驿道管养服务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3.项目编号：JYCG-DECL-2025-32614</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highlight w:val="none"/>
          <w:lang w:val="en" w:eastAsia="zh-CN" w:bidi="ar-SA"/>
        </w:rPr>
      </w:pPr>
      <w:r>
        <w:rPr>
          <w:rFonts w:hint="eastAsia" w:ascii="仿宋_GB2312" w:hAnsi="仿宋_GB2312" w:eastAsia="仿宋_GB2312" w:cs="仿宋_GB2312"/>
          <w:b w:val="0"/>
          <w:bCs w:val="0"/>
          <w:kern w:val="2"/>
          <w:sz w:val="32"/>
          <w:szCs w:val="32"/>
          <w:highlight w:val="none"/>
          <w:lang w:val="en-US" w:eastAsia="zh-CN" w:bidi="ar-SA"/>
        </w:rPr>
        <w:t>4.服务采购预算控制价：42万元以内（其中有3.8万元为固定不可调项）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5.采购信息：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sz w:val="32"/>
          <w:szCs w:val="32"/>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一</w:t>
      </w:r>
      <w:r>
        <w:rPr>
          <w:rFonts w:hint="eastAsia" w:ascii="楷体" w:hAnsi="楷体" w:eastAsia="楷体" w:cs="Times New Roman"/>
          <w:sz w:val="32"/>
          <w:szCs w:val="32"/>
          <w:lang w:eastAsia="zh-CN"/>
        </w:rPr>
        <w:t>）</w:t>
      </w:r>
      <w:r>
        <w:rPr>
          <w:rFonts w:hint="eastAsia" w:ascii="楷体" w:hAnsi="楷体" w:eastAsia="楷体" w:cs="Times New Roman"/>
          <w:sz w:val="32"/>
          <w:szCs w:val="32"/>
        </w:rPr>
        <w:t>服务内容（范围）</w:t>
      </w:r>
    </w:p>
    <w:p>
      <w:pPr>
        <w:pStyle w:val="11"/>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仿宋_GB2312" w:hAnsi="仿宋_GB2312" w:eastAsia="仿宋_GB2312" w:cs="仿宋_GB2312"/>
          <w:b/>
          <w:bCs/>
          <w:color w:val="auto"/>
          <w:kern w:val="0"/>
          <w:sz w:val="32"/>
          <w:szCs w:val="32"/>
          <w:highlight w:val="none"/>
          <w:shd w:val="clear" w:color="auto" w:fill="FFFFFF"/>
          <w:lang w:val="en-US" w:eastAsia="zh-CN" w:bidi="ar"/>
        </w:rPr>
      </w:pPr>
      <w:r>
        <w:rPr>
          <w:rFonts w:hint="default" w:ascii="仿宋_GB2312" w:hAnsi="仿宋_GB2312" w:eastAsia="仿宋_GB2312" w:cs="仿宋_GB2312"/>
          <w:color w:val="auto"/>
          <w:kern w:val="0"/>
          <w:sz w:val="32"/>
          <w:szCs w:val="32"/>
          <w:shd w:val="clear" w:color="auto" w:fill="FFFFFF"/>
          <w:lang w:val="en-US" w:eastAsia="zh-CN" w:bidi="ar"/>
        </w:rPr>
        <w:t>对</w:t>
      </w:r>
      <w:r>
        <w:rPr>
          <w:rFonts w:hint="eastAsia" w:ascii="仿宋_GB2312" w:hAnsi="仿宋_GB2312" w:eastAsia="仿宋_GB2312" w:cs="仿宋_GB2312"/>
          <w:color w:val="auto"/>
          <w:kern w:val="0"/>
          <w:sz w:val="32"/>
          <w:szCs w:val="32"/>
          <w:shd w:val="clear" w:color="auto" w:fill="FFFFFF"/>
          <w:lang w:val="en-US" w:eastAsia="zh-CN" w:bidi="ar"/>
        </w:rPr>
        <w:t>深汕特别合作区</w:t>
      </w:r>
      <w:r>
        <w:rPr>
          <w:rFonts w:hint="default" w:ascii="仿宋_GB2312" w:hAnsi="仿宋_GB2312" w:eastAsia="仿宋_GB2312" w:cs="仿宋_GB2312"/>
          <w:color w:val="auto"/>
          <w:kern w:val="0"/>
          <w:sz w:val="32"/>
          <w:szCs w:val="32"/>
          <w:shd w:val="clear" w:color="auto" w:fill="FFFFFF"/>
          <w:lang w:val="en-US" w:eastAsia="zh-CN" w:bidi="ar"/>
        </w:rPr>
        <w:t>郊野径</w:t>
      </w:r>
      <w:r>
        <w:rPr>
          <w:rFonts w:hint="eastAsia" w:ascii="仿宋_GB2312" w:hAnsi="仿宋_GB2312" w:eastAsia="仿宋_GB2312" w:cs="仿宋_GB2312"/>
          <w:color w:val="auto"/>
          <w:kern w:val="0"/>
          <w:sz w:val="32"/>
          <w:szCs w:val="32"/>
          <w:shd w:val="clear" w:color="auto" w:fill="FFFFFF"/>
          <w:lang w:val="en-US" w:eastAsia="zh-CN" w:bidi="ar"/>
        </w:rPr>
        <w:t>及古驿道</w:t>
      </w:r>
      <w:r>
        <w:rPr>
          <w:rFonts w:hint="default" w:ascii="仿宋_GB2312" w:hAnsi="仿宋_GB2312" w:eastAsia="仿宋_GB2312" w:cs="仿宋_GB2312"/>
          <w:color w:val="auto"/>
          <w:kern w:val="0"/>
          <w:sz w:val="32"/>
          <w:szCs w:val="32"/>
          <w:shd w:val="clear" w:color="auto" w:fill="FFFFFF"/>
          <w:lang w:val="en-US" w:eastAsia="zh-CN" w:bidi="ar"/>
        </w:rPr>
        <w:t>开展</w:t>
      </w:r>
      <w:r>
        <w:rPr>
          <w:rFonts w:hint="eastAsia" w:ascii="仿宋_GB2312" w:hAnsi="仿宋_GB2312" w:eastAsia="仿宋_GB2312" w:cs="仿宋_GB2312"/>
          <w:color w:val="auto"/>
          <w:kern w:val="0"/>
          <w:sz w:val="32"/>
          <w:szCs w:val="32"/>
          <w:shd w:val="clear" w:color="auto" w:fill="FFFFFF"/>
          <w:lang w:val="en-US" w:eastAsia="zh-CN" w:bidi="ar"/>
        </w:rPr>
        <w:t>管理养护。包括日常</w:t>
      </w:r>
      <w:r>
        <w:rPr>
          <w:rFonts w:hint="eastAsia" w:ascii="仿宋_GB2312" w:hAnsi="仿宋_GB2312" w:eastAsia="仿宋_GB2312" w:cs="仿宋_GB2312"/>
          <w:color w:val="auto"/>
          <w:kern w:val="0"/>
          <w:sz w:val="32"/>
          <w:szCs w:val="32"/>
          <w:highlight w:val="none"/>
          <w:shd w:val="clear" w:color="auto" w:fill="FFFFFF"/>
          <w:lang w:val="en-US" w:eastAsia="zh-CN" w:bidi="ar"/>
        </w:rPr>
        <w:t>巡查、清洁、维护、病虫害防治、专项整治等工作。</w:t>
      </w:r>
      <w:r>
        <w:rPr>
          <w:rFonts w:hint="eastAsia" w:ascii="仿宋_GB2312" w:hAnsi="仿宋_GB2312" w:eastAsia="仿宋_GB2312" w:cs="仿宋_GB2312"/>
          <w:b/>
          <w:bCs/>
          <w:color w:val="auto"/>
          <w:kern w:val="0"/>
          <w:sz w:val="32"/>
          <w:szCs w:val="32"/>
          <w:highlight w:val="none"/>
          <w:shd w:val="clear" w:color="auto" w:fill="FFFFFF"/>
          <w:lang w:val="en-US" w:eastAsia="zh-CN" w:bidi="ar"/>
        </w:rPr>
        <w:t>具体管养要求及管养服务期详看附件3。</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pPr>
      <w:r>
        <w:rPr>
          <w:rFonts w:ascii="仿宋_GB2312" w:eastAsia="仿宋_GB2312" w:cs="仿宋_GB2312"/>
          <w:b/>
          <w:bCs/>
          <w:color w:val="000000"/>
          <w:sz w:val="32"/>
          <w:szCs w:val="32"/>
          <w:shd w:val="clear" w:fill="FFFFFF"/>
        </w:rPr>
        <w:t>1.</w:t>
      </w:r>
      <w:r>
        <w:rPr>
          <w:rFonts w:hint="default" w:ascii="仿宋_GB2312" w:eastAsia="仿宋_GB2312" w:cs="仿宋_GB2312"/>
          <w:b/>
          <w:bCs/>
          <w:color w:val="000000"/>
          <w:sz w:val="32"/>
          <w:szCs w:val="32"/>
          <w:shd w:val="clear" w:fill="FFFFFF"/>
        </w:rPr>
        <w:t>古驿道重点管养段：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（1）管养路段：古驿道重点管养段共计9.72公里，包括羊蹄岭-君子岭古驿道（圣佛庵-驷马岭）4.3公里；深汕古驿道鲘门观海段（驷马岭-朝面山村）4.2公里；南山岭古驿道（鲘门）1.22公里。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（2）管养服务期：1年（暂定2025年8月至2026年8月）</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（3）管养要求：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巡查：</w:t>
      </w:r>
      <w:r>
        <w:rPr>
          <w:rFonts w:hint="default" w:ascii="仿宋_GB2312" w:eastAsia="仿宋_GB2312" w:cs="仿宋_GB2312"/>
          <w:color w:val="000000"/>
          <w:sz w:val="32"/>
          <w:szCs w:val="32"/>
          <w:shd w:val="clear" w:fill="FFFFFF"/>
        </w:rPr>
        <w:t>每月至少进行一次巡查管养，巡查路面、驿亭、休息点及垃圾收集设施、自然生态环境情况。记录路面、路基、栏杆、设施受损情况。及时处理影响古驿道通行的问题，对于严重影响安全的问题，应及时围闭，设置警示标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日常清洁：</w:t>
      </w:r>
      <w:r>
        <w:rPr>
          <w:rFonts w:hint="default" w:ascii="仿宋_GB2312" w:eastAsia="仿宋_GB2312" w:cs="仿宋_GB2312"/>
          <w:color w:val="000000"/>
          <w:sz w:val="32"/>
          <w:szCs w:val="32"/>
          <w:shd w:val="clear" w:fill="FFFFFF"/>
        </w:rPr>
        <w:t>保持古驿道路面、周边环境清洁；及时清除古驿道两侧0.5米范围内的杂草，及时修剪并清理清运道路两侧 5 米范围内树枝；每月至少清扫转运垃圾一次。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绿化养护：</w:t>
      </w:r>
      <w:r>
        <w:rPr>
          <w:rFonts w:hint="default" w:ascii="仿宋_GB2312" w:eastAsia="仿宋_GB2312" w:cs="仿宋_GB2312"/>
          <w:color w:val="000000"/>
          <w:sz w:val="32"/>
          <w:szCs w:val="32"/>
          <w:shd w:val="clear" w:fill="FFFFFF"/>
        </w:rPr>
        <w:t>负责项目新种植灌木（勒杜鹃、毛杜鹃）养护工作，总绿化面积：4979.43㎡，开展修剪、灌溉施肥、除杂补植、病虫害防治工作。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白蚁及有害入侵物种防治：</w:t>
      </w:r>
      <w:r>
        <w:rPr>
          <w:rFonts w:hint="default" w:ascii="仿宋_GB2312" w:eastAsia="仿宋_GB2312" w:cs="仿宋_GB2312"/>
          <w:color w:val="000000"/>
          <w:sz w:val="32"/>
          <w:szCs w:val="32"/>
          <w:shd w:val="clear" w:fill="FFFFFF"/>
        </w:rPr>
        <w:t>定期检查，确保古驿道无白蚁、红火蚁、其他有害入侵物种隐患；日常发现白蚁、红火蚁隐患应当天处理，发现薇甘菊等有害入侵物种应定期清除；全面防白蚁、红火蚁喷淋≥2次/年。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设施维护：</w:t>
      </w:r>
      <w:r>
        <w:rPr>
          <w:rFonts w:hint="default" w:ascii="仿宋_GB2312" w:eastAsia="仿宋_GB2312" w:cs="仿宋_GB2312"/>
          <w:color w:val="000000"/>
          <w:sz w:val="32"/>
          <w:szCs w:val="32"/>
          <w:shd w:val="clear" w:fill="FFFFFF"/>
        </w:rPr>
        <w:t>项目目前在质保期内，质保期至2026年9月5日，设施维修（包含路面、路基、栏杆、设施等）由施工单位负责；管养单位负责巡查记录形成整改清单及时报告业主单位，并负责监督施工单位完成整改。</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安全与应急处置：</w:t>
      </w:r>
      <w:r>
        <w:rPr>
          <w:rFonts w:hint="default" w:ascii="仿宋_GB2312" w:eastAsia="仿宋_GB2312" w:cs="仿宋_GB2312"/>
          <w:color w:val="000000"/>
          <w:sz w:val="32"/>
          <w:szCs w:val="32"/>
          <w:shd w:val="clear" w:fill="FFFFFF"/>
        </w:rPr>
        <w:t>危险区域应设置警示标牌；恶劣天气期间在各主要路口做好警示工作；重大节假日、大型公众活动举办前，应组织专项巡查；遭遇恶劣天气后，应及时组织专项巡查整改，及时处理倒伏树木、破损设施等，确保恢复安全通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2.郊野径重点管养段：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（1）管养路段：郊野径重点管养段共计26公里，包括红罗黎头山郊野径16公里；鲘门大岭顶郊野径10公里。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（2）管养服务期：</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红罗黎头山郊野径：1年，暂定2025年8月至2026年8月；鲘门大岭顶郊野径：因施工单位养护期至2025年12月，本次采购服务期暂按2026年1月至8月。</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（3）管养要求：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巡查：</w:t>
      </w:r>
      <w:r>
        <w:rPr>
          <w:rFonts w:hint="default" w:ascii="仿宋_GB2312" w:eastAsia="仿宋_GB2312" w:cs="仿宋_GB2312"/>
          <w:color w:val="000000"/>
          <w:sz w:val="32"/>
          <w:szCs w:val="32"/>
          <w:shd w:val="clear" w:fill="FFFFFF"/>
        </w:rPr>
        <w:t>每月度至少进行1次巡查管养，巡查郊野径本体、排水沟、标识牌、安全防护设施、出入口平台、休憩平台、自然生态环境情况等，并做好台账管理。及时处理影响郊野径通行的问题，对于严重影响安全的问题，应及时围闭，设置警示标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日常清洁：</w:t>
      </w:r>
      <w:r>
        <w:rPr>
          <w:rFonts w:hint="default" w:ascii="仿宋_GB2312" w:eastAsia="仿宋_GB2312" w:cs="仿宋_GB2312"/>
          <w:color w:val="000000"/>
          <w:sz w:val="32"/>
          <w:szCs w:val="32"/>
          <w:shd w:val="clear" w:fill="FFFFFF"/>
        </w:rPr>
        <w:t>保持古驿道路面、周边环境清洁；及时清除古驿道两侧0.5米范围内的杂草，及时修剪并清理清运道路两侧 5 米范围内树枝；每月至少清扫转运垃圾一次。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设施维护：</w:t>
      </w:r>
      <w:r>
        <w:rPr>
          <w:rFonts w:hint="default" w:ascii="仿宋_GB2312" w:eastAsia="仿宋_GB2312" w:cs="仿宋_GB2312"/>
          <w:color w:val="000000"/>
          <w:sz w:val="32"/>
          <w:szCs w:val="32"/>
          <w:shd w:val="clear" w:fill="FFFFFF"/>
        </w:rPr>
        <w:t>每年至少开展2次标识牌、木坐凳、休息亭等相关木质结构防腐；木材、石材、标识标牌松动、破损或丢失，应及时加固或更换。</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白蚁及有害入侵物种防治：</w:t>
      </w:r>
      <w:r>
        <w:rPr>
          <w:rFonts w:hint="default" w:ascii="仿宋_GB2312" w:eastAsia="仿宋_GB2312" w:cs="仿宋_GB2312"/>
          <w:color w:val="000000"/>
          <w:sz w:val="32"/>
          <w:szCs w:val="32"/>
          <w:shd w:val="clear" w:fill="FFFFFF"/>
        </w:rPr>
        <w:t>定期检查，确保郊野径无白蚁、红火蚁、其他有害入侵物种隐患；日常发现白蚁、红火蚁隐患应当天处理，发现薇甘菊等有害入侵物种应定期清除；全面防白蚁、红火蚁喷淋≥2次/年。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安全与应急处置：</w:t>
      </w:r>
      <w:r>
        <w:rPr>
          <w:rFonts w:hint="default" w:ascii="仿宋_GB2312" w:eastAsia="仿宋_GB2312" w:cs="仿宋_GB2312"/>
          <w:color w:val="000000"/>
          <w:sz w:val="32"/>
          <w:szCs w:val="32"/>
          <w:shd w:val="clear" w:fill="FFFFFF"/>
        </w:rPr>
        <w:t>危险区域应设置警示标牌；恶劣天气期间在各主要路口做好警示工作；重大节假日、大型公众活动举办前，应组织专项巡查；遭遇恶劣天气后，应及时组织专项巡查整改，及时处理倒伏树木、破损设施等，确保恢复安全通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3.郊野径简易管养段：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pPr>
      <w:r>
        <w:rPr>
          <w:rFonts w:hint="default" w:ascii="仿宋_GB2312" w:eastAsia="仿宋_GB2312" w:cs="仿宋_GB2312"/>
          <w:color w:val="000000"/>
          <w:sz w:val="32"/>
          <w:szCs w:val="32"/>
          <w:shd w:val="clear" w:fill="FFFFFF"/>
        </w:rPr>
        <w:t>（1）管养路段：其他简易管养郊野径共计62.6公里，包括东都岭-双宫岭郊野径（2022年）4.3公里、小漠王公山郊野径4.7公里、鹅埠角岭郊野径1.3公里、三堆石郊野径4.8公里、鹅埠角岭郊野径（延长段）6.7公里、鹅埠三角山郊野径11公里、小漠狮山郊野径2.3公里、大安郊野径（山林段）4公里、对面岭郊野径1公里、东都岭-双宫岭（2024年）12.5公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（2）管养服务期：</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其中有27.6km郊野径管养服务期：2025年8月-2026年8月；35km郊野径管养服务期：2026年1月-2026年8月。</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pPr>
      <w:r>
        <w:rPr>
          <w:rFonts w:hint="default" w:ascii="仿宋_GB2312" w:eastAsia="仿宋_GB2312" w:cs="仿宋_GB2312"/>
          <w:color w:val="000000"/>
          <w:sz w:val="32"/>
          <w:szCs w:val="32"/>
          <w:shd w:val="clear" w:fill="FFFFFF"/>
        </w:rPr>
        <w:t>（3）管养要求：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巡查：</w:t>
      </w:r>
      <w:r>
        <w:rPr>
          <w:rFonts w:hint="default" w:ascii="仿宋_GB2312" w:eastAsia="仿宋_GB2312" w:cs="仿宋_GB2312"/>
          <w:color w:val="000000"/>
          <w:sz w:val="32"/>
          <w:szCs w:val="32"/>
          <w:shd w:val="clear" w:fill="FFFFFF"/>
        </w:rPr>
        <w:t>第二季度至少巡查2次，其余每季度至少巡查一次。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日常清洁：</w:t>
      </w:r>
      <w:r>
        <w:rPr>
          <w:rFonts w:hint="default" w:ascii="仿宋_GB2312" w:eastAsia="仿宋_GB2312" w:cs="仿宋_GB2312"/>
          <w:color w:val="000000"/>
          <w:sz w:val="32"/>
          <w:szCs w:val="32"/>
          <w:shd w:val="clear" w:fill="FFFFFF"/>
        </w:rPr>
        <w:t>每季度巡查时对纸屑、塑料制品等垃圾进行清洁。</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设施维护</w:t>
      </w:r>
      <w:r>
        <w:rPr>
          <w:rFonts w:hint="default" w:ascii="仿宋_GB2312" w:eastAsia="仿宋_GB2312" w:cs="仿宋_GB2312"/>
          <w:color w:val="000000"/>
          <w:sz w:val="32"/>
          <w:szCs w:val="32"/>
          <w:shd w:val="clear" w:fill="FFFFFF"/>
        </w:rPr>
        <w:t>：如发现木头阶梯松动、破损等情况，做简单维护。</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2" w:firstLineChars="200"/>
        <w:jc w:val="left"/>
        <w:textAlignment w:val="auto"/>
      </w:pPr>
      <w:r>
        <w:rPr>
          <w:rFonts w:hint="default" w:ascii="仿宋_GB2312" w:eastAsia="仿宋_GB2312" w:cs="仿宋_GB2312"/>
          <w:b/>
          <w:bCs/>
          <w:color w:val="000000"/>
          <w:sz w:val="32"/>
          <w:szCs w:val="32"/>
          <w:shd w:val="clear" w:fill="FFFFFF"/>
        </w:rPr>
        <w:t>白蚁及有害入侵物种防治：</w:t>
      </w:r>
      <w:r>
        <w:rPr>
          <w:rFonts w:hint="default" w:ascii="仿宋_GB2312" w:eastAsia="仿宋_GB2312" w:cs="仿宋_GB2312"/>
          <w:color w:val="000000"/>
          <w:sz w:val="32"/>
          <w:szCs w:val="32"/>
          <w:shd w:val="clear" w:fill="FFFFFF"/>
        </w:rPr>
        <w:t>全面防白蚁、红火蚁喷淋≥2次/年。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pPr>
      <w:r>
        <w:rPr>
          <w:rFonts w:hint="default" w:ascii="仿宋_GB2312" w:hAnsi="宋体" w:eastAsia="仿宋_GB2312" w:cs="仿宋_GB2312"/>
          <w:b/>
          <w:bCs/>
          <w:color w:val="000000"/>
          <w:kern w:val="0"/>
          <w:sz w:val="32"/>
          <w:szCs w:val="32"/>
          <w:shd w:val="clear" w:fill="FFFFFF"/>
          <w:lang w:val="en-US" w:eastAsia="zh-CN" w:bidi="ar"/>
        </w:rPr>
        <w:t>安全与应急处置：</w:t>
      </w:r>
      <w:r>
        <w:rPr>
          <w:rFonts w:hint="default" w:ascii="仿宋_GB2312" w:hAnsi="宋体" w:eastAsia="仿宋_GB2312" w:cs="仿宋_GB2312"/>
          <w:color w:val="000000"/>
          <w:kern w:val="0"/>
          <w:sz w:val="32"/>
          <w:szCs w:val="32"/>
          <w:shd w:val="clear" w:fill="FFFFFF"/>
          <w:lang w:val="en-US" w:eastAsia="zh-CN" w:bidi="ar"/>
        </w:rPr>
        <w:t>危险区域应设置警示标牌；恶劣天气期间在各主要路口做好警示工作；遭遇恶劣天气后，应及时组织专项巡查整改，及时处理倒伏树木、破损设施等，确保恢复安全通行。</w:t>
      </w:r>
    </w:p>
    <w:p>
      <w:pPr>
        <w:pStyle w:val="11"/>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2"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4.专项整治：</w:t>
      </w:r>
    </w:p>
    <w:p>
      <w:pPr>
        <w:pStyle w:val="11"/>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仿宋_GB2312" w:hAnsi="仿宋_GB2312" w:eastAsia="仿宋_GB2312" w:cs="仿宋_GB2312"/>
          <w:color w:val="auto"/>
          <w:kern w:val="0"/>
          <w:sz w:val="32"/>
          <w:szCs w:val="32"/>
          <w:shd w:val="clear" w:color="auto" w:fill="FFFFFF"/>
          <w:lang w:val="en-US" w:eastAsia="zh-CN" w:bidi="ar"/>
        </w:rPr>
      </w:pPr>
      <w:r>
        <w:rPr>
          <w:rFonts w:hint="default" w:ascii="仿宋_GB2312" w:hAnsi="仿宋_GB2312" w:eastAsia="仿宋_GB2312" w:cs="仿宋_GB2312"/>
          <w:color w:val="auto"/>
          <w:kern w:val="0"/>
          <w:sz w:val="32"/>
          <w:szCs w:val="32"/>
          <w:shd w:val="clear" w:color="auto" w:fill="FFFFFF"/>
          <w:lang w:val="en-US" w:eastAsia="zh-CN" w:bidi="ar"/>
        </w:rPr>
        <w:t>大面积损坏或超过正常维修率的，超过本项目约定管养要求的，按实际情况组织专业施工队伍开展专项整治工作，确保郊野径、古驿道恢复正常使用。</w:t>
      </w:r>
      <w:r>
        <w:rPr>
          <w:rFonts w:hint="default" w:ascii="仿宋_GB2312" w:hAnsi="仿宋_GB2312" w:eastAsia="仿宋_GB2312" w:cs="仿宋_GB2312"/>
          <w:b/>
          <w:bCs/>
          <w:color w:val="auto"/>
          <w:kern w:val="0"/>
          <w:sz w:val="32"/>
          <w:szCs w:val="32"/>
          <w:shd w:val="clear" w:color="auto" w:fill="FFFFFF"/>
          <w:lang w:val="en-US" w:eastAsia="zh-CN" w:bidi="ar"/>
        </w:rPr>
        <w:t>按需开展，按实际发生情况结算</w:t>
      </w:r>
      <w:r>
        <w:rPr>
          <w:rFonts w:hint="default" w:ascii="仿宋_GB2312" w:hAnsi="仿宋_GB2312" w:eastAsia="仿宋_GB2312" w:cs="仿宋_GB2312"/>
          <w:color w:val="auto"/>
          <w:kern w:val="0"/>
          <w:sz w:val="32"/>
          <w:szCs w:val="32"/>
          <w:shd w:val="clear" w:color="auto" w:fill="FFFFFF"/>
          <w:lang w:val="en-US" w:eastAsia="zh-CN" w:bidi="ar"/>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5.管养要求：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（1）需配备管养工人≥3人，按要求开展管养工作，并形成管养台账。</w:t>
      </w:r>
      <w:r>
        <w:rPr>
          <w:rFonts w:hint="eastAsia" w:ascii="仿宋_GB2312" w:hAnsi="仿宋_GB2312" w:eastAsia="仿宋_GB2312" w:cs="仿宋_GB2312"/>
          <w:b/>
          <w:bCs/>
          <w:color w:val="auto"/>
          <w:kern w:val="0"/>
          <w:sz w:val="32"/>
          <w:szCs w:val="32"/>
          <w:highlight w:val="none"/>
          <w:shd w:val="clear" w:color="auto" w:fill="FFFFFF"/>
          <w:lang w:val="en-US" w:eastAsia="zh-CN" w:bidi="ar"/>
        </w:rPr>
        <w:t>具体管养要求详见附件3。</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维护人员上岗前须进行作业技能和安全培训，经考核合格后方可上岗，工作期间定期接受安全、技术等方面的培训；维护人员作业时必须2人以上相互照应，须穿统一的工作服，佩戴工作证，正确佩戴劳保用品，操作机械和其它工具的人员须佩戴相应的安全防护用具，在步道作业区域应设置温馨提示牌，养护作业应尽量减少对游客的影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Times New Roman"/>
          <w:sz w:val="32"/>
          <w:szCs w:val="32"/>
          <w:lang w:eastAsia="zh-CN"/>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二</w:t>
      </w:r>
      <w:r>
        <w:rPr>
          <w:rFonts w:hint="eastAsia" w:ascii="楷体" w:hAnsi="楷体" w:eastAsia="楷体" w:cs="Times New Roman"/>
          <w:sz w:val="32"/>
          <w:szCs w:val="32"/>
          <w:lang w:eastAsia="zh-CN"/>
        </w:rPr>
        <w:t>）服务成果要求</w:t>
      </w:r>
      <w:bookmarkStart w:id="0" w:name="_Hlk73713030"/>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按管养要求完成管养服务工作。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（三）项目商务要求：</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服务</w:t>
      </w:r>
      <w:r>
        <w:rPr>
          <w:rFonts w:hint="eastAsia" w:ascii="仿宋_GB2312" w:hAnsi="仿宋_GB2312" w:eastAsia="仿宋_GB2312" w:cs="仿宋_GB2312"/>
          <w:color w:val="auto"/>
          <w:sz w:val="32"/>
          <w:szCs w:val="32"/>
          <w:shd w:val="clear" w:color="auto" w:fill="FFFFFF"/>
          <w:lang w:val="en-US" w:eastAsia="zh-CN"/>
        </w:rPr>
        <w:t>期限：签订合同日起1年（具体以签订合同时间为准）。</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2.付款方式：按照实际签订的合同约定付款方式。</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质量考核验收标准及违约金</w:t>
      </w:r>
      <w:r>
        <w:rPr>
          <w:rFonts w:hint="eastAsia" w:ascii="仿宋_GB2312" w:hAnsi="仿宋_GB2312" w:eastAsia="仿宋_GB2312" w:cs="仿宋_GB2312"/>
          <w:color w:val="000000"/>
          <w:sz w:val="32"/>
          <w:szCs w:val="32"/>
          <w:shd w:val="clear" w:color="auto" w:fill="FFFFFF"/>
          <w:lang w:val="en-US" w:eastAsia="zh-CN"/>
        </w:rPr>
        <w:t>：由双方协商并写于合同</w:t>
      </w:r>
      <w:r>
        <w:rPr>
          <w:rFonts w:hint="eastAsia" w:ascii="仿宋_GB2312" w:hAnsi="仿宋_GB2312" w:eastAsia="仿宋_GB2312" w:cs="仿宋_GB2312"/>
          <w:b w:val="0"/>
          <w:bCs w:val="0"/>
          <w:color w:val="000000"/>
          <w:sz w:val="32"/>
          <w:szCs w:val="32"/>
          <w:shd w:val="clear" w:color="auto" w:fill="FFFFFF"/>
        </w:rPr>
        <w:t>内。</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供应商资格要求</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1.具有独立法人资格或具有独立承担民事责任的能力的其它组织（提供营业执照或事业单位法人证等法人证明扫描件，原件备查）。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2.本项目不接受联合体投标。</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3.参与本项目投标前三年内，在经营活动中没有重大违法记录。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4.参与本项目政府采购活动时不存在被有关部门禁止参与政府采购活动且在有效期内的情况。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5.具备《中华人民共和国政府采购法》第二十二条第一款的条件。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6.未被列入失信被执行人、重大税收违法案件当事人名单、政府采购严重违法失信行为记录名单。注：“信用中国”、“中国政府采购网”以及“深圳市政府采购监管网”为供应商信用信息的查询渠道。</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报价文件组成部分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1.报价函（格式自拟，加盖公章）；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2.公司营业执照、公司资质文件、信用查询记录（加盖公章）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3.供应商基本情况表（加盖公章）；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4.项目实施方案、项目重点难点分析、应对措施及相关的合理化建议、质量保障措施及方案、项目完成（服务期满）后的服务承诺、违约承诺；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5.公司有效的相关认证证书；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6.拟安排的项目负责人（1人）职称证书，且需提供相关人员过去3个月（成立不足3个月的，按成立时限提供）的社保证明材料（加盖公章）；</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7.2020年1月1日后同类项目业绩证明文件；</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经考核评价为优秀或最高评价的</w:t>
      </w:r>
      <w:r>
        <w:rPr>
          <w:rFonts w:hint="eastAsia" w:ascii="仿宋_GB2312" w:hAnsi="仿宋_GB2312" w:eastAsia="仿宋_GB2312" w:cs="仿宋_GB2312"/>
          <w:sz w:val="32"/>
          <w:szCs w:val="32"/>
          <w:lang w:val="en-US" w:eastAsia="zh-CN"/>
        </w:rPr>
        <w:t>服务项目</w:t>
      </w:r>
      <w:r>
        <w:rPr>
          <w:rFonts w:hint="default" w:ascii="仿宋_GB2312" w:hAnsi="仿宋_GB2312" w:eastAsia="仿宋_GB2312" w:cs="仿宋_GB2312"/>
          <w:sz w:val="32"/>
          <w:szCs w:val="32"/>
          <w:lang w:val="en-US" w:eastAsia="zh-CN"/>
        </w:rPr>
        <w:t>履约评价证明材料</w:t>
      </w:r>
      <w:r>
        <w:rPr>
          <w:rFonts w:hint="eastAsia" w:ascii="仿宋_GB2312" w:hAnsi="仿宋_GB2312" w:eastAsia="仿宋_GB2312" w:cs="仿宋_GB2312"/>
          <w:sz w:val="32"/>
          <w:szCs w:val="32"/>
          <w:lang w:val="en-US" w:eastAsia="zh-CN"/>
        </w:rPr>
        <w:t>（加盖公章）；</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评选标准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1、报价文件质量审查：报价文件所有内容按报价文件要求编制完整，格式规范，盖章完整，报价文件合法合规。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2、资格审查：</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b w:val="0"/>
          <w:bCs w:val="0"/>
          <w:kern w:val="2"/>
          <w:sz w:val="32"/>
          <w:szCs w:val="32"/>
          <w:highlight w:val="none"/>
          <w:lang w:val="en-US" w:eastAsia="zh-CN" w:bidi="ar-SA"/>
        </w:rPr>
        <w:t>未被列入失信被执行人、重大税收违法案件当事人名单、政府采购严重违法失信行为记录名单。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我局将分三个部分进行评分，分别是价格分、商务分、技术分（详见附件4深圳市深汕特别合作区2025-2026郊野径、古驿道管养服务资信标评分表）。其中，价格分采用低价优先法计算。技术分根据项目实施方案、项目重难点分析、应对措施级相关合理化建议、质量保障措施及方案、项目完成后的服务承诺、违约承诺进行述标评分。商务分根据企业通过相关认证情况、2020年1月1日后同类项目业绩情况、拟投入项目负责人、履约评价进行评分。</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报价文件发送方式</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1.本次采购公告期限：自2025年8月16日上午9:00至2025年8月22日下午6:00截止。</w:t>
      </w:r>
    </w:p>
    <w:p>
      <w:pPr>
        <w:pStyle w:val="17"/>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2.供应商投标（上传报价文件）必须先行办理注册手续，具体请按照深圳公共资源交易网/交易服务指南/资料下载/深圳自行采购系统用户操作指引（供应商）相关内容指引办理。</w:t>
      </w:r>
    </w:p>
    <w:p>
      <w:pPr>
        <w:pStyle w:val="17"/>
        <w:ind w:left="0" w:leftChars="0"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3.招标文件获取方式：登录“深圳政府采购自行采购系统（https://trade.szggzy.com/ggzy/center/#/login）。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附件：1.报价单（模板）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w:t>
      </w:r>
      <w:r>
        <w:rPr>
          <w:rFonts w:hint="eastAsia" w:ascii="仿宋_GB2312" w:hAnsi="仿宋_GB2312" w:eastAsia="仿宋_GB2312" w:cs="仿宋_GB2312"/>
          <w:b w:val="0"/>
          <w:bCs w:val="0"/>
          <w:sz w:val="32"/>
          <w:szCs w:val="32"/>
          <w:lang w:val="en-US" w:eastAsia="zh-CN"/>
        </w:rPr>
        <w:t>供应商基本情况表（模板）</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3.深圳市深汕特别合作区2025-2026郊野径、古驿道管养要求</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w:t>
      </w:r>
      <w:r>
        <w:rPr>
          <w:rFonts w:hint="eastAsia" w:ascii="仿宋_GB2312" w:hAnsi="仿宋_GB2312" w:eastAsia="仿宋_GB2312" w:cs="仿宋_GB2312"/>
          <w:sz w:val="32"/>
          <w:szCs w:val="32"/>
          <w:lang w:val="en-US" w:eastAsia="zh-CN"/>
        </w:rPr>
        <w:t>深圳市深汕特别合作区2025-2026郊野径、古驿道管养服务资信标评分表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深圳市深汕特别合作区城市管理和综合执法局</w:t>
      </w:r>
    </w:p>
    <w:p>
      <w:pPr>
        <w:keepNext w:val="0"/>
        <w:keepLines w:val="0"/>
        <w:pageBreakBefore w:val="0"/>
        <w:widowControl w:val="0"/>
        <w:kinsoku/>
        <w:wordWrap/>
        <w:overflowPunct/>
        <w:topLinePunct w:val="0"/>
        <w:autoSpaceDE/>
        <w:autoSpaceDN/>
        <w:bidi w:val="0"/>
        <w:adjustRightInd/>
        <w:snapToGrid/>
        <w:spacing w:line="600" w:lineRule="exact"/>
        <w:ind w:right="64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right="640" w:firstLine="4800" w:firstLineChars="15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eastAsia="zh-CN"/>
        </w:rPr>
        <w:t>赖工</w:t>
      </w:r>
      <w:r>
        <w:rPr>
          <w:rFonts w:hint="eastAsia" w:ascii="仿宋_GB2312" w:hAnsi="仿宋_GB2312" w:eastAsia="仿宋_GB2312" w:cs="仿宋_GB2312"/>
          <w:sz w:val="32"/>
          <w:szCs w:val="32"/>
          <w:lang w:val="en-US" w:eastAsia="zh-CN"/>
        </w:rPr>
        <w:t>，0755-22101425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eastAsia" w:ascii="仿宋_GB2312" w:hAnsi="仿宋_GB2312" w:eastAsia="仿宋_GB2312" w:cs="仿宋_GB2312"/>
          <w:sz w:val="32"/>
          <w:szCs w:val="32"/>
        </w:rPr>
      </w:pPr>
    </w:p>
    <w:p>
      <w:pPr>
        <w:rPr>
          <w:rStyle w:val="15"/>
          <w:rFonts w:hint="eastAsia" w:ascii="仿宋_GB2312" w:hAnsi="仿宋_GB2312" w:eastAsia="仿宋_GB2312" w:cs="仿宋_GB2312"/>
          <w:color w:val="000000"/>
          <w:kern w:val="0"/>
          <w:sz w:val="32"/>
          <w:szCs w:val="32"/>
          <w:shd w:val="clear" w:color="auto" w:fill="FFFFFF"/>
          <w:lang w:bidi="ar"/>
        </w:rPr>
      </w:pPr>
      <w:r>
        <w:rPr>
          <w:rStyle w:val="15"/>
          <w:rFonts w:hint="eastAsia" w:ascii="仿宋_GB2312" w:hAnsi="仿宋_GB2312" w:eastAsia="仿宋_GB2312" w:cs="仿宋_GB2312"/>
          <w:color w:val="000000"/>
          <w:kern w:val="0"/>
          <w:sz w:val="32"/>
          <w:szCs w:val="32"/>
          <w:shd w:val="clear" w:color="auto" w:fill="FFFFFF"/>
          <w:lang w:bidi="ar"/>
        </w:rPr>
        <w:br w:type="page"/>
      </w:r>
    </w:p>
    <w:p>
      <w:pPr>
        <w:keepNext w:val="0"/>
        <w:keepLines w:val="0"/>
        <w:pageBreakBefore w:val="0"/>
        <w:kinsoku/>
        <w:wordWrap/>
        <w:overflowPunct/>
        <w:topLinePunct w:val="0"/>
        <w:autoSpaceDE/>
        <w:autoSpaceDN/>
        <w:bidi w:val="0"/>
        <w:adjustRightInd/>
        <w:snapToGrid/>
        <w:spacing w:line="480" w:lineRule="exact"/>
        <w:jc w:val="left"/>
        <w:textAlignment w:val="auto"/>
        <w:rPr>
          <w:rStyle w:val="15"/>
          <w:rFonts w:hint="eastAsia" w:ascii="仿宋_GB2312" w:hAnsi="仿宋_GB2312" w:eastAsia="仿宋_GB2312" w:cs="仿宋_GB2312"/>
          <w:color w:val="000000"/>
          <w:kern w:val="0"/>
          <w:sz w:val="32"/>
          <w:szCs w:val="32"/>
          <w:shd w:val="clear" w:color="auto" w:fill="FFFFFF"/>
          <w:lang w:bidi="ar"/>
        </w:rPr>
      </w:pPr>
      <w:r>
        <w:rPr>
          <w:rStyle w:val="15"/>
          <w:rFonts w:hint="eastAsia" w:ascii="仿宋_GB2312" w:hAnsi="仿宋_GB2312" w:eastAsia="仿宋_GB2312" w:cs="仿宋_GB2312"/>
          <w:color w:val="000000"/>
          <w:kern w:val="0"/>
          <w:sz w:val="32"/>
          <w:szCs w:val="32"/>
          <w:shd w:val="clear" w:color="auto" w:fill="FFFFFF"/>
          <w:lang w:bidi="ar"/>
        </w:rPr>
        <w:t>附件</w:t>
      </w:r>
      <w:r>
        <w:rPr>
          <w:rStyle w:val="15"/>
          <w:rFonts w:hint="eastAsia" w:ascii="仿宋_GB2312" w:hAnsi="仿宋_GB2312" w:eastAsia="仿宋_GB2312" w:cs="仿宋_GB2312"/>
          <w:color w:val="000000"/>
          <w:kern w:val="0"/>
          <w:sz w:val="32"/>
          <w:szCs w:val="32"/>
          <w:shd w:val="clear" w:color="auto" w:fill="FFFFFF"/>
          <w:lang w:val="en-US" w:eastAsia="zh-CN" w:bidi="ar"/>
        </w:rPr>
        <w:t>1</w:t>
      </w:r>
      <w:r>
        <w:rPr>
          <w:rStyle w:val="15"/>
          <w:rFonts w:hint="eastAsia" w:ascii="仿宋_GB2312" w:hAnsi="仿宋_GB2312" w:eastAsia="仿宋_GB2312" w:cs="仿宋_GB2312"/>
          <w:color w:val="000000"/>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Style w:val="15"/>
          <w:rFonts w:hint="eastAsia" w:ascii="仿宋_GB2312" w:hAnsi="仿宋_GB2312" w:eastAsia="仿宋_GB2312" w:cs="仿宋_GB2312"/>
          <w:color w:val="000000"/>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color w:val="000000"/>
          <w:sz w:val="44"/>
          <w:szCs w:val="44"/>
        </w:rPr>
      </w:pPr>
      <w:r>
        <w:rPr>
          <w:rStyle w:val="15"/>
          <w:rFonts w:hint="eastAsia" w:ascii="方正小标宋_GBK" w:hAnsi="方正小标宋_GBK" w:eastAsia="方正小标宋_GBK" w:cs="方正小标宋_GBK"/>
          <w:b w:val="0"/>
          <w:bCs/>
          <w:color w:val="000000"/>
          <w:kern w:val="0"/>
          <w:sz w:val="44"/>
          <w:szCs w:val="44"/>
          <w:shd w:val="clear" w:color="auto" w:fill="FFFFFF"/>
          <w:lang w:bidi="ar"/>
        </w:rPr>
        <w:t>深汕特别合作区XXXX项目报价单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kern w:val="0"/>
          <w:sz w:val="32"/>
          <w:szCs w:val="32"/>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一、报价内容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项目名称：XXX</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采购单位：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报价单位：XXX</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报价</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总价</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联系人：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电话：</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地址：</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bidi="ar"/>
        </w:rPr>
        <w:t>报价</w:t>
      </w:r>
      <w:r>
        <w:rPr>
          <w:rFonts w:hint="eastAsia" w:ascii="仿宋_GB2312" w:hAnsi="仿宋_GB2312" w:eastAsia="仿宋_GB2312" w:cs="仿宋_GB2312"/>
          <w:b/>
          <w:bCs/>
          <w:color w:val="000000"/>
          <w:kern w:val="0"/>
          <w:sz w:val="32"/>
          <w:szCs w:val="32"/>
          <w:shd w:val="clear" w:color="auto" w:fill="FFFFFF"/>
          <w:lang w:val="en-US" w:eastAsia="zh-CN" w:bidi="ar"/>
        </w:rPr>
        <w:t>明细</w:t>
      </w:r>
    </w:p>
    <w:tbl>
      <w:tblPr>
        <w:tblStyle w:val="12"/>
        <w:tblW w:w="89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98"/>
        <w:gridCol w:w="1887"/>
        <w:gridCol w:w="1740"/>
        <w:gridCol w:w="1602"/>
        <w:gridCol w:w="2090"/>
        <w:gridCol w:w="9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序号</w:t>
            </w:r>
          </w:p>
        </w:tc>
        <w:tc>
          <w:tcPr>
            <w:tcW w:w="1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服务项目</w:t>
            </w:r>
          </w:p>
        </w:tc>
        <w:tc>
          <w:tcPr>
            <w:tcW w:w="17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服务内容</w:t>
            </w:r>
          </w:p>
        </w:tc>
        <w:tc>
          <w:tcPr>
            <w:tcW w:w="16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eastAsia="zh-CN" w:bidi="ar"/>
              </w:rPr>
              <w:t>单位（元）</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费用（元）</w:t>
            </w:r>
          </w:p>
        </w:tc>
        <w:tc>
          <w:tcPr>
            <w:tcW w:w="9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kern w:val="0"/>
                <w:sz w:val="32"/>
                <w:szCs w:val="32"/>
                <w:lang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1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8"/>
                <w:szCs w:val="28"/>
                <w:highlight w:val="none"/>
                <w:shd w:val="clear" w:color="auto" w:fill="FFFFFF"/>
                <w:lang w:eastAsia="zh-CN"/>
              </w:rPr>
              <w:t>古驿道、郊野径重点管养、郊野径简易管养</w:t>
            </w:r>
          </w:p>
        </w:tc>
        <w:tc>
          <w:tcPr>
            <w:tcW w:w="17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Cs w:val="21"/>
              </w:rPr>
            </w:pPr>
          </w:p>
        </w:tc>
        <w:tc>
          <w:tcPr>
            <w:tcW w:w="16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8"/>
                <w:szCs w:val="28"/>
                <w:highlight w:val="none"/>
                <w:shd w:val="clear" w:color="auto" w:fill="FFFFFF"/>
                <w:lang w:eastAsia="zh-CN"/>
              </w:rPr>
            </w:pPr>
            <w:r>
              <w:rPr>
                <w:rFonts w:hint="eastAsia" w:ascii="仿宋_GB2312" w:hAnsi="仿宋_GB2312" w:eastAsia="仿宋_GB2312" w:cs="仿宋_GB2312"/>
                <w:b/>
                <w:bCs/>
                <w:color w:val="auto"/>
                <w:sz w:val="28"/>
                <w:szCs w:val="28"/>
                <w:highlight w:val="none"/>
                <w:shd w:val="clear" w:color="auto" w:fill="FFFFFF"/>
                <w:lang w:eastAsia="zh-CN"/>
              </w:rPr>
              <w:t>项</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X</w:t>
            </w:r>
          </w:p>
        </w:tc>
        <w:tc>
          <w:tcPr>
            <w:tcW w:w="9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Cs w:val="21"/>
                <w:lang w:eastAsia="zh-CN" w:bidi="ar"/>
              </w:rPr>
            </w:pPr>
            <w:r>
              <w:rPr>
                <w:rFonts w:hint="eastAsia" w:ascii="仿宋_GB2312" w:hAnsi="仿宋_GB2312" w:eastAsia="仿宋_GB2312" w:cs="仿宋_GB2312"/>
                <w:color w:val="auto"/>
                <w:kern w:val="0"/>
                <w:sz w:val="22"/>
                <w:szCs w:val="22"/>
                <w:lang w:eastAsia="zh-CN" w:bidi="ar"/>
              </w:rPr>
              <w:t>自主报价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kern w:val="0"/>
                <w:szCs w:val="21"/>
                <w:lang w:val="en-US" w:eastAsia="zh-CN" w:bidi="ar"/>
              </w:rPr>
            </w:pPr>
          </w:p>
        </w:tc>
        <w:tc>
          <w:tcPr>
            <w:tcW w:w="1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b/>
                <w:bCs/>
                <w:color w:val="auto"/>
                <w:kern w:val="0"/>
                <w:sz w:val="28"/>
                <w:szCs w:val="28"/>
                <w:highlight w:val="none"/>
                <w:shd w:val="clear" w:color="auto" w:fill="FFFFFF"/>
                <w:lang w:val="en-US" w:eastAsia="zh-CN" w:bidi="ar"/>
              </w:rPr>
            </w:pPr>
            <w:r>
              <w:rPr>
                <w:rFonts w:hint="eastAsia" w:ascii="仿宋_GB2312" w:hAnsi="仿宋_GB2312" w:eastAsia="仿宋_GB2312" w:cs="仿宋_GB2312"/>
                <w:b/>
                <w:bCs/>
                <w:color w:val="auto"/>
                <w:kern w:val="0"/>
                <w:sz w:val="28"/>
                <w:szCs w:val="28"/>
                <w:highlight w:val="none"/>
                <w:shd w:val="clear" w:color="auto" w:fill="FFFFFF"/>
                <w:lang w:val="en-US" w:eastAsia="zh-CN" w:bidi="ar"/>
              </w:rPr>
              <w:t>......</w:t>
            </w:r>
          </w:p>
        </w:tc>
        <w:tc>
          <w:tcPr>
            <w:tcW w:w="17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Cs w:val="21"/>
              </w:rPr>
            </w:pPr>
          </w:p>
        </w:tc>
        <w:tc>
          <w:tcPr>
            <w:tcW w:w="16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8"/>
                <w:szCs w:val="28"/>
                <w:highlight w:val="none"/>
                <w:shd w:val="clear" w:color="auto" w:fill="FFFFFF"/>
                <w:lang w:eastAsia="zh-CN"/>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lang w:val="en-US" w:eastAsia="zh-CN" w:bidi="ar"/>
              </w:rPr>
            </w:pPr>
          </w:p>
        </w:tc>
        <w:tc>
          <w:tcPr>
            <w:tcW w:w="9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kern w:val="0"/>
                <w:sz w:val="24"/>
                <w:szCs w:val="24"/>
                <w:lang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w:t>
            </w:r>
          </w:p>
        </w:tc>
        <w:tc>
          <w:tcPr>
            <w:tcW w:w="188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kern w:val="0"/>
                <w:sz w:val="28"/>
                <w:szCs w:val="28"/>
                <w:highlight w:val="none"/>
                <w:shd w:val="clear" w:color="auto" w:fill="FFFFFF"/>
                <w:lang w:val="en-US" w:eastAsia="zh-CN" w:bidi="ar"/>
              </w:rPr>
            </w:pPr>
            <w:r>
              <w:rPr>
                <w:rFonts w:hint="eastAsia" w:ascii="仿宋_GB2312" w:hAnsi="仿宋_GB2312" w:eastAsia="仿宋_GB2312" w:cs="仿宋_GB2312"/>
                <w:b/>
                <w:bCs/>
                <w:color w:val="auto"/>
                <w:kern w:val="0"/>
                <w:sz w:val="28"/>
                <w:szCs w:val="28"/>
                <w:highlight w:val="none"/>
                <w:shd w:val="clear" w:color="auto" w:fill="FFFFFF"/>
                <w:lang w:val="en-US" w:eastAsia="zh-CN" w:bidi="ar"/>
              </w:rPr>
              <w:t>专项整治</w:t>
            </w:r>
          </w:p>
        </w:tc>
        <w:tc>
          <w:tcPr>
            <w:tcW w:w="17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大面积损坏或超过正常维修率的，</w:t>
            </w:r>
            <w:bookmarkStart w:id="1" w:name="_GoBack"/>
            <w:bookmarkEnd w:id="1"/>
            <w:r>
              <w:rPr>
                <w:rFonts w:hint="eastAsia" w:ascii="仿宋_GB2312" w:hAnsi="仿宋_GB2312" w:eastAsia="仿宋_GB2312" w:cs="仿宋_GB2312"/>
                <w:color w:val="auto"/>
                <w:szCs w:val="21"/>
              </w:rPr>
              <w:t>超过本项目约定管养要求的，按实际情况组织专业施工队伍开展专项整治工作，确保郊野径、古驿道恢复正常使用。按需开展，按实际发生情况结算。</w:t>
            </w:r>
          </w:p>
        </w:tc>
        <w:tc>
          <w:tcPr>
            <w:tcW w:w="16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auto"/>
                <w:sz w:val="28"/>
                <w:szCs w:val="28"/>
                <w:highlight w:val="none"/>
                <w:shd w:val="clear" w:color="auto" w:fill="FFFFFF"/>
                <w:lang w:eastAsia="zh-CN"/>
              </w:rPr>
            </w:pPr>
            <w:r>
              <w:rPr>
                <w:rFonts w:hint="eastAsia" w:ascii="仿宋_GB2312" w:hAnsi="仿宋_GB2312" w:eastAsia="仿宋_GB2312" w:cs="仿宋_GB2312"/>
                <w:b/>
                <w:bCs/>
                <w:color w:val="auto"/>
                <w:sz w:val="28"/>
                <w:szCs w:val="28"/>
                <w:highlight w:val="none"/>
                <w:shd w:val="clear" w:color="auto" w:fill="FFFFFF"/>
                <w:lang w:eastAsia="zh-CN"/>
              </w:rPr>
              <w:t>项</w:t>
            </w: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38000</w:t>
            </w:r>
          </w:p>
        </w:tc>
        <w:tc>
          <w:tcPr>
            <w:tcW w:w="9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b/>
                <w:bCs/>
                <w:color w:val="auto"/>
                <w:kern w:val="0"/>
                <w:sz w:val="24"/>
                <w:szCs w:val="24"/>
                <w:lang w:eastAsia="zh-CN" w:bidi="ar"/>
              </w:rPr>
              <w:t>固定价格，不可调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32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b/>
                <w:bCs/>
                <w:color w:val="auto"/>
                <w:kern w:val="0"/>
                <w:sz w:val="32"/>
                <w:szCs w:val="32"/>
                <w:lang w:bidi="ar"/>
              </w:rPr>
              <w:t>合计</w:t>
            </w:r>
          </w:p>
        </w:tc>
        <w:tc>
          <w:tcPr>
            <w:tcW w:w="16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Cs w:val="21"/>
                <w:lang w:bidi="ar"/>
              </w:rPr>
            </w:pPr>
          </w:p>
        </w:tc>
        <w:tc>
          <w:tcPr>
            <w:tcW w:w="209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含税X（大写：X X X）</w:t>
            </w:r>
          </w:p>
        </w:tc>
        <w:tc>
          <w:tcPr>
            <w:tcW w:w="9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Cs w:val="21"/>
                <w:lang w:bidi="ar"/>
              </w:rPr>
            </w:pP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三、具体需求响应情况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firstLine="642"/>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完全满足本项目需求。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四、供应商资格条件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bidi="ar"/>
        </w:rPr>
        <w:t xml:space="preserve">   完全满足本项目资格要求。</w:t>
      </w:r>
      <w:r>
        <w:rPr>
          <w:rFonts w:hint="eastAsia" w:ascii="仿宋_GB2312" w:hAnsi="仿宋_GB2312" w:eastAsia="仿宋_GB2312" w:cs="仿宋_GB2312"/>
          <w:color w:val="000000"/>
          <w:kern w:val="0"/>
          <w:sz w:val="32"/>
          <w:szCs w:val="32"/>
          <w:shd w:val="clear" w:color="auto" w:fill="FFFFFF"/>
          <w:lang w:val="en-US" w:eastAsia="zh-CN" w:bidi="ar"/>
        </w:rPr>
        <w:t>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 xml:space="preserve">                                XXX公司（需加盖公章）</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20</w:t>
      </w:r>
      <w:r>
        <w:rPr>
          <w:rFonts w:hint="eastAsia" w:ascii="仿宋_GB2312" w:hAnsi="仿宋_GB2312" w:eastAsia="仿宋_GB2312" w:cs="仿宋_GB2312"/>
          <w:color w:val="000000"/>
          <w:kern w:val="0"/>
          <w:sz w:val="32"/>
          <w:szCs w:val="32"/>
          <w:shd w:val="clear" w:color="auto" w:fill="FFFFFF"/>
          <w:lang w:val="en-US" w:eastAsia="zh-CN" w:bidi="ar"/>
        </w:rPr>
        <w:t>25</w:t>
      </w:r>
      <w:r>
        <w:rPr>
          <w:rFonts w:hint="eastAsia" w:ascii="仿宋_GB2312" w:hAnsi="仿宋_GB2312" w:eastAsia="仿宋_GB2312" w:cs="仿宋_GB2312"/>
          <w:color w:val="000000"/>
          <w:kern w:val="0"/>
          <w:sz w:val="32"/>
          <w:szCs w:val="32"/>
          <w:shd w:val="clear" w:color="auto" w:fill="FFFFFF"/>
          <w:lang w:bidi="ar"/>
        </w:rPr>
        <w:t>年XX月XX日</w:t>
      </w:r>
    </w:p>
    <w:p>
      <w:pPr>
        <w:keepNext w:val="0"/>
        <w:keepLines w:val="0"/>
        <w:pageBreakBefore w:val="0"/>
        <w:kinsoku/>
        <w:wordWrap/>
        <w:overflowPunct/>
        <w:topLinePunct w:val="0"/>
        <w:autoSpaceDE/>
        <w:autoSpaceDN/>
        <w:bidi w:val="0"/>
        <w:adjustRightInd/>
        <w:snapToGrid/>
        <w:spacing w:line="440" w:lineRule="exact"/>
        <w:jc w:val="left"/>
        <w:textAlignment w:val="auto"/>
        <w:rPr>
          <w:rStyle w:val="15"/>
          <w:rFonts w:hint="eastAsia" w:ascii="仿宋_GB2312" w:hAnsi="仿宋_GB2312" w:eastAsia="仿宋_GB2312" w:cs="仿宋_GB2312"/>
          <w:color w:val="000000"/>
          <w:kern w:val="0"/>
          <w:sz w:val="32"/>
          <w:szCs w:val="32"/>
          <w:shd w:val="clear" w:color="auto" w:fill="FFFFFF"/>
          <w:lang w:bidi="ar"/>
        </w:rPr>
        <w:sectPr>
          <w:pgSz w:w="11906" w:h="16838"/>
          <w:pgMar w:top="1701" w:right="1474" w:bottom="1701" w:left="1587" w:header="851" w:footer="992" w:gutter="0"/>
          <w:cols w:space="0" w:num="1"/>
          <w:rtlGutter w:val="0"/>
          <w:docGrid w:type="lines" w:linePitch="312" w:charSpace="0"/>
        </w:sectPr>
      </w:pPr>
    </w:p>
    <w:p>
      <w:pPr>
        <w:rPr>
          <w:rStyle w:val="15"/>
          <w:rFonts w:hint="eastAsia" w:ascii="仿宋_GB2312" w:hAnsi="仿宋_GB2312" w:eastAsia="仿宋_GB2312" w:cs="仿宋_GB2312"/>
          <w:color w:val="000000"/>
          <w:kern w:val="0"/>
          <w:sz w:val="32"/>
          <w:szCs w:val="32"/>
          <w:shd w:val="clear" w:color="auto" w:fill="FFFFFF"/>
          <w:lang w:bidi="ar"/>
        </w:rPr>
      </w:pPr>
      <w:r>
        <w:rPr>
          <w:rStyle w:val="15"/>
          <w:rFonts w:hint="eastAsia" w:ascii="仿宋_GB2312" w:hAnsi="仿宋_GB2312" w:eastAsia="仿宋_GB2312" w:cs="仿宋_GB2312"/>
          <w:color w:val="000000"/>
          <w:kern w:val="0"/>
          <w:sz w:val="32"/>
          <w:szCs w:val="32"/>
          <w:shd w:val="clear" w:color="auto" w:fill="FFFFFF"/>
          <w:lang w:bidi="ar"/>
        </w:rPr>
        <w:t>附件</w:t>
      </w:r>
      <w:r>
        <w:rPr>
          <w:rStyle w:val="15"/>
          <w:rFonts w:hint="eastAsia" w:ascii="仿宋_GB2312" w:hAnsi="仿宋_GB2312" w:eastAsia="仿宋_GB2312" w:cs="仿宋_GB2312"/>
          <w:color w:val="000000"/>
          <w:kern w:val="0"/>
          <w:sz w:val="32"/>
          <w:szCs w:val="32"/>
          <w:shd w:val="clear" w:color="auto" w:fill="FFFFFF"/>
          <w:lang w:val="en-US" w:eastAsia="zh-CN" w:bidi="ar"/>
        </w:rPr>
        <w:t>2</w:t>
      </w:r>
      <w:r>
        <w:rPr>
          <w:rStyle w:val="15"/>
          <w:rFonts w:hint="eastAsia" w:ascii="仿宋_GB2312" w:hAnsi="仿宋_GB2312" w:eastAsia="仿宋_GB2312" w:cs="仿宋_GB2312"/>
          <w:color w:val="000000"/>
          <w:kern w:val="0"/>
          <w:sz w:val="32"/>
          <w:szCs w:val="32"/>
          <w:shd w:val="clear" w:color="auto" w:fill="FFFFFF"/>
          <w:lang w:bidi="ar"/>
        </w:rPr>
        <w:t>：</w:t>
      </w:r>
    </w:p>
    <w:p>
      <w:pPr>
        <w:pStyle w:val="3"/>
        <w:snapToGrid w:val="0"/>
        <w:spacing w:before="0" w:after="0" w:line="240" w:lineRule="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供应商基本情况表</w:t>
      </w:r>
    </w:p>
    <w:p>
      <w:pP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填表单位：xx（加盖单位公章）</w:t>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 xml:space="preserve">   填表日期：    年   月   日</w:t>
      </w:r>
    </w:p>
    <w:tbl>
      <w:tblPr>
        <w:tblStyle w:val="1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采购人</w:t>
            </w:r>
          </w:p>
        </w:tc>
        <w:tc>
          <w:tcPr>
            <w:tcW w:w="2553"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项目名称</w:t>
            </w:r>
          </w:p>
        </w:tc>
        <w:tc>
          <w:tcPr>
            <w:tcW w:w="2985"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overflowPunct w:val="0"/>
              <w:autoSpaceDE w:val="0"/>
              <w:autoSpaceDN w:val="0"/>
              <w:snapToGrid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投标（响应）供应商</w:t>
            </w:r>
          </w:p>
        </w:tc>
        <w:tc>
          <w:tcPr>
            <w:tcW w:w="2553"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overflowPunct w:val="0"/>
              <w:autoSpaceDE w:val="0"/>
              <w:autoSpaceDN w:val="0"/>
              <w:snapToGrid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供应商统一社会信用代码</w:t>
            </w:r>
          </w:p>
        </w:tc>
        <w:tc>
          <w:tcPr>
            <w:tcW w:w="2985"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overflowPunct w:val="0"/>
              <w:autoSpaceDE w:val="0"/>
              <w:autoSpaceDN w:val="0"/>
              <w:snapToGrid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序号</w:t>
            </w:r>
          </w:p>
        </w:tc>
        <w:tc>
          <w:tcPr>
            <w:tcW w:w="2282" w:type="dxa"/>
            <w:gridSpan w:val="2"/>
            <w:tcBorders>
              <w:bottom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职务</w:t>
            </w:r>
          </w:p>
        </w:tc>
        <w:tc>
          <w:tcPr>
            <w:tcW w:w="947" w:type="dxa"/>
            <w:tcBorders>
              <w:bottom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姓名</w:t>
            </w:r>
          </w:p>
        </w:tc>
        <w:tc>
          <w:tcPr>
            <w:tcW w:w="1991" w:type="dxa"/>
            <w:gridSpan w:val="2"/>
            <w:tcBorders>
              <w:bottom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身份证号码</w:t>
            </w:r>
          </w:p>
        </w:tc>
        <w:tc>
          <w:tcPr>
            <w:tcW w:w="1500" w:type="dxa"/>
            <w:tcBorders>
              <w:bottom w:val="single" w:color="auto" w:sz="4" w:space="0"/>
            </w:tcBorders>
            <w:noWrap w:val="0"/>
            <w:vAlign w:val="center"/>
          </w:tcPr>
          <w:p>
            <w:pPr>
              <w:overflowPunct w:val="0"/>
              <w:autoSpaceDE w:val="0"/>
              <w:autoSpaceDN w:val="0"/>
              <w:snapToGrid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劳动合同</w:t>
            </w:r>
          </w:p>
          <w:p>
            <w:pPr>
              <w:overflowPunct w:val="0"/>
              <w:autoSpaceDE w:val="0"/>
              <w:autoSpaceDN w:val="0"/>
              <w:snapToGrid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关系单位</w:t>
            </w:r>
          </w:p>
        </w:tc>
        <w:tc>
          <w:tcPr>
            <w:tcW w:w="1485" w:type="dxa"/>
            <w:tcBorders>
              <w:bottom w:val="single" w:color="auto" w:sz="4" w:space="0"/>
            </w:tcBorders>
            <w:noWrap w:val="0"/>
            <w:vAlign w:val="center"/>
          </w:tcPr>
          <w:p>
            <w:pPr>
              <w:overflowPunct w:val="0"/>
              <w:autoSpaceDE w:val="0"/>
              <w:autoSpaceDN w:val="0"/>
              <w:snapToGrid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缴纳社会</w:t>
            </w:r>
          </w:p>
          <w:p>
            <w:pPr>
              <w:overflowPunct w:val="0"/>
              <w:autoSpaceDE w:val="0"/>
              <w:autoSpaceDN w:val="0"/>
              <w:snapToGrid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beforeLines="0" w:after="0" w:afterLines="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overflowPunct w:val="0"/>
              <w:autoSpaceDE w:val="0"/>
              <w:autoSpaceDN w:val="0"/>
              <w:spacing w:beforeLines="0" w:after="0" w:afterLines="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3</w:t>
            </w:r>
          </w:p>
        </w:tc>
        <w:tc>
          <w:tcPr>
            <w:tcW w:w="2282" w:type="dxa"/>
            <w:gridSpan w:val="2"/>
            <w:tcBorders>
              <w:top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overflowPunct w:val="0"/>
              <w:autoSpaceDE w:val="0"/>
              <w:autoSpaceDN w:val="0"/>
              <w:spacing w:beforeLines="0" w:after="0" w:afterLines="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4</w:t>
            </w:r>
          </w:p>
        </w:tc>
        <w:tc>
          <w:tcPr>
            <w:tcW w:w="2282"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overflowPunct w:val="0"/>
              <w:autoSpaceDE w:val="0"/>
              <w:autoSpaceDN w:val="0"/>
              <w:spacing w:beforeLines="0" w:after="0" w:afterLines="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5</w:t>
            </w:r>
          </w:p>
        </w:tc>
        <w:tc>
          <w:tcPr>
            <w:tcW w:w="2282" w:type="dxa"/>
            <w:gridSpan w:val="2"/>
            <w:noWrap w:val="0"/>
            <w:vAlign w:val="center"/>
          </w:tcPr>
          <w:p>
            <w:pPr>
              <w:pStyle w:val="7"/>
              <w:overflowPunct w:val="0"/>
              <w:autoSpaceDE w:val="0"/>
              <w:autoSpaceDN w:val="0"/>
              <w:snapToGrid w:val="0"/>
              <w:spacing w:after="0" w:line="240" w:lineRule="auto"/>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overflowPunct w:val="0"/>
              <w:autoSpaceDE w:val="0"/>
              <w:autoSpaceDN w:val="0"/>
              <w:spacing w:after="0"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b/>
                <w:bCs/>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napToGrid w:val="0"/>
              <w:spacing w:after="0"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pacing w:after="0" w:line="240" w:lineRule="auto"/>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napToGrid w:val="0"/>
              <w:spacing w:after="0"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snapToGrid w:val="0"/>
              <w:spacing w:after="0" w:line="240" w:lineRule="auto"/>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widowControl w:val="0"/>
        <w:spacing w:after="120"/>
        <w:jc w:val="both"/>
        <w:rPr>
          <w:rFonts w:hint="eastAsia" w:ascii="仿宋_GB2312" w:hAnsi="仿宋_GB2312" w:eastAsia="仿宋_GB2312" w:cs="仿宋_GB2312"/>
          <w:color w:val="000000"/>
          <w:kern w:val="0"/>
          <w:sz w:val="32"/>
          <w:szCs w:val="32"/>
          <w:shd w:val="clear" w:color="auto" w:fill="FFFFFF"/>
          <w:lang w:val="en-US" w:eastAsia="zh-CN" w:bidi="ar"/>
        </w:rPr>
      </w:pPr>
    </w:p>
    <w:p>
      <w:pPr>
        <w:widowControl w:val="0"/>
        <w:spacing w:after="120"/>
        <w:jc w:val="both"/>
        <w:rPr>
          <w:rFonts w:hint="eastAsia" w:ascii="Calibri" w:hAnsi="Calibri" w:eastAsia="仿宋_GB2312" w:cs="Times New Roman"/>
          <w:kern w:val="2"/>
          <w:sz w:val="21"/>
          <w:szCs w:val="24"/>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
        </w:rPr>
        <w:t>后附：公司相关资料</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eastAsia" w:ascii="仿宋_GB2312" w:hAnsi="仿宋_GB2312" w:eastAsia="仿宋_GB2312" w:cs="仿宋_GB2312"/>
          <w:sz w:val="32"/>
          <w:szCs w:val="32"/>
          <w:lang w:val="en-US" w:eastAsia="zh-CN"/>
        </w:rPr>
      </w:pPr>
    </w:p>
    <w:sectPr>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隶书">
    <w:altName w:val="方正隶书_GBK"/>
    <w:panose1 w:val="02010509060101010101"/>
    <w:charset w:val="00"/>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
    <w:altName w:val="URW Bookman"/>
    <w:panose1 w:val="00000000000000000000"/>
    <w:charset w:val="00"/>
    <w:family w:val="auto"/>
    <w:pitch w:val="default"/>
    <w:sig w:usb0="00000000" w:usb1="00000000" w:usb2="00000000" w:usb3="00000000" w:csb0="00000001" w:csb1="00000000"/>
  </w:font>
  <w:font w:name="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63963"/>
    <w:multiLevelType w:val="singleLevel"/>
    <w:tmpl w:val="9A763963"/>
    <w:lvl w:ilvl="0" w:tentative="0">
      <w:start w:val="1"/>
      <w:numFmt w:val="chineseCounting"/>
      <w:suff w:val="nothing"/>
      <w:lvlText w:val="%1、"/>
      <w:lvlJc w:val="left"/>
      <w:rPr>
        <w:rFonts w:hint="eastAsia"/>
      </w:rPr>
    </w:lvl>
  </w:abstractNum>
  <w:abstractNum w:abstractNumId="1">
    <w:nsid w:val="FFFFFF80"/>
    <w:multiLevelType w:val="multilevel"/>
    <w:tmpl w:val="FFFFFF80"/>
    <w:lvl w:ilvl="0" w:tentative="0">
      <w:start w:val="1"/>
      <w:numFmt w:val="bullet"/>
      <w:lvlText w:val=""/>
      <w:lvlJc w:val="left"/>
      <w:pPr>
        <w:tabs>
          <w:tab w:val="left" w:pos="2040"/>
        </w:tabs>
        <w:ind w:left="2040" w:hanging="360"/>
      </w:pPr>
      <w:rPr>
        <w:rFonts w:hint="default" w:ascii="Wingdings" w:hAnsi="Wingdings"/>
      </w:rPr>
    </w:lvl>
    <w:lvl w:ilvl="1" w:tentative="0">
      <w:start w:val="1"/>
      <w:numFmt w:val="bullet"/>
      <w:pStyle w:val="5"/>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abstractNum w:abstractNumId="2">
    <w:nsid w:val="7CEA3AB8"/>
    <w:multiLevelType w:val="singleLevel"/>
    <w:tmpl w:val="7CEA3AB8"/>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FA095"/>
    <w:rsid w:val="03932406"/>
    <w:rsid w:val="07FFF37A"/>
    <w:rsid w:val="0EFB04D5"/>
    <w:rsid w:val="147B69BE"/>
    <w:rsid w:val="19CC1860"/>
    <w:rsid w:val="1DFD238B"/>
    <w:rsid w:val="206E4F6D"/>
    <w:rsid w:val="233A2855"/>
    <w:rsid w:val="277FD4CF"/>
    <w:rsid w:val="28F84A1E"/>
    <w:rsid w:val="29F8548F"/>
    <w:rsid w:val="2AB335D3"/>
    <w:rsid w:val="2F437D99"/>
    <w:rsid w:val="307C7F9C"/>
    <w:rsid w:val="33460C29"/>
    <w:rsid w:val="369BE245"/>
    <w:rsid w:val="37F72254"/>
    <w:rsid w:val="37FAD501"/>
    <w:rsid w:val="37FF1892"/>
    <w:rsid w:val="3B53A154"/>
    <w:rsid w:val="3BDF7A3C"/>
    <w:rsid w:val="3D7D5B79"/>
    <w:rsid w:val="3E9FA3D5"/>
    <w:rsid w:val="3EDD2A9C"/>
    <w:rsid w:val="3F776EA8"/>
    <w:rsid w:val="3FAE20C6"/>
    <w:rsid w:val="43DD1A2F"/>
    <w:rsid w:val="45AFFD32"/>
    <w:rsid w:val="45FFE49A"/>
    <w:rsid w:val="46831329"/>
    <w:rsid w:val="47555498"/>
    <w:rsid w:val="4DB77403"/>
    <w:rsid w:val="4EBE0B9B"/>
    <w:rsid w:val="4EFDDB57"/>
    <w:rsid w:val="5BEF9BE9"/>
    <w:rsid w:val="5D7B762F"/>
    <w:rsid w:val="5ED58E37"/>
    <w:rsid w:val="5FDED193"/>
    <w:rsid w:val="5FDFD7E1"/>
    <w:rsid w:val="67306DE3"/>
    <w:rsid w:val="6735C045"/>
    <w:rsid w:val="67374643"/>
    <w:rsid w:val="6A97C523"/>
    <w:rsid w:val="6B9A1D51"/>
    <w:rsid w:val="6D6512DD"/>
    <w:rsid w:val="6EBF87B6"/>
    <w:rsid w:val="6FD77B28"/>
    <w:rsid w:val="6FE31998"/>
    <w:rsid w:val="71FE83C4"/>
    <w:rsid w:val="7356D752"/>
    <w:rsid w:val="74779011"/>
    <w:rsid w:val="75577430"/>
    <w:rsid w:val="75E1BCB9"/>
    <w:rsid w:val="77691276"/>
    <w:rsid w:val="77F5F00A"/>
    <w:rsid w:val="77FA9056"/>
    <w:rsid w:val="77FE4251"/>
    <w:rsid w:val="79FDC225"/>
    <w:rsid w:val="7A9733B5"/>
    <w:rsid w:val="7AD90D0A"/>
    <w:rsid w:val="7BBED5E7"/>
    <w:rsid w:val="7D2EC027"/>
    <w:rsid w:val="7D4E72D0"/>
    <w:rsid w:val="7D6F0976"/>
    <w:rsid w:val="7D966CAE"/>
    <w:rsid w:val="7DBFD927"/>
    <w:rsid w:val="7DEB0CC7"/>
    <w:rsid w:val="7DFC861A"/>
    <w:rsid w:val="7DFEDB1C"/>
    <w:rsid w:val="7E534460"/>
    <w:rsid w:val="7E5BC8CA"/>
    <w:rsid w:val="7E7C043C"/>
    <w:rsid w:val="7EB3000D"/>
    <w:rsid w:val="7EBF6C4B"/>
    <w:rsid w:val="7ECF669D"/>
    <w:rsid w:val="7EEF946C"/>
    <w:rsid w:val="7EFF220C"/>
    <w:rsid w:val="7FBF03FB"/>
    <w:rsid w:val="7FD32D0D"/>
    <w:rsid w:val="7FE9876B"/>
    <w:rsid w:val="7FFD2F81"/>
    <w:rsid w:val="7FFE3D57"/>
    <w:rsid w:val="95FE3C05"/>
    <w:rsid w:val="9AFFF542"/>
    <w:rsid w:val="A7FF1669"/>
    <w:rsid w:val="AEE3F790"/>
    <w:rsid w:val="AEFF0C01"/>
    <w:rsid w:val="AFFD5F21"/>
    <w:rsid w:val="B2DFAA85"/>
    <w:rsid w:val="B3C757DB"/>
    <w:rsid w:val="B7EC1C2F"/>
    <w:rsid w:val="BDBE1042"/>
    <w:rsid w:val="BEED05C7"/>
    <w:rsid w:val="BF2C84BC"/>
    <w:rsid w:val="CBCB3AF6"/>
    <w:rsid w:val="CD9D76EC"/>
    <w:rsid w:val="D7BFC90A"/>
    <w:rsid w:val="DABEEBFC"/>
    <w:rsid w:val="DBFE7655"/>
    <w:rsid w:val="DDFE08EB"/>
    <w:rsid w:val="DFB30302"/>
    <w:rsid w:val="E4FF84CE"/>
    <w:rsid w:val="E6DF747A"/>
    <w:rsid w:val="E7AA43E5"/>
    <w:rsid w:val="E7CE4B32"/>
    <w:rsid w:val="ED77E17D"/>
    <w:rsid w:val="EDAB207F"/>
    <w:rsid w:val="EFCF12EB"/>
    <w:rsid w:val="F2695203"/>
    <w:rsid w:val="F3FCC73D"/>
    <w:rsid w:val="F5FFD918"/>
    <w:rsid w:val="F6B9A09E"/>
    <w:rsid w:val="F75F1143"/>
    <w:rsid w:val="F7D9960E"/>
    <w:rsid w:val="F7FF1733"/>
    <w:rsid w:val="F9C7094E"/>
    <w:rsid w:val="FA9F4B77"/>
    <w:rsid w:val="FB56AEEF"/>
    <w:rsid w:val="FB5FA095"/>
    <w:rsid w:val="FB6935AB"/>
    <w:rsid w:val="FB7D779C"/>
    <w:rsid w:val="FCFFAFFA"/>
    <w:rsid w:val="FD674156"/>
    <w:rsid w:val="FE7FF3EB"/>
    <w:rsid w:val="FEF345EE"/>
    <w:rsid w:val="FEF4C3A0"/>
    <w:rsid w:val="FEFBEBDA"/>
    <w:rsid w:val="FEFD9D1B"/>
    <w:rsid w:val="FF7F99CF"/>
    <w:rsid w:val="FFB7BD7B"/>
    <w:rsid w:val="FFFE13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numPr>
        <w:ilvl w:val="1"/>
        <w:numId w:val="1"/>
      </w:numPr>
      <w:tabs>
        <w:tab w:val="left" w:pos="2040"/>
        <w:tab w:val="clear" w:pos="840"/>
      </w:tabs>
      <w:spacing w:before="240" w:after="240" w:line="480" w:lineRule="auto"/>
      <w:ind w:left="0" w:firstLine="0"/>
      <w:jc w:val="center"/>
      <w:outlineLvl w:val="1"/>
    </w:pPr>
    <w:rPr>
      <w:rFonts w:ascii="Times New Roman" w:hAnsi="Times New Roman" w:eastAsia="宋体" w:cs="Calibri"/>
      <w:b/>
      <w:kern w:val="0"/>
      <w:sz w:val="28"/>
      <w:szCs w:val="20"/>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jc w:val="center"/>
      <w:outlineLvl w:val="0"/>
    </w:pPr>
    <w:rPr>
      <w:rFonts w:ascii="Arial" w:hAnsi="Arial" w:eastAsia="隶书" w:cs="Arial"/>
      <w:b/>
      <w:bCs/>
      <w:kern w:val="2"/>
      <w:sz w:val="32"/>
      <w:szCs w:val="32"/>
      <w:lang w:val="en-US" w:eastAsia="zh-CN" w:bidi="ar-SA"/>
    </w:rPr>
  </w:style>
  <w:style w:type="paragraph" w:styleId="7">
    <w:name w:val="Normal Indent"/>
    <w:basedOn w:val="1"/>
    <w:qFormat/>
    <w:uiPriority w:val="0"/>
    <w:pPr>
      <w:ind w:firstLine="420"/>
    </w:pPr>
    <w:rPr>
      <w:szCs w:val="20"/>
    </w:r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2"/>
      <w:lang w:val="en-US" w:eastAsia="zh-CN" w:bidi="ar"/>
    </w:rPr>
  </w:style>
  <w:style w:type="paragraph" w:styleId="9">
    <w:name w:val="toc 1"/>
    <w:basedOn w:val="1"/>
    <w:next w:val="1"/>
    <w:unhideWhenUsed/>
    <w:qFormat/>
    <w:uiPriority w:val="39"/>
  </w:style>
  <w:style w:type="paragraph" w:styleId="10">
    <w:name w:val="Body Text 2"/>
    <w:basedOn w:val="1"/>
    <w:qFormat/>
    <w:uiPriority w:val="0"/>
    <w:rPr>
      <w:szCs w:val="22"/>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Hyperlink"/>
    <w:basedOn w:val="14"/>
    <w:qFormat/>
    <w:uiPriority w:val="0"/>
    <w:rPr>
      <w:color w:val="0000FF"/>
      <w:u w:val="single"/>
    </w:rPr>
  </w:style>
  <w:style w:type="paragraph" w:customStyle="1" w:styleId="17">
    <w:name w:val="文档正文"/>
    <w:basedOn w:val="1"/>
    <w:qFormat/>
    <w:uiPriority w:val="99"/>
    <w:pPr>
      <w:adjustRightInd w:val="0"/>
      <w:spacing w:line="480" w:lineRule="atLeast"/>
      <w:ind w:firstLine="567"/>
      <w:textAlignment w:val="baseline"/>
    </w:pPr>
    <w:rPr>
      <w:rFonts w:asci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286</Words>
  <Characters>323</Characters>
  <Lines>0</Lines>
  <Paragraphs>0</Paragraphs>
  <TotalTime>77</TotalTime>
  <ScaleCrop>false</ScaleCrop>
  <LinksUpToDate>false</LinksUpToDate>
  <CharactersWithSpaces>348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2022-04-16T18:33:00Z</dcterms:created>
  <dc:creator>suppr</dc:creator>
  <cp:lastModifiedBy>miki</cp:lastModifiedBy>
  <cp:lastPrinted>2023-01-10T01:32:00Z</cp:lastPrinted>
  <dcterms:modified xsi:type="dcterms:W3CDTF">2025-08-15T11:06:24Z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E08A6D70F1BE4885B8BBA8A2D8AFE268</vt:lpwstr>
  </property>
</Properties>
</file>