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B72C6">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深圳市眼科医院样本储存和处理设备组合采购项目</w:t>
      </w:r>
      <w:r>
        <w:rPr>
          <w:rFonts w:hint="eastAsia" w:ascii="黑体" w:hAnsi="黑体" w:eastAsia="黑体" w:cs="黑体"/>
          <w:snapToGrid w:val="0"/>
          <w:color w:val="auto"/>
          <w:sz w:val="28"/>
          <w:szCs w:val="28"/>
          <w:lang w:val="en-US" w:eastAsia="zh-CN"/>
        </w:rPr>
        <w:t>采购公告（第二次采购）</w:t>
      </w:r>
    </w:p>
    <w:p w14:paraId="1C6E7CC6">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6BA08E52">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深圳市眼科医院样本储存和处理设备组合采购项目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19</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0DDB97F9">
      <w:pPr>
        <w:adjustRightInd w:val="0"/>
        <w:snapToGrid w:val="0"/>
        <w:spacing w:line="360" w:lineRule="auto"/>
        <w:ind w:firstLine="420" w:firstLineChars="200"/>
        <w:jc w:val="left"/>
        <w:rPr>
          <w:rFonts w:ascii="宋体" w:hAnsi="宋体" w:cs="Arial Unicode MS"/>
          <w:snapToGrid w:val="0"/>
          <w:kern w:val="0"/>
          <w:szCs w:val="21"/>
        </w:rPr>
      </w:pPr>
    </w:p>
    <w:p w14:paraId="35CC4E0E">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49CBC10B">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SZZZ2025-QA0105</w:t>
      </w:r>
      <w:bookmarkStart w:id="1" w:name="_GoBack"/>
      <w:bookmarkEnd w:id="1"/>
    </w:p>
    <w:p w14:paraId="474D6181">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深圳市眼科医院样本储存和处理设备组合采购项目</w:t>
      </w:r>
    </w:p>
    <w:p w14:paraId="4FB046EF">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21D6BA6E">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default" w:cs="仿宋" w:asciiTheme="minorEastAsia" w:hAnsiTheme="minorEastAsia" w:eastAsiaTheme="minorEastAsia"/>
          <w:bCs/>
          <w:sz w:val="21"/>
          <w:szCs w:val="21"/>
          <w:lang w:val="en-US"/>
        </w:rPr>
        <w:t>201</w:t>
      </w:r>
      <w:r>
        <w:rPr>
          <w:rFonts w:hint="eastAsia" w:cs="仿宋" w:asciiTheme="minorEastAsia" w:hAnsiTheme="minorEastAsia" w:eastAsiaTheme="minorEastAsia"/>
          <w:bCs/>
          <w:sz w:val="21"/>
          <w:szCs w:val="21"/>
          <w:lang w:val="en-US" w:eastAsia="zh-CN"/>
        </w:rPr>
        <w:t>,</w:t>
      </w:r>
      <w:r>
        <w:rPr>
          <w:rFonts w:hint="default" w:cs="仿宋" w:asciiTheme="minorEastAsia" w:hAnsiTheme="minorEastAsia" w:eastAsiaTheme="minorEastAsia"/>
          <w:bCs/>
          <w:sz w:val="21"/>
          <w:szCs w:val="21"/>
          <w:lang w:val="en-US"/>
        </w:rPr>
        <w:t>500</w:t>
      </w:r>
      <w:r>
        <w:rPr>
          <w:rFonts w:hint="eastAsia" w:cs="仿宋" w:asciiTheme="minorEastAsia" w:hAnsiTheme="minorEastAsia" w:eastAsiaTheme="minorEastAsia"/>
          <w:bCs/>
          <w:sz w:val="21"/>
          <w:szCs w:val="21"/>
          <w:lang w:val="en-US" w:eastAsia="zh-CN"/>
        </w:rPr>
        <w:t>.00</w:t>
      </w:r>
      <w:r>
        <w:rPr>
          <w:rFonts w:hint="eastAsia" w:ascii="宋体" w:hAnsi="宋体" w:eastAsia="宋体"/>
          <w:snapToGrid w:val="0"/>
          <w:color w:val="auto"/>
          <w:sz w:val="21"/>
          <w:szCs w:val="21"/>
        </w:rPr>
        <w:t>元</w:t>
      </w:r>
    </w:p>
    <w:p w14:paraId="63013BBB">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lang w:val="en-US" w:eastAsia="zh-CN"/>
        </w:rPr>
        <w:t>164,000.00</w:t>
      </w:r>
      <w:r>
        <w:rPr>
          <w:rFonts w:hint="eastAsia" w:ascii="宋体" w:hAnsi="宋体" w:eastAsia="宋体"/>
          <w:snapToGrid w:val="0"/>
          <w:color w:val="auto"/>
          <w:sz w:val="21"/>
          <w:szCs w:val="21"/>
        </w:rPr>
        <w:t>元</w:t>
      </w:r>
    </w:p>
    <w:p w14:paraId="2787EE18">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08"/>
        <w:gridCol w:w="2809"/>
        <w:gridCol w:w="731"/>
        <w:gridCol w:w="733"/>
        <w:gridCol w:w="2565"/>
        <w:gridCol w:w="977"/>
      </w:tblGrid>
      <w:tr w14:paraId="7834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BCDEF"/>
            <w:vAlign w:val="center"/>
          </w:tcPr>
          <w:p w14:paraId="323D4AF8">
            <w:pPr>
              <w:pStyle w:val="2"/>
              <w:spacing w:before="0" w:beforeAutospacing="0" w:after="0" w:afterAutospacing="0" w:line="360" w:lineRule="auto"/>
              <w:jc w:val="center"/>
              <w:rPr>
                <w:sz w:val="21"/>
              </w:rPr>
            </w:pPr>
            <w:r>
              <w:rPr>
                <w:rFonts w:hint="eastAsia"/>
                <w:sz w:val="21"/>
              </w:rPr>
              <w:t>序号</w:t>
            </w:r>
          </w:p>
        </w:tc>
        <w:tc>
          <w:tcPr>
            <w:tcW w:w="1667" w:type="pct"/>
            <w:shd w:val="clear" w:color="auto" w:fill="ABCDEF"/>
            <w:vAlign w:val="center"/>
          </w:tcPr>
          <w:p w14:paraId="6835DFC5">
            <w:pPr>
              <w:pStyle w:val="2"/>
              <w:spacing w:line="360" w:lineRule="auto"/>
              <w:jc w:val="center"/>
              <w:rPr>
                <w:sz w:val="21"/>
              </w:rPr>
            </w:pPr>
            <w:r>
              <w:rPr>
                <w:sz w:val="21"/>
              </w:rPr>
              <w:t>标的名称</w:t>
            </w:r>
          </w:p>
        </w:tc>
        <w:tc>
          <w:tcPr>
            <w:tcW w:w="434" w:type="pct"/>
            <w:shd w:val="clear" w:color="auto" w:fill="ABCDEF"/>
            <w:vAlign w:val="center"/>
          </w:tcPr>
          <w:p w14:paraId="48BD8B22">
            <w:pPr>
              <w:pStyle w:val="2"/>
              <w:spacing w:before="0" w:beforeAutospacing="0" w:after="0" w:afterAutospacing="0" w:line="360" w:lineRule="auto"/>
              <w:jc w:val="center"/>
              <w:rPr>
                <w:sz w:val="21"/>
              </w:rPr>
            </w:pPr>
            <w:r>
              <w:rPr>
                <w:sz w:val="21"/>
              </w:rPr>
              <w:t>数量</w:t>
            </w:r>
          </w:p>
        </w:tc>
        <w:tc>
          <w:tcPr>
            <w:tcW w:w="435" w:type="pct"/>
            <w:shd w:val="clear" w:color="auto" w:fill="ABCDEF"/>
            <w:vAlign w:val="center"/>
          </w:tcPr>
          <w:p w14:paraId="0CB94753">
            <w:pPr>
              <w:pStyle w:val="2"/>
              <w:spacing w:before="0" w:beforeAutospacing="0" w:after="0" w:afterAutospacing="0" w:line="360" w:lineRule="auto"/>
              <w:jc w:val="center"/>
              <w:rPr>
                <w:sz w:val="21"/>
              </w:rPr>
            </w:pPr>
            <w:r>
              <w:rPr>
                <w:sz w:val="21"/>
              </w:rPr>
              <w:t>单位</w:t>
            </w:r>
          </w:p>
        </w:tc>
        <w:tc>
          <w:tcPr>
            <w:tcW w:w="1522" w:type="pct"/>
            <w:shd w:val="clear" w:color="auto" w:fill="ABCDEF"/>
            <w:vAlign w:val="center"/>
          </w:tcPr>
          <w:p w14:paraId="49759B28">
            <w:pPr>
              <w:pStyle w:val="2"/>
              <w:spacing w:before="0" w:beforeAutospacing="0" w:after="0" w:afterAutospacing="0" w:line="360" w:lineRule="auto"/>
              <w:jc w:val="center"/>
              <w:rPr>
                <w:sz w:val="21"/>
              </w:rPr>
            </w:pPr>
            <w:r>
              <w:rPr>
                <w:rFonts w:hint="eastAsia"/>
                <w:sz w:val="21"/>
              </w:rPr>
              <w:t>简要技术需求或服务要求</w:t>
            </w:r>
          </w:p>
        </w:tc>
        <w:tc>
          <w:tcPr>
            <w:tcW w:w="579" w:type="pct"/>
            <w:shd w:val="clear" w:color="auto" w:fill="ABCDEF"/>
            <w:vAlign w:val="center"/>
          </w:tcPr>
          <w:p w14:paraId="6E757EE5">
            <w:pPr>
              <w:pStyle w:val="2"/>
              <w:spacing w:before="0" w:beforeAutospacing="0" w:after="0" w:afterAutospacing="0" w:line="360" w:lineRule="auto"/>
              <w:jc w:val="center"/>
              <w:rPr>
                <w:sz w:val="21"/>
              </w:rPr>
            </w:pPr>
            <w:r>
              <w:rPr>
                <w:sz w:val="21"/>
              </w:rPr>
              <w:t>备注</w:t>
            </w:r>
          </w:p>
        </w:tc>
      </w:tr>
      <w:tr w14:paraId="6C6D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uto"/>
            <w:vAlign w:val="center"/>
          </w:tcPr>
          <w:p w14:paraId="5A66F6F6">
            <w:pPr>
              <w:pStyle w:val="2"/>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1667" w:type="pct"/>
            <w:shd w:val="clear" w:color="auto" w:fill="auto"/>
            <w:vAlign w:val="center"/>
          </w:tcPr>
          <w:p w14:paraId="688CD998">
            <w:pPr>
              <w:pStyle w:val="2"/>
              <w:spacing w:line="360" w:lineRule="auto"/>
              <w:jc w:val="center"/>
              <w:rPr>
                <w:rFonts w:hint="default" w:eastAsia="宋体" w:asciiTheme="minorEastAsia" w:hAnsiTheme="minorEastAsia"/>
                <w:sz w:val="21"/>
                <w:szCs w:val="21"/>
                <w:lang w:val="en-US" w:eastAsia="zh-CN"/>
              </w:rPr>
            </w:pPr>
            <w:r>
              <w:rPr>
                <w:rFonts w:hint="default" w:ascii="宋体" w:hAnsi="宋体" w:cs="宋体"/>
                <w:sz w:val="21"/>
                <w:szCs w:val="21"/>
                <w:lang w:val="en-US"/>
              </w:rPr>
              <w:t>详见《货物清单明细》</w:t>
            </w:r>
          </w:p>
        </w:tc>
        <w:tc>
          <w:tcPr>
            <w:tcW w:w="434" w:type="pct"/>
            <w:shd w:val="clear" w:color="auto" w:fill="auto"/>
            <w:vAlign w:val="center"/>
          </w:tcPr>
          <w:p w14:paraId="0A3FDFD5">
            <w:pPr>
              <w:pStyle w:val="2"/>
              <w:spacing w:before="0" w:beforeAutospacing="0" w:after="0" w:afterAutospacing="0" w:line="360" w:lineRule="auto"/>
              <w:jc w:val="center"/>
              <w:rPr>
                <w:rFonts w:hint="eastAsia" w:eastAsia="宋体" w:asciiTheme="minorEastAsia" w:hAnsiTheme="minorEastAsia"/>
                <w:sz w:val="21"/>
                <w:szCs w:val="21"/>
                <w:lang w:eastAsia="zh-CN"/>
              </w:rPr>
            </w:pPr>
            <w:r>
              <w:rPr>
                <w:rFonts w:hint="eastAsia" w:ascii="宋体" w:hAnsi="宋体" w:cs="宋体"/>
                <w:sz w:val="21"/>
                <w:szCs w:val="21"/>
                <w:lang w:val="en-US" w:eastAsia="zh-CN"/>
              </w:rPr>
              <w:t>2</w:t>
            </w:r>
          </w:p>
        </w:tc>
        <w:tc>
          <w:tcPr>
            <w:tcW w:w="435" w:type="pct"/>
            <w:shd w:val="clear" w:color="auto" w:fill="auto"/>
            <w:vAlign w:val="center"/>
          </w:tcPr>
          <w:p w14:paraId="62A5D85C">
            <w:pPr>
              <w:pStyle w:val="2"/>
              <w:spacing w:before="0" w:beforeAutospacing="0" w:after="0" w:afterAutospacing="0" w:line="360" w:lineRule="auto"/>
              <w:jc w:val="center"/>
              <w:rPr>
                <w:rFonts w:hint="eastAsia" w:eastAsia="宋体" w:asciiTheme="minorEastAsia" w:hAnsiTheme="minorEastAsia"/>
                <w:sz w:val="21"/>
                <w:szCs w:val="21"/>
                <w:lang w:eastAsia="zh-CN"/>
              </w:rPr>
            </w:pPr>
            <w:r>
              <w:rPr>
                <w:rFonts w:hint="eastAsia" w:ascii="宋体" w:hAnsi="宋体" w:cs="宋体"/>
                <w:sz w:val="21"/>
                <w:szCs w:val="21"/>
                <w:lang w:val="en-US" w:eastAsia="zh-CN"/>
              </w:rPr>
              <w:t>台</w:t>
            </w:r>
          </w:p>
        </w:tc>
        <w:tc>
          <w:tcPr>
            <w:tcW w:w="1522" w:type="pct"/>
            <w:shd w:val="clear" w:color="auto" w:fill="auto"/>
            <w:vAlign w:val="center"/>
          </w:tcPr>
          <w:p w14:paraId="54B3E3A5">
            <w:pPr>
              <w:pStyle w:val="2"/>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579" w:type="pct"/>
            <w:shd w:val="clear" w:color="auto" w:fill="auto"/>
            <w:vAlign w:val="center"/>
          </w:tcPr>
          <w:p w14:paraId="51E7DA43">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60D71938">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3ABF20E8">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6D2C8C">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39C3352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0821E10C">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4D94CE1D">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43868B6C">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439D009B">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88FBE2B">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7EAFB86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361EF2A">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50FC9F0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0B7BE1B2">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0B03B8D">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57F83CDD">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5C1FA7A5">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561F9326">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D534319">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4F414195">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69E8BAE4">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6FE0DD0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1741242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），逾期不予受理。</w:t>
      </w:r>
    </w:p>
    <w:p w14:paraId="362B68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r>
        <w:rPr>
          <w:rFonts w:hint="eastAsia" w:ascii="宋体" w:hAnsi="宋体" w:cs="Arial Unicode MS"/>
          <w:snapToGrid w:val="0"/>
          <w:kern w:val="0"/>
          <w:szCs w:val="21"/>
          <w:lang w:val="en-US" w:eastAsia="zh-CN"/>
        </w:rPr>
        <w:t>③</w:t>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w:t>
      </w:r>
    </w:p>
    <w:p w14:paraId="04A4C135">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3837B29B">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5DA40562">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12DE74E">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0ACE9034">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4EF6790">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1BB29B44">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19</w:t>
      </w:r>
      <w:r>
        <w:rPr>
          <w:rFonts w:hint="eastAsia" w:ascii="宋体" w:hAnsi="宋体" w:eastAsia="宋体"/>
          <w:snapToGrid w:val="0"/>
          <w:color w:val="auto"/>
          <w:sz w:val="21"/>
          <w:szCs w:val="21"/>
          <w:u w:val="single"/>
        </w:rPr>
        <w:t>日14点30分（北京时间）</w:t>
      </w:r>
    </w:p>
    <w:p w14:paraId="77BDB885">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0445854">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C0A8E4">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32935AB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0FD90939">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E0584E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AD6715">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6CBE7006">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75DFAD35">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42EC224A">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DD2303">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320678E4">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6D30EC42">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8B68E9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名称：深圳市眼科医院</w:t>
      </w:r>
    </w:p>
    <w:p w14:paraId="019A023B">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地址：深圳市福田区泽田路18号</w:t>
      </w:r>
    </w:p>
    <w:p w14:paraId="10D0465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w:t>
      </w:r>
      <w:r>
        <w:rPr>
          <w:rFonts w:ascii="宋体" w:hAnsi="宋体" w:eastAsia="宋体"/>
          <w:snapToGrid w:val="0"/>
          <w:color w:val="auto"/>
          <w:sz w:val="21"/>
          <w:szCs w:val="21"/>
        </w:rPr>
        <w:t>工</w:t>
      </w:r>
    </w:p>
    <w:p w14:paraId="22C3486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D38C80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721967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190A19BE">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4451422F">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7375478">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039ADB7E">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C61C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32288B15">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08</w:t>
      </w:r>
      <w:r>
        <w:rPr>
          <w:rFonts w:ascii="宋体" w:hAnsi="宋体"/>
          <w:snapToGrid w:val="0"/>
          <w:kern w:val="0"/>
          <w:sz w:val="24"/>
        </w:rPr>
        <w:t>月</w:t>
      </w:r>
      <w:r>
        <w:rPr>
          <w:rFonts w:hint="eastAsia" w:ascii="宋体" w:hAnsi="宋体"/>
          <w:snapToGrid w:val="0"/>
          <w:kern w:val="0"/>
          <w:sz w:val="24"/>
          <w:lang w:val="en-US" w:eastAsia="zh-CN"/>
        </w:rPr>
        <w:t>07</w:t>
      </w:r>
      <w:r>
        <w:rPr>
          <w:rFonts w:hint="eastAsia" w:ascii="宋体" w:hAnsi="宋体"/>
          <w:snapToGrid w:val="0"/>
          <w:kern w:val="0"/>
          <w:sz w:val="24"/>
        </w:rPr>
        <w:t>日</w:t>
      </w:r>
    </w:p>
    <w:p w14:paraId="6F8A62C7">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506A2"/>
    <w:rsid w:val="03150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2025-08-07T06:54:00Z</dcterms:created>
  <dc:creator>中正招标杨工</dc:creator>
  <cp:lastModifiedBy>中正招标杨工</cp:lastModifiedBy>
  <dcterms:modified xsi:type="dcterms:W3CDTF">2025-08-07T06:56:36Z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109696AF0FE04A9DACF3828AC9A8604C_11</vt:lpwstr>
  </property>
  <property fmtid="{D5CDD505-2E9C-101B-9397-08002B2CF9AE}" pid="4" name="KSOTemplateDocerSaveRecord">
    <vt:lpwstr>eyJoZGlkIjoiOTMwM2Y2MTYwMDMxNDU2MTZiYjY1MzkzNDdkYmNhZGUiLCJ1c2VySWQiOiI1NDUwNDM1MTAifQ==</vt:lpwstr>
  </property>
</Properties>
</file>