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268A9">
      <w:pPr>
        <w:widowControl/>
        <w:spacing w:beforeAutospacing="1" w:afterAutospacing="1"/>
        <w:jc w:val="center"/>
        <w:outlineLvl w:val="1"/>
        <w:rPr>
          <w:rFonts w:hint="eastAsia" w:ascii="黑体" w:hAnsi="宋体" w:eastAsia="黑体" w:cs="黑体"/>
          <w:kern w:val="0"/>
          <w:sz w:val="40"/>
          <w:szCs w:val="40"/>
          <w:highlight w:val="none"/>
        </w:rPr>
      </w:pPr>
    </w:p>
    <w:p w14:paraId="5B99A331">
      <w:pPr>
        <w:ind w:firstLine="3654" w:firstLineChars="1300"/>
        <w:rPr>
          <w:rFonts w:ascii="宋体" w:hAnsi="宋体"/>
          <w:color w:val="FF0000"/>
          <w:szCs w:val="21"/>
          <w:highlight w:val="none"/>
        </w:rPr>
      </w:pPr>
      <w:r>
        <w:rPr>
          <w:rFonts w:hint="eastAsia" w:ascii="宋体" w:hAnsi="宋体" w:eastAsia="黑体"/>
          <w:b/>
          <w:bCs/>
          <w:color w:val="FF0000"/>
          <w:kern w:val="44"/>
          <w:sz w:val="28"/>
          <w:szCs w:val="44"/>
          <w:highlight w:val="none"/>
          <w:lang w:val="en-US" w:eastAsia="zh-CN"/>
        </w:rPr>
        <w:t>特别</w:t>
      </w:r>
      <w:r>
        <w:rPr>
          <w:rFonts w:hint="eastAsia" w:ascii="宋体" w:hAnsi="宋体" w:eastAsia="黑体"/>
          <w:b/>
          <w:bCs/>
          <w:color w:val="FF0000"/>
          <w:kern w:val="44"/>
          <w:sz w:val="28"/>
          <w:szCs w:val="44"/>
          <w:highlight w:val="none"/>
        </w:rPr>
        <w:t>警示条款</w:t>
      </w:r>
    </w:p>
    <w:p w14:paraId="6C92EA8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1B49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563CA3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1E03EE5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2A72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232A848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03540F5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4ECF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58E3D17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63F2C2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3215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5870BDD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424B40E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0284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2745A0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50E291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4668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679C2B1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053BA58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7056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1CD5B2D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2645F6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3685586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highlight w:val="none"/>
        </w:rPr>
      </w:pPr>
    </w:p>
    <w:p w14:paraId="2FD00BF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2DE0ECF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14:paraId="38AA8A8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14:paraId="06C0EB3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（三）隐瞒真实情况，提供虚假资料的；</w:t>
      </w:r>
    </w:p>
    <w:p w14:paraId="245C995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14:paraId="6B4B412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（五）与其他采购参加人串通投标的；</w:t>
      </w:r>
    </w:p>
    <w:p w14:paraId="6E0D020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（六）恶意投诉的；</w:t>
      </w:r>
    </w:p>
    <w:p w14:paraId="30F7410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14:paraId="3ECF675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（八）阻碍、抗拒主管部门监督检查的；</w:t>
      </w:r>
    </w:p>
    <w:p w14:paraId="79BDF4F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（九）其他违反本条例规定的行为。</w:t>
      </w:r>
    </w:p>
    <w:p w14:paraId="63046BC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w:t>
      </w:r>
      <w:r>
        <w:rPr>
          <w:rFonts w:hint="eastAsia" w:ascii="宋体" w:hAnsi="宋体"/>
          <w:color w:val="FF0000"/>
          <w:sz w:val="20"/>
          <w:szCs w:val="20"/>
          <w:highlight w:val="none"/>
          <w:lang w:val="en-US" w:eastAsia="zh-CN"/>
        </w:rPr>
        <w:t>之一</w:t>
      </w:r>
      <w:r>
        <w:rPr>
          <w:rFonts w:hint="eastAsia" w:ascii="宋体" w:hAnsi="宋体"/>
          <w:color w:val="FF0000"/>
          <w:sz w:val="20"/>
          <w:szCs w:val="20"/>
          <w:highlight w:val="none"/>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（三）不同投标供应商的投标文件由同一单位或者同一人编制，或者由同一人分阶段参与编制的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（四）不同投标供应商的投标文件或部分投标文件相互混装</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（五）不同投标供应商的投标文件内容存在非正常一致</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（六）由同一单位工作人员为两家以上（含两家）供应商进行同一项投标活动的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（七）主管部门依照法律、法规认定的其他情形。</w:t>
      </w:r>
    </w:p>
    <w:p w14:paraId="6002B1E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供应商有下列情形之一的，属于隐瞒真实情况，提供虚假资料，按照采购条例第五十七</w:t>
      </w:r>
      <w:r>
        <w:rPr>
          <w:rFonts w:hint="eastAsia" w:ascii="宋体" w:hAnsi="宋体"/>
          <w:color w:val="FF0000"/>
          <w:sz w:val="20"/>
          <w:szCs w:val="20"/>
          <w:highlight w:val="none"/>
          <w:lang w:val="en-US" w:eastAsia="zh-CN"/>
        </w:rPr>
        <w:t>条</w:t>
      </w:r>
      <w:r>
        <w:rPr>
          <w:rFonts w:hint="eastAsia" w:ascii="宋体" w:hAnsi="宋体"/>
          <w:color w:val="FF0000"/>
          <w:sz w:val="20"/>
          <w:szCs w:val="20"/>
          <w:highlight w:val="none"/>
        </w:rPr>
        <w:t>的有关规定处理：（一）通过转让或者租借等方式从其他单位获取资格或者资质证书投标的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（二）由其他单位或者其他单位负责人在投标供应商编制的投标文件上加盖印章或者签字的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（三）项目负责人或者主要技术人员不是本单位人员的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（四）投标保证金不是从投标供应商基本账户转出的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（五）其他隐瞒真实情况、提供虚假资料的行为。</w:t>
      </w:r>
    </w:p>
    <w:p w14:paraId="1B4155E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14:paraId="610175B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highlight w:val="none"/>
          <w:lang w:val="en-US" w:eastAsia="zh-CN"/>
        </w:rPr>
      </w:pPr>
      <w:r>
        <w:rPr>
          <w:rFonts w:hint="eastAsia"/>
          <w:b w:val="0"/>
          <w:bCs/>
          <w:color w:val="FF0000"/>
          <w:sz w:val="20"/>
          <w:szCs w:val="20"/>
          <w:highlight w:val="none"/>
          <w:lang w:val="en-US" w:eastAsia="zh-CN"/>
        </w:rPr>
        <w:t>四</w:t>
      </w:r>
      <w:r>
        <w:rPr>
          <w:rFonts w:hint="eastAsia" w:ascii="Times New Roman" w:eastAsia="宋体"/>
          <w:b w:val="0"/>
          <w:bCs/>
          <w:color w:val="FF0000"/>
          <w:sz w:val="20"/>
          <w:szCs w:val="20"/>
          <w:highlight w:val="none"/>
          <w:lang w:val="en-US" w:eastAsia="zh-CN"/>
        </w:rPr>
        <w:t>、</w:t>
      </w:r>
      <w:r>
        <w:rPr>
          <w:rFonts w:hint="eastAsia"/>
          <w:b/>
          <w:color w:val="FF0000"/>
          <w:highlight w:val="none"/>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7E6C1D19">
      <w:pPr>
        <w:pStyle w:val="5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highlight w:val="none"/>
          <w:lang w:val="en-US" w:eastAsia="zh-CN"/>
        </w:rPr>
      </w:pPr>
    </w:p>
    <w:p w14:paraId="407E1709">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1" w:afterAutospacing="1"/>
        <w:jc w:val="both"/>
        <w:textAlignment w:val="auto"/>
        <w:outlineLvl w:val="1"/>
        <w:rPr>
          <w:rFonts w:hint="eastAsia" w:ascii="Times New Roman" w:hAnsi="Times New Roman" w:eastAsia="宋体" w:cs="Times New Roman"/>
          <w:b/>
          <w:color w:val="FF0000"/>
          <w:kern w:val="2"/>
          <w:sz w:val="21"/>
          <w:szCs w:val="24"/>
          <w:highlight w:val="none"/>
          <w:lang w:val="en-US" w:eastAsia="zh-CN" w:bidi="ar-SA"/>
        </w:rPr>
      </w:pPr>
      <w:r>
        <w:rPr>
          <w:rFonts w:hint="eastAsia" w:ascii="Times New Roman" w:hAnsi="Times New Roman" w:eastAsia="宋体" w:cs="Times New Roman"/>
          <w:b/>
          <w:color w:val="FF0000"/>
          <w:kern w:val="2"/>
          <w:sz w:val="21"/>
          <w:szCs w:val="24"/>
          <w:highlight w:val="none"/>
          <w:lang w:val="en-US" w:eastAsia="zh-CN" w:bidi="ar-SA"/>
        </w:rPr>
        <w:t>注：“特别警示条款”和《政府采购违法行为风险知悉确认书》用于对供应商违法行为的提醒，不作为供应商资格性审查及符合性审查条件。</w:t>
      </w:r>
    </w:p>
    <w:p w14:paraId="6027B11C">
      <w:pPr>
        <w:widowControl/>
        <w:spacing w:beforeAutospacing="1" w:afterAutospacing="1"/>
        <w:jc w:val="center"/>
        <w:outlineLvl w:val="1"/>
        <w:rPr>
          <w:rFonts w:hint="eastAsia" w:ascii="黑体" w:hAnsi="宋体" w:eastAsia="黑体" w:cs="黑体"/>
          <w:kern w:val="0"/>
          <w:sz w:val="40"/>
          <w:szCs w:val="40"/>
          <w:highlight w:val="none"/>
        </w:rPr>
      </w:pPr>
    </w:p>
    <w:p w14:paraId="3F7767EE">
      <w:pPr>
        <w:widowControl/>
        <w:spacing w:beforeAutospacing="1" w:afterAutospacing="1"/>
        <w:jc w:val="center"/>
        <w:outlineLvl w:val="1"/>
        <w:rPr>
          <w:rFonts w:hint="eastAsia" w:ascii="黑体" w:hAnsi="宋体" w:eastAsia="黑体" w:cs="黑体"/>
          <w:kern w:val="0"/>
          <w:sz w:val="40"/>
          <w:szCs w:val="40"/>
          <w:highlight w:val="none"/>
        </w:rPr>
      </w:pPr>
    </w:p>
    <w:p w14:paraId="05E4A875">
      <w:pPr>
        <w:widowControl/>
        <w:spacing w:beforeAutospacing="1" w:afterAutospacing="1"/>
        <w:jc w:val="center"/>
        <w:outlineLvl w:val="1"/>
        <w:rPr>
          <w:rFonts w:hint="eastAsia" w:ascii="黑体" w:hAnsi="宋体" w:eastAsia="黑体" w:cs="黑体"/>
          <w:kern w:val="0"/>
          <w:sz w:val="40"/>
          <w:szCs w:val="40"/>
          <w:highlight w:val="none"/>
        </w:rPr>
        <w:sectPr>
          <w:headerReference r:id="rId3" w:type="first"/>
          <w:footerReference r:id="rId4" w:type="default"/>
          <w:footerReference r:id="rId5" w:type="even"/>
          <w:pgSz w:w="11907" w:h="16840"/>
          <w:pgMar w:top="1440" w:right="2090" w:bottom="1440" w:left="1417" w:header="851" w:footer="992" w:gutter="0"/>
          <w:cols w:space="425" w:num="1"/>
          <w:titlePg/>
          <w:docGrid w:linePitch="462" w:charSpace="0"/>
        </w:sectPr>
      </w:pPr>
    </w:p>
    <w:p w14:paraId="2368A947">
      <w:pPr>
        <w:pStyle w:val="50"/>
        <w:rPr>
          <w:rFonts w:hint="eastAsia"/>
          <w:highlight w:val="none"/>
        </w:rPr>
      </w:pPr>
    </w:p>
    <w:p w14:paraId="533D3A4E">
      <w:pPr>
        <w:widowControl/>
        <w:spacing w:beforeAutospacing="1" w:afterAutospacing="1"/>
        <w:jc w:val="center"/>
        <w:outlineLvl w:val="1"/>
        <w:rPr>
          <w:rFonts w:ascii="黑体" w:hAnsi="宋体" w:eastAsia="黑体" w:cs="黑体"/>
          <w:kern w:val="0"/>
          <w:sz w:val="40"/>
          <w:szCs w:val="40"/>
          <w:highlight w:val="none"/>
        </w:rPr>
      </w:pPr>
      <w:r>
        <w:rPr>
          <w:rFonts w:hint="eastAsia" w:ascii="黑体" w:hAnsi="宋体" w:eastAsia="黑体" w:cs="黑体"/>
          <w:kern w:val="0"/>
          <w:sz w:val="40"/>
          <w:szCs w:val="40"/>
          <w:highlight w:val="none"/>
        </w:rPr>
        <w:t>招标文件信息</w:t>
      </w:r>
    </w:p>
    <w:p w14:paraId="0B16BCF4">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lang w:val="en-US" w:eastAsia="zh-CN"/>
        </w:rPr>
      </w:pPr>
      <w:r>
        <w:rPr>
          <w:rFonts w:hint="eastAsia" w:asciiTheme="minorEastAsia" w:hAnsiTheme="minorEastAsia" w:eastAsiaTheme="minorEastAsia" w:cstheme="minorEastAsia"/>
          <w:b w:val="0"/>
          <w:bCs w:val="0"/>
          <w:sz w:val="30"/>
          <w:szCs w:val="30"/>
          <w:highlight w:val="none"/>
        </w:rPr>
        <w:t>项目编号：FTZXCG-2025-00133</w:t>
      </w:r>
    </w:p>
    <w:p w14:paraId="350F7908">
      <w:pPr>
        <w:pStyle w:val="38"/>
        <w:widowControl/>
        <w:jc w:val="center"/>
        <w:outlineLvl w:val="1"/>
        <w:rPr>
          <w:rFonts w:hint="eastAsia" w:asciiTheme="minorEastAsia" w:hAnsiTheme="minorEastAsia" w:eastAsiaTheme="minorEastAsia" w:cstheme="minorEastAsia"/>
          <w:b w:val="0"/>
          <w:bCs w:val="0"/>
          <w:sz w:val="30"/>
          <w:szCs w:val="30"/>
          <w:highlight w:val="none"/>
          <w:lang w:val="en-US" w:eastAsia="zh-CN"/>
        </w:rPr>
      </w:pPr>
    </w:p>
    <w:p w14:paraId="097EE9D3">
      <w:pPr>
        <w:pStyle w:val="38"/>
        <w:widowControl/>
        <w:ind w:left="3886" w:leftChars="1136" w:hanging="1500" w:hangingChars="5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项目名称：</w:t>
      </w:r>
      <w:r>
        <w:rPr>
          <w:rFonts w:hint="eastAsia" w:asciiTheme="minorEastAsia" w:hAnsiTheme="minorEastAsia" w:eastAsiaTheme="minorEastAsia" w:cstheme="minorEastAsia"/>
          <w:sz w:val="30"/>
          <w:szCs w:val="30"/>
          <w:highlight w:val="none"/>
        </w:rPr>
        <w:t>深圳市福田区政府物业管理中心物业评估服务</w:t>
      </w:r>
    </w:p>
    <w:p w14:paraId="43CB5D0E">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53E46DDD">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包 号：</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A</w:t>
      </w:r>
    </w:p>
    <w:p w14:paraId="631F9D8A">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1CD823F4">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lang w:val="en-US" w:eastAsia="zh-CN"/>
        </w:rPr>
        <w:t>服务</w:t>
      </w:r>
      <w:r>
        <w:rPr>
          <w:rFonts w:hint="eastAsia" w:asciiTheme="minorEastAsia" w:hAnsiTheme="minorEastAsia" w:eastAsiaTheme="minorEastAsia" w:cstheme="minorEastAsia"/>
          <w:b w:val="0"/>
          <w:bCs w:val="0"/>
          <w:sz w:val="30"/>
          <w:szCs w:val="30"/>
          <w:highlight w:val="none"/>
        </w:rPr>
        <w:t>类</w:t>
      </w:r>
    </w:p>
    <w:p w14:paraId="0B7DBE0B">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056A8A17">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采购方式：</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公开招标</w:t>
      </w:r>
    </w:p>
    <w:p w14:paraId="6CC085B3">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3EA725A0">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货币类型：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人民币</w:t>
      </w:r>
    </w:p>
    <w:p w14:paraId="30ACA1B9">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09113CD2">
      <w:pPr>
        <w:pStyle w:val="38"/>
        <w:widowControl/>
        <w:ind w:firstLine="2400" w:firstLineChars="800"/>
        <w:jc w:val="both"/>
        <w:outlineLvl w:val="1"/>
        <w:rPr>
          <w:rFonts w:eastAsia="黑体"/>
          <w:sz w:val="40"/>
          <w:szCs w:val="40"/>
          <w:highlight w:val="none"/>
        </w:rPr>
      </w:pPr>
      <w:r>
        <w:rPr>
          <w:rFonts w:hint="eastAsia" w:asciiTheme="minorEastAsia" w:hAnsiTheme="minorEastAsia" w:eastAsiaTheme="minorEastAsia" w:cstheme="minorEastAsia"/>
          <w:b w:val="0"/>
          <w:bCs w:val="0"/>
          <w:sz w:val="30"/>
          <w:szCs w:val="30"/>
          <w:highlight w:val="none"/>
        </w:rPr>
        <w:t>评标方法：</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综合评分法</w:t>
      </w:r>
    </w:p>
    <w:p w14:paraId="56E093AC">
      <w:pPr>
        <w:pStyle w:val="38"/>
        <w:jc w:val="center"/>
        <w:outlineLvl w:val="1"/>
        <w:rPr>
          <w:rFonts w:hint="eastAsia" w:ascii="黑体" w:hAnsi="黑体" w:eastAsia="黑体"/>
          <w:sz w:val="40"/>
          <w:szCs w:val="40"/>
          <w:highlight w:val="none"/>
        </w:rPr>
      </w:pPr>
    </w:p>
    <w:p w14:paraId="332988A7">
      <w:pPr>
        <w:pStyle w:val="38"/>
        <w:jc w:val="center"/>
        <w:outlineLvl w:val="1"/>
        <w:rPr>
          <w:rFonts w:hint="eastAsia" w:ascii="黑体" w:hAnsi="黑体" w:eastAsia="黑体"/>
          <w:sz w:val="40"/>
          <w:szCs w:val="40"/>
          <w:highlight w:val="none"/>
        </w:rPr>
        <w:sectPr>
          <w:headerReference r:id="rId6" w:type="first"/>
          <w:footerReference r:id="rId7" w:type="default"/>
          <w:footerReference r:id="rId8" w:type="even"/>
          <w:pgSz w:w="11907" w:h="16840"/>
          <w:pgMar w:top="1440" w:right="2090" w:bottom="1440" w:left="1417" w:header="851" w:footer="992" w:gutter="0"/>
          <w:cols w:space="425" w:num="1"/>
          <w:titlePg/>
          <w:docGrid w:linePitch="462" w:charSpace="0"/>
        </w:sectPr>
      </w:pPr>
    </w:p>
    <w:p w14:paraId="2B90F293">
      <w:pPr>
        <w:pStyle w:val="38"/>
        <w:jc w:val="center"/>
        <w:outlineLvl w:val="1"/>
        <w:rPr>
          <w:rFonts w:ascii="黑体" w:hAnsi="黑体" w:eastAsia="黑体"/>
          <w:sz w:val="40"/>
          <w:szCs w:val="40"/>
          <w:highlight w:val="none"/>
        </w:rPr>
      </w:pPr>
      <w:r>
        <w:rPr>
          <w:rFonts w:hint="eastAsia" w:ascii="黑体" w:hAnsi="黑体" w:eastAsia="黑体"/>
          <w:sz w:val="40"/>
          <w:szCs w:val="40"/>
          <w:highlight w:val="none"/>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E67F1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71D538A">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27019D3">
            <w:pPr>
              <w:jc w:val="center"/>
              <w:rPr>
                <w:rFonts w:ascii="宋体" w:hAnsi="宋体" w:cs="宋体"/>
                <w:sz w:val="28"/>
                <w:szCs w:val="28"/>
                <w:highlight w:val="none"/>
              </w:rPr>
            </w:pPr>
            <w:r>
              <w:rPr>
                <w:sz w:val="28"/>
                <w:szCs w:val="28"/>
                <w:highlight w:val="none"/>
              </w:rPr>
              <w:t>内容</w:t>
            </w:r>
          </w:p>
        </w:tc>
      </w:tr>
      <w:tr w14:paraId="551DB9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E29283D">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602614A8">
            <w:pPr>
              <w:rPr>
                <w:rFonts w:ascii="宋体" w:hAnsi="宋体" w:cs="宋体"/>
                <w:szCs w:val="21"/>
                <w:highlight w:val="none"/>
              </w:rPr>
            </w:pPr>
            <w:r>
              <w:rPr>
                <w:rFonts w:ascii="宋体" w:hAnsi="宋体" w:cs="宋体"/>
                <w:kern w:val="0"/>
                <w:szCs w:val="21"/>
                <w:highlight w:val="none"/>
                <w:lang w:bidi="ar"/>
              </w:rPr>
              <w:t>投标人不</w:t>
            </w:r>
            <w:r>
              <w:rPr>
                <w:rFonts w:hint="eastAsia" w:ascii="宋体" w:hAnsi="宋体" w:cs="宋体"/>
                <w:kern w:val="0"/>
                <w:szCs w:val="21"/>
                <w:highlight w:val="none"/>
                <w:lang w:bidi="ar"/>
              </w:rPr>
              <w:t>符合</w:t>
            </w:r>
            <w:r>
              <w:rPr>
                <w:rFonts w:ascii="宋体" w:hAnsi="宋体" w:cs="宋体"/>
                <w:kern w:val="0"/>
                <w:szCs w:val="21"/>
                <w:highlight w:val="none"/>
                <w:lang w:bidi="ar"/>
              </w:rPr>
              <w:t>资格要求，或未提交相应的资格证明资料（详见招标公告</w:t>
            </w:r>
            <w:r>
              <w:rPr>
                <w:rFonts w:hint="eastAsia" w:ascii="宋体" w:hAnsi="宋体"/>
                <w:szCs w:val="21"/>
                <w:highlight w:val="none"/>
              </w:rPr>
              <w:t>投标人资格要求，即申请人的资格要求</w:t>
            </w:r>
            <w:r>
              <w:rPr>
                <w:rFonts w:ascii="宋体" w:hAnsi="宋体" w:cs="宋体"/>
                <w:kern w:val="0"/>
                <w:szCs w:val="21"/>
                <w:highlight w:val="none"/>
                <w:lang w:bidi="ar"/>
              </w:rPr>
              <w:t>）</w:t>
            </w:r>
          </w:p>
        </w:tc>
      </w:tr>
    </w:tbl>
    <w:p w14:paraId="69FAAB0C">
      <w:pPr>
        <w:pStyle w:val="38"/>
        <w:spacing w:before="280"/>
        <w:jc w:val="center"/>
        <w:outlineLvl w:val="1"/>
        <w:rPr>
          <w:rFonts w:ascii="黑体" w:hAnsi="黑体" w:eastAsia="黑体"/>
          <w:sz w:val="40"/>
          <w:szCs w:val="40"/>
          <w:highlight w:val="none"/>
        </w:rPr>
      </w:pPr>
      <w:r>
        <w:rPr>
          <w:rFonts w:hint="eastAsia" w:ascii="黑体" w:hAnsi="黑体" w:eastAsia="黑体"/>
          <w:sz w:val="40"/>
          <w:szCs w:val="40"/>
          <w:highlight w:val="none"/>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769FB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C51D91A">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D3CB08A">
            <w:pPr>
              <w:jc w:val="center"/>
              <w:rPr>
                <w:rFonts w:ascii="宋体" w:hAnsi="宋体" w:cs="宋体"/>
                <w:sz w:val="28"/>
                <w:szCs w:val="28"/>
                <w:highlight w:val="none"/>
              </w:rPr>
            </w:pPr>
            <w:r>
              <w:rPr>
                <w:sz w:val="28"/>
                <w:szCs w:val="28"/>
                <w:highlight w:val="none"/>
              </w:rPr>
              <w:t>内容</w:t>
            </w:r>
          </w:p>
        </w:tc>
      </w:tr>
      <w:tr w14:paraId="31C83B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A0596A5">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645F7885">
            <w:pPr>
              <w:rPr>
                <w:rFonts w:ascii="宋体" w:hAnsi="宋体" w:cs="宋体"/>
                <w:szCs w:val="21"/>
                <w:highlight w:val="none"/>
              </w:rPr>
            </w:pPr>
            <w:r>
              <w:rPr>
                <w:rFonts w:hint="eastAsia"/>
                <w:highlight w:val="none"/>
                <w:lang w:val="en-US" w:eastAsia="zh-CN"/>
              </w:rPr>
              <w:t>不得</w:t>
            </w:r>
            <w:r>
              <w:rPr>
                <w:rFonts w:hint="eastAsia"/>
                <w:highlight w:val="none"/>
              </w:rPr>
              <w:t>将一个包的内容拆开投标；</w:t>
            </w:r>
          </w:p>
        </w:tc>
      </w:tr>
      <w:tr w14:paraId="4FA52F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511A6EE">
            <w:pPr>
              <w:jc w:val="center"/>
              <w:rPr>
                <w:rFonts w:ascii="宋体" w:hAnsi="宋体" w:cs="宋体"/>
                <w:szCs w:val="21"/>
                <w:highlight w:val="none"/>
              </w:rPr>
            </w:pPr>
            <w:r>
              <w:rPr>
                <w:szCs w:val="21"/>
                <w:highlight w:val="none"/>
              </w:rPr>
              <w:t>2</w:t>
            </w:r>
          </w:p>
        </w:tc>
        <w:tc>
          <w:tcPr>
            <w:tcW w:w="8278" w:type="dxa"/>
            <w:tcBorders>
              <w:top w:val="single" w:color="000000" w:sz="8" w:space="0"/>
              <w:left w:val="single" w:color="000000" w:sz="8" w:space="0"/>
              <w:bottom w:val="single" w:color="000000" w:sz="8" w:space="0"/>
              <w:right w:val="single" w:color="000000" w:sz="8" w:space="0"/>
            </w:tcBorders>
          </w:tcPr>
          <w:p w14:paraId="6481AE4E">
            <w:pPr>
              <w:rPr>
                <w:rFonts w:ascii="宋体" w:hAnsi="宋体" w:cs="宋体"/>
                <w:szCs w:val="21"/>
                <w:highlight w:val="none"/>
              </w:rPr>
            </w:pPr>
            <w:r>
              <w:rPr>
                <w:rFonts w:hint="eastAsia"/>
                <w:highlight w:val="none"/>
              </w:rPr>
              <w:t>对同一项目投标时，</w:t>
            </w:r>
            <w:r>
              <w:rPr>
                <w:rFonts w:hint="eastAsia"/>
                <w:highlight w:val="none"/>
                <w:lang w:val="en-US" w:eastAsia="zh-CN"/>
              </w:rPr>
              <w:t>不得</w:t>
            </w:r>
            <w:r>
              <w:rPr>
                <w:rFonts w:hint="eastAsia"/>
                <w:highlight w:val="none"/>
              </w:rPr>
              <w:t>提供两套以上的投标方案（招标文件另有规定的除外）；</w:t>
            </w:r>
          </w:p>
        </w:tc>
      </w:tr>
      <w:tr w14:paraId="6963CE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DCF5927">
            <w:pPr>
              <w:jc w:val="center"/>
              <w:rPr>
                <w:rFonts w:ascii="宋体" w:hAnsi="宋体" w:cs="宋体"/>
                <w:szCs w:val="21"/>
                <w:highlight w:val="none"/>
              </w:rPr>
            </w:pPr>
            <w:r>
              <w:rPr>
                <w:szCs w:val="21"/>
                <w:highlight w:val="none"/>
              </w:rPr>
              <w:t>3</w:t>
            </w:r>
          </w:p>
        </w:tc>
        <w:tc>
          <w:tcPr>
            <w:tcW w:w="8278" w:type="dxa"/>
            <w:tcBorders>
              <w:top w:val="single" w:color="000000" w:sz="8" w:space="0"/>
              <w:left w:val="single" w:color="000000" w:sz="8" w:space="0"/>
              <w:bottom w:val="single" w:color="000000" w:sz="8" w:space="0"/>
              <w:right w:val="single" w:color="000000" w:sz="8" w:space="0"/>
            </w:tcBorders>
          </w:tcPr>
          <w:p w14:paraId="67CB4370">
            <w:pPr>
              <w:rPr>
                <w:rFonts w:ascii="宋体" w:hAnsi="宋体" w:cs="宋体"/>
                <w:szCs w:val="21"/>
                <w:highlight w:val="none"/>
              </w:rPr>
            </w:pPr>
            <w:r>
              <w:rPr>
                <w:rFonts w:hint="eastAsia"/>
                <w:highlight w:val="none"/>
              </w:rPr>
              <w:t>分项报价或投标总价</w:t>
            </w:r>
            <w:r>
              <w:rPr>
                <w:rFonts w:hint="eastAsia"/>
                <w:highlight w:val="none"/>
                <w:lang w:val="en-US" w:eastAsia="zh-CN"/>
              </w:rPr>
              <w:t>不得</w:t>
            </w:r>
            <w:r>
              <w:rPr>
                <w:rFonts w:hint="eastAsia"/>
                <w:highlight w:val="none"/>
              </w:rPr>
              <w:t>高于相应预算金额（或设定的预算金额下的最高限价）；</w:t>
            </w:r>
          </w:p>
        </w:tc>
      </w:tr>
      <w:tr w14:paraId="102760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AFAAD11">
            <w:pPr>
              <w:jc w:val="center"/>
              <w:rPr>
                <w:rFonts w:ascii="宋体" w:hAnsi="宋体" w:cs="宋体"/>
                <w:szCs w:val="21"/>
                <w:highlight w:val="none"/>
              </w:rPr>
            </w:pPr>
            <w:r>
              <w:rPr>
                <w:szCs w:val="21"/>
                <w:highlight w:val="none"/>
              </w:rPr>
              <w:t>4</w:t>
            </w:r>
          </w:p>
        </w:tc>
        <w:tc>
          <w:tcPr>
            <w:tcW w:w="8278" w:type="dxa"/>
            <w:tcBorders>
              <w:top w:val="single" w:color="000000" w:sz="8" w:space="0"/>
              <w:left w:val="single" w:color="000000" w:sz="8" w:space="0"/>
              <w:bottom w:val="single" w:color="000000" w:sz="8" w:space="0"/>
              <w:right w:val="single" w:color="000000" w:sz="8" w:space="0"/>
            </w:tcBorders>
          </w:tcPr>
          <w:p w14:paraId="00E1D0B3">
            <w:pPr>
              <w:rPr>
                <w:rFonts w:ascii="宋体" w:hAnsi="宋体" w:cs="宋体"/>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FFAE9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78DC458">
            <w:pPr>
              <w:jc w:val="center"/>
              <w:rPr>
                <w:rFonts w:ascii="宋体" w:hAnsi="宋体" w:cs="宋体"/>
                <w:szCs w:val="21"/>
                <w:highlight w:val="none"/>
              </w:rPr>
            </w:pPr>
            <w:r>
              <w:rPr>
                <w:szCs w:val="21"/>
                <w:highlight w:val="none"/>
              </w:rPr>
              <w:t>5</w:t>
            </w:r>
          </w:p>
        </w:tc>
        <w:tc>
          <w:tcPr>
            <w:tcW w:w="8278" w:type="dxa"/>
            <w:tcBorders>
              <w:top w:val="single" w:color="000000" w:sz="8" w:space="0"/>
              <w:left w:val="single" w:color="000000" w:sz="8" w:space="0"/>
              <w:bottom w:val="single" w:color="000000" w:sz="8" w:space="0"/>
              <w:right w:val="single" w:color="000000" w:sz="8" w:space="0"/>
            </w:tcBorders>
          </w:tcPr>
          <w:p w14:paraId="52356A65">
            <w:pPr>
              <w:rPr>
                <w:rFonts w:ascii="宋体" w:hAnsi="宋体" w:cs="宋体"/>
                <w:szCs w:val="21"/>
                <w:highlight w:val="none"/>
              </w:rPr>
            </w:pPr>
            <w:r>
              <w:rPr>
                <w:rFonts w:hint="eastAsia"/>
                <w:highlight w:val="none"/>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6BC30A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189A09E">
            <w:pPr>
              <w:jc w:val="center"/>
              <w:rPr>
                <w:rFonts w:ascii="宋体" w:hAnsi="宋体" w:cs="宋体"/>
                <w:szCs w:val="21"/>
                <w:highlight w:val="none"/>
              </w:rPr>
            </w:pPr>
            <w:r>
              <w:rPr>
                <w:szCs w:val="21"/>
                <w:highlight w:val="none"/>
              </w:rPr>
              <w:t>6</w:t>
            </w:r>
          </w:p>
        </w:tc>
        <w:tc>
          <w:tcPr>
            <w:tcW w:w="8278" w:type="dxa"/>
            <w:tcBorders>
              <w:top w:val="single" w:color="000000" w:sz="8" w:space="0"/>
              <w:left w:val="single" w:color="000000" w:sz="8" w:space="0"/>
              <w:bottom w:val="single" w:color="000000" w:sz="8" w:space="0"/>
              <w:right w:val="single" w:color="000000" w:sz="8" w:space="0"/>
            </w:tcBorders>
          </w:tcPr>
          <w:p w14:paraId="06DE9C55">
            <w:pPr>
              <w:rPr>
                <w:rFonts w:ascii="宋体" w:hAnsi="宋体" w:cs="宋体"/>
                <w:szCs w:val="21"/>
                <w:highlight w:val="none"/>
              </w:rPr>
            </w:pPr>
            <w:r>
              <w:rPr>
                <w:rFonts w:hint="eastAsia"/>
                <w:highlight w:val="none"/>
              </w:rPr>
              <w:t>未按招标文件所提供的样式填写《投标函》；未按招标文件所提供的《政府采购投标及履约承诺函》进行承诺；未按招标文件对投标文件组成的要求提供投标文件；</w:t>
            </w:r>
          </w:p>
        </w:tc>
      </w:tr>
      <w:tr w14:paraId="5E181F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4D45671">
            <w:pPr>
              <w:jc w:val="center"/>
              <w:rPr>
                <w:rFonts w:ascii="宋体" w:hAnsi="宋体" w:cs="宋体"/>
                <w:szCs w:val="21"/>
                <w:highlight w:val="none"/>
              </w:rPr>
            </w:pPr>
            <w:r>
              <w:rPr>
                <w:szCs w:val="21"/>
                <w:highlight w:val="none"/>
              </w:rPr>
              <w:t>7</w:t>
            </w:r>
          </w:p>
        </w:tc>
        <w:tc>
          <w:tcPr>
            <w:tcW w:w="8278" w:type="dxa"/>
            <w:tcBorders>
              <w:top w:val="single" w:color="000000" w:sz="8" w:space="0"/>
              <w:left w:val="single" w:color="000000" w:sz="8" w:space="0"/>
              <w:bottom w:val="single" w:color="000000" w:sz="8" w:space="0"/>
              <w:right w:val="single" w:color="000000" w:sz="8" w:space="0"/>
            </w:tcBorders>
          </w:tcPr>
          <w:p w14:paraId="782CC697">
            <w:pPr>
              <w:rPr>
                <w:rFonts w:ascii="宋体" w:hAnsi="宋体" w:cs="宋体"/>
                <w:szCs w:val="21"/>
                <w:highlight w:val="none"/>
              </w:rPr>
            </w:pPr>
            <w:r>
              <w:rPr>
                <w:rFonts w:hint="eastAsia"/>
                <w:color w:val="FF0000"/>
                <w:highlight w:val="none"/>
                <w:lang w:val="en-US" w:eastAsia="zh-CN"/>
              </w:rPr>
              <w:t>采购标的/服务</w:t>
            </w:r>
            <w:r>
              <w:rPr>
                <w:rFonts w:hint="eastAsia" w:ascii="Times New Roman" w:eastAsia="宋体"/>
                <w:color w:val="FF0000"/>
                <w:highlight w:val="none"/>
                <w:lang w:val="en-US" w:eastAsia="zh-CN"/>
              </w:rPr>
              <w:t>清单</w:t>
            </w:r>
            <w:r>
              <w:rPr>
                <w:rFonts w:hint="eastAsia"/>
                <w:color w:val="FF0000"/>
                <w:highlight w:val="none"/>
                <w:lang w:val="en-US" w:eastAsia="zh-CN"/>
              </w:rPr>
              <w:t>/报价等任意一类</w:t>
            </w:r>
            <w:r>
              <w:rPr>
                <w:rFonts w:hint="eastAsia" w:ascii="Times New Roman" w:eastAsia="宋体"/>
                <w:color w:val="FF0000"/>
                <w:highlight w:val="none"/>
                <w:lang w:val="en-US" w:eastAsia="zh-CN"/>
              </w:rPr>
              <w:t>有缺漏项或响应不全</w:t>
            </w:r>
            <w:r>
              <w:rPr>
                <w:rFonts w:hint="eastAsia"/>
                <w:color w:val="auto"/>
                <w:highlight w:val="none"/>
                <w:lang w:val="en-US" w:eastAsia="zh-CN"/>
              </w:rPr>
              <w:t>，</w:t>
            </w:r>
            <w:r>
              <w:rPr>
                <w:rFonts w:hint="eastAsia"/>
                <w:highlight w:val="none"/>
              </w:rPr>
              <w:t>或者对招标文件规定的项目需求内容或者需求数量进行修改</w:t>
            </w:r>
            <w:r>
              <w:rPr>
                <w:rFonts w:hint="eastAsia"/>
                <w:szCs w:val="21"/>
                <w:highlight w:val="none"/>
              </w:rPr>
              <w:t>，评审委员会判定投标响应不满足采购需求</w:t>
            </w:r>
            <w:r>
              <w:rPr>
                <w:rFonts w:hint="eastAsia"/>
                <w:highlight w:val="none"/>
              </w:rPr>
              <w:t>；</w:t>
            </w:r>
          </w:p>
        </w:tc>
      </w:tr>
      <w:tr w14:paraId="700B2B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60608B4">
            <w:pPr>
              <w:jc w:val="center"/>
              <w:rPr>
                <w:rFonts w:ascii="宋体" w:hAnsi="宋体" w:cs="宋体"/>
                <w:szCs w:val="21"/>
                <w:highlight w:val="none"/>
              </w:rPr>
            </w:pPr>
            <w:r>
              <w:rPr>
                <w:szCs w:val="21"/>
                <w:highlight w:val="none"/>
              </w:rPr>
              <w:t>8</w:t>
            </w:r>
          </w:p>
        </w:tc>
        <w:tc>
          <w:tcPr>
            <w:tcW w:w="8278" w:type="dxa"/>
            <w:tcBorders>
              <w:top w:val="single" w:color="000000" w:sz="8" w:space="0"/>
              <w:left w:val="single" w:color="000000" w:sz="8" w:space="0"/>
              <w:bottom w:val="single" w:color="000000" w:sz="8" w:space="0"/>
              <w:right w:val="single" w:color="000000" w:sz="8" w:space="0"/>
            </w:tcBorders>
          </w:tcPr>
          <w:p w14:paraId="508556F7">
            <w:pPr>
              <w:rPr>
                <w:rFonts w:ascii="宋体" w:hAnsi="宋体" w:cs="宋体"/>
                <w:szCs w:val="21"/>
                <w:highlight w:val="none"/>
              </w:rPr>
            </w:pPr>
            <w:r>
              <w:rPr>
                <w:rFonts w:hint="eastAsia"/>
                <w:highlight w:val="none"/>
              </w:rPr>
              <w:t>投标文件存在列放位置错误，导致属于信息公开情形的没有被公开；</w:t>
            </w:r>
          </w:p>
        </w:tc>
      </w:tr>
      <w:tr w14:paraId="08967B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3B34CAF">
            <w:pPr>
              <w:jc w:val="center"/>
              <w:rPr>
                <w:rFonts w:ascii="宋体" w:hAnsi="宋体" w:cs="宋体"/>
                <w:szCs w:val="21"/>
                <w:highlight w:val="none"/>
              </w:rPr>
            </w:pPr>
            <w:r>
              <w:rPr>
                <w:szCs w:val="21"/>
                <w:highlight w:val="none"/>
              </w:rPr>
              <w:t>9</w:t>
            </w:r>
          </w:p>
        </w:tc>
        <w:tc>
          <w:tcPr>
            <w:tcW w:w="8278" w:type="dxa"/>
            <w:tcBorders>
              <w:top w:val="single" w:color="000000" w:sz="8" w:space="0"/>
              <w:left w:val="single" w:color="000000" w:sz="8" w:space="0"/>
              <w:bottom w:val="single" w:color="000000" w:sz="8" w:space="0"/>
              <w:right w:val="single" w:color="000000" w:sz="8" w:space="0"/>
            </w:tcBorders>
          </w:tcPr>
          <w:p w14:paraId="79A83CFF">
            <w:pPr>
              <w:rPr>
                <w:rFonts w:ascii="宋体" w:hAnsi="宋体" w:cs="宋体"/>
                <w:szCs w:val="21"/>
                <w:highlight w:val="none"/>
              </w:rPr>
            </w:pPr>
            <w:r>
              <w:rPr>
                <w:rFonts w:hint="eastAsia"/>
                <w:highlight w:val="none"/>
              </w:rPr>
              <w:t>投标文件电子文档</w:t>
            </w:r>
            <w:r>
              <w:rPr>
                <w:rFonts w:hint="eastAsia"/>
                <w:highlight w:val="none"/>
                <w:lang w:val="en-US" w:eastAsia="zh-CN"/>
              </w:rPr>
              <w:t>不得</w:t>
            </w:r>
            <w:r>
              <w:rPr>
                <w:rFonts w:hint="eastAsia"/>
                <w:highlight w:val="none"/>
              </w:rPr>
              <w:t>带病毒；</w:t>
            </w:r>
          </w:p>
        </w:tc>
      </w:tr>
      <w:tr w14:paraId="16D646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512BB47">
            <w:pPr>
              <w:jc w:val="center"/>
              <w:rPr>
                <w:rFonts w:ascii="宋体" w:hAnsi="宋体" w:cs="宋体"/>
                <w:szCs w:val="21"/>
                <w:highlight w:val="none"/>
              </w:rPr>
            </w:pPr>
            <w:r>
              <w:rPr>
                <w:szCs w:val="21"/>
                <w:highlight w:val="none"/>
              </w:rPr>
              <w:t>10</w:t>
            </w:r>
          </w:p>
        </w:tc>
        <w:tc>
          <w:tcPr>
            <w:tcW w:w="8278" w:type="dxa"/>
            <w:tcBorders>
              <w:top w:val="single" w:color="000000" w:sz="8" w:space="0"/>
              <w:left w:val="single" w:color="000000" w:sz="8" w:space="0"/>
              <w:bottom w:val="single" w:color="000000" w:sz="8" w:space="0"/>
              <w:right w:val="single" w:color="000000" w:sz="8" w:space="0"/>
            </w:tcBorders>
          </w:tcPr>
          <w:p w14:paraId="3839AE11">
            <w:pPr>
              <w:rPr>
                <w:rFonts w:ascii="宋体" w:hAnsi="宋体" w:cs="宋体"/>
                <w:szCs w:val="21"/>
                <w:highlight w:val="none"/>
              </w:rPr>
            </w:pPr>
            <w:r>
              <w:rPr>
                <w:rFonts w:hint="eastAsia"/>
                <w:highlight w:val="none"/>
              </w:rPr>
              <w:t>投标文件用不属于本公司的电子密钥或电子营业执照进行加密的；</w:t>
            </w:r>
          </w:p>
        </w:tc>
      </w:tr>
      <w:tr w14:paraId="328397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19558726">
            <w:pPr>
              <w:widowControl/>
              <w:jc w:val="center"/>
              <w:textAlignment w:val="top"/>
              <w:rPr>
                <w:rFonts w:ascii="宋体" w:hAnsi="宋体" w:cs="宋体"/>
                <w:szCs w:val="21"/>
                <w:highlight w:val="none"/>
              </w:rPr>
            </w:pPr>
            <w:r>
              <w:rPr>
                <w:rFonts w:hint="eastAsia"/>
                <w:szCs w:val="24"/>
                <w:highlight w:val="none"/>
                <w:lang w:val="en-US" w:eastAsia="zh-CN"/>
              </w:rPr>
              <w:t>11</w:t>
            </w:r>
          </w:p>
        </w:tc>
        <w:tc>
          <w:tcPr>
            <w:tcW w:w="8278" w:type="dxa"/>
            <w:tcBorders>
              <w:top w:val="single" w:color="000000" w:sz="8" w:space="0"/>
              <w:left w:val="single" w:color="000000" w:sz="8" w:space="0"/>
              <w:bottom w:val="single" w:color="000000" w:sz="8" w:space="0"/>
              <w:right w:val="single" w:color="000000" w:sz="8" w:space="0"/>
            </w:tcBorders>
            <w:vAlign w:val="top"/>
          </w:tcPr>
          <w:p w14:paraId="6E4AE79C">
            <w:pPr>
              <w:widowControl/>
              <w:jc w:val="left"/>
              <w:textAlignment w:val="top"/>
              <w:rPr>
                <w:highlight w:val="none"/>
              </w:rPr>
            </w:pPr>
            <w:r>
              <w:rPr>
                <w:rFonts w:hint="eastAsia" w:ascii="Times New Roman" w:hAnsi="Times New Roman" w:eastAsia="宋体" w:cs="Times New Roman"/>
                <w:szCs w:val="24"/>
                <w:highlight w:val="none"/>
              </w:rPr>
              <w:t>经核实，不同投标供应商的投标文件由同一电子设备编制、加密或者上传的；</w:t>
            </w:r>
          </w:p>
        </w:tc>
      </w:tr>
      <w:tr w14:paraId="523BDF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3B76EA1">
            <w:pPr>
              <w:jc w:val="center"/>
              <w:rPr>
                <w:rFonts w:hint="eastAsia" w:ascii="宋体" w:hAnsi="宋体" w:eastAsia="宋体" w:cs="宋体"/>
                <w:szCs w:val="21"/>
                <w:highlight w:val="none"/>
                <w:lang w:eastAsia="zh-CN"/>
              </w:rPr>
            </w:pPr>
            <w:r>
              <w:rPr>
                <w:szCs w:val="21"/>
                <w:highlight w:val="none"/>
              </w:rPr>
              <w:t>1</w:t>
            </w:r>
            <w:r>
              <w:rPr>
                <w:rFonts w:hint="eastAsia"/>
                <w:szCs w:val="21"/>
                <w:highlight w:val="none"/>
                <w:lang w:val="en-US" w:eastAsia="zh-CN"/>
              </w:rPr>
              <w:t>2</w:t>
            </w:r>
          </w:p>
        </w:tc>
        <w:tc>
          <w:tcPr>
            <w:tcW w:w="8278" w:type="dxa"/>
            <w:tcBorders>
              <w:top w:val="single" w:color="000000" w:sz="8" w:space="0"/>
              <w:left w:val="single" w:color="000000" w:sz="8" w:space="0"/>
              <w:bottom w:val="single" w:color="000000" w:sz="8" w:space="0"/>
              <w:right w:val="single" w:color="000000" w:sz="8" w:space="0"/>
            </w:tcBorders>
          </w:tcPr>
          <w:p w14:paraId="53D6FB1C">
            <w:pPr>
              <w:rPr>
                <w:rFonts w:ascii="宋体" w:hAnsi="宋体" w:cs="宋体"/>
                <w:szCs w:val="21"/>
                <w:highlight w:val="none"/>
              </w:rPr>
            </w:pPr>
            <w:r>
              <w:rPr>
                <w:rFonts w:hint="eastAsia"/>
                <w:highlight w:val="none"/>
              </w:rPr>
              <w:t>法律、法规、规章、规范性文件规定的其他情形。</w:t>
            </w:r>
          </w:p>
        </w:tc>
      </w:tr>
    </w:tbl>
    <w:p w14:paraId="1E0ECFF0">
      <w:pPr>
        <w:pStyle w:val="38"/>
        <w:jc w:val="center"/>
        <w:outlineLvl w:val="1"/>
        <w:rPr>
          <w:rFonts w:hint="eastAsia" w:ascii="黑体" w:hAnsi="黑体" w:eastAsia="黑体"/>
          <w:sz w:val="40"/>
          <w:szCs w:val="40"/>
          <w:highlight w:val="none"/>
        </w:rPr>
      </w:pPr>
    </w:p>
    <w:p w14:paraId="142A7DB7">
      <w:pPr>
        <w:pStyle w:val="38"/>
        <w:jc w:val="center"/>
        <w:outlineLvl w:val="1"/>
        <w:rPr>
          <w:rFonts w:hint="eastAsia" w:ascii="黑体" w:hAnsi="黑体" w:eastAsia="黑体"/>
          <w:sz w:val="40"/>
          <w:szCs w:val="40"/>
          <w:highlight w:val="none"/>
        </w:rPr>
        <w:sectPr>
          <w:pgSz w:w="11907" w:h="16840"/>
          <w:pgMar w:top="1440" w:right="1417" w:bottom="1440" w:left="1417" w:header="851" w:footer="992" w:gutter="0"/>
          <w:cols w:space="425" w:num="1"/>
          <w:titlePg/>
          <w:docGrid w:linePitch="462" w:charSpace="0"/>
        </w:sectPr>
      </w:pPr>
    </w:p>
    <w:p w14:paraId="7BE2AB74">
      <w:pPr>
        <w:pStyle w:val="38"/>
        <w:jc w:val="center"/>
        <w:outlineLvl w:val="1"/>
        <w:rPr>
          <w:rFonts w:ascii="黑体" w:hAnsi="黑体" w:eastAsia="黑体"/>
          <w:sz w:val="40"/>
          <w:szCs w:val="40"/>
          <w:highlight w:val="none"/>
        </w:rPr>
      </w:pPr>
      <w:r>
        <w:rPr>
          <w:rFonts w:hint="eastAsia" w:ascii="黑体" w:hAnsi="黑体" w:eastAsia="黑体"/>
          <w:sz w:val="40"/>
          <w:szCs w:val="40"/>
          <w:highlight w:val="none"/>
        </w:rPr>
        <w:t>评标信息</w:t>
      </w:r>
    </w:p>
    <w:tbl>
      <w:tblPr>
        <w:tblStyle w:val="4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2921D8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2DC5D787">
            <w:pPr>
              <w:widowControl/>
              <w:jc w:val="left"/>
              <w:rPr>
                <w:b/>
                <w:bCs/>
                <w:sz w:val="24"/>
                <w:highlight w:val="none"/>
              </w:rPr>
            </w:pPr>
            <w:r>
              <w:rPr>
                <w:b/>
                <w:bCs/>
                <w:highlight w:val="none"/>
              </w:rPr>
              <w:t>评标方法：</w:t>
            </w:r>
            <w:r>
              <w:rPr>
                <w:b/>
                <w:bCs/>
                <w:strike w:val="0"/>
                <w:dstrike w:val="0"/>
                <w:highlight w:val="none"/>
              </w:rPr>
              <w:t>综合评分法</w:t>
            </w:r>
          </w:p>
        </w:tc>
        <w:tc>
          <w:tcPr>
            <w:tcW w:w="240" w:type="dxa"/>
            <w:shd w:val="clear" w:color="auto" w:fill="auto"/>
            <w:vAlign w:val="center"/>
          </w:tcPr>
          <w:p w14:paraId="5A29AF79">
            <w:pPr>
              <w:jc w:val="right"/>
              <w:rPr>
                <w:rFonts w:ascii="宋体"/>
                <w:b/>
                <w:bCs/>
                <w:sz w:val="24"/>
                <w:highlight w:val="none"/>
              </w:rPr>
            </w:pPr>
          </w:p>
        </w:tc>
      </w:tr>
      <w:tr w14:paraId="3A42E78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34F98646">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sym w:font="Wingdings" w:char="00FE"/>
            </w:r>
            <w:r>
              <w:rPr>
                <w:sz w:val="21"/>
                <w:szCs w:val="21"/>
                <w:highlight w:val="none"/>
              </w:rPr>
              <w:t>综合评分法，是指</w:t>
            </w:r>
            <w:r>
              <w:rPr>
                <w:rFonts w:hint="eastAsia" w:ascii="Times New Roman" w:hAnsi="Times New Roman" w:eastAsia="宋体" w:cs="Times New Roman"/>
                <w:kern w:val="0"/>
                <w:sz w:val="21"/>
                <w:szCs w:val="21"/>
                <w:highlight w:val="none"/>
                <w:lang w:val="en-US" w:eastAsia="zh-CN" w:bidi="ar-SA"/>
              </w:rPr>
              <w:t>投标文件满足招标文件全部实质性要求</w:t>
            </w:r>
            <w:r>
              <w:rPr>
                <w:sz w:val="21"/>
                <w:szCs w:val="21"/>
                <w:highlight w:val="none"/>
              </w:rPr>
              <w:t>，且按照</w:t>
            </w:r>
            <w:r>
              <w:rPr>
                <w:rFonts w:hint="eastAsia" w:ascii="Times New Roman" w:eastAsia="宋体"/>
                <w:sz w:val="21"/>
                <w:szCs w:val="21"/>
                <w:highlight w:val="none"/>
                <w:lang w:val="en-US" w:eastAsia="zh-CN"/>
              </w:rPr>
              <w:t>招标文件规定的各项因素进行综合评审，评标总得分排名前列</w:t>
            </w:r>
            <w:r>
              <w:rPr>
                <w:sz w:val="21"/>
                <w:szCs w:val="21"/>
                <w:highlight w:val="none"/>
              </w:rPr>
              <w:t>的投标人为中标候选人的评标方法。</w:t>
            </w:r>
          </w:p>
          <w:p w14:paraId="6BC6339B">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t>价格分计算方法：</w:t>
            </w:r>
          </w:p>
          <w:p w14:paraId="449AD83E">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 xml:space="preserve">采用低价优先法计算，即满足招标文件要求且投标价格最低的投标报价为评标基准价，其价格分为满分。其他投标人的价格分统一按照下列公式计算：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投标报价得分=(评标基准价／投标报价)×100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评标总得分＝F1×A1＋F2×A2＋……＋Fn×An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F1、F2……Fn分别为各项评审因素的得分；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A1、A2、……An 分别为各项评审因素所占的权重(A1＋A2＋……＋An＝1)。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评标过程中，不得去掉报价中的最高报价和最低报价。</w:t>
            </w:r>
          </w:p>
          <w:p w14:paraId="00068E4D">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因落实政府采购政策进行价格调整的，以调整后的价格计算评标基准价和投标报价。</w:t>
            </w:r>
          </w:p>
          <w:p w14:paraId="22F19E55">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0"/>
                <w:sz w:val="24"/>
                <w:szCs w:val="24"/>
                <w:highlight w:val="none"/>
                <w:lang w:val="en-US" w:eastAsia="zh-CN" w:bidi="ar-SA"/>
              </w:rPr>
            </w:pPr>
          </w:p>
        </w:tc>
      </w:tr>
    </w:tbl>
    <w:p w14:paraId="4D80F8E5">
      <w:pPr>
        <w:rPr>
          <w:vanish/>
          <w:highlight w:val="none"/>
        </w:rPr>
      </w:pPr>
    </w:p>
    <w:tbl>
      <w:tblPr>
        <w:tblStyle w:val="42"/>
        <w:tblpPr w:leftFromText="180" w:rightFromText="180" w:vertAnchor="text" w:horzAnchor="page" w:tblpX="1509" w:tblpY="228"/>
        <w:tblOverlap w:val="never"/>
        <w:tblW w:w="904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85"/>
        <w:gridCol w:w="548"/>
        <w:gridCol w:w="2264"/>
        <w:gridCol w:w="696"/>
        <w:gridCol w:w="4856"/>
      </w:tblGrid>
      <w:tr w14:paraId="133E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shd w:val="clear" w:color="auto" w:fill="E6EFFA"/>
            <w:vAlign w:val="center"/>
          </w:tcPr>
          <w:p w14:paraId="29CC2B98">
            <w:pPr>
              <w:wordWrap w:val="0"/>
              <w:adjustRightInd w:val="0"/>
              <w:snapToGrid w:val="0"/>
              <w:spacing w:line="32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3508" w:type="dxa"/>
            <w:gridSpan w:val="3"/>
            <w:tcBorders>
              <w:tl2br w:val="nil"/>
              <w:tr2bl w:val="nil"/>
            </w:tcBorders>
            <w:shd w:val="clear" w:color="auto" w:fill="E6EFFA"/>
            <w:vAlign w:val="center"/>
          </w:tcPr>
          <w:p w14:paraId="7B9469C5">
            <w:pPr>
              <w:wordWrap w:val="0"/>
              <w:adjustRightInd w:val="0"/>
              <w:snapToGrid w:val="0"/>
              <w:spacing w:line="32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评分项</w:t>
            </w:r>
          </w:p>
        </w:tc>
        <w:tc>
          <w:tcPr>
            <w:tcW w:w="4856" w:type="dxa"/>
            <w:tcBorders>
              <w:tl2br w:val="nil"/>
              <w:tr2bl w:val="nil"/>
            </w:tcBorders>
            <w:shd w:val="clear" w:color="auto" w:fill="E6EFFA"/>
            <w:vAlign w:val="center"/>
          </w:tcPr>
          <w:p w14:paraId="4DCF66A9">
            <w:pPr>
              <w:wordWrap w:val="0"/>
              <w:adjustRightInd w:val="0"/>
              <w:snapToGrid w:val="0"/>
              <w:spacing w:line="32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权重(%)</w:t>
            </w:r>
          </w:p>
        </w:tc>
      </w:tr>
      <w:tr w14:paraId="3647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vAlign w:val="top"/>
          </w:tcPr>
          <w:p w14:paraId="23AE1F28">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1</w:t>
            </w:r>
          </w:p>
        </w:tc>
        <w:tc>
          <w:tcPr>
            <w:tcW w:w="3508" w:type="dxa"/>
            <w:gridSpan w:val="3"/>
            <w:tcBorders>
              <w:tl2br w:val="nil"/>
              <w:tr2bl w:val="nil"/>
            </w:tcBorders>
            <w:vAlign w:val="top"/>
          </w:tcPr>
          <w:p w14:paraId="3C3565D1">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价格</w:t>
            </w:r>
          </w:p>
        </w:tc>
        <w:tc>
          <w:tcPr>
            <w:tcW w:w="4856" w:type="dxa"/>
            <w:tcBorders>
              <w:tl2br w:val="nil"/>
              <w:tr2bl w:val="nil"/>
            </w:tcBorders>
            <w:vAlign w:val="top"/>
          </w:tcPr>
          <w:p w14:paraId="6E30B7B3">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10</w:t>
            </w:r>
          </w:p>
        </w:tc>
      </w:tr>
      <w:tr w14:paraId="40E6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637B600E">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8364" w:type="dxa"/>
            <w:gridSpan w:val="4"/>
            <w:tcBorders>
              <w:tl2br w:val="nil"/>
              <w:tr2bl w:val="nil"/>
            </w:tcBorders>
            <w:vAlign w:val="top"/>
          </w:tcPr>
          <w:p w14:paraId="3F9DF4C2">
            <w:pPr>
              <w:wordWrap w:val="0"/>
              <w:adjustRightInd w:val="0"/>
              <w:snapToGrid w:val="0"/>
              <w:spacing w:line="320" w:lineRule="exact"/>
              <w:rPr>
                <w:rFonts w:hint="eastAsia" w:asciiTheme="minorEastAsia" w:hAnsiTheme="minorEastAsia" w:eastAsiaTheme="minorEastAsia" w:cstheme="minorEastAsia"/>
                <w:sz w:val="21"/>
                <w:szCs w:val="21"/>
                <w:highlight w:val="none"/>
              </w:rPr>
            </w:pPr>
          </w:p>
        </w:tc>
      </w:tr>
      <w:tr w14:paraId="62DC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29172B18">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6A75538F">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264" w:type="dxa"/>
            <w:tcBorders>
              <w:tl2br w:val="nil"/>
              <w:tr2bl w:val="nil"/>
            </w:tcBorders>
            <w:vAlign w:val="center"/>
          </w:tcPr>
          <w:p w14:paraId="05A45ED8">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评分因素</w:t>
            </w:r>
          </w:p>
        </w:tc>
        <w:tc>
          <w:tcPr>
            <w:tcW w:w="696" w:type="dxa"/>
            <w:tcBorders>
              <w:tl2br w:val="nil"/>
              <w:tr2bl w:val="nil"/>
            </w:tcBorders>
            <w:vAlign w:val="center"/>
          </w:tcPr>
          <w:p w14:paraId="189E8BC8">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权重(%)</w:t>
            </w:r>
          </w:p>
        </w:tc>
        <w:tc>
          <w:tcPr>
            <w:tcW w:w="4856" w:type="dxa"/>
            <w:tcBorders>
              <w:tl2br w:val="nil"/>
              <w:tr2bl w:val="nil"/>
            </w:tcBorders>
            <w:vAlign w:val="center"/>
          </w:tcPr>
          <w:p w14:paraId="78C45A93">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评分准则</w:t>
            </w:r>
          </w:p>
        </w:tc>
      </w:tr>
      <w:tr w14:paraId="704C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E6A3866">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top"/>
          </w:tcPr>
          <w:p w14:paraId="31B8C255">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p>
        </w:tc>
        <w:tc>
          <w:tcPr>
            <w:tcW w:w="2264" w:type="dxa"/>
            <w:tcBorders>
              <w:tl2br w:val="nil"/>
              <w:tr2bl w:val="nil"/>
            </w:tcBorders>
            <w:vAlign w:val="center"/>
          </w:tcPr>
          <w:p w14:paraId="46862249">
            <w:pPr>
              <w:keepNext w:val="0"/>
              <w:keepLines w:val="0"/>
              <w:widowControl/>
              <w:suppressLineNumbers w:val="0"/>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1000平方米及以下</w:t>
            </w:r>
          </w:p>
        </w:tc>
        <w:tc>
          <w:tcPr>
            <w:tcW w:w="696" w:type="dxa"/>
            <w:tcBorders>
              <w:tl2br w:val="nil"/>
              <w:tr2bl w:val="nil"/>
            </w:tcBorders>
            <w:vAlign w:val="center"/>
          </w:tcPr>
          <w:p w14:paraId="7CEAC85E">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1.25</w:t>
            </w:r>
          </w:p>
        </w:tc>
        <w:tc>
          <w:tcPr>
            <w:tcW w:w="4856" w:type="dxa"/>
            <w:tcBorders>
              <w:tl2br w:val="nil"/>
              <w:tr2bl w:val="nil"/>
            </w:tcBorders>
            <w:vAlign w:val="top"/>
          </w:tcPr>
          <w:p w14:paraId="3611469C">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采用低价优先法计算，即满足招标文件要求且投标价格</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1000平方米及以下</w:t>
            </w:r>
            <w:r>
              <w:rPr>
                <w:rFonts w:hint="eastAsia" w:asciiTheme="minorEastAsia" w:hAnsiTheme="minorEastAsia" w:eastAsiaTheme="minorEastAsia" w:cstheme="minorEastAsia"/>
                <w:sz w:val="21"/>
                <w:szCs w:val="21"/>
                <w:highlight w:val="none"/>
                <w:lang w:val="en-US" w:eastAsia="zh-CN"/>
              </w:rPr>
              <w:t>最低的投标报价为评标基准价，其价格分为满分。其他投标人的价格分统一按照下列公式计算：投标报价得分=（评标基准价／投标报价）×1.25×100%</w:t>
            </w:r>
          </w:p>
        </w:tc>
      </w:tr>
      <w:tr w14:paraId="6685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5F3A66B1">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top"/>
          </w:tcPr>
          <w:p w14:paraId="6EF60460">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p>
        </w:tc>
        <w:tc>
          <w:tcPr>
            <w:tcW w:w="2264" w:type="dxa"/>
            <w:tcBorders>
              <w:tl2br w:val="nil"/>
              <w:tr2bl w:val="nil"/>
            </w:tcBorders>
            <w:vAlign w:val="center"/>
          </w:tcPr>
          <w:p w14:paraId="033A7B97">
            <w:pPr>
              <w:keepNext w:val="0"/>
              <w:keepLines w:val="0"/>
              <w:widowControl/>
              <w:suppressLineNumbers w:val="0"/>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1000-3000（含）平方米</w:t>
            </w:r>
          </w:p>
        </w:tc>
        <w:tc>
          <w:tcPr>
            <w:tcW w:w="696" w:type="dxa"/>
            <w:tcBorders>
              <w:tl2br w:val="nil"/>
              <w:tr2bl w:val="nil"/>
            </w:tcBorders>
            <w:vAlign w:val="center"/>
          </w:tcPr>
          <w:p w14:paraId="5E155C09">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1.25</w:t>
            </w:r>
          </w:p>
        </w:tc>
        <w:tc>
          <w:tcPr>
            <w:tcW w:w="4856" w:type="dxa"/>
            <w:tcBorders>
              <w:tl2br w:val="nil"/>
              <w:tr2bl w:val="nil"/>
            </w:tcBorders>
            <w:vAlign w:val="top"/>
          </w:tcPr>
          <w:p w14:paraId="6279AD59">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采用低价优先法计算，即满足招标文件要求且投标价格（</w:t>
            </w:r>
            <w:r>
              <w:rPr>
                <w:rFonts w:hint="eastAsia" w:asciiTheme="minorEastAsia" w:hAnsiTheme="minorEastAsia" w:eastAsiaTheme="minorEastAsia" w:cstheme="minorEastAsia"/>
                <w:b w:val="0"/>
                <w:bCs/>
                <w:color w:val="auto"/>
                <w:sz w:val="21"/>
                <w:szCs w:val="21"/>
                <w:highlight w:val="none"/>
              </w:rPr>
              <w:t>深圳市深汕合作区配送费</w:t>
            </w:r>
            <w:r>
              <w:rPr>
                <w:rFonts w:hint="eastAsia" w:asciiTheme="minorEastAsia" w:hAnsiTheme="minorEastAsia" w:eastAsiaTheme="minorEastAsia" w:cstheme="minorEastAsia"/>
                <w:sz w:val="21"/>
                <w:szCs w:val="21"/>
                <w:highlight w:val="none"/>
                <w:lang w:val="en-US" w:eastAsia="zh-CN"/>
              </w:rPr>
              <w:t>）最低的投标报价为评标基准价，其价格分为满分。其他投标人的价格分统一按照下列公式计算：投标报价得分=（评标基准价／投标报价）×1.25×100%</w:t>
            </w:r>
          </w:p>
        </w:tc>
      </w:tr>
      <w:tr w14:paraId="02C5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5C0721E">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top"/>
          </w:tcPr>
          <w:p w14:paraId="7B95FEBD">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p>
        </w:tc>
        <w:tc>
          <w:tcPr>
            <w:tcW w:w="2264" w:type="dxa"/>
            <w:tcBorders>
              <w:tl2br w:val="nil"/>
              <w:tr2bl w:val="nil"/>
            </w:tcBorders>
            <w:vAlign w:val="center"/>
          </w:tcPr>
          <w:p w14:paraId="5429C960">
            <w:pPr>
              <w:keepNext w:val="0"/>
              <w:keepLines w:val="0"/>
              <w:widowControl/>
              <w:suppressLineNumbers w:val="0"/>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3000-10000（含）平方米</w:t>
            </w:r>
          </w:p>
        </w:tc>
        <w:tc>
          <w:tcPr>
            <w:tcW w:w="696" w:type="dxa"/>
            <w:tcBorders>
              <w:tl2br w:val="nil"/>
              <w:tr2bl w:val="nil"/>
            </w:tcBorders>
            <w:vAlign w:val="center"/>
          </w:tcPr>
          <w:p w14:paraId="3735DD45">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1.25</w:t>
            </w:r>
          </w:p>
        </w:tc>
        <w:tc>
          <w:tcPr>
            <w:tcW w:w="4856" w:type="dxa"/>
            <w:tcBorders>
              <w:tl2br w:val="nil"/>
              <w:tr2bl w:val="nil"/>
            </w:tcBorders>
            <w:vAlign w:val="top"/>
          </w:tcPr>
          <w:p w14:paraId="3EC741C9">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采用低价优先法计算，即满足招标文件要求且投标价格</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3000-10000（含）平方米</w:t>
            </w:r>
            <w:r>
              <w:rPr>
                <w:rFonts w:hint="eastAsia" w:asciiTheme="minorEastAsia" w:hAnsiTheme="minorEastAsia" w:eastAsiaTheme="minorEastAsia" w:cstheme="minorEastAsia"/>
                <w:sz w:val="21"/>
                <w:szCs w:val="21"/>
                <w:highlight w:val="none"/>
                <w:lang w:val="en-US" w:eastAsia="zh-CN"/>
              </w:rPr>
              <w:t>最低的投标报价为评标基准价，其价格分为满分。其他投标人的价格分统一按照下列公式计算：投标报价得分=（评标基准价／投标报价）×1.25×100%</w:t>
            </w:r>
          </w:p>
        </w:tc>
      </w:tr>
      <w:tr w14:paraId="0F19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500D116">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top"/>
          </w:tcPr>
          <w:p w14:paraId="47B4D997">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p>
        </w:tc>
        <w:tc>
          <w:tcPr>
            <w:tcW w:w="2264" w:type="dxa"/>
            <w:tcBorders>
              <w:tl2br w:val="nil"/>
              <w:tr2bl w:val="nil"/>
            </w:tcBorders>
            <w:vAlign w:val="center"/>
          </w:tcPr>
          <w:p w14:paraId="4897D649">
            <w:pPr>
              <w:keepNext w:val="0"/>
              <w:keepLines w:val="0"/>
              <w:widowControl/>
              <w:suppressLineNumbers w:val="0"/>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10000-50000（含）平方米</w:t>
            </w:r>
          </w:p>
        </w:tc>
        <w:tc>
          <w:tcPr>
            <w:tcW w:w="696" w:type="dxa"/>
            <w:tcBorders>
              <w:tl2br w:val="nil"/>
              <w:tr2bl w:val="nil"/>
            </w:tcBorders>
            <w:vAlign w:val="center"/>
          </w:tcPr>
          <w:p w14:paraId="2BF95C57">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1.25</w:t>
            </w:r>
          </w:p>
        </w:tc>
        <w:tc>
          <w:tcPr>
            <w:tcW w:w="4856" w:type="dxa"/>
            <w:tcBorders>
              <w:tl2br w:val="nil"/>
              <w:tr2bl w:val="nil"/>
            </w:tcBorders>
            <w:vAlign w:val="top"/>
          </w:tcPr>
          <w:p w14:paraId="33E074E7">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采用低价优先法计算，即满足招标文件要求且投标价格</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10000-50000（含）平方米</w:t>
            </w:r>
            <w:r>
              <w:rPr>
                <w:rFonts w:hint="eastAsia" w:asciiTheme="minorEastAsia" w:hAnsiTheme="minorEastAsia" w:eastAsiaTheme="minorEastAsia" w:cstheme="minorEastAsia"/>
                <w:sz w:val="21"/>
                <w:szCs w:val="21"/>
                <w:highlight w:val="none"/>
                <w:lang w:val="en-US" w:eastAsia="zh-CN"/>
              </w:rPr>
              <w:t>最低的投标报价为评标基准价，其价格分为满分。其他投标人的价格分统一按照下列公式计算：投标报价得分=（评标基准价／投标报价）×1.25×100%</w:t>
            </w:r>
          </w:p>
        </w:tc>
      </w:tr>
      <w:tr w14:paraId="5433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FBCA687">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top"/>
          </w:tcPr>
          <w:p w14:paraId="2DEB0980">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2264" w:type="dxa"/>
            <w:tcBorders>
              <w:tl2br w:val="nil"/>
              <w:tr2bl w:val="nil"/>
            </w:tcBorders>
            <w:vAlign w:val="center"/>
          </w:tcPr>
          <w:p w14:paraId="4C39DACE">
            <w:pPr>
              <w:keepNext w:val="0"/>
              <w:keepLines w:val="0"/>
              <w:widowControl/>
              <w:suppressLineNumbers w:val="0"/>
              <w:jc w:val="left"/>
              <w:textAlignment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50000-100000（含）平方米</w:t>
            </w:r>
          </w:p>
        </w:tc>
        <w:tc>
          <w:tcPr>
            <w:tcW w:w="696" w:type="dxa"/>
            <w:tcBorders>
              <w:tl2br w:val="nil"/>
              <w:tr2bl w:val="nil"/>
            </w:tcBorders>
            <w:vAlign w:val="center"/>
          </w:tcPr>
          <w:p w14:paraId="0717F6A1">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1.25</w:t>
            </w:r>
          </w:p>
        </w:tc>
        <w:tc>
          <w:tcPr>
            <w:tcW w:w="4856" w:type="dxa"/>
            <w:tcBorders>
              <w:tl2br w:val="nil"/>
              <w:tr2bl w:val="nil"/>
            </w:tcBorders>
            <w:vAlign w:val="top"/>
          </w:tcPr>
          <w:p w14:paraId="79AC7600">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采用低价优先法计算，即满足招标文件要求且投标价格</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50000-100000（含）平方米</w:t>
            </w:r>
            <w:r>
              <w:rPr>
                <w:rFonts w:hint="eastAsia" w:asciiTheme="minorEastAsia" w:hAnsiTheme="minorEastAsia" w:eastAsiaTheme="minorEastAsia" w:cstheme="minorEastAsia"/>
                <w:sz w:val="21"/>
                <w:szCs w:val="21"/>
                <w:highlight w:val="none"/>
                <w:lang w:val="en-US" w:eastAsia="zh-CN"/>
              </w:rPr>
              <w:t>最低的投标报价为评标基准价，其价格分为满分。其他投标人的价格分统一按照下列公式计算：投标报价得分=（评标基准价／投标报价）×1.25×100%</w:t>
            </w:r>
          </w:p>
        </w:tc>
      </w:tr>
      <w:tr w14:paraId="5CA9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5FC5F4C0">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top"/>
          </w:tcPr>
          <w:p w14:paraId="1813D041">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p>
        </w:tc>
        <w:tc>
          <w:tcPr>
            <w:tcW w:w="2264" w:type="dxa"/>
            <w:tcBorders>
              <w:tl2br w:val="nil"/>
              <w:tr2bl w:val="nil"/>
            </w:tcBorders>
            <w:vAlign w:val="center"/>
          </w:tcPr>
          <w:p w14:paraId="0106EF1E">
            <w:pPr>
              <w:keepNext w:val="0"/>
              <w:keepLines w:val="0"/>
              <w:widowControl/>
              <w:suppressLineNumbers w:val="0"/>
              <w:jc w:val="left"/>
              <w:textAlignment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100000-200000（含）平方米</w:t>
            </w:r>
          </w:p>
        </w:tc>
        <w:tc>
          <w:tcPr>
            <w:tcW w:w="696" w:type="dxa"/>
            <w:tcBorders>
              <w:tl2br w:val="nil"/>
              <w:tr2bl w:val="nil"/>
            </w:tcBorders>
            <w:vAlign w:val="center"/>
          </w:tcPr>
          <w:p w14:paraId="0000AD6D">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1.25</w:t>
            </w:r>
          </w:p>
        </w:tc>
        <w:tc>
          <w:tcPr>
            <w:tcW w:w="4856" w:type="dxa"/>
            <w:tcBorders>
              <w:tl2br w:val="nil"/>
              <w:tr2bl w:val="nil"/>
            </w:tcBorders>
            <w:vAlign w:val="top"/>
          </w:tcPr>
          <w:p w14:paraId="091EF703">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采用低价优先法计算，即满足招标文件要求且投标价格</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100000-200000（含）平方米</w:t>
            </w:r>
            <w:r>
              <w:rPr>
                <w:rFonts w:hint="eastAsia" w:asciiTheme="minorEastAsia" w:hAnsiTheme="minorEastAsia" w:eastAsiaTheme="minorEastAsia" w:cstheme="minorEastAsia"/>
                <w:sz w:val="21"/>
                <w:szCs w:val="21"/>
                <w:highlight w:val="none"/>
                <w:lang w:val="en-US" w:eastAsia="zh-CN"/>
              </w:rPr>
              <w:t>最低的投标报价为评标基准价，其价格分为满分。其他投标人的价格分统一按照下列公式计算：投标报价得分=（评标基准价／投标报价）×1.25×100%</w:t>
            </w:r>
          </w:p>
        </w:tc>
      </w:tr>
      <w:tr w14:paraId="0C6E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F5E0DE2">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top"/>
          </w:tcPr>
          <w:p w14:paraId="0F88F934">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w:t>
            </w:r>
          </w:p>
        </w:tc>
        <w:tc>
          <w:tcPr>
            <w:tcW w:w="2264" w:type="dxa"/>
            <w:tcBorders>
              <w:tl2br w:val="nil"/>
              <w:tr2bl w:val="nil"/>
            </w:tcBorders>
            <w:vAlign w:val="center"/>
          </w:tcPr>
          <w:p w14:paraId="14D57826">
            <w:pPr>
              <w:keepNext w:val="0"/>
              <w:keepLines w:val="0"/>
              <w:widowControl/>
              <w:suppressLineNumbers w:val="0"/>
              <w:jc w:val="left"/>
              <w:textAlignment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200000平方米以上</w:t>
            </w:r>
          </w:p>
        </w:tc>
        <w:tc>
          <w:tcPr>
            <w:tcW w:w="696" w:type="dxa"/>
            <w:tcBorders>
              <w:tl2br w:val="nil"/>
              <w:tr2bl w:val="nil"/>
            </w:tcBorders>
            <w:vAlign w:val="center"/>
          </w:tcPr>
          <w:p w14:paraId="45F43FE3">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1.25</w:t>
            </w:r>
          </w:p>
        </w:tc>
        <w:tc>
          <w:tcPr>
            <w:tcW w:w="4856" w:type="dxa"/>
            <w:tcBorders>
              <w:tl2br w:val="nil"/>
              <w:tr2bl w:val="nil"/>
            </w:tcBorders>
            <w:vAlign w:val="top"/>
          </w:tcPr>
          <w:p w14:paraId="0AE0AFEE">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采用低价优先法计算，即满足招标文件要求且投标价格</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200000平方米以上</w:t>
            </w:r>
            <w:r>
              <w:rPr>
                <w:rFonts w:hint="eastAsia" w:asciiTheme="minorEastAsia" w:hAnsiTheme="minorEastAsia" w:eastAsiaTheme="minorEastAsia" w:cstheme="minorEastAsia"/>
                <w:sz w:val="21"/>
                <w:szCs w:val="21"/>
                <w:highlight w:val="none"/>
                <w:lang w:val="en-US" w:eastAsia="zh-CN"/>
              </w:rPr>
              <w:t>最低的投标报价为评标基准价，其价格分为满分。其他投标人的价格分统一按照下列公式计算：投标报价得分=（评标基准价／投标报价）×1.25×100%</w:t>
            </w:r>
          </w:p>
        </w:tc>
      </w:tr>
      <w:tr w14:paraId="6D0E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0AE779B7">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top"/>
          </w:tcPr>
          <w:p w14:paraId="6413A6F5">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w:t>
            </w:r>
          </w:p>
        </w:tc>
        <w:tc>
          <w:tcPr>
            <w:tcW w:w="2264" w:type="dxa"/>
            <w:tcBorders>
              <w:tl2br w:val="nil"/>
              <w:tr2bl w:val="nil"/>
            </w:tcBorders>
            <w:vAlign w:val="center"/>
          </w:tcPr>
          <w:p w14:paraId="09F967FE">
            <w:pPr>
              <w:keepNext w:val="0"/>
              <w:keepLines w:val="0"/>
              <w:widowControl/>
              <w:suppressLineNumbers w:val="0"/>
              <w:jc w:val="left"/>
              <w:textAlignment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停车场</w:t>
            </w:r>
          </w:p>
        </w:tc>
        <w:tc>
          <w:tcPr>
            <w:tcW w:w="696" w:type="dxa"/>
            <w:tcBorders>
              <w:tl2br w:val="nil"/>
              <w:tr2bl w:val="nil"/>
            </w:tcBorders>
            <w:vAlign w:val="center"/>
          </w:tcPr>
          <w:p w14:paraId="4DD6109E">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1.25</w:t>
            </w:r>
          </w:p>
        </w:tc>
        <w:tc>
          <w:tcPr>
            <w:tcW w:w="4856" w:type="dxa"/>
            <w:tcBorders>
              <w:tl2br w:val="nil"/>
              <w:tr2bl w:val="nil"/>
            </w:tcBorders>
            <w:vAlign w:val="top"/>
          </w:tcPr>
          <w:p w14:paraId="453FAC73">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采用低价优先法计算，即满足招标文件要求且投标价格</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停车场</w:t>
            </w:r>
            <w:r>
              <w:rPr>
                <w:rFonts w:hint="eastAsia" w:asciiTheme="minorEastAsia" w:hAnsiTheme="minorEastAsia" w:eastAsiaTheme="minorEastAsia" w:cstheme="minorEastAsia"/>
                <w:sz w:val="21"/>
                <w:szCs w:val="21"/>
                <w:highlight w:val="none"/>
                <w:lang w:val="en-US" w:eastAsia="zh-CN"/>
              </w:rPr>
              <w:t>最低的投标报价为评标基准价，其价格分为满分。其他投标人的价格分统一按照下列公式计算：投标报价得分=（评标基准价／投标报价）×1.25×100%</w:t>
            </w:r>
          </w:p>
        </w:tc>
      </w:tr>
      <w:tr w14:paraId="4DAA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B54FAB5">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8364" w:type="dxa"/>
            <w:gridSpan w:val="4"/>
            <w:tcBorders>
              <w:tl2br w:val="nil"/>
              <w:tr2bl w:val="nil"/>
            </w:tcBorders>
            <w:vAlign w:val="top"/>
          </w:tcPr>
          <w:p w14:paraId="762AF16A">
            <w:pPr>
              <w:wordWrap w:val="0"/>
              <w:adjustRightInd w:val="0"/>
              <w:snapToGrid w:val="0"/>
              <w:spacing w:line="320" w:lineRule="exact"/>
              <w:rPr>
                <w:rFonts w:hint="eastAsia" w:asciiTheme="minorEastAsia" w:hAnsiTheme="minorEastAsia" w:eastAsiaTheme="minorEastAsia" w:cstheme="minorEastAsia"/>
                <w:sz w:val="21"/>
                <w:szCs w:val="21"/>
                <w:highlight w:val="none"/>
              </w:rPr>
            </w:pPr>
          </w:p>
        </w:tc>
      </w:tr>
      <w:tr w14:paraId="0601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restart"/>
            <w:tcBorders>
              <w:tl2br w:val="nil"/>
              <w:tr2bl w:val="nil"/>
            </w:tcBorders>
          </w:tcPr>
          <w:p w14:paraId="5A2B994F">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2</w:t>
            </w:r>
          </w:p>
        </w:tc>
        <w:tc>
          <w:tcPr>
            <w:tcW w:w="3508" w:type="dxa"/>
            <w:gridSpan w:val="3"/>
            <w:tcBorders>
              <w:tl2br w:val="nil"/>
              <w:tr2bl w:val="nil"/>
            </w:tcBorders>
          </w:tcPr>
          <w:p w14:paraId="11B9EB3B">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技术部分</w:t>
            </w:r>
          </w:p>
        </w:tc>
        <w:tc>
          <w:tcPr>
            <w:tcW w:w="4856" w:type="dxa"/>
            <w:tcBorders>
              <w:tl2br w:val="nil"/>
              <w:tr2bl w:val="nil"/>
            </w:tcBorders>
          </w:tcPr>
          <w:p w14:paraId="78CB36CE">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lang w:val="en-US" w:eastAsia="zh-CN"/>
              </w:rPr>
            </w:pPr>
            <w:r>
              <w:rPr>
                <w:rFonts w:hint="eastAsia" w:asciiTheme="minorEastAsia" w:hAnsiTheme="minorEastAsia" w:eastAsiaTheme="minorEastAsia" w:cstheme="minorEastAsia"/>
                <w:b/>
                <w:bCs/>
                <w:color w:val="0000FF"/>
                <w:sz w:val="21"/>
                <w:szCs w:val="21"/>
                <w:highlight w:val="none"/>
                <w:lang w:val="en-US" w:eastAsia="zh-CN"/>
              </w:rPr>
              <w:t>47</w:t>
            </w:r>
          </w:p>
        </w:tc>
      </w:tr>
      <w:tr w14:paraId="1256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22559264">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8364" w:type="dxa"/>
            <w:gridSpan w:val="4"/>
            <w:tcBorders>
              <w:tl2br w:val="nil"/>
              <w:tr2bl w:val="nil"/>
            </w:tcBorders>
          </w:tcPr>
          <w:p w14:paraId="4ECBF78A">
            <w:pPr>
              <w:wordWrap w:val="0"/>
              <w:adjustRightInd w:val="0"/>
              <w:snapToGrid w:val="0"/>
              <w:spacing w:line="320" w:lineRule="exact"/>
              <w:rPr>
                <w:rFonts w:hint="eastAsia" w:asciiTheme="minorEastAsia" w:hAnsiTheme="minorEastAsia" w:eastAsiaTheme="minorEastAsia" w:cstheme="minorEastAsia"/>
                <w:sz w:val="21"/>
                <w:szCs w:val="21"/>
                <w:highlight w:val="none"/>
              </w:rPr>
            </w:pPr>
          </w:p>
        </w:tc>
      </w:tr>
      <w:tr w14:paraId="66F8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7D53A5B9">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shd w:val="clear" w:color="auto" w:fill="E6EFFA"/>
            <w:vAlign w:val="center"/>
          </w:tcPr>
          <w:p w14:paraId="3409702A">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264" w:type="dxa"/>
            <w:tcBorders>
              <w:tl2br w:val="nil"/>
              <w:tr2bl w:val="nil"/>
            </w:tcBorders>
            <w:shd w:val="clear" w:color="auto" w:fill="E6EFFA"/>
            <w:vAlign w:val="center"/>
          </w:tcPr>
          <w:p w14:paraId="68248E6B">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评分因素</w:t>
            </w:r>
          </w:p>
        </w:tc>
        <w:tc>
          <w:tcPr>
            <w:tcW w:w="696" w:type="dxa"/>
            <w:tcBorders>
              <w:tl2br w:val="nil"/>
              <w:tr2bl w:val="nil"/>
            </w:tcBorders>
            <w:shd w:val="clear" w:color="auto" w:fill="E6EFFA"/>
            <w:vAlign w:val="center"/>
          </w:tcPr>
          <w:p w14:paraId="7DBFE5C3">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权重(%)</w:t>
            </w:r>
          </w:p>
        </w:tc>
        <w:tc>
          <w:tcPr>
            <w:tcW w:w="4856" w:type="dxa"/>
            <w:tcBorders>
              <w:tl2br w:val="nil"/>
              <w:tr2bl w:val="nil"/>
            </w:tcBorders>
            <w:shd w:val="clear" w:color="auto" w:fill="E6EFFA"/>
            <w:vAlign w:val="center"/>
          </w:tcPr>
          <w:p w14:paraId="51F84439">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评分准则</w:t>
            </w:r>
          </w:p>
        </w:tc>
      </w:tr>
      <w:tr w14:paraId="5236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9DF94EA">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1AC9CE2F">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2264" w:type="dxa"/>
            <w:tcBorders>
              <w:tl2br w:val="nil"/>
              <w:tr2bl w:val="nil"/>
            </w:tcBorders>
            <w:vAlign w:val="center"/>
          </w:tcPr>
          <w:p w14:paraId="616B44CB">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实施方案</w:t>
            </w:r>
          </w:p>
        </w:tc>
        <w:tc>
          <w:tcPr>
            <w:tcW w:w="696" w:type="dxa"/>
            <w:tcBorders>
              <w:tl2br w:val="nil"/>
              <w:tr2bl w:val="nil"/>
            </w:tcBorders>
            <w:vAlign w:val="center"/>
          </w:tcPr>
          <w:p w14:paraId="40B003EA">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p>
        </w:tc>
        <w:tc>
          <w:tcPr>
            <w:tcW w:w="4856" w:type="dxa"/>
            <w:tcBorders>
              <w:tl2br w:val="nil"/>
              <w:tr2bl w:val="nil"/>
            </w:tcBorders>
            <w:vAlign w:val="top"/>
          </w:tcPr>
          <w:p w14:paraId="1DF41C17">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682DC317">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根据招标文件要求提供实施方案，内容应包括：</w:t>
            </w:r>
          </w:p>
          <w:p w14:paraId="63AC5B2D">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对项目</w:t>
            </w:r>
            <w:r>
              <w:rPr>
                <w:rFonts w:hint="eastAsia" w:asciiTheme="minorEastAsia" w:hAnsiTheme="minorEastAsia" w:eastAsiaTheme="minorEastAsia" w:cstheme="minorEastAsia"/>
                <w:sz w:val="21"/>
                <w:szCs w:val="21"/>
                <w:highlight w:val="none"/>
                <w:lang w:eastAsia="zh-CN"/>
              </w:rPr>
              <w:t>背景、相关政策、工作</w:t>
            </w:r>
            <w:r>
              <w:rPr>
                <w:rFonts w:hint="eastAsia" w:asciiTheme="minorEastAsia" w:hAnsiTheme="minorEastAsia" w:eastAsiaTheme="minorEastAsia" w:cstheme="minorEastAsia"/>
                <w:sz w:val="21"/>
                <w:szCs w:val="21"/>
                <w:highlight w:val="none"/>
              </w:rPr>
              <w:t>内容的理解。</w:t>
            </w:r>
          </w:p>
          <w:p w14:paraId="72D2466B">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项目工作思路及方法分析。</w:t>
            </w:r>
          </w:p>
          <w:p w14:paraId="3CC145AE">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技术实施方案。</w:t>
            </w:r>
          </w:p>
          <w:p w14:paraId="56E809B4">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5E21AA83">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每提供上述任意一项内容得</w:t>
            </w: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分，本小项累计最高得60分；在此基础上，专家根据各供应商的具体响应内容按照量化的评审因素指标进一步评审：</w:t>
            </w:r>
          </w:p>
          <w:p w14:paraId="5EA14C6D">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1.方案整体科学合理、针对性强、可操作性强，评审为优的，加40分；</w:t>
            </w:r>
          </w:p>
          <w:p w14:paraId="30E0321D">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2.方案较合理、有一定针对性、一定可操作性，评审为良的，加25分；</w:t>
            </w:r>
          </w:p>
          <w:p w14:paraId="200667A0">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3.方案不尽合理、针对性一般、可操作性一般，评审为中的，加10分；</w:t>
            </w:r>
          </w:p>
          <w:p w14:paraId="2687A8F6">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4.方案不合理、无针对性、无可操作性，评审为差的，加0分。</w:t>
            </w:r>
          </w:p>
          <w:p w14:paraId="7D0AB974">
            <w:pPr>
              <w:pStyle w:val="2"/>
              <w:rPr>
                <w:rFonts w:hint="eastAsia" w:asciiTheme="minorEastAsia" w:hAnsiTheme="minorEastAsia" w:eastAsiaTheme="minorEastAsia" w:cstheme="minorEastAsia"/>
                <w:sz w:val="21"/>
                <w:szCs w:val="21"/>
                <w:highlight w:val="none"/>
              </w:rPr>
            </w:pPr>
          </w:p>
        </w:tc>
      </w:tr>
      <w:tr w14:paraId="23D6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3FD41E6">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4B0ABB29">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2264" w:type="dxa"/>
            <w:tcBorders>
              <w:tl2br w:val="nil"/>
              <w:tr2bl w:val="nil"/>
            </w:tcBorders>
            <w:vAlign w:val="center"/>
          </w:tcPr>
          <w:p w14:paraId="1E2F914D">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项目重点难点分析、应对措施及相关的合理化建议</w:t>
            </w:r>
          </w:p>
        </w:tc>
        <w:tc>
          <w:tcPr>
            <w:tcW w:w="696" w:type="dxa"/>
            <w:tcBorders>
              <w:tl2br w:val="nil"/>
              <w:tr2bl w:val="nil"/>
            </w:tcBorders>
            <w:vAlign w:val="center"/>
          </w:tcPr>
          <w:p w14:paraId="498C6E0D">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4856" w:type="dxa"/>
            <w:tcBorders>
              <w:tl2br w:val="nil"/>
              <w:tr2bl w:val="nil"/>
            </w:tcBorders>
            <w:vAlign w:val="top"/>
          </w:tcPr>
          <w:p w14:paraId="25C3E610">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763626FE">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根据招标文件要求提供项目重点难点分析、应对措施及相关的合理化建议，内容应包括：</w:t>
            </w:r>
          </w:p>
          <w:p w14:paraId="228A3BF6">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1.围绕项目实际情况，至少提出不少于5个项目重点难点。</w:t>
            </w:r>
          </w:p>
          <w:p w14:paraId="7E07486B">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2.针对所提出的重点难点，列明各点应对措施及相关合理化建议。</w:t>
            </w:r>
          </w:p>
          <w:p w14:paraId="0FD793AD">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4D324352">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每提供上述任意一项内容得</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分，本小项累计最高得60分；在此基础上，专家根据各供应商的具体响应内容按照量化的评审因素指标进一步评审：</w:t>
            </w:r>
          </w:p>
          <w:p w14:paraId="205063E9">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1.方案整体科学合理、针对性强、可操作性强，评审为优的，加40分；</w:t>
            </w:r>
          </w:p>
          <w:p w14:paraId="20ACF1EE">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2.方案较合理、有一定针对性、一定可操作性，评审为良的，加25分；</w:t>
            </w:r>
          </w:p>
          <w:p w14:paraId="60DF36E3">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3.方案不尽合理、针对性一般、可操作性一般，评审为中的，加10分；</w:t>
            </w:r>
          </w:p>
          <w:p w14:paraId="03E0B6B8">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4.方案不合理、无针对性、无可操作性，评审为差的，加0分。</w:t>
            </w:r>
          </w:p>
        </w:tc>
      </w:tr>
      <w:tr w14:paraId="06E1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580FACB0">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56CDD1CD">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2264" w:type="dxa"/>
            <w:tcBorders>
              <w:tl2br w:val="nil"/>
              <w:tr2bl w:val="nil"/>
            </w:tcBorders>
            <w:vAlign w:val="center"/>
          </w:tcPr>
          <w:p w14:paraId="5FAEA9DD">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质量（完成时间、安全、环保）保障措施及方案</w:t>
            </w:r>
          </w:p>
        </w:tc>
        <w:tc>
          <w:tcPr>
            <w:tcW w:w="696" w:type="dxa"/>
            <w:tcBorders>
              <w:tl2br w:val="nil"/>
              <w:tr2bl w:val="nil"/>
            </w:tcBorders>
            <w:vAlign w:val="center"/>
          </w:tcPr>
          <w:p w14:paraId="2036AFCA">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4856" w:type="dxa"/>
            <w:tcBorders>
              <w:tl2br w:val="nil"/>
              <w:tr2bl w:val="nil"/>
            </w:tcBorders>
            <w:vAlign w:val="top"/>
          </w:tcPr>
          <w:p w14:paraId="720F0492">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594DF2D6">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根据招标文件要求提供质量保障措施，内容应包括：</w:t>
            </w:r>
          </w:p>
          <w:p w14:paraId="1AFA83A2">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1.项目计划。</w:t>
            </w:r>
          </w:p>
          <w:p w14:paraId="6EEE2FAA">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2.工作进度的安排。</w:t>
            </w:r>
          </w:p>
          <w:p w14:paraId="5544E4FA">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3.质量保障措施。</w:t>
            </w:r>
          </w:p>
          <w:p w14:paraId="3B0990B9">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41AE5374">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每提供上述任意一项内容得</w:t>
            </w: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分，本小项累计最高得60分；在此基础上，专家根据各供应商的具体响应内容按照量化的评审因素指标进一步评审：</w:t>
            </w:r>
          </w:p>
          <w:p w14:paraId="49C518F5">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1.方案整体科学合理、针对性强、可操作性强，评审为优的，加40分；</w:t>
            </w:r>
          </w:p>
          <w:p w14:paraId="3657CA3F">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2.方案较合理、有一定针对性、一定可操作性，评审为良的，加25分；</w:t>
            </w:r>
          </w:p>
          <w:p w14:paraId="734E9D3B">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3.方案不尽合理、针对性一般、可操作性一般，评审为中的，加10分；</w:t>
            </w:r>
          </w:p>
          <w:p w14:paraId="58876C68">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4.方案不合理、无针对性、无可操作性，评审为差的，加0分。</w:t>
            </w:r>
          </w:p>
        </w:tc>
      </w:tr>
      <w:tr w14:paraId="33BE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continue"/>
            <w:tcBorders>
              <w:tl2br w:val="nil"/>
              <w:tr2bl w:val="nil"/>
            </w:tcBorders>
            <w:vAlign w:val="center"/>
          </w:tcPr>
          <w:p w14:paraId="390D2D1C">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4279C84C">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2264" w:type="dxa"/>
            <w:tcBorders>
              <w:tl2br w:val="nil"/>
              <w:tr2bl w:val="nil"/>
            </w:tcBorders>
            <w:vAlign w:val="center"/>
          </w:tcPr>
          <w:p w14:paraId="7BEC2619">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项目完成（服务期满）后的服务承诺</w:t>
            </w:r>
          </w:p>
        </w:tc>
        <w:tc>
          <w:tcPr>
            <w:tcW w:w="696" w:type="dxa"/>
            <w:tcBorders>
              <w:tl2br w:val="nil"/>
              <w:tr2bl w:val="nil"/>
            </w:tcBorders>
            <w:vAlign w:val="center"/>
          </w:tcPr>
          <w:p w14:paraId="56072BD4">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4856" w:type="dxa"/>
            <w:tcBorders>
              <w:tl2br w:val="nil"/>
              <w:tr2bl w:val="nil"/>
            </w:tcBorders>
            <w:vAlign w:val="top"/>
          </w:tcPr>
          <w:p w14:paraId="5D16CA95">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1F555B52">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根据招标文件要求提供</w:t>
            </w:r>
            <w:r>
              <w:rPr>
                <w:rFonts w:hint="eastAsia" w:asciiTheme="minorEastAsia" w:hAnsiTheme="minorEastAsia" w:eastAsiaTheme="minorEastAsia" w:cstheme="minorEastAsia"/>
                <w:color w:val="auto"/>
                <w:sz w:val="21"/>
                <w:szCs w:val="21"/>
                <w:highlight w:val="none"/>
              </w:rPr>
              <w:t>项目完成（服务期满）后的服务承诺</w:t>
            </w:r>
            <w:r>
              <w:rPr>
                <w:rFonts w:hint="eastAsia" w:asciiTheme="minorEastAsia" w:hAnsiTheme="minorEastAsia" w:eastAsiaTheme="minorEastAsia" w:cstheme="minorEastAsia"/>
                <w:sz w:val="21"/>
                <w:szCs w:val="21"/>
                <w:highlight w:val="none"/>
              </w:rPr>
              <w:t>，内容应包括：</w:t>
            </w:r>
          </w:p>
          <w:p w14:paraId="6C33DFF6">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1.项目完成后提供服务工作安排。</w:t>
            </w:r>
          </w:p>
          <w:p w14:paraId="2ED7456C">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2.项目完成后服务内容全面，且满足招标方需求。</w:t>
            </w:r>
          </w:p>
          <w:p w14:paraId="7364A626">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02C38934">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每提供上述任意一项内容得</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分，本小项累计最高得60分；在此基础上，专家根据各供应商的具体响应内容按照量化的评审因素指标进一步评审：</w:t>
            </w:r>
          </w:p>
          <w:p w14:paraId="391E2C78">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1.方案整体科学合理、针对性强、可操作性强，评审为优的，加40分；</w:t>
            </w:r>
          </w:p>
          <w:p w14:paraId="2B37C1D3">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2.方案较合理、有一定针对性、一定可操作性，评审为良的，加25分；</w:t>
            </w:r>
          </w:p>
          <w:p w14:paraId="43774154">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3.方案不尽合理、针对性一般、可操作性一般，评审为中的，加10分；</w:t>
            </w:r>
          </w:p>
          <w:p w14:paraId="1575F91C">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4.方案不合理、无针对性、无可操作性，评审为差的，加0分。</w:t>
            </w:r>
          </w:p>
        </w:tc>
      </w:tr>
      <w:tr w14:paraId="1EDB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769FC2E">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65DCF873">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2264" w:type="dxa"/>
            <w:tcBorders>
              <w:tl2br w:val="nil"/>
              <w:tr2bl w:val="nil"/>
            </w:tcBorders>
            <w:vAlign w:val="center"/>
          </w:tcPr>
          <w:p w14:paraId="2710FDD7">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拟安排的项目负责人情况（仅限一人）</w:t>
            </w:r>
          </w:p>
        </w:tc>
        <w:tc>
          <w:tcPr>
            <w:tcW w:w="696" w:type="dxa"/>
            <w:tcBorders>
              <w:tl2br w:val="nil"/>
              <w:tr2bl w:val="nil"/>
            </w:tcBorders>
            <w:vAlign w:val="center"/>
          </w:tcPr>
          <w:p w14:paraId="47D54A41">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p>
        </w:tc>
        <w:tc>
          <w:tcPr>
            <w:tcW w:w="4856" w:type="dxa"/>
            <w:tcBorders>
              <w:tl2br w:val="nil"/>
              <w:tr2bl w:val="nil"/>
            </w:tcBorders>
            <w:vAlign w:val="top"/>
          </w:tcPr>
          <w:p w14:paraId="5A0CB2F4">
            <w:pPr>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7851BF41">
            <w:pPr>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FF0000"/>
                <w:sz w:val="21"/>
                <w:szCs w:val="21"/>
                <w:highlight w:val="none"/>
              </w:rPr>
              <w:t>按招标文件要求提供人员配备承诺（格式见招标文件第四章-投标文件附件-人员配备承诺），</w:t>
            </w:r>
            <w:r>
              <w:rPr>
                <w:rFonts w:hint="eastAsia" w:asciiTheme="minorEastAsia" w:hAnsiTheme="minorEastAsia" w:eastAsiaTheme="minorEastAsia" w:cstheme="minorEastAsia"/>
                <w:sz w:val="21"/>
                <w:szCs w:val="21"/>
                <w:highlight w:val="none"/>
              </w:rPr>
              <w:t>且拟安排项目负责人为投标单位员工（以社保为准），否则本项不得分。在此基础上：</w:t>
            </w:r>
          </w:p>
          <w:p w14:paraId="4005E6D3">
            <w:pPr>
              <w:numPr>
                <w:ilvl w:val="0"/>
                <w:numId w:val="0"/>
              </w:numPr>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同时具有房地产估价师及土地估价师资格证书，或者具有房地产估价师职业资格证书的得20分，其中一项资质持证累计年限大于等于10（含）年再得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0分，此项最高可得</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 xml:space="preserve">分。 </w:t>
            </w:r>
          </w:p>
          <w:p w14:paraId="4D1868AE">
            <w:pPr>
              <w:numPr>
                <w:ilvl w:val="0"/>
                <w:numId w:val="0"/>
              </w:numPr>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eastAsia="zh-CN"/>
              </w:rPr>
              <w:t>2.</w:t>
            </w:r>
            <w:r>
              <w:rPr>
                <w:rFonts w:hint="eastAsia" w:asciiTheme="minorEastAsia" w:hAnsiTheme="minorEastAsia" w:eastAsiaTheme="minorEastAsia" w:cstheme="minorEastAsia"/>
                <w:sz w:val="21"/>
                <w:szCs w:val="21"/>
                <w:highlight w:val="none"/>
              </w:rPr>
              <w:t>具有研究生或以上学历的得20分，本科学历得10分，其他情况不得分。</w:t>
            </w:r>
          </w:p>
          <w:p w14:paraId="02A73995">
            <w:pPr>
              <w:numPr>
                <w:ilvl w:val="0"/>
                <w:numId w:val="0"/>
              </w:numPr>
              <w:adjustRightInd w:val="0"/>
              <w:snapToGrid w:val="0"/>
              <w:spacing w:line="320" w:lineRule="exact"/>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3.2022年1月1日至本项目投标截止之日（以合同签订时间为准），作为项目主要负责人（项目负责人或技术负责人）</w:t>
            </w:r>
            <w:r>
              <w:rPr>
                <w:rFonts w:hint="eastAsia" w:asciiTheme="minorEastAsia" w:hAnsiTheme="minorEastAsia" w:eastAsiaTheme="minorEastAsia" w:cstheme="minorEastAsia"/>
                <w:sz w:val="21"/>
                <w:szCs w:val="21"/>
                <w:highlight w:val="none"/>
                <w:lang w:val="en-US"/>
              </w:rPr>
              <w:t>承担过</w:t>
            </w:r>
            <w:r>
              <w:rPr>
                <w:rFonts w:hint="eastAsia" w:asciiTheme="minorEastAsia" w:hAnsiTheme="minorEastAsia" w:eastAsiaTheme="minorEastAsia" w:cstheme="minorEastAsia"/>
                <w:sz w:val="21"/>
                <w:szCs w:val="21"/>
                <w:highlight w:val="none"/>
                <w:lang w:val="en-US" w:eastAsia="zh-CN"/>
              </w:rPr>
              <w:t>副省级（或以上）城市的</w:t>
            </w:r>
            <w:r>
              <w:rPr>
                <w:rFonts w:hint="eastAsia" w:asciiTheme="minorEastAsia" w:hAnsiTheme="minorEastAsia" w:eastAsiaTheme="minorEastAsia" w:cstheme="minorEastAsia"/>
                <w:sz w:val="21"/>
                <w:szCs w:val="21"/>
                <w:highlight w:val="none"/>
                <w:lang w:val="en-US"/>
              </w:rPr>
              <w:t>国家机关或事业单位</w:t>
            </w:r>
            <w:r>
              <w:rPr>
                <w:rFonts w:hint="eastAsia" w:asciiTheme="minorEastAsia" w:hAnsiTheme="minorEastAsia" w:eastAsiaTheme="minorEastAsia" w:cstheme="minorEastAsia"/>
                <w:sz w:val="21"/>
                <w:szCs w:val="21"/>
                <w:highlight w:val="none"/>
                <w:lang w:val="en-US" w:eastAsia="zh-CN"/>
              </w:rPr>
              <w:t>或国央企</w:t>
            </w:r>
            <w:r>
              <w:rPr>
                <w:rFonts w:hint="eastAsia" w:asciiTheme="minorEastAsia" w:hAnsiTheme="minorEastAsia" w:eastAsiaTheme="minorEastAsia" w:cstheme="minorEastAsia"/>
                <w:sz w:val="21"/>
                <w:szCs w:val="21"/>
                <w:highlight w:val="none"/>
                <w:lang w:val="en-US"/>
              </w:rPr>
              <w:t>委托的物业租赁价格相关评估项目经验</w:t>
            </w:r>
            <w:r>
              <w:rPr>
                <w:rFonts w:hint="eastAsia" w:asciiTheme="minorEastAsia" w:hAnsiTheme="minorEastAsia" w:eastAsiaTheme="minorEastAsia" w:cstheme="minorEastAsia"/>
                <w:sz w:val="21"/>
                <w:szCs w:val="21"/>
                <w:highlight w:val="none"/>
                <w:lang w:val="en-US" w:eastAsia="zh-CN"/>
              </w:rPr>
              <w:t>的，每个项目15分，本项最高30分。</w:t>
            </w:r>
          </w:p>
          <w:p w14:paraId="4F2CB9C8">
            <w:pPr>
              <w:numPr>
                <w:ilvl w:val="0"/>
                <w:numId w:val="0"/>
              </w:numPr>
              <w:adjustRightInd w:val="0"/>
              <w:snapToGrid w:val="0"/>
              <w:spacing w:line="320" w:lineRule="exact"/>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是属于副省级（或以上）房地产估价行业专家库成员的得</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0分。</w:t>
            </w:r>
          </w:p>
          <w:p w14:paraId="37141F8C">
            <w:pPr>
              <w:numPr>
                <w:ilvl w:val="0"/>
                <w:numId w:val="0"/>
              </w:numPr>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以上累加计分，最多得100分。</w:t>
            </w:r>
          </w:p>
          <w:p w14:paraId="5DCF8254">
            <w:pPr>
              <w:numPr>
                <w:ilvl w:val="0"/>
                <w:numId w:val="0"/>
              </w:numPr>
              <w:adjustRightInd w:val="0"/>
              <w:snapToGrid w:val="0"/>
              <w:spacing w:line="320" w:lineRule="exact"/>
              <w:jc w:val="lef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w:t>
            </w:r>
            <w:r>
              <w:rPr>
                <w:rFonts w:hint="eastAsia" w:asciiTheme="minorEastAsia" w:hAnsiTheme="minorEastAsia" w:eastAsiaTheme="minorEastAsia" w:cstheme="minorEastAsia"/>
                <w:b/>
                <w:bCs/>
                <w:sz w:val="21"/>
                <w:szCs w:val="21"/>
                <w:highlight w:val="none"/>
                <w:lang w:val="en-US" w:eastAsia="zh-CN"/>
              </w:rPr>
              <w:t>二</w:t>
            </w:r>
            <w:r>
              <w:rPr>
                <w:rFonts w:hint="eastAsia" w:asciiTheme="minorEastAsia" w:hAnsiTheme="minorEastAsia" w:eastAsiaTheme="minorEastAsia" w:cstheme="minorEastAsia"/>
                <w:b/>
                <w:bCs/>
                <w:sz w:val="21"/>
                <w:szCs w:val="21"/>
                <w:highlight w:val="none"/>
              </w:rPr>
              <w:t>）评分依据：</w:t>
            </w:r>
          </w:p>
          <w:p w14:paraId="68B40E99">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1.要求提供社会保险参保单位为投标人的近三个月（</w:t>
            </w:r>
            <w:r>
              <w:rPr>
                <w:rFonts w:hint="eastAsia" w:asciiTheme="minorEastAsia" w:hAnsiTheme="minorEastAsia" w:eastAsiaTheme="minorEastAsia" w:cstheme="minorEastAsia"/>
                <w:sz w:val="21"/>
                <w:szCs w:val="21"/>
                <w:highlight w:val="none"/>
                <w:lang w:val="en-US" w:eastAsia="zh-CN"/>
              </w:rPr>
              <w:t>2025年6-8月，</w:t>
            </w:r>
            <w:r>
              <w:rPr>
                <w:rFonts w:hint="eastAsia" w:asciiTheme="minorEastAsia" w:hAnsiTheme="minorEastAsia" w:eastAsiaTheme="minorEastAsia" w:cstheme="minorEastAsia"/>
                <w:sz w:val="21"/>
                <w:szCs w:val="21"/>
                <w:highlight w:val="none"/>
              </w:rPr>
              <w:t>含开标当月）中任意一个月的社保证明作为本单位员工的证明依据</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若供应商成立不足三个月的，需提供成立情况说明函(格式自拟)，无需提供相关人员社保，亦可得分。</w:t>
            </w:r>
          </w:p>
          <w:p w14:paraId="07CDA76E">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提供学历证书及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14:paraId="74F74E59">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3.提供证书扫描件，若人员证书为协会颁发的，则还需要提供该协会在全国社会组织信用信息公示平台（网址https://xxgs.chinanpo.mca.gov.cn)的查询“正常”页面截图。</w:t>
            </w:r>
          </w:p>
          <w:p w14:paraId="44753B74">
            <w:pPr>
              <w:wordWrap w:val="0"/>
              <w:adjustRightInd w:val="0"/>
              <w:snapToGrid w:val="0"/>
              <w:spacing w:line="320" w:lineRule="exact"/>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4.须提供人员的业绩合同（需要体现业绩类型、时间、种类以及服务人员名称）扫描件。</w:t>
            </w:r>
            <w:r>
              <w:rPr>
                <w:rFonts w:hint="eastAsia" w:asciiTheme="minorEastAsia" w:hAnsiTheme="minorEastAsia" w:eastAsiaTheme="minorEastAsia" w:cstheme="minorEastAsia"/>
                <w:kern w:val="2"/>
                <w:sz w:val="21"/>
                <w:szCs w:val="21"/>
                <w:highlight w:val="none"/>
                <w:lang w:val="en-US" w:eastAsia="zh-CN" w:bidi="ar-SA"/>
              </w:rPr>
              <w:t>通过合同关键信息无法判断是否得分的，还须同时提供投标人承诺。</w:t>
            </w:r>
          </w:p>
          <w:p w14:paraId="4034B6D9">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提供专家证书扫描件或房地产估价协会官网截图。</w:t>
            </w:r>
          </w:p>
          <w:p w14:paraId="2E871FE2">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.评分中出现无证明资料或者专家无法凭所提供资料判断是否得分的情况，一律做不得分处理。</w:t>
            </w:r>
          </w:p>
        </w:tc>
      </w:tr>
      <w:tr w14:paraId="1644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33DAF06">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238E0722">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w:t>
            </w:r>
          </w:p>
        </w:tc>
        <w:tc>
          <w:tcPr>
            <w:tcW w:w="2264" w:type="dxa"/>
            <w:tcBorders>
              <w:tl2br w:val="nil"/>
              <w:tr2bl w:val="nil"/>
            </w:tcBorders>
            <w:vAlign w:val="center"/>
          </w:tcPr>
          <w:p w14:paraId="026E649C">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拟安排的项目主要团队成员（主要技术人员）情况（项目负责人除外）</w:t>
            </w:r>
          </w:p>
        </w:tc>
        <w:tc>
          <w:tcPr>
            <w:tcW w:w="696" w:type="dxa"/>
            <w:tcBorders>
              <w:tl2br w:val="nil"/>
              <w:tr2bl w:val="nil"/>
            </w:tcBorders>
            <w:vAlign w:val="center"/>
          </w:tcPr>
          <w:p w14:paraId="5D68BB97">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w:t>
            </w:r>
          </w:p>
        </w:tc>
        <w:tc>
          <w:tcPr>
            <w:tcW w:w="4856" w:type="dxa"/>
            <w:tcBorders>
              <w:tl2br w:val="nil"/>
              <w:tr2bl w:val="nil"/>
            </w:tcBorders>
            <w:vAlign w:val="top"/>
          </w:tcPr>
          <w:p w14:paraId="3ABB1A05">
            <w:pPr>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0F94C0C9">
            <w:pPr>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FF0000"/>
                <w:sz w:val="21"/>
                <w:szCs w:val="21"/>
                <w:highlight w:val="none"/>
              </w:rPr>
              <w:t>按招标文件要求提供人员配备承诺（格式见招标文件第四章-投标文件附件-人员配备承诺），否则本项不得分；</w:t>
            </w:r>
            <w:r>
              <w:rPr>
                <w:rFonts w:hint="eastAsia" w:asciiTheme="minorEastAsia" w:hAnsiTheme="minorEastAsia" w:eastAsiaTheme="minorEastAsia" w:cstheme="minorEastAsia"/>
                <w:sz w:val="21"/>
                <w:szCs w:val="21"/>
                <w:highlight w:val="none"/>
              </w:rPr>
              <w:t>拟安排项目团队成员为投标单位员工（以社保为准），否则该人员本项不得分。在此基础上：</w:t>
            </w:r>
          </w:p>
          <w:p w14:paraId="5475F086">
            <w:pPr>
              <w:pStyle w:val="2"/>
              <w:numPr>
                <w:ilvl w:val="0"/>
                <w:numId w:val="0"/>
              </w:numPr>
              <w:adjustRightInd w:val="0"/>
              <w:snapToGrid w:val="0"/>
              <w:spacing w:line="320" w:lineRule="exact"/>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zh-CN"/>
              </w:rPr>
              <w:t>1.</w:t>
            </w:r>
            <w:r>
              <w:rPr>
                <w:rFonts w:hint="eastAsia" w:asciiTheme="minorEastAsia" w:hAnsiTheme="minorEastAsia" w:eastAsiaTheme="minorEastAsia" w:cstheme="minorEastAsia"/>
                <w:b w:val="0"/>
                <w:bCs w:val="0"/>
                <w:kern w:val="2"/>
                <w:sz w:val="21"/>
                <w:szCs w:val="21"/>
                <w:highlight w:val="none"/>
                <w:lang w:val="en-US" w:eastAsia="zh-CN" w:bidi="ar-SA"/>
              </w:rPr>
              <w:t>拟安排主要技术人员（仅限1人）同时具备房地产估价师及土地估价师资格证书，或者具有房地产估价师职业资格证书的得10分；其中一项资质持证累计年限大于等于10年得10分；</w:t>
            </w:r>
          </w:p>
          <w:p w14:paraId="65CF5D20">
            <w:pPr>
              <w:pStyle w:val="2"/>
              <w:numPr>
                <w:ilvl w:val="0"/>
                <w:numId w:val="0"/>
              </w:numPr>
              <w:adjustRightInd w:val="0"/>
              <w:snapToGrid w:val="0"/>
              <w:spacing w:line="320" w:lineRule="exac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kern w:val="2"/>
                <w:sz w:val="21"/>
                <w:szCs w:val="21"/>
                <w:highlight w:val="none"/>
                <w:lang w:val="en-US" w:eastAsia="zh-CN" w:bidi="ar-SA"/>
              </w:rPr>
              <w:t>具有研究生或以上学历的得20分，本科学历得10分，其他情况不得分；</w:t>
            </w:r>
          </w:p>
          <w:p w14:paraId="3EEB2D1C">
            <w:pPr>
              <w:pStyle w:val="2"/>
              <w:numPr>
                <w:ilvl w:val="0"/>
                <w:numId w:val="0"/>
              </w:numPr>
              <w:adjustRightInd w:val="0"/>
              <w:snapToGrid w:val="0"/>
              <w:spacing w:line="320" w:lineRule="exact"/>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是副省级（或以上）房地产估价行业专家库专家的得10分；</w:t>
            </w:r>
          </w:p>
          <w:p w14:paraId="7F2E6C49">
            <w:pPr>
              <w:pStyle w:val="2"/>
              <w:numPr>
                <w:ilvl w:val="0"/>
                <w:numId w:val="0"/>
              </w:numPr>
              <w:adjustRightInd w:val="0"/>
              <w:snapToGrid w:val="0"/>
              <w:spacing w:line="320" w:lineRule="exact"/>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是副省级或以上不动产相关协会专家库专家的得10分；</w:t>
            </w:r>
          </w:p>
          <w:p w14:paraId="5594B35F">
            <w:pPr>
              <w:pStyle w:val="2"/>
              <w:numPr>
                <w:ilvl w:val="0"/>
                <w:numId w:val="0"/>
              </w:numPr>
              <w:adjustRightInd w:val="0"/>
              <w:snapToGrid w:val="0"/>
              <w:spacing w:line="320" w:lineRule="exac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kern w:val="2"/>
                <w:sz w:val="21"/>
                <w:szCs w:val="21"/>
                <w:highlight w:val="none"/>
                <w:lang w:val="en-US" w:eastAsia="zh-CN" w:bidi="ar-SA"/>
              </w:rPr>
              <w:t>主要技术人员于2022年1月1日至本项目投标截止之日（以合同签订时间为准），参加过副省级（或以上）城市的国家机关或事业单位或国央企委托的物业租赁价格相关评估项目经验的，每个项目10分，最高20分。</w:t>
            </w:r>
          </w:p>
          <w:p w14:paraId="7A001FAA">
            <w:pPr>
              <w:pStyle w:val="2"/>
              <w:numPr>
                <w:ilvl w:val="0"/>
                <w:numId w:val="0"/>
              </w:numPr>
              <w:adjustRightInd w:val="0"/>
              <w:snapToGrid w:val="0"/>
              <w:spacing w:line="320" w:lineRule="exact"/>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此项最高可得80分；</w:t>
            </w:r>
          </w:p>
          <w:p w14:paraId="26AB2B4C">
            <w:pPr>
              <w:pStyle w:val="2"/>
              <w:adjustRightInd w:val="0"/>
              <w:snapToGrid w:val="0"/>
              <w:spacing w:line="320" w:lineRule="exact"/>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2.团队成员中（项目负责人及主要技术人员除外）每有一人具有房地产估价师职业资格证书或房地产估价师资格证书的得5分，最高为10分。</w:t>
            </w:r>
          </w:p>
          <w:p w14:paraId="064405B8">
            <w:pPr>
              <w:pStyle w:val="2"/>
              <w:adjustRightInd w:val="0"/>
              <w:snapToGrid w:val="0"/>
              <w:spacing w:line="320" w:lineRule="exact"/>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3.团队成员中（项目负责人及主要技术人员除外）每有一人具有房地产估价师职业资格证书或土地估价师资格证书的得5分，最高为10分；</w:t>
            </w:r>
          </w:p>
          <w:p w14:paraId="5246FF22">
            <w:pPr>
              <w:pStyle w:val="2"/>
              <w:adjustRightInd w:val="0"/>
              <w:snapToGrid w:val="0"/>
              <w:spacing w:line="320" w:lineRule="exac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每个成员只适用以上一种情形，不可重复计分，以上累加计分，最多得100分。</w:t>
            </w:r>
          </w:p>
          <w:p w14:paraId="5F6DABE9">
            <w:pPr>
              <w:numPr>
                <w:ilvl w:val="0"/>
                <w:numId w:val="7"/>
              </w:numPr>
              <w:adjustRightInd w:val="0"/>
              <w:snapToGrid w:val="0"/>
              <w:spacing w:line="320" w:lineRule="exact"/>
              <w:jc w:val="lef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评分依据：</w:t>
            </w:r>
          </w:p>
          <w:p w14:paraId="7AD947F1">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1.要求提供社会保险参保单位为投标人的近三个月（含开标当月）中任意一个月的社保证明作为本单位员工的证明依据</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若供应商成立不足三个月的，需提供成立情况说明函(格式自拟)，无需提供相关人员社保，亦可得分。</w:t>
            </w:r>
          </w:p>
          <w:p w14:paraId="0E9D1EAA">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提供学历证书及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14:paraId="40E8CDDE">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3.提供证书扫描件，若人员证书为协会颁发的，则还需要提供该协会在全国社会组织信用信息公示平台（网址https://xxgs.chinanpo.mca.gov.cn)的查询“正常”页面截图。</w:t>
            </w:r>
          </w:p>
          <w:p w14:paraId="0AF3CAE8">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4.须提供人员的业绩合同（需要体现业绩类型、时间、种类以及服务人员名称）扫描件。</w:t>
            </w:r>
            <w:r>
              <w:rPr>
                <w:rFonts w:hint="eastAsia" w:asciiTheme="minorEastAsia" w:hAnsiTheme="minorEastAsia" w:eastAsiaTheme="minorEastAsia" w:cstheme="minorEastAsia"/>
                <w:kern w:val="2"/>
                <w:sz w:val="21"/>
                <w:szCs w:val="21"/>
                <w:highlight w:val="none"/>
                <w:lang w:val="en-US" w:eastAsia="zh-CN" w:bidi="ar-SA"/>
              </w:rPr>
              <w:t>通过合同关键信息无法判断是否得分的，还须同时提供投标人承诺</w:t>
            </w:r>
            <w:r>
              <w:rPr>
                <w:rFonts w:hint="eastAsia" w:asciiTheme="minorEastAsia" w:hAnsiTheme="minorEastAsia" w:eastAsiaTheme="minorEastAsia" w:cstheme="minorEastAsia"/>
                <w:sz w:val="21"/>
                <w:szCs w:val="21"/>
                <w:highlight w:val="none"/>
              </w:rPr>
              <w:t>。</w:t>
            </w:r>
          </w:p>
          <w:p w14:paraId="32452F6C">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提供专家证书扫描件或房地产估价协会官网截图。</w:t>
            </w:r>
          </w:p>
          <w:p w14:paraId="335F5587">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.评分中出现无证明资料或者专家无法凭所提供资料判断是否得分的情况，一律做不得分处理。</w:t>
            </w:r>
          </w:p>
        </w:tc>
      </w:tr>
      <w:tr w14:paraId="12FE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062E9843">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01ECA3C7">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w:t>
            </w:r>
          </w:p>
        </w:tc>
        <w:tc>
          <w:tcPr>
            <w:tcW w:w="2264" w:type="dxa"/>
            <w:tcBorders>
              <w:tl2br w:val="nil"/>
              <w:tr2bl w:val="nil"/>
            </w:tcBorders>
            <w:vAlign w:val="center"/>
          </w:tcPr>
          <w:p w14:paraId="2491B46F">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违约承诺</w:t>
            </w:r>
          </w:p>
        </w:tc>
        <w:tc>
          <w:tcPr>
            <w:tcW w:w="696" w:type="dxa"/>
            <w:tcBorders>
              <w:tl2br w:val="nil"/>
              <w:tr2bl w:val="nil"/>
            </w:tcBorders>
            <w:vAlign w:val="center"/>
          </w:tcPr>
          <w:p w14:paraId="7F184888">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4856" w:type="dxa"/>
            <w:tcBorders>
              <w:tl2br w:val="nil"/>
              <w:tr2bl w:val="nil"/>
            </w:tcBorders>
            <w:vAlign w:val="center"/>
          </w:tcPr>
          <w:p w14:paraId="12948238">
            <w:pPr>
              <w:adjustRightInd w:val="0"/>
              <w:snapToGrid w:val="0"/>
              <w:spacing w:line="320" w:lineRule="exact"/>
              <w:outlineLvl w:val="1"/>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64F294F3">
            <w:pPr>
              <w:adjustRightInd w:val="0"/>
              <w:snapToGrid w:val="0"/>
              <w:spacing w:line="320" w:lineRule="exact"/>
              <w:outlineLvl w:val="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1.发生质量不合格时的违约承诺。</w:t>
            </w:r>
          </w:p>
          <w:p w14:paraId="017130C7">
            <w:pPr>
              <w:adjustRightInd w:val="0"/>
              <w:snapToGrid w:val="0"/>
              <w:spacing w:line="320" w:lineRule="exact"/>
              <w:outlineLvl w:val="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2.出现工期延误时的违约承诺。</w:t>
            </w:r>
          </w:p>
          <w:p w14:paraId="37B6BA51">
            <w:pPr>
              <w:adjustRightInd w:val="0"/>
              <w:snapToGrid w:val="0"/>
              <w:spacing w:line="320" w:lineRule="exact"/>
              <w:outlineLvl w:val="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3.人员未按照招标文件及投标承诺配置的违约承诺。</w:t>
            </w:r>
          </w:p>
          <w:p w14:paraId="778E2D42">
            <w:pPr>
              <w:adjustRightInd w:val="0"/>
              <w:snapToGrid w:val="0"/>
              <w:spacing w:line="320" w:lineRule="exact"/>
              <w:outlineLvl w:val="1"/>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701A27A2">
            <w:p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考察点满足上述三点得60分，满足任意两点得40分，满足任意一点得20分，未满足不得分。</w:t>
            </w:r>
          </w:p>
          <w:p w14:paraId="46730C90">
            <w:p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在此基础上，专家根据各供应商的具体响应内容按照量化的评审因素指标进一步评审，</w:t>
            </w:r>
          </w:p>
          <w:p w14:paraId="1B5C7798">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1.方案整体科学合理、针对性强、可操作性强，评审为优的，加40分；</w:t>
            </w:r>
          </w:p>
          <w:p w14:paraId="6DEB7487">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2.方案较合理、有一定针对性、一定可操作性，评审为良的，加25分；</w:t>
            </w:r>
          </w:p>
          <w:p w14:paraId="73E9D810">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3.方案不尽合理、针对性一般、可操作性一般，评审为中的，加10分；</w:t>
            </w:r>
          </w:p>
          <w:p w14:paraId="2CAA00A8">
            <w:pPr>
              <w:jc w:val="left"/>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sz w:val="21"/>
                <w:szCs w:val="21"/>
                <w:highlight w:val="none"/>
              </w:rPr>
              <w:t>4.方案不合理、无针对性、无可操作性，评审为差的，加0分。</w:t>
            </w:r>
          </w:p>
        </w:tc>
      </w:tr>
      <w:tr w14:paraId="7ECB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2C9E1537">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3</w:t>
            </w:r>
          </w:p>
        </w:tc>
        <w:tc>
          <w:tcPr>
            <w:tcW w:w="3508" w:type="dxa"/>
            <w:gridSpan w:val="3"/>
            <w:tcBorders>
              <w:tl2br w:val="nil"/>
              <w:tr2bl w:val="nil"/>
            </w:tcBorders>
            <w:vAlign w:val="center"/>
          </w:tcPr>
          <w:p w14:paraId="3BDC59D1">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综合实力部分</w:t>
            </w:r>
          </w:p>
        </w:tc>
        <w:tc>
          <w:tcPr>
            <w:tcW w:w="4856" w:type="dxa"/>
            <w:tcBorders>
              <w:tl2br w:val="nil"/>
              <w:tr2bl w:val="nil"/>
            </w:tcBorders>
          </w:tcPr>
          <w:p w14:paraId="687171AD">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lang w:val="en-US" w:eastAsia="zh-CN"/>
              </w:rPr>
            </w:pPr>
            <w:r>
              <w:rPr>
                <w:rFonts w:hint="eastAsia" w:asciiTheme="minorEastAsia" w:hAnsiTheme="minorEastAsia" w:eastAsiaTheme="minorEastAsia" w:cstheme="minorEastAsia"/>
                <w:b/>
                <w:bCs/>
                <w:color w:val="0000FF"/>
                <w:sz w:val="21"/>
                <w:szCs w:val="21"/>
                <w:highlight w:val="none"/>
                <w:lang w:val="en-US" w:eastAsia="zh-CN"/>
              </w:rPr>
              <w:t>38</w:t>
            </w:r>
          </w:p>
        </w:tc>
      </w:tr>
      <w:tr w14:paraId="015B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69B41B76">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8364" w:type="dxa"/>
            <w:gridSpan w:val="4"/>
            <w:tcBorders>
              <w:tl2br w:val="nil"/>
              <w:tr2bl w:val="nil"/>
            </w:tcBorders>
            <w:vAlign w:val="center"/>
          </w:tcPr>
          <w:p w14:paraId="71F6DD1C">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p>
        </w:tc>
      </w:tr>
      <w:tr w14:paraId="4B34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348C262F">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shd w:val="clear" w:color="auto" w:fill="E6EFFA"/>
            <w:vAlign w:val="center"/>
          </w:tcPr>
          <w:p w14:paraId="6ABC7774">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264" w:type="dxa"/>
            <w:tcBorders>
              <w:tl2br w:val="nil"/>
              <w:tr2bl w:val="nil"/>
            </w:tcBorders>
            <w:shd w:val="clear" w:color="auto" w:fill="E6EFFA"/>
            <w:vAlign w:val="center"/>
          </w:tcPr>
          <w:p w14:paraId="6C9D8587">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评分因素</w:t>
            </w:r>
          </w:p>
        </w:tc>
        <w:tc>
          <w:tcPr>
            <w:tcW w:w="696" w:type="dxa"/>
            <w:tcBorders>
              <w:tl2br w:val="nil"/>
              <w:tr2bl w:val="nil"/>
            </w:tcBorders>
            <w:shd w:val="clear" w:color="auto" w:fill="E6EFFA"/>
            <w:vAlign w:val="center"/>
          </w:tcPr>
          <w:p w14:paraId="64B12723">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权重(%)</w:t>
            </w:r>
          </w:p>
        </w:tc>
        <w:tc>
          <w:tcPr>
            <w:tcW w:w="4856" w:type="dxa"/>
            <w:tcBorders>
              <w:tl2br w:val="nil"/>
              <w:tr2bl w:val="nil"/>
            </w:tcBorders>
            <w:shd w:val="clear" w:color="auto" w:fill="E6EFFA"/>
            <w:vAlign w:val="center"/>
          </w:tcPr>
          <w:p w14:paraId="639CEEE9">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评分准则</w:t>
            </w:r>
          </w:p>
        </w:tc>
      </w:tr>
      <w:tr w14:paraId="55FD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232AA30">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5D7EBEAA">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2264" w:type="dxa"/>
            <w:tcBorders>
              <w:tl2br w:val="nil"/>
              <w:tr2bl w:val="nil"/>
            </w:tcBorders>
            <w:vAlign w:val="center"/>
          </w:tcPr>
          <w:p w14:paraId="5526A01F">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同类项目业绩</w:t>
            </w:r>
          </w:p>
        </w:tc>
        <w:tc>
          <w:tcPr>
            <w:tcW w:w="696" w:type="dxa"/>
            <w:tcBorders>
              <w:tl2br w:val="nil"/>
              <w:tr2bl w:val="nil"/>
            </w:tcBorders>
            <w:vAlign w:val="center"/>
          </w:tcPr>
          <w:p w14:paraId="7F539B77">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15</w:t>
            </w:r>
          </w:p>
        </w:tc>
        <w:tc>
          <w:tcPr>
            <w:tcW w:w="4856" w:type="dxa"/>
            <w:tcBorders>
              <w:tl2br w:val="nil"/>
              <w:tr2bl w:val="nil"/>
            </w:tcBorders>
            <w:vAlign w:val="center"/>
          </w:tcPr>
          <w:p w14:paraId="74B49E44">
            <w:pPr>
              <w:pStyle w:val="18"/>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4D4D26CD">
            <w:pPr>
              <w:pStyle w:val="2"/>
              <w:adjustRightInd w:val="0"/>
              <w:snapToGrid w:val="0"/>
              <w:spacing w:line="320" w:lineRule="exac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lang w:val="en-US" w:eastAsia="zh-CN"/>
              </w:rPr>
              <w:t>投</w:t>
            </w:r>
            <w:r>
              <w:rPr>
                <w:rFonts w:hint="eastAsia" w:asciiTheme="minorEastAsia" w:hAnsiTheme="minorEastAsia" w:eastAsiaTheme="minorEastAsia" w:cstheme="minorEastAsia"/>
                <w:b w:val="0"/>
                <w:bCs w:val="0"/>
                <w:sz w:val="21"/>
                <w:szCs w:val="21"/>
                <w:highlight w:val="none"/>
              </w:rPr>
              <w:t>标人202</w:t>
            </w:r>
            <w:r>
              <w:rPr>
                <w:rFonts w:hint="eastAsia" w:asciiTheme="minorEastAsia" w:hAnsiTheme="minorEastAsia" w:eastAsiaTheme="minorEastAsia" w:cstheme="minorEastAsia"/>
                <w:b w:val="0"/>
                <w:bCs w:val="0"/>
                <w:sz w:val="21"/>
                <w:szCs w:val="21"/>
                <w:highlight w:val="none"/>
                <w:lang w:val="en-US" w:eastAsia="zh-CN"/>
              </w:rPr>
              <w:t>2</w:t>
            </w:r>
            <w:r>
              <w:rPr>
                <w:rFonts w:hint="eastAsia" w:asciiTheme="minorEastAsia" w:hAnsiTheme="minorEastAsia" w:eastAsiaTheme="minorEastAsia" w:cstheme="minorEastAsia"/>
                <w:b w:val="0"/>
                <w:bCs w:val="0"/>
                <w:sz w:val="21"/>
                <w:szCs w:val="21"/>
                <w:highlight w:val="none"/>
              </w:rPr>
              <w:t>年1月1日起至本项目投标截止之日（以合同签订时间为准），承担过国家机关或事业单位委托的物业租赁价格相关评估项目经验的：</w:t>
            </w:r>
          </w:p>
          <w:p w14:paraId="08932F3B">
            <w:pPr>
              <w:pStyle w:val="2"/>
              <w:adjustRightInd w:val="0"/>
              <w:snapToGrid w:val="0"/>
              <w:spacing w:line="320" w:lineRule="exac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1、单个项目建筑面积≥3000㎡，每提供1个得7分；</w:t>
            </w:r>
          </w:p>
          <w:p w14:paraId="10508CE3">
            <w:pPr>
              <w:pStyle w:val="2"/>
              <w:adjustRightInd w:val="0"/>
              <w:snapToGrid w:val="0"/>
              <w:spacing w:line="320" w:lineRule="exac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2、1000㎡≤单个项目建筑面积＜3000㎡的，每提供1个得4分，本项最高可得44分；</w:t>
            </w:r>
          </w:p>
          <w:p w14:paraId="0C2A40ED">
            <w:pPr>
              <w:pStyle w:val="2"/>
              <w:adjustRightInd w:val="0"/>
              <w:snapToGrid w:val="0"/>
              <w:spacing w:line="320" w:lineRule="exac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3、100㎡≤单个项目建筑面积＜1000㎡的，每提供1个得3分，本项最高可得21分。</w:t>
            </w:r>
          </w:p>
          <w:p w14:paraId="287B8A3B">
            <w:pPr>
              <w:pStyle w:val="2"/>
              <w:adjustRightInd w:val="0"/>
              <w:snapToGrid w:val="0"/>
              <w:spacing w:line="320" w:lineRule="exac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以上三项累加计分，最高得100分。（同一项目只计一次分，以最高分计分，同一项目连续续签的不重复计分）。</w:t>
            </w:r>
          </w:p>
          <w:p w14:paraId="52253C99">
            <w:pPr>
              <w:pStyle w:val="2"/>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5740156C">
            <w:pPr>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1.提供合同关键页（包括但不限于合同的项目名称、服务内容、签订日期、合同双方签字盖章页）。</w:t>
            </w:r>
          </w:p>
        </w:tc>
      </w:tr>
      <w:tr w14:paraId="5027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0E95C9FC">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1369DC6B">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p>
        </w:tc>
        <w:tc>
          <w:tcPr>
            <w:tcW w:w="2264" w:type="dxa"/>
            <w:tcBorders>
              <w:tl2br w:val="nil"/>
              <w:tr2bl w:val="nil"/>
            </w:tcBorders>
            <w:vAlign w:val="center"/>
          </w:tcPr>
          <w:p w14:paraId="72415FA2">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履约评价</w:t>
            </w:r>
          </w:p>
        </w:tc>
        <w:tc>
          <w:tcPr>
            <w:tcW w:w="696" w:type="dxa"/>
            <w:tcBorders>
              <w:tl2br w:val="nil"/>
              <w:tr2bl w:val="nil"/>
            </w:tcBorders>
            <w:vAlign w:val="center"/>
          </w:tcPr>
          <w:p w14:paraId="23E6FD2A">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4856" w:type="dxa"/>
            <w:tcBorders>
              <w:tl2br w:val="nil"/>
              <w:tr2bl w:val="nil"/>
            </w:tcBorders>
            <w:vAlign w:val="center"/>
          </w:tcPr>
          <w:p w14:paraId="41E4A622">
            <w:pPr>
              <w:numPr>
                <w:ilvl w:val="0"/>
                <w:numId w:val="0"/>
              </w:numPr>
              <w:jc w:val="lef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2"/>
                <w:sz w:val="21"/>
                <w:szCs w:val="21"/>
                <w:highlight w:val="none"/>
                <w:lang w:val="en-US" w:eastAsia="zh-CN" w:bidi="ar-SA"/>
              </w:rPr>
              <w:t>（一）</w:t>
            </w:r>
            <w:r>
              <w:rPr>
                <w:rFonts w:hint="eastAsia" w:asciiTheme="minorEastAsia" w:hAnsiTheme="minorEastAsia" w:eastAsiaTheme="minorEastAsia" w:cstheme="minorEastAsia"/>
                <w:b/>
                <w:bCs/>
                <w:sz w:val="21"/>
                <w:szCs w:val="21"/>
                <w:highlight w:val="none"/>
              </w:rPr>
              <w:t>评分内容：</w:t>
            </w:r>
          </w:p>
          <w:p w14:paraId="469C09B8">
            <w:pPr>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供应商在上述“有效业绩”评审项中参加评审并被认定有效的业绩，能够提供用户出具的履约评价书，且评价为优或者满意</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或同等最高评价</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的，</w:t>
            </w:r>
            <w:r>
              <w:rPr>
                <w:rFonts w:hint="eastAsia" w:asciiTheme="minorEastAsia" w:hAnsiTheme="minorEastAsia" w:eastAsiaTheme="minorEastAsia" w:cstheme="minorEastAsia"/>
                <w:sz w:val="21"/>
                <w:szCs w:val="21"/>
                <w:highlight w:val="none"/>
                <w:lang w:val="en-US" w:eastAsia="zh-CN"/>
              </w:rPr>
              <w:t>每个项目</w:t>
            </w:r>
            <w:r>
              <w:rPr>
                <w:rFonts w:hint="eastAsia" w:asciiTheme="minorEastAsia" w:hAnsiTheme="minorEastAsia" w:eastAsiaTheme="minorEastAsia" w:cstheme="minorEastAsia"/>
                <w:sz w:val="21"/>
                <w:szCs w:val="21"/>
                <w:highlight w:val="none"/>
              </w:rPr>
              <w:t>得</w:t>
            </w: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分，其他情况得0分；最高得</w:t>
            </w:r>
            <w:r>
              <w:rPr>
                <w:rFonts w:hint="eastAsia" w:asciiTheme="minorEastAsia" w:hAnsiTheme="minorEastAsia" w:eastAsiaTheme="minorEastAsia" w:cstheme="minorEastAsia"/>
                <w:kern w:val="0"/>
                <w:sz w:val="21"/>
                <w:szCs w:val="21"/>
                <w:highlight w:val="none"/>
                <w:u w:val="single"/>
              </w:rPr>
              <w:t>100</w:t>
            </w:r>
            <w:r>
              <w:rPr>
                <w:rFonts w:hint="eastAsia" w:asciiTheme="minorEastAsia" w:hAnsiTheme="minorEastAsia" w:eastAsiaTheme="minorEastAsia" w:cstheme="minorEastAsia"/>
                <w:sz w:val="21"/>
                <w:szCs w:val="21"/>
                <w:highlight w:val="none"/>
              </w:rPr>
              <w:t>分。</w:t>
            </w:r>
          </w:p>
          <w:p w14:paraId="2DA1F6D0">
            <w:p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不提供或者不能有效证明的，得0分。</w:t>
            </w:r>
          </w:p>
          <w:p w14:paraId="0DB96302">
            <w:pPr>
              <w:pStyle w:val="2"/>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37BCC76E">
            <w:p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须提供用户出具的履约评价书扫描件（评价书需有甲方公章或业务章） 。</w:t>
            </w:r>
          </w:p>
        </w:tc>
      </w:tr>
      <w:tr w14:paraId="2A09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0EA26168">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0CAC5A22">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2264" w:type="dxa"/>
            <w:tcBorders>
              <w:tl2br w:val="nil"/>
              <w:tr2bl w:val="nil"/>
            </w:tcBorders>
            <w:vAlign w:val="center"/>
          </w:tcPr>
          <w:p w14:paraId="6C397809">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认证情况</w:t>
            </w:r>
          </w:p>
        </w:tc>
        <w:tc>
          <w:tcPr>
            <w:tcW w:w="696" w:type="dxa"/>
            <w:tcBorders>
              <w:tl2br w:val="nil"/>
              <w:tr2bl w:val="nil"/>
            </w:tcBorders>
            <w:vAlign w:val="center"/>
          </w:tcPr>
          <w:p w14:paraId="049BA10A">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4856" w:type="dxa"/>
            <w:tcBorders>
              <w:tl2br w:val="nil"/>
              <w:tr2bl w:val="nil"/>
            </w:tcBorders>
            <w:vAlign w:val="center"/>
          </w:tcPr>
          <w:p w14:paraId="27EBBFF5">
            <w:pPr>
              <w:numPr>
                <w:ilvl w:val="0"/>
                <w:numId w:val="0"/>
              </w:numPr>
              <w:jc w:val="lef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2"/>
                <w:sz w:val="21"/>
                <w:szCs w:val="21"/>
                <w:highlight w:val="none"/>
                <w:lang w:val="en-US" w:eastAsia="zh-CN" w:bidi="ar-SA"/>
              </w:rPr>
              <w:t>（一）</w:t>
            </w:r>
            <w:r>
              <w:rPr>
                <w:rFonts w:hint="eastAsia" w:asciiTheme="minorEastAsia" w:hAnsiTheme="minorEastAsia" w:eastAsiaTheme="minorEastAsia" w:cstheme="minorEastAsia"/>
                <w:b/>
                <w:bCs/>
                <w:sz w:val="21"/>
                <w:szCs w:val="21"/>
                <w:highlight w:val="none"/>
              </w:rPr>
              <w:t>评分内容：</w:t>
            </w:r>
          </w:p>
          <w:p w14:paraId="2F084A14">
            <w:pPr>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1.</w:t>
            </w:r>
            <w:r>
              <w:rPr>
                <w:rFonts w:hint="eastAsia" w:asciiTheme="minorEastAsia" w:hAnsiTheme="minorEastAsia" w:eastAsiaTheme="minorEastAsia" w:cstheme="minorEastAsia"/>
                <w:sz w:val="21"/>
                <w:szCs w:val="21"/>
                <w:highlight w:val="none"/>
              </w:rPr>
              <w:t>省级或以上住房和城乡建设厅颁发的房地产估价机构备案证书且备案等级为</w:t>
            </w:r>
            <w:r>
              <w:rPr>
                <w:rFonts w:hint="eastAsia" w:asciiTheme="minorEastAsia" w:hAnsiTheme="minorEastAsia" w:eastAsiaTheme="minorEastAsia" w:cstheme="minorEastAsia"/>
                <w:sz w:val="21"/>
                <w:szCs w:val="21"/>
                <w:highlight w:val="none"/>
                <w:lang w:val="en-US" w:eastAsia="zh-CN"/>
              </w:rPr>
              <w:t>一</w:t>
            </w:r>
            <w:r>
              <w:rPr>
                <w:rFonts w:hint="eastAsia" w:asciiTheme="minorEastAsia" w:hAnsiTheme="minorEastAsia" w:eastAsiaTheme="minorEastAsia" w:cstheme="minorEastAsia"/>
                <w:sz w:val="21"/>
                <w:szCs w:val="21"/>
                <w:highlight w:val="none"/>
              </w:rPr>
              <w:t>级的，得</w:t>
            </w:r>
            <w:r>
              <w:rPr>
                <w:rFonts w:hint="eastAsia" w:asciiTheme="minorEastAsia" w:hAnsiTheme="minorEastAsia" w:eastAsiaTheme="minorEastAsia" w:cstheme="minorEastAsia"/>
                <w:sz w:val="21"/>
                <w:szCs w:val="21"/>
                <w:highlight w:val="none"/>
                <w:lang w:val="en-US" w:eastAsia="zh-CN"/>
              </w:rPr>
              <w:t>40</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p>
          <w:p w14:paraId="63EEB376">
            <w:pPr>
              <w:numPr>
                <w:ilvl w:val="-1"/>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省级或以上住房和城乡建设厅颁发的房地产估价机构备案证书且备案等级为</w:t>
            </w:r>
            <w:r>
              <w:rPr>
                <w:rFonts w:hint="eastAsia" w:asciiTheme="minorEastAsia" w:hAnsiTheme="minorEastAsia" w:eastAsiaTheme="minorEastAsia" w:cstheme="minorEastAsia"/>
                <w:sz w:val="21"/>
                <w:szCs w:val="21"/>
                <w:highlight w:val="none"/>
                <w:lang w:val="en-US" w:eastAsia="zh-CN"/>
              </w:rPr>
              <w:t>二</w:t>
            </w:r>
            <w:r>
              <w:rPr>
                <w:rFonts w:hint="eastAsia" w:asciiTheme="minorEastAsia" w:hAnsiTheme="minorEastAsia" w:eastAsiaTheme="minorEastAsia" w:cstheme="minorEastAsia"/>
                <w:sz w:val="21"/>
                <w:szCs w:val="21"/>
                <w:highlight w:val="none"/>
              </w:rPr>
              <w:t>级的，得</w:t>
            </w: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p>
          <w:p w14:paraId="0338C043">
            <w:pPr>
              <w:numPr>
                <w:ilvl w:val="-1"/>
                <w:numId w:val="0"/>
              </w:numPr>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省级或以上住房和城乡建设厅颁发的房地产估价机构备案证书且备案等级为</w:t>
            </w:r>
            <w:r>
              <w:rPr>
                <w:rFonts w:hint="eastAsia" w:asciiTheme="minorEastAsia" w:hAnsiTheme="minorEastAsia" w:eastAsiaTheme="minorEastAsia" w:cstheme="minorEastAsia"/>
                <w:sz w:val="21"/>
                <w:szCs w:val="21"/>
                <w:highlight w:val="none"/>
                <w:lang w:val="en-US" w:eastAsia="zh-CN"/>
              </w:rPr>
              <w:t>三</w:t>
            </w:r>
            <w:r>
              <w:rPr>
                <w:rFonts w:hint="eastAsia" w:asciiTheme="minorEastAsia" w:hAnsiTheme="minorEastAsia" w:eastAsiaTheme="minorEastAsia" w:cstheme="minorEastAsia"/>
                <w:sz w:val="21"/>
                <w:szCs w:val="21"/>
                <w:highlight w:val="none"/>
              </w:rPr>
              <w:t>级的，得</w:t>
            </w: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p>
          <w:p w14:paraId="31C2000F">
            <w:pPr>
              <w:numPr>
                <w:ilvl w:val="-1"/>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同一证书不可重复得分，按最优情况计分。</w:t>
            </w:r>
          </w:p>
          <w:p w14:paraId="7A456807">
            <w:p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2.具有省级（或以上）相关行业协会颁发的土地估价机构信用等级证书，且等级为一级的，得</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分，其他不得分；</w:t>
            </w:r>
          </w:p>
          <w:p w14:paraId="3CA28985">
            <w:p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3.在财政部门进行过资产评估机构备案的得30分。</w:t>
            </w:r>
          </w:p>
          <w:p w14:paraId="5D392600">
            <w:p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以上累计计分，最高得100分，其它情况不得分。</w:t>
            </w:r>
          </w:p>
          <w:p w14:paraId="4AB25185">
            <w:pPr>
              <w:pStyle w:val="2"/>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440BC64C">
            <w:pPr>
              <w:ind w:firstLine="105" w:firstLineChars="50"/>
              <w:jc w:val="lef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lang w:val="en-US" w:eastAsia="zh-CN"/>
              </w:rPr>
              <w:t>1.</w:t>
            </w:r>
            <w:r>
              <w:rPr>
                <w:rFonts w:hint="eastAsia" w:asciiTheme="minorEastAsia" w:hAnsiTheme="minorEastAsia" w:eastAsiaTheme="minorEastAsia" w:cstheme="minorEastAsia"/>
                <w:b w:val="0"/>
                <w:bCs w:val="0"/>
                <w:sz w:val="21"/>
                <w:szCs w:val="21"/>
                <w:highlight w:val="none"/>
              </w:rPr>
              <w:t>提供有效期内房地产估价机构备案证书扫描件；</w:t>
            </w:r>
          </w:p>
          <w:p w14:paraId="636FA1D7">
            <w:pPr>
              <w:ind w:firstLine="105" w:firstLineChars="50"/>
              <w:jc w:val="lef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lang w:val="en-US" w:eastAsia="zh-CN"/>
              </w:rPr>
              <w:t>2.</w:t>
            </w:r>
            <w:r>
              <w:rPr>
                <w:rFonts w:hint="eastAsia" w:asciiTheme="minorEastAsia" w:hAnsiTheme="minorEastAsia" w:eastAsiaTheme="minorEastAsia" w:cstheme="minorEastAsia"/>
                <w:b w:val="0"/>
                <w:bCs w:val="0"/>
                <w:sz w:val="21"/>
                <w:szCs w:val="21"/>
                <w:highlight w:val="none"/>
              </w:rPr>
              <w:t>提供土地评估中介机构信用等级证书扫描件；若由行业协会(机构）颁发的证书，还需提供该协会(机构）在“中国社会组织政务服务平台（https://chinanpo.mca.gov.cn/）”的已合法登记且状态正常截图，或该协会(机构）由政府部门或行政事业单位审批的证明文件扫描件，否则不予认可，视为无效证书；</w:t>
            </w:r>
          </w:p>
          <w:p w14:paraId="757F938E">
            <w:pPr>
              <w:ind w:firstLine="105" w:firstLineChars="50"/>
              <w:jc w:val="lef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lang w:val="en-US" w:eastAsia="zh-CN"/>
              </w:rPr>
              <w:t>3.</w:t>
            </w:r>
            <w:r>
              <w:rPr>
                <w:rFonts w:hint="eastAsia" w:asciiTheme="minorEastAsia" w:hAnsiTheme="minorEastAsia" w:eastAsiaTheme="minorEastAsia" w:cstheme="minorEastAsia"/>
                <w:b w:val="0"/>
                <w:bCs w:val="0"/>
                <w:sz w:val="21"/>
                <w:szCs w:val="21"/>
                <w:highlight w:val="none"/>
              </w:rPr>
              <w:t>提供资产评估备案证明材料扫描件，及财政部门或中国资产评估协会官方网站查询截图；</w:t>
            </w:r>
          </w:p>
          <w:p w14:paraId="088D89B3">
            <w:pPr>
              <w:ind w:firstLine="105" w:firstLineChars="5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bCs w:val="0"/>
                <w:sz w:val="21"/>
                <w:szCs w:val="21"/>
                <w:highlight w:val="none"/>
                <w:lang w:val="en-US" w:eastAsia="zh-CN"/>
              </w:rPr>
              <w:t>4.</w:t>
            </w:r>
            <w:r>
              <w:rPr>
                <w:rFonts w:hint="eastAsia" w:asciiTheme="minorEastAsia" w:hAnsiTheme="minorEastAsia" w:eastAsiaTheme="minorEastAsia" w:cstheme="minorEastAsia"/>
                <w:b w:val="0"/>
                <w:bCs w:val="0"/>
                <w:sz w:val="21"/>
                <w:szCs w:val="21"/>
                <w:highlight w:val="none"/>
              </w:rPr>
              <w:t>评分中出现无证明资料或专家无法凭所提供资料判断是否得分的情况，一律作不得分处理。</w:t>
            </w:r>
          </w:p>
        </w:tc>
      </w:tr>
      <w:tr w14:paraId="1E02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56" w:hRule="atLeast"/>
          <w:tblCellSpacing w:w="0" w:type="dxa"/>
        </w:trPr>
        <w:tc>
          <w:tcPr>
            <w:tcW w:w="685" w:type="dxa"/>
            <w:vMerge w:val="continue"/>
            <w:tcBorders>
              <w:tl2br w:val="nil"/>
              <w:tr2bl w:val="nil"/>
            </w:tcBorders>
            <w:vAlign w:val="center"/>
          </w:tcPr>
          <w:p w14:paraId="693AE200">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64F94C1C">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2264" w:type="dxa"/>
            <w:tcBorders>
              <w:tl2br w:val="nil"/>
              <w:tr2bl w:val="nil"/>
            </w:tcBorders>
            <w:vAlign w:val="center"/>
          </w:tcPr>
          <w:p w14:paraId="0B466353">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获奖情况</w:t>
            </w:r>
          </w:p>
        </w:tc>
        <w:tc>
          <w:tcPr>
            <w:tcW w:w="696" w:type="dxa"/>
            <w:tcBorders>
              <w:tl2br w:val="nil"/>
              <w:tr2bl w:val="nil"/>
            </w:tcBorders>
            <w:vAlign w:val="center"/>
          </w:tcPr>
          <w:p w14:paraId="454DB66E">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4856" w:type="dxa"/>
            <w:tcBorders>
              <w:tl2br w:val="nil"/>
              <w:tr2bl w:val="nil"/>
            </w:tcBorders>
            <w:vAlign w:val="center"/>
          </w:tcPr>
          <w:p w14:paraId="380E7577">
            <w:pPr>
              <w:ind w:firstLine="105" w:firstLineChars="50"/>
              <w:jc w:val="lef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54E192F2">
            <w:p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投标人在中国房地产估价师网（www.cirea.org.cn）</w:t>
            </w:r>
          </w:p>
          <w:p w14:paraId="7E31842C">
            <w:p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公布的2022</w:t>
            </w:r>
            <w:r>
              <w:rPr>
                <w:rFonts w:hint="eastAsia" w:asciiTheme="minorEastAsia" w:hAnsiTheme="minorEastAsia" w:eastAsiaTheme="minorEastAsia" w:cstheme="minorEastAsia"/>
                <w:sz w:val="21"/>
                <w:szCs w:val="21"/>
                <w:highlight w:val="none"/>
                <w:lang w:val="en-US" w:eastAsia="zh-CN"/>
              </w:rPr>
              <w:t>-2025任意一</w:t>
            </w:r>
            <w:r>
              <w:rPr>
                <w:rFonts w:hint="eastAsia" w:asciiTheme="minorEastAsia" w:hAnsiTheme="minorEastAsia" w:eastAsiaTheme="minorEastAsia" w:cstheme="minorEastAsia"/>
                <w:sz w:val="21"/>
                <w:szCs w:val="21"/>
                <w:highlight w:val="none"/>
              </w:rPr>
              <w:t>年度全国一级房地产估价机构综合排名前</w:t>
            </w: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名（含第10名）的得100分，综合排名</w:t>
            </w:r>
            <w:r>
              <w:rPr>
                <w:rFonts w:hint="eastAsia" w:asciiTheme="minorEastAsia" w:hAnsiTheme="minorEastAsia" w:eastAsiaTheme="minorEastAsia" w:cstheme="minorEastAsia"/>
                <w:sz w:val="21"/>
                <w:szCs w:val="21"/>
                <w:highlight w:val="none"/>
                <w:lang w:val="en-US" w:eastAsia="zh-CN"/>
              </w:rPr>
              <w:t>10-30</w:t>
            </w:r>
            <w:r>
              <w:rPr>
                <w:rFonts w:hint="eastAsia" w:asciiTheme="minorEastAsia" w:hAnsiTheme="minorEastAsia" w:eastAsiaTheme="minorEastAsia" w:cstheme="minorEastAsia"/>
                <w:sz w:val="21"/>
                <w:szCs w:val="21"/>
                <w:highlight w:val="none"/>
              </w:rPr>
              <w:t>名(含第</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0名)得</w:t>
            </w:r>
            <w:r>
              <w:rPr>
                <w:rFonts w:hint="eastAsia" w:asciiTheme="minorEastAsia" w:hAnsiTheme="minorEastAsia" w:eastAsiaTheme="minorEastAsia" w:cstheme="minorEastAsia"/>
                <w:sz w:val="21"/>
                <w:szCs w:val="21"/>
                <w:highlight w:val="none"/>
                <w:lang w:val="en-US" w:eastAsia="zh-CN"/>
              </w:rPr>
              <w:t>60</w:t>
            </w:r>
            <w:r>
              <w:rPr>
                <w:rFonts w:hint="eastAsia" w:asciiTheme="minorEastAsia" w:hAnsiTheme="minorEastAsia" w:eastAsiaTheme="minorEastAsia" w:cstheme="minorEastAsia"/>
                <w:sz w:val="21"/>
                <w:szCs w:val="21"/>
                <w:highlight w:val="none"/>
              </w:rPr>
              <w:t>分；排名</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-50名（含第50名）得20分，其他情况不得分。本项最高得100分，其它情况不得分。</w:t>
            </w:r>
          </w:p>
          <w:p w14:paraId="5122A2F9">
            <w:pPr>
              <w:ind w:firstLine="105" w:firstLineChars="50"/>
              <w:jc w:val="lef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（二）评分标准：</w:t>
            </w:r>
          </w:p>
          <w:p w14:paraId="1CE1236B">
            <w:pPr>
              <w:ind w:firstLine="105" w:firstLineChars="5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提供中国房地产估价师网站(http://www.cirea.org.cn/)截图或其他证明材料。</w:t>
            </w:r>
          </w:p>
        </w:tc>
      </w:tr>
      <w:tr w14:paraId="1648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43387A5A">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52058E9C">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2264" w:type="dxa"/>
            <w:tcBorders>
              <w:tl2br w:val="nil"/>
              <w:tr2bl w:val="nil"/>
            </w:tcBorders>
            <w:vAlign w:val="center"/>
          </w:tcPr>
          <w:p w14:paraId="39A9103F">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自主知识产权产品（创新、设计）情况</w:t>
            </w:r>
          </w:p>
        </w:tc>
        <w:tc>
          <w:tcPr>
            <w:tcW w:w="696" w:type="dxa"/>
            <w:tcBorders>
              <w:tl2br w:val="nil"/>
              <w:tr2bl w:val="nil"/>
            </w:tcBorders>
            <w:vAlign w:val="center"/>
          </w:tcPr>
          <w:p w14:paraId="337DFC4D">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4856" w:type="dxa"/>
            <w:tcBorders>
              <w:tl2br w:val="nil"/>
              <w:tr2bl w:val="nil"/>
            </w:tcBorders>
            <w:vAlign w:val="top"/>
          </w:tcPr>
          <w:p w14:paraId="6FE9BD5D">
            <w:pPr>
              <w:pStyle w:val="18"/>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268E42EC">
            <w:pPr>
              <w:pStyle w:val="18"/>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考察投标人在</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房地产估价类</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或</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数据采集类</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或“信息查勘类”或“收费管理类”或“报告生成类”或“楼盘字典类”或“评估知识管理类”或“租金批量评估类”</w:t>
            </w:r>
            <w:r>
              <w:rPr>
                <w:rFonts w:hint="eastAsia" w:asciiTheme="minorEastAsia" w:hAnsiTheme="minorEastAsia" w:eastAsiaTheme="minorEastAsia" w:cstheme="minorEastAsia"/>
                <w:sz w:val="21"/>
                <w:szCs w:val="21"/>
                <w:highlight w:val="none"/>
              </w:rPr>
              <w:t>评估管理软件类著作权证书，每提供1项得</w:t>
            </w: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分，最多得100分。</w:t>
            </w:r>
          </w:p>
          <w:p w14:paraId="0749A10A">
            <w:pPr>
              <w:pStyle w:val="18"/>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176C2A1E">
            <w:pPr>
              <w:pStyle w:val="18"/>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1.提供计算机软件著作权登记证书（著作权人须为投标人）；【或提供专利证书（著作权人须为投标人）】；</w:t>
            </w:r>
          </w:p>
          <w:p w14:paraId="57A74A84">
            <w:pPr>
              <w:pStyle w:val="18"/>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2.提供购买或租赁的计算机软件著作权登记证书（著作权人须为出售/出租方）和购买合同（或租赁合同）；【或提供购买或租赁的专利证书（著作权人须为出售/出租方）和购买合同（或租赁合同）】；</w:t>
            </w:r>
          </w:p>
          <w:p w14:paraId="0322BBC9">
            <w:pPr>
              <w:adjustRightInd w:val="0"/>
              <w:snapToGrid w:val="0"/>
              <w:spacing w:after="160" w:line="320" w:lineRule="exact"/>
              <w:jc w:val="left"/>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sz w:val="21"/>
                <w:szCs w:val="21"/>
                <w:highlight w:val="none"/>
              </w:rPr>
              <w:t>3.评分中出现无证明资料或专家无法凭所提供资料判断是否得分的情况，一律作不得分处理。</w:t>
            </w:r>
          </w:p>
        </w:tc>
      </w:tr>
      <w:tr w14:paraId="3847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51D65AF9">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4D0A3D38">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p>
        </w:tc>
        <w:tc>
          <w:tcPr>
            <w:tcW w:w="2264" w:type="dxa"/>
            <w:tcBorders>
              <w:tl2br w:val="nil"/>
              <w:tr2bl w:val="nil"/>
            </w:tcBorders>
            <w:vAlign w:val="center"/>
          </w:tcPr>
          <w:p w14:paraId="7D8ED17D">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服务网点</w:t>
            </w:r>
          </w:p>
        </w:tc>
        <w:tc>
          <w:tcPr>
            <w:tcW w:w="696" w:type="dxa"/>
            <w:tcBorders>
              <w:tl2br w:val="nil"/>
              <w:tr2bl w:val="nil"/>
            </w:tcBorders>
            <w:vAlign w:val="center"/>
          </w:tcPr>
          <w:p w14:paraId="443928C8">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4856" w:type="dxa"/>
            <w:tcBorders>
              <w:tl2br w:val="nil"/>
              <w:tr2bl w:val="nil"/>
            </w:tcBorders>
          </w:tcPr>
          <w:p w14:paraId="1E2F3EF4">
            <w:pPr>
              <w:adjustRightInd w:val="0"/>
              <w:snapToGrid w:val="0"/>
              <w:spacing w:line="320" w:lineRule="exact"/>
              <w:outlineLvl w:val="1"/>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0E3734B4">
            <w:pPr>
              <w:adjustRightInd w:val="0"/>
              <w:snapToGrid w:val="0"/>
              <w:spacing w:line="320" w:lineRule="exact"/>
              <w:outlineLvl w:val="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供应商承诺中标后提供本地（深圳市）服务网点的，得100分。</w:t>
            </w:r>
          </w:p>
          <w:p w14:paraId="439C8F56">
            <w:pPr>
              <w:adjustRightInd w:val="0"/>
              <w:snapToGrid w:val="0"/>
              <w:spacing w:line="320" w:lineRule="exact"/>
              <w:outlineLvl w:val="1"/>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3FB90ECA">
            <w:pPr>
              <w:adjustRightInd w:val="0"/>
              <w:snapToGrid w:val="0"/>
              <w:spacing w:after="160"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要求提供承诺函（格式见招标文件第四章-投标文件附件-服务网点-承诺函）作为得分依据，未按招标文件要求提供承诺函的不得分。</w:t>
            </w:r>
          </w:p>
        </w:tc>
      </w:tr>
      <w:tr w14:paraId="5B4A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3645F10A">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4</w:t>
            </w:r>
          </w:p>
        </w:tc>
        <w:tc>
          <w:tcPr>
            <w:tcW w:w="3508" w:type="dxa"/>
            <w:gridSpan w:val="3"/>
            <w:tcBorders>
              <w:tl2br w:val="nil"/>
              <w:tr2bl w:val="nil"/>
            </w:tcBorders>
            <w:vAlign w:val="center"/>
          </w:tcPr>
          <w:p w14:paraId="73095C62">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诚信情况</w:t>
            </w:r>
          </w:p>
        </w:tc>
        <w:tc>
          <w:tcPr>
            <w:tcW w:w="4856" w:type="dxa"/>
            <w:tcBorders>
              <w:tl2br w:val="nil"/>
              <w:tr2bl w:val="nil"/>
            </w:tcBorders>
          </w:tcPr>
          <w:p w14:paraId="027D2D44">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5</w:t>
            </w:r>
          </w:p>
        </w:tc>
      </w:tr>
      <w:tr w14:paraId="4C5B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01B57A05">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8364" w:type="dxa"/>
            <w:gridSpan w:val="4"/>
            <w:tcBorders>
              <w:tl2br w:val="nil"/>
              <w:tr2bl w:val="nil"/>
            </w:tcBorders>
            <w:vAlign w:val="center"/>
          </w:tcPr>
          <w:p w14:paraId="6F377ACB">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p>
        </w:tc>
      </w:tr>
      <w:tr w14:paraId="10ED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094549C3">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shd w:val="clear" w:color="auto" w:fill="E6EFFA"/>
            <w:vAlign w:val="center"/>
          </w:tcPr>
          <w:p w14:paraId="67A487C7">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264" w:type="dxa"/>
            <w:tcBorders>
              <w:tl2br w:val="nil"/>
              <w:tr2bl w:val="nil"/>
            </w:tcBorders>
            <w:shd w:val="clear" w:color="auto" w:fill="E6EFFA"/>
            <w:vAlign w:val="center"/>
          </w:tcPr>
          <w:p w14:paraId="3549E89B">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评分因素</w:t>
            </w:r>
          </w:p>
        </w:tc>
        <w:tc>
          <w:tcPr>
            <w:tcW w:w="696" w:type="dxa"/>
            <w:tcBorders>
              <w:tl2br w:val="nil"/>
              <w:tr2bl w:val="nil"/>
            </w:tcBorders>
            <w:shd w:val="clear" w:color="auto" w:fill="E6EFFA"/>
            <w:vAlign w:val="center"/>
          </w:tcPr>
          <w:p w14:paraId="4325E54F">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权重(%)</w:t>
            </w:r>
          </w:p>
        </w:tc>
        <w:tc>
          <w:tcPr>
            <w:tcW w:w="4856" w:type="dxa"/>
            <w:tcBorders>
              <w:tl2br w:val="nil"/>
              <w:tr2bl w:val="nil"/>
            </w:tcBorders>
            <w:shd w:val="clear" w:color="auto" w:fill="E6EFFA"/>
            <w:vAlign w:val="center"/>
          </w:tcPr>
          <w:p w14:paraId="3AD498F4">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评分准则</w:t>
            </w:r>
          </w:p>
        </w:tc>
      </w:tr>
      <w:tr w14:paraId="20F8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07EE6471">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bookmarkStart w:id="97" w:name="_GoBack" w:colFirst="4" w:colLast="4"/>
          </w:p>
        </w:tc>
        <w:tc>
          <w:tcPr>
            <w:tcW w:w="548" w:type="dxa"/>
            <w:tcBorders>
              <w:tl2br w:val="nil"/>
              <w:tr2bl w:val="nil"/>
            </w:tcBorders>
            <w:vAlign w:val="center"/>
          </w:tcPr>
          <w:p w14:paraId="7BC77C1D">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2264" w:type="dxa"/>
            <w:tcBorders>
              <w:tl2br w:val="nil"/>
              <w:tr2bl w:val="nil"/>
            </w:tcBorders>
            <w:vAlign w:val="center"/>
          </w:tcPr>
          <w:p w14:paraId="2653158E">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诚信情况</w:t>
            </w:r>
          </w:p>
        </w:tc>
        <w:tc>
          <w:tcPr>
            <w:tcW w:w="696" w:type="dxa"/>
            <w:tcBorders>
              <w:tl2br w:val="nil"/>
              <w:tr2bl w:val="nil"/>
            </w:tcBorders>
            <w:vAlign w:val="center"/>
          </w:tcPr>
          <w:p w14:paraId="7243105E">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4856" w:type="dxa"/>
            <w:tcBorders>
              <w:tl2br w:val="nil"/>
              <w:tr2bl w:val="nil"/>
            </w:tcBorders>
          </w:tcPr>
          <w:p w14:paraId="3C8B1575">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5685455C">
            <w:pPr>
              <w:wordWrap w:val="0"/>
              <w:adjustRightInd w:val="0"/>
              <w:snapToGrid w:val="0"/>
              <w:spacing w:line="320" w:lineRule="exact"/>
              <w:rPr>
                <w:rFonts w:hint="eastAsia" w:asciiTheme="minorEastAsia" w:hAnsiTheme="minorEastAsia" w:eastAsiaTheme="minorEastAsia" w:cstheme="minorEastAsia"/>
                <w:sz w:val="21"/>
                <w:szCs w:val="21"/>
                <w:highlight w:val="none"/>
              </w:rPr>
            </w:pPr>
          </w:p>
          <w:p w14:paraId="11EDFD4A">
            <w:pPr>
              <w:wordWrap w:val="0"/>
              <w:adjustRightInd w:val="0"/>
              <w:snapToGrid w:val="0"/>
              <w:spacing w:line="320" w:lineRule="exact"/>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sz w:val="21"/>
                <w:szCs w:val="21"/>
                <w:highlight w:val="none"/>
              </w:rPr>
              <w:t>查询渠道具体包括“信用中国”（www.creditchina.gov.cn）、“中国政府采购网”（www.ccgp.gov.cn）”以及“深圳市政府采购监管网”（http://zfcg.sz.gov.cn）为供应商信用信息的查询渠道，相关信息以开标当日的查询结果为准。</w:t>
            </w:r>
          </w:p>
        </w:tc>
      </w:tr>
      <w:bookmarkEnd w:id="97"/>
      <w:tr w14:paraId="491B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F668880">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8364" w:type="dxa"/>
            <w:gridSpan w:val="4"/>
            <w:tcBorders>
              <w:tl2br w:val="nil"/>
              <w:tr2bl w:val="nil"/>
            </w:tcBorders>
          </w:tcPr>
          <w:p w14:paraId="60C1793C">
            <w:pPr>
              <w:wordWrap w:val="0"/>
              <w:adjustRightInd w:val="0"/>
              <w:snapToGrid w:val="0"/>
              <w:spacing w:line="320" w:lineRule="exact"/>
              <w:rPr>
                <w:rFonts w:hint="eastAsia" w:asciiTheme="minorEastAsia" w:hAnsiTheme="minorEastAsia" w:eastAsiaTheme="minorEastAsia" w:cstheme="minorEastAsia"/>
                <w:sz w:val="21"/>
                <w:szCs w:val="21"/>
                <w:highlight w:val="none"/>
              </w:rPr>
            </w:pPr>
          </w:p>
        </w:tc>
      </w:tr>
    </w:tbl>
    <w:p w14:paraId="6DC0C8D8">
      <w:pPr>
        <w:rPr>
          <w:highlight w:val="none"/>
        </w:rPr>
        <w:sectPr>
          <w:pgSz w:w="11907" w:h="16840"/>
          <w:pgMar w:top="1440" w:right="1417" w:bottom="1440" w:left="1417" w:header="851" w:footer="992" w:gutter="0"/>
          <w:cols w:space="425" w:num="1"/>
          <w:titlePg/>
          <w:docGrid w:linePitch="462" w:charSpace="0"/>
        </w:sectPr>
      </w:pPr>
    </w:p>
    <w:p w14:paraId="10EC495E">
      <w:pPr>
        <w:jc w:val="center"/>
        <w:rPr>
          <w:rFonts w:hint="eastAsia"/>
          <w:b/>
          <w:sz w:val="120"/>
          <w:szCs w:val="120"/>
          <w:highlight w:val="none"/>
        </w:rPr>
      </w:pPr>
    </w:p>
    <w:p w14:paraId="70FB97A3">
      <w:pPr>
        <w:jc w:val="center"/>
        <w:rPr>
          <w:rFonts w:hint="eastAsia"/>
          <w:b/>
          <w:sz w:val="120"/>
          <w:szCs w:val="120"/>
          <w:highlight w:val="none"/>
        </w:rPr>
      </w:pPr>
    </w:p>
    <w:p w14:paraId="4F926494">
      <w:pPr>
        <w:jc w:val="center"/>
        <w:rPr>
          <w:rFonts w:hint="eastAsia"/>
          <w:b/>
          <w:sz w:val="120"/>
          <w:szCs w:val="120"/>
          <w:highlight w:val="none"/>
        </w:rPr>
      </w:pPr>
    </w:p>
    <w:p w14:paraId="33B51C35">
      <w:pPr>
        <w:jc w:val="center"/>
        <w:rPr>
          <w:b/>
          <w:sz w:val="120"/>
          <w:szCs w:val="120"/>
          <w:highlight w:val="none"/>
        </w:rPr>
      </w:pPr>
      <w:r>
        <w:rPr>
          <w:rFonts w:hint="eastAsia"/>
          <w:b/>
          <w:sz w:val="120"/>
          <w:szCs w:val="120"/>
          <w:highlight w:val="none"/>
        </w:rPr>
        <w:t>政府采购</w:t>
      </w:r>
    </w:p>
    <w:p w14:paraId="08F47F23">
      <w:pPr>
        <w:jc w:val="center"/>
        <w:rPr>
          <w:b/>
          <w:sz w:val="120"/>
          <w:szCs w:val="120"/>
          <w:highlight w:val="none"/>
        </w:rPr>
      </w:pPr>
      <w:r>
        <w:rPr>
          <w:rFonts w:hint="eastAsia"/>
          <w:b/>
          <w:sz w:val="120"/>
          <w:szCs w:val="120"/>
          <w:highlight w:val="none"/>
        </w:rPr>
        <w:t>招标文件</w:t>
      </w:r>
    </w:p>
    <w:p w14:paraId="6AC281A3">
      <w:pPr>
        <w:jc w:val="center"/>
        <w:rPr>
          <w:b/>
          <w:sz w:val="52"/>
          <w:szCs w:val="52"/>
          <w:highlight w:val="none"/>
        </w:rPr>
      </w:pPr>
      <w:r>
        <w:rPr>
          <w:rFonts w:hint="eastAsia"/>
          <w:b/>
          <w:sz w:val="52"/>
          <w:szCs w:val="52"/>
          <w:highlight w:val="none"/>
        </w:rPr>
        <w:t>（服务类）</w:t>
      </w:r>
    </w:p>
    <w:p w14:paraId="289FAED2">
      <w:pPr>
        <w:jc w:val="center"/>
        <w:rPr>
          <w:b/>
          <w:sz w:val="44"/>
          <w:szCs w:val="44"/>
          <w:highlight w:val="none"/>
        </w:rPr>
      </w:pPr>
    </w:p>
    <w:p w14:paraId="28630849">
      <w:pPr>
        <w:jc w:val="center"/>
        <w:rPr>
          <w:b/>
          <w:sz w:val="44"/>
          <w:szCs w:val="44"/>
          <w:highlight w:val="none"/>
        </w:rPr>
      </w:pPr>
    </w:p>
    <w:p w14:paraId="23D9893C">
      <w:pPr>
        <w:jc w:val="center"/>
        <w:rPr>
          <w:b/>
          <w:sz w:val="44"/>
          <w:szCs w:val="44"/>
          <w:highlight w:val="none"/>
        </w:rPr>
      </w:pPr>
    </w:p>
    <w:p w14:paraId="5DA4E1B2">
      <w:pPr>
        <w:jc w:val="center"/>
        <w:rPr>
          <w:b/>
          <w:sz w:val="44"/>
          <w:szCs w:val="44"/>
          <w:highlight w:val="none"/>
        </w:rPr>
      </w:pPr>
    </w:p>
    <w:p w14:paraId="5167D4B5">
      <w:pPr>
        <w:jc w:val="center"/>
        <w:rPr>
          <w:b/>
          <w:sz w:val="44"/>
          <w:szCs w:val="44"/>
          <w:highlight w:val="none"/>
        </w:rPr>
      </w:pPr>
    </w:p>
    <w:p w14:paraId="1BE3BA1E">
      <w:pPr>
        <w:jc w:val="center"/>
        <w:rPr>
          <w:b/>
          <w:sz w:val="44"/>
          <w:szCs w:val="44"/>
          <w:highlight w:val="none"/>
        </w:rPr>
      </w:pPr>
    </w:p>
    <w:p w14:paraId="73EB08E2">
      <w:pPr>
        <w:jc w:val="center"/>
        <w:rPr>
          <w:b/>
          <w:sz w:val="44"/>
          <w:szCs w:val="44"/>
          <w:highlight w:val="none"/>
        </w:rPr>
      </w:pPr>
    </w:p>
    <w:p w14:paraId="15D708DE">
      <w:pPr>
        <w:jc w:val="center"/>
        <w:rPr>
          <w:b/>
          <w:sz w:val="44"/>
          <w:szCs w:val="44"/>
          <w:highlight w:val="none"/>
        </w:rPr>
      </w:pPr>
    </w:p>
    <w:p w14:paraId="74A10FA8">
      <w:pPr>
        <w:jc w:val="center"/>
        <w:rPr>
          <w:b/>
          <w:sz w:val="44"/>
          <w:szCs w:val="44"/>
          <w:highlight w:val="none"/>
        </w:rPr>
      </w:pPr>
      <w:bookmarkStart w:id="0" w:name="_Hlk71465316"/>
      <w:r>
        <w:rPr>
          <w:rFonts w:hint="eastAsia"/>
          <w:b/>
          <w:sz w:val="44"/>
          <w:szCs w:val="44"/>
          <w:highlight w:val="none"/>
        </w:rPr>
        <w:t>深圳公共资源交易中心</w:t>
      </w:r>
    </w:p>
    <w:p w14:paraId="031DD7C3">
      <w:pPr>
        <w:jc w:val="center"/>
        <w:rPr>
          <w:sz w:val="28"/>
          <w:szCs w:val="28"/>
          <w:highlight w:val="none"/>
        </w:rPr>
      </w:pPr>
      <w:r>
        <w:rPr>
          <w:rFonts w:hint="eastAsia"/>
          <w:b/>
          <w:sz w:val="28"/>
          <w:szCs w:val="28"/>
          <w:highlight w:val="none"/>
        </w:rPr>
        <w:t>（</w:t>
      </w:r>
      <w:r>
        <w:rPr>
          <w:b/>
          <w:sz w:val="28"/>
          <w:szCs w:val="28"/>
          <w:highlight w:val="none"/>
        </w:rPr>
        <w:t>20</w:t>
      </w:r>
      <w:r>
        <w:rPr>
          <w:rFonts w:hint="eastAsia"/>
          <w:b/>
          <w:sz w:val="28"/>
          <w:szCs w:val="28"/>
          <w:highlight w:val="none"/>
        </w:rPr>
        <w:t>2</w:t>
      </w:r>
      <w:r>
        <w:rPr>
          <w:rFonts w:hint="eastAsia"/>
          <w:b/>
          <w:sz w:val="28"/>
          <w:szCs w:val="28"/>
          <w:highlight w:val="none"/>
          <w:lang w:val="en-US" w:eastAsia="zh-CN"/>
        </w:rPr>
        <w:t>5</w:t>
      </w:r>
      <w:r>
        <w:rPr>
          <w:rFonts w:hint="eastAsia"/>
          <w:b/>
          <w:sz w:val="28"/>
          <w:szCs w:val="28"/>
          <w:highlight w:val="none"/>
        </w:rPr>
        <w:t>）</w:t>
      </w:r>
      <w:bookmarkEnd w:id="0"/>
    </w:p>
    <w:p w14:paraId="4C6ADA60">
      <w:pPr>
        <w:ind w:firstLine="420" w:firstLineChars="200"/>
        <w:rPr>
          <w:rFonts w:hint="eastAsia"/>
          <w:highlight w:val="none"/>
        </w:rPr>
      </w:pPr>
      <w:r>
        <w:rPr>
          <w:rFonts w:hint="eastAsia"/>
          <w:highlight w:val="none"/>
        </w:rPr>
        <w:br w:type="page"/>
      </w:r>
    </w:p>
    <w:p w14:paraId="643F30D5">
      <w:pPr>
        <w:pStyle w:val="4"/>
        <w:rPr>
          <w:highlight w:val="none"/>
        </w:rPr>
      </w:pPr>
      <w:r>
        <w:rPr>
          <w:rFonts w:hint="eastAsia"/>
          <w:highlight w:val="none"/>
        </w:rPr>
        <w:t>目   录</w:t>
      </w:r>
    </w:p>
    <w:p w14:paraId="4A1FABE3">
      <w:pPr>
        <w:outlineLvl w:val="0"/>
        <w:rPr>
          <w:b/>
          <w:sz w:val="24"/>
          <w:highlight w:val="none"/>
        </w:rPr>
      </w:pPr>
      <w:r>
        <w:rPr>
          <w:rFonts w:hint="eastAsia"/>
          <w:b/>
          <w:sz w:val="24"/>
          <w:highlight w:val="none"/>
        </w:rPr>
        <w:t>第一册  专用条款</w:t>
      </w:r>
    </w:p>
    <w:p w14:paraId="7AB23C6E">
      <w:pPr>
        <w:ind w:firstLine="960" w:firstLineChars="400"/>
        <w:rPr>
          <w:sz w:val="24"/>
          <w:highlight w:val="none"/>
        </w:rPr>
      </w:pPr>
      <w:r>
        <w:rPr>
          <w:rFonts w:hint="eastAsia"/>
          <w:sz w:val="24"/>
          <w:highlight w:val="none"/>
        </w:rPr>
        <w:t>关键信息</w:t>
      </w:r>
    </w:p>
    <w:p w14:paraId="59287673">
      <w:pPr>
        <w:ind w:left="630" w:leftChars="300" w:firstLine="630" w:firstLineChars="300"/>
        <w:rPr>
          <w:rFonts w:ascii="宋体" w:hAnsi="宋体"/>
          <w:szCs w:val="21"/>
          <w:highlight w:val="none"/>
        </w:rPr>
      </w:pPr>
      <w:r>
        <w:rPr>
          <w:rFonts w:hint="eastAsia" w:ascii="宋体" w:hAnsi="宋体"/>
          <w:szCs w:val="21"/>
          <w:highlight w:val="none"/>
        </w:rPr>
        <w:t>第一章  招标公告</w:t>
      </w:r>
    </w:p>
    <w:p w14:paraId="300FFF68">
      <w:pPr>
        <w:ind w:left="630" w:leftChars="300" w:firstLine="630" w:firstLineChars="300"/>
        <w:rPr>
          <w:rFonts w:ascii="宋体" w:hAnsi="宋体"/>
          <w:szCs w:val="21"/>
          <w:highlight w:val="none"/>
        </w:rPr>
      </w:pPr>
      <w:r>
        <w:rPr>
          <w:rFonts w:hint="eastAsia" w:ascii="宋体" w:hAnsi="宋体"/>
          <w:szCs w:val="21"/>
          <w:highlight w:val="none"/>
        </w:rPr>
        <w:t xml:space="preserve">第二章  </w:t>
      </w:r>
      <w:bookmarkStart w:id="1" w:name="_Hlk71994379"/>
      <w:r>
        <w:rPr>
          <w:rFonts w:hint="eastAsia" w:ascii="宋体" w:hAnsi="宋体"/>
          <w:szCs w:val="21"/>
          <w:highlight w:val="none"/>
        </w:rPr>
        <w:t>对通用条款的补充内容及其他关键信息</w:t>
      </w:r>
      <w:bookmarkEnd w:id="1"/>
    </w:p>
    <w:p w14:paraId="0886E87E">
      <w:pPr>
        <w:ind w:left="630" w:leftChars="300" w:firstLine="630" w:firstLineChars="300"/>
        <w:rPr>
          <w:rFonts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14:paraId="6C48DA84">
      <w:pPr>
        <w:ind w:left="630" w:leftChars="300" w:firstLine="630" w:firstLineChars="300"/>
        <w:rPr>
          <w:rFonts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14:paraId="3DA9B845">
      <w:pPr>
        <w:ind w:left="630" w:leftChars="300" w:firstLine="630" w:firstLineChars="300"/>
        <w:rPr>
          <w:rFonts w:ascii="宋体" w:hAnsi="宋体"/>
          <w:szCs w:val="21"/>
          <w:highlight w:val="none"/>
        </w:rPr>
      </w:pPr>
      <w:r>
        <w:rPr>
          <w:rFonts w:hint="eastAsia" w:ascii="宋体" w:hAnsi="宋体"/>
          <w:szCs w:val="21"/>
          <w:highlight w:val="none"/>
        </w:rPr>
        <w:t>第五章  合同条款及格式</w:t>
      </w:r>
    </w:p>
    <w:p w14:paraId="40F59A2C">
      <w:pPr>
        <w:rPr>
          <w:b/>
          <w:sz w:val="24"/>
          <w:highlight w:val="none"/>
        </w:rPr>
      </w:pPr>
    </w:p>
    <w:p w14:paraId="54EA1578">
      <w:pPr>
        <w:outlineLvl w:val="0"/>
        <w:rPr>
          <w:b/>
          <w:sz w:val="24"/>
          <w:highlight w:val="none"/>
        </w:rPr>
      </w:pPr>
      <w:r>
        <w:rPr>
          <w:rFonts w:hint="eastAsia"/>
          <w:b/>
          <w:sz w:val="24"/>
          <w:highlight w:val="none"/>
        </w:rPr>
        <w:t>第二册  通用条款</w:t>
      </w:r>
    </w:p>
    <w:p w14:paraId="123479EF">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6F95D4E2">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6481D1EF">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0D726CDD">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5FE3B187">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48A83D42">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1BD9C6C1">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31D1BF10">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4964130F">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2C243DBA">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4D6E177E">
      <w:pPr>
        <w:ind w:firstLine="1050" w:firstLineChars="500"/>
        <w:outlineLvl w:val="0"/>
        <w:rPr>
          <w:b/>
          <w:sz w:val="24"/>
          <w:highlight w:val="none"/>
        </w:rPr>
      </w:pPr>
      <w:r>
        <w:rPr>
          <w:rFonts w:hint="eastAsia" w:ascii="宋体" w:hAnsi="宋体"/>
          <w:szCs w:val="21"/>
          <w:highlight w:val="none"/>
        </w:rPr>
        <w:t>第十一章  质疑处理</w:t>
      </w:r>
    </w:p>
    <w:p w14:paraId="66EFAEB1">
      <w:pPr>
        <w:spacing w:line="360" w:lineRule="auto"/>
        <w:ind w:firstLine="420" w:firstLineChars="200"/>
        <w:jc w:val="left"/>
        <w:rPr>
          <w:rFonts w:ascii="宋体" w:hAnsi="宋体"/>
          <w:szCs w:val="21"/>
          <w:highlight w:val="none"/>
        </w:rPr>
      </w:pPr>
    </w:p>
    <w:p w14:paraId="2999FD90">
      <w:pPr>
        <w:pStyle w:val="4"/>
        <w:rPr>
          <w:sz w:val="24"/>
          <w:highlight w:val="none"/>
        </w:rPr>
      </w:pPr>
      <w:r>
        <w:rPr>
          <w:highlight w:val="none"/>
        </w:rPr>
        <w:br w:type="page"/>
      </w:r>
      <w:bookmarkStart w:id="2" w:name="bt投标文件签署授权委托书"/>
      <w:bookmarkEnd w:id="2"/>
      <w:bookmarkStart w:id="3" w:name="bt投标函"/>
      <w:bookmarkEnd w:id="3"/>
      <w:bookmarkStart w:id="4" w:name="bt合同格式"/>
      <w:bookmarkEnd w:id="4"/>
      <w:bookmarkStart w:id="5" w:name="bt其他资料由投标人自定"/>
      <w:bookmarkEnd w:id="5"/>
      <w:bookmarkStart w:id="6" w:name="bt项目管理班子配备情况"/>
      <w:bookmarkEnd w:id="6"/>
      <w:bookmarkStart w:id="7" w:name="bt说明"/>
      <w:bookmarkEnd w:id="7"/>
      <w:bookmarkStart w:id="8" w:name="合同格式"/>
      <w:bookmarkEnd w:id="8"/>
      <w:bookmarkStart w:id="9" w:name="bt合同条款"/>
      <w:bookmarkEnd w:id="9"/>
      <w:bookmarkStart w:id="10" w:name="bt本工程承诺书"/>
      <w:bookmarkEnd w:id="10"/>
      <w:bookmarkStart w:id="11" w:name="bt开标一览表"/>
      <w:bookmarkEnd w:id="11"/>
      <w:bookmarkStart w:id="12" w:name="bt投标人情况介绍"/>
      <w:bookmarkEnd w:id="12"/>
      <w:bookmarkStart w:id="13" w:name="bt技术标投标文件格式"/>
      <w:bookmarkEnd w:id="13"/>
      <w:bookmarkStart w:id="14" w:name="bt商务标投标文件格式"/>
      <w:bookmarkEnd w:id="14"/>
      <w:bookmarkStart w:id="15" w:name="bt投标报价汇总表"/>
      <w:bookmarkEnd w:id="15"/>
      <w:bookmarkStart w:id="16" w:name="bt合同条款及格式"/>
      <w:bookmarkEnd w:id="16"/>
      <w:bookmarkStart w:id="17" w:name="bt其他资料2"/>
      <w:bookmarkEnd w:id="17"/>
      <w:bookmarkStart w:id="18" w:name="bt投标人须知"/>
      <w:bookmarkEnd w:id="18"/>
      <w:r>
        <w:rPr>
          <w:rFonts w:hint="eastAsia"/>
          <w:highlight w:val="none"/>
        </w:rPr>
        <w:t>第一册</w:t>
      </w:r>
      <w:r>
        <w:rPr>
          <w:rFonts w:hint="eastAsia"/>
          <w:highlight w:val="none"/>
          <w:lang w:val="en-US" w:eastAsia="zh-CN"/>
        </w:rPr>
        <w:t xml:space="preserve">  </w:t>
      </w:r>
      <w:r>
        <w:rPr>
          <w:rFonts w:hint="eastAsia"/>
          <w:highlight w:val="none"/>
        </w:rPr>
        <w:t>专用条款</w:t>
      </w:r>
    </w:p>
    <w:p w14:paraId="45C9F3AF">
      <w:pPr>
        <w:pStyle w:val="7"/>
        <w:rPr>
          <w:rFonts w:hint="eastAsia"/>
          <w:sz w:val="28"/>
          <w:szCs w:val="28"/>
          <w:highlight w:val="none"/>
        </w:rPr>
      </w:pPr>
      <w:r>
        <w:rPr>
          <w:rFonts w:hint="eastAsia"/>
          <w:sz w:val="28"/>
          <w:szCs w:val="28"/>
          <w:highlight w:val="none"/>
        </w:rPr>
        <w:t>第一章  招标公告</w:t>
      </w:r>
    </w:p>
    <w:tbl>
      <w:tblPr>
        <w:tblStyle w:val="42"/>
        <w:tblW w:w="8147" w:type="dxa"/>
        <w:jc w:val="center"/>
        <w:tblCellSpacing w:w="0" w:type="dxa"/>
        <w:tblLayout w:type="fixed"/>
        <w:tblCellMar>
          <w:top w:w="0" w:type="dxa"/>
          <w:left w:w="0" w:type="dxa"/>
          <w:bottom w:w="0" w:type="dxa"/>
          <w:right w:w="0" w:type="dxa"/>
        </w:tblCellMar>
      </w:tblPr>
      <w:tblGrid>
        <w:gridCol w:w="8147"/>
      </w:tblGrid>
      <w:tr w14:paraId="4F934204">
        <w:tblPrEx>
          <w:tblCellMar>
            <w:top w:w="0" w:type="dxa"/>
            <w:left w:w="0" w:type="dxa"/>
            <w:bottom w:w="0" w:type="dxa"/>
            <w:right w:w="0" w:type="dxa"/>
          </w:tblCellMar>
        </w:tblPrEx>
        <w:trPr>
          <w:tblCellSpacing w:w="0" w:type="dxa"/>
          <w:jc w:val="center"/>
        </w:trPr>
        <w:tc>
          <w:tcPr>
            <w:tcW w:w="8147" w:type="dxa"/>
            <w:vAlign w:val="center"/>
          </w:tcPr>
          <w:tbl>
            <w:tblPr>
              <w:tblStyle w:val="42"/>
              <w:tblW w:w="8147" w:type="dxa"/>
              <w:jc w:val="center"/>
              <w:tblCellSpacing w:w="0" w:type="dxa"/>
              <w:tblLayout w:type="fixed"/>
              <w:tblCellMar>
                <w:top w:w="30" w:type="dxa"/>
                <w:left w:w="30" w:type="dxa"/>
                <w:bottom w:w="30" w:type="dxa"/>
                <w:right w:w="30" w:type="dxa"/>
              </w:tblCellMar>
            </w:tblPr>
            <w:tblGrid>
              <w:gridCol w:w="8147"/>
            </w:tblGrid>
            <w:tr w14:paraId="74F90D29">
              <w:trPr>
                <w:tblCellSpacing w:w="0" w:type="dxa"/>
                <w:jc w:val="center"/>
              </w:trPr>
              <w:tc>
                <w:tcPr>
                  <w:tcW w:w="8147" w:type="dxa"/>
                </w:tcPr>
                <w:p w14:paraId="62BFAEA8">
                  <w:pPr>
                    <w:spacing w:line="360" w:lineRule="auto"/>
                    <w:rPr>
                      <w:rFonts w:ascii="宋体" w:hAnsi="宋体" w:cs="宋体"/>
                      <w:b/>
                      <w:bCs/>
                      <w:kern w:val="0"/>
                      <w:szCs w:val="21"/>
                      <w:highlight w:val="none"/>
                    </w:rPr>
                  </w:pPr>
                  <w:r>
                    <w:rPr>
                      <w:rFonts w:hint="eastAsia" w:ascii="宋体" w:hAnsi="宋体" w:cs="宋体"/>
                      <w:b/>
                      <w:bCs/>
                      <w:kern w:val="0"/>
                      <w:szCs w:val="21"/>
                      <w:highlight w:val="none"/>
                    </w:rPr>
                    <w:t>申请人的资格要求：</w:t>
                  </w:r>
                </w:p>
                <w:p w14:paraId="6E8D89F8">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1.投标人具有以下其中一项资质：</w:t>
                  </w:r>
                </w:p>
                <w:p w14:paraId="34E8CFDE">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（1）具有独立法人资格或是具有独立承担民事责任能力的其它组织（提供营业执照或事业单位法人证书等证明资料扫描件）；</w:t>
                  </w:r>
                </w:p>
                <w:p w14:paraId="529ACEAC">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2）总公司或者分公司只允许一家投标，不允许同时参与本项目投标，以分公司名义参与投标的，须提供总公司出具的愿为其参与本项目投标的行为以及履约等行为承担民事责任的加盖总公司公章的授权函，以及提供总、分公司的营业执照扫描件；</w:t>
                  </w:r>
                </w:p>
                <w:p w14:paraId="6A9A83BB">
                  <w:pPr>
                    <w:ind w:firstLine="630" w:firstLineChars="300"/>
                    <w:rPr>
                      <w:rFonts w:ascii="宋体" w:hAnsi="宋体" w:cs="宋体"/>
                      <w:kern w:val="0"/>
                      <w:szCs w:val="21"/>
                      <w:highlight w:val="none"/>
                    </w:rPr>
                  </w:pPr>
                  <w:r>
                    <w:rPr>
                      <w:rFonts w:hint="eastAsia" w:ascii="宋体" w:hAnsi="宋体" w:cs="宋体"/>
                      <w:color w:val="FF0000"/>
                      <w:kern w:val="0"/>
                      <w:szCs w:val="21"/>
                      <w:highlight w:val="none"/>
                    </w:rPr>
                    <w:t>2.本项目不接受联合体投标</w:t>
                  </w:r>
                  <w:r>
                    <w:rPr>
                      <w:rFonts w:hint="eastAsia" w:ascii="宋体" w:hAnsi="宋体" w:cs="宋体"/>
                      <w:color w:val="FF0000"/>
                      <w:kern w:val="0"/>
                      <w:szCs w:val="21"/>
                      <w:highlight w:val="none"/>
                      <w:lang w:val="en-US" w:eastAsia="zh-CN"/>
                    </w:rPr>
                    <w:t>，</w:t>
                  </w:r>
                  <w:r>
                    <w:rPr>
                      <w:rFonts w:hint="eastAsia" w:ascii="宋体" w:hAnsi="宋体" w:cs="宋体"/>
                      <w:color w:val="FF0000"/>
                      <w:kern w:val="0"/>
                      <w:szCs w:val="21"/>
                      <w:highlight w:val="none"/>
                    </w:rPr>
                    <w:t>不接受投标人选用进口产品参与投标，详见招标文件</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第三章 用户需求书</w:t>
                  </w:r>
                  <w:r>
                    <w:rPr>
                      <w:rFonts w:hint="eastAsia" w:ascii="宋体" w:hAnsi="宋体" w:cs="宋体"/>
                      <w:color w:val="FF0000"/>
                      <w:kern w:val="0"/>
                      <w:szCs w:val="21"/>
                      <w:highlight w:val="none"/>
                    </w:rPr>
                    <w:t>”；</w:t>
                  </w:r>
                </w:p>
                <w:p w14:paraId="639730EC">
                  <w:pPr>
                    <w:ind w:firstLine="630" w:firstLineChars="300"/>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w:t>
                  </w:r>
                  <w:r>
                    <w:rPr>
                      <w:rFonts w:hint="eastAsia" w:ascii="宋体" w:hAnsi="宋体" w:cs="宋体"/>
                      <w:kern w:val="0"/>
                      <w:szCs w:val="21"/>
                      <w:highlight w:val="none"/>
                    </w:rPr>
                    <w:t>参与本项目政府采购活动时不存在被有关部门禁止参与政府采购活动且在有效期内的情况（由供应商在《政府采购投标及履约承诺函》中作出声明）；</w:t>
                  </w:r>
                </w:p>
                <w:p w14:paraId="285D45CA">
                  <w:pPr>
                    <w:ind w:firstLine="630" w:firstLineChars="300"/>
                    <w:rPr>
                      <w:rFonts w:ascii="宋体" w:hAnsi="宋体" w:cs="宋体"/>
                      <w:kern w:val="0"/>
                      <w:szCs w:val="21"/>
                      <w:highlight w:val="none"/>
                    </w:rPr>
                  </w:pPr>
                  <w:r>
                    <w:rPr>
                      <w:rFonts w:hint="eastAsia" w:ascii="宋体" w:hAnsi="宋体" w:cs="宋体"/>
                      <w:kern w:val="0"/>
                      <w:szCs w:val="21"/>
                      <w:highlight w:val="none"/>
                      <w:lang w:val="en-US" w:eastAsia="zh-CN"/>
                    </w:rPr>
                    <w:t>4</w:t>
                  </w:r>
                  <w:r>
                    <w:rPr>
                      <w:rFonts w:ascii="宋体" w:hAnsi="宋体" w:cs="宋体"/>
                      <w:kern w:val="0"/>
                      <w:szCs w:val="21"/>
                      <w:highlight w:val="none"/>
                    </w:rPr>
                    <w:t>.</w:t>
                  </w:r>
                  <w:r>
                    <w:rPr>
                      <w:rFonts w:hint="eastAsia" w:ascii="宋体" w:hAnsi="宋体" w:cs="宋体"/>
                      <w:kern w:val="0"/>
                      <w:szCs w:val="21"/>
                      <w:highlight w:val="none"/>
                    </w:rPr>
                    <w:t>具备《中华人民共和国政府采购法》第二十二条第一款的条件（由供应商在《政府采购投标及履约承诺函》中作出声明）；</w:t>
                  </w:r>
                </w:p>
                <w:p w14:paraId="73A53BA0">
                  <w:pPr>
                    <w:ind w:firstLine="630" w:firstLineChars="3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5</w:t>
                  </w:r>
                  <w:r>
                    <w:rPr>
                      <w:rFonts w:ascii="宋体" w:hAnsi="宋体" w:cs="宋体"/>
                      <w:kern w:val="0"/>
                      <w:szCs w:val="21"/>
                      <w:highlight w:val="none"/>
                    </w:rPr>
                    <w:t>.</w:t>
                  </w:r>
                  <w:r>
                    <w:rPr>
                      <w:rFonts w:hint="eastAsia" w:ascii="宋体" w:hAnsi="宋体" w:cs="宋体"/>
                      <w:kern w:val="0"/>
                      <w:szCs w:val="21"/>
                      <w:highlight w:val="none"/>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highlight w:val="none"/>
                      <w:lang w:val="en-US" w:eastAsia="zh-CN"/>
                    </w:rPr>
                    <w:t>；</w:t>
                  </w:r>
                </w:p>
                <w:p w14:paraId="5C6EF480">
                  <w:pPr>
                    <w:ind w:firstLine="630" w:firstLineChars="300"/>
                    <w:rPr>
                      <w:rFonts w:hint="default"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6.不存在《深圳市财政局政府采购供应商信用信息管理办法》（深财规〔2023〕3号）列明的严重违法失信行为</w:t>
                  </w:r>
                  <w:r>
                    <w:rPr>
                      <w:rFonts w:hint="eastAsia" w:ascii="宋体" w:hAnsi="宋体" w:cs="宋体"/>
                      <w:color w:val="FF0000"/>
                      <w:kern w:val="0"/>
                      <w:szCs w:val="21"/>
                      <w:highlight w:val="none"/>
                    </w:rPr>
                    <w:t>（由供应商在《政府采购投标及履约承诺函》中作出声明）</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w:t>
                  </w:r>
                </w:p>
                <w:p w14:paraId="26EB0360">
                  <w:pPr>
                    <w:ind w:firstLine="630" w:firstLineChars="3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7</w:t>
                  </w:r>
                  <w:r>
                    <w:rPr>
                      <w:rFonts w:hint="eastAsia" w:ascii="宋体" w:hAnsi="宋体" w:cs="宋体"/>
                      <w:kern w:val="0"/>
                      <w:szCs w:val="21"/>
                      <w:highlight w:val="none"/>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highlight w:val="none"/>
                      <w:lang w:val="en-US" w:eastAsia="zh-CN"/>
                    </w:rPr>
                    <w:t>；</w:t>
                  </w:r>
                </w:p>
                <w:p w14:paraId="24C998E8">
                  <w:pPr>
                    <w:pStyle w:val="50"/>
                    <w:ind w:firstLine="420" w:firstLineChars="200"/>
                    <w:rPr>
                      <w:rFonts w:hint="default"/>
                      <w:highlight w:val="none"/>
                      <w:lang w:val="en-US" w:eastAsia="zh-CN"/>
                    </w:rPr>
                  </w:pPr>
                  <w:r>
                    <w:rPr>
                      <w:rFonts w:hint="eastAsia" w:ascii="宋体" w:hAnsi="宋体" w:eastAsia="宋体" w:cs="宋体"/>
                      <w:color w:val="FF0000"/>
                      <w:kern w:val="0"/>
                      <w:sz w:val="21"/>
                      <w:szCs w:val="21"/>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73293BB8">
                  <w:pPr>
                    <w:ind w:firstLine="420" w:firstLineChars="200"/>
                    <w:rPr>
                      <w:rFonts w:hint="eastAsia" w:ascii="宋体" w:hAnsi="宋体" w:cs="宋体"/>
                      <w:kern w:val="0"/>
                      <w:szCs w:val="21"/>
                      <w:highlight w:val="none"/>
                      <w:lang w:eastAsia="zh-CN"/>
                    </w:rPr>
                  </w:pPr>
                  <w:r>
                    <w:rPr>
                      <w:rFonts w:hint="eastAsia" w:ascii="宋体" w:hAnsi="宋体" w:cs="宋体"/>
                      <w:kern w:val="0"/>
                      <w:szCs w:val="21"/>
                      <w:highlight w:val="none"/>
                      <w:lang w:val="en-US" w:eastAsia="zh-CN"/>
                    </w:rPr>
                    <w:t>9.</w:t>
                  </w:r>
                  <w:r>
                    <w:rPr>
                      <w:rFonts w:hint="eastAsia" w:ascii="宋体" w:hAnsi="宋体" w:cs="宋体"/>
                      <w:kern w:val="0"/>
                      <w:szCs w:val="21"/>
                      <w:highlight w:val="none"/>
                    </w:rPr>
                    <w:t>本项目</w:t>
                  </w:r>
                  <w:r>
                    <w:rPr>
                      <w:rFonts w:hint="eastAsia" w:ascii="宋体" w:hAnsi="宋体" w:cs="宋体"/>
                      <w:kern w:val="0"/>
                      <w:szCs w:val="21"/>
                      <w:highlight w:val="none"/>
                      <w:lang w:val="en-US" w:eastAsia="zh-CN"/>
                    </w:rPr>
                    <w:t>全部</w:t>
                  </w:r>
                  <w:r>
                    <w:rPr>
                      <w:rFonts w:hint="eastAsia" w:ascii="宋体" w:hAnsi="宋体" w:cs="宋体"/>
                      <w:kern w:val="0"/>
                      <w:szCs w:val="21"/>
                      <w:highlight w:val="none"/>
                    </w:rPr>
                    <w:t>专门面向中小企业采购：否</w:t>
                  </w:r>
                  <w:r>
                    <w:rPr>
                      <w:rFonts w:hint="eastAsia" w:ascii="宋体" w:hAnsi="宋体" w:cs="宋体"/>
                      <w:kern w:val="0"/>
                      <w:szCs w:val="21"/>
                      <w:highlight w:val="none"/>
                      <w:lang w:eastAsia="zh-CN"/>
                    </w:rPr>
                    <w:t>。</w:t>
                  </w:r>
                </w:p>
                <w:p w14:paraId="0BA77117">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default" w:ascii="宋体" w:hAnsi="宋体" w:eastAsia="宋体" w:cs="宋体"/>
                      <w:kern w:val="0"/>
                      <w:szCs w:val="21"/>
                      <w:highlight w:val="none"/>
                      <w:lang w:val="en-US" w:eastAsia="zh-CN"/>
                    </w:rPr>
                  </w:pPr>
                </w:p>
                <w:p w14:paraId="2D6BDA4A">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注：（1）“信用中国”（www.creditchina.gov.cn</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查询</w:t>
                  </w:r>
                  <w:r>
                    <w:rPr>
                      <w:rFonts w:hint="eastAsia" w:ascii="宋体" w:hAnsi="宋体" w:cs="宋体"/>
                      <w:kern w:val="0"/>
                      <w:szCs w:val="21"/>
                      <w:highlight w:val="none"/>
                    </w:rPr>
                    <w:t>“信用服务”栏的“重大税收违法失信主体”“失信被执行人”</w:t>
                  </w:r>
                  <w:r>
                    <w:rPr>
                      <w:rFonts w:hint="eastAsia" w:ascii="宋体" w:hAnsi="宋体" w:cs="宋体"/>
                      <w:kern w:val="0"/>
                      <w:szCs w:val="21"/>
                      <w:highlight w:val="none"/>
                      <w:lang w:val="en-US" w:eastAsia="zh-CN"/>
                    </w:rPr>
                    <w:t>或者下载信用信息报告）</w:t>
                  </w:r>
                  <w:r>
                    <w:rPr>
                      <w:rFonts w:hint="eastAsia" w:ascii="宋体" w:hAnsi="宋体" w:cs="宋体"/>
                      <w:kern w:val="0"/>
                      <w:szCs w:val="21"/>
                      <w:highlight w:val="none"/>
                    </w:rPr>
                    <w:t>，“中国政府采购网”（www.ccgp.gov.cn）中的“政府采购严重违法失信行为记录名单”，以及“深圳市政府采购监管网”（http://zfcg.sz.gov.cn）为供应商信用信息的查询渠道，相关信息以开标当日的查询结果为准；</w:t>
                  </w:r>
                </w:p>
                <w:p w14:paraId="48745169">
                  <w:pPr>
                    <w:ind w:firstLine="420" w:firstLineChars="200"/>
                    <w:rPr>
                      <w:rFonts w:ascii="宋体" w:hAnsi="宋体"/>
                      <w:highlight w:val="none"/>
                    </w:rPr>
                  </w:pPr>
                  <w:r>
                    <w:rPr>
                      <w:rFonts w:hint="eastAsia" w:ascii="宋体" w:hAnsi="宋体"/>
                      <w:highlight w:val="none"/>
                    </w:rPr>
                    <w:t>（2）供应商投标（上传投标文件）必须先行办理注册手续。</w:t>
                  </w:r>
                </w:p>
                <w:p w14:paraId="4E09456E">
                  <w:pPr>
                    <w:spacing w:beforeAutospacing="1" w:afterAutospacing="1"/>
                    <w:ind w:firstLine="442" w:firstLineChars="200"/>
                    <w:rPr>
                      <w:rFonts w:ascii="宋体" w:hAnsi="宋体" w:cs="宋体"/>
                      <w:sz w:val="24"/>
                      <w:highlight w:val="none"/>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tc>
            </w:tr>
          </w:tbl>
          <w:p w14:paraId="5C1AE659">
            <w:pPr>
              <w:rPr>
                <w:rFonts w:ascii="宋体" w:hAnsi="宋体" w:cs="宋体"/>
                <w:sz w:val="24"/>
                <w:highlight w:val="none"/>
              </w:rPr>
            </w:pPr>
          </w:p>
        </w:tc>
      </w:tr>
    </w:tbl>
    <w:p w14:paraId="4D51685A">
      <w:pPr>
        <w:rPr>
          <w:highlight w:val="none"/>
        </w:rPr>
      </w:pPr>
      <w:r>
        <w:rPr>
          <w:rFonts w:hint="eastAsia"/>
          <w:highlight w:val="none"/>
        </w:rPr>
        <w:br w:type="page"/>
      </w:r>
    </w:p>
    <w:p w14:paraId="5636AFFC">
      <w:pPr>
        <w:pStyle w:val="7"/>
        <w:rPr>
          <w:sz w:val="28"/>
          <w:szCs w:val="28"/>
          <w:highlight w:val="none"/>
        </w:rPr>
      </w:pPr>
      <w:r>
        <w:rPr>
          <w:rFonts w:hint="eastAsia"/>
          <w:sz w:val="28"/>
          <w:szCs w:val="28"/>
          <w:highlight w:val="none"/>
        </w:rPr>
        <w:t>第二章 对通用条款的补充内容及其他关键信息</w:t>
      </w:r>
    </w:p>
    <w:p w14:paraId="26F34869">
      <w:pPr>
        <w:pStyle w:val="7"/>
        <w:spacing w:before="120" w:beforeLines="50" w:after="120" w:afterLines="50"/>
        <w:rPr>
          <w:rFonts w:hint="eastAsia"/>
          <w:szCs w:val="21"/>
          <w:highlight w:val="none"/>
        </w:rPr>
      </w:pPr>
      <w:bookmarkStart w:id="19" w:name="_Toc60560625"/>
      <w:bookmarkStart w:id="20" w:name="_Toc73517639"/>
      <w:bookmarkStart w:id="21" w:name="_Toc73521547"/>
      <w:bookmarkStart w:id="22" w:name="_Toc73521635"/>
      <w:bookmarkStart w:id="23" w:name="_Toc73518117"/>
      <w:bookmarkStart w:id="24" w:name="_Toc101074876"/>
      <w:bookmarkStart w:id="25" w:name="_Toc100052364"/>
      <w:bookmarkStart w:id="26" w:name="_Toc60631620"/>
      <w:r>
        <w:rPr>
          <w:rFonts w:hint="eastAsia"/>
          <w:szCs w:val="24"/>
          <w:highlight w:val="none"/>
        </w:rPr>
        <w:t>一、对通用条款的补充内容</w:t>
      </w:r>
      <w:bookmarkEnd w:id="19"/>
      <w:bookmarkEnd w:id="20"/>
      <w:bookmarkEnd w:id="21"/>
      <w:bookmarkEnd w:id="22"/>
      <w:bookmarkEnd w:id="23"/>
      <w:bookmarkEnd w:id="24"/>
      <w:bookmarkEnd w:id="25"/>
      <w:bookmarkEnd w:id="26"/>
    </w:p>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6DF96A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29F2B71">
            <w:pPr>
              <w:jc w:val="center"/>
              <w:rPr>
                <w:rFonts w:ascii="宋体" w:hAnsi="宋体"/>
                <w:b/>
                <w:bCs/>
                <w:highlight w:val="none"/>
              </w:rPr>
            </w:pPr>
            <w:r>
              <w:rPr>
                <w:rFonts w:hint="eastAsia" w:ascii="宋体" w:hAnsi="宋体"/>
                <w:b/>
                <w:bCs/>
                <w:highlight w:val="none"/>
              </w:rPr>
              <w:t>通用条款序号</w:t>
            </w:r>
          </w:p>
        </w:tc>
        <w:tc>
          <w:tcPr>
            <w:tcW w:w="2409" w:type="dxa"/>
            <w:vAlign w:val="center"/>
          </w:tcPr>
          <w:p w14:paraId="1D26077F">
            <w:pPr>
              <w:jc w:val="center"/>
              <w:rPr>
                <w:rFonts w:ascii="宋体" w:hAnsi="宋体"/>
                <w:b/>
                <w:bCs/>
                <w:highlight w:val="none"/>
              </w:rPr>
            </w:pPr>
            <w:r>
              <w:rPr>
                <w:rFonts w:hint="eastAsia" w:ascii="宋体" w:hAnsi="宋体"/>
                <w:b/>
                <w:bCs/>
                <w:highlight w:val="none"/>
              </w:rPr>
              <w:t>涉及事项</w:t>
            </w:r>
          </w:p>
        </w:tc>
        <w:tc>
          <w:tcPr>
            <w:tcW w:w="4980" w:type="dxa"/>
            <w:vAlign w:val="center"/>
          </w:tcPr>
          <w:p w14:paraId="1DE2007E">
            <w:pPr>
              <w:jc w:val="center"/>
              <w:rPr>
                <w:rFonts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14:paraId="2C5C77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6958690">
            <w:pPr>
              <w:jc w:val="center"/>
              <w:rPr>
                <w:rFonts w:ascii="宋体" w:hAnsi="宋体"/>
                <w:highlight w:val="none"/>
              </w:rPr>
            </w:pPr>
            <w:r>
              <w:rPr>
                <w:rFonts w:hint="eastAsia" w:ascii="宋体" w:hAnsi="宋体"/>
                <w:highlight w:val="none"/>
              </w:rPr>
              <w:t>3</w:t>
            </w:r>
            <w:r>
              <w:rPr>
                <w:rFonts w:ascii="宋体" w:hAnsi="宋体"/>
                <w:highlight w:val="none"/>
              </w:rPr>
              <w:t>.1</w:t>
            </w:r>
          </w:p>
        </w:tc>
        <w:tc>
          <w:tcPr>
            <w:tcW w:w="2409" w:type="dxa"/>
            <w:vAlign w:val="center"/>
          </w:tcPr>
          <w:p w14:paraId="0A2D7A83">
            <w:pPr>
              <w:jc w:val="center"/>
              <w:rPr>
                <w:highlight w:val="none"/>
              </w:rPr>
            </w:pPr>
            <w:r>
              <w:rPr>
                <w:rFonts w:hint="eastAsia"/>
                <w:highlight w:val="none"/>
              </w:rPr>
              <w:t>采购人</w:t>
            </w:r>
          </w:p>
        </w:tc>
        <w:tc>
          <w:tcPr>
            <w:tcW w:w="4980" w:type="dxa"/>
            <w:vAlign w:val="center"/>
          </w:tcPr>
          <w:p w14:paraId="35883A35">
            <w:pPr>
              <w:spacing w:line="300" w:lineRule="exact"/>
              <w:jc w:val="center"/>
              <w:rPr>
                <w:rFonts w:ascii="宋体" w:hAnsi="宋体"/>
                <w:highlight w:val="none"/>
              </w:rPr>
            </w:pPr>
            <w:r>
              <w:rPr>
                <w:rFonts w:hint="eastAsia" w:ascii="宋体" w:hAnsi="宋体" w:cs="宋体"/>
                <w:color w:val="0000FF"/>
                <w:szCs w:val="21"/>
                <w:highlight w:val="none"/>
              </w:rPr>
              <w:t>深圳市福田区政府物业管理中心</w:t>
            </w:r>
          </w:p>
        </w:tc>
      </w:tr>
      <w:tr w14:paraId="0EE2AD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FAA8AAB">
            <w:pPr>
              <w:jc w:val="center"/>
              <w:rPr>
                <w:rFonts w:ascii="宋体" w:hAnsi="宋体"/>
                <w:highlight w:val="none"/>
              </w:rPr>
            </w:pPr>
            <w:r>
              <w:rPr>
                <w:rFonts w:hint="eastAsia" w:ascii="宋体" w:hAnsi="宋体"/>
                <w:highlight w:val="none"/>
              </w:rPr>
              <w:t>3</w:t>
            </w:r>
            <w:r>
              <w:rPr>
                <w:rFonts w:ascii="宋体" w:hAnsi="宋体"/>
                <w:highlight w:val="none"/>
              </w:rPr>
              <w:t>.2</w:t>
            </w:r>
          </w:p>
        </w:tc>
        <w:tc>
          <w:tcPr>
            <w:tcW w:w="2409" w:type="dxa"/>
            <w:vAlign w:val="center"/>
          </w:tcPr>
          <w:p w14:paraId="0920F200">
            <w:pPr>
              <w:jc w:val="center"/>
              <w:rPr>
                <w:rFonts w:ascii="宋体" w:hAnsi="宋体"/>
                <w:highlight w:val="none"/>
              </w:rPr>
            </w:pPr>
            <w:r>
              <w:rPr>
                <w:rFonts w:hint="eastAsia" w:ascii="宋体" w:hAnsi="宋体"/>
                <w:highlight w:val="none"/>
              </w:rPr>
              <w:t>政府集中采购机构</w:t>
            </w:r>
          </w:p>
        </w:tc>
        <w:tc>
          <w:tcPr>
            <w:tcW w:w="4980" w:type="dxa"/>
            <w:vAlign w:val="center"/>
          </w:tcPr>
          <w:p w14:paraId="5D66A04A">
            <w:pPr>
              <w:spacing w:line="300" w:lineRule="exact"/>
              <w:jc w:val="center"/>
              <w:rPr>
                <w:rFonts w:ascii="宋体" w:hAnsi="宋体" w:cs="宋体"/>
                <w:szCs w:val="21"/>
                <w:highlight w:val="none"/>
              </w:rPr>
            </w:pPr>
            <w:r>
              <w:rPr>
                <w:rFonts w:hint="eastAsia" w:ascii="宋体" w:hAnsi="宋体" w:cs="宋体"/>
                <w:szCs w:val="21"/>
                <w:highlight w:val="none"/>
              </w:rPr>
              <w:t>深圳公共资源交易中心</w:t>
            </w:r>
          </w:p>
          <w:p w14:paraId="75B1AC53">
            <w:pPr>
              <w:spacing w:line="300" w:lineRule="exact"/>
              <w:jc w:val="center"/>
              <w:rPr>
                <w:rFonts w:ascii="宋体" w:hAnsi="宋体"/>
                <w:highlight w:val="none"/>
              </w:rPr>
            </w:pPr>
            <w:r>
              <w:rPr>
                <w:rFonts w:hint="eastAsia" w:ascii="宋体" w:hAnsi="宋体" w:cs="宋体"/>
                <w:szCs w:val="21"/>
                <w:highlight w:val="none"/>
              </w:rPr>
              <w:t>（</w:t>
            </w:r>
            <w:r>
              <w:rPr>
                <w:rFonts w:hint="eastAsia" w:ascii="宋体" w:hAnsi="宋体" w:cs="宋体"/>
                <w:color w:val="0000FF"/>
                <w:szCs w:val="21"/>
                <w:highlight w:val="none"/>
              </w:rPr>
              <w:t>深圳交易集团有限公司福田分公司</w:t>
            </w:r>
            <w:r>
              <w:rPr>
                <w:rFonts w:hint="eastAsia" w:ascii="宋体" w:hAnsi="宋体" w:cs="宋体"/>
                <w:szCs w:val="21"/>
                <w:highlight w:val="none"/>
              </w:rPr>
              <w:t>）</w:t>
            </w:r>
          </w:p>
        </w:tc>
      </w:tr>
      <w:tr w14:paraId="494206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08E3255">
            <w:pPr>
              <w:jc w:val="center"/>
              <w:rPr>
                <w:rFonts w:ascii="宋体" w:hAnsi="宋体"/>
                <w:highlight w:val="none"/>
              </w:rPr>
            </w:pPr>
            <w:r>
              <w:rPr>
                <w:rFonts w:hint="eastAsia" w:ascii="宋体" w:hAnsi="宋体"/>
                <w:highlight w:val="none"/>
              </w:rPr>
              <w:t>9</w:t>
            </w:r>
          </w:p>
        </w:tc>
        <w:tc>
          <w:tcPr>
            <w:tcW w:w="2409" w:type="dxa"/>
            <w:vAlign w:val="center"/>
          </w:tcPr>
          <w:p w14:paraId="69994412">
            <w:pPr>
              <w:jc w:val="center"/>
              <w:rPr>
                <w:rFonts w:ascii="宋体" w:hAnsi="宋体"/>
                <w:highlight w:val="none"/>
              </w:rPr>
            </w:pPr>
            <w:r>
              <w:rPr>
                <w:rFonts w:hint="eastAsia" w:ascii="宋体" w:hAnsi="宋体"/>
                <w:highlight w:val="none"/>
              </w:rPr>
              <w:t>踏勘现场</w:t>
            </w:r>
          </w:p>
        </w:tc>
        <w:tc>
          <w:tcPr>
            <w:tcW w:w="4980" w:type="dxa"/>
            <w:vAlign w:val="center"/>
          </w:tcPr>
          <w:p w14:paraId="7113A798">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14:paraId="08B93D13">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48DAD4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5177510">
            <w:pPr>
              <w:jc w:val="center"/>
              <w:rPr>
                <w:rFonts w:ascii="宋体" w:hAnsi="宋体"/>
                <w:highlight w:val="none"/>
              </w:rPr>
            </w:pPr>
            <w:r>
              <w:rPr>
                <w:rFonts w:hint="eastAsia" w:ascii="宋体" w:hAnsi="宋体"/>
                <w:highlight w:val="none"/>
              </w:rPr>
              <w:t>1</w:t>
            </w:r>
            <w:r>
              <w:rPr>
                <w:rFonts w:ascii="宋体" w:hAnsi="宋体"/>
                <w:highlight w:val="none"/>
              </w:rPr>
              <w:t>0</w:t>
            </w:r>
          </w:p>
        </w:tc>
        <w:tc>
          <w:tcPr>
            <w:tcW w:w="2409" w:type="dxa"/>
            <w:vAlign w:val="center"/>
          </w:tcPr>
          <w:p w14:paraId="18FD7C04">
            <w:pPr>
              <w:jc w:val="center"/>
              <w:rPr>
                <w:rFonts w:ascii="宋体" w:hAnsi="宋体"/>
                <w:highlight w:val="none"/>
              </w:rPr>
            </w:pPr>
            <w:r>
              <w:rPr>
                <w:rFonts w:hint="eastAsia" w:ascii="宋体" w:hAnsi="宋体"/>
                <w:highlight w:val="none"/>
              </w:rPr>
              <w:t>标前会议</w:t>
            </w:r>
          </w:p>
        </w:tc>
        <w:tc>
          <w:tcPr>
            <w:tcW w:w="4980" w:type="dxa"/>
            <w:vAlign w:val="center"/>
          </w:tcPr>
          <w:p w14:paraId="36A30733">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14:paraId="04F501DD">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066932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7225F3">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409" w:type="dxa"/>
            <w:vAlign w:val="center"/>
          </w:tcPr>
          <w:p w14:paraId="452258AA">
            <w:pPr>
              <w:jc w:val="center"/>
              <w:rPr>
                <w:rFonts w:ascii="宋体" w:hAnsi="宋体"/>
                <w:highlight w:val="none"/>
              </w:rPr>
            </w:pPr>
            <w:r>
              <w:rPr>
                <w:rFonts w:hint="eastAsia" w:ascii="宋体" w:hAnsi="宋体"/>
                <w:highlight w:val="none"/>
              </w:rPr>
              <w:t>招标文件的澄清和修改</w:t>
            </w:r>
          </w:p>
        </w:tc>
        <w:tc>
          <w:tcPr>
            <w:tcW w:w="4980" w:type="dxa"/>
            <w:vAlign w:val="center"/>
          </w:tcPr>
          <w:p w14:paraId="625E69BA">
            <w:pPr>
              <w:spacing w:line="300" w:lineRule="exact"/>
              <w:jc w:val="left"/>
              <w:rPr>
                <w:rFonts w:ascii="宋体" w:hAnsi="宋体"/>
                <w:highlight w:val="none"/>
              </w:rPr>
            </w:pPr>
            <w:r>
              <w:rPr>
                <w:rFonts w:hint="eastAsia" w:ascii="宋体" w:hAnsi="宋体" w:cs="宋体"/>
                <w:szCs w:val="21"/>
                <w:highlight w:val="none"/>
              </w:rPr>
              <w:t>投标截止日三日前，投标人有义务在招标期间在政府集中采购机构网站浏览与本项目有关的澄清和修改信息</w:t>
            </w:r>
          </w:p>
        </w:tc>
      </w:tr>
      <w:tr w14:paraId="6F77D2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3263B0">
            <w:pPr>
              <w:jc w:val="center"/>
              <w:rPr>
                <w:rFonts w:ascii="宋体" w:hAnsi="宋体"/>
                <w:highlight w:val="none"/>
              </w:rPr>
            </w:pPr>
            <w:r>
              <w:rPr>
                <w:rFonts w:hint="eastAsia" w:ascii="宋体" w:hAnsi="宋体"/>
                <w:highlight w:val="none"/>
              </w:rPr>
              <w:t>2</w:t>
            </w:r>
            <w:r>
              <w:rPr>
                <w:rFonts w:ascii="宋体" w:hAnsi="宋体"/>
                <w:highlight w:val="none"/>
              </w:rPr>
              <w:t>0</w:t>
            </w:r>
          </w:p>
        </w:tc>
        <w:tc>
          <w:tcPr>
            <w:tcW w:w="2409" w:type="dxa"/>
            <w:vAlign w:val="center"/>
          </w:tcPr>
          <w:p w14:paraId="6C52B946">
            <w:pPr>
              <w:jc w:val="center"/>
              <w:rPr>
                <w:rFonts w:ascii="宋体" w:hAnsi="宋体"/>
                <w:highlight w:val="none"/>
              </w:rPr>
            </w:pPr>
            <w:r>
              <w:rPr>
                <w:rFonts w:hint="eastAsia" w:ascii="宋体" w:hAnsi="宋体"/>
                <w:highlight w:val="none"/>
              </w:rPr>
              <w:t>投标有效期</w:t>
            </w:r>
          </w:p>
        </w:tc>
        <w:tc>
          <w:tcPr>
            <w:tcW w:w="4980" w:type="dxa"/>
            <w:vAlign w:val="center"/>
          </w:tcPr>
          <w:p w14:paraId="184BE967">
            <w:pPr>
              <w:spacing w:line="300" w:lineRule="exact"/>
              <w:jc w:val="center"/>
              <w:rPr>
                <w:rFonts w:ascii="宋体" w:hAnsi="宋体"/>
                <w:highlight w:val="none"/>
              </w:rPr>
            </w:pPr>
            <w:r>
              <w:rPr>
                <w:rFonts w:hint="eastAsia" w:ascii="宋体" w:hAnsi="宋体" w:cs="宋体"/>
                <w:szCs w:val="21"/>
                <w:highlight w:val="none"/>
              </w:rPr>
              <w:t>120个日历日</w:t>
            </w:r>
          </w:p>
        </w:tc>
      </w:tr>
      <w:tr w14:paraId="302A74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494B0FD">
            <w:pPr>
              <w:jc w:val="center"/>
              <w:rPr>
                <w:rFonts w:ascii="宋体" w:hAnsi="宋体"/>
                <w:highlight w:val="none"/>
              </w:rPr>
            </w:pPr>
            <w:r>
              <w:rPr>
                <w:rFonts w:hint="eastAsia" w:ascii="宋体" w:hAnsi="宋体"/>
                <w:highlight w:val="none"/>
              </w:rPr>
              <w:t>2</w:t>
            </w:r>
            <w:r>
              <w:rPr>
                <w:rFonts w:ascii="宋体" w:hAnsi="宋体"/>
                <w:highlight w:val="none"/>
              </w:rPr>
              <w:t>2</w:t>
            </w:r>
          </w:p>
        </w:tc>
        <w:tc>
          <w:tcPr>
            <w:tcW w:w="2409" w:type="dxa"/>
            <w:vAlign w:val="center"/>
          </w:tcPr>
          <w:p w14:paraId="41690165">
            <w:pPr>
              <w:jc w:val="center"/>
              <w:rPr>
                <w:rFonts w:ascii="宋体" w:hAnsi="宋体"/>
                <w:highlight w:val="none"/>
              </w:rPr>
            </w:pPr>
            <w:r>
              <w:rPr>
                <w:rFonts w:hint="eastAsia" w:ascii="宋体" w:hAnsi="宋体"/>
                <w:highlight w:val="none"/>
              </w:rPr>
              <w:t>投标人的替代方案</w:t>
            </w:r>
          </w:p>
        </w:tc>
        <w:tc>
          <w:tcPr>
            <w:tcW w:w="4980" w:type="dxa"/>
            <w:vAlign w:val="center"/>
          </w:tcPr>
          <w:p w14:paraId="1E680F4F">
            <w:pPr>
              <w:spacing w:line="300" w:lineRule="exact"/>
              <w:jc w:val="center"/>
              <w:rPr>
                <w:rFonts w:ascii="宋体" w:hAnsi="宋体"/>
                <w:highlight w:val="none"/>
              </w:rPr>
            </w:pPr>
            <w:r>
              <w:rPr>
                <w:rFonts w:hint="eastAsia" w:ascii="宋体" w:hAnsi="宋体" w:cs="宋体"/>
                <w:szCs w:val="21"/>
                <w:highlight w:val="none"/>
              </w:rPr>
              <w:t>不接受</w:t>
            </w:r>
          </w:p>
        </w:tc>
      </w:tr>
      <w:tr w14:paraId="1DB1EC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CAB8966">
            <w:pPr>
              <w:jc w:val="center"/>
              <w:rPr>
                <w:rFonts w:ascii="宋体" w:hAnsi="宋体"/>
                <w:highlight w:val="none"/>
              </w:rPr>
            </w:pPr>
            <w:r>
              <w:rPr>
                <w:rFonts w:hint="eastAsia" w:ascii="宋体" w:hAnsi="宋体"/>
                <w:highlight w:val="none"/>
              </w:rPr>
              <w:t>2</w:t>
            </w:r>
            <w:r>
              <w:rPr>
                <w:rFonts w:ascii="宋体" w:hAnsi="宋体"/>
                <w:highlight w:val="none"/>
              </w:rPr>
              <w:t>5</w:t>
            </w:r>
          </w:p>
        </w:tc>
        <w:tc>
          <w:tcPr>
            <w:tcW w:w="2409" w:type="dxa"/>
            <w:vAlign w:val="center"/>
          </w:tcPr>
          <w:p w14:paraId="2EAA38A2">
            <w:pPr>
              <w:jc w:val="center"/>
              <w:rPr>
                <w:rFonts w:ascii="宋体" w:hAnsi="宋体"/>
                <w:highlight w:val="none"/>
              </w:rPr>
            </w:pPr>
            <w:r>
              <w:rPr>
                <w:rFonts w:hint="eastAsia" w:ascii="宋体" w:hAnsi="宋体"/>
                <w:highlight w:val="none"/>
              </w:rPr>
              <w:t>投标文件的大小</w:t>
            </w:r>
          </w:p>
        </w:tc>
        <w:tc>
          <w:tcPr>
            <w:tcW w:w="4980" w:type="dxa"/>
            <w:vAlign w:val="center"/>
          </w:tcPr>
          <w:p w14:paraId="0B783277">
            <w:pPr>
              <w:spacing w:line="300" w:lineRule="exact"/>
              <w:jc w:val="center"/>
              <w:rPr>
                <w:rFonts w:ascii="宋体" w:hAnsi="宋体"/>
                <w:highlight w:val="none"/>
              </w:rPr>
            </w:pPr>
            <w:r>
              <w:rPr>
                <w:rFonts w:hint="eastAsia" w:ascii="宋体" w:hAnsi="宋体" w:cs="宋体"/>
                <w:szCs w:val="21"/>
                <w:highlight w:val="none"/>
              </w:rPr>
              <w:t>投标文件大小不得超过100MB</w:t>
            </w:r>
          </w:p>
        </w:tc>
      </w:tr>
      <w:tr w14:paraId="249990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E075230">
            <w:pPr>
              <w:jc w:val="center"/>
              <w:rPr>
                <w:rFonts w:ascii="宋体" w:hAnsi="宋体"/>
                <w:highlight w:val="none"/>
              </w:rPr>
            </w:pPr>
            <w:r>
              <w:rPr>
                <w:rFonts w:hint="eastAsia" w:ascii="宋体" w:hAnsi="宋体"/>
                <w:highlight w:val="none"/>
              </w:rPr>
              <w:t>2</w:t>
            </w:r>
            <w:r>
              <w:rPr>
                <w:rFonts w:ascii="宋体" w:hAnsi="宋体"/>
                <w:highlight w:val="none"/>
              </w:rPr>
              <w:t>6</w:t>
            </w:r>
          </w:p>
        </w:tc>
        <w:tc>
          <w:tcPr>
            <w:tcW w:w="2409" w:type="dxa"/>
            <w:vAlign w:val="center"/>
          </w:tcPr>
          <w:p w14:paraId="425DF2EB">
            <w:pPr>
              <w:jc w:val="center"/>
              <w:rPr>
                <w:rFonts w:ascii="宋体" w:hAnsi="宋体"/>
                <w:highlight w:val="none"/>
              </w:rPr>
            </w:pPr>
            <w:r>
              <w:rPr>
                <w:rFonts w:hint="eastAsia" w:ascii="宋体" w:hAnsi="宋体"/>
                <w:highlight w:val="none"/>
              </w:rPr>
              <w:t>样品、现场演示、方案讲解</w:t>
            </w:r>
          </w:p>
        </w:tc>
        <w:tc>
          <w:tcPr>
            <w:tcW w:w="4980" w:type="dxa"/>
            <w:vAlign w:val="center"/>
          </w:tcPr>
          <w:p w14:paraId="793EA6E9">
            <w:pPr>
              <w:spacing w:line="300" w:lineRule="exact"/>
              <w:jc w:val="left"/>
              <w:rPr>
                <w:rFonts w:ascii="宋体" w:hAnsi="宋体"/>
                <w:highlight w:val="none"/>
              </w:rPr>
            </w:pPr>
            <w:r>
              <w:rPr>
                <w:rFonts w:hint="eastAsia" w:ascii="宋体" w:hAnsi="宋体" w:cs="宋体"/>
                <w:szCs w:val="21"/>
                <w:highlight w:val="none"/>
              </w:rPr>
              <w:t>如有样品、演示、方案讲解，具体安排见第三章 用户需求书相关要求</w:t>
            </w:r>
          </w:p>
        </w:tc>
      </w:tr>
      <w:tr w14:paraId="5B1C3B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2B8C7A5">
            <w:pPr>
              <w:jc w:val="center"/>
              <w:rPr>
                <w:rFonts w:ascii="宋体" w:hAnsi="宋体"/>
                <w:highlight w:val="none"/>
              </w:rPr>
            </w:pPr>
            <w:r>
              <w:rPr>
                <w:rFonts w:hint="eastAsia" w:ascii="宋体" w:hAnsi="宋体"/>
                <w:highlight w:val="none"/>
              </w:rPr>
              <w:t>3</w:t>
            </w:r>
            <w:r>
              <w:rPr>
                <w:rFonts w:ascii="宋体" w:hAnsi="宋体"/>
                <w:highlight w:val="none"/>
              </w:rPr>
              <w:t>7</w:t>
            </w:r>
          </w:p>
        </w:tc>
        <w:tc>
          <w:tcPr>
            <w:tcW w:w="2409" w:type="dxa"/>
            <w:vAlign w:val="center"/>
          </w:tcPr>
          <w:p w14:paraId="7090BC4B">
            <w:pPr>
              <w:jc w:val="center"/>
              <w:rPr>
                <w:rFonts w:ascii="宋体" w:hAnsi="宋体"/>
                <w:highlight w:val="none"/>
              </w:rPr>
            </w:pPr>
            <w:r>
              <w:rPr>
                <w:rFonts w:hint="eastAsia" w:ascii="宋体" w:hAnsi="宋体"/>
                <w:highlight w:val="none"/>
              </w:rPr>
              <w:t>评审方法</w:t>
            </w:r>
          </w:p>
        </w:tc>
        <w:tc>
          <w:tcPr>
            <w:tcW w:w="4980" w:type="dxa"/>
            <w:vAlign w:val="center"/>
          </w:tcPr>
          <w:p w14:paraId="334D297F">
            <w:pPr>
              <w:spacing w:line="300" w:lineRule="exact"/>
              <w:jc w:val="left"/>
              <w:rPr>
                <w:rFonts w:ascii="宋体" w:hAnsi="宋体"/>
                <w:highlight w:val="none"/>
              </w:rPr>
            </w:pPr>
            <w:r>
              <w:rPr>
                <w:rFonts w:hint="eastAsia" w:ascii="宋体" w:hAnsi="宋体" w:cs="宋体"/>
                <w:bCs/>
                <w:szCs w:val="21"/>
                <w:highlight w:val="none"/>
              </w:rPr>
              <w:t>综合评分法</w:t>
            </w:r>
          </w:p>
        </w:tc>
      </w:tr>
      <w:tr w14:paraId="68DB01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978" w:type="dxa"/>
            <w:vMerge w:val="restart"/>
            <w:vAlign w:val="center"/>
          </w:tcPr>
          <w:p w14:paraId="035C2039">
            <w:pPr>
              <w:jc w:val="center"/>
              <w:rPr>
                <w:rFonts w:ascii="宋体" w:hAnsi="宋体"/>
                <w:highlight w:val="none"/>
              </w:rPr>
            </w:pPr>
            <w:r>
              <w:rPr>
                <w:rFonts w:hint="eastAsia" w:ascii="宋体" w:hAnsi="宋体"/>
                <w:highlight w:val="none"/>
              </w:rPr>
              <w:t>3</w:t>
            </w:r>
            <w:r>
              <w:rPr>
                <w:rFonts w:ascii="宋体" w:hAnsi="宋体"/>
                <w:highlight w:val="none"/>
              </w:rPr>
              <w:t>8</w:t>
            </w:r>
          </w:p>
        </w:tc>
        <w:tc>
          <w:tcPr>
            <w:tcW w:w="2409" w:type="dxa"/>
            <w:vMerge w:val="restart"/>
            <w:vAlign w:val="center"/>
          </w:tcPr>
          <w:p w14:paraId="72558901">
            <w:pPr>
              <w:jc w:val="center"/>
              <w:rPr>
                <w:rFonts w:ascii="宋体" w:hAnsi="宋体"/>
                <w:highlight w:val="none"/>
              </w:rPr>
            </w:pPr>
            <w:r>
              <w:rPr>
                <w:rFonts w:hint="eastAsia" w:ascii="宋体" w:hAnsi="宋体"/>
                <w:highlight w:val="none"/>
              </w:rPr>
              <w:t>定标方法</w:t>
            </w:r>
          </w:p>
        </w:tc>
        <w:tc>
          <w:tcPr>
            <w:tcW w:w="4980" w:type="dxa"/>
            <w:tcBorders/>
            <w:vAlign w:val="center"/>
          </w:tcPr>
          <w:p w14:paraId="526E17AE">
            <w:pPr>
              <w:spacing w:line="300" w:lineRule="exact"/>
              <w:jc w:val="left"/>
              <w:rPr>
                <w:rFonts w:ascii="宋体" w:hAnsi="宋体"/>
                <w:highlight w:val="none"/>
              </w:rPr>
            </w:pPr>
            <w:r>
              <w:rPr>
                <w:rFonts w:hint="eastAsia" w:ascii="宋体" w:hAnsi="宋体" w:cs="宋体"/>
                <w:bCs/>
                <w:szCs w:val="21"/>
                <w:highlight w:val="none"/>
              </w:rPr>
              <w:t>非评定分离</w:t>
            </w:r>
          </w:p>
        </w:tc>
      </w:tr>
      <w:tr w14:paraId="66B3AC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Align w:val="center"/>
          </w:tcPr>
          <w:p w14:paraId="73417D56">
            <w:pPr>
              <w:jc w:val="center"/>
              <w:rPr>
                <w:rFonts w:ascii="宋体" w:hAnsi="宋体"/>
                <w:highlight w:val="none"/>
              </w:rPr>
            </w:pPr>
            <w:r>
              <w:rPr>
                <w:rFonts w:hint="eastAsia" w:ascii="宋体" w:hAnsi="宋体"/>
                <w:highlight w:val="none"/>
              </w:rPr>
              <w:t>4</w:t>
            </w:r>
            <w:r>
              <w:rPr>
                <w:rFonts w:ascii="宋体" w:hAnsi="宋体"/>
                <w:highlight w:val="none"/>
              </w:rPr>
              <w:t>6</w:t>
            </w:r>
          </w:p>
        </w:tc>
        <w:tc>
          <w:tcPr>
            <w:tcW w:w="2409" w:type="dxa"/>
            <w:vAlign w:val="center"/>
          </w:tcPr>
          <w:p w14:paraId="3E04FBED">
            <w:pPr>
              <w:jc w:val="center"/>
              <w:rPr>
                <w:rFonts w:ascii="宋体" w:hAnsi="宋体"/>
                <w:highlight w:val="none"/>
              </w:rPr>
            </w:pPr>
            <w:r>
              <w:rPr>
                <w:rFonts w:hint="eastAsia" w:ascii="宋体" w:hAnsi="宋体"/>
                <w:highlight w:val="none"/>
              </w:rPr>
              <w:t>履约担保</w:t>
            </w:r>
          </w:p>
        </w:tc>
        <w:tc>
          <w:tcPr>
            <w:tcW w:w="4980" w:type="dxa"/>
            <w:tcBorders/>
            <w:vAlign w:val="center"/>
          </w:tcPr>
          <w:p w14:paraId="504570FD">
            <w:pPr>
              <w:spacing w:line="300" w:lineRule="exact"/>
              <w:jc w:val="left"/>
              <w:rPr>
                <w:rFonts w:ascii="宋体" w:hAnsi="宋体"/>
                <w:highlight w:val="none"/>
              </w:rPr>
            </w:pPr>
            <w:r>
              <w:rPr>
                <w:rFonts w:hint="eastAsia" w:ascii="宋体" w:hAnsi="宋体" w:cs="宋体"/>
                <w:bCs/>
                <w:szCs w:val="21"/>
                <w:highlight w:val="none"/>
              </w:rPr>
              <w:t>不需要</w:t>
            </w:r>
          </w:p>
        </w:tc>
      </w:tr>
      <w:tr w14:paraId="78651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2F82399">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52.8</w:t>
            </w:r>
          </w:p>
        </w:tc>
        <w:tc>
          <w:tcPr>
            <w:tcW w:w="2409" w:type="dxa"/>
            <w:vAlign w:val="center"/>
          </w:tcPr>
          <w:p w14:paraId="09A5E69D">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投诉</w:t>
            </w:r>
          </w:p>
        </w:tc>
        <w:tc>
          <w:tcPr>
            <w:tcW w:w="4980" w:type="dxa"/>
            <w:vAlign w:val="center"/>
          </w:tcPr>
          <w:p w14:paraId="1377FA08">
            <w:pPr>
              <w:jc w:val="left"/>
              <w:rPr>
                <w:rFonts w:hint="eastAsia" w:ascii="宋体" w:hAnsi="宋体" w:eastAsia="宋体" w:cs="宋体"/>
                <w:bCs/>
                <w:kern w:val="2"/>
                <w:sz w:val="21"/>
                <w:szCs w:val="21"/>
                <w:highlight w:val="none"/>
                <w:lang w:val="en-US" w:eastAsia="zh-CN" w:bidi="ar-SA"/>
              </w:rPr>
            </w:pPr>
            <w:r>
              <w:rPr>
                <w:rFonts w:hint="eastAsia" w:ascii="宋体" w:hAnsi="宋体" w:cs="宋体"/>
                <w:color w:val="0000FF"/>
                <w:highlight w:val="none"/>
              </w:rPr>
              <w:t>本项目为自行采购项目，提出质疑的供应商对质疑答复不满意或者未在规定时间内答复的，可以在答复期满后7个工作日内向采购人投诉。</w:t>
            </w:r>
          </w:p>
        </w:tc>
      </w:tr>
    </w:tbl>
    <w:p w14:paraId="7BE61B4C">
      <w:pPr>
        <w:pStyle w:val="36"/>
        <w:rPr>
          <w:rFonts w:hint="eastAsia"/>
          <w:highlight w:val="none"/>
        </w:rPr>
      </w:pPr>
    </w:p>
    <w:p w14:paraId="16643083">
      <w:pPr>
        <w:rPr>
          <w:b/>
          <w:highlight w:val="none"/>
        </w:rPr>
      </w:pPr>
      <w:r>
        <w:rPr>
          <w:rFonts w:hint="eastAsia"/>
          <w:szCs w:val="21"/>
          <w:highlight w:val="none"/>
        </w:rPr>
        <w:t>备注：本表是通用条款相关条款的补充和明确，如与通用条款内容相冲突的，以本表为准。</w:t>
      </w:r>
    </w:p>
    <w:p w14:paraId="6A7BB3FC">
      <w:pPr>
        <w:rPr>
          <w:b/>
          <w:highlight w:val="none"/>
        </w:rPr>
      </w:pPr>
    </w:p>
    <w:p w14:paraId="663709CD">
      <w:pPr>
        <w:pStyle w:val="7"/>
        <w:spacing w:before="120" w:beforeLines="50" w:after="120" w:afterLines="50"/>
        <w:rPr>
          <w:szCs w:val="24"/>
          <w:highlight w:val="none"/>
        </w:rPr>
      </w:pPr>
      <w:r>
        <w:rPr>
          <w:rFonts w:hint="eastAsia"/>
          <w:szCs w:val="24"/>
          <w:highlight w:val="none"/>
        </w:rPr>
        <w:t>二、其他关键信息</w:t>
      </w:r>
    </w:p>
    <w:p w14:paraId="02936323">
      <w:pPr>
        <w:ind w:firstLine="422" w:firstLineChars="200"/>
        <w:rPr>
          <w:b/>
          <w:bCs/>
          <w:highlight w:val="none"/>
        </w:rPr>
      </w:pPr>
      <w:r>
        <w:rPr>
          <w:rFonts w:hint="eastAsia"/>
          <w:b/>
          <w:bCs/>
          <w:highlight w:val="none"/>
        </w:rPr>
        <w:t>（一）与“对通用条款的补充内容”章节相关的事项</w:t>
      </w:r>
    </w:p>
    <w:p w14:paraId="7AB184F7">
      <w:pPr>
        <w:spacing w:line="276" w:lineRule="auto"/>
        <w:ind w:firstLine="422" w:firstLineChars="200"/>
        <w:jc w:val="left"/>
        <w:rPr>
          <w:rFonts w:asciiTheme="minorEastAsia" w:hAnsiTheme="minorEastAsia" w:eastAsiaTheme="minorEastAsia"/>
          <w:b/>
          <w:kern w:val="0"/>
          <w:szCs w:val="20"/>
          <w:highlight w:val="none"/>
        </w:rPr>
      </w:pPr>
      <w:bookmarkStart w:id="27" w:name="_Hlk72579465"/>
      <w:r>
        <w:rPr>
          <w:rFonts w:hint="eastAsia" w:asciiTheme="minorEastAsia" w:hAnsiTheme="minorEastAsia" w:eastAsiaTheme="minorEastAsia"/>
          <w:b/>
          <w:kern w:val="0"/>
          <w:szCs w:val="20"/>
          <w:highlight w:val="none"/>
        </w:rPr>
        <w:t>1</w:t>
      </w:r>
      <w:r>
        <w:rPr>
          <w:rFonts w:hint="eastAsia" w:asciiTheme="minorEastAsia" w:hAnsiTheme="minorEastAsia" w:eastAsiaTheme="minorEastAsia"/>
          <w:b/>
          <w:kern w:val="0"/>
          <w:szCs w:val="20"/>
          <w:highlight w:val="none"/>
          <w:lang w:val="en-US" w:eastAsia="zh-CN"/>
        </w:rPr>
        <w:t>.</w:t>
      </w:r>
      <w:r>
        <w:rPr>
          <w:rFonts w:hint="eastAsia" w:asciiTheme="minorEastAsia" w:hAnsiTheme="minorEastAsia" w:eastAsiaTheme="minorEastAsia"/>
          <w:b/>
          <w:kern w:val="0"/>
          <w:szCs w:val="20"/>
          <w:highlight w:val="none"/>
        </w:rPr>
        <w:t>评标定标信息</w:t>
      </w:r>
    </w:p>
    <w:bookmarkEnd w:id="27"/>
    <w:p w14:paraId="72D4AE48">
      <w:pPr>
        <w:jc w:val="center"/>
        <w:rPr>
          <w:highlight w:val="none"/>
        </w:rPr>
      </w:pPr>
      <w:r>
        <w:rPr>
          <w:rFonts w:hint="eastAsia"/>
          <w:b/>
          <w:highlight w:val="none"/>
        </w:rPr>
        <w:t>非评定分离项目</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76ED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52A9849E">
            <w:pPr>
              <w:jc w:val="center"/>
              <w:rPr>
                <w:highlight w:val="none"/>
              </w:rPr>
            </w:pPr>
            <w:r>
              <w:rPr>
                <w:rFonts w:hint="eastAsia"/>
                <w:highlight w:val="none"/>
              </w:rPr>
              <w:t>评标方法</w:t>
            </w:r>
          </w:p>
        </w:tc>
        <w:tc>
          <w:tcPr>
            <w:tcW w:w="2660" w:type="pct"/>
          </w:tcPr>
          <w:p w14:paraId="0B7A14F5">
            <w:pPr>
              <w:jc w:val="center"/>
              <w:rPr>
                <w:rFonts w:hint="default" w:eastAsia="宋体"/>
                <w:highlight w:val="none"/>
                <w:lang w:val="en-US" w:eastAsia="zh-CN"/>
              </w:rPr>
            </w:pPr>
            <w:r>
              <w:rPr>
                <w:rFonts w:hint="eastAsia"/>
                <w:highlight w:val="none"/>
              </w:rPr>
              <w:t>综合评分法</w:t>
            </w:r>
          </w:p>
        </w:tc>
      </w:tr>
      <w:tr w14:paraId="0255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36A20C84">
            <w:pPr>
              <w:jc w:val="center"/>
              <w:rPr>
                <w:highlight w:val="none"/>
              </w:rPr>
            </w:pPr>
            <w:r>
              <w:rPr>
                <w:rFonts w:hint="eastAsia"/>
                <w:highlight w:val="none"/>
              </w:rPr>
              <w:t>候选中标供应商家数</w:t>
            </w:r>
          </w:p>
        </w:tc>
        <w:tc>
          <w:tcPr>
            <w:tcW w:w="2660" w:type="pct"/>
          </w:tcPr>
          <w:p w14:paraId="5332402C">
            <w:pPr>
              <w:jc w:val="center"/>
              <w:rPr>
                <w:rFonts w:hint="eastAsia" w:eastAsia="宋体"/>
                <w:highlight w:val="none"/>
                <w:lang w:val="en-US" w:eastAsia="zh-CN"/>
              </w:rPr>
            </w:pPr>
            <w:r>
              <w:rPr>
                <w:rFonts w:hint="eastAsia"/>
                <w:highlight w:val="none"/>
                <w:lang w:val="en-US" w:eastAsia="zh-CN"/>
              </w:rPr>
              <w:t>3</w:t>
            </w:r>
          </w:p>
        </w:tc>
      </w:tr>
      <w:tr w14:paraId="7F30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36544C5D">
            <w:pPr>
              <w:jc w:val="center"/>
              <w:rPr>
                <w:highlight w:val="none"/>
              </w:rPr>
            </w:pPr>
            <w:r>
              <w:rPr>
                <w:rFonts w:hint="eastAsia"/>
                <w:highlight w:val="none"/>
              </w:rPr>
              <w:t>中标供应商家数</w:t>
            </w:r>
          </w:p>
        </w:tc>
        <w:tc>
          <w:tcPr>
            <w:tcW w:w="2660" w:type="pct"/>
          </w:tcPr>
          <w:p w14:paraId="355A1DE3">
            <w:pPr>
              <w:jc w:val="center"/>
              <w:rPr>
                <w:highlight w:val="none"/>
              </w:rPr>
            </w:pPr>
            <w:r>
              <w:rPr>
                <w:rFonts w:hint="eastAsia"/>
                <w:highlight w:val="none"/>
              </w:rPr>
              <w:t>1</w:t>
            </w:r>
          </w:p>
        </w:tc>
      </w:tr>
    </w:tbl>
    <w:p w14:paraId="1DC2362A">
      <w:pPr>
        <w:pStyle w:val="36"/>
        <w:rPr>
          <w:highlight w:val="none"/>
        </w:rPr>
      </w:pPr>
    </w:p>
    <w:p w14:paraId="07FFA76E">
      <w:pPr>
        <w:rPr>
          <w:rFonts w:hint="eastAsia"/>
          <w:b/>
          <w:highlight w:val="none"/>
        </w:rPr>
      </w:pPr>
      <w:r>
        <w:rPr>
          <w:rFonts w:ascii="宋体" w:hAnsi="宋体"/>
          <w:b/>
          <w:highlight w:val="none"/>
        </w:rPr>
        <w:br w:type="page"/>
      </w:r>
    </w:p>
    <w:p w14:paraId="10C15357">
      <w:pPr>
        <w:ind w:firstLine="422" w:firstLineChars="200"/>
        <w:rPr>
          <w:b/>
          <w:highlight w:val="none"/>
        </w:rPr>
      </w:pPr>
      <w:r>
        <w:rPr>
          <w:rFonts w:hint="eastAsia"/>
          <w:b/>
          <w:highlight w:val="none"/>
        </w:rPr>
        <w:t>（二）其他事项</w:t>
      </w:r>
    </w:p>
    <w:p w14:paraId="7C9B03F1">
      <w:pPr>
        <w:ind w:firstLine="422" w:firstLineChars="200"/>
        <w:rPr>
          <w:rFonts w:hint="default" w:eastAsia="宋体"/>
          <w:b/>
          <w:bCs/>
          <w:highlight w:val="none"/>
          <w:lang w:val="en-US" w:eastAsia="zh-CN"/>
        </w:rPr>
      </w:pPr>
      <w:r>
        <w:rPr>
          <w:b/>
          <w:bCs/>
          <w:highlight w:val="none"/>
        </w:rPr>
        <w:t>1</w:t>
      </w:r>
      <w:r>
        <w:rPr>
          <w:rFonts w:hint="eastAsia"/>
          <w:b/>
          <w:bCs/>
          <w:highlight w:val="none"/>
          <w:lang w:val="en-US" w:eastAsia="zh-CN"/>
        </w:rPr>
        <w:t>.关于享受</w:t>
      </w:r>
      <w:r>
        <w:rPr>
          <w:rFonts w:hint="eastAsia"/>
          <w:b/>
          <w:bCs/>
          <w:highlight w:val="none"/>
        </w:rPr>
        <w:t>优惠政策的主体</w:t>
      </w:r>
      <w:r>
        <w:rPr>
          <w:rFonts w:hint="eastAsia"/>
          <w:b/>
          <w:bCs/>
          <w:highlight w:val="none"/>
          <w:lang w:eastAsia="zh-CN"/>
        </w:rPr>
        <w:t>、</w:t>
      </w:r>
      <w:r>
        <w:rPr>
          <w:rFonts w:hint="eastAsia"/>
          <w:b/>
          <w:bCs/>
          <w:highlight w:val="none"/>
        </w:rPr>
        <w:t>价格扣除比例</w:t>
      </w:r>
      <w:r>
        <w:rPr>
          <w:rFonts w:hint="eastAsia"/>
          <w:b/>
          <w:bCs/>
          <w:highlight w:val="none"/>
          <w:lang w:val="en-US" w:eastAsia="zh-CN"/>
        </w:rPr>
        <w:t>及采购标的所属行业</w:t>
      </w:r>
    </w:p>
    <w:p w14:paraId="786934DC">
      <w:pPr>
        <w:ind w:firstLine="420" w:firstLineChars="200"/>
        <w:rPr>
          <w:rFonts w:hint="default" w:eastAsia="宋体"/>
          <w:highlight w:val="none"/>
          <w:lang w:val="en-US" w:eastAsia="zh-CN"/>
        </w:rPr>
      </w:pPr>
      <w:r>
        <w:rPr>
          <w:rFonts w:hint="eastAsia"/>
          <w:highlight w:val="none"/>
        </w:rPr>
        <w:t>（1）</w:t>
      </w:r>
      <w:r>
        <w:rPr>
          <w:rFonts w:hint="eastAsia"/>
          <w:highlight w:val="none"/>
          <w:lang w:val="en-US" w:eastAsia="zh-CN"/>
        </w:rPr>
        <w:t>专门面向中小企业采购的项目，不再执行价格扣除比例。</w:t>
      </w:r>
    </w:p>
    <w:p w14:paraId="53D670E5">
      <w:pPr>
        <w:ind w:firstLine="420" w:firstLineChars="20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lang w:val="en-US" w:eastAsia="zh-CN"/>
        </w:rPr>
        <w:t>非</w:t>
      </w:r>
      <w:r>
        <w:rPr>
          <w:rFonts w:hint="eastAsia" w:ascii="Times New Roman" w:eastAsia="宋体"/>
          <w:highlight w:val="none"/>
          <w:lang w:val="en-US" w:eastAsia="zh-CN"/>
        </w:rPr>
        <w:t>专门面向中小企业采购的项目，</w:t>
      </w:r>
      <w:r>
        <w:rPr>
          <w:rFonts w:hint="eastAsia"/>
          <w:highlight w:val="none"/>
          <w:lang w:val="en-US" w:eastAsia="zh-CN"/>
        </w:rPr>
        <w:t>应</w:t>
      </w:r>
      <w:r>
        <w:rPr>
          <w:rFonts w:hint="eastAsia" w:ascii="Times New Roman" w:eastAsia="宋体"/>
          <w:highlight w:val="none"/>
          <w:lang w:val="en-US" w:eastAsia="zh-CN"/>
        </w:rPr>
        <w:t>执行价格扣除比例</w:t>
      </w:r>
      <w:r>
        <w:rPr>
          <w:rFonts w:hint="eastAsia"/>
          <w:highlight w:val="none"/>
          <w:lang w:val="en-US" w:eastAsia="zh-CN"/>
        </w:rPr>
        <w:t>：供应商</w:t>
      </w:r>
      <w:r>
        <w:rPr>
          <w:rFonts w:hint="eastAsia"/>
          <w:highlight w:val="none"/>
        </w:rPr>
        <w:t>提供的服务全部由优惠主体承接，则对其投标总价给予</w:t>
      </w:r>
      <w:r>
        <w:rPr>
          <w:rFonts w:hint="eastAsia"/>
          <w:color w:val="FF0000"/>
          <w:highlight w:val="none"/>
          <w:u w:val="single"/>
          <w:lang w:val="en-US" w:eastAsia="zh-CN"/>
        </w:rPr>
        <w:t>10</w:t>
      </w:r>
      <w:r>
        <w:rPr>
          <w:color w:val="FF0000"/>
          <w:highlight w:val="none"/>
          <w:u w:val="single"/>
        </w:rPr>
        <w:t>%</w:t>
      </w:r>
      <w:r>
        <w:rPr>
          <w:rFonts w:hint="eastAsia" w:eastAsia="宋体"/>
          <w:color w:val="000000" w:themeColor="text1"/>
          <w:highlight w:val="none"/>
          <w:u w:val="none"/>
          <w:lang w:eastAsia="zh-CN"/>
          <w14:textFill>
            <w14:solidFill>
              <w14:schemeClr w14:val="tx1"/>
            </w14:solidFill>
          </w14:textFill>
        </w:rPr>
        <w:t>（</w:t>
      </w:r>
      <w:r>
        <w:rPr>
          <w:rFonts w:hint="eastAsia" w:ascii="Times New Roman" w:eastAsia="宋体"/>
          <w:color w:val="000000" w:themeColor="text1"/>
          <w:highlight w:val="none"/>
          <w:u w:val="none"/>
          <w:lang w:val="en-US" w:eastAsia="zh-CN"/>
          <w14:textFill>
            <w14:solidFill>
              <w14:schemeClr w14:val="tx1"/>
            </w14:solidFill>
          </w14:textFill>
        </w:rPr>
        <w:t>10%~20%</w:t>
      </w:r>
      <w:r>
        <w:rPr>
          <w:rFonts w:hint="eastAsia" w:eastAsia="宋体"/>
          <w:color w:val="000000" w:themeColor="text1"/>
          <w:highlight w:val="none"/>
          <w:u w:val="none"/>
          <w:lang w:eastAsia="zh-CN"/>
          <w14:textFill>
            <w14:solidFill>
              <w14:schemeClr w14:val="tx1"/>
            </w14:solidFill>
          </w14:textFill>
        </w:rPr>
        <w:t>）</w:t>
      </w:r>
      <w:r>
        <w:rPr>
          <w:rFonts w:hint="eastAsia"/>
          <w:highlight w:val="none"/>
        </w:rPr>
        <w:t>的扣除，用扣除后的价格参与评审。满足多项优惠政策的</w:t>
      </w:r>
      <w:r>
        <w:rPr>
          <w:rFonts w:hint="eastAsia"/>
          <w:highlight w:val="none"/>
          <w:lang w:val="en-US" w:eastAsia="zh-CN"/>
        </w:rPr>
        <w:t>供应商</w:t>
      </w:r>
      <w:r>
        <w:rPr>
          <w:rFonts w:hint="eastAsia"/>
          <w:highlight w:val="none"/>
        </w:rPr>
        <w:t>，不重复享受多项价格扣除政策。</w:t>
      </w:r>
    </w:p>
    <w:p w14:paraId="71BD939A">
      <w:pPr>
        <w:ind w:firstLine="420" w:firstLineChars="200"/>
        <w:rPr>
          <w:highlight w:val="none"/>
        </w:rPr>
      </w:pPr>
      <w:r>
        <w:rPr>
          <w:rFonts w:hint="eastAsia"/>
          <w:highlight w:val="none"/>
        </w:rPr>
        <w:t>备注：（a）</w:t>
      </w:r>
      <w:r>
        <w:rPr>
          <w:rFonts w:hint="eastAsia"/>
          <w:highlight w:val="none"/>
          <w:lang w:val="en-US" w:eastAsia="zh-CN"/>
        </w:rPr>
        <w:t>享受价格扣除</w:t>
      </w:r>
      <w:r>
        <w:rPr>
          <w:rFonts w:hint="eastAsia"/>
          <w:highlight w:val="none"/>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14:paraId="13B16123">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bookmarkStart w:id="28" w:name="_Hlk71970739"/>
      <w:r>
        <w:rPr>
          <w:rFonts w:hint="eastAsia" w:asciiTheme="minorEastAsia" w:hAnsiTheme="minorEastAsia" w:eastAsiaTheme="minorEastAsia" w:cstheme="minorEastAsia"/>
          <w:sz w:val="21"/>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hAnsi="宋体" w:eastAsia="宋体" w:cs="宋体"/>
          <w:b/>
          <w:bCs/>
          <w:color w:val="FF0000"/>
          <w:sz w:val="21"/>
          <w:szCs w:val="21"/>
          <w:highlight w:val="none"/>
        </w:rPr>
        <w:t>《中小企业声明函》中相关企业</w:t>
      </w:r>
      <w:r>
        <w:rPr>
          <w:rFonts w:hint="eastAsia" w:ascii="宋体" w:hAnsi="宋体" w:cs="宋体"/>
          <w:b/>
          <w:bCs/>
          <w:color w:val="FF0000"/>
          <w:sz w:val="21"/>
          <w:szCs w:val="21"/>
          <w:highlight w:val="none"/>
          <w:lang w:eastAsia="zh-CN"/>
        </w:rPr>
        <w:t>（服务承接商）</w:t>
      </w:r>
      <w:r>
        <w:rPr>
          <w:rFonts w:ascii="宋体" w:hAnsi="宋体" w:eastAsia="宋体" w:cs="宋体"/>
          <w:b/>
          <w:bCs/>
          <w:color w:val="FF0000"/>
          <w:sz w:val="21"/>
          <w:szCs w:val="21"/>
          <w:highlight w:val="none"/>
        </w:rPr>
        <w:t>所属行业应当与采购标的所属行业相一致</w:t>
      </w:r>
      <w:r>
        <w:rPr>
          <w:rFonts w:hint="eastAsia" w:eastAsia="宋体"/>
          <w:b/>
          <w:bCs/>
          <w:color w:val="FF0000"/>
          <w:highlight w:val="none"/>
          <w:lang w:eastAsia="zh-CN"/>
        </w:rPr>
        <w:t>，</w:t>
      </w:r>
      <w:r>
        <w:rPr>
          <w:rFonts w:hint="eastAsia"/>
          <w:b/>
          <w:bCs/>
          <w:color w:val="FF0000"/>
          <w:highlight w:val="none"/>
        </w:rPr>
        <w:t>标的所属行业</w:t>
      </w:r>
      <w:r>
        <w:rPr>
          <w:rFonts w:hint="eastAsia" w:ascii="Times New Roman" w:eastAsia="宋体"/>
          <w:b/>
          <w:bCs/>
          <w:color w:val="FF0000"/>
          <w:highlight w:val="none"/>
          <w:lang w:val="en-US" w:eastAsia="zh-CN"/>
        </w:rPr>
        <w:t>以招标文件第一册第三章用户需求书“</w:t>
      </w:r>
      <w:r>
        <w:rPr>
          <w:rFonts w:hint="eastAsia"/>
          <w:b/>
          <w:bCs/>
          <w:color w:val="FF0000"/>
          <w:highlight w:val="none"/>
          <w:lang w:val="en-US" w:eastAsia="zh-CN"/>
        </w:rPr>
        <w:t>服务需求</w:t>
      </w:r>
      <w:r>
        <w:rPr>
          <w:rFonts w:hint="eastAsia" w:ascii="Times New Roman" w:eastAsia="宋体"/>
          <w:b/>
          <w:bCs/>
          <w:color w:val="FF0000"/>
          <w:highlight w:val="none"/>
          <w:lang w:val="en-US" w:eastAsia="zh-CN"/>
        </w:rPr>
        <w:t>明细”的“标的所属行业”一栏为准</w:t>
      </w:r>
      <w:r>
        <w:rPr>
          <w:rFonts w:ascii="宋体" w:hAnsi="宋体" w:eastAsia="宋体" w:cs="宋体"/>
          <w:b/>
          <w:bCs/>
          <w:color w:val="FF0000"/>
          <w:sz w:val="21"/>
          <w:szCs w:val="21"/>
          <w:highlight w:val="none"/>
        </w:rPr>
        <w:t>。</w:t>
      </w:r>
      <w:bookmarkEnd w:id="28"/>
    </w:p>
    <w:p w14:paraId="10EAA006">
      <w:pPr>
        <w:ind w:firstLine="420" w:firstLineChars="200"/>
        <w:rPr>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）小型企业、微型企业、残疾人福利性单位作为优惠主体的认定资料为《中小企业声明函》、《残疾人福利性单</w:t>
      </w:r>
      <w:r>
        <w:rPr>
          <w:rFonts w:hint="eastAsia"/>
          <w:highlight w:val="none"/>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3CBC7FDF">
      <w:pPr>
        <w:ind w:firstLine="420" w:firstLineChars="200"/>
        <w:rPr>
          <w:color w:val="FF0000"/>
          <w:highlight w:val="none"/>
        </w:rPr>
      </w:pPr>
      <w:r>
        <w:rPr>
          <w:rFonts w:hint="eastAsia"/>
          <w:highlight w:val="none"/>
        </w:rPr>
        <w:t>（</w:t>
      </w:r>
      <w:r>
        <w:rPr>
          <w:rFonts w:hint="eastAsia"/>
          <w:highlight w:val="none"/>
          <w:lang w:val="en-US" w:eastAsia="zh-CN"/>
        </w:rPr>
        <w:t>5</w:t>
      </w:r>
      <w:r>
        <w:rPr>
          <w:rFonts w:hint="eastAsia"/>
          <w:highlight w:val="none"/>
        </w:rPr>
        <w:t>）享受价格扣除获得政府采购合同的，小微企业不得将合同分包给大中型企业。</w:t>
      </w:r>
    </w:p>
    <w:p w14:paraId="4F69359B">
      <w:pPr>
        <w:ind w:firstLine="422" w:firstLineChars="200"/>
        <w:rPr>
          <w:rFonts w:hint="eastAsia"/>
          <w:b/>
          <w:bCs/>
          <w:highlight w:val="none"/>
        </w:rPr>
      </w:pPr>
    </w:p>
    <w:p w14:paraId="0DF03C82">
      <w:pPr>
        <w:ind w:firstLine="422" w:firstLineChars="200"/>
        <w:rPr>
          <w:rFonts w:hint="eastAsia"/>
          <w:b/>
          <w:bCs/>
          <w:highlight w:val="none"/>
        </w:rPr>
      </w:pPr>
    </w:p>
    <w:p w14:paraId="7F04441F">
      <w:pPr>
        <w:ind w:firstLine="422" w:firstLineChars="200"/>
        <w:rPr>
          <w:rFonts w:hint="eastAsia"/>
          <w:b/>
          <w:bCs/>
          <w:highlight w:val="none"/>
          <w:lang w:val="en-US" w:eastAsia="zh-CN"/>
        </w:rPr>
      </w:pPr>
      <w:r>
        <w:rPr>
          <w:rFonts w:hint="eastAsia" w:ascii="Times New Roman" w:eastAsia="宋体"/>
          <w:b/>
          <w:bCs/>
          <w:highlight w:val="none"/>
          <w:lang w:val="en-US" w:eastAsia="zh-CN"/>
        </w:rPr>
        <w:t>2</w:t>
      </w:r>
      <w:r>
        <w:rPr>
          <w:rFonts w:hint="eastAsia"/>
          <w:b/>
          <w:bCs/>
          <w:highlight w:val="none"/>
          <w:lang w:val="en-US" w:eastAsia="zh-CN"/>
        </w:rPr>
        <w:t>.</w:t>
      </w:r>
      <w:r>
        <w:rPr>
          <w:rFonts w:hint="eastAsia" w:ascii="Times New Roman" w:eastAsia="宋体"/>
          <w:b/>
          <w:bCs/>
          <w:highlight w:val="none"/>
          <w:lang w:val="en-US" w:eastAsia="zh-CN"/>
        </w:rPr>
        <w:t>本项目为代理服务项目，将向中标（成交）供应商收取代理服务费。</w:t>
      </w:r>
    </w:p>
    <w:p w14:paraId="55360E54">
      <w:pPr>
        <w:ind w:firstLine="420" w:firstLineChars="200"/>
        <w:rPr>
          <w:highlight w:val="none"/>
        </w:rPr>
      </w:pP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供应商在领取《中标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通知书》之前须向深圳公共资源交易中心（深圳交易集团有限公司</w:t>
      </w:r>
      <w:r>
        <w:rPr>
          <w:rFonts w:hint="eastAsia"/>
          <w:highlight w:val="none"/>
          <w:lang w:val="en-US" w:eastAsia="zh-CN"/>
        </w:rPr>
        <w:t>福田</w:t>
      </w:r>
      <w:r>
        <w:rPr>
          <w:rFonts w:hint="eastAsia"/>
          <w:highlight w:val="none"/>
        </w:rPr>
        <w:t>分公司）交纳代理服务费。若因中标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供应商交纳代理服务费所产生的时间影响到合同签订的，由中标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供应商自行承担责任。代理服务费标准参照</w:t>
      </w:r>
      <w:r>
        <w:rPr>
          <w:rFonts w:hint="eastAsia" w:ascii="Times New Roman" w:eastAsia="宋体"/>
          <w:highlight w:val="none"/>
          <w:lang w:val="en-US" w:eastAsia="zh-CN"/>
        </w:rPr>
        <w:t>下列</w:t>
      </w:r>
      <w:r>
        <w:rPr>
          <w:rFonts w:hint="eastAsia"/>
          <w:highlight w:val="none"/>
        </w:rPr>
        <w:t>标准收取。</w:t>
      </w:r>
      <w:r>
        <w:rPr>
          <w:rFonts w:hint="eastAsia"/>
          <w:b/>
          <w:color w:val="FF0000"/>
          <w:highlight w:val="none"/>
        </w:rPr>
        <w:t>本项目类型为</w:t>
      </w:r>
      <w:r>
        <w:rPr>
          <w:rFonts w:hint="eastAsia"/>
          <w:b/>
          <w:color w:val="FF0000"/>
          <w:highlight w:val="none"/>
          <w:lang w:val="en-US" w:eastAsia="zh-CN"/>
        </w:rPr>
        <w:t>服务</w:t>
      </w:r>
      <w:r>
        <w:rPr>
          <w:rFonts w:hint="eastAsia"/>
          <w:b/>
          <w:color w:val="FF0000"/>
          <w:highlight w:val="none"/>
        </w:rPr>
        <w:t>采购：</w:t>
      </w:r>
    </w:p>
    <w:p w14:paraId="278DB998">
      <w:pPr>
        <w:ind w:firstLine="420" w:firstLineChars="200"/>
        <w:rPr>
          <w:highlight w:val="none"/>
        </w:rPr>
      </w:pPr>
      <w:r>
        <w:rPr>
          <w:rFonts w:hint="eastAsia"/>
          <w:highlight w:val="none"/>
        </w:rPr>
        <w:t>（</w:t>
      </w:r>
      <w:r>
        <w:rPr>
          <w:rFonts w:hint="eastAsia" w:ascii="Times New Roman" w:eastAsia="宋体"/>
          <w:highlight w:val="none"/>
          <w:lang w:val="en-US" w:eastAsia="zh-CN"/>
        </w:rPr>
        <w:t>1</w:t>
      </w:r>
      <w:r>
        <w:rPr>
          <w:rFonts w:hint="eastAsia"/>
          <w:highlight w:val="none"/>
        </w:rPr>
        <w:t>）代理服务费以《中标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通知书》确定的</w:t>
      </w:r>
      <w:r>
        <w:rPr>
          <w:rFonts w:hint="eastAsia" w:ascii="Times New Roman" w:eastAsia="宋体"/>
          <w:highlight w:val="none"/>
          <w:lang w:val="en-US" w:eastAsia="zh-CN"/>
        </w:rPr>
        <w:t>中标（</w:t>
      </w:r>
      <w:r>
        <w:rPr>
          <w:rFonts w:hint="eastAsia"/>
          <w:highlight w:val="none"/>
        </w:rPr>
        <w:t>成交</w:t>
      </w:r>
      <w:r>
        <w:rPr>
          <w:rFonts w:hint="eastAsia" w:eastAsia="宋体"/>
          <w:highlight w:val="none"/>
          <w:lang w:eastAsia="zh-CN"/>
        </w:rPr>
        <w:t>）</w:t>
      </w:r>
      <w:r>
        <w:rPr>
          <w:rFonts w:hint="eastAsia"/>
          <w:highlight w:val="none"/>
        </w:rPr>
        <w:t>金额作为计算基数，按差额定率累进法计算。</w:t>
      </w:r>
    </w:p>
    <w:p w14:paraId="0C13EFB0">
      <w:pPr>
        <w:ind w:firstLine="420" w:firstLineChars="200"/>
        <w:rPr>
          <w:highlight w:val="none"/>
        </w:rPr>
      </w:pPr>
      <w:r>
        <w:rPr>
          <w:rFonts w:hint="eastAsia"/>
          <w:highlight w:val="none"/>
        </w:rPr>
        <w:t>（</w:t>
      </w:r>
      <w:r>
        <w:rPr>
          <w:rFonts w:hint="eastAsia" w:ascii="Times New Roman" w:eastAsia="宋体"/>
          <w:highlight w:val="none"/>
          <w:lang w:val="en-US" w:eastAsia="zh-CN"/>
        </w:rPr>
        <w:t>2</w:t>
      </w: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23E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2A87F74A">
            <w:pPr>
              <w:widowControl/>
              <w:spacing w:line="360" w:lineRule="auto"/>
              <w:jc w:val="center"/>
              <w:rPr>
                <w:highlight w:val="none"/>
              </w:rPr>
            </w:pPr>
            <w:r>
              <w:rPr>
                <w:rFonts w:hint="eastAsia" w:ascii="Times New Roman" w:eastAsia="宋体"/>
                <w:highlight w:val="none"/>
                <w:lang w:val="en-US" w:eastAsia="zh-CN"/>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w:t>
            </w:r>
          </w:p>
        </w:tc>
        <w:tc>
          <w:tcPr>
            <w:tcW w:w="1799" w:type="dxa"/>
            <w:vAlign w:val="center"/>
          </w:tcPr>
          <w:p w14:paraId="076FF9D2">
            <w:pPr>
              <w:widowControl/>
              <w:spacing w:line="360" w:lineRule="auto"/>
              <w:jc w:val="center"/>
              <w:rPr>
                <w:highlight w:val="none"/>
              </w:rPr>
            </w:pPr>
            <w:r>
              <w:rPr>
                <w:rFonts w:hint="eastAsia"/>
                <w:highlight w:val="none"/>
              </w:rPr>
              <w:t>货物采购</w:t>
            </w:r>
          </w:p>
        </w:tc>
        <w:tc>
          <w:tcPr>
            <w:tcW w:w="1799" w:type="dxa"/>
            <w:vAlign w:val="center"/>
          </w:tcPr>
          <w:p w14:paraId="552B4359">
            <w:pPr>
              <w:widowControl/>
              <w:spacing w:line="360" w:lineRule="auto"/>
              <w:jc w:val="center"/>
              <w:rPr>
                <w:highlight w:val="none"/>
              </w:rPr>
            </w:pPr>
            <w:r>
              <w:rPr>
                <w:rFonts w:hint="eastAsia"/>
                <w:highlight w:val="none"/>
              </w:rPr>
              <w:t>服务采购</w:t>
            </w:r>
          </w:p>
        </w:tc>
        <w:tc>
          <w:tcPr>
            <w:tcW w:w="1799" w:type="dxa"/>
            <w:vAlign w:val="center"/>
          </w:tcPr>
          <w:p w14:paraId="0C6348BD">
            <w:pPr>
              <w:widowControl/>
              <w:spacing w:line="360" w:lineRule="auto"/>
              <w:jc w:val="center"/>
              <w:rPr>
                <w:highlight w:val="none"/>
              </w:rPr>
            </w:pPr>
            <w:r>
              <w:rPr>
                <w:rFonts w:hint="eastAsia"/>
                <w:highlight w:val="none"/>
              </w:rPr>
              <w:t>工程采购</w:t>
            </w:r>
          </w:p>
        </w:tc>
      </w:tr>
      <w:tr w14:paraId="3568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A2B194">
            <w:pPr>
              <w:widowControl/>
              <w:spacing w:line="360" w:lineRule="auto"/>
              <w:jc w:val="center"/>
              <w:rPr>
                <w:highlight w:val="none"/>
              </w:rPr>
            </w:pPr>
            <w:r>
              <w:rPr>
                <w:rFonts w:hint="eastAsia"/>
                <w:highlight w:val="none"/>
              </w:rPr>
              <w:t>100万元以下</w:t>
            </w:r>
          </w:p>
        </w:tc>
        <w:tc>
          <w:tcPr>
            <w:tcW w:w="1799" w:type="dxa"/>
            <w:vAlign w:val="center"/>
          </w:tcPr>
          <w:p w14:paraId="7AAF9495">
            <w:pPr>
              <w:widowControl/>
              <w:spacing w:line="360" w:lineRule="auto"/>
              <w:jc w:val="center"/>
              <w:rPr>
                <w:highlight w:val="none"/>
              </w:rPr>
            </w:pPr>
            <w:r>
              <w:rPr>
                <w:rFonts w:hint="eastAsia"/>
                <w:highlight w:val="none"/>
              </w:rPr>
              <w:t>1.5%</w:t>
            </w:r>
          </w:p>
        </w:tc>
        <w:tc>
          <w:tcPr>
            <w:tcW w:w="1799" w:type="dxa"/>
            <w:vAlign w:val="center"/>
          </w:tcPr>
          <w:p w14:paraId="250252AF">
            <w:pPr>
              <w:widowControl/>
              <w:spacing w:line="360" w:lineRule="auto"/>
              <w:jc w:val="center"/>
              <w:rPr>
                <w:highlight w:val="none"/>
              </w:rPr>
            </w:pPr>
            <w:r>
              <w:rPr>
                <w:rFonts w:hint="eastAsia"/>
                <w:highlight w:val="none"/>
              </w:rPr>
              <w:t>1.5%</w:t>
            </w:r>
          </w:p>
        </w:tc>
        <w:tc>
          <w:tcPr>
            <w:tcW w:w="1799" w:type="dxa"/>
            <w:vAlign w:val="center"/>
          </w:tcPr>
          <w:p w14:paraId="01E86EEE">
            <w:pPr>
              <w:widowControl/>
              <w:spacing w:line="360" w:lineRule="auto"/>
              <w:jc w:val="center"/>
              <w:rPr>
                <w:highlight w:val="none"/>
              </w:rPr>
            </w:pPr>
            <w:r>
              <w:rPr>
                <w:rFonts w:hint="eastAsia"/>
                <w:highlight w:val="none"/>
              </w:rPr>
              <w:t>1.0%</w:t>
            </w:r>
          </w:p>
        </w:tc>
      </w:tr>
      <w:tr w14:paraId="534A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AEC7C03">
            <w:pPr>
              <w:widowControl/>
              <w:spacing w:line="360" w:lineRule="auto"/>
              <w:jc w:val="center"/>
              <w:rPr>
                <w:highlight w:val="none"/>
              </w:rPr>
            </w:pPr>
            <w:r>
              <w:rPr>
                <w:rFonts w:hint="eastAsia"/>
                <w:highlight w:val="none"/>
              </w:rPr>
              <w:t>100万元（含）-500万元</w:t>
            </w:r>
          </w:p>
        </w:tc>
        <w:tc>
          <w:tcPr>
            <w:tcW w:w="1799" w:type="dxa"/>
            <w:vAlign w:val="center"/>
          </w:tcPr>
          <w:p w14:paraId="3D1240F3">
            <w:pPr>
              <w:widowControl/>
              <w:spacing w:line="360" w:lineRule="auto"/>
              <w:jc w:val="center"/>
              <w:rPr>
                <w:highlight w:val="none"/>
              </w:rPr>
            </w:pPr>
            <w:r>
              <w:rPr>
                <w:rFonts w:hint="eastAsia"/>
                <w:highlight w:val="none"/>
              </w:rPr>
              <w:t>1.1%</w:t>
            </w:r>
          </w:p>
        </w:tc>
        <w:tc>
          <w:tcPr>
            <w:tcW w:w="1799" w:type="dxa"/>
            <w:vAlign w:val="center"/>
          </w:tcPr>
          <w:p w14:paraId="049DA3D2">
            <w:pPr>
              <w:widowControl/>
              <w:spacing w:line="360" w:lineRule="auto"/>
              <w:jc w:val="center"/>
              <w:rPr>
                <w:highlight w:val="none"/>
              </w:rPr>
            </w:pPr>
            <w:r>
              <w:rPr>
                <w:rFonts w:hint="eastAsia"/>
                <w:highlight w:val="none"/>
              </w:rPr>
              <w:t>0.8%</w:t>
            </w:r>
          </w:p>
        </w:tc>
        <w:tc>
          <w:tcPr>
            <w:tcW w:w="1799" w:type="dxa"/>
            <w:vAlign w:val="center"/>
          </w:tcPr>
          <w:p w14:paraId="01E51BB2">
            <w:pPr>
              <w:widowControl/>
              <w:spacing w:line="360" w:lineRule="auto"/>
              <w:jc w:val="center"/>
              <w:rPr>
                <w:highlight w:val="none"/>
              </w:rPr>
            </w:pPr>
            <w:r>
              <w:rPr>
                <w:rFonts w:hint="eastAsia"/>
                <w:highlight w:val="none"/>
              </w:rPr>
              <w:t>0.7%</w:t>
            </w:r>
          </w:p>
        </w:tc>
      </w:tr>
      <w:tr w14:paraId="3DB4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B3946B7">
            <w:pPr>
              <w:widowControl/>
              <w:spacing w:line="360" w:lineRule="auto"/>
              <w:jc w:val="center"/>
              <w:rPr>
                <w:highlight w:val="none"/>
              </w:rPr>
            </w:pPr>
            <w:r>
              <w:rPr>
                <w:rFonts w:hint="eastAsia"/>
                <w:highlight w:val="none"/>
              </w:rPr>
              <w:t>500万元（含）-1000万元</w:t>
            </w:r>
          </w:p>
        </w:tc>
        <w:tc>
          <w:tcPr>
            <w:tcW w:w="1799" w:type="dxa"/>
            <w:vAlign w:val="center"/>
          </w:tcPr>
          <w:p w14:paraId="4451FA35">
            <w:pPr>
              <w:widowControl/>
              <w:spacing w:line="360" w:lineRule="auto"/>
              <w:jc w:val="center"/>
              <w:rPr>
                <w:highlight w:val="none"/>
              </w:rPr>
            </w:pPr>
            <w:r>
              <w:rPr>
                <w:rFonts w:hint="eastAsia"/>
                <w:highlight w:val="none"/>
              </w:rPr>
              <w:t>0.8%</w:t>
            </w:r>
          </w:p>
        </w:tc>
        <w:tc>
          <w:tcPr>
            <w:tcW w:w="1799" w:type="dxa"/>
            <w:vAlign w:val="center"/>
          </w:tcPr>
          <w:p w14:paraId="0FBCEC47">
            <w:pPr>
              <w:widowControl/>
              <w:spacing w:line="360" w:lineRule="auto"/>
              <w:jc w:val="center"/>
              <w:rPr>
                <w:highlight w:val="none"/>
              </w:rPr>
            </w:pPr>
            <w:r>
              <w:rPr>
                <w:rFonts w:hint="eastAsia"/>
                <w:highlight w:val="none"/>
              </w:rPr>
              <w:t>0.45%</w:t>
            </w:r>
          </w:p>
        </w:tc>
        <w:tc>
          <w:tcPr>
            <w:tcW w:w="1799" w:type="dxa"/>
            <w:vAlign w:val="center"/>
          </w:tcPr>
          <w:p w14:paraId="04886A6A">
            <w:pPr>
              <w:widowControl/>
              <w:spacing w:line="360" w:lineRule="auto"/>
              <w:jc w:val="center"/>
              <w:rPr>
                <w:highlight w:val="none"/>
              </w:rPr>
            </w:pPr>
            <w:r>
              <w:rPr>
                <w:rFonts w:hint="eastAsia"/>
                <w:highlight w:val="none"/>
              </w:rPr>
              <w:t>0.55%</w:t>
            </w:r>
          </w:p>
        </w:tc>
      </w:tr>
      <w:tr w14:paraId="3A8F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CF9057C">
            <w:pPr>
              <w:widowControl/>
              <w:spacing w:line="360" w:lineRule="auto"/>
              <w:jc w:val="center"/>
              <w:rPr>
                <w:highlight w:val="none"/>
              </w:rPr>
            </w:pPr>
            <w:r>
              <w:rPr>
                <w:rFonts w:hint="eastAsia"/>
                <w:highlight w:val="none"/>
              </w:rPr>
              <w:t>1000万元（含）-5000万元</w:t>
            </w:r>
          </w:p>
        </w:tc>
        <w:tc>
          <w:tcPr>
            <w:tcW w:w="1799" w:type="dxa"/>
            <w:vAlign w:val="center"/>
          </w:tcPr>
          <w:p w14:paraId="159A5EB2">
            <w:pPr>
              <w:widowControl/>
              <w:spacing w:line="360" w:lineRule="auto"/>
              <w:jc w:val="center"/>
              <w:rPr>
                <w:highlight w:val="none"/>
              </w:rPr>
            </w:pPr>
            <w:r>
              <w:rPr>
                <w:rFonts w:hint="eastAsia"/>
                <w:highlight w:val="none"/>
              </w:rPr>
              <w:t>0.5%</w:t>
            </w:r>
          </w:p>
        </w:tc>
        <w:tc>
          <w:tcPr>
            <w:tcW w:w="1799" w:type="dxa"/>
            <w:vAlign w:val="center"/>
          </w:tcPr>
          <w:p w14:paraId="3232BCC2">
            <w:pPr>
              <w:widowControl/>
              <w:spacing w:line="360" w:lineRule="auto"/>
              <w:jc w:val="center"/>
              <w:rPr>
                <w:highlight w:val="none"/>
              </w:rPr>
            </w:pPr>
            <w:r>
              <w:rPr>
                <w:rFonts w:hint="eastAsia"/>
                <w:highlight w:val="none"/>
              </w:rPr>
              <w:t>0.25%</w:t>
            </w:r>
          </w:p>
        </w:tc>
        <w:tc>
          <w:tcPr>
            <w:tcW w:w="1799" w:type="dxa"/>
            <w:vAlign w:val="center"/>
          </w:tcPr>
          <w:p w14:paraId="3091B7CE">
            <w:pPr>
              <w:widowControl/>
              <w:spacing w:line="360" w:lineRule="auto"/>
              <w:jc w:val="center"/>
              <w:rPr>
                <w:highlight w:val="none"/>
              </w:rPr>
            </w:pPr>
            <w:r>
              <w:rPr>
                <w:rFonts w:hint="eastAsia"/>
                <w:highlight w:val="none"/>
              </w:rPr>
              <w:t>0.35%</w:t>
            </w:r>
          </w:p>
        </w:tc>
      </w:tr>
      <w:tr w14:paraId="23CC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40C336D">
            <w:pPr>
              <w:widowControl/>
              <w:spacing w:line="360" w:lineRule="auto"/>
              <w:jc w:val="center"/>
              <w:rPr>
                <w:highlight w:val="none"/>
              </w:rPr>
            </w:pPr>
            <w:r>
              <w:rPr>
                <w:rFonts w:hint="eastAsia"/>
                <w:highlight w:val="none"/>
              </w:rPr>
              <w:t>5000万元（含）-1亿元</w:t>
            </w:r>
          </w:p>
        </w:tc>
        <w:tc>
          <w:tcPr>
            <w:tcW w:w="1799" w:type="dxa"/>
            <w:vAlign w:val="center"/>
          </w:tcPr>
          <w:p w14:paraId="0DAD7B8F">
            <w:pPr>
              <w:widowControl/>
              <w:spacing w:line="360" w:lineRule="auto"/>
              <w:jc w:val="center"/>
              <w:rPr>
                <w:highlight w:val="none"/>
              </w:rPr>
            </w:pPr>
            <w:r>
              <w:rPr>
                <w:rFonts w:hint="eastAsia"/>
                <w:highlight w:val="none"/>
              </w:rPr>
              <w:t>0.25%</w:t>
            </w:r>
          </w:p>
        </w:tc>
        <w:tc>
          <w:tcPr>
            <w:tcW w:w="1799" w:type="dxa"/>
            <w:vAlign w:val="center"/>
          </w:tcPr>
          <w:p w14:paraId="7D462861">
            <w:pPr>
              <w:widowControl/>
              <w:spacing w:line="360" w:lineRule="auto"/>
              <w:jc w:val="center"/>
              <w:rPr>
                <w:highlight w:val="none"/>
              </w:rPr>
            </w:pPr>
            <w:r>
              <w:rPr>
                <w:rFonts w:hint="eastAsia"/>
                <w:highlight w:val="none"/>
              </w:rPr>
              <w:t>0.1%</w:t>
            </w:r>
          </w:p>
        </w:tc>
        <w:tc>
          <w:tcPr>
            <w:tcW w:w="1799" w:type="dxa"/>
            <w:vAlign w:val="center"/>
          </w:tcPr>
          <w:p w14:paraId="5B8F2734">
            <w:pPr>
              <w:widowControl/>
              <w:spacing w:line="360" w:lineRule="auto"/>
              <w:jc w:val="center"/>
              <w:rPr>
                <w:highlight w:val="none"/>
              </w:rPr>
            </w:pPr>
            <w:r>
              <w:rPr>
                <w:rFonts w:hint="eastAsia"/>
                <w:highlight w:val="none"/>
              </w:rPr>
              <w:t>0.2%</w:t>
            </w:r>
          </w:p>
        </w:tc>
      </w:tr>
      <w:tr w14:paraId="3BD4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94BA302">
            <w:pPr>
              <w:widowControl/>
              <w:spacing w:line="360" w:lineRule="auto"/>
              <w:jc w:val="center"/>
              <w:rPr>
                <w:highlight w:val="none"/>
              </w:rPr>
            </w:pPr>
            <w:r>
              <w:rPr>
                <w:rFonts w:hint="eastAsia"/>
                <w:highlight w:val="none"/>
              </w:rPr>
              <w:t>1亿元（含）-5亿元</w:t>
            </w:r>
          </w:p>
        </w:tc>
        <w:tc>
          <w:tcPr>
            <w:tcW w:w="1799" w:type="dxa"/>
            <w:vAlign w:val="center"/>
          </w:tcPr>
          <w:p w14:paraId="18FB4C36">
            <w:pPr>
              <w:widowControl/>
              <w:spacing w:line="360" w:lineRule="auto"/>
              <w:jc w:val="center"/>
              <w:rPr>
                <w:highlight w:val="none"/>
              </w:rPr>
            </w:pPr>
            <w:r>
              <w:rPr>
                <w:rFonts w:hint="eastAsia"/>
                <w:highlight w:val="none"/>
              </w:rPr>
              <w:t>0.05%</w:t>
            </w:r>
          </w:p>
        </w:tc>
        <w:tc>
          <w:tcPr>
            <w:tcW w:w="1799" w:type="dxa"/>
            <w:vAlign w:val="center"/>
          </w:tcPr>
          <w:p w14:paraId="5B978099">
            <w:pPr>
              <w:widowControl/>
              <w:spacing w:line="360" w:lineRule="auto"/>
              <w:jc w:val="center"/>
              <w:rPr>
                <w:highlight w:val="none"/>
              </w:rPr>
            </w:pPr>
            <w:r>
              <w:rPr>
                <w:rFonts w:hint="eastAsia"/>
                <w:highlight w:val="none"/>
              </w:rPr>
              <w:t>0.05%</w:t>
            </w:r>
          </w:p>
        </w:tc>
        <w:tc>
          <w:tcPr>
            <w:tcW w:w="1799" w:type="dxa"/>
            <w:vAlign w:val="center"/>
          </w:tcPr>
          <w:p w14:paraId="1D3F7A7D">
            <w:pPr>
              <w:widowControl/>
              <w:spacing w:line="360" w:lineRule="auto"/>
              <w:jc w:val="center"/>
              <w:rPr>
                <w:highlight w:val="none"/>
              </w:rPr>
            </w:pPr>
            <w:r>
              <w:rPr>
                <w:rFonts w:hint="eastAsia"/>
                <w:highlight w:val="none"/>
              </w:rPr>
              <w:t>0.05%</w:t>
            </w:r>
          </w:p>
        </w:tc>
      </w:tr>
      <w:tr w14:paraId="6177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B28DA87">
            <w:pPr>
              <w:widowControl/>
              <w:spacing w:line="360" w:lineRule="auto"/>
              <w:jc w:val="center"/>
              <w:rPr>
                <w:highlight w:val="none"/>
              </w:rPr>
            </w:pPr>
            <w:r>
              <w:rPr>
                <w:rFonts w:hint="eastAsia"/>
                <w:highlight w:val="none"/>
              </w:rPr>
              <w:t>5亿元（含）-10亿元</w:t>
            </w:r>
          </w:p>
        </w:tc>
        <w:tc>
          <w:tcPr>
            <w:tcW w:w="1799" w:type="dxa"/>
            <w:vAlign w:val="center"/>
          </w:tcPr>
          <w:p w14:paraId="73A5C8F0">
            <w:pPr>
              <w:widowControl/>
              <w:spacing w:line="360" w:lineRule="auto"/>
              <w:jc w:val="center"/>
              <w:rPr>
                <w:highlight w:val="none"/>
              </w:rPr>
            </w:pPr>
            <w:r>
              <w:rPr>
                <w:rFonts w:hint="eastAsia"/>
                <w:highlight w:val="none"/>
              </w:rPr>
              <w:t>0.035%</w:t>
            </w:r>
          </w:p>
        </w:tc>
        <w:tc>
          <w:tcPr>
            <w:tcW w:w="1799" w:type="dxa"/>
            <w:vAlign w:val="center"/>
          </w:tcPr>
          <w:p w14:paraId="383BB13E">
            <w:pPr>
              <w:widowControl/>
              <w:spacing w:line="360" w:lineRule="auto"/>
              <w:jc w:val="center"/>
              <w:rPr>
                <w:highlight w:val="none"/>
              </w:rPr>
            </w:pPr>
            <w:r>
              <w:rPr>
                <w:rFonts w:hint="eastAsia"/>
                <w:highlight w:val="none"/>
              </w:rPr>
              <w:t>0.035%</w:t>
            </w:r>
          </w:p>
        </w:tc>
        <w:tc>
          <w:tcPr>
            <w:tcW w:w="1799" w:type="dxa"/>
            <w:vAlign w:val="center"/>
          </w:tcPr>
          <w:p w14:paraId="6F0E8FA6">
            <w:pPr>
              <w:widowControl/>
              <w:spacing w:line="360" w:lineRule="auto"/>
              <w:jc w:val="center"/>
              <w:rPr>
                <w:highlight w:val="none"/>
              </w:rPr>
            </w:pPr>
            <w:r>
              <w:rPr>
                <w:rFonts w:hint="eastAsia"/>
                <w:highlight w:val="none"/>
              </w:rPr>
              <w:t>0.035%</w:t>
            </w:r>
          </w:p>
        </w:tc>
      </w:tr>
      <w:tr w14:paraId="509B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42CCCD03">
            <w:pPr>
              <w:widowControl/>
              <w:spacing w:line="360" w:lineRule="auto"/>
              <w:jc w:val="center"/>
              <w:rPr>
                <w:highlight w:val="none"/>
              </w:rPr>
            </w:pPr>
            <w:r>
              <w:rPr>
                <w:rFonts w:hint="eastAsia"/>
                <w:highlight w:val="none"/>
              </w:rPr>
              <w:t>10亿元（含）-50亿元</w:t>
            </w:r>
          </w:p>
        </w:tc>
        <w:tc>
          <w:tcPr>
            <w:tcW w:w="1799" w:type="dxa"/>
            <w:vAlign w:val="center"/>
          </w:tcPr>
          <w:p w14:paraId="4F7954D6">
            <w:pPr>
              <w:widowControl/>
              <w:spacing w:line="360" w:lineRule="auto"/>
              <w:jc w:val="center"/>
              <w:rPr>
                <w:highlight w:val="none"/>
              </w:rPr>
            </w:pPr>
            <w:r>
              <w:rPr>
                <w:rFonts w:hint="eastAsia"/>
                <w:highlight w:val="none"/>
              </w:rPr>
              <w:t>0.008%</w:t>
            </w:r>
          </w:p>
        </w:tc>
        <w:tc>
          <w:tcPr>
            <w:tcW w:w="1799" w:type="dxa"/>
            <w:vAlign w:val="center"/>
          </w:tcPr>
          <w:p w14:paraId="188D9AAE">
            <w:pPr>
              <w:widowControl/>
              <w:spacing w:line="360" w:lineRule="auto"/>
              <w:jc w:val="center"/>
              <w:rPr>
                <w:highlight w:val="none"/>
              </w:rPr>
            </w:pPr>
            <w:r>
              <w:rPr>
                <w:rFonts w:hint="eastAsia"/>
                <w:highlight w:val="none"/>
              </w:rPr>
              <w:t>0.008%</w:t>
            </w:r>
          </w:p>
        </w:tc>
        <w:tc>
          <w:tcPr>
            <w:tcW w:w="1799" w:type="dxa"/>
            <w:vAlign w:val="center"/>
          </w:tcPr>
          <w:p w14:paraId="3F9BE340">
            <w:pPr>
              <w:widowControl/>
              <w:spacing w:line="360" w:lineRule="auto"/>
              <w:jc w:val="center"/>
              <w:rPr>
                <w:highlight w:val="none"/>
              </w:rPr>
            </w:pPr>
            <w:r>
              <w:rPr>
                <w:rFonts w:hint="eastAsia"/>
                <w:highlight w:val="none"/>
              </w:rPr>
              <w:t>0.008%</w:t>
            </w:r>
          </w:p>
        </w:tc>
      </w:tr>
      <w:tr w14:paraId="3AE3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7DD309F">
            <w:pPr>
              <w:widowControl/>
              <w:spacing w:line="360" w:lineRule="auto"/>
              <w:jc w:val="center"/>
              <w:rPr>
                <w:highlight w:val="none"/>
              </w:rPr>
            </w:pPr>
            <w:r>
              <w:rPr>
                <w:rFonts w:hint="eastAsia"/>
                <w:highlight w:val="none"/>
              </w:rPr>
              <w:t>50亿元（含）-100亿元</w:t>
            </w:r>
          </w:p>
        </w:tc>
        <w:tc>
          <w:tcPr>
            <w:tcW w:w="1799" w:type="dxa"/>
            <w:vAlign w:val="center"/>
          </w:tcPr>
          <w:p w14:paraId="4C455D24">
            <w:pPr>
              <w:widowControl/>
              <w:spacing w:line="360" w:lineRule="auto"/>
              <w:jc w:val="center"/>
              <w:rPr>
                <w:highlight w:val="none"/>
              </w:rPr>
            </w:pPr>
            <w:r>
              <w:rPr>
                <w:rFonts w:hint="eastAsia"/>
                <w:highlight w:val="none"/>
              </w:rPr>
              <w:t>0.006%</w:t>
            </w:r>
          </w:p>
        </w:tc>
        <w:tc>
          <w:tcPr>
            <w:tcW w:w="1799" w:type="dxa"/>
            <w:vAlign w:val="center"/>
          </w:tcPr>
          <w:p w14:paraId="100EB6AB">
            <w:pPr>
              <w:widowControl/>
              <w:spacing w:line="360" w:lineRule="auto"/>
              <w:jc w:val="center"/>
              <w:rPr>
                <w:highlight w:val="none"/>
              </w:rPr>
            </w:pPr>
            <w:r>
              <w:rPr>
                <w:rFonts w:hint="eastAsia"/>
                <w:highlight w:val="none"/>
              </w:rPr>
              <w:t>0.006%</w:t>
            </w:r>
          </w:p>
        </w:tc>
        <w:tc>
          <w:tcPr>
            <w:tcW w:w="1799" w:type="dxa"/>
            <w:vAlign w:val="center"/>
          </w:tcPr>
          <w:p w14:paraId="70F2F523">
            <w:pPr>
              <w:widowControl/>
              <w:spacing w:line="360" w:lineRule="auto"/>
              <w:jc w:val="center"/>
              <w:rPr>
                <w:highlight w:val="none"/>
              </w:rPr>
            </w:pPr>
            <w:r>
              <w:rPr>
                <w:rFonts w:hint="eastAsia"/>
                <w:highlight w:val="none"/>
              </w:rPr>
              <w:t>0.006%</w:t>
            </w:r>
          </w:p>
        </w:tc>
      </w:tr>
      <w:tr w14:paraId="5DDD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7AD23A6">
            <w:pPr>
              <w:widowControl/>
              <w:spacing w:line="360" w:lineRule="auto"/>
              <w:jc w:val="center"/>
              <w:rPr>
                <w:highlight w:val="none"/>
              </w:rPr>
            </w:pPr>
            <w:r>
              <w:rPr>
                <w:rFonts w:hint="eastAsia"/>
                <w:highlight w:val="none"/>
              </w:rPr>
              <w:t>100亿元（含）以上</w:t>
            </w:r>
          </w:p>
        </w:tc>
        <w:tc>
          <w:tcPr>
            <w:tcW w:w="1799" w:type="dxa"/>
            <w:vAlign w:val="center"/>
          </w:tcPr>
          <w:p w14:paraId="3E0BE32B">
            <w:pPr>
              <w:widowControl/>
              <w:spacing w:line="360" w:lineRule="auto"/>
              <w:jc w:val="center"/>
              <w:rPr>
                <w:highlight w:val="none"/>
              </w:rPr>
            </w:pPr>
            <w:r>
              <w:rPr>
                <w:rFonts w:hint="eastAsia"/>
                <w:highlight w:val="none"/>
              </w:rPr>
              <w:t>0.004%</w:t>
            </w:r>
          </w:p>
        </w:tc>
        <w:tc>
          <w:tcPr>
            <w:tcW w:w="1799" w:type="dxa"/>
            <w:vAlign w:val="center"/>
          </w:tcPr>
          <w:p w14:paraId="51473594">
            <w:pPr>
              <w:widowControl/>
              <w:spacing w:line="360" w:lineRule="auto"/>
              <w:jc w:val="center"/>
              <w:rPr>
                <w:highlight w:val="none"/>
              </w:rPr>
            </w:pPr>
            <w:r>
              <w:rPr>
                <w:rFonts w:hint="eastAsia"/>
                <w:highlight w:val="none"/>
              </w:rPr>
              <w:t>0.004%</w:t>
            </w:r>
          </w:p>
        </w:tc>
        <w:tc>
          <w:tcPr>
            <w:tcW w:w="1799" w:type="dxa"/>
            <w:vAlign w:val="center"/>
          </w:tcPr>
          <w:p w14:paraId="48B89A0C">
            <w:pPr>
              <w:widowControl/>
              <w:spacing w:line="360" w:lineRule="auto"/>
              <w:jc w:val="center"/>
              <w:rPr>
                <w:highlight w:val="none"/>
              </w:rPr>
            </w:pPr>
            <w:r>
              <w:rPr>
                <w:rFonts w:hint="eastAsia"/>
                <w:highlight w:val="none"/>
              </w:rPr>
              <w:t>0.004%</w:t>
            </w:r>
          </w:p>
        </w:tc>
      </w:tr>
    </w:tbl>
    <w:p w14:paraId="14BC5090">
      <w:pPr>
        <w:ind w:firstLine="420" w:firstLineChars="200"/>
        <w:rPr>
          <w:highlight w:val="none"/>
        </w:rPr>
      </w:pPr>
      <w:r>
        <w:rPr>
          <w:rFonts w:hint="eastAsia"/>
          <w:highlight w:val="none"/>
        </w:rPr>
        <w:t xml:space="preserve">备注：1.每宗交易代理服务费不低于 </w:t>
      </w:r>
      <w:r>
        <w:rPr>
          <w:rFonts w:hint="eastAsia" w:ascii="Times New Roman" w:eastAsia="宋体"/>
          <w:highlight w:val="none"/>
          <w:lang w:val="en-US" w:eastAsia="zh-CN"/>
        </w:rPr>
        <w:t>5</w:t>
      </w:r>
      <w:r>
        <w:rPr>
          <w:rFonts w:hint="eastAsia"/>
          <w:highlight w:val="none"/>
        </w:rPr>
        <w:t>000 元；</w:t>
      </w:r>
    </w:p>
    <w:p w14:paraId="206BC4EB">
      <w:pPr>
        <w:ind w:firstLine="420" w:firstLineChars="200"/>
        <w:rPr>
          <w:rFonts w:hint="eastAsia" w:eastAsia="宋体"/>
          <w:highlight w:val="none"/>
          <w:lang w:eastAsia="zh-CN"/>
        </w:rPr>
      </w:pPr>
      <w:r>
        <w:rPr>
          <w:rFonts w:hint="eastAsia"/>
          <w:highlight w:val="none"/>
        </w:rPr>
        <w:t>2.对于报总价的采购类项目，中标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价为中标（成交）金额；对于报单价、折扣或费率的采购类项目，中标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价为预算上限金额或经委托方与代理方确定的支付上限金额；</w:t>
      </w:r>
    </w:p>
    <w:p w14:paraId="392FD4F0">
      <w:pPr>
        <w:ind w:firstLine="420" w:firstLineChars="200"/>
        <w:rPr>
          <w:highlight w:val="none"/>
        </w:rPr>
      </w:pPr>
    </w:p>
    <w:p w14:paraId="2E5AAB5B">
      <w:pPr>
        <w:ind w:firstLine="420" w:firstLineChars="200"/>
        <w:rPr>
          <w:highlight w:val="none"/>
        </w:rPr>
      </w:pPr>
      <w:r>
        <w:rPr>
          <w:rFonts w:hint="eastAsia"/>
          <w:highlight w:val="none"/>
        </w:rPr>
        <w:t>如某货物采购项目，中标（成交）金额为600万元，总共交纳的代理服务费的具体计算过程如下：</w:t>
      </w:r>
    </w:p>
    <w:p w14:paraId="705543AC">
      <w:pPr>
        <w:ind w:firstLine="420" w:firstLineChars="200"/>
        <w:rPr>
          <w:highlight w:val="none"/>
        </w:rPr>
      </w:pPr>
      <w:r>
        <w:rPr>
          <w:rFonts w:hint="eastAsia"/>
          <w:highlight w:val="none"/>
        </w:rPr>
        <w:t>标准代理服务费＝（100万以下部分的代理服务费）+（100万～500万部分的代理服务费）+（500万～600万部分的代理服务费）＝100万元×1.5%+（500-100）万元×1.1%+（600-500）万元×0.8%=1.5万元+4.4万元+0.8万元＝6.7万元</w:t>
      </w:r>
    </w:p>
    <w:p w14:paraId="7944404B">
      <w:pPr>
        <w:ind w:firstLine="420" w:firstLineChars="200"/>
        <w:rPr>
          <w:highlight w:val="none"/>
        </w:rPr>
      </w:pPr>
      <w:r>
        <w:rPr>
          <w:rFonts w:hint="eastAsia"/>
          <w:highlight w:val="none"/>
        </w:rPr>
        <w:t>（</w:t>
      </w:r>
      <w:r>
        <w:rPr>
          <w:rFonts w:hint="eastAsia" w:ascii="Times New Roman" w:eastAsia="宋体"/>
          <w:highlight w:val="none"/>
          <w:lang w:val="en-US" w:eastAsia="zh-CN"/>
        </w:rPr>
        <w:t>3</w:t>
      </w:r>
      <w:r>
        <w:rPr>
          <w:rFonts w:hint="eastAsia"/>
          <w:highlight w:val="none"/>
        </w:rPr>
        <w:t>）中标（成交）供应商中标（成交）后，必须按规定采用银行对公转账方式向深圳交易集团有限公司直接交纳代理服务费，交纳信息及要求按照缴款</w:t>
      </w:r>
      <w:r>
        <w:rPr>
          <w:rFonts w:hint="eastAsia" w:eastAsia="宋体"/>
          <w:highlight w:val="none"/>
          <w:lang w:eastAsia="zh-CN"/>
        </w:rPr>
        <w:t>（</w:t>
      </w:r>
      <w:r>
        <w:rPr>
          <w:rFonts w:hint="eastAsia" w:ascii="Times New Roman" w:eastAsia="宋体"/>
          <w:highlight w:val="none"/>
          <w:lang w:val="en-US" w:eastAsia="zh-CN"/>
        </w:rPr>
        <w:t>付款</w:t>
      </w:r>
      <w:r>
        <w:rPr>
          <w:rFonts w:hint="eastAsia" w:eastAsia="宋体"/>
          <w:highlight w:val="none"/>
          <w:lang w:eastAsia="zh-CN"/>
        </w:rPr>
        <w:t>）</w:t>
      </w:r>
      <w:r>
        <w:rPr>
          <w:rFonts w:hint="eastAsia"/>
          <w:highlight w:val="none"/>
        </w:rPr>
        <w:t>通知书执行。</w:t>
      </w:r>
    </w:p>
    <w:p w14:paraId="182F7A70">
      <w:pPr>
        <w:pStyle w:val="2"/>
        <w:rPr>
          <w:b/>
          <w:highlight w:val="none"/>
        </w:rPr>
      </w:pPr>
    </w:p>
    <w:p w14:paraId="0CCF939D">
      <w:pPr>
        <w:pStyle w:val="2"/>
        <w:rPr>
          <w:b/>
          <w:highlight w:val="none"/>
        </w:rPr>
      </w:pPr>
    </w:p>
    <w:p w14:paraId="7473CE20">
      <w:pPr>
        <w:spacing w:after="0" w:line="240" w:lineRule="auto"/>
        <w:ind w:firstLine="422" w:firstLineChars="200"/>
        <w:jc w:val="left"/>
        <w:rPr>
          <w:rFonts w:ascii="宋体" w:hAnsi="宋体" w:eastAsia="宋体" w:cs="宋体"/>
          <w:b/>
          <w:color w:val="000000" w:themeColor="text1"/>
          <w:szCs w:val="21"/>
          <w:highlight w:val="none"/>
          <w14:textFill>
            <w14:solidFill>
              <w14:schemeClr w14:val="tx1"/>
            </w14:solidFill>
          </w14:textFill>
        </w:rPr>
      </w:pPr>
      <w:r>
        <w:rPr>
          <w:rFonts w:hint="eastAsia" w:cs="Times New Roman"/>
          <w:b/>
          <w:color w:val="000000" w:themeColor="text1"/>
          <w:highlight w:val="none"/>
          <w:lang w:val="en-US" w:eastAsia="zh-CN"/>
          <w14:textFill>
            <w14:solidFill>
              <w14:schemeClr w14:val="tx1"/>
            </w14:solidFill>
          </w14:textFill>
        </w:rPr>
        <w:t>3</w:t>
      </w:r>
      <w:r>
        <w:rPr>
          <w:rFonts w:hint="eastAsia" w:ascii="Times New Roman" w:hAnsi="Times New Roman" w:cs="Times New Roman"/>
          <w:b/>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b/>
          <w:color w:val="000000" w:themeColor="text1"/>
          <w:highlight w:val="none"/>
          <w14:textFill>
            <w14:solidFill>
              <w14:schemeClr w14:val="tx1"/>
            </w14:solidFill>
          </w14:textFill>
        </w:rPr>
        <w:t>其他说明</w:t>
      </w:r>
    </w:p>
    <w:p w14:paraId="7D8D4316">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14:paraId="5F55D3AC">
      <w:pPr>
        <w:wordWrap w:val="0"/>
        <w:spacing w:after="0" w:line="240" w:lineRule="auto"/>
        <w:ind w:firstLine="422" w:firstLineChars="200"/>
        <w:rPr>
          <w:rFonts w:ascii="Times New Roman" w:hAnsi="Times New Roman" w:eastAsia="宋体" w:cs="Times New Roman"/>
          <w:b/>
          <w:bCs/>
          <w:highlight w:val="none"/>
        </w:rPr>
      </w:pPr>
      <w:r>
        <w:rPr>
          <w:rFonts w:ascii="Times New Roman" w:hAnsi="Times New Roman" w:eastAsia="宋体" w:cs="Times New Roman"/>
          <w:b/>
          <w:bCs/>
          <w:highlight w:val="none"/>
        </w:rPr>
        <w:t>重要提示：</w:t>
      </w:r>
    </w:p>
    <w:p w14:paraId="3FAE83F5">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1</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14:paraId="0606B593">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2</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14:paraId="3F8B9D97">
      <w:pPr>
        <w:pStyle w:val="36"/>
        <w:rPr>
          <w:b/>
          <w:highlight w:val="none"/>
        </w:rPr>
      </w:pPr>
      <w:r>
        <w:rPr>
          <w:rFonts w:ascii="Times New Roman" w:hAnsi="Times New Roman" w:eastAsia="宋体" w:cs="Times New Roman"/>
          <w:kern w:val="2"/>
          <w:sz w:val="21"/>
          <w:szCs w:val="24"/>
          <w:highlight w:val="none"/>
          <w:lang w:val="en-US" w:eastAsia="zh-CN" w:bidi="ar-SA"/>
        </w:rPr>
        <w:t>3</w:t>
      </w:r>
      <w:r>
        <w:rPr>
          <w:rFonts w:hint="default" w:ascii="Times New Roman" w:hAnsi="Times New Roman" w:eastAsia="宋体" w:cs="Times New Roman"/>
          <w:kern w:val="2"/>
          <w:sz w:val="21"/>
          <w:szCs w:val="24"/>
          <w:highlight w:val="none"/>
          <w:lang w:val="en-US" w:eastAsia="zh-CN" w:bidi="ar-SA"/>
        </w:rPr>
        <w:t>.</w:t>
      </w:r>
      <w:r>
        <w:rPr>
          <w:rFonts w:ascii="Times New Roman" w:hAnsi="Times New Roman" w:eastAsia="宋体" w:cs="Times New Roman"/>
          <w:kern w:val="2"/>
          <w:sz w:val="21"/>
          <w:szCs w:val="24"/>
          <w:highlight w:val="none"/>
          <w:lang w:val="en-US" w:eastAsia="zh-CN" w:bidi="ar-SA"/>
        </w:rPr>
        <w:t>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14:paraId="0F6C008A">
      <w:pPr>
        <w:pStyle w:val="2"/>
        <w:rPr>
          <w:b/>
          <w:highlight w:val="none"/>
        </w:rPr>
        <w:sectPr>
          <w:pgSz w:w="11907" w:h="16840"/>
          <w:pgMar w:top="1440" w:right="1797" w:bottom="1440" w:left="1797" w:header="851" w:footer="992" w:gutter="0"/>
          <w:cols w:space="425" w:num="1"/>
          <w:titlePg/>
          <w:docGrid w:linePitch="462" w:charSpace="0"/>
        </w:sectPr>
      </w:pPr>
    </w:p>
    <w:p w14:paraId="49174103">
      <w:pPr>
        <w:pStyle w:val="7"/>
        <w:rPr>
          <w:sz w:val="28"/>
          <w:szCs w:val="28"/>
          <w:highlight w:val="none"/>
        </w:rPr>
      </w:pPr>
      <w:bookmarkStart w:id="29" w:name="_Toc128884461"/>
      <w:r>
        <w:rPr>
          <w:rFonts w:hint="eastAsia"/>
          <w:sz w:val="28"/>
          <w:szCs w:val="28"/>
          <w:highlight w:val="none"/>
        </w:rPr>
        <w:t>第三章 用户需求书</w:t>
      </w:r>
    </w:p>
    <w:p w14:paraId="78198063">
      <w:pPr>
        <w:pStyle w:val="7"/>
        <w:spacing w:before="120" w:beforeLines="50" w:after="120" w:afterLines="50"/>
        <w:rPr>
          <w:szCs w:val="24"/>
          <w:highlight w:val="none"/>
        </w:rPr>
      </w:pPr>
      <w:r>
        <w:rPr>
          <w:rFonts w:hint="eastAsia"/>
          <w:szCs w:val="24"/>
          <w:highlight w:val="none"/>
        </w:rPr>
        <w:t>一、项目基本信息</w:t>
      </w:r>
    </w:p>
    <w:p w14:paraId="40416660">
      <w:pPr>
        <w:rPr>
          <w:rFonts w:ascii="宋体" w:hAnsi="宋体"/>
          <w:b/>
          <w:color w:val="FF0000"/>
          <w:szCs w:val="21"/>
          <w:highlight w:val="none"/>
        </w:rPr>
      </w:pPr>
    </w:p>
    <w:tbl>
      <w:tblPr>
        <w:tblStyle w:val="42"/>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7"/>
      </w:tblGrid>
      <w:tr w14:paraId="343E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48" w:type="pct"/>
            <w:vAlign w:val="center"/>
          </w:tcPr>
          <w:p w14:paraId="5742440A">
            <w:pPr>
              <w:jc w:val="center"/>
              <w:rPr>
                <w:bCs/>
                <w:szCs w:val="21"/>
                <w:highlight w:val="none"/>
              </w:rPr>
            </w:pPr>
            <w:r>
              <w:rPr>
                <w:rFonts w:hint="eastAsia"/>
                <w:bCs/>
                <w:szCs w:val="21"/>
                <w:highlight w:val="none"/>
              </w:rPr>
              <w:t>序号</w:t>
            </w:r>
          </w:p>
        </w:tc>
        <w:tc>
          <w:tcPr>
            <w:tcW w:w="2665" w:type="pct"/>
            <w:vAlign w:val="center"/>
          </w:tcPr>
          <w:p w14:paraId="0C8A7584">
            <w:pPr>
              <w:jc w:val="center"/>
              <w:rPr>
                <w:bCs/>
                <w:szCs w:val="21"/>
                <w:highlight w:val="none"/>
              </w:rPr>
            </w:pPr>
            <w:r>
              <w:rPr>
                <w:rFonts w:hint="eastAsia"/>
                <w:bCs/>
                <w:szCs w:val="21"/>
                <w:highlight w:val="none"/>
              </w:rPr>
              <w:t>采购项目名称</w:t>
            </w:r>
          </w:p>
        </w:tc>
        <w:tc>
          <w:tcPr>
            <w:tcW w:w="1986" w:type="pct"/>
            <w:vAlign w:val="center"/>
          </w:tcPr>
          <w:p w14:paraId="0768164C">
            <w:pPr>
              <w:jc w:val="center"/>
              <w:rPr>
                <w:b/>
                <w:bCs/>
                <w:color w:val="FF0000"/>
                <w:szCs w:val="21"/>
                <w:highlight w:val="none"/>
              </w:rPr>
            </w:pPr>
            <w:r>
              <w:rPr>
                <w:rFonts w:hint="eastAsia"/>
                <w:b/>
                <w:bCs/>
                <w:color w:val="FF0000"/>
                <w:szCs w:val="21"/>
                <w:highlight w:val="none"/>
              </w:rPr>
              <w:t>预算</w:t>
            </w:r>
            <w:r>
              <w:rPr>
                <w:rFonts w:hint="eastAsia"/>
                <w:b/>
                <w:bCs/>
                <w:color w:val="FF0000"/>
                <w:szCs w:val="21"/>
                <w:highlight w:val="none"/>
                <w:lang w:val="en-US" w:eastAsia="zh-CN"/>
              </w:rPr>
              <w:t>金额</w:t>
            </w:r>
            <w:r>
              <w:rPr>
                <w:rFonts w:hint="eastAsia"/>
                <w:b/>
                <w:bCs/>
                <w:color w:val="FF0000"/>
                <w:szCs w:val="21"/>
                <w:highlight w:val="none"/>
              </w:rPr>
              <w:t>（元）</w:t>
            </w:r>
          </w:p>
        </w:tc>
      </w:tr>
      <w:tr w14:paraId="0C7C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48" w:type="pct"/>
            <w:vAlign w:val="center"/>
          </w:tcPr>
          <w:p w14:paraId="55F4CC97">
            <w:pPr>
              <w:jc w:val="center"/>
              <w:rPr>
                <w:bCs/>
                <w:color w:val="FF0000"/>
                <w:szCs w:val="21"/>
                <w:highlight w:val="none"/>
              </w:rPr>
            </w:pPr>
            <w:r>
              <w:rPr>
                <w:rFonts w:hint="eastAsia"/>
                <w:bCs/>
                <w:color w:val="FF0000"/>
                <w:szCs w:val="21"/>
                <w:highlight w:val="none"/>
              </w:rPr>
              <w:t>1</w:t>
            </w:r>
          </w:p>
        </w:tc>
        <w:tc>
          <w:tcPr>
            <w:tcW w:w="2665" w:type="pct"/>
            <w:vAlign w:val="center"/>
          </w:tcPr>
          <w:p w14:paraId="122AE403">
            <w:pPr>
              <w:jc w:val="center"/>
              <w:rPr>
                <w:b/>
                <w:bCs/>
                <w:color w:val="FF0000"/>
                <w:szCs w:val="21"/>
                <w:highlight w:val="none"/>
              </w:rPr>
            </w:pPr>
            <w:r>
              <w:rPr>
                <w:rFonts w:hint="eastAsia"/>
                <w:b/>
                <w:bCs/>
                <w:color w:val="FF0000"/>
                <w:szCs w:val="21"/>
                <w:highlight w:val="none"/>
              </w:rPr>
              <w:t>深圳市福田区政府物业管理中心物业评估服务</w:t>
            </w:r>
          </w:p>
        </w:tc>
        <w:tc>
          <w:tcPr>
            <w:tcW w:w="1986" w:type="pct"/>
            <w:tcBorders/>
            <w:vAlign w:val="center"/>
          </w:tcPr>
          <w:p w14:paraId="17C83CA1">
            <w:pPr>
              <w:jc w:val="center"/>
              <w:rPr>
                <w:bCs/>
                <w:color w:val="FF0000"/>
                <w:szCs w:val="21"/>
                <w:highlight w:val="none"/>
              </w:rPr>
            </w:pPr>
            <w:r>
              <w:rPr>
                <w:rFonts w:hint="eastAsia"/>
                <w:bCs/>
                <w:color w:val="FF0000"/>
                <w:szCs w:val="21"/>
                <w:highlight w:val="none"/>
              </w:rPr>
              <w:t>900000.00</w:t>
            </w:r>
          </w:p>
        </w:tc>
      </w:tr>
    </w:tbl>
    <w:p w14:paraId="3AC358C1">
      <w:pPr>
        <w:rPr>
          <w:rFonts w:ascii="宋体" w:hAnsi="宋体"/>
          <w:b/>
          <w:color w:val="FF0000"/>
          <w:szCs w:val="21"/>
          <w:highlight w:val="none"/>
        </w:rPr>
      </w:pPr>
    </w:p>
    <w:p w14:paraId="35413B8F">
      <w:pPr>
        <w:pStyle w:val="7"/>
        <w:spacing w:before="120" w:beforeLines="50" w:after="120" w:afterLines="50"/>
        <w:rPr>
          <w:szCs w:val="24"/>
          <w:highlight w:val="none"/>
        </w:rPr>
      </w:pPr>
      <w:r>
        <w:rPr>
          <w:rFonts w:hint="eastAsia"/>
          <w:szCs w:val="24"/>
          <w:highlight w:val="none"/>
        </w:rPr>
        <w:t>二、项目概况</w:t>
      </w:r>
    </w:p>
    <w:p w14:paraId="509CCC08">
      <w:pPr>
        <w:ind w:firstLine="480" w:firstLineChars="200"/>
        <w:rPr>
          <w:sz w:val="24"/>
          <w:highlight w:val="none"/>
        </w:rPr>
      </w:pPr>
      <w:r>
        <w:rPr>
          <w:rFonts w:hint="eastAsia"/>
          <w:sz w:val="24"/>
          <w:highlight w:val="none"/>
        </w:rPr>
        <w:t>为促进产业空间资源协同和优化配置，保障政府物业增值保值，保障民生服务用房长期稳定，对深圳市福田区政府自有物业和租用社会物业的评估服务。服务范围福田区10个街道及福田区以外部分物业，年度约132处物业，面积约53万平方米。</w:t>
      </w:r>
    </w:p>
    <w:p w14:paraId="2E166ED3">
      <w:pPr>
        <w:ind w:firstLine="480" w:firstLineChars="200"/>
        <w:rPr>
          <w:sz w:val="24"/>
          <w:highlight w:val="none"/>
        </w:rPr>
      </w:pPr>
    </w:p>
    <w:p w14:paraId="4B758433">
      <w:pPr>
        <w:rPr>
          <w:rFonts w:ascii="宋体" w:hAnsi="宋体"/>
          <w:b/>
          <w:color w:val="FF0000"/>
          <w:szCs w:val="21"/>
          <w:highlight w:val="none"/>
        </w:rPr>
      </w:pPr>
    </w:p>
    <w:p w14:paraId="05C53A1A">
      <w:pPr>
        <w:pStyle w:val="7"/>
        <w:spacing w:before="120" w:beforeLines="50" w:after="120" w:afterLines="50"/>
        <w:rPr>
          <w:szCs w:val="24"/>
          <w:highlight w:val="none"/>
        </w:rPr>
      </w:pPr>
      <w:r>
        <w:rPr>
          <w:rFonts w:hint="eastAsia"/>
          <w:szCs w:val="24"/>
          <w:highlight w:val="none"/>
        </w:rPr>
        <w:t>三、</w:t>
      </w:r>
      <w:bookmarkStart w:id="30" w:name="_Hlk72073432"/>
      <w:r>
        <w:rPr>
          <w:rFonts w:hint="eastAsia"/>
          <w:szCs w:val="24"/>
          <w:highlight w:val="none"/>
        </w:rPr>
        <w:t>服务需求明细</w:t>
      </w:r>
      <w:bookmarkEnd w:id="30"/>
    </w:p>
    <w:tbl>
      <w:tblPr>
        <w:tblStyle w:val="42"/>
        <w:tblpPr w:leftFromText="180" w:rightFromText="180" w:vertAnchor="text" w:horzAnchor="margin" w:tblpY="17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668"/>
        <w:gridCol w:w="1581"/>
        <w:gridCol w:w="841"/>
        <w:gridCol w:w="1429"/>
        <w:gridCol w:w="1430"/>
      </w:tblGrid>
      <w:tr w14:paraId="29AF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center"/>
          </w:tcPr>
          <w:p w14:paraId="489C484B">
            <w:pPr>
              <w:jc w:val="center"/>
              <w:rPr>
                <w:bCs/>
                <w:szCs w:val="21"/>
                <w:highlight w:val="none"/>
              </w:rPr>
            </w:pPr>
            <w:r>
              <w:rPr>
                <w:rFonts w:hint="eastAsia"/>
                <w:bCs/>
                <w:szCs w:val="21"/>
                <w:highlight w:val="none"/>
              </w:rPr>
              <w:t>序号</w:t>
            </w:r>
          </w:p>
        </w:tc>
        <w:tc>
          <w:tcPr>
            <w:tcW w:w="1564" w:type="pct"/>
            <w:vAlign w:val="center"/>
          </w:tcPr>
          <w:p w14:paraId="4D192D05">
            <w:pPr>
              <w:jc w:val="center"/>
              <w:rPr>
                <w:bCs/>
                <w:szCs w:val="21"/>
                <w:highlight w:val="none"/>
              </w:rPr>
            </w:pPr>
            <w:r>
              <w:rPr>
                <w:rFonts w:hint="eastAsia"/>
                <w:bCs/>
                <w:szCs w:val="21"/>
                <w:highlight w:val="none"/>
              </w:rPr>
              <w:t>服务需求名称（标的名称）</w:t>
            </w:r>
          </w:p>
        </w:tc>
        <w:tc>
          <w:tcPr>
            <w:tcW w:w="927" w:type="pct"/>
            <w:vAlign w:val="center"/>
          </w:tcPr>
          <w:p w14:paraId="64A964E2">
            <w:pPr>
              <w:jc w:val="center"/>
              <w:rPr>
                <w:bCs/>
                <w:szCs w:val="21"/>
                <w:highlight w:val="none"/>
              </w:rPr>
            </w:pPr>
            <w:r>
              <w:rPr>
                <w:rFonts w:hint="eastAsia"/>
                <w:bCs/>
                <w:szCs w:val="21"/>
                <w:highlight w:val="none"/>
              </w:rPr>
              <w:t>数量</w:t>
            </w:r>
          </w:p>
        </w:tc>
        <w:tc>
          <w:tcPr>
            <w:tcW w:w="493" w:type="pct"/>
            <w:vAlign w:val="center"/>
          </w:tcPr>
          <w:p w14:paraId="7F06C866">
            <w:pPr>
              <w:jc w:val="center"/>
              <w:rPr>
                <w:bCs/>
                <w:szCs w:val="21"/>
                <w:highlight w:val="none"/>
              </w:rPr>
            </w:pPr>
            <w:r>
              <w:rPr>
                <w:rFonts w:hint="eastAsia"/>
                <w:bCs/>
                <w:szCs w:val="21"/>
                <w:highlight w:val="none"/>
              </w:rPr>
              <w:t>单位</w:t>
            </w:r>
          </w:p>
        </w:tc>
        <w:tc>
          <w:tcPr>
            <w:tcW w:w="838" w:type="pct"/>
            <w:vAlign w:val="center"/>
          </w:tcPr>
          <w:p w14:paraId="68CDEB4A">
            <w:pPr>
              <w:jc w:val="center"/>
              <w:rPr>
                <w:rFonts w:hint="eastAsia"/>
                <w:bCs/>
                <w:szCs w:val="21"/>
                <w:highlight w:val="none"/>
              </w:rPr>
            </w:pPr>
            <w:r>
              <w:rPr>
                <w:rFonts w:hint="eastAsia" w:ascii="Times New Roman" w:eastAsia="宋体"/>
                <w:b/>
                <w:bCs/>
                <w:color w:val="FF0000"/>
                <w:szCs w:val="21"/>
                <w:highlight w:val="none"/>
                <w:lang w:val="en-US" w:eastAsia="zh-CN"/>
              </w:rPr>
              <w:t>是否专门面向中小企业</w:t>
            </w:r>
          </w:p>
        </w:tc>
        <w:tc>
          <w:tcPr>
            <w:tcW w:w="838" w:type="pct"/>
            <w:vAlign w:val="center"/>
          </w:tcPr>
          <w:p w14:paraId="55A00026">
            <w:pPr>
              <w:jc w:val="center"/>
              <w:rPr>
                <w:rFonts w:hint="eastAsia"/>
                <w:bCs/>
                <w:szCs w:val="21"/>
                <w:highlight w:val="none"/>
              </w:rPr>
            </w:pPr>
            <w:r>
              <w:rPr>
                <w:rFonts w:hint="eastAsia" w:ascii="Times New Roman" w:eastAsia="宋体"/>
                <w:b/>
                <w:bCs/>
                <w:color w:val="FF0000"/>
                <w:szCs w:val="21"/>
                <w:highlight w:val="none"/>
                <w:lang w:val="en-US" w:eastAsia="zh-CN"/>
              </w:rPr>
              <w:t>标的所属行业</w:t>
            </w:r>
          </w:p>
        </w:tc>
      </w:tr>
      <w:tr w14:paraId="25AC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center"/>
          </w:tcPr>
          <w:p w14:paraId="06C0AB4A">
            <w:pPr>
              <w:jc w:val="center"/>
              <w:rPr>
                <w:bCs/>
                <w:szCs w:val="21"/>
                <w:highlight w:val="none"/>
              </w:rPr>
            </w:pPr>
            <w:r>
              <w:rPr>
                <w:rFonts w:hint="eastAsia"/>
                <w:bCs/>
                <w:szCs w:val="21"/>
                <w:highlight w:val="none"/>
              </w:rPr>
              <w:t>1</w:t>
            </w:r>
          </w:p>
        </w:tc>
        <w:tc>
          <w:tcPr>
            <w:tcW w:w="1564" w:type="pct"/>
            <w:vAlign w:val="center"/>
          </w:tcPr>
          <w:p w14:paraId="654D2701">
            <w:pPr>
              <w:jc w:val="center"/>
              <w:rPr>
                <w:bCs/>
                <w:szCs w:val="21"/>
                <w:highlight w:val="none"/>
              </w:rPr>
            </w:pPr>
            <w:r>
              <w:rPr>
                <w:rFonts w:hint="eastAsia"/>
                <w:bCs/>
                <w:szCs w:val="21"/>
                <w:highlight w:val="none"/>
              </w:rPr>
              <w:t>深圳市福田区政府物业管理中心物业评估服务</w:t>
            </w:r>
          </w:p>
        </w:tc>
        <w:tc>
          <w:tcPr>
            <w:tcW w:w="927" w:type="pct"/>
            <w:vAlign w:val="center"/>
          </w:tcPr>
          <w:p w14:paraId="1891ACD3">
            <w:pPr>
              <w:jc w:val="center"/>
              <w:rPr>
                <w:rFonts w:hint="eastAsia" w:eastAsia="宋体"/>
                <w:bCs/>
                <w:szCs w:val="21"/>
                <w:highlight w:val="none"/>
                <w:lang w:eastAsia="zh-CN"/>
              </w:rPr>
            </w:pPr>
            <w:r>
              <w:rPr>
                <w:rFonts w:hint="eastAsia"/>
                <w:highlight w:val="none"/>
                <w:lang w:val="en-US" w:eastAsia="zh-CN"/>
              </w:rPr>
              <w:t>1</w:t>
            </w:r>
          </w:p>
        </w:tc>
        <w:tc>
          <w:tcPr>
            <w:tcW w:w="493" w:type="pct"/>
            <w:vAlign w:val="center"/>
          </w:tcPr>
          <w:p w14:paraId="73819FB1">
            <w:pPr>
              <w:jc w:val="center"/>
              <w:rPr>
                <w:rFonts w:hint="eastAsia" w:eastAsia="宋体"/>
                <w:bCs/>
                <w:szCs w:val="21"/>
                <w:highlight w:val="none"/>
                <w:lang w:val="en-US" w:eastAsia="zh-CN"/>
              </w:rPr>
            </w:pPr>
            <w:r>
              <w:rPr>
                <w:rFonts w:hint="eastAsia"/>
                <w:bCs/>
                <w:szCs w:val="21"/>
                <w:highlight w:val="none"/>
                <w:lang w:val="en-US" w:eastAsia="zh-CN"/>
              </w:rPr>
              <w:t>项</w:t>
            </w:r>
          </w:p>
        </w:tc>
        <w:tc>
          <w:tcPr>
            <w:tcW w:w="838" w:type="pct"/>
            <w:vAlign w:val="center"/>
          </w:tcPr>
          <w:p w14:paraId="3B6FADB9">
            <w:pPr>
              <w:jc w:val="center"/>
              <w:rPr>
                <w:rFonts w:hint="eastAsia" w:eastAsia="宋体"/>
                <w:bCs/>
                <w:szCs w:val="21"/>
                <w:highlight w:val="none"/>
                <w:lang w:val="en-US" w:eastAsia="zh-CN"/>
              </w:rPr>
            </w:pPr>
            <w:r>
              <w:rPr>
                <w:rFonts w:hint="eastAsia"/>
                <w:bCs/>
                <w:szCs w:val="21"/>
                <w:highlight w:val="none"/>
                <w:lang w:val="en-US" w:eastAsia="zh-CN"/>
              </w:rPr>
              <w:t>否</w:t>
            </w:r>
          </w:p>
        </w:tc>
        <w:tc>
          <w:tcPr>
            <w:tcW w:w="838" w:type="pct"/>
            <w:vAlign w:val="center"/>
          </w:tcPr>
          <w:p w14:paraId="6B8CE48C">
            <w:pPr>
              <w:jc w:val="center"/>
              <w:rPr>
                <w:bCs/>
                <w:szCs w:val="21"/>
                <w:highlight w:val="none"/>
              </w:rPr>
            </w:pPr>
            <w:r>
              <w:rPr>
                <w:rFonts w:hint="eastAsia"/>
                <w:bCs/>
                <w:szCs w:val="21"/>
                <w:highlight w:val="none"/>
              </w:rPr>
              <w:t>租赁和商务服务业</w:t>
            </w:r>
          </w:p>
        </w:tc>
      </w:tr>
    </w:tbl>
    <w:p w14:paraId="7266EAC2">
      <w:pPr>
        <w:rPr>
          <w:rFonts w:ascii="宋体" w:hAnsi="宋体"/>
          <w:b/>
          <w:color w:val="FF0000"/>
          <w:szCs w:val="21"/>
          <w:highlight w:val="none"/>
        </w:rPr>
      </w:pPr>
    </w:p>
    <w:p w14:paraId="178FAC90">
      <w:pPr>
        <w:pStyle w:val="7"/>
        <w:spacing w:before="120" w:beforeLines="50" w:after="120" w:afterLines="50"/>
        <w:rPr>
          <w:szCs w:val="24"/>
          <w:highlight w:val="none"/>
        </w:rPr>
      </w:pPr>
      <w:r>
        <w:rPr>
          <w:rFonts w:hint="eastAsia"/>
          <w:szCs w:val="24"/>
          <w:highlight w:val="none"/>
        </w:rPr>
        <w:t>四、实质性条款</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16FB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45255F4E">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序号</w:t>
            </w:r>
          </w:p>
        </w:tc>
        <w:tc>
          <w:tcPr>
            <w:tcW w:w="7795" w:type="dxa"/>
          </w:tcPr>
          <w:p w14:paraId="25C4A0D0">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r>
      <w:tr w14:paraId="0FD1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4724300C">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7795" w:type="dxa"/>
          </w:tcPr>
          <w:p w14:paraId="7300AB37">
            <w:pPr>
              <w:rPr>
                <w:rFonts w:hAnsi="宋体" w:eastAsiaTheme="minorEastAsia"/>
                <w:kern w:val="0"/>
                <w:szCs w:val="21"/>
                <w:highlight w:val="none"/>
              </w:rPr>
            </w:pPr>
            <w:r>
              <w:rPr>
                <w:rFonts w:hint="eastAsia"/>
                <w:color w:val="FF0000"/>
                <w:highlight w:val="none"/>
              </w:rPr>
              <w:t>招标文件《商务要求★》的所有内容。</w:t>
            </w:r>
          </w:p>
        </w:tc>
      </w:tr>
    </w:tbl>
    <w:p w14:paraId="424B479F">
      <w:pPr>
        <w:pStyle w:val="6"/>
        <w:tabs>
          <w:tab w:val="left" w:pos="765"/>
        </w:tabs>
        <w:rPr>
          <w:rFonts w:ascii="黑体"/>
          <w:b w:val="0"/>
          <w:kern w:val="0"/>
          <w:sz w:val="24"/>
          <w:szCs w:val="24"/>
          <w:highlight w:val="none"/>
        </w:rPr>
      </w:pPr>
      <w:r>
        <w:rPr>
          <w:rFonts w:hint="eastAsia" w:ascii="黑体"/>
          <w:b w:val="0"/>
          <w:kern w:val="0"/>
          <w:sz w:val="24"/>
          <w:szCs w:val="24"/>
          <w:highlight w:val="none"/>
        </w:rPr>
        <w:t>注：上表所列内容为不可负偏离条款，负偏离将视为未实质性满足招标文件要求作投标无效处理。</w:t>
      </w:r>
      <w:bookmarkEnd w:id="29"/>
    </w:p>
    <w:p w14:paraId="3456E7B4">
      <w:pPr>
        <w:rPr>
          <w:b/>
          <w:bCs/>
          <w:sz w:val="24"/>
          <w:highlight w:val="none"/>
        </w:rPr>
      </w:pPr>
    </w:p>
    <w:p w14:paraId="57E98468">
      <w:pPr>
        <w:rPr>
          <w:rFonts w:hint="eastAsia"/>
          <w:szCs w:val="24"/>
          <w:highlight w:val="none"/>
        </w:rPr>
      </w:pPr>
      <w:r>
        <w:rPr>
          <w:rFonts w:hint="eastAsia"/>
          <w:szCs w:val="24"/>
          <w:highlight w:val="none"/>
        </w:rPr>
        <w:br w:type="page"/>
      </w:r>
    </w:p>
    <w:p w14:paraId="5EF433AB">
      <w:pPr>
        <w:pStyle w:val="7"/>
        <w:spacing w:before="120" w:beforeLines="50" w:after="120" w:afterLines="50"/>
        <w:rPr>
          <w:b/>
          <w:sz w:val="24"/>
          <w:highlight w:val="none"/>
        </w:rPr>
      </w:pPr>
      <w:r>
        <w:rPr>
          <w:rFonts w:hint="eastAsia"/>
          <w:szCs w:val="24"/>
          <w:highlight w:val="none"/>
        </w:rPr>
        <w:t>五、技术要求</w:t>
      </w:r>
    </w:p>
    <w:tbl>
      <w:tblPr>
        <w:tblStyle w:val="42"/>
        <w:tblpPr w:leftFromText="180" w:rightFromText="180" w:vertAnchor="text" w:horzAnchor="page" w:tblpX="1802" w:tblpY="423"/>
        <w:tblOverlap w:val="never"/>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510"/>
        <w:gridCol w:w="4421"/>
        <w:gridCol w:w="749"/>
        <w:gridCol w:w="973"/>
      </w:tblGrid>
      <w:tr w14:paraId="6F8D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Align w:val="center"/>
          </w:tcPr>
          <w:p w14:paraId="588FA446">
            <w:pPr>
              <w:spacing w:line="276" w:lineRule="auto"/>
              <w:jc w:val="center"/>
              <w:rPr>
                <w:rFonts w:ascii="宋体" w:hAnsi="宋体" w:cs="宋体"/>
                <w:bCs/>
                <w:sz w:val="21"/>
                <w:szCs w:val="21"/>
                <w:highlight w:val="none"/>
              </w:rPr>
            </w:pPr>
            <w:r>
              <w:rPr>
                <w:rFonts w:hint="eastAsia" w:ascii="宋体" w:hAnsi="宋体" w:cs="宋体"/>
                <w:bCs/>
                <w:sz w:val="21"/>
                <w:szCs w:val="21"/>
                <w:highlight w:val="none"/>
              </w:rPr>
              <w:t>序号</w:t>
            </w:r>
          </w:p>
        </w:tc>
        <w:tc>
          <w:tcPr>
            <w:tcW w:w="1510" w:type="dxa"/>
            <w:vAlign w:val="center"/>
          </w:tcPr>
          <w:p w14:paraId="52B4C8E0">
            <w:pPr>
              <w:spacing w:line="276" w:lineRule="auto"/>
              <w:jc w:val="center"/>
              <w:rPr>
                <w:rFonts w:ascii="宋体" w:hAnsi="宋体" w:cs="宋体"/>
                <w:bCs/>
                <w:sz w:val="21"/>
                <w:szCs w:val="21"/>
                <w:highlight w:val="none"/>
              </w:rPr>
            </w:pPr>
            <w:r>
              <w:rPr>
                <w:rFonts w:hint="eastAsia" w:ascii="宋体" w:hAnsi="宋体" w:cs="宋体"/>
                <w:bCs/>
                <w:sz w:val="21"/>
                <w:szCs w:val="21"/>
                <w:highlight w:val="none"/>
              </w:rPr>
              <w:t>名称</w:t>
            </w:r>
          </w:p>
        </w:tc>
        <w:tc>
          <w:tcPr>
            <w:tcW w:w="4421" w:type="dxa"/>
            <w:vAlign w:val="center"/>
          </w:tcPr>
          <w:p w14:paraId="255F76C7">
            <w:pPr>
              <w:spacing w:line="276" w:lineRule="auto"/>
              <w:jc w:val="center"/>
              <w:rPr>
                <w:rFonts w:ascii="宋体" w:hAnsi="宋体" w:cs="宋体"/>
                <w:bCs/>
                <w:sz w:val="21"/>
                <w:szCs w:val="21"/>
                <w:highlight w:val="none"/>
              </w:rPr>
            </w:pPr>
            <w:r>
              <w:rPr>
                <w:rFonts w:hint="eastAsia" w:ascii="宋体" w:hAnsi="宋体" w:cs="宋体"/>
                <w:bCs/>
                <w:sz w:val="21"/>
                <w:szCs w:val="21"/>
                <w:highlight w:val="none"/>
              </w:rPr>
              <w:t>具体内容</w:t>
            </w:r>
          </w:p>
        </w:tc>
        <w:tc>
          <w:tcPr>
            <w:tcW w:w="749" w:type="dxa"/>
            <w:vAlign w:val="center"/>
          </w:tcPr>
          <w:p w14:paraId="2F398203">
            <w:pPr>
              <w:spacing w:line="276" w:lineRule="auto"/>
              <w:jc w:val="center"/>
              <w:rPr>
                <w:rFonts w:ascii="宋体" w:hAnsi="宋体" w:cs="宋体"/>
                <w:bCs/>
                <w:sz w:val="21"/>
                <w:szCs w:val="21"/>
                <w:highlight w:val="none"/>
              </w:rPr>
            </w:pPr>
            <w:r>
              <w:rPr>
                <w:rFonts w:hint="eastAsia" w:ascii="宋体" w:hAnsi="宋体" w:cs="宋体"/>
                <w:bCs/>
                <w:sz w:val="21"/>
                <w:szCs w:val="21"/>
                <w:highlight w:val="none"/>
              </w:rPr>
              <w:t>标注</w:t>
            </w:r>
          </w:p>
        </w:tc>
        <w:tc>
          <w:tcPr>
            <w:tcW w:w="973" w:type="dxa"/>
            <w:vAlign w:val="center"/>
          </w:tcPr>
          <w:p w14:paraId="4F924135">
            <w:pPr>
              <w:spacing w:line="276" w:lineRule="auto"/>
              <w:jc w:val="center"/>
              <w:rPr>
                <w:rFonts w:ascii="宋体" w:hAnsi="宋体" w:cs="宋体"/>
                <w:bCs/>
                <w:sz w:val="21"/>
                <w:szCs w:val="21"/>
                <w:highlight w:val="none"/>
              </w:rPr>
            </w:pPr>
            <w:r>
              <w:rPr>
                <w:rFonts w:hint="eastAsia" w:ascii="宋体" w:hAnsi="宋体" w:cs="宋体"/>
                <w:bCs/>
                <w:sz w:val="21"/>
                <w:szCs w:val="21"/>
                <w:highlight w:val="none"/>
              </w:rPr>
              <w:t>其他说明</w:t>
            </w:r>
          </w:p>
        </w:tc>
      </w:tr>
      <w:tr w14:paraId="1277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0" w:type="dxa"/>
            <w:vAlign w:val="center"/>
          </w:tcPr>
          <w:p w14:paraId="19D3557F">
            <w:pPr>
              <w:spacing w:line="276" w:lineRule="auto"/>
              <w:jc w:val="center"/>
              <w:rPr>
                <w:rFonts w:ascii="宋体" w:hAnsi="宋体" w:cs="宋体"/>
                <w:bCs/>
                <w:sz w:val="21"/>
                <w:szCs w:val="21"/>
                <w:highlight w:val="none"/>
              </w:rPr>
            </w:pPr>
            <w:r>
              <w:rPr>
                <w:rFonts w:hint="eastAsia" w:ascii="宋体" w:hAnsi="宋体" w:cs="宋体"/>
                <w:bCs/>
                <w:sz w:val="21"/>
                <w:szCs w:val="21"/>
                <w:highlight w:val="none"/>
              </w:rPr>
              <w:t>1</w:t>
            </w:r>
          </w:p>
        </w:tc>
        <w:tc>
          <w:tcPr>
            <w:tcW w:w="1510" w:type="dxa"/>
            <w:vAlign w:val="center"/>
          </w:tcPr>
          <w:p w14:paraId="2360FF08">
            <w:pPr>
              <w:spacing w:line="276" w:lineRule="auto"/>
              <w:jc w:val="center"/>
              <w:rPr>
                <w:rFonts w:ascii="宋体" w:hAnsi="宋体" w:cs="宋体"/>
                <w:bCs/>
                <w:sz w:val="21"/>
                <w:szCs w:val="21"/>
                <w:highlight w:val="none"/>
              </w:rPr>
            </w:pPr>
            <w:r>
              <w:rPr>
                <w:rFonts w:hint="eastAsia" w:ascii="宋体" w:hAnsi="宋体" w:cs="宋体"/>
                <w:bCs/>
                <w:sz w:val="21"/>
                <w:szCs w:val="21"/>
                <w:highlight w:val="none"/>
              </w:rPr>
              <w:t>服务要求</w:t>
            </w:r>
          </w:p>
        </w:tc>
        <w:tc>
          <w:tcPr>
            <w:tcW w:w="4421" w:type="dxa"/>
            <w:shd w:val="clear"/>
            <w:vAlign w:val="center"/>
          </w:tcPr>
          <w:p w14:paraId="2887986A">
            <w:pPr>
              <w:numPr>
                <w:ilvl w:val="0"/>
                <w:numId w:val="0"/>
              </w:numPr>
              <w:rPr>
                <w:rFonts w:hint="eastAsia" w:ascii="宋体" w:hAnsi="宋体"/>
                <w:b w:val="0"/>
                <w:bCs/>
                <w:sz w:val="21"/>
                <w:szCs w:val="21"/>
                <w:highlight w:val="none"/>
              </w:rPr>
            </w:pPr>
            <w:r>
              <w:rPr>
                <w:rFonts w:hint="eastAsia" w:ascii="宋体" w:hAnsi="宋体"/>
                <w:b w:val="0"/>
                <w:bCs/>
                <w:sz w:val="21"/>
                <w:szCs w:val="21"/>
                <w:highlight w:val="none"/>
                <w:lang w:val="en-US" w:eastAsia="zh-CN"/>
              </w:rPr>
              <w:t>1.</w:t>
            </w:r>
            <w:r>
              <w:rPr>
                <w:rFonts w:hint="eastAsia" w:ascii="宋体" w:hAnsi="宋体"/>
                <w:b w:val="0"/>
                <w:bCs/>
                <w:sz w:val="21"/>
                <w:szCs w:val="21"/>
                <w:highlight w:val="none"/>
              </w:rPr>
              <w:t>根据</w:t>
            </w:r>
            <w:r>
              <w:rPr>
                <w:rFonts w:hint="eastAsia" w:ascii="宋体" w:hAnsi="宋体"/>
                <w:b w:val="0"/>
                <w:bCs/>
                <w:sz w:val="21"/>
                <w:szCs w:val="21"/>
                <w:highlight w:val="none"/>
                <w:lang w:eastAsia="zh-CN"/>
              </w:rPr>
              <w:t>采购人</w:t>
            </w:r>
            <w:r>
              <w:rPr>
                <w:rFonts w:hint="eastAsia" w:ascii="宋体" w:hAnsi="宋体"/>
                <w:b w:val="0"/>
                <w:bCs/>
                <w:sz w:val="21"/>
                <w:szCs w:val="21"/>
                <w:highlight w:val="none"/>
              </w:rPr>
              <w:t>的待评估物业，结合出租物业的具体形态(</w:t>
            </w:r>
            <w:r>
              <w:rPr>
                <w:rFonts w:hint="eastAsia" w:ascii="宋体" w:hAnsi="宋体"/>
                <w:b w:val="0"/>
                <w:bCs/>
                <w:sz w:val="21"/>
                <w:szCs w:val="21"/>
                <w:highlight w:val="none"/>
                <w:lang w:val="en-US" w:eastAsia="zh-CN"/>
              </w:rPr>
              <w:t>产业、</w:t>
            </w:r>
            <w:r>
              <w:rPr>
                <w:rFonts w:hint="eastAsia" w:ascii="宋体" w:hAnsi="宋体"/>
                <w:b w:val="0"/>
                <w:bCs/>
                <w:sz w:val="21"/>
                <w:szCs w:val="21"/>
                <w:highlight w:val="none"/>
              </w:rPr>
              <w:t>商业、厂房、办公、宿舍、幼儿园、土地、仓库、停车场等)、地理位置、交通便利、周边同类物业价 格等因素，分批/分栋/分层/分户出具相应的租金评估报告。同一处物业不同楼层不同方位不同户型须出具不同的评估价格及评估报告。</w:t>
            </w:r>
          </w:p>
          <w:p w14:paraId="64B1A3B6">
            <w:pPr>
              <w:pStyle w:val="2"/>
              <w:numPr>
                <w:ilvl w:val="0"/>
                <w:numId w:val="0"/>
              </w:numPr>
              <w:rPr>
                <w:rFonts w:hint="eastAsia" w:ascii="宋体" w:hAnsi="宋体" w:eastAsia="宋体" w:cs="Times New Roman"/>
                <w:b w:val="0"/>
                <w:bCs/>
                <w:kern w:val="2"/>
                <w:sz w:val="21"/>
                <w:szCs w:val="21"/>
                <w:highlight w:val="none"/>
                <w:lang w:val="en-US" w:eastAsia="zh-CN" w:bidi="ar-SA"/>
              </w:rPr>
            </w:pPr>
            <w:r>
              <w:rPr>
                <w:rFonts w:hint="eastAsia" w:cs="Times New Roman"/>
                <w:b w:val="0"/>
                <w:bCs/>
                <w:kern w:val="2"/>
                <w:sz w:val="21"/>
                <w:szCs w:val="21"/>
                <w:highlight w:val="none"/>
                <w:lang w:val="en-US" w:eastAsia="zh-CN" w:bidi="ar-SA"/>
              </w:rPr>
              <w:t>2.</w:t>
            </w:r>
            <w:r>
              <w:rPr>
                <w:rFonts w:hint="eastAsia" w:ascii="宋体" w:hAnsi="宋体" w:eastAsia="宋体" w:cs="Times New Roman"/>
                <w:b w:val="0"/>
                <w:bCs/>
                <w:kern w:val="2"/>
                <w:sz w:val="21"/>
                <w:szCs w:val="21"/>
                <w:highlight w:val="none"/>
                <w:lang w:val="en-US" w:eastAsia="zh-CN" w:bidi="ar-SA"/>
              </w:rPr>
              <w:t>评估范围为</w:t>
            </w:r>
            <w:r>
              <w:rPr>
                <w:rFonts w:hint="eastAsia" w:cs="Times New Roman"/>
                <w:b w:val="0"/>
                <w:bCs/>
                <w:kern w:val="2"/>
                <w:sz w:val="21"/>
                <w:szCs w:val="21"/>
                <w:highlight w:val="none"/>
                <w:lang w:val="en-US" w:eastAsia="zh-CN" w:bidi="ar-SA"/>
              </w:rPr>
              <w:t>采购人</w:t>
            </w:r>
            <w:r>
              <w:rPr>
                <w:rFonts w:hint="eastAsia" w:ascii="宋体" w:hAnsi="宋体" w:eastAsia="宋体" w:cs="Times New Roman"/>
                <w:b w:val="0"/>
                <w:bCs/>
                <w:kern w:val="2"/>
                <w:sz w:val="21"/>
                <w:szCs w:val="21"/>
                <w:highlight w:val="none"/>
                <w:lang w:val="en-US" w:eastAsia="zh-CN" w:bidi="ar-SA"/>
              </w:rPr>
              <w:t>自有物业及社会物业</w:t>
            </w:r>
            <w:r>
              <w:rPr>
                <w:rFonts w:hint="eastAsia" w:cs="Times New Roman"/>
                <w:b w:val="0"/>
                <w:bCs/>
                <w:kern w:val="2"/>
                <w:sz w:val="21"/>
                <w:szCs w:val="21"/>
                <w:highlight w:val="none"/>
                <w:lang w:val="en-US" w:eastAsia="zh-CN" w:bidi="ar-SA"/>
              </w:rPr>
              <w:t>。</w:t>
            </w:r>
          </w:p>
          <w:p w14:paraId="575648F1">
            <w:pPr>
              <w:rPr>
                <w:rFonts w:hint="eastAsia" w:ascii="宋体" w:hAnsi="宋体" w:cs="Times New Roman"/>
                <w:b w:val="0"/>
                <w:bCs/>
                <w:kern w:val="2"/>
                <w:sz w:val="21"/>
                <w:szCs w:val="21"/>
                <w:highlight w:val="none"/>
                <w:lang w:val="en-US" w:eastAsia="zh-CN" w:bidi="ar-SA"/>
              </w:rPr>
            </w:pPr>
            <w:r>
              <w:rPr>
                <w:rFonts w:hint="eastAsia" w:ascii="宋体" w:hAnsi="宋体" w:cs="Times New Roman"/>
                <w:b w:val="0"/>
                <w:bCs/>
                <w:kern w:val="2"/>
                <w:sz w:val="21"/>
                <w:szCs w:val="21"/>
                <w:highlight w:val="none"/>
                <w:lang w:val="en-US" w:eastAsia="zh-CN" w:bidi="ar-SA"/>
              </w:rPr>
              <w:t>3.采购人应根据资产评估法的规定以及中标供应商提供的资料清单向中标供应商提供评估程序必要的权属证明等相关资料，并对资料的真实性、合法性、完整性承担法 律责任。采购人须对前述资料以签字、盖章或者其他方式进行确认，并于材料交接清单上签字确认其所提交的材料数量及性质。如因采购人提供上述资料有误而导致评估结果产生偏差，则中标供应商不承担法律责任。</w:t>
            </w:r>
          </w:p>
          <w:p w14:paraId="1A6887E2">
            <w:pPr>
              <w:pStyle w:val="2"/>
              <w:rPr>
                <w:rFonts w:hint="default" w:ascii="Times New Roman" w:hAnsi="Times New Roman" w:eastAsia="宋体" w:cs="Times New Roman"/>
                <w:b w:val="0"/>
                <w:bCs/>
                <w:kern w:val="2"/>
                <w:sz w:val="21"/>
                <w:szCs w:val="21"/>
                <w:highlight w:val="none"/>
                <w:lang w:val="en-US" w:eastAsia="zh-CN" w:bidi="ar-SA"/>
              </w:rPr>
            </w:pPr>
            <w:r>
              <w:rPr>
                <w:rFonts w:hint="eastAsia" w:cs="Times New Roman"/>
                <w:b w:val="0"/>
                <w:bCs/>
                <w:kern w:val="2"/>
                <w:sz w:val="21"/>
                <w:szCs w:val="21"/>
                <w:highlight w:val="none"/>
                <w:lang w:val="en-US" w:eastAsia="zh-CN" w:bidi="ar-SA"/>
              </w:rPr>
              <w:t>4.采购人应配合中标供应商进行现场勘察，为评估专业人员执行评估程序提供物业领勘(如评估对象证载地址与所在建筑物名称、房屋编号、大厦名称等不一致的 情况，则需采购人另行提供物业管理处出具的证明、依法登记的租赁合同、营业执照记载地址等证明材料);如评估业务需要与相关当事方进行协调和沟通的(如 需征得评估对象实际承租人或使用人同意进行现场拍照等事项),由采购人指定相关人员负责协调。</w:t>
            </w:r>
          </w:p>
        </w:tc>
        <w:tc>
          <w:tcPr>
            <w:tcW w:w="749" w:type="dxa"/>
            <w:vAlign w:val="center"/>
          </w:tcPr>
          <w:p w14:paraId="06F068AC">
            <w:pPr>
              <w:spacing w:line="276" w:lineRule="auto"/>
              <w:rPr>
                <w:rFonts w:ascii="宋体" w:hAnsi="宋体" w:cs="宋体"/>
                <w:bCs/>
                <w:sz w:val="21"/>
                <w:szCs w:val="21"/>
                <w:highlight w:val="none"/>
              </w:rPr>
            </w:pPr>
          </w:p>
        </w:tc>
        <w:tc>
          <w:tcPr>
            <w:tcW w:w="973" w:type="dxa"/>
            <w:vAlign w:val="center"/>
          </w:tcPr>
          <w:p w14:paraId="3D72BA02">
            <w:pPr>
              <w:spacing w:line="276" w:lineRule="auto"/>
              <w:rPr>
                <w:rFonts w:ascii="宋体" w:hAnsi="宋体" w:cs="宋体"/>
                <w:bCs/>
                <w:sz w:val="21"/>
                <w:szCs w:val="21"/>
                <w:highlight w:val="none"/>
              </w:rPr>
            </w:pPr>
          </w:p>
        </w:tc>
      </w:tr>
      <w:tr w14:paraId="2D99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840" w:type="dxa"/>
            <w:vAlign w:val="center"/>
          </w:tcPr>
          <w:p w14:paraId="26F518B6">
            <w:pPr>
              <w:spacing w:line="276" w:lineRule="auto"/>
              <w:jc w:val="center"/>
              <w:rPr>
                <w:rFonts w:ascii="宋体" w:hAnsi="宋体" w:cs="宋体"/>
                <w:bCs/>
                <w:sz w:val="21"/>
                <w:szCs w:val="21"/>
                <w:highlight w:val="none"/>
              </w:rPr>
            </w:pPr>
            <w:r>
              <w:rPr>
                <w:rFonts w:hint="eastAsia" w:ascii="宋体" w:hAnsi="宋体" w:cs="宋体"/>
                <w:bCs/>
                <w:sz w:val="21"/>
                <w:szCs w:val="21"/>
                <w:highlight w:val="none"/>
              </w:rPr>
              <w:t>2</w:t>
            </w:r>
          </w:p>
        </w:tc>
        <w:tc>
          <w:tcPr>
            <w:tcW w:w="1510" w:type="dxa"/>
            <w:vAlign w:val="center"/>
          </w:tcPr>
          <w:p w14:paraId="5D5BBD62">
            <w:pPr>
              <w:spacing w:line="276" w:lineRule="auto"/>
              <w:jc w:val="center"/>
              <w:rPr>
                <w:rFonts w:ascii="宋体" w:hAnsi="宋体" w:cs="宋体"/>
                <w:bCs/>
                <w:sz w:val="21"/>
                <w:szCs w:val="21"/>
                <w:highlight w:val="none"/>
              </w:rPr>
            </w:pPr>
            <w:r>
              <w:rPr>
                <w:rFonts w:hint="eastAsia" w:ascii="宋体" w:hAnsi="宋体" w:cs="宋体"/>
                <w:bCs/>
                <w:sz w:val="21"/>
                <w:szCs w:val="21"/>
                <w:highlight w:val="none"/>
              </w:rPr>
              <w:t>人员要求</w:t>
            </w:r>
          </w:p>
        </w:tc>
        <w:tc>
          <w:tcPr>
            <w:tcW w:w="4421" w:type="dxa"/>
            <w:vAlign w:val="center"/>
          </w:tcPr>
          <w:p w14:paraId="6B7205AA">
            <w:pPr>
              <w:bidi w:val="0"/>
              <w:rPr>
                <w:rFonts w:hint="default"/>
                <w:sz w:val="21"/>
                <w:szCs w:val="21"/>
                <w:highlight w:val="none"/>
                <w:lang w:val="en-US" w:eastAsia="zh-CN"/>
              </w:rPr>
            </w:pPr>
            <w:r>
              <w:rPr>
                <w:rFonts w:hint="eastAsia"/>
                <w:sz w:val="21"/>
                <w:szCs w:val="21"/>
                <w:highlight w:val="none"/>
                <w:lang w:val="en-US" w:eastAsia="zh-CN"/>
              </w:rPr>
              <w:t>1.人数：3人以上，其中项目负责人1人，主要技术人员1人，主要团队成员1人以上</w:t>
            </w:r>
          </w:p>
          <w:p w14:paraId="0EA46CD5">
            <w:pPr>
              <w:bidi w:val="0"/>
              <w:rPr>
                <w:rFonts w:hint="eastAsia"/>
                <w:sz w:val="21"/>
                <w:szCs w:val="21"/>
                <w:highlight w:val="none"/>
                <w:lang w:val="en-US" w:eastAsia="zh-CN"/>
              </w:rPr>
            </w:pPr>
            <w:r>
              <w:rPr>
                <w:rFonts w:hint="eastAsia"/>
                <w:sz w:val="21"/>
                <w:szCs w:val="21"/>
                <w:highlight w:val="none"/>
                <w:lang w:val="en-US" w:eastAsia="zh-CN"/>
              </w:rPr>
              <w:t>2.人员资质要求：项目团队人员应具有丰富的租赁价格评估相关研究经验；身体健康，沟通能力强，有责任心，有较高的职业素养和敬业精神。</w:t>
            </w:r>
          </w:p>
          <w:p w14:paraId="44F4E15A">
            <w:pPr>
              <w:bidi w:val="0"/>
              <w:rPr>
                <w:rFonts w:ascii="宋体" w:hAnsi="宋体" w:cs="宋体"/>
                <w:kern w:val="0"/>
                <w:sz w:val="21"/>
                <w:szCs w:val="21"/>
                <w:highlight w:val="none"/>
              </w:rPr>
            </w:pPr>
            <w:r>
              <w:rPr>
                <w:rFonts w:hint="eastAsia"/>
                <w:sz w:val="21"/>
                <w:szCs w:val="21"/>
                <w:highlight w:val="none"/>
                <w:lang w:val="en-US" w:eastAsia="zh-CN"/>
              </w:rPr>
              <w:t>3.在服务期限内，项目人员应相对稳定，中标方不得随意更换项目负责人和项目组成员，及减少项目团队人数，或降低项目团队标准。若团队成员更换，须经采购方书面同意后方可更换。</w:t>
            </w:r>
          </w:p>
        </w:tc>
        <w:tc>
          <w:tcPr>
            <w:tcW w:w="749" w:type="dxa"/>
            <w:vAlign w:val="center"/>
          </w:tcPr>
          <w:p w14:paraId="352DC9C8">
            <w:pPr>
              <w:spacing w:line="276" w:lineRule="auto"/>
              <w:rPr>
                <w:rFonts w:ascii="宋体" w:hAnsi="宋体" w:cs="宋体"/>
                <w:bCs/>
                <w:sz w:val="21"/>
                <w:szCs w:val="21"/>
                <w:highlight w:val="none"/>
              </w:rPr>
            </w:pPr>
          </w:p>
        </w:tc>
        <w:tc>
          <w:tcPr>
            <w:tcW w:w="973" w:type="dxa"/>
            <w:vAlign w:val="center"/>
          </w:tcPr>
          <w:p w14:paraId="0CC230B1">
            <w:pPr>
              <w:spacing w:line="276" w:lineRule="auto"/>
              <w:rPr>
                <w:rFonts w:ascii="宋体" w:hAnsi="宋体" w:cs="宋体"/>
                <w:bCs/>
                <w:sz w:val="21"/>
                <w:szCs w:val="21"/>
                <w:highlight w:val="none"/>
              </w:rPr>
            </w:pPr>
          </w:p>
        </w:tc>
      </w:tr>
      <w:tr w14:paraId="1237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40" w:type="dxa"/>
            <w:vAlign w:val="center"/>
          </w:tcPr>
          <w:p w14:paraId="5224D305">
            <w:pPr>
              <w:spacing w:line="276" w:lineRule="auto"/>
              <w:jc w:val="center"/>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3</w:t>
            </w:r>
          </w:p>
        </w:tc>
        <w:tc>
          <w:tcPr>
            <w:tcW w:w="1510" w:type="dxa"/>
            <w:vAlign w:val="center"/>
          </w:tcPr>
          <w:p w14:paraId="6D8CFF23">
            <w:pPr>
              <w:spacing w:line="276" w:lineRule="auto"/>
              <w:jc w:val="center"/>
              <w:rPr>
                <w:rFonts w:ascii="宋体" w:hAnsi="宋体" w:cs="宋体"/>
                <w:bCs/>
                <w:sz w:val="21"/>
                <w:szCs w:val="21"/>
                <w:highlight w:val="none"/>
              </w:rPr>
            </w:pPr>
            <w:r>
              <w:rPr>
                <w:rFonts w:hint="eastAsia" w:ascii="宋体" w:hAnsi="宋体" w:cs="宋体"/>
                <w:bCs/>
                <w:sz w:val="21"/>
                <w:szCs w:val="21"/>
                <w:highlight w:val="none"/>
              </w:rPr>
              <w:t>成果要求</w:t>
            </w:r>
          </w:p>
        </w:tc>
        <w:tc>
          <w:tcPr>
            <w:tcW w:w="4421" w:type="dxa"/>
            <w:vAlign w:val="center"/>
          </w:tcPr>
          <w:p w14:paraId="2E745471">
            <w:pPr>
              <w:rPr>
                <w:rFonts w:hint="eastAsia" w:ascii="宋体" w:hAnsi="宋体"/>
                <w:bCs/>
                <w:sz w:val="21"/>
                <w:szCs w:val="21"/>
                <w:highlight w:val="none"/>
              </w:rPr>
            </w:pPr>
            <w:r>
              <w:rPr>
                <w:rFonts w:hint="eastAsia" w:ascii="宋体" w:hAnsi="宋体"/>
                <w:bCs/>
                <w:sz w:val="21"/>
                <w:szCs w:val="21"/>
                <w:highlight w:val="none"/>
                <w:lang w:val="en-US" w:eastAsia="zh-CN"/>
              </w:rPr>
              <w:t>1.</w:t>
            </w:r>
            <w:r>
              <w:rPr>
                <w:rFonts w:hint="eastAsia" w:ascii="宋体" w:hAnsi="宋体"/>
                <w:bCs/>
                <w:sz w:val="21"/>
                <w:szCs w:val="21"/>
                <w:highlight w:val="none"/>
              </w:rPr>
              <w:t>根据</w:t>
            </w:r>
            <w:r>
              <w:rPr>
                <w:rFonts w:hint="eastAsia" w:ascii="宋体" w:hAnsi="宋体"/>
                <w:bCs/>
                <w:sz w:val="21"/>
                <w:szCs w:val="21"/>
                <w:highlight w:val="none"/>
                <w:lang w:eastAsia="zh-CN"/>
              </w:rPr>
              <w:t>采购人</w:t>
            </w:r>
            <w:r>
              <w:rPr>
                <w:rFonts w:hint="eastAsia" w:ascii="宋体" w:hAnsi="宋体"/>
                <w:bCs/>
                <w:sz w:val="21"/>
                <w:szCs w:val="21"/>
                <w:highlight w:val="none"/>
              </w:rPr>
              <w:t>提供的物业具体信息，</w:t>
            </w:r>
            <w:r>
              <w:rPr>
                <w:rFonts w:hint="eastAsia" w:ascii="宋体" w:hAnsi="宋体"/>
                <w:bCs/>
                <w:sz w:val="21"/>
                <w:szCs w:val="21"/>
                <w:highlight w:val="none"/>
                <w:lang w:eastAsia="zh-CN"/>
              </w:rPr>
              <w:t>中标供应商</w:t>
            </w:r>
            <w:r>
              <w:rPr>
                <w:rFonts w:hint="eastAsia" w:ascii="宋体" w:hAnsi="宋体"/>
                <w:bCs/>
                <w:sz w:val="21"/>
                <w:szCs w:val="21"/>
                <w:highlight w:val="none"/>
              </w:rPr>
              <w:t>选择适宜的评估方法(比较法、收益法、成本法)评估物业现状下的市场租金，针对不同物业类型出具相应的评估报告</w:t>
            </w:r>
            <w:r>
              <w:rPr>
                <w:rFonts w:hint="eastAsia" w:ascii="宋体" w:hAnsi="宋体"/>
                <w:bCs/>
                <w:sz w:val="21"/>
                <w:szCs w:val="21"/>
                <w:highlight w:val="none"/>
                <w:lang w:eastAsia="zh-CN"/>
              </w:rPr>
              <w:t>，</w:t>
            </w:r>
            <w:r>
              <w:rPr>
                <w:rFonts w:hint="eastAsia" w:ascii="宋体" w:hAnsi="宋体"/>
                <w:bCs/>
                <w:sz w:val="21"/>
                <w:szCs w:val="21"/>
                <w:highlight w:val="none"/>
              </w:rPr>
              <w:t>并通过</w:t>
            </w:r>
            <w:r>
              <w:rPr>
                <w:rFonts w:hint="eastAsia" w:ascii="宋体" w:hAnsi="宋体"/>
                <w:bCs/>
                <w:sz w:val="21"/>
                <w:szCs w:val="21"/>
                <w:highlight w:val="none"/>
                <w:lang w:eastAsia="zh-CN"/>
              </w:rPr>
              <w:t>采购人</w:t>
            </w:r>
            <w:r>
              <w:rPr>
                <w:rFonts w:hint="eastAsia" w:ascii="宋体" w:hAnsi="宋体"/>
                <w:bCs/>
                <w:sz w:val="21"/>
                <w:szCs w:val="21"/>
                <w:highlight w:val="none"/>
              </w:rPr>
              <w:t>验收。</w:t>
            </w:r>
          </w:p>
          <w:p w14:paraId="0B50543A">
            <w:pPr>
              <w:rPr>
                <w:rFonts w:ascii="宋体" w:hAnsi="宋体" w:cs="宋体"/>
                <w:bCs/>
                <w:sz w:val="21"/>
                <w:szCs w:val="21"/>
                <w:highlight w:val="none"/>
              </w:rPr>
            </w:pPr>
            <w:r>
              <w:rPr>
                <w:rFonts w:hint="eastAsia" w:ascii="宋体" w:hAnsi="宋体"/>
                <w:bCs/>
                <w:sz w:val="21"/>
                <w:szCs w:val="21"/>
                <w:highlight w:val="none"/>
                <w:lang w:val="en-US" w:eastAsia="zh-CN"/>
              </w:rPr>
              <w:t>2.</w:t>
            </w:r>
            <w:r>
              <w:rPr>
                <w:rFonts w:hint="eastAsia" w:ascii="宋体" w:hAnsi="宋体"/>
                <w:bCs/>
                <w:sz w:val="21"/>
                <w:szCs w:val="21"/>
                <w:highlight w:val="none"/>
              </w:rPr>
              <w:t>根据</w:t>
            </w:r>
            <w:r>
              <w:rPr>
                <w:rFonts w:hint="eastAsia" w:ascii="宋体" w:hAnsi="宋体"/>
                <w:bCs/>
                <w:sz w:val="21"/>
                <w:szCs w:val="21"/>
                <w:highlight w:val="none"/>
                <w:lang w:eastAsia="zh-CN"/>
              </w:rPr>
              <w:t>采购人</w:t>
            </w:r>
            <w:r>
              <w:rPr>
                <w:rFonts w:hint="eastAsia" w:ascii="宋体" w:hAnsi="宋体"/>
                <w:bCs/>
                <w:sz w:val="21"/>
                <w:szCs w:val="21"/>
                <w:highlight w:val="none"/>
              </w:rPr>
              <w:t>需求，服务期内由</w:t>
            </w:r>
            <w:r>
              <w:rPr>
                <w:rFonts w:hint="eastAsia" w:ascii="宋体" w:hAnsi="宋体"/>
                <w:bCs/>
                <w:sz w:val="21"/>
                <w:szCs w:val="21"/>
                <w:highlight w:val="none"/>
                <w:lang w:eastAsia="zh-CN"/>
              </w:rPr>
              <w:t>中标供应商</w:t>
            </w:r>
            <w:r>
              <w:rPr>
                <w:rFonts w:hint="eastAsia" w:ascii="宋体" w:hAnsi="宋体"/>
                <w:bCs/>
                <w:sz w:val="21"/>
                <w:szCs w:val="21"/>
                <w:highlight w:val="none"/>
              </w:rPr>
              <w:t>提供一次深圳市全域内写字楼市场调查分析报告，具体内容由双方商议决定。</w:t>
            </w:r>
          </w:p>
        </w:tc>
        <w:tc>
          <w:tcPr>
            <w:tcW w:w="749" w:type="dxa"/>
            <w:vAlign w:val="center"/>
          </w:tcPr>
          <w:p w14:paraId="71974D47">
            <w:pPr>
              <w:spacing w:line="276" w:lineRule="auto"/>
              <w:rPr>
                <w:rFonts w:ascii="宋体" w:hAnsi="宋体" w:cs="宋体"/>
                <w:bCs/>
                <w:sz w:val="21"/>
                <w:szCs w:val="21"/>
                <w:highlight w:val="none"/>
              </w:rPr>
            </w:pPr>
          </w:p>
        </w:tc>
        <w:tc>
          <w:tcPr>
            <w:tcW w:w="973" w:type="dxa"/>
            <w:vAlign w:val="center"/>
          </w:tcPr>
          <w:p w14:paraId="608A152C">
            <w:pPr>
              <w:spacing w:line="276" w:lineRule="auto"/>
              <w:rPr>
                <w:rFonts w:ascii="宋体" w:hAnsi="宋体" w:cs="宋体"/>
                <w:bCs/>
                <w:sz w:val="21"/>
                <w:szCs w:val="21"/>
                <w:highlight w:val="none"/>
              </w:rPr>
            </w:pPr>
          </w:p>
        </w:tc>
      </w:tr>
      <w:tr w14:paraId="54AD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40" w:type="dxa"/>
            <w:vAlign w:val="center"/>
          </w:tcPr>
          <w:p w14:paraId="1ACFCC12">
            <w:pPr>
              <w:spacing w:line="276" w:lineRule="auto"/>
              <w:jc w:val="center"/>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4</w:t>
            </w:r>
          </w:p>
        </w:tc>
        <w:tc>
          <w:tcPr>
            <w:tcW w:w="1510" w:type="dxa"/>
            <w:vAlign w:val="center"/>
          </w:tcPr>
          <w:p w14:paraId="1E47563B">
            <w:pPr>
              <w:spacing w:line="276" w:lineRule="auto"/>
              <w:jc w:val="center"/>
              <w:rPr>
                <w:rFonts w:ascii="宋体" w:hAnsi="宋体" w:cs="宋体"/>
                <w:bCs/>
                <w:sz w:val="21"/>
                <w:szCs w:val="21"/>
                <w:highlight w:val="none"/>
              </w:rPr>
            </w:pPr>
            <w:r>
              <w:rPr>
                <w:rFonts w:hint="eastAsia" w:ascii="宋体" w:hAnsi="宋体" w:cs="宋体"/>
                <w:bCs/>
                <w:sz w:val="21"/>
                <w:szCs w:val="21"/>
                <w:highlight w:val="none"/>
              </w:rPr>
              <w:t>其他要求</w:t>
            </w:r>
          </w:p>
        </w:tc>
        <w:tc>
          <w:tcPr>
            <w:tcW w:w="4421" w:type="dxa"/>
            <w:vAlign w:val="center"/>
          </w:tcPr>
          <w:p w14:paraId="2730D5D8">
            <w:pPr>
              <w:rPr>
                <w:rFonts w:hint="eastAsia" w:ascii="宋体" w:hAnsi="宋体" w:cs="Times New Roman"/>
                <w:bCs/>
                <w:sz w:val="21"/>
                <w:szCs w:val="21"/>
                <w:highlight w:val="none"/>
                <w:lang w:val="en-US" w:eastAsia="zh-CN"/>
              </w:rPr>
            </w:pPr>
            <w:r>
              <w:rPr>
                <w:rFonts w:hint="eastAsia" w:ascii="宋体" w:hAnsi="宋体" w:cs="Times New Roman"/>
                <w:bCs/>
                <w:kern w:val="2"/>
                <w:sz w:val="21"/>
                <w:szCs w:val="21"/>
                <w:highlight w:val="none"/>
                <w:lang w:val="en-US" w:eastAsia="zh-CN" w:bidi="ar-SA"/>
              </w:rPr>
              <w:t>1</w:t>
            </w:r>
            <w:r>
              <w:rPr>
                <w:rFonts w:hint="eastAsia" w:ascii="宋体" w:hAnsi="宋体" w:eastAsia="宋体" w:cs="Times New Roman"/>
                <w:bCs/>
                <w:kern w:val="2"/>
                <w:sz w:val="21"/>
                <w:szCs w:val="21"/>
                <w:highlight w:val="none"/>
                <w:lang w:val="en-US" w:eastAsia="zh-CN" w:bidi="ar-SA"/>
              </w:rPr>
              <w:t>.在采购人提供资料齐备的情况下，</w:t>
            </w:r>
            <w:r>
              <w:rPr>
                <w:rFonts w:hint="eastAsia" w:cs="Times New Roman"/>
                <w:bCs/>
                <w:kern w:val="2"/>
                <w:sz w:val="21"/>
                <w:szCs w:val="21"/>
                <w:highlight w:val="none"/>
                <w:lang w:val="en-US" w:eastAsia="zh-CN" w:bidi="ar-SA"/>
              </w:rPr>
              <w:t>中标供应商</w:t>
            </w:r>
            <w:r>
              <w:rPr>
                <w:rFonts w:hint="eastAsia" w:ascii="宋体" w:hAnsi="宋体" w:eastAsia="宋体" w:cs="Times New Roman"/>
                <w:bCs/>
                <w:kern w:val="2"/>
                <w:sz w:val="21"/>
                <w:szCs w:val="21"/>
                <w:highlight w:val="none"/>
                <w:lang w:val="en-US" w:eastAsia="zh-CN" w:bidi="ar-SA"/>
              </w:rPr>
              <w:t>应于5个工作</w:t>
            </w:r>
            <w:r>
              <w:rPr>
                <w:rFonts w:hint="eastAsia" w:ascii="宋体" w:hAnsi="宋体" w:cs="Times New Roman"/>
                <w:bCs/>
                <w:sz w:val="21"/>
                <w:szCs w:val="21"/>
                <w:highlight w:val="none"/>
                <w:lang w:val="en-US" w:eastAsia="zh-CN"/>
              </w:rPr>
              <w:t>日内向采购人提交初步的评估报告，并按采购人的要求在合理期限内出具正式评估报告。</w:t>
            </w:r>
          </w:p>
          <w:p w14:paraId="438689F1">
            <w:pPr>
              <w:rPr>
                <w:rFonts w:hint="eastAsia"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2.中标供应商将按照采购人实际要求确定评估基准日,采购人对评估基准日期没有特定要求的，中标供应商可按惯例以勘察评估物业现场的日期定为评估基准日期。</w:t>
            </w:r>
          </w:p>
          <w:p w14:paraId="11F64512">
            <w:pPr>
              <w:rPr>
                <w:rFonts w:hint="eastAsia"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3.中标供应商应就每项评估物业项目分别签发3份正式评估报告。</w:t>
            </w:r>
          </w:p>
          <w:p w14:paraId="66E58864">
            <w:pPr>
              <w:rPr>
                <w:rFonts w:ascii="宋体" w:hAnsi="宋体" w:cs="宋体"/>
                <w:bCs/>
                <w:sz w:val="21"/>
                <w:szCs w:val="21"/>
                <w:highlight w:val="none"/>
              </w:rPr>
            </w:pPr>
            <w:r>
              <w:rPr>
                <w:rFonts w:hint="eastAsia" w:ascii="宋体" w:hAnsi="宋体" w:cs="Times New Roman"/>
                <w:bCs/>
                <w:sz w:val="21"/>
                <w:szCs w:val="21"/>
                <w:highlight w:val="none"/>
                <w:lang w:val="en-US" w:eastAsia="zh-CN"/>
              </w:rPr>
              <w:t>4.中标供应商应当妥善保管采购人提供的全部资料的资料原件。</w:t>
            </w:r>
          </w:p>
        </w:tc>
        <w:tc>
          <w:tcPr>
            <w:tcW w:w="749" w:type="dxa"/>
            <w:vAlign w:val="center"/>
          </w:tcPr>
          <w:p w14:paraId="05507B86">
            <w:pPr>
              <w:spacing w:line="276" w:lineRule="auto"/>
              <w:rPr>
                <w:rFonts w:ascii="宋体" w:hAnsi="宋体" w:cs="宋体"/>
                <w:bCs/>
                <w:sz w:val="21"/>
                <w:szCs w:val="21"/>
                <w:highlight w:val="none"/>
              </w:rPr>
            </w:pPr>
          </w:p>
        </w:tc>
        <w:tc>
          <w:tcPr>
            <w:tcW w:w="973" w:type="dxa"/>
            <w:vAlign w:val="center"/>
          </w:tcPr>
          <w:p w14:paraId="111A1D00">
            <w:pPr>
              <w:spacing w:line="276" w:lineRule="auto"/>
              <w:rPr>
                <w:rFonts w:ascii="宋体" w:hAnsi="宋体" w:cs="宋体"/>
                <w:bCs/>
                <w:sz w:val="21"/>
                <w:szCs w:val="21"/>
                <w:highlight w:val="none"/>
              </w:rPr>
            </w:pPr>
          </w:p>
        </w:tc>
      </w:tr>
    </w:tbl>
    <w:p w14:paraId="7A44A84C">
      <w:pPr>
        <w:rPr>
          <w:b/>
          <w:sz w:val="24"/>
          <w:highlight w:val="none"/>
        </w:rPr>
      </w:pPr>
    </w:p>
    <w:p w14:paraId="02420E50">
      <w:pPr>
        <w:pStyle w:val="7"/>
        <w:spacing w:before="120" w:beforeLines="50" w:after="120" w:afterLines="50"/>
        <w:rPr>
          <w:szCs w:val="24"/>
          <w:highlight w:val="none"/>
        </w:rPr>
      </w:pPr>
      <w:r>
        <w:rPr>
          <w:rFonts w:hint="eastAsia"/>
          <w:szCs w:val="24"/>
          <w:highlight w:val="none"/>
        </w:rPr>
        <w:t>六、商务要求</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137"/>
        <w:gridCol w:w="6748"/>
      </w:tblGrid>
      <w:tr w14:paraId="0AC6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44" w:type="dxa"/>
            <w:vAlign w:val="center"/>
          </w:tcPr>
          <w:p w14:paraId="065D78E0">
            <w:pPr>
              <w:widowControl/>
              <w:jc w:val="center"/>
              <w:rPr>
                <w:b/>
                <w:szCs w:val="21"/>
                <w:highlight w:val="none"/>
              </w:rPr>
            </w:pPr>
            <w:r>
              <w:rPr>
                <w:rFonts w:hint="eastAsia"/>
                <w:b/>
                <w:szCs w:val="21"/>
                <w:highlight w:val="none"/>
              </w:rPr>
              <w:t>序号</w:t>
            </w:r>
          </w:p>
        </w:tc>
        <w:tc>
          <w:tcPr>
            <w:tcW w:w="1137" w:type="dxa"/>
            <w:vAlign w:val="center"/>
          </w:tcPr>
          <w:p w14:paraId="3247A0AF">
            <w:pPr>
              <w:widowControl/>
              <w:jc w:val="center"/>
              <w:rPr>
                <w:b/>
                <w:szCs w:val="21"/>
                <w:highlight w:val="none"/>
              </w:rPr>
            </w:pPr>
            <w:r>
              <w:rPr>
                <w:rFonts w:hint="eastAsia"/>
                <w:b/>
                <w:szCs w:val="21"/>
                <w:highlight w:val="none"/>
              </w:rPr>
              <w:t>目录</w:t>
            </w:r>
          </w:p>
        </w:tc>
        <w:tc>
          <w:tcPr>
            <w:tcW w:w="6748" w:type="dxa"/>
            <w:vAlign w:val="center"/>
          </w:tcPr>
          <w:p w14:paraId="03E0050D">
            <w:pPr>
              <w:widowControl/>
              <w:jc w:val="center"/>
              <w:rPr>
                <w:b/>
                <w:szCs w:val="21"/>
                <w:highlight w:val="none"/>
              </w:rPr>
            </w:pPr>
            <w:r>
              <w:rPr>
                <w:rFonts w:hint="eastAsia" w:ascii="宋体" w:hAnsi="宋体" w:cs="宋体"/>
                <w:szCs w:val="21"/>
                <w:highlight w:val="none"/>
              </w:rPr>
              <w:t>★</w:t>
            </w:r>
            <w:r>
              <w:rPr>
                <w:rFonts w:hint="eastAsia"/>
                <w:b/>
                <w:szCs w:val="21"/>
                <w:highlight w:val="none"/>
              </w:rPr>
              <w:t>商务条款要求</w:t>
            </w:r>
          </w:p>
        </w:tc>
      </w:tr>
      <w:tr w14:paraId="1B52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20B07471">
            <w:pPr>
              <w:jc w:val="center"/>
              <w:outlineLvl w:val="0"/>
              <w:rPr>
                <w:rFonts w:ascii="宋体" w:hAnsi="宋体"/>
                <w:b/>
                <w:bCs/>
                <w:szCs w:val="21"/>
                <w:highlight w:val="none"/>
              </w:rPr>
            </w:pPr>
            <w:r>
              <w:rPr>
                <w:rFonts w:hint="eastAsia" w:ascii="宋体" w:hAnsi="宋体"/>
                <w:b/>
                <w:bCs/>
                <w:szCs w:val="21"/>
                <w:highlight w:val="none"/>
              </w:rPr>
              <w:t>1</w:t>
            </w:r>
          </w:p>
        </w:tc>
        <w:tc>
          <w:tcPr>
            <w:tcW w:w="1137" w:type="dxa"/>
            <w:vAlign w:val="center"/>
          </w:tcPr>
          <w:p w14:paraId="47E62263">
            <w:pPr>
              <w:jc w:val="center"/>
              <w:outlineLvl w:val="0"/>
              <w:rPr>
                <w:rFonts w:ascii="宋体" w:hAnsi="宋体"/>
                <w:b/>
                <w:bCs/>
                <w:szCs w:val="21"/>
                <w:highlight w:val="none"/>
              </w:rPr>
            </w:pPr>
            <w:r>
              <w:rPr>
                <w:rFonts w:hint="eastAsia" w:ascii="宋体" w:hAnsi="宋体"/>
                <w:b/>
                <w:bCs/>
                <w:szCs w:val="21"/>
                <w:highlight w:val="none"/>
              </w:rPr>
              <w:t>服务期要求</w:t>
            </w:r>
          </w:p>
        </w:tc>
        <w:tc>
          <w:tcPr>
            <w:tcW w:w="6748" w:type="dxa"/>
          </w:tcPr>
          <w:p w14:paraId="034D0B2B">
            <w:pPr>
              <w:rPr>
                <w:rFonts w:hint="eastAsia" w:ascii="宋体" w:hAnsi="宋体"/>
                <w:bCs/>
                <w:szCs w:val="21"/>
                <w:highlight w:val="none"/>
              </w:rPr>
            </w:pPr>
            <w:r>
              <w:rPr>
                <w:rFonts w:hint="eastAsia" w:ascii="宋体" w:hAnsi="宋体"/>
                <w:szCs w:val="21"/>
                <w:highlight w:val="none"/>
              </w:rPr>
              <w:t>系指合同签订之日起至服务结束的时间期限</w:t>
            </w:r>
            <w:r>
              <w:rPr>
                <w:rFonts w:hint="eastAsia" w:ascii="宋体" w:hAnsi="宋体"/>
                <w:bCs/>
                <w:szCs w:val="21"/>
                <w:highlight w:val="none"/>
              </w:rPr>
              <w:t>。具体是指合同签订后</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365</w:t>
            </w:r>
            <w:r>
              <w:rPr>
                <w:rFonts w:hint="eastAsia" w:ascii="宋体" w:hAnsi="宋体"/>
                <w:bCs/>
                <w:szCs w:val="21"/>
                <w:highlight w:val="none"/>
              </w:rPr>
              <w:t>日内。</w:t>
            </w:r>
          </w:p>
          <w:p w14:paraId="52397C8E">
            <w:pPr>
              <w:spacing w:line="276" w:lineRule="auto"/>
              <w:rPr>
                <w:highlight w:val="none"/>
              </w:rPr>
            </w:pPr>
            <w:r>
              <w:rPr>
                <w:rFonts w:hint="eastAsia"/>
                <w:color w:val="000000" w:themeColor="text1"/>
                <w:highlight w:val="none"/>
                <w14:textFill>
                  <w14:solidFill>
                    <w14:schemeClr w14:val="tx1"/>
                  </w14:solidFill>
                </w14:textFill>
              </w:rPr>
              <w:t>本项目为长期服务项目，合同期满可以续签，但合同履行期限最长不得超过三十六个月。如甲方对履约情况不满意，甲方不再续约。</w:t>
            </w:r>
          </w:p>
        </w:tc>
      </w:tr>
      <w:tr w14:paraId="4CE8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38221E00">
            <w:pPr>
              <w:jc w:val="center"/>
              <w:outlineLvl w:val="0"/>
              <w:rPr>
                <w:rFonts w:ascii="宋体" w:hAnsi="宋体"/>
                <w:b/>
                <w:bCs/>
                <w:szCs w:val="21"/>
                <w:highlight w:val="none"/>
              </w:rPr>
            </w:pPr>
            <w:r>
              <w:rPr>
                <w:rFonts w:hint="eastAsia" w:ascii="宋体" w:hAnsi="宋体"/>
                <w:b/>
                <w:bCs/>
                <w:szCs w:val="21"/>
                <w:highlight w:val="none"/>
              </w:rPr>
              <w:t>2</w:t>
            </w:r>
          </w:p>
        </w:tc>
        <w:tc>
          <w:tcPr>
            <w:tcW w:w="1137" w:type="dxa"/>
            <w:vAlign w:val="center"/>
          </w:tcPr>
          <w:p w14:paraId="6FEED80F">
            <w:pPr>
              <w:jc w:val="center"/>
              <w:outlineLvl w:val="0"/>
              <w:rPr>
                <w:rFonts w:ascii="宋体" w:hAnsi="宋体"/>
                <w:b/>
                <w:bCs/>
                <w:szCs w:val="21"/>
                <w:highlight w:val="none"/>
              </w:rPr>
            </w:pPr>
            <w:r>
              <w:rPr>
                <w:rFonts w:hint="eastAsia" w:ascii="宋体" w:hAnsi="宋体"/>
                <w:b/>
                <w:bCs/>
                <w:szCs w:val="21"/>
                <w:highlight w:val="none"/>
              </w:rPr>
              <w:t>服务地点</w:t>
            </w:r>
          </w:p>
        </w:tc>
        <w:tc>
          <w:tcPr>
            <w:tcW w:w="6748" w:type="dxa"/>
          </w:tcPr>
          <w:p w14:paraId="126C1D28">
            <w:pPr>
              <w:outlineLvl w:val="0"/>
              <w:rPr>
                <w:rFonts w:ascii="宋体" w:hAnsi="宋体"/>
                <w:b/>
                <w:sz w:val="28"/>
                <w:szCs w:val="28"/>
                <w:highlight w:val="none"/>
              </w:rPr>
            </w:pPr>
            <w:r>
              <w:rPr>
                <w:rFonts w:hint="eastAsia" w:ascii="宋体" w:hAnsi="宋体" w:cs="Times New Roman"/>
                <w:szCs w:val="21"/>
                <w:highlight w:val="none"/>
              </w:rPr>
              <w:t>采购人指定地点</w:t>
            </w:r>
          </w:p>
        </w:tc>
      </w:tr>
      <w:tr w14:paraId="7D37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7A755646">
            <w:pPr>
              <w:jc w:val="center"/>
              <w:outlineLvl w:val="0"/>
              <w:rPr>
                <w:rFonts w:ascii="宋体" w:hAnsi="宋体"/>
                <w:b/>
                <w:bCs/>
                <w:szCs w:val="21"/>
                <w:highlight w:val="none"/>
              </w:rPr>
            </w:pPr>
            <w:r>
              <w:rPr>
                <w:rFonts w:hint="eastAsia" w:ascii="宋体" w:hAnsi="宋体"/>
                <w:b/>
                <w:bCs/>
                <w:szCs w:val="21"/>
                <w:highlight w:val="none"/>
              </w:rPr>
              <w:t>3</w:t>
            </w:r>
          </w:p>
        </w:tc>
        <w:tc>
          <w:tcPr>
            <w:tcW w:w="1137" w:type="dxa"/>
            <w:vAlign w:val="center"/>
          </w:tcPr>
          <w:p w14:paraId="547DF663">
            <w:pPr>
              <w:jc w:val="center"/>
              <w:outlineLvl w:val="0"/>
              <w:rPr>
                <w:rFonts w:ascii="宋体" w:hAnsi="宋体"/>
                <w:b/>
                <w:bCs/>
                <w:szCs w:val="21"/>
                <w:highlight w:val="none"/>
              </w:rPr>
            </w:pPr>
            <w:r>
              <w:rPr>
                <w:rFonts w:hint="eastAsia" w:ascii="宋体" w:hAnsi="宋体"/>
                <w:b/>
                <w:bCs/>
                <w:szCs w:val="21"/>
                <w:highlight w:val="none"/>
              </w:rPr>
              <w:t>付款方式</w:t>
            </w:r>
          </w:p>
        </w:tc>
        <w:tc>
          <w:tcPr>
            <w:tcW w:w="6748" w:type="dxa"/>
          </w:tcPr>
          <w:p w14:paraId="1478131F">
            <w:pPr>
              <w:numPr>
                <w:ilvl w:val="0"/>
                <w:numId w:val="0"/>
              </w:numPr>
              <w:rPr>
                <w:rFonts w:ascii="宋体" w:hAnsi="宋体"/>
                <w:szCs w:val="21"/>
                <w:highlight w:val="none"/>
              </w:rPr>
            </w:pPr>
            <w:r>
              <w:rPr>
                <w:rFonts w:hint="eastAsia" w:ascii="宋体" w:hAnsi="宋体" w:eastAsia="宋体" w:cs="Times New Roman"/>
                <w:szCs w:val="21"/>
                <w:highlight w:val="none"/>
                <w:lang w:val="en-US" w:eastAsia="zh-CN"/>
              </w:rPr>
              <w:t>甲方在乙方出具</w:t>
            </w:r>
            <w:r>
              <w:rPr>
                <w:rFonts w:hint="eastAsia" w:ascii="宋体" w:hAnsi="宋体" w:eastAsia="宋体" w:cs="Times New Roman"/>
                <w:szCs w:val="21"/>
                <w:highlight w:val="none"/>
                <w:lang w:val="en-US" w:eastAsia="zh-CN"/>
              </w:rPr>
              <w:t>房地产市场租金评估报告</w:t>
            </w:r>
            <w:r>
              <w:rPr>
                <w:rFonts w:hint="eastAsia" w:ascii="宋体" w:hAnsi="宋体" w:eastAsia="宋体" w:cs="Times New Roman"/>
                <w:szCs w:val="21"/>
                <w:highlight w:val="none"/>
                <w:lang w:val="en-US" w:eastAsia="zh-CN"/>
              </w:rPr>
              <w:t>且评估报告验收合格后付清乙方评估该项目对应的评估的全部款项，可尽量以集中批量方式阶段性（按季度）支付评估费用。因工作需要，经双方协商，甲方可根据项目阶段性评估报告，支付乙方部分评估服务费，据实结算（具体以合同签订为准）</w:t>
            </w:r>
          </w:p>
        </w:tc>
      </w:tr>
      <w:tr w14:paraId="24CF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0AD51956">
            <w:pPr>
              <w:jc w:val="center"/>
              <w:outlineLvl w:val="0"/>
              <w:rPr>
                <w:rFonts w:ascii="宋体" w:hAnsi="宋体"/>
                <w:b/>
                <w:bCs/>
                <w:szCs w:val="21"/>
                <w:highlight w:val="none"/>
              </w:rPr>
            </w:pPr>
            <w:r>
              <w:rPr>
                <w:rFonts w:hint="eastAsia" w:ascii="宋体" w:hAnsi="宋体"/>
                <w:b/>
                <w:bCs/>
                <w:szCs w:val="21"/>
                <w:highlight w:val="none"/>
              </w:rPr>
              <w:t>4</w:t>
            </w:r>
          </w:p>
        </w:tc>
        <w:tc>
          <w:tcPr>
            <w:tcW w:w="1137" w:type="dxa"/>
            <w:vAlign w:val="center"/>
          </w:tcPr>
          <w:p w14:paraId="6992669F">
            <w:pPr>
              <w:jc w:val="center"/>
              <w:rPr>
                <w:rFonts w:ascii="宋体" w:hAnsi="宋体"/>
                <w:b/>
                <w:bCs/>
                <w:szCs w:val="21"/>
                <w:highlight w:val="none"/>
              </w:rPr>
            </w:pPr>
            <w:r>
              <w:rPr>
                <w:rFonts w:hint="eastAsia" w:ascii="宋体" w:hAnsi="宋体"/>
                <w:b/>
                <w:bCs/>
                <w:szCs w:val="21"/>
                <w:highlight w:val="none"/>
              </w:rPr>
              <w:t>关于验收</w:t>
            </w:r>
          </w:p>
          <w:p w14:paraId="441668E0">
            <w:pPr>
              <w:jc w:val="center"/>
              <w:outlineLvl w:val="0"/>
              <w:rPr>
                <w:rFonts w:ascii="宋体" w:hAnsi="宋体"/>
                <w:b/>
                <w:bCs/>
                <w:szCs w:val="21"/>
                <w:highlight w:val="none"/>
              </w:rPr>
            </w:pPr>
          </w:p>
        </w:tc>
        <w:tc>
          <w:tcPr>
            <w:tcW w:w="6748" w:type="dxa"/>
          </w:tcPr>
          <w:p w14:paraId="6CC91566">
            <w:pPr>
              <w:rPr>
                <w:rFonts w:ascii="宋体" w:hAnsi="宋体"/>
                <w:b/>
                <w:szCs w:val="21"/>
                <w:highlight w:val="none"/>
              </w:rPr>
            </w:pPr>
            <w:r>
              <w:rPr>
                <w:rFonts w:hint="eastAsia" w:ascii="宋体" w:hAnsi="宋体"/>
                <w:bCs/>
                <w:szCs w:val="21"/>
                <w:highlight w:val="none"/>
              </w:rPr>
              <w:t>1）服务经过双方检验认可后，签署验收报告。</w:t>
            </w:r>
          </w:p>
          <w:p w14:paraId="0F8D649F">
            <w:pPr>
              <w:rPr>
                <w:rFonts w:ascii="宋体" w:hAnsi="宋体"/>
                <w:bCs/>
                <w:szCs w:val="21"/>
                <w:highlight w:val="none"/>
              </w:rPr>
            </w:pPr>
            <w:r>
              <w:rPr>
                <w:rFonts w:hint="eastAsia" w:ascii="宋体" w:hAnsi="宋体"/>
                <w:bCs/>
                <w:szCs w:val="21"/>
                <w:highlight w:val="none"/>
              </w:rPr>
              <w:t>2）当满足以下条件时，采购人才向中标人签发验收报告：</w:t>
            </w:r>
          </w:p>
          <w:p w14:paraId="116ABBA8">
            <w:pPr>
              <w:tabs>
                <w:tab w:val="left" w:pos="1260"/>
              </w:tabs>
              <w:rPr>
                <w:rFonts w:ascii="宋体" w:hAnsi="宋体"/>
                <w:bCs/>
                <w:szCs w:val="21"/>
                <w:highlight w:val="none"/>
              </w:rPr>
            </w:pPr>
            <w:r>
              <w:rPr>
                <w:rFonts w:hint="eastAsia" w:ascii="宋体" w:hAnsi="宋体"/>
                <w:bCs/>
                <w:szCs w:val="21"/>
                <w:highlight w:val="none"/>
              </w:rPr>
              <w:t>a、中标人已按照合同规定提供了全部技术资料。</w:t>
            </w:r>
          </w:p>
          <w:p w14:paraId="3036BDBD">
            <w:pPr>
              <w:tabs>
                <w:tab w:val="left" w:pos="1260"/>
              </w:tabs>
              <w:rPr>
                <w:rFonts w:ascii="宋体" w:hAnsi="宋体"/>
                <w:szCs w:val="21"/>
                <w:highlight w:val="none"/>
              </w:rPr>
            </w:pPr>
            <w:r>
              <w:rPr>
                <w:rFonts w:hint="eastAsia" w:ascii="宋体" w:hAnsi="宋体"/>
                <w:bCs/>
                <w:szCs w:val="21"/>
                <w:highlight w:val="none"/>
              </w:rPr>
              <w:t>b、服务项目符合招标文件的服务要求</w:t>
            </w:r>
          </w:p>
        </w:tc>
      </w:tr>
    </w:tbl>
    <w:p w14:paraId="477B4C37">
      <w:pPr>
        <w:ind w:firstLine="420" w:firstLineChars="200"/>
        <w:rPr>
          <w:rFonts w:asciiTheme="minorEastAsia" w:hAnsiTheme="minorEastAsia" w:eastAsiaTheme="minorEastAsia"/>
          <w:highlight w:val="none"/>
        </w:rPr>
      </w:pPr>
    </w:p>
    <w:p w14:paraId="59D70F55">
      <w:pPr>
        <w:rPr>
          <w:highlight w:val="none"/>
        </w:rPr>
      </w:pPr>
    </w:p>
    <w:p w14:paraId="705BC3CB">
      <w:pPr>
        <w:pStyle w:val="7"/>
        <w:spacing w:before="120" w:beforeLines="50" w:after="120" w:afterLines="50"/>
        <w:rPr>
          <w:szCs w:val="24"/>
          <w:highlight w:val="none"/>
        </w:rPr>
      </w:pPr>
      <w:r>
        <w:rPr>
          <w:rFonts w:hint="eastAsia"/>
          <w:szCs w:val="24"/>
          <w:highlight w:val="none"/>
        </w:rPr>
        <w:t>七、其他重要条款</w:t>
      </w:r>
    </w:p>
    <w:p w14:paraId="0D4CC529">
      <w:pPr>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1、本项目</w:t>
      </w:r>
      <w:r>
        <w:rPr>
          <w:rFonts w:hint="eastAsia" w:ascii="宋体" w:hAnsi="宋体" w:eastAsia="宋体" w:cs="宋体"/>
          <w:b w:val="0"/>
          <w:bCs/>
          <w:color w:val="auto"/>
          <w:sz w:val="21"/>
          <w:szCs w:val="21"/>
          <w:highlight w:val="none"/>
          <w:lang w:val="en-US" w:eastAsia="zh-CN"/>
        </w:rPr>
        <w:t>投标按</w:t>
      </w:r>
      <w:r>
        <w:rPr>
          <w:rFonts w:hint="eastAsia" w:ascii="宋体" w:hAnsi="宋体" w:eastAsia="宋体" w:cs="宋体"/>
          <w:b w:val="0"/>
          <w:bCs/>
          <w:color w:val="auto"/>
          <w:sz w:val="21"/>
          <w:szCs w:val="21"/>
          <w:highlight w:val="none"/>
        </w:rPr>
        <w:t>单价</w:t>
      </w:r>
      <w:r>
        <w:rPr>
          <w:rFonts w:hint="eastAsia" w:ascii="宋体" w:hAnsi="宋体" w:eastAsia="宋体" w:cs="宋体"/>
          <w:b w:val="0"/>
          <w:bCs/>
          <w:color w:val="auto"/>
          <w:sz w:val="21"/>
          <w:szCs w:val="21"/>
          <w:highlight w:val="none"/>
          <w:lang w:val="en-US" w:eastAsia="zh-CN"/>
        </w:rPr>
        <w:t>报价</w:t>
      </w:r>
      <w:r>
        <w:rPr>
          <w:rFonts w:hint="eastAsia" w:ascii="宋体" w:hAnsi="宋体" w:eastAsia="宋体" w:cs="宋体"/>
          <w:b w:val="0"/>
          <w:bCs/>
          <w:color w:val="auto"/>
          <w:sz w:val="21"/>
          <w:szCs w:val="21"/>
          <w:highlight w:val="none"/>
        </w:rPr>
        <w:t>，</w:t>
      </w:r>
      <w:r>
        <w:rPr>
          <w:rFonts w:hint="eastAsia" w:ascii="宋体" w:hAnsi="宋体" w:eastAsia="宋体"/>
          <w:szCs w:val="21"/>
          <w:highlight w:val="none"/>
          <w:lang w:val="en-US" w:eastAsia="zh-CN"/>
        </w:rPr>
        <w:t>报价应</w:t>
      </w:r>
      <w:r>
        <w:rPr>
          <w:rFonts w:hint="eastAsia" w:ascii="宋体" w:hAnsi="宋体"/>
          <w:szCs w:val="21"/>
          <w:highlight w:val="none"/>
        </w:rPr>
        <w:t>包括但不限于项目服务成本、法定税费和企业利润等一切费用。</w:t>
      </w:r>
    </w:p>
    <w:p w14:paraId="48792B70">
      <w:pPr>
        <w:keepNext w:val="0"/>
        <w:keepLines w:val="0"/>
        <w:pageBreakBefore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cs="宋体"/>
          <w:b w:val="0"/>
          <w:bCs/>
          <w:color w:val="auto"/>
          <w:sz w:val="21"/>
          <w:szCs w:val="21"/>
          <w:highlight w:val="none"/>
          <w:lang w:val="en-US" w:eastAsia="zh-CN"/>
        </w:rPr>
        <w:t>以上</w:t>
      </w:r>
      <w:r>
        <w:rPr>
          <w:rFonts w:hint="eastAsia" w:ascii="宋体" w:hAnsi="宋体" w:eastAsia="宋体" w:cs="宋体"/>
          <w:b w:val="0"/>
          <w:bCs/>
          <w:color w:val="auto"/>
          <w:sz w:val="21"/>
          <w:szCs w:val="21"/>
          <w:highlight w:val="none"/>
        </w:rPr>
        <w:t>报价使用货币及单位：人民币（元），报价精确到小数点后两位。</w:t>
      </w:r>
    </w:p>
    <w:p w14:paraId="4FFBD875">
      <w:pPr>
        <w:numPr>
          <w:ilvl w:val="0"/>
          <w:numId w:val="0"/>
        </w:numPr>
        <w:tabs>
          <w:tab w:val="left" w:pos="720"/>
        </w:tabs>
        <w:ind w:firstLine="420"/>
        <w:jc w:val="left"/>
        <w:rPr>
          <w:rFonts w:hint="eastAsia"/>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、投标人应根据本企业的成本自行决定报价，但不得低于其企业成本的报价投标</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评标时</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评标委员会认为投标人的报价明显低于其他通过符合性审查的投标人报价，有可能影响产品服务质量或者不能诚信履约的，应当要求其在评标现场合理的时间内提供书面说明，必要时提交相关材料；投标人不能证明其报价合理性的，评标委员会应当将其作为无效投标处理。</w:t>
      </w:r>
    </w:p>
    <w:p w14:paraId="7C6AC5D7">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Cs/>
          <w:szCs w:val="21"/>
          <w:highlight w:val="none"/>
        </w:rPr>
      </w:pPr>
      <w:r>
        <w:rPr>
          <w:rFonts w:hint="eastAsia" w:ascii="宋体" w:hAnsi="宋体" w:cs="宋体"/>
          <w:b w:val="0"/>
          <w:bCs/>
          <w:color w:val="auto"/>
          <w:kern w:val="2"/>
          <w:sz w:val="21"/>
          <w:szCs w:val="21"/>
          <w:highlight w:val="none"/>
          <w:lang w:val="en-US" w:eastAsia="zh-CN" w:bidi="ar-SA"/>
        </w:rPr>
        <w:t>4</w:t>
      </w:r>
      <w:r>
        <w:rPr>
          <w:rFonts w:hint="eastAsia" w:ascii="宋体" w:hAnsi="宋体" w:eastAsia="宋体" w:cs="宋体"/>
          <w:b w:val="0"/>
          <w:bCs/>
          <w:color w:val="auto"/>
          <w:kern w:val="2"/>
          <w:sz w:val="21"/>
          <w:szCs w:val="21"/>
          <w:highlight w:val="none"/>
          <w:lang w:val="en-US" w:eastAsia="zh-CN" w:bidi="ar-SA"/>
        </w:rPr>
        <w:t>、投标文件报价填写说明：本项目投标报价涉及多项内容，投标人在“开标一览表”中的“投标报价”统一填写“壹元（小写：1元）”，此处填写“壹元（小写：1元）”不作为评审价格；具体的代煎服务费和配送费报价，投标人在“四、项目详细报价 （一）分项报价表”中按以上投标报价要求填写，此处填写的各项投标报价作为价格得分计算依据。</w:t>
      </w:r>
      <w:r>
        <w:rPr>
          <w:rFonts w:hint="eastAsia" w:ascii="宋体" w:hAnsi="宋体" w:cs="宋体"/>
          <w:b w:val="0"/>
          <w:bCs/>
          <w:color w:val="auto"/>
          <w:kern w:val="2"/>
          <w:sz w:val="21"/>
          <w:szCs w:val="21"/>
          <w:highlight w:val="none"/>
          <w:lang w:val="en-US" w:eastAsia="zh-CN" w:bidi="ar-SA"/>
        </w:rPr>
        <w:t>（根据《中华人民共和国政府采购法》第二条规定，分项报价不得为0元）</w:t>
      </w:r>
    </w:p>
    <w:p w14:paraId="21E00CDF">
      <w:pPr>
        <w:pStyle w:val="9"/>
        <w:spacing w:before="60" w:beforeLines="25" w:after="60" w:afterLines="25"/>
        <w:ind w:firstLine="392" w:firstLineChars="187"/>
        <w:rPr>
          <w:rFonts w:ascii="宋体" w:hAnsi="宋体"/>
          <w:szCs w:val="21"/>
          <w:highlight w:val="none"/>
        </w:rPr>
      </w:pPr>
      <w:r>
        <w:rPr>
          <w:rFonts w:hint="eastAsia"/>
          <w:bCs/>
          <w:szCs w:val="21"/>
          <w:highlight w:val="none"/>
          <w:lang w:val="en-US" w:eastAsia="zh-CN"/>
        </w:rPr>
        <w:t>5</w:t>
      </w:r>
      <w:r>
        <w:rPr>
          <w:rFonts w:hint="eastAsia"/>
          <w:bCs/>
          <w:szCs w:val="21"/>
          <w:highlight w:val="none"/>
        </w:rPr>
        <w:t>、投标人应充分了解项目的位置、情况、道路及任何其它足以影响投标报价的情况，任何因忽视或误解项目情况而导致的索赔或服务期限延长申请将不获批准。</w:t>
      </w:r>
    </w:p>
    <w:p w14:paraId="4B9BE14B">
      <w:pPr>
        <w:ind w:firstLine="420" w:firstLineChars="200"/>
        <w:rPr>
          <w:bCs/>
          <w:szCs w:val="21"/>
          <w:highlight w:val="none"/>
        </w:rPr>
      </w:pPr>
      <w:r>
        <w:rPr>
          <w:rFonts w:hint="eastAsia"/>
          <w:bCs/>
          <w:szCs w:val="21"/>
          <w:highlight w:val="none"/>
          <w:lang w:val="en-US" w:eastAsia="zh-CN"/>
        </w:rPr>
        <w:t>6</w:t>
      </w:r>
      <w:r>
        <w:rPr>
          <w:rFonts w:hint="eastAsia"/>
          <w:bCs/>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12A147A">
      <w:pPr>
        <w:ind w:firstLine="420" w:firstLineChars="200"/>
        <w:rPr>
          <w:bCs/>
          <w:szCs w:val="21"/>
          <w:highlight w:val="none"/>
        </w:rPr>
      </w:pPr>
      <w:r>
        <w:rPr>
          <w:rFonts w:hint="eastAsia"/>
          <w:bCs/>
          <w:szCs w:val="21"/>
          <w:highlight w:val="none"/>
          <w:lang w:val="en-US" w:eastAsia="zh-CN"/>
        </w:rPr>
        <w:t>7</w:t>
      </w:r>
      <w:r>
        <w:rPr>
          <w:rFonts w:hint="eastAsia"/>
          <w:bCs/>
          <w:szCs w:val="21"/>
          <w:highlight w:val="none"/>
        </w:rPr>
        <w:t>、除政府采购合同继续履行将损害国家利益和社会公共利益外，双方当事人不得擅自变更、中止或者终止合同。</w:t>
      </w:r>
    </w:p>
    <w:p w14:paraId="6F812773">
      <w:pPr>
        <w:ind w:firstLine="420" w:firstLineChars="200"/>
        <w:rPr>
          <w:rFonts w:hint="eastAsia" w:eastAsia="宋体"/>
          <w:bCs/>
          <w:szCs w:val="21"/>
          <w:highlight w:val="none"/>
          <w:lang w:val="en-US" w:eastAsia="zh-CN"/>
        </w:rPr>
      </w:pPr>
      <w:r>
        <w:rPr>
          <w:rFonts w:hint="eastAsia"/>
          <w:bCs/>
          <w:szCs w:val="21"/>
          <w:highlight w:val="none"/>
          <w:lang w:val="en-US" w:eastAsia="zh-CN"/>
        </w:rPr>
        <w:t>8</w:t>
      </w:r>
      <w:r>
        <w:rPr>
          <w:rFonts w:hint="eastAsia"/>
          <w:bCs/>
          <w:szCs w:val="21"/>
          <w:highlight w:val="none"/>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ascii="Times New Roman" w:eastAsia="宋体"/>
          <w:bCs/>
          <w:szCs w:val="21"/>
          <w:highlight w:val="none"/>
          <w:lang w:val="en-US" w:eastAsia="zh-CN"/>
        </w:rPr>
        <w:t>。</w:t>
      </w:r>
    </w:p>
    <w:p w14:paraId="791BBCAE">
      <w:pPr>
        <w:pStyle w:val="9"/>
        <w:spacing w:before="60" w:beforeLines="25" w:after="60" w:afterLines="25"/>
        <w:ind w:firstLine="392" w:firstLineChars="187"/>
        <w:rPr>
          <w:rFonts w:ascii="宋体" w:hAnsi="宋体"/>
          <w:szCs w:val="21"/>
          <w:highlight w:val="none"/>
        </w:rPr>
      </w:pPr>
    </w:p>
    <w:p w14:paraId="5265FEDA">
      <w:pPr>
        <w:pStyle w:val="9"/>
        <w:spacing w:before="60" w:beforeLines="25" w:after="60" w:afterLines="25"/>
        <w:ind w:firstLine="392" w:firstLineChars="187"/>
        <w:rPr>
          <w:rFonts w:ascii="宋体" w:hAnsi="宋体"/>
          <w:szCs w:val="21"/>
          <w:highlight w:val="none"/>
        </w:rPr>
      </w:pPr>
    </w:p>
    <w:p w14:paraId="0AEE97ED">
      <w:pPr>
        <w:pStyle w:val="9"/>
        <w:spacing w:before="60" w:beforeLines="25" w:after="60" w:afterLines="25"/>
        <w:ind w:firstLine="392" w:firstLineChars="187"/>
        <w:rPr>
          <w:rFonts w:ascii="宋体" w:hAnsi="宋体"/>
          <w:szCs w:val="21"/>
          <w:highlight w:val="none"/>
        </w:rPr>
      </w:pPr>
    </w:p>
    <w:p w14:paraId="3BF64FBA">
      <w:pPr>
        <w:pStyle w:val="9"/>
        <w:spacing w:before="60" w:beforeLines="25" w:after="60" w:afterLines="25"/>
        <w:ind w:firstLine="392" w:firstLineChars="187"/>
        <w:rPr>
          <w:rFonts w:ascii="宋体" w:hAnsi="宋体"/>
          <w:szCs w:val="21"/>
          <w:highlight w:val="none"/>
        </w:rPr>
      </w:pPr>
    </w:p>
    <w:p w14:paraId="5D96D66E">
      <w:pPr>
        <w:pStyle w:val="9"/>
        <w:adjustRightInd w:val="0"/>
        <w:spacing w:before="60" w:beforeLines="25" w:after="60" w:afterLines="25" w:line="276" w:lineRule="auto"/>
        <w:ind w:firstLine="392" w:firstLineChars="187"/>
        <w:rPr>
          <w:rFonts w:ascii="宋体" w:hAnsi="宋体"/>
          <w:szCs w:val="21"/>
          <w:highlight w:val="none"/>
        </w:rPr>
      </w:pPr>
    </w:p>
    <w:p w14:paraId="597BA1C8">
      <w:pPr>
        <w:pStyle w:val="9"/>
        <w:adjustRightInd w:val="0"/>
        <w:spacing w:before="60" w:beforeLines="25" w:after="60" w:afterLines="25" w:line="276" w:lineRule="auto"/>
        <w:ind w:firstLine="394" w:firstLineChars="187"/>
        <w:rPr>
          <w:rFonts w:ascii="宋体" w:hAnsi="宋体"/>
          <w:b/>
          <w:szCs w:val="21"/>
          <w:highlight w:val="none"/>
        </w:rPr>
      </w:pPr>
    </w:p>
    <w:p w14:paraId="2AAFA37D">
      <w:pPr>
        <w:pStyle w:val="2"/>
        <w:rPr>
          <w:rFonts w:ascii="宋体" w:hAnsi="宋体"/>
          <w:b/>
          <w:szCs w:val="21"/>
          <w:highlight w:val="none"/>
        </w:rPr>
      </w:pPr>
    </w:p>
    <w:p w14:paraId="635919CB">
      <w:pPr>
        <w:pStyle w:val="36"/>
        <w:rPr>
          <w:rFonts w:ascii="宋体" w:hAnsi="宋体"/>
          <w:b/>
          <w:szCs w:val="21"/>
          <w:highlight w:val="none"/>
        </w:rPr>
      </w:pPr>
    </w:p>
    <w:p w14:paraId="37A2175A">
      <w:pPr>
        <w:pStyle w:val="36"/>
        <w:rPr>
          <w:rFonts w:ascii="宋体" w:hAnsi="宋体"/>
          <w:b/>
          <w:szCs w:val="21"/>
          <w:highlight w:val="none"/>
        </w:rPr>
      </w:pPr>
    </w:p>
    <w:p w14:paraId="2AFFDE66">
      <w:pPr>
        <w:pStyle w:val="36"/>
        <w:rPr>
          <w:rFonts w:ascii="宋体" w:hAnsi="宋体"/>
          <w:b/>
          <w:szCs w:val="21"/>
          <w:highlight w:val="none"/>
        </w:rPr>
      </w:pPr>
    </w:p>
    <w:p w14:paraId="2DFC38C4">
      <w:pPr>
        <w:rPr>
          <w:highlight w:val="none"/>
        </w:rPr>
      </w:pPr>
      <w:r>
        <w:rPr>
          <w:rFonts w:hint="eastAsia"/>
          <w:highlight w:val="none"/>
        </w:rPr>
        <w:br w:type="page"/>
      </w:r>
    </w:p>
    <w:p w14:paraId="758E96C5">
      <w:pPr>
        <w:pStyle w:val="7"/>
        <w:rPr>
          <w:kern w:val="2"/>
          <w:highlight w:val="none"/>
        </w:rPr>
      </w:pPr>
      <w:r>
        <w:rPr>
          <w:rFonts w:hint="eastAsia"/>
          <w:kern w:val="2"/>
          <w:highlight w:val="none"/>
        </w:rPr>
        <w:t>第四章 投标文件组成要求及格式</w:t>
      </w:r>
    </w:p>
    <w:p w14:paraId="0CAD22F8">
      <w:pPr>
        <w:rPr>
          <w:rStyle w:val="56"/>
          <w:sz w:val="24"/>
          <w:highlight w:val="none"/>
        </w:rPr>
      </w:pPr>
      <w:r>
        <w:rPr>
          <w:rStyle w:val="56"/>
          <w:rFonts w:hint="eastAsia"/>
          <w:sz w:val="24"/>
          <w:highlight w:val="none"/>
        </w:rPr>
        <w:t>特别提醒：</w:t>
      </w:r>
    </w:p>
    <w:p w14:paraId="64FB517A">
      <w:pPr>
        <w:ind w:firstLine="480" w:firstLineChars="200"/>
        <w:rPr>
          <w:rFonts w:ascii="仿宋_GB2312" w:eastAsia="仿宋_GB2312"/>
          <w:sz w:val="24"/>
          <w:highlight w:val="none"/>
        </w:rPr>
      </w:pPr>
      <w:r>
        <w:rPr>
          <w:rFonts w:hint="eastAsia" w:ascii="仿宋_GB2312" w:eastAsia="仿宋_GB2312"/>
          <w:sz w:val="24"/>
          <w:highlight w:val="none"/>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56A2F829">
      <w:pPr>
        <w:rPr>
          <w:rFonts w:ascii="仿宋_GB2312" w:eastAsia="仿宋_GB2312"/>
          <w:sz w:val="24"/>
          <w:highlight w:val="none"/>
        </w:rPr>
      </w:pPr>
      <w:r>
        <w:rPr>
          <w:rFonts w:hint="eastAsia" w:ascii="仿宋_GB2312" w:eastAsia="仿宋_GB2312"/>
          <w:sz w:val="24"/>
          <w:highlight w:val="none"/>
        </w:rPr>
        <w:t xml:space="preserve">    投标文件正文（信息公开部分）必须编制于“正文（公开部分）”，投标文件附件（非信息公开部分）必须编制于“附件（不公开部分）”，如下图所示。</w:t>
      </w:r>
    </w:p>
    <w:p w14:paraId="6891B7BA">
      <w:pPr>
        <w:widowControl/>
        <w:jc w:val="left"/>
        <w:rPr>
          <w:rFonts w:ascii="宋体" w:hAnsi="宋体" w:cs="宋体"/>
          <w:kern w:val="0"/>
          <w:sz w:val="24"/>
          <w:highlight w:val="none"/>
        </w:rPr>
      </w:pPr>
    </w:p>
    <w:p w14:paraId="7295F047">
      <w:pPr>
        <w:ind w:firstLine="480" w:firstLineChars="200"/>
        <w:rPr>
          <w:rFonts w:ascii="仿宋_GB2312" w:eastAsia="仿宋_GB2312"/>
          <w:sz w:val="24"/>
          <w:highlight w:val="none"/>
        </w:rPr>
      </w:pPr>
      <w:r>
        <w:rPr>
          <w:rFonts w:hint="eastAsia" w:ascii="仿宋_GB2312" w:eastAsia="仿宋_GB2312"/>
          <w:sz w:val="24"/>
          <w:highlight w:val="none"/>
        </w:rPr>
        <w:t>政府集中采购机构公布投标文件正文（信息公开部分）时为计算机截取信息自动公布，</w:t>
      </w:r>
      <w:r>
        <w:rPr>
          <w:rFonts w:hint="eastAsia" w:ascii="仿宋_GB2312" w:eastAsia="仿宋_GB2312"/>
          <w:b/>
          <w:bCs/>
          <w:sz w:val="24"/>
          <w:highlight w:val="none"/>
        </w:rPr>
        <w:t>如投标人误将涉及个人隐私的信息放入投标文件正文，相关后果由投标人自负；</w:t>
      </w:r>
      <w:r>
        <w:rPr>
          <w:rFonts w:hint="eastAsia" w:ascii="仿宋_GB2312" w:eastAsia="仿宋_GB2312"/>
          <w:sz w:val="24"/>
          <w:highlight w:val="none"/>
        </w:rPr>
        <w:t>如投标人将必须放于投标文件正文（信息公开部分）的内容放入投标文件附件（非信息公开部分），将作投标无效处理。</w:t>
      </w:r>
    </w:p>
    <w:p w14:paraId="31A7181F">
      <w:pPr>
        <w:ind w:firstLine="480" w:firstLineChars="200"/>
        <w:rPr>
          <w:rFonts w:ascii="仿宋_GB2312" w:eastAsia="仿宋_GB2312"/>
          <w:sz w:val="24"/>
          <w:highlight w:val="none"/>
        </w:rPr>
      </w:pPr>
    </w:p>
    <w:p w14:paraId="25D63E3A">
      <w:pPr>
        <w:ind w:firstLine="482" w:firstLineChars="200"/>
        <w:rPr>
          <w:rFonts w:ascii="宋体" w:hAnsi="宋体"/>
          <w:b/>
          <w:sz w:val="24"/>
          <w:highlight w:val="none"/>
        </w:rPr>
      </w:pPr>
    </w:p>
    <w:p w14:paraId="1078ABDA">
      <w:pPr>
        <w:rPr>
          <w:rFonts w:ascii="宋体" w:hAnsi="宋体"/>
          <w:sz w:val="24"/>
          <w:highlight w:val="none"/>
        </w:rPr>
      </w:pPr>
      <w:r>
        <w:rPr>
          <w:rFonts w:hint="eastAsia" w:ascii="宋体" w:hAnsi="宋体"/>
          <w:sz w:val="24"/>
          <w:highlight w:val="none"/>
        </w:rPr>
        <w:t>投标文件组成：</w:t>
      </w:r>
    </w:p>
    <w:p w14:paraId="7AF4FC6F">
      <w:pPr>
        <w:ind w:firstLine="1200" w:firstLineChars="500"/>
        <w:outlineLvl w:val="0"/>
        <w:rPr>
          <w:rFonts w:ascii="宋体" w:hAnsi="宋体"/>
          <w:sz w:val="24"/>
          <w:highlight w:val="none"/>
        </w:rPr>
      </w:pPr>
      <w:r>
        <w:rPr>
          <w:rFonts w:hint="eastAsia" w:ascii="宋体" w:hAnsi="宋体"/>
          <w:sz w:val="24"/>
          <w:highlight w:val="none"/>
        </w:rPr>
        <w:t>1.投标文件正文</w:t>
      </w:r>
      <w:r>
        <w:rPr>
          <w:rFonts w:hint="eastAsia" w:ascii="宋体" w:hAnsi="宋体"/>
          <w:b/>
          <w:color w:val="FF0000"/>
          <w:sz w:val="24"/>
          <w:highlight w:val="none"/>
        </w:rPr>
        <w:t>（信息公开部分）</w:t>
      </w:r>
      <w:r>
        <w:rPr>
          <w:rFonts w:hint="eastAsia" w:ascii="宋体" w:hAnsi="宋体"/>
          <w:sz w:val="24"/>
          <w:highlight w:val="none"/>
        </w:rPr>
        <w:t>，主要包括以下内容：</w:t>
      </w:r>
    </w:p>
    <w:p w14:paraId="31BF0AFF">
      <w:pPr>
        <w:ind w:left="718" w:leftChars="342" w:firstLine="1417" w:firstLineChars="675"/>
        <w:rPr>
          <w:szCs w:val="21"/>
          <w:highlight w:val="none"/>
        </w:rPr>
      </w:pPr>
      <w:r>
        <w:rPr>
          <w:rFonts w:hint="eastAsia"/>
          <w:szCs w:val="21"/>
          <w:highlight w:val="none"/>
        </w:rPr>
        <w:t>（1）</w:t>
      </w:r>
      <w:bookmarkStart w:id="31" w:name="_Hlk72070784"/>
      <w:r>
        <w:rPr>
          <w:rFonts w:hint="eastAsia"/>
          <w:szCs w:val="21"/>
          <w:highlight w:val="none"/>
        </w:rPr>
        <w:t>投标函</w:t>
      </w:r>
      <w:bookmarkEnd w:id="31"/>
    </w:p>
    <w:p w14:paraId="47FA49BD">
      <w:pPr>
        <w:ind w:left="718" w:leftChars="342" w:firstLine="1417" w:firstLineChars="675"/>
        <w:rPr>
          <w:szCs w:val="21"/>
          <w:highlight w:val="none"/>
        </w:rPr>
      </w:pPr>
      <w:r>
        <w:rPr>
          <w:rFonts w:hint="eastAsia"/>
          <w:szCs w:val="21"/>
          <w:highlight w:val="none"/>
        </w:rPr>
        <w:t>（2）</w:t>
      </w:r>
      <w:bookmarkStart w:id="32" w:name="_Hlk72062521"/>
      <w:r>
        <w:rPr>
          <w:rFonts w:hint="eastAsia"/>
          <w:szCs w:val="21"/>
          <w:highlight w:val="none"/>
        </w:rPr>
        <w:t>政府采购投标及履约承诺函</w:t>
      </w:r>
      <w:bookmarkEnd w:id="32"/>
    </w:p>
    <w:p w14:paraId="45B7A719">
      <w:pPr>
        <w:ind w:left="718" w:leftChars="342" w:firstLine="1417" w:firstLineChars="675"/>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14:paraId="1C757A93">
      <w:pPr>
        <w:ind w:left="718" w:leftChars="342" w:firstLine="1417" w:firstLineChars="675"/>
        <w:rPr>
          <w:rFonts w:ascii="宋体" w:hAnsi="宋体"/>
          <w:szCs w:val="21"/>
          <w:highlight w:val="none"/>
        </w:rPr>
      </w:pPr>
      <w:bookmarkStart w:id="33" w:name="_Hlk72257201"/>
      <w:r>
        <w:rPr>
          <w:rFonts w:hint="eastAsia"/>
          <w:szCs w:val="21"/>
          <w:highlight w:val="none"/>
        </w:rPr>
        <w:t>（</w:t>
      </w:r>
      <w:r>
        <w:rPr>
          <w:szCs w:val="21"/>
          <w:highlight w:val="none"/>
        </w:rPr>
        <w:t>4</w:t>
      </w:r>
      <w:r>
        <w:rPr>
          <w:rFonts w:hint="eastAsia"/>
          <w:szCs w:val="21"/>
          <w:highlight w:val="none"/>
        </w:rPr>
        <w:t>）项目详细报价</w:t>
      </w:r>
      <w:bookmarkEnd w:id="33"/>
    </w:p>
    <w:p w14:paraId="295BCF0C">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（5）同类项目业绩</w:t>
      </w:r>
    </w:p>
    <w:p w14:paraId="18836867">
      <w:pPr>
        <w:ind w:left="718" w:leftChars="342" w:firstLine="1417" w:firstLineChars="675"/>
        <w:rPr>
          <w:rFonts w:hint="eastAsia"/>
          <w:highlight w:val="none"/>
        </w:rPr>
      </w:pPr>
      <w:r>
        <w:rPr>
          <w:rFonts w:hint="eastAsia" w:ascii="Times New Roman" w:hAnsi="Times New Roman" w:eastAsia="宋体" w:cs="Times New Roman"/>
          <w:szCs w:val="21"/>
          <w:highlight w:val="none"/>
        </w:rPr>
        <w:t>（</w:t>
      </w:r>
      <w:r>
        <w:rPr>
          <w:rFonts w:hint="eastAsia" w:ascii="Times New Roman" w:hAnsi="Times New Roman" w:cs="Times New Roman"/>
          <w:szCs w:val="21"/>
          <w:highlight w:val="none"/>
          <w:lang w:val="en-US" w:eastAsia="zh-CN"/>
        </w:rPr>
        <w:t>6</w:t>
      </w:r>
      <w:r>
        <w:rPr>
          <w:rFonts w:hint="eastAsia" w:ascii="Times New Roman" w:hAnsi="Times New Roman" w:eastAsia="宋体" w:cs="Times New Roman"/>
          <w:szCs w:val="21"/>
          <w:highlight w:val="none"/>
        </w:rPr>
        <w:t>）履约评价</w:t>
      </w:r>
    </w:p>
    <w:p w14:paraId="6CBFB1FA">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7</w:t>
      </w:r>
      <w:r>
        <w:rPr>
          <w:rFonts w:hint="eastAsia" w:ascii="Times New Roman" w:hAnsi="Times New Roman" w:eastAsia="宋体" w:cs="Times New Roman"/>
          <w:szCs w:val="21"/>
          <w:highlight w:val="none"/>
        </w:rPr>
        <w:t>）认证情况</w:t>
      </w:r>
    </w:p>
    <w:p w14:paraId="37A8B664">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8</w:t>
      </w:r>
      <w:r>
        <w:rPr>
          <w:rFonts w:hint="eastAsia" w:ascii="Times New Roman" w:hAnsi="Times New Roman" w:eastAsia="宋体" w:cs="Times New Roman"/>
          <w:szCs w:val="21"/>
          <w:highlight w:val="none"/>
        </w:rPr>
        <w:t>）获奖情况</w:t>
      </w:r>
    </w:p>
    <w:p w14:paraId="670D6164">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9</w:t>
      </w:r>
      <w:r>
        <w:rPr>
          <w:rFonts w:hint="eastAsia" w:ascii="Times New Roman" w:hAnsi="Times New Roman" w:eastAsia="宋体" w:cs="Times New Roman"/>
          <w:szCs w:val="21"/>
          <w:highlight w:val="none"/>
        </w:rPr>
        <w:t>）自主知识产权产品（创新、设计）情况</w:t>
      </w:r>
    </w:p>
    <w:p w14:paraId="4E4C9BAD">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10</w:t>
      </w:r>
      <w:r>
        <w:rPr>
          <w:rFonts w:hint="eastAsia" w:ascii="Times New Roman" w:hAnsi="Times New Roman" w:eastAsia="宋体" w:cs="Times New Roman"/>
          <w:szCs w:val="21"/>
          <w:highlight w:val="none"/>
        </w:rPr>
        <w:t>）服务网点</w:t>
      </w:r>
    </w:p>
    <w:p w14:paraId="054055C6">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r>
        <w:rPr>
          <w:rFonts w:hint="eastAsia" w:cs="Times New Roman"/>
          <w:szCs w:val="21"/>
          <w:highlight w:val="none"/>
          <w:lang w:val="en-US" w:eastAsia="zh-CN"/>
        </w:rPr>
        <w:t>1</w:t>
      </w:r>
      <w:r>
        <w:rPr>
          <w:rFonts w:hint="eastAsia" w:ascii="Times New Roman" w:hAnsi="Times New Roman" w:eastAsia="宋体" w:cs="Times New Roman"/>
          <w:szCs w:val="21"/>
          <w:highlight w:val="none"/>
        </w:rPr>
        <w:t>）投标人认为需要加以说明的其他内容（信息公开部分）</w:t>
      </w:r>
    </w:p>
    <w:p w14:paraId="175D4C77">
      <w:pPr>
        <w:ind w:firstLine="1200" w:firstLineChars="500"/>
        <w:outlineLvl w:val="9"/>
        <w:rPr>
          <w:rFonts w:hint="eastAsia" w:ascii="宋体" w:hAnsi="宋体"/>
          <w:sz w:val="24"/>
          <w:highlight w:val="none"/>
        </w:rPr>
      </w:pPr>
    </w:p>
    <w:p w14:paraId="4F12ECEB">
      <w:pPr>
        <w:ind w:firstLine="1200" w:firstLineChars="500"/>
        <w:outlineLvl w:val="9"/>
        <w:rPr>
          <w:rFonts w:ascii="宋体" w:hAnsi="宋体"/>
          <w:sz w:val="24"/>
          <w:highlight w:val="none"/>
        </w:rPr>
      </w:pPr>
      <w:r>
        <w:rPr>
          <w:rFonts w:hint="eastAsia" w:ascii="宋体" w:hAnsi="宋体"/>
          <w:sz w:val="24"/>
          <w:highlight w:val="none"/>
        </w:rPr>
        <w:t>2.投标文件附件</w:t>
      </w:r>
      <w:r>
        <w:rPr>
          <w:rFonts w:hint="eastAsia" w:ascii="宋体" w:hAnsi="宋体"/>
          <w:b/>
          <w:color w:val="FF0000"/>
          <w:sz w:val="24"/>
          <w:highlight w:val="none"/>
        </w:rPr>
        <w:t>（信息不公开部分）</w:t>
      </w:r>
      <w:r>
        <w:rPr>
          <w:rFonts w:hint="eastAsia" w:ascii="宋体" w:hAnsi="宋体"/>
          <w:sz w:val="24"/>
          <w:highlight w:val="none"/>
        </w:rPr>
        <w:t>：主要包括以下内容：</w:t>
      </w:r>
    </w:p>
    <w:p w14:paraId="543C8ECC">
      <w:pPr>
        <w:ind w:firstLine="2100" w:firstLineChars="1000"/>
        <w:rPr>
          <w:rFonts w:hint="eastAsia"/>
          <w:szCs w:val="21"/>
          <w:highlight w:val="none"/>
        </w:rPr>
      </w:pPr>
      <w:r>
        <w:rPr>
          <w:rFonts w:hint="eastAsia" w:eastAsia="宋体"/>
          <w:szCs w:val="21"/>
          <w:highlight w:val="none"/>
          <w:lang w:eastAsia="zh-CN"/>
        </w:rPr>
        <w:t>（</w:t>
      </w:r>
      <w:r>
        <w:rPr>
          <w:rFonts w:hint="eastAsia" w:ascii="Times New Roman" w:eastAsia="宋体"/>
          <w:szCs w:val="21"/>
          <w:highlight w:val="none"/>
          <w:lang w:val="en-US" w:eastAsia="zh-CN"/>
        </w:rPr>
        <w:t>1</w:t>
      </w:r>
      <w:r>
        <w:rPr>
          <w:rFonts w:hint="eastAsia" w:eastAsia="宋体"/>
          <w:szCs w:val="21"/>
          <w:highlight w:val="none"/>
          <w:lang w:eastAsia="zh-CN"/>
        </w:rPr>
        <w:t>）供应商基本情况表</w:t>
      </w:r>
    </w:p>
    <w:p w14:paraId="01E288E9">
      <w:pPr>
        <w:ind w:firstLine="2100" w:firstLineChars="1000"/>
        <w:rPr>
          <w:szCs w:val="21"/>
          <w:highlight w:val="none"/>
        </w:rPr>
      </w:pPr>
      <w:r>
        <w:rPr>
          <w:rFonts w:hint="eastAsia"/>
          <w:szCs w:val="21"/>
          <w:highlight w:val="none"/>
        </w:rPr>
        <w:t>（</w:t>
      </w:r>
      <w:r>
        <w:rPr>
          <w:rFonts w:hint="eastAsia"/>
          <w:szCs w:val="21"/>
          <w:highlight w:val="none"/>
          <w:lang w:val="en-US" w:eastAsia="zh-CN"/>
        </w:rPr>
        <w:t>2</w:t>
      </w:r>
      <w:r>
        <w:rPr>
          <w:rFonts w:hint="eastAsia"/>
          <w:szCs w:val="21"/>
          <w:highlight w:val="none"/>
        </w:rPr>
        <w:t>）法定代表人（负责人）证明书</w:t>
      </w:r>
    </w:p>
    <w:p w14:paraId="7D2E5FCE">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3</w:t>
      </w:r>
      <w:r>
        <w:rPr>
          <w:rFonts w:hint="eastAsia"/>
          <w:szCs w:val="21"/>
          <w:highlight w:val="none"/>
        </w:rPr>
        <w:t>）投标文件签署授权委托书</w:t>
      </w:r>
    </w:p>
    <w:p w14:paraId="7DA09B5A">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4</w:t>
      </w:r>
      <w:r>
        <w:rPr>
          <w:rFonts w:hint="eastAsia"/>
          <w:szCs w:val="21"/>
          <w:highlight w:val="none"/>
        </w:rPr>
        <w:t>）</w:t>
      </w:r>
      <w:r>
        <w:rPr>
          <w:szCs w:val="21"/>
          <w:highlight w:val="none"/>
        </w:rPr>
        <w:t>实质性条款响应情况表</w:t>
      </w:r>
    </w:p>
    <w:p w14:paraId="77C9AABC">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5</w:t>
      </w:r>
      <w:r>
        <w:rPr>
          <w:rFonts w:hint="eastAsia"/>
          <w:szCs w:val="21"/>
          <w:highlight w:val="none"/>
        </w:rPr>
        <w:t>）实施方案</w:t>
      </w:r>
    </w:p>
    <w:p w14:paraId="156E5410">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6</w:t>
      </w:r>
      <w:r>
        <w:rPr>
          <w:rFonts w:hint="eastAsia"/>
          <w:szCs w:val="21"/>
          <w:highlight w:val="none"/>
        </w:rPr>
        <w:t>）项目重点难点分析、应对措施及相关的合理化建议</w:t>
      </w:r>
    </w:p>
    <w:p w14:paraId="4EA99809">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7</w:t>
      </w:r>
      <w:r>
        <w:rPr>
          <w:rFonts w:hint="eastAsia"/>
          <w:szCs w:val="21"/>
          <w:highlight w:val="none"/>
        </w:rPr>
        <w:t>）质量（完成时间、安全、环保）保障措施及方案</w:t>
      </w:r>
    </w:p>
    <w:p w14:paraId="64E6A76F">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8</w:t>
      </w:r>
      <w:r>
        <w:rPr>
          <w:rFonts w:hint="eastAsia"/>
          <w:szCs w:val="21"/>
          <w:highlight w:val="none"/>
        </w:rPr>
        <w:t>）项目完成（服务期满）后的服务承诺</w:t>
      </w:r>
    </w:p>
    <w:p w14:paraId="3BD5BA86">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9</w:t>
      </w:r>
      <w:r>
        <w:rPr>
          <w:rFonts w:hint="eastAsia"/>
          <w:szCs w:val="21"/>
          <w:highlight w:val="none"/>
        </w:rPr>
        <w:t>）拟安排的项目负责人情况（仅限一人）</w:t>
      </w:r>
    </w:p>
    <w:p w14:paraId="4A1685FF">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10</w:t>
      </w:r>
      <w:r>
        <w:rPr>
          <w:rFonts w:hint="eastAsia"/>
          <w:szCs w:val="21"/>
          <w:highlight w:val="none"/>
        </w:rPr>
        <w:t>）拟安排的项目主要团队成员（主要技术人员）情况（项目负责人除外）</w:t>
      </w:r>
    </w:p>
    <w:p w14:paraId="56868359">
      <w:pPr>
        <w:ind w:left="718" w:leftChars="342" w:firstLine="1417" w:firstLineChars="675"/>
        <w:rPr>
          <w:rFonts w:hint="eastAsia"/>
          <w:szCs w:val="21"/>
          <w:highlight w:val="none"/>
        </w:rPr>
      </w:pPr>
      <w:r>
        <w:rPr>
          <w:rFonts w:hint="eastAsia"/>
          <w:szCs w:val="21"/>
          <w:highlight w:val="none"/>
        </w:rPr>
        <w:t>（1</w:t>
      </w:r>
      <w:r>
        <w:rPr>
          <w:rFonts w:hint="eastAsia"/>
          <w:szCs w:val="21"/>
          <w:highlight w:val="none"/>
          <w:lang w:val="en-US" w:eastAsia="zh-CN"/>
        </w:rPr>
        <w:t>1</w:t>
      </w:r>
      <w:r>
        <w:rPr>
          <w:rFonts w:hint="eastAsia"/>
          <w:szCs w:val="21"/>
          <w:highlight w:val="none"/>
        </w:rPr>
        <w:t>）违约承诺</w:t>
      </w:r>
    </w:p>
    <w:p w14:paraId="27A51211">
      <w:pPr>
        <w:ind w:left="718" w:leftChars="342" w:firstLine="1417" w:firstLineChars="675"/>
        <w:rPr>
          <w:rFonts w:hint="eastAsia"/>
          <w:szCs w:val="21"/>
          <w:highlight w:val="none"/>
        </w:rPr>
      </w:pPr>
      <w:r>
        <w:rPr>
          <w:rFonts w:hint="eastAsia"/>
          <w:szCs w:val="21"/>
          <w:highlight w:val="none"/>
        </w:rPr>
        <w:t>（1</w:t>
      </w:r>
      <w:r>
        <w:rPr>
          <w:rFonts w:hint="eastAsia"/>
          <w:szCs w:val="21"/>
          <w:highlight w:val="none"/>
          <w:lang w:val="en-US" w:eastAsia="zh-CN"/>
        </w:rPr>
        <w:t>2</w:t>
      </w:r>
      <w:r>
        <w:rPr>
          <w:rFonts w:hint="eastAsia"/>
          <w:szCs w:val="21"/>
          <w:highlight w:val="none"/>
        </w:rPr>
        <w:t>）投标人认为需要加以说明的其他内容（信息不公开部分）</w:t>
      </w:r>
    </w:p>
    <w:p w14:paraId="767B53CA">
      <w:pPr>
        <w:pStyle w:val="2"/>
        <w:rPr>
          <w:highlight w:val="none"/>
        </w:rPr>
      </w:pPr>
    </w:p>
    <w:p w14:paraId="312EB97B">
      <w:pPr>
        <w:pStyle w:val="9"/>
        <w:ind w:left="210" w:leftChars="100" w:firstLine="781" w:firstLineChars="372"/>
        <w:rPr>
          <w:rFonts w:ascii="宋体" w:hAnsi="宋体"/>
          <w:szCs w:val="21"/>
          <w:highlight w:val="none"/>
        </w:rPr>
      </w:pPr>
    </w:p>
    <w:p w14:paraId="5346D379">
      <w:pPr>
        <w:rPr>
          <w:rFonts w:ascii="仿宋_GB2312" w:eastAsia="仿宋_GB2312"/>
          <w:sz w:val="24"/>
          <w:highlight w:val="none"/>
        </w:rPr>
      </w:pPr>
    </w:p>
    <w:p w14:paraId="1353E87E">
      <w:pPr>
        <w:ind w:firstLine="426" w:firstLineChars="202"/>
        <w:rPr>
          <w:rFonts w:ascii="宋体" w:hAnsi="宋体"/>
          <w:b/>
          <w:szCs w:val="21"/>
          <w:highlight w:val="none"/>
        </w:rPr>
      </w:pPr>
      <w:r>
        <w:rPr>
          <w:rFonts w:hint="eastAsia" w:ascii="宋体" w:hAnsi="宋体"/>
          <w:b/>
          <w:szCs w:val="21"/>
          <w:highlight w:val="none"/>
        </w:rPr>
        <w:t>备注：</w:t>
      </w:r>
    </w:p>
    <w:p w14:paraId="5D149763">
      <w:pPr>
        <w:ind w:firstLine="426" w:firstLineChars="202"/>
        <w:rPr>
          <w:rFonts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1.本项目为网上电子投标项目，投标文件不需法人或授权委托人另行签字，无需加盖单位公章，招标文件另有规定的除外。</w:t>
      </w:r>
    </w:p>
    <w:p w14:paraId="74263D96">
      <w:pPr>
        <w:ind w:firstLine="426" w:firstLineChars="202"/>
        <w:rPr>
          <w:rFonts w:ascii="宋体" w:hAnsi="宋体"/>
          <w:b/>
          <w:szCs w:val="21"/>
          <w:highlight w:val="none"/>
        </w:rPr>
      </w:pPr>
      <w:r>
        <w:rPr>
          <w:rFonts w:hint="eastAsia" w:ascii="宋体" w:hAnsi="宋体"/>
          <w:b/>
          <w:szCs w:val="21"/>
          <w:highlight w:val="none"/>
        </w:rPr>
        <w:t>2.关于填写“开标一览表”的说明：“开标一览表”中除“投标总价”外，其他信息不作评审依据。</w:t>
      </w:r>
    </w:p>
    <w:p w14:paraId="436BC24A">
      <w:pPr>
        <w:rPr>
          <w:rFonts w:ascii="仿宋_GB2312" w:eastAsia="仿宋_GB2312"/>
          <w:sz w:val="24"/>
          <w:highlight w:val="none"/>
        </w:rPr>
      </w:pPr>
    </w:p>
    <w:p w14:paraId="1243CCCD">
      <w:pPr>
        <w:rPr>
          <w:rFonts w:ascii="宋体" w:hAnsi="宋体"/>
          <w:b/>
          <w:szCs w:val="21"/>
          <w:highlight w:val="none"/>
        </w:rPr>
      </w:pPr>
    </w:p>
    <w:p w14:paraId="121FF114">
      <w:pPr>
        <w:rPr>
          <w:rFonts w:ascii="宋体" w:hAnsi="宋体"/>
          <w:b/>
          <w:szCs w:val="21"/>
          <w:highlight w:val="none"/>
        </w:rPr>
      </w:pPr>
    </w:p>
    <w:p w14:paraId="6C8AA0C6">
      <w:pPr>
        <w:jc w:val="left"/>
        <w:rPr>
          <w:rFonts w:ascii="宋体" w:hAnsi="宋体"/>
          <w:b/>
          <w:color w:val="FF0000"/>
          <w:sz w:val="36"/>
          <w:szCs w:val="36"/>
          <w:highlight w:val="none"/>
        </w:rPr>
      </w:pPr>
      <w:r>
        <w:rPr>
          <w:rFonts w:hint="eastAsia" w:ascii="宋体" w:hAnsi="宋体"/>
          <w:b/>
          <w:color w:val="FF0000"/>
          <w:sz w:val="36"/>
          <w:szCs w:val="36"/>
          <w:highlight w:val="none"/>
        </w:rPr>
        <w:br w:type="page"/>
      </w:r>
    </w:p>
    <w:p w14:paraId="713E762F">
      <w:pPr>
        <w:outlineLvl w:val="1"/>
        <w:rPr>
          <w:rFonts w:ascii="宋体" w:hAnsi="宋体"/>
          <w:b/>
          <w:color w:val="FF0000"/>
          <w:sz w:val="28"/>
          <w:szCs w:val="28"/>
          <w:highlight w:val="none"/>
        </w:rPr>
      </w:pPr>
      <w:r>
        <w:rPr>
          <w:rFonts w:hint="eastAsia" w:ascii="宋体" w:hAnsi="宋体"/>
          <w:b/>
          <w:color w:val="FF0000"/>
          <w:sz w:val="28"/>
          <w:szCs w:val="28"/>
          <w:highlight w:val="none"/>
        </w:rPr>
        <w:t>投标文件正文（信息公开部分）</w:t>
      </w:r>
    </w:p>
    <w:p w14:paraId="043320B0">
      <w:pPr>
        <w:pStyle w:val="5"/>
        <w:jc w:val="center"/>
        <w:rPr>
          <w:rFonts w:ascii="黑体" w:eastAsia="黑体"/>
          <w:b w:val="0"/>
          <w:kern w:val="0"/>
          <w:sz w:val="24"/>
          <w:highlight w:val="none"/>
        </w:rPr>
      </w:pPr>
      <w:r>
        <w:rPr>
          <w:rFonts w:hint="eastAsia" w:ascii="黑体" w:eastAsia="黑体"/>
          <w:b w:val="0"/>
          <w:kern w:val="0"/>
          <w:sz w:val="24"/>
          <w:highlight w:val="none"/>
        </w:rPr>
        <w:t>一、投标函</w:t>
      </w:r>
    </w:p>
    <w:p w14:paraId="49DC6166">
      <w:pPr>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FF0000"/>
          <w:szCs w:val="21"/>
          <w:highlight w:val="none"/>
          <w:u w:val="single"/>
        </w:rPr>
        <w:t>深圳公共资源交易中心</w:t>
      </w:r>
      <w:r>
        <w:rPr>
          <w:rFonts w:hint="eastAsia" w:ascii="宋体" w:hAnsi="宋体"/>
          <w:szCs w:val="21"/>
          <w:highlight w:val="none"/>
          <w:u w:val="single"/>
        </w:rPr>
        <w:t xml:space="preserve">  </w:t>
      </w:r>
    </w:p>
    <w:p w14:paraId="6FCEEBF9">
      <w:pPr>
        <w:ind w:firstLine="420" w:firstLineChars="200"/>
        <w:rPr>
          <w:rFonts w:ascii="宋体" w:hAnsi="宋体"/>
          <w:szCs w:val="21"/>
          <w:highlight w:val="none"/>
        </w:rPr>
      </w:pPr>
      <w:bookmarkStart w:id="34" w:name="_Hlk73818812"/>
      <w:r>
        <w:rPr>
          <w:rFonts w:hint="eastAsia"/>
          <w:szCs w:val="21"/>
          <w:highlight w:val="none"/>
        </w:rPr>
        <w:t>1</w:t>
      </w:r>
      <w:r>
        <w:rPr>
          <w:rFonts w:hint="eastAsia"/>
          <w:szCs w:val="21"/>
          <w:highlight w:val="none"/>
          <w:lang w:val="en-US" w:eastAsia="zh-CN"/>
        </w:rPr>
        <w:t>.</w:t>
      </w:r>
      <w:r>
        <w:rPr>
          <w:rFonts w:hint="eastAsia"/>
          <w:szCs w:val="21"/>
          <w:highlight w:val="none"/>
        </w:rPr>
        <w:t>根据已收到贵单位的项目编号为</w:t>
      </w:r>
      <w:r>
        <w:rPr>
          <w:rFonts w:hint="eastAsia"/>
          <w:szCs w:val="21"/>
          <w:highlight w:val="none"/>
          <w:u w:val="thick"/>
        </w:rPr>
        <w:t xml:space="preserve">        </w:t>
      </w:r>
      <w:r>
        <w:rPr>
          <w:rFonts w:hint="eastAsia"/>
          <w:szCs w:val="21"/>
          <w:highlight w:val="none"/>
        </w:rPr>
        <w:t>的</w:t>
      </w:r>
      <w:r>
        <w:rPr>
          <w:rFonts w:hint="eastAsia"/>
          <w:szCs w:val="21"/>
          <w:highlight w:val="none"/>
          <w:u w:val="thick"/>
        </w:rPr>
        <w:t xml:space="preserve">    </w:t>
      </w:r>
      <w:r>
        <w:rPr>
          <w:rFonts w:hint="eastAsia" w:eastAsia="宋体"/>
          <w:szCs w:val="21"/>
          <w:highlight w:val="none"/>
          <w:u w:val="thick"/>
          <w:lang w:eastAsia="zh-CN"/>
        </w:rPr>
        <w:t>（</w:t>
      </w:r>
      <w:r>
        <w:rPr>
          <w:rFonts w:hint="eastAsia"/>
          <w:szCs w:val="21"/>
          <w:highlight w:val="none"/>
          <w:u w:val="thick"/>
        </w:rPr>
        <w:t>项目</w:t>
      </w:r>
      <w:r>
        <w:rPr>
          <w:rFonts w:hint="eastAsia" w:ascii="Times New Roman" w:eastAsia="宋体"/>
          <w:szCs w:val="21"/>
          <w:highlight w:val="none"/>
          <w:u w:val="thick"/>
          <w:lang w:val="en-US" w:eastAsia="zh-CN"/>
        </w:rPr>
        <w:t>名称</w:t>
      </w:r>
      <w:r>
        <w:rPr>
          <w:rFonts w:hint="eastAsia" w:eastAsia="宋体"/>
          <w:szCs w:val="21"/>
          <w:highlight w:val="none"/>
          <w:u w:val="thick"/>
          <w:lang w:eastAsia="zh-CN"/>
        </w:rPr>
        <w:t>）</w:t>
      </w:r>
      <w:r>
        <w:rPr>
          <w:rFonts w:hint="eastAsia"/>
          <w:szCs w:val="21"/>
          <w:highlight w:val="none"/>
          <w:u w:val="thick"/>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35" w:name="_Hlk72263588"/>
      <w:r>
        <w:rPr>
          <w:rFonts w:hint="eastAsia"/>
          <w:szCs w:val="21"/>
          <w:highlight w:val="none"/>
        </w:rPr>
        <w:t>愿意按照招标文件要求承包上述项目并修补其任何缺陷。</w:t>
      </w:r>
      <w:bookmarkEnd w:id="35"/>
    </w:p>
    <w:p w14:paraId="738F8A74">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投标价格见</w:t>
      </w:r>
      <w:r>
        <w:rPr>
          <w:rFonts w:hint="eastAsia"/>
          <w:szCs w:val="21"/>
          <w:highlight w:val="none"/>
        </w:rPr>
        <w:t>投标书编制软件中《开标一览表》中填写的投标总价。</w:t>
      </w:r>
    </w:p>
    <w:p w14:paraId="3C5E2AA9">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如果我单位中标，我单位将按照招标文件的要求足额提交履约担保。</w:t>
      </w:r>
    </w:p>
    <w:p w14:paraId="2495D3F8">
      <w:pPr>
        <w:ind w:firstLine="420" w:firstLineChars="200"/>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我单位同意所递交的投标文件在“对通用条款的补充内容”中明确的投标有效期内有效，在此期间内我单位的投标有可能中标，我方将受此约束。</w:t>
      </w:r>
    </w:p>
    <w:p w14:paraId="7AF16E44">
      <w:pPr>
        <w:ind w:firstLine="420" w:firstLineChars="200"/>
        <w:rPr>
          <w:rFonts w:ascii="宋体" w:hAnsi="宋体"/>
          <w:szCs w:val="21"/>
          <w:highlight w:val="none"/>
        </w:rPr>
      </w:pPr>
      <w:r>
        <w:rPr>
          <w:rFonts w:hint="eastAsia" w:ascii="宋体" w:hAnsi="宋体"/>
          <w:szCs w:val="21"/>
          <w:highlight w:val="none"/>
        </w:rPr>
        <w:t>5</w:t>
      </w:r>
      <w:r>
        <w:rPr>
          <w:rFonts w:hint="eastAsia" w:ascii="宋体" w:hAnsi="宋体"/>
          <w:szCs w:val="21"/>
          <w:highlight w:val="none"/>
          <w:lang w:val="en-US" w:eastAsia="zh-CN"/>
        </w:rPr>
        <w:t>.</w:t>
      </w:r>
      <w:r>
        <w:rPr>
          <w:rFonts w:hint="eastAsia" w:ascii="宋体" w:hAnsi="宋体"/>
          <w:szCs w:val="21"/>
          <w:highlight w:val="none"/>
        </w:rPr>
        <w:t>除非另外达成协议并生效，贵单位的中标通知书和本投标文件将构成合同的重要内容。</w:t>
      </w:r>
    </w:p>
    <w:p w14:paraId="7D03FCAD">
      <w:pPr>
        <w:ind w:left="420" w:leftChars="200"/>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w:t>
      </w:r>
      <w:r>
        <w:rPr>
          <w:rFonts w:hint="eastAsia" w:ascii="宋体" w:hAnsi="宋体"/>
          <w:szCs w:val="21"/>
          <w:highlight w:val="none"/>
        </w:rPr>
        <w:t>我单位理解贵单位将不受必须接受所收到的最低报价或其它任何投标文件的约束。</w:t>
      </w:r>
      <w:bookmarkEnd w:id="34"/>
    </w:p>
    <w:p w14:paraId="7272F287">
      <w:pPr>
        <w:ind w:left="420" w:leftChars="20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val="en-US" w:eastAsia="zh-CN"/>
        </w:rPr>
        <w:t>.</w:t>
      </w:r>
      <w:r>
        <w:rPr>
          <w:rFonts w:ascii="宋体" w:hAnsi="宋体"/>
          <w:b/>
          <w:szCs w:val="21"/>
          <w:highlight w:val="none"/>
        </w:rPr>
        <w:t>如我单位提交样品，且未在规定时间内取回样品的，视同放弃取回，同意深圳公共资源交易中心对我单位提交的样品进行清理。</w:t>
      </w:r>
    </w:p>
    <w:p w14:paraId="6F7F9769">
      <w:pPr>
        <w:ind w:left="420" w:leftChars="200" w:firstLine="210" w:firstLineChars="100"/>
        <w:rPr>
          <w:rFonts w:hint="eastAsia"/>
          <w:szCs w:val="21"/>
          <w:highlight w:val="none"/>
          <w:u w:val="none"/>
          <w:lang w:eastAsia="zh-CN"/>
        </w:rPr>
      </w:pPr>
      <w:r>
        <w:rPr>
          <w:rFonts w:hint="eastAsia"/>
          <w:szCs w:val="21"/>
          <w:highlight w:val="none"/>
        </w:rPr>
        <w:t>投标人：</w:t>
      </w:r>
      <w:r>
        <w:rPr>
          <w:rFonts w:hint="eastAsia"/>
          <w:szCs w:val="21"/>
          <w:highlight w:val="none"/>
          <w:u w:val="thick"/>
        </w:rPr>
        <w:t xml:space="preserve">       </w:t>
      </w:r>
      <w:r>
        <w:rPr>
          <w:rFonts w:hint="eastAsia" w:eastAsia="宋体"/>
          <w:szCs w:val="21"/>
          <w:highlight w:val="none"/>
          <w:lang w:eastAsia="zh-CN"/>
        </w:rPr>
        <w:t>；</w:t>
      </w:r>
      <w:r>
        <w:rPr>
          <w:rFonts w:hint="eastAsia"/>
          <w:szCs w:val="21"/>
          <w:highlight w:val="none"/>
        </w:rPr>
        <w:t xml:space="preserve">  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20E65D2F">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eastAsia="宋体"/>
          <w:szCs w:val="21"/>
          <w:highlight w:val="none"/>
          <w:u w:val="none"/>
          <w:lang w:eastAsia="zh-CN"/>
        </w:rPr>
        <w:t>；</w:t>
      </w:r>
    </w:p>
    <w:p w14:paraId="7306BAE9">
      <w:pPr>
        <w:ind w:left="420" w:leftChars="200" w:firstLine="210" w:firstLineChars="100"/>
        <w:rPr>
          <w:rFonts w:hint="eastAsia"/>
          <w:szCs w:val="21"/>
          <w:highlight w:val="none"/>
          <w:u w:val="none"/>
        </w:rPr>
      </w:pP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szCs w:val="21"/>
          <w:highlight w:val="none"/>
        </w:rPr>
        <w:t xml:space="preserve"> </w:t>
      </w:r>
      <w:r>
        <w:rPr>
          <w:rFonts w:hint="eastAsia" w:eastAsia="宋体"/>
          <w:szCs w:val="21"/>
          <w:highlight w:val="none"/>
          <w:u w:val="none"/>
          <w:lang w:eastAsia="zh-CN"/>
        </w:rPr>
        <w:t>；</w:t>
      </w:r>
      <w:r>
        <w:rPr>
          <w:rFonts w:hint="eastAsia"/>
          <w:szCs w:val="21"/>
          <w:highlight w:val="none"/>
          <w:u w:val="none"/>
        </w:rPr>
        <w:t xml:space="preserve">     </w:t>
      </w:r>
    </w:p>
    <w:p w14:paraId="2F1B5FE0">
      <w:pPr>
        <w:ind w:left="420" w:leftChars="200" w:firstLine="210" w:firstLineChars="100"/>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14:paraId="26B89ABF">
      <w:pPr>
        <w:ind w:left="420" w:leftChars="200"/>
        <w:rPr>
          <w:sz w:val="24"/>
          <w:highlight w:val="none"/>
        </w:rPr>
      </w:pPr>
      <w:r>
        <w:rPr>
          <w:rFonts w:hint="eastAsia"/>
          <w:sz w:val="24"/>
          <w:highlight w:val="none"/>
        </w:rPr>
        <w:t xml:space="preserve">                       </w:t>
      </w:r>
    </w:p>
    <w:p w14:paraId="6473C28B">
      <w:pPr>
        <w:rPr>
          <w:rFonts w:ascii="黑体" w:hAnsi="宋体" w:eastAsia="黑体"/>
          <w:highlight w:val="none"/>
        </w:rPr>
      </w:pPr>
    </w:p>
    <w:p w14:paraId="258B9FB0">
      <w:pPr>
        <w:rPr>
          <w:rFonts w:ascii="宋体" w:hAnsi="宋体"/>
          <w:szCs w:val="21"/>
          <w:highlight w:val="none"/>
        </w:rPr>
      </w:pPr>
    </w:p>
    <w:p w14:paraId="214ACD9C">
      <w:pPr>
        <w:rPr>
          <w:rFonts w:hint="eastAsia" w:ascii="黑体" w:eastAsia="黑体"/>
          <w:b w:val="0"/>
          <w:kern w:val="0"/>
          <w:sz w:val="24"/>
          <w:highlight w:val="none"/>
        </w:rPr>
      </w:pPr>
      <w:r>
        <w:rPr>
          <w:rFonts w:hint="eastAsia" w:ascii="黑体" w:eastAsia="黑体"/>
          <w:b w:val="0"/>
          <w:kern w:val="0"/>
          <w:sz w:val="24"/>
          <w:highlight w:val="none"/>
        </w:rPr>
        <w:br w:type="page"/>
      </w:r>
    </w:p>
    <w:p w14:paraId="6C057C02">
      <w:pPr>
        <w:pStyle w:val="5"/>
        <w:jc w:val="center"/>
        <w:rPr>
          <w:rFonts w:ascii="黑体" w:eastAsia="黑体"/>
          <w:b w:val="0"/>
          <w:kern w:val="0"/>
          <w:sz w:val="24"/>
          <w:highlight w:val="none"/>
        </w:rPr>
      </w:pPr>
      <w:r>
        <w:rPr>
          <w:rFonts w:hint="eastAsia" w:ascii="黑体" w:eastAsia="黑体"/>
          <w:b w:val="0"/>
          <w:kern w:val="0"/>
          <w:sz w:val="24"/>
          <w:highlight w:val="none"/>
        </w:rPr>
        <w:t>二、政府采购投标及履约承诺函</w:t>
      </w:r>
    </w:p>
    <w:p w14:paraId="376E16A9">
      <w:pPr>
        <w:rPr>
          <w:rFonts w:ascii="宋体" w:hAnsi="宋体"/>
          <w:sz w:val="24"/>
          <w:highlight w:val="none"/>
        </w:rPr>
      </w:pPr>
    </w:p>
    <w:p w14:paraId="663D77EC">
      <w:pPr>
        <w:rPr>
          <w:rFonts w:ascii="宋体" w:hAnsi="宋体"/>
          <w:color w:val="FF0000"/>
          <w:szCs w:val="21"/>
          <w:highlight w:val="none"/>
        </w:rPr>
      </w:pPr>
      <w:r>
        <w:rPr>
          <w:rFonts w:hint="eastAsia" w:ascii="宋体" w:hAnsi="宋体"/>
          <w:color w:val="FF0000"/>
          <w:szCs w:val="21"/>
          <w:highlight w:val="none"/>
        </w:rPr>
        <w:t>致：</w:t>
      </w:r>
      <w:r>
        <w:rPr>
          <w:rFonts w:hint="eastAsia" w:ascii="宋体" w:hAnsi="宋体"/>
          <w:color w:val="FF0000"/>
          <w:szCs w:val="21"/>
          <w:highlight w:val="none"/>
          <w:u w:val="single"/>
        </w:rPr>
        <w:t>深圳公共资源交易中心</w:t>
      </w:r>
    </w:p>
    <w:p w14:paraId="1A37B425">
      <w:pPr>
        <w:ind w:right="-815" w:firstLine="420" w:firstLineChars="200"/>
        <w:rPr>
          <w:rFonts w:ascii="宋体" w:hAnsi="宋体"/>
          <w:szCs w:val="21"/>
          <w:highlight w:val="none"/>
        </w:rPr>
      </w:pPr>
      <w:r>
        <w:rPr>
          <w:rFonts w:hint="eastAsia" w:ascii="宋体" w:hAnsi="宋体"/>
          <w:szCs w:val="21"/>
          <w:highlight w:val="none"/>
        </w:rPr>
        <w:t>我单位承诺：</w:t>
      </w:r>
    </w:p>
    <w:p w14:paraId="4332E621">
      <w:pPr>
        <w:ind w:firstLine="420" w:firstLineChars="200"/>
        <w:rPr>
          <w:rFonts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14:paraId="0F924C8C">
      <w:pPr>
        <w:ind w:firstLine="420" w:firstLineChars="200"/>
        <w:rPr>
          <w:rFonts w:ascii="宋体" w:hAnsi="宋体"/>
          <w:szCs w:val="21"/>
          <w:highlight w:val="none"/>
        </w:rPr>
      </w:pPr>
      <w:r>
        <w:rPr>
          <w:rFonts w:hint="eastAsia" w:ascii="宋体" w:hAnsi="宋体"/>
          <w:szCs w:val="21"/>
          <w:highlight w:val="none"/>
        </w:rPr>
        <w:t>2.我单位参与本项目</w:t>
      </w:r>
      <w:r>
        <w:rPr>
          <w:rFonts w:hint="eastAsia"/>
          <w:highlight w:val="none"/>
        </w:rPr>
        <w:t>政府采购活动时不存在被有关部门禁止参与政府采购活动且在有效期内的情况。</w:t>
      </w:r>
    </w:p>
    <w:p w14:paraId="72366B00">
      <w:pPr>
        <w:ind w:firstLine="420" w:firstLineChars="200"/>
        <w:rPr>
          <w:rFonts w:ascii="宋体" w:hAnsi="宋体"/>
          <w:szCs w:val="21"/>
          <w:highlight w:val="none"/>
        </w:rPr>
      </w:pPr>
      <w:r>
        <w:rPr>
          <w:rFonts w:hint="eastAsia" w:ascii="宋体" w:hAnsi="宋体"/>
          <w:szCs w:val="21"/>
          <w:highlight w:val="none"/>
        </w:rPr>
        <w:t>3.我单位具备《中华人民共和国政府采购法》第二十二条第一款规定的六项条件。</w:t>
      </w:r>
    </w:p>
    <w:p w14:paraId="0FA2807A">
      <w:pPr>
        <w:ind w:firstLine="420" w:firstLineChars="200"/>
        <w:rPr>
          <w:rFonts w:hint="eastAsia"/>
          <w:highlight w:val="none"/>
          <w:lang w:eastAsia="zh-CN"/>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r>
        <w:rPr>
          <w:rFonts w:hint="eastAsia"/>
          <w:highlight w:val="none"/>
          <w:lang w:eastAsia="zh-CN"/>
        </w:rPr>
        <w:t>。</w:t>
      </w:r>
    </w:p>
    <w:p w14:paraId="2299055C">
      <w:pPr>
        <w:ind w:firstLine="420" w:firstLineChars="200"/>
        <w:rPr>
          <w:rFonts w:hint="eastAsia"/>
          <w:highlight w:val="none"/>
          <w:lang w:eastAsia="zh-CN"/>
        </w:rPr>
      </w:pPr>
      <w:r>
        <w:rPr>
          <w:rFonts w:hint="eastAsia" w:ascii="Times New Roman" w:eastAsia="宋体"/>
          <w:color w:val="FF0000"/>
          <w:highlight w:val="none"/>
          <w:lang w:val="en-US" w:eastAsia="zh-CN"/>
        </w:rPr>
        <w:t>5.我单位不存在《深圳市财政局政府采购供应商信用信息管理办法》（深财规〔2023〕3号）列明的严重违法失信行为。</w:t>
      </w:r>
    </w:p>
    <w:p w14:paraId="7B0A2DAA">
      <w:pPr>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9316687">
      <w:pPr>
        <w:ind w:firstLine="420" w:firstLineChars="200"/>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D0E1E61">
      <w:pPr>
        <w:ind w:firstLine="420" w:firstLineChars="200"/>
        <w:rPr>
          <w:rFonts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A016AD1">
      <w:pPr>
        <w:ind w:firstLine="420" w:firstLineChars="200"/>
        <w:rPr>
          <w:rFonts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05F6713">
      <w:pPr>
        <w:ind w:firstLine="420" w:firstLineChars="200"/>
        <w:rPr>
          <w:rFonts w:ascii="宋体" w:hAnsi="宋体"/>
          <w:szCs w:val="21"/>
          <w:highlight w:val="none"/>
        </w:rPr>
      </w:pPr>
      <w:r>
        <w:rPr>
          <w:rFonts w:hint="eastAsia" w:ascii="宋体" w:hAnsi="宋体"/>
          <w:szCs w:val="21"/>
          <w:highlight w:val="none"/>
          <w:lang w:val="en-US" w:eastAsia="zh-CN"/>
        </w:rPr>
        <w:t>9</w:t>
      </w:r>
      <w:r>
        <w:rPr>
          <w:rFonts w:hint="eastAsia" w:ascii="宋体" w:hAnsi="宋体"/>
          <w:szCs w:val="21"/>
          <w:highlight w:val="none"/>
        </w:rPr>
        <w:t>.我单位承诺中标后项目不转包，未经采购人同意不进行分包。</w:t>
      </w:r>
    </w:p>
    <w:p w14:paraId="7A828875">
      <w:pPr>
        <w:ind w:firstLine="420" w:firstLineChars="200"/>
        <w:rPr>
          <w:rFonts w:ascii="宋体" w:hAnsi="宋体"/>
          <w:highlight w:val="none"/>
        </w:rPr>
      </w:pPr>
      <w:r>
        <w:rPr>
          <w:rFonts w:hint="eastAsia" w:ascii="宋体" w:hAnsi="宋体"/>
          <w:szCs w:val="21"/>
          <w:highlight w:val="none"/>
          <w:lang w:val="en-US" w:eastAsia="zh-CN"/>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95F5C9A">
      <w:pPr>
        <w:ind w:firstLine="420" w:firstLineChars="200"/>
        <w:rPr>
          <w:rFonts w:ascii="宋体" w:hAnsi="宋体" w:cs="宋体"/>
          <w:b/>
          <w:kern w:val="0"/>
          <w:szCs w:val="21"/>
          <w:highlight w:val="none"/>
        </w:rPr>
      </w:pPr>
      <w:r>
        <w:rPr>
          <w:rFonts w:hint="eastAsia" w:ascii="宋体" w:hAnsi="宋体"/>
          <w:highlight w:val="none"/>
        </w:rPr>
        <w:t>1</w:t>
      </w:r>
      <w:r>
        <w:rPr>
          <w:rFonts w:hint="eastAsia" w:ascii="宋体" w:hAnsi="宋体"/>
          <w:highlight w:val="none"/>
          <w:lang w:val="en-US" w:eastAsia="zh-CN"/>
        </w:rPr>
        <w:t>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w:t>
      </w:r>
      <w:r>
        <w:rPr>
          <w:rFonts w:hint="eastAsia" w:ascii="宋体" w:hAnsi="宋体"/>
          <w:highlight w:val="none"/>
          <w:lang w:val="en-US" w:eastAsia="zh-CN"/>
        </w:rPr>
        <w:t>若所投产品包括数据中心相关设备的，应满足</w:t>
      </w:r>
      <w:r>
        <w:rPr>
          <w:rFonts w:hint="eastAsia"/>
          <w:highlight w:val="none"/>
        </w:rPr>
        <w:t>《财政部 生态环境部 工业和信息化部关于印发&lt;绿色数据中心政府采购需求标准（试行）&gt;的通知》</w:t>
      </w:r>
      <w:r>
        <w:rPr>
          <w:rFonts w:hint="eastAsia" w:eastAsia="宋体"/>
          <w:highlight w:val="none"/>
          <w:lang w:eastAsia="zh-CN"/>
        </w:rPr>
        <w:t>（</w:t>
      </w:r>
      <w:r>
        <w:rPr>
          <w:rFonts w:hint="eastAsia"/>
          <w:highlight w:val="none"/>
        </w:rPr>
        <w:t>财库〔2023〕7号）</w:t>
      </w:r>
      <w:r>
        <w:rPr>
          <w:rFonts w:hint="eastAsia" w:ascii="Times New Roman" w:eastAsia="宋体"/>
          <w:highlight w:val="none"/>
          <w:lang w:val="en-US" w:eastAsia="zh-CN"/>
        </w:rPr>
        <w:t>要求。若所投产品涉及国家强制性标准的，所投产品应符合国家强制性标准相关要求。</w:t>
      </w:r>
    </w:p>
    <w:p w14:paraId="3ABA9882">
      <w:pPr>
        <w:ind w:firstLine="420" w:firstLineChars="200"/>
        <w:rPr>
          <w:rFonts w:hint="eastAsia" w:ascii="宋体" w:hAnsi="宋体"/>
          <w:b w:val="0"/>
          <w:bCs/>
          <w:highlight w:val="none"/>
        </w:rPr>
      </w:pPr>
      <w:r>
        <w:rPr>
          <w:rFonts w:hint="eastAsia" w:ascii="宋体" w:hAnsi="宋体" w:cs="宋体"/>
          <w:b w:val="0"/>
          <w:bCs/>
          <w:kern w:val="0"/>
          <w:szCs w:val="21"/>
          <w:highlight w:val="none"/>
        </w:rPr>
        <w:t>1</w:t>
      </w:r>
      <w:r>
        <w:rPr>
          <w:rFonts w:hint="eastAsia" w:ascii="宋体" w:hAnsi="宋体" w:cs="宋体"/>
          <w:b w:val="0"/>
          <w:bCs/>
          <w:kern w:val="0"/>
          <w:szCs w:val="21"/>
          <w:highlight w:val="none"/>
          <w:lang w:val="en-US" w:eastAsia="zh-CN"/>
        </w:rPr>
        <w:t>2</w:t>
      </w:r>
      <w:r>
        <w:rPr>
          <w:rFonts w:hint="eastAsia" w:ascii="宋体" w:hAnsi="宋体" w:cs="宋体"/>
          <w:b w:val="0"/>
          <w:bCs/>
          <w:kern w:val="0"/>
          <w:szCs w:val="21"/>
          <w:highlight w:val="none"/>
        </w:rPr>
        <w:t>.</w:t>
      </w:r>
      <w:r>
        <w:rPr>
          <w:rFonts w:hint="eastAsia" w:ascii="宋体" w:hAnsi="宋体"/>
          <w:b w:val="0"/>
          <w:bCs/>
          <w:highlight w:val="none"/>
        </w:rPr>
        <w:t>我单位已知悉并同意中标（成交）结果信息公示（公开）的内容。</w:t>
      </w:r>
    </w:p>
    <w:p w14:paraId="6EEB2930">
      <w:pPr>
        <w:ind w:firstLine="420" w:firstLineChars="200"/>
        <w:rPr>
          <w:rFonts w:hint="eastAsia" w:ascii="宋体" w:hAnsi="宋体"/>
          <w:b w:val="0"/>
          <w:bCs/>
          <w:highlight w:val="none"/>
        </w:rPr>
      </w:pPr>
      <w:r>
        <w:rPr>
          <w:rFonts w:hint="eastAsia" w:ascii="宋体" w:hAnsi="宋体"/>
          <w:b w:val="0"/>
          <w:bCs/>
          <w:highlight w:val="none"/>
        </w:rPr>
        <w:t>1</w:t>
      </w:r>
      <w:r>
        <w:rPr>
          <w:rFonts w:hint="eastAsia" w:ascii="宋体" w:hAnsi="宋体"/>
          <w:b w:val="0"/>
          <w:bCs/>
          <w:highlight w:val="none"/>
          <w:lang w:val="en-US" w:eastAsia="zh-CN"/>
        </w:rPr>
        <w:t>3</w:t>
      </w:r>
      <w:r>
        <w:rPr>
          <w:rFonts w:hint="eastAsia" w:ascii="宋体" w:hAnsi="宋体"/>
          <w:b w:val="0"/>
          <w:bCs/>
          <w:highlight w:val="none"/>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highlight w:val="none"/>
          <w:lang w:val="en-US" w:eastAsia="zh-CN"/>
        </w:rPr>
        <w:t>不存在为</w:t>
      </w:r>
      <w:r>
        <w:rPr>
          <w:rFonts w:hint="eastAsia" w:ascii="宋体" w:hAnsi="宋体"/>
          <w:b w:val="0"/>
          <w:bCs/>
          <w:highlight w:val="none"/>
        </w:rPr>
        <w:t>本次采购项目提供整体设计、规范编制或者项目管理、监理、检测等服务的情</w:t>
      </w:r>
      <w:r>
        <w:rPr>
          <w:rFonts w:hint="eastAsia" w:ascii="宋体" w:hAnsi="宋体"/>
          <w:b w:val="0"/>
          <w:bCs/>
          <w:color w:val="auto"/>
          <w:highlight w:val="none"/>
        </w:rPr>
        <w:t>形。</w:t>
      </w:r>
      <w:r>
        <w:rPr>
          <w:rFonts w:hint="eastAsia" w:ascii="宋体" w:hAnsi="宋体"/>
          <w:b w:val="0"/>
          <w:bCs/>
          <w:color w:val="auto"/>
          <w:highlight w:val="none"/>
          <w:lang w:val="en-US" w:eastAsia="zh-CN"/>
        </w:rPr>
        <w:t>若</w:t>
      </w:r>
      <w:r>
        <w:rPr>
          <w:rFonts w:hint="eastAsia" w:ascii="宋体" w:hAnsi="宋体"/>
          <w:b w:val="0"/>
          <w:bCs/>
          <w:color w:val="auto"/>
          <w:highlight w:val="none"/>
        </w:rPr>
        <w:t>存在“不同供应商的董事、股东或其他高级管理人员为同一人的”情形的，</w:t>
      </w:r>
      <w:r>
        <w:rPr>
          <w:rFonts w:hint="eastAsia" w:ascii="宋体" w:hAnsi="宋体"/>
          <w:b w:val="0"/>
          <w:bCs/>
          <w:color w:val="auto"/>
          <w:highlight w:val="none"/>
          <w:lang w:val="en-US" w:eastAsia="zh-CN"/>
        </w:rPr>
        <w:t>我单位保证</w:t>
      </w:r>
      <w:r>
        <w:rPr>
          <w:rFonts w:hint="eastAsia" w:ascii="宋体" w:hAnsi="宋体"/>
          <w:b w:val="0"/>
          <w:bCs/>
          <w:color w:val="auto"/>
          <w:highlight w:val="none"/>
        </w:rPr>
        <w:t>不存在串通投标、恶意串通或者视为串通投标的情形</w:t>
      </w:r>
      <w:r>
        <w:rPr>
          <w:rFonts w:hint="eastAsia" w:ascii="宋体" w:hAnsi="宋体"/>
          <w:b w:val="0"/>
          <w:bCs/>
          <w:color w:val="auto"/>
          <w:highlight w:val="none"/>
          <w:lang w:eastAsia="zh-CN"/>
        </w:rPr>
        <w:t>。</w:t>
      </w:r>
    </w:p>
    <w:p w14:paraId="51227562">
      <w:pPr>
        <w:ind w:firstLine="420" w:firstLineChars="200"/>
        <w:rPr>
          <w:rFonts w:hint="eastAsia" w:ascii="宋体" w:hAnsi="宋体"/>
          <w:b/>
          <w:bCs w:val="0"/>
          <w:sz w:val="21"/>
          <w:highlight w:val="none"/>
          <w:lang w:val="en-US" w:eastAsia="zh-CN"/>
        </w:rPr>
      </w:pPr>
      <w:r>
        <w:rPr>
          <w:rFonts w:hint="eastAsia" w:ascii="宋体" w:hAnsi="宋体"/>
          <w:color w:val="auto"/>
          <w:highlight w:val="none"/>
          <w:lang w:val="en-US" w:eastAsia="zh-CN"/>
        </w:rPr>
        <w:t>14.</w:t>
      </w:r>
      <w:r>
        <w:rPr>
          <w:rFonts w:hint="eastAsia" w:ascii="宋体" w:hAnsi="宋体"/>
          <w:color w:val="auto"/>
          <w:highlight w:val="none"/>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3A2FF61">
      <w:pPr>
        <w:ind w:firstLine="422" w:firstLineChars="200"/>
        <w:rPr>
          <w:rFonts w:ascii="宋体" w:hAnsi="宋体"/>
          <w:b/>
          <w:highlight w:val="none"/>
        </w:rPr>
      </w:pPr>
      <w:r>
        <w:rPr>
          <w:rFonts w:hint="eastAsia" w:ascii="宋体" w:hAnsi="宋体"/>
          <w:b/>
          <w:bCs w:val="0"/>
          <w:sz w:val="21"/>
          <w:highlight w:val="none"/>
          <w:lang w:val="en-US" w:eastAsia="zh-CN"/>
        </w:rPr>
        <w:t>15.我单位清楚，如存在违反投标承诺行为情节严重的，将根据《深圳市财政局关于印发&lt;深圳市财政局政府采购供应商信用信息管理办法&gt;的通知》，依法被列入失信信息。</w:t>
      </w:r>
    </w:p>
    <w:p w14:paraId="6A012710">
      <w:pPr>
        <w:pStyle w:val="2"/>
        <w:ind w:firstLine="482" w:firstLineChars="200"/>
        <w:rPr>
          <w:rFonts w:ascii="宋体" w:hAnsi="宋体"/>
          <w:highlight w:val="none"/>
        </w:rPr>
      </w:pPr>
    </w:p>
    <w:p w14:paraId="7915DED5">
      <w:pPr>
        <w:ind w:firstLine="420" w:firstLineChars="200"/>
        <w:rPr>
          <w:rFonts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14:paraId="1DCDA91E">
      <w:pPr>
        <w:spacing w:before="60" w:beforeLines="25" w:after="60" w:afterLines="25"/>
        <w:ind w:firstLine="5460" w:firstLineChars="2600"/>
        <w:rPr>
          <w:rFonts w:ascii="宋体" w:hAnsi="宋体"/>
          <w:szCs w:val="21"/>
          <w:highlight w:val="none"/>
        </w:rPr>
      </w:pPr>
      <w:r>
        <w:rPr>
          <w:rFonts w:hint="eastAsia" w:ascii="宋体" w:hAnsi="宋体"/>
          <w:szCs w:val="21"/>
          <w:highlight w:val="none"/>
        </w:rPr>
        <w:t xml:space="preserve">                                    </w:t>
      </w:r>
    </w:p>
    <w:p w14:paraId="5D3A78B6">
      <w:pPr>
        <w:spacing w:before="60" w:beforeLines="25" w:after="60" w:afterLines="25"/>
        <w:ind w:firstLine="5460" w:firstLineChars="2600"/>
        <w:rPr>
          <w:color w:val="FF0000"/>
          <w:highlight w:val="none"/>
        </w:rPr>
      </w:pPr>
      <w:r>
        <w:rPr>
          <w:rFonts w:hint="eastAsia"/>
          <w:color w:val="FF0000"/>
          <w:szCs w:val="21"/>
          <w:highlight w:val="none"/>
        </w:rPr>
        <w:t>投标人：</w:t>
      </w:r>
      <w:r>
        <w:rPr>
          <w:rFonts w:hint="eastAsia"/>
          <w:color w:val="FF0000"/>
          <w:szCs w:val="21"/>
          <w:highlight w:val="none"/>
          <w:u w:val="single"/>
        </w:rPr>
        <w:t xml:space="preserve">              </w:t>
      </w:r>
    </w:p>
    <w:p w14:paraId="2405100D">
      <w:pPr>
        <w:ind w:firstLine="645"/>
        <w:rPr>
          <w:rFonts w:ascii="宋体" w:hAnsi="宋体"/>
          <w:color w:val="FF0000"/>
          <w:szCs w:val="21"/>
          <w:highlight w:val="none"/>
        </w:rPr>
      </w:pPr>
      <w:r>
        <w:rPr>
          <w:rFonts w:hint="eastAsia" w:ascii="宋体" w:hAnsi="宋体"/>
          <w:color w:val="FF0000"/>
          <w:szCs w:val="21"/>
          <w:highlight w:val="none"/>
        </w:rPr>
        <w:t xml:space="preserve">                                              日期：</w:t>
      </w:r>
      <w:r>
        <w:rPr>
          <w:rFonts w:hint="eastAsia" w:ascii="宋体" w:hAnsi="宋体"/>
          <w:color w:val="FF0000"/>
          <w:szCs w:val="21"/>
          <w:highlight w:val="none"/>
          <w:u w:val="single"/>
        </w:rPr>
        <w:t xml:space="preserve">    </w:t>
      </w:r>
      <w:r>
        <w:rPr>
          <w:rFonts w:hint="eastAsia" w:ascii="宋体" w:hAnsi="宋体"/>
          <w:color w:val="FF0000"/>
          <w:szCs w:val="21"/>
          <w:highlight w:val="none"/>
        </w:rPr>
        <w:t>年</w:t>
      </w:r>
      <w:r>
        <w:rPr>
          <w:rFonts w:hint="eastAsia" w:ascii="宋体" w:hAnsi="宋体"/>
          <w:color w:val="FF0000"/>
          <w:szCs w:val="21"/>
          <w:highlight w:val="none"/>
          <w:u w:val="single"/>
        </w:rPr>
        <w:t xml:space="preserve">   </w:t>
      </w:r>
      <w:r>
        <w:rPr>
          <w:rFonts w:hint="eastAsia" w:ascii="宋体" w:hAnsi="宋体"/>
          <w:color w:val="FF0000"/>
          <w:szCs w:val="21"/>
          <w:highlight w:val="none"/>
        </w:rPr>
        <w:t>月</w:t>
      </w:r>
      <w:r>
        <w:rPr>
          <w:rFonts w:hint="eastAsia" w:ascii="宋体" w:hAnsi="宋体"/>
          <w:color w:val="FF0000"/>
          <w:szCs w:val="21"/>
          <w:highlight w:val="none"/>
          <w:u w:val="single"/>
        </w:rPr>
        <w:t xml:space="preserve">   </w:t>
      </w:r>
      <w:r>
        <w:rPr>
          <w:rFonts w:hint="eastAsia" w:ascii="宋体" w:hAnsi="宋体"/>
          <w:color w:val="FF0000"/>
          <w:szCs w:val="21"/>
          <w:highlight w:val="none"/>
        </w:rPr>
        <w:t>日</w:t>
      </w:r>
    </w:p>
    <w:p w14:paraId="0DCF48C7">
      <w:pPr>
        <w:rPr>
          <w:rFonts w:ascii="宋体" w:hAnsi="宋体"/>
          <w:szCs w:val="21"/>
          <w:highlight w:val="none"/>
        </w:rPr>
      </w:pPr>
    </w:p>
    <w:p w14:paraId="58DD5185">
      <w:pPr>
        <w:rPr>
          <w:rFonts w:ascii="宋体" w:hAnsi="宋体"/>
          <w:szCs w:val="21"/>
          <w:highlight w:val="none"/>
        </w:rPr>
      </w:pPr>
    </w:p>
    <w:p w14:paraId="7EB6AEF4">
      <w:pPr>
        <w:rPr>
          <w:highlight w:val="none"/>
        </w:rPr>
      </w:pPr>
    </w:p>
    <w:p w14:paraId="408953AF">
      <w:pPr>
        <w:rPr>
          <w:highlight w:val="none"/>
        </w:rPr>
      </w:pPr>
    </w:p>
    <w:p w14:paraId="5D929E61">
      <w:pPr>
        <w:pStyle w:val="5"/>
        <w:spacing w:before="120" w:after="120"/>
        <w:jc w:val="center"/>
        <w:rPr>
          <w:rFonts w:ascii="黑体" w:eastAsia="黑体"/>
          <w:b w:val="0"/>
          <w:kern w:val="0"/>
          <w:sz w:val="24"/>
          <w:highlight w:val="none"/>
        </w:rPr>
      </w:pPr>
      <w:r>
        <w:rPr>
          <w:rFonts w:hint="eastAsia" w:ascii="黑体" w:eastAsia="黑体"/>
          <w:b w:val="0"/>
          <w:kern w:val="0"/>
          <w:sz w:val="24"/>
          <w:highlight w:val="none"/>
        </w:rPr>
        <w:t>三、投标人情况及资格证明文件</w:t>
      </w:r>
    </w:p>
    <w:p w14:paraId="61E2E8A5">
      <w:pPr>
        <w:ind w:firstLine="2640" w:firstLineChars="11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（一）投标人资格证明文件</w:t>
      </w:r>
    </w:p>
    <w:p w14:paraId="1F52FD09">
      <w:pPr>
        <w:spacing w:before="120" w:beforeLines="50"/>
        <w:ind w:firstLine="422" w:firstLineChars="200"/>
        <w:rPr>
          <w:b/>
          <w:bCs/>
          <w:color w:val="FF0000"/>
          <w:highlight w:val="none"/>
        </w:rPr>
      </w:pPr>
      <w:r>
        <w:rPr>
          <w:rFonts w:hint="eastAsia"/>
          <w:b/>
          <w:bCs/>
          <w:color w:val="FF0000"/>
          <w:highlight w:val="none"/>
        </w:rPr>
        <w:t>（特别提示：投标人须按本招标文件第一册第一章招标公告 “申请人的资格要求”（即投标人资格要求）提供相关的资格证明资料，未提供或提供不完整、不符合要求的，将作投标无效处理。</w:t>
      </w:r>
      <w:r>
        <w:rPr>
          <w:rFonts w:hint="eastAsia" w:ascii="Times New Roman" w:eastAsia="宋体"/>
          <w:b/>
          <w:bCs/>
          <w:color w:val="FF0000"/>
          <w:highlight w:val="none"/>
          <w:lang w:val="en-US" w:eastAsia="zh-CN"/>
        </w:rPr>
        <w:t>其中要求提供《政府采购投标及履约承诺函》《供应商基本情况表》且已在规定章节中提供的，此处不重复提供</w:t>
      </w:r>
      <w:r>
        <w:rPr>
          <w:rFonts w:hint="eastAsia"/>
          <w:b/>
          <w:bCs/>
          <w:color w:val="FF0000"/>
          <w:highlight w:val="none"/>
        </w:rPr>
        <w:t>。）</w:t>
      </w:r>
    </w:p>
    <w:p w14:paraId="49E669AA">
      <w:pPr>
        <w:ind w:firstLine="482" w:firstLineChars="200"/>
        <w:rPr>
          <w:b/>
          <w:sz w:val="24"/>
          <w:highlight w:val="none"/>
        </w:rPr>
      </w:pPr>
    </w:p>
    <w:p w14:paraId="57BA4941">
      <w:pPr>
        <w:ind w:firstLine="480" w:firstLineChars="2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14:paraId="66729203">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填写指引：</w:t>
      </w:r>
    </w:p>
    <w:p w14:paraId="16FEB3AB">
      <w:pPr>
        <w:ind w:firstLine="420" w:firstLineChars="200"/>
        <w:outlineLvl w:val="3"/>
        <w:rPr>
          <w:rFonts w:ascii="黑体" w:hAnsi="黑体" w:eastAsia="黑体"/>
          <w:color w:val="FF0000"/>
          <w:szCs w:val="21"/>
          <w:highlight w:val="none"/>
        </w:rPr>
      </w:pPr>
      <w:r>
        <w:rPr>
          <w:rFonts w:hint="eastAsia" w:ascii="黑体" w:hAnsi="宋体" w:eastAsia="黑体"/>
          <w:bCs/>
          <w:color w:val="FF0000"/>
          <w:kern w:val="0"/>
          <w:szCs w:val="21"/>
          <w:highlight w:val="none"/>
          <w:lang w:val="en-US" w:eastAsia="zh-CN"/>
        </w:rPr>
        <w:t>1.</w:t>
      </w:r>
      <w:r>
        <w:rPr>
          <w:rFonts w:hint="eastAsia" w:ascii="黑体" w:hAnsi="宋体" w:eastAsia="黑体"/>
          <w:bCs/>
          <w:color w:val="FF0000"/>
          <w:kern w:val="0"/>
          <w:szCs w:val="21"/>
          <w:highlight w:val="none"/>
        </w:rPr>
        <w:t>该部分内容由投标人根据自身实际情况填写，不符合要求的投标人可以不填写或直接删除相应的声明函。</w:t>
      </w:r>
      <w:r>
        <w:rPr>
          <w:rFonts w:hint="eastAsia" w:ascii="黑体" w:hAnsi="黑体" w:eastAsia="黑体"/>
          <w:color w:val="FF0000"/>
          <w:szCs w:val="21"/>
          <w:highlight w:val="none"/>
        </w:rPr>
        <w:t>投标人提供的声明函不属实的，属于提供虚假资料谋取中标，依照《中华人民共和国政府采购法》等国家有关规定追究相应责任。</w:t>
      </w:r>
    </w:p>
    <w:p w14:paraId="73665B61">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2</w:t>
      </w:r>
      <w:r>
        <w:rPr>
          <w:rFonts w:hint="eastAsia" w:ascii="黑体" w:hAnsi="黑体" w:eastAsia="黑体"/>
          <w:color w:val="FF0000"/>
          <w:szCs w:val="21"/>
          <w:highlight w:val="none"/>
          <w:lang w:val="en-US" w:eastAsia="zh-CN"/>
        </w:rPr>
        <w:t>.</w:t>
      </w:r>
      <w:r>
        <w:rPr>
          <w:rFonts w:hint="eastAsia" w:ascii="黑体" w:hAnsi="黑体" w:eastAsia="黑体"/>
          <w:color w:val="FF0000"/>
          <w:szCs w:val="21"/>
          <w:highlight w:val="none"/>
        </w:rPr>
        <w:t>该部分内容填写需要参考的相关文件：</w:t>
      </w:r>
    </w:p>
    <w:p w14:paraId="21FEE5B8">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14:paraId="5354AB51">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w:t>
      </w:r>
      <w:bookmarkStart w:id="36" w:name="_Hlk71925120"/>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w:t>
      </w:r>
      <w:bookmarkEnd w:id="36"/>
      <w:r>
        <w:rPr>
          <w:rFonts w:hint="eastAsia" w:ascii="黑体" w:hAnsi="黑体" w:eastAsia="黑体"/>
          <w:color w:val="FF0000"/>
          <w:szCs w:val="21"/>
          <w:highlight w:val="none"/>
        </w:rPr>
        <w:t>，以下简称3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p>
    <w:p w14:paraId="070C2B73">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(3)《统计上大中小微型企业划分办法(2017)》（国统字〔2017〕213 号）</w:t>
      </w:r>
    </w:p>
    <w:p w14:paraId="1657B18D">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(4)《关于促进残疾人就业政府采购政策的通知》（财库〔2017〕141号）</w:t>
      </w:r>
    </w:p>
    <w:p w14:paraId="4CE8C9CA">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14:paraId="3C25B646">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3</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请依照提供的格式和内容填写声明函，不要随意变更格式；声明函不需要盖章或签字；</w:t>
      </w:r>
      <w:r>
        <w:rPr>
          <w:rFonts w:hint="eastAsia" w:ascii="黑体" w:hAnsi="黑体" w:eastAsia="黑体"/>
          <w:color w:val="FF0000"/>
          <w:szCs w:val="21"/>
          <w:highlight w:val="none"/>
        </w:rPr>
        <w:t>满足多项优惠政策的投标人，不重复享受多项价格扣除政策。</w:t>
      </w:r>
    </w:p>
    <w:p w14:paraId="5FD4697C">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4</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声明函具体填写要求：</w:t>
      </w:r>
    </w:p>
    <w:p w14:paraId="13321EAA">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14:paraId="3869DEED">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第一处，在“单位名称”下划线处如实填写采购人名称（深圳公共资源交易中心不是本项目的采购人，而是组织实施机构）；</w:t>
      </w:r>
    </w:p>
    <w:p w14:paraId="1DF8A10C">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第二处，在“项目名称”下划线处如实填写采购项目名称；</w:t>
      </w:r>
      <w:r>
        <w:rPr>
          <w:rFonts w:hint="eastAsia" w:ascii="黑体" w:hAnsi="宋体" w:eastAsia="黑体"/>
          <w:bCs/>
          <w:color w:val="FF0000"/>
          <w:kern w:val="0"/>
          <w:szCs w:val="21"/>
          <w:highlight w:val="none"/>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highlight w:val="none"/>
        </w:rPr>
        <w:t>；</w:t>
      </w:r>
    </w:p>
    <w:p w14:paraId="6B54CE89">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14:paraId="7A84B005">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第四处，在“招标文件中明确的所属行业”下划线处填写采购标的对应的中小企业划分标准所属行业（所属行业以招标文件第一册第三章用户需求书“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highlight w:val="none"/>
          <w:lang w:val="en-US" w:eastAsia="zh-CN"/>
        </w:rPr>
        <w:t>服务需求</w:t>
      </w:r>
      <w:r>
        <w:rPr>
          <w:rFonts w:hint="eastAsia" w:ascii="黑体" w:hAnsi="宋体" w:eastAsia="黑体"/>
          <w:bCs/>
          <w:color w:val="FF0000"/>
          <w:kern w:val="0"/>
          <w:szCs w:val="21"/>
          <w:highlight w:val="none"/>
        </w:rPr>
        <w:t>明细”的“</w:t>
      </w:r>
      <w:r>
        <w:rPr>
          <w:rFonts w:hint="eastAsia" w:ascii="黑体" w:hAnsi="宋体" w:eastAsia="黑体"/>
          <w:bCs/>
          <w:color w:val="FF0000"/>
          <w:kern w:val="0"/>
          <w:szCs w:val="21"/>
          <w:highlight w:val="none"/>
          <w:lang w:val="en-US" w:eastAsia="zh-CN"/>
        </w:rPr>
        <w:t>标的所属行业</w:t>
      </w:r>
      <w:r>
        <w:rPr>
          <w:rFonts w:hint="eastAsia" w:ascii="黑体" w:hAnsi="宋体" w:eastAsia="黑体"/>
          <w:bCs/>
          <w:color w:val="FF0000"/>
          <w:kern w:val="0"/>
          <w:szCs w:val="21"/>
          <w:highlight w:val="none"/>
        </w:rPr>
        <w:t>”一栏为准）</w:t>
      </w:r>
      <w:r>
        <w:rPr>
          <w:rFonts w:hint="eastAsia" w:ascii="黑体" w:hAnsi="宋体" w:eastAsia="黑体"/>
          <w:bCs/>
          <w:color w:val="FF0000"/>
          <w:kern w:val="0"/>
          <w:szCs w:val="21"/>
          <w:highlight w:val="none"/>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03255235">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rPr>
        <w:t>第五处，在“企业名称”下划线处如实填写</w:t>
      </w:r>
      <w:r>
        <w:rPr>
          <w:rFonts w:hint="eastAsia" w:ascii="黑体" w:hAnsi="宋体" w:eastAsia="黑体"/>
          <w:b/>
          <w:bCs w:val="0"/>
          <w:color w:val="FF0000"/>
          <w:kern w:val="0"/>
          <w:szCs w:val="21"/>
          <w:highlight w:val="none"/>
          <w:lang w:eastAsia="zh-CN"/>
        </w:rPr>
        <w:t>服务承接商</w:t>
      </w:r>
      <w:r>
        <w:rPr>
          <w:rFonts w:hint="eastAsia" w:ascii="黑体" w:hAnsi="宋体" w:eastAsia="黑体"/>
          <w:b/>
          <w:bCs w:val="0"/>
          <w:color w:val="FF0000"/>
          <w:kern w:val="0"/>
          <w:szCs w:val="21"/>
          <w:highlight w:val="none"/>
        </w:rPr>
        <w:t>名称</w:t>
      </w:r>
      <w:r>
        <w:rPr>
          <w:rFonts w:hint="eastAsia" w:ascii="黑体" w:hAnsi="宋体" w:eastAsia="黑体"/>
          <w:b/>
          <w:bCs w:val="0"/>
          <w:color w:val="FF0000"/>
          <w:kern w:val="0"/>
          <w:szCs w:val="21"/>
          <w:highlight w:val="none"/>
          <w:lang w:eastAsia="zh-CN"/>
        </w:rPr>
        <w:t>。</w:t>
      </w:r>
      <w:r>
        <w:rPr>
          <w:rFonts w:hint="eastAsia" w:ascii="黑体" w:hAnsi="宋体" w:eastAsia="黑体"/>
          <w:bCs/>
          <w:color w:val="FF0000"/>
          <w:kern w:val="0"/>
          <w:szCs w:val="21"/>
          <w:highlight w:val="none"/>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3E1833F8">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cs="Times New Roman"/>
          <w:bCs/>
          <w:color w:val="FF0000"/>
          <w:kern w:val="0"/>
          <w:sz w:val="21"/>
          <w:szCs w:val="21"/>
          <w:highlight w:val="none"/>
          <w:lang w:val="en-US" w:eastAsia="zh-CN" w:bidi="ar-SA"/>
        </w:rPr>
        <w:t>第六、</w:t>
      </w:r>
      <w:r>
        <w:rPr>
          <w:rFonts w:hint="eastAsia" w:ascii="黑体" w:hAnsi="宋体" w:eastAsia="黑体"/>
          <w:bCs/>
          <w:color w:val="FF0000"/>
          <w:kern w:val="0"/>
          <w:szCs w:val="21"/>
          <w:highlight w:val="none"/>
          <w:lang w:val="en-US" w:eastAsia="zh-CN"/>
        </w:rPr>
        <w:t>七、八处，</w:t>
      </w:r>
      <w:r>
        <w:rPr>
          <w:rFonts w:hint="eastAsia" w:ascii="黑体" w:hAnsi="宋体" w:eastAsia="黑体"/>
          <w:bCs/>
          <w:color w:val="FF0000"/>
          <w:kern w:val="0"/>
          <w:szCs w:val="21"/>
          <w:highlight w:val="none"/>
        </w:rPr>
        <w:t>在“从业人员”、“营业收入”、“资产总额”下划线处如实填写从业人员、营业收入、资产总额</w:t>
      </w:r>
      <w:r>
        <w:rPr>
          <w:rFonts w:hint="eastAsia" w:ascii="黑体" w:hAnsi="宋体" w:eastAsia="黑体"/>
          <w:bCs/>
          <w:color w:val="FF0000"/>
          <w:kern w:val="0"/>
          <w:szCs w:val="21"/>
          <w:highlight w:val="none"/>
          <w:lang w:eastAsia="zh-CN"/>
        </w:rPr>
        <w:t>。从业人员、资产总额指标以上年度末数据为依据，营业收入指标以上年度累计数据为依据。无上年度数据的新成立企业可不填报。</w:t>
      </w:r>
    </w:p>
    <w:p w14:paraId="7C5163AF">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lang w:val="en-US" w:eastAsia="zh-CN"/>
        </w:rPr>
        <w:t>第九处，</w:t>
      </w:r>
      <w:r>
        <w:rPr>
          <w:rFonts w:hint="eastAsia" w:ascii="黑体" w:hAnsi="宋体" w:eastAsia="黑体"/>
          <w:bCs/>
          <w:color w:val="FF0000"/>
          <w:kern w:val="0"/>
          <w:szCs w:val="21"/>
          <w:highlight w:val="none"/>
        </w:rPr>
        <w:t>在“中型企业、小型企业、微型企业”下划线处应依据企业上年度从业人员、营业收入、资产总额等指标</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按照《中小企业划型标准规定》（工信部联企业〔2011〕300号）、《金融业企业划型标准规定》（银发〔2015〕309号）</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判断《中小企业声明函》载明的</w:t>
      </w:r>
      <w:r>
        <w:rPr>
          <w:rFonts w:hint="eastAsia" w:ascii="黑体" w:hAnsi="宋体" w:eastAsia="黑体"/>
          <w:bCs/>
          <w:color w:val="FF0000"/>
          <w:kern w:val="0"/>
          <w:szCs w:val="21"/>
          <w:highlight w:val="none"/>
          <w:lang w:eastAsia="zh-CN"/>
        </w:rPr>
        <w:t>服务承接商</w:t>
      </w:r>
      <w:r>
        <w:rPr>
          <w:rFonts w:hint="eastAsia" w:ascii="黑体" w:hAnsi="宋体" w:eastAsia="黑体"/>
          <w:bCs/>
          <w:color w:val="FF0000"/>
          <w:kern w:val="0"/>
          <w:szCs w:val="21"/>
          <w:highlight w:val="none"/>
        </w:rPr>
        <w:t>是否属于采购文件所属行业的中型企业/小型企业/微型企业。</w:t>
      </w:r>
    </w:p>
    <w:p w14:paraId="309DA020">
      <w:pPr>
        <w:pStyle w:val="50"/>
        <w:ind w:firstLine="420" w:firstLineChars="200"/>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2</w:t>
      </w:r>
      <w:r>
        <w:rPr>
          <w:rFonts w:hint="eastAsia" w:ascii="黑体" w:hAnsi="宋体" w:eastAsia="黑体"/>
          <w:bCs/>
          <w:color w:val="FF0000"/>
          <w:kern w:val="0"/>
          <w:szCs w:val="21"/>
          <w:highlight w:val="none"/>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B723165">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3</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事业单位、社会组织等非企业主体不享受中小企业扶持政策</w:t>
      </w:r>
      <w:r>
        <w:rPr>
          <w:rFonts w:hint="eastAsia" w:ascii="黑体" w:hAnsi="宋体" w:eastAsia="黑体"/>
          <w:bCs/>
          <w:color w:val="FF0000"/>
          <w:kern w:val="0"/>
          <w:szCs w:val="21"/>
          <w:highlight w:val="none"/>
          <w:lang w:eastAsia="zh-CN"/>
        </w:rPr>
        <w:t>。</w:t>
      </w:r>
    </w:p>
    <w:p w14:paraId="26514325">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4</w:t>
      </w:r>
      <w:r>
        <w:rPr>
          <w:rFonts w:hint="eastAsia" w:ascii="黑体" w:hAnsi="宋体" w:eastAsia="黑体"/>
          <w:bCs/>
          <w:color w:val="FF0000"/>
          <w:kern w:val="0"/>
          <w:szCs w:val="21"/>
          <w:highlight w:val="none"/>
        </w:rPr>
        <w:t>）声明是残疾人福利性单位须填写《残疾人福利性单位声明函》的相关内容，具体参照以上《中小企业声明函》填写要求执行。</w:t>
      </w:r>
    </w:p>
    <w:p w14:paraId="0C29AECD">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5</w:t>
      </w:r>
      <w:r>
        <w:rPr>
          <w:rFonts w:hint="eastAsia" w:ascii="黑体" w:hAnsi="宋体" w:eastAsia="黑体"/>
          <w:bCs/>
          <w:color w:val="FF0000"/>
          <w:kern w:val="0"/>
          <w:szCs w:val="21"/>
          <w:highlight w:val="none"/>
        </w:rPr>
        <w:t>）声明是监狱企业须填写《监狱企业声明函》的三项内容（填写位置的字体已加粗），具体参照以上《中小企业声明函》填写要求执行。</w:t>
      </w:r>
    </w:p>
    <w:p w14:paraId="39404A86">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FA82C85">
      <w:pPr>
        <w:ind w:firstLine="420" w:firstLineChars="200"/>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6.本项目属于服务类项目，相关服务的承接商应当为中小企业或残疾人福利性单位或监狱企业，如包含硬件设备、产品等货物采购的，不再对其中涉及的货物的制造商作出要求。</w:t>
      </w:r>
    </w:p>
    <w:p w14:paraId="44A473AC">
      <w:pPr>
        <w:ind w:firstLine="420" w:firstLineChars="200"/>
        <w:outlineLvl w:val="3"/>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1F3186CB">
      <w:pPr>
        <w:pStyle w:val="50"/>
        <w:rPr>
          <w:rFonts w:hint="default"/>
          <w:highlight w:val="none"/>
          <w:lang w:val="en-US" w:eastAsia="zh-CN"/>
        </w:rPr>
      </w:pPr>
    </w:p>
    <w:p w14:paraId="1E102D93">
      <w:pPr>
        <w:ind w:firstLine="420" w:firstLineChars="200"/>
        <w:rPr>
          <w:highlight w:val="none"/>
        </w:rPr>
      </w:pPr>
    </w:p>
    <w:p w14:paraId="67C32FD7">
      <w:pPr>
        <w:numPr>
          <w:ilvl w:val="0"/>
          <w:numId w:val="0"/>
        </w:numPr>
        <w:jc w:val="center"/>
        <w:outlineLvl w:val="3"/>
        <w:rPr>
          <w:b/>
          <w:sz w:val="24"/>
          <w:highlight w:val="none"/>
        </w:rPr>
      </w:pPr>
      <w:r>
        <w:rPr>
          <w:rFonts w:hint="eastAsia"/>
          <w:b/>
          <w:sz w:val="24"/>
          <w:highlight w:val="none"/>
          <w:lang w:val="en-US" w:eastAsia="zh-CN"/>
        </w:rPr>
        <w:t>1.</w:t>
      </w:r>
      <w:r>
        <w:rPr>
          <w:b/>
          <w:sz w:val="24"/>
          <w:highlight w:val="none"/>
        </w:rPr>
        <w:t>中小企业声明函（</w:t>
      </w:r>
      <w:r>
        <w:rPr>
          <w:rFonts w:hint="eastAsia"/>
          <w:b/>
          <w:sz w:val="24"/>
          <w:highlight w:val="none"/>
        </w:rPr>
        <w:t>服务</w:t>
      </w:r>
      <w:r>
        <w:rPr>
          <w:b/>
          <w:sz w:val="24"/>
          <w:highlight w:val="none"/>
        </w:rPr>
        <w:t>）</w:t>
      </w:r>
    </w:p>
    <w:p w14:paraId="0AEC84A2">
      <w:pPr>
        <w:pStyle w:val="2"/>
        <w:numPr>
          <w:ilvl w:val="0"/>
          <w:numId w:val="0"/>
        </w:numPr>
        <w:rPr>
          <w:highlight w:val="none"/>
        </w:rPr>
      </w:pPr>
    </w:p>
    <w:p w14:paraId="0AEF4E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采购活动，服务全部由符合政策要求的中小企业承接。相关企业（含联合体中的中小企业、签订分包意向协议的中小企业）的具体情况如下：</w:t>
      </w:r>
    </w:p>
    <w:p w14:paraId="165614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14:paraId="675A68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14:paraId="4D1B99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w:t>
      </w:r>
    </w:p>
    <w:p w14:paraId="218B4F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以上企业，不属于大企业的分支机构，不存在控股股东为大企业的情形，也不存在与大企业的负责人为同一人的情形。</w:t>
      </w:r>
    </w:p>
    <w:p w14:paraId="1ACB19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本企业对上述声明内容的真实性负责。如有虚假，将依法承担相应责任。</w:t>
      </w:r>
    </w:p>
    <w:p w14:paraId="269357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bookmarkStart w:id="37" w:name="_Hlk73562275"/>
      <w:r>
        <w:rPr>
          <w:rFonts w:hint="eastAsia" w:asciiTheme="minorEastAsia" w:hAnsiTheme="minorEastAsia" w:eastAsiaTheme="minorEastAsia" w:cstheme="minorEastAsia"/>
          <w:kern w:val="2"/>
          <w:sz w:val="21"/>
          <w:szCs w:val="21"/>
          <w:highlight w:val="none"/>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7"/>
    </w:p>
    <w:p w14:paraId="7502B06B">
      <w:pPr>
        <w:ind w:firstLine="420" w:firstLineChars="200"/>
        <w:rPr>
          <w:highlight w:val="none"/>
        </w:rPr>
      </w:pPr>
    </w:p>
    <w:p w14:paraId="4327E4B7">
      <w:pPr>
        <w:jc w:val="center"/>
        <w:outlineLvl w:val="3"/>
        <w:rPr>
          <w:b/>
          <w:sz w:val="24"/>
          <w:highlight w:val="none"/>
        </w:rPr>
      </w:pPr>
      <w:r>
        <w:rPr>
          <w:rFonts w:hint="eastAsia"/>
          <w:b/>
          <w:sz w:val="24"/>
          <w:highlight w:val="none"/>
          <w:lang w:val="en-US" w:eastAsia="zh-CN"/>
        </w:rPr>
        <w:t>2.</w:t>
      </w:r>
      <w:r>
        <w:rPr>
          <w:rFonts w:hint="eastAsia"/>
          <w:b/>
          <w:sz w:val="24"/>
          <w:highlight w:val="none"/>
        </w:rPr>
        <w:t>残疾人福利性单位声明函</w:t>
      </w:r>
      <w:r>
        <w:rPr>
          <w:rFonts w:hint="eastAsia"/>
          <w:b/>
          <w:sz w:val="24"/>
          <w:highlight w:val="none"/>
          <w:lang w:eastAsia="zh-CN"/>
        </w:rPr>
        <w:t>（</w:t>
      </w:r>
      <w:r>
        <w:rPr>
          <w:rFonts w:hint="eastAsia"/>
          <w:b/>
          <w:sz w:val="24"/>
          <w:highlight w:val="none"/>
          <w:lang w:val="en-US" w:eastAsia="zh-CN"/>
        </w:rPr>
        <w:t>服务</w:t>
      </w:r>
      <w:r>
        <w:rPr>
          <w:rFonts w:hint="eastAsia"/>
          <w:b/>
          <w:sz w:val="24"/>
          <w:highlight w:val="none"/>
        </w:rPr>
        <w:t>类）</w:t>
      </w:r>
    </w:p>
    <w:p w14:paraId="03B25F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单位的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项目采购活动由本单位提供服务。</w:t>
      </w:r>
    </w:p>
    <w:p w14:paraId="743BAD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本单位对上述声明的真实性负责。如有虚假，将依法承担相应责任。</w:t>
      </w:r>
    </w:p>
    <w:p w14:paraId="16FA1F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14:paraId="63430293">
      <w:pPr>
        <w:ind w:firstLine="420" w:firstLineChars="200"/>
        <w:rPr>
          <w:rFonts w:ascii="宋体" w:hAnsi="宋体"/>
          <w:szCs w:val="21"/>
          <w:highlight w:val="none"/>
        </w:rPr>
      </w:pPr>
    </w:p>
    <w:p w14:paraId="3C77099A">
      <w:pPr>
        <w:ind w:firstLine="420" w:firstLineChars="200"/>
        <w:rPr>
          <w:rFonts w:ascii="宋体" w:hAnsi="宋体"/>
          <w:szCs w:val="21"/>
          <w:highlight w:val="none"/>
        </w:rPr>
      </w:pPr>
    </w:p>
    <w:p w14:paraId="4CA63FC5">
      <w:pPr>
        <w:ind w:firstLine="420" w:firstLineChars="200"/>
        <w:rPr>
          <w:rFonts w:ascii="宋体" w:hAnsi="宋体"/>
          <w:szCs w:val="21"/>
          <w:highlight w:val="none"/>
        </w:rPr>
      </w:pPr>
    </w:p>
    <w:p w14:paraId="78DA62D3">
      <w:pPr>
        <w:jc w:val="center"/>
        <w:outlineLvl w:val="3"/>
        <w:rPr>
          <w:b/>
          <w:sz w:val="24"/>
          <w:highlight w:val="none"/>
        </w:rPr>
      </w:pPr>
      <w:r>
        <w:rPr>
          <w:rFonts w:hint="eastAsia"/>
          <w:b/>
          <w:sz w:val="24"/>
          <w:highlight w:val="none"/>
          <w:lang w:val="en-US" w:eastAsia="zh-CN"/>
        </w:rPr>
        <w:t>3.</w:t>
      </w:r>
      <w:r>
        <w:rPr>
          <w:rFonts w:hint="eastAsia"/>
          <w:b/>
          <w:sz w:val="24"/>
          <w:highlight w:val="none"/>
        </w:rPr>
        <w:t>监狱企业声明函【服务类，监狱企业如需享受优惠政策，还须另行提供省级以上监狱管理局、戒毒管理局（含新疆生产建设兵团）出具的监狱企业证明文件】</w:t>
      </w:r>
    </w:p>
    <w:p w14:paraId="0D62A62A">
      <w:pPr>
        <w:ind w:firstLine="420" w:firstLineChars="200"/>
        <w:rPr>
          <w:rFonts w:ascii="宋体" w:hAnsi="宋体"/>
          <w:szCs w:val="21"/>
          <w:highlight w:val="none"/>
        </w:rPr>
      </w:pPr>
      <w:r>
        <w:rPr>
          <w:rFonts w:hint="eastAsia" w:ascii="宋体" w:hAnsi="宋体"/>
          <w:szCs w:val="21"/>
          <w:highlight w:val="none"/>
        </w:rPr>
        <w:t>本投标人郑重声明，根据《财政部司法部关于政府采购支持监狱企业发展有关问题的通知》（财库〔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号）的规定，本投标人</w:t>
      </w:r>
      <w:r>
        <w:rPr>
          <w:rFonts w:ascii="宋体" w:hAnsi="宋体" w:cstheme="minorBidi"/>
          <w:szCs w:val="21"/>
          <w:highlight w:val="none"/>
        </w:rPr>
        <w:t>参加</w:t>
      </w:r>
      <w:r>
        <w:rPr>
          <w:rFonts w:ascii="宋体" w:hAnsi="宋体"/>
          <w:b/>
          <w:bCs/>
          <w:szCs w:val="21"/>
          <w:highlight w:val="none"/>
          <w:u w:val="single"/>
        </w:rPr>
        <w:t>（</w:t>
      </w:r>
      <w:r>
        <w:rPr>
          <w:rFonts w:hint="eastAsia" w:ascii="宋体" w:hAnsi="宋体"/>
          <w:b/>
          <w:bCs/>
          <w:szCs w:val="21"/>
          <w:highlight w:val="none"/>
          <w:u w:val="single"/>
        </w:rPr>
        <w:t>采购人</w:t>
      </w:r>
      <w:r>
        <w:rPr>
          <w:rFonts w:ascii="宋体" w:hAnsi="宋体"/>
          <w:b/>
          <w:bCs/>
          <w:szCs w:val="21"/>
          <w:highlight w:val="none"/>
          <w:u w:val="single"/>
        </w:rPr>
        <w:t>名称）</w:t>
      </w:r>
      <w:r>
        <w:rPr>
          <w:rFonts w:ascii="宋体" w:hAnsi="宋体"/>
          <w:szCs w:val="21"/>
          <w:highlight w:val="none"/>
        </w:rPr>
        <w:t>的</w:t>
      </w:r>
      <w:r>
        <w:rPr>
          <w:rFonts w:ascii="宋体" w:hAnsi="宋体"/>
          <w:b/>
          <w:bCs/>
          <w:szCs w:val="21"/>
          <w:highlight w:val="none"/>
          <w:u w:val="single"/>
        </w:rPr>
        <w:t>（项目名称）</w:t>
      </w:r>
      <w:r>
        <w:rPr>
          <w:rFonts w:ascii="宋体" w:hAnsi="宋体"/>
          <w:szCs w:val="21"/>
          <w:highlight w:val="none"/>
        </w:rPr>
        <w:t>采购活动，</w:t>
      </w:r>
      <w:r>
        <w:rPr>
          <w:rFonts w:hint="eastAsia" w:ascii="宋体" w:hAnsi="宋体"/>
          <w:szCs w:val="21"/>
          <w:highlight w:val="none"/>
        </w:rPr>
        <w:t>服务</w:t>
      </w:r>
      <w:r>
        <w:rPr>
          <w:rFonts w:ascii="宋体" w:hAnsi="宋体"/>
          <w:szCs w:val="21"/>
          <w:highlight w:val="none"/>
        </w:rPr>
        <w:t>全部由符合政策要求的</w:t>
      </w:r>
      <w:r>
        <w:rPr>
          <w:rFonts w:hint="eastAsia" w:ascii="宋体" w:hAnsi="宋体"/>
          <w:szCs w:val="21"/>
          <w:highlight w:val="none"/>
        </w:rPr>
        <w:t>监狱企业承接</w:t>
      </w:r>
      <w:r>
        <w:rPr>
          <w:rFonts w:ascii="宋体" w:hAnsi="宋体"/>
          <w:szCs w:val="21"/>
          <w:highlight w:val="none"/>
        </w:rPr>
        <w:t>。相关</w:t>
      </w:r>
      <w:r>
        <w:rPr>
          <w:rFonts w:hint="eastAsia" w:ascii="宋体" w:hAnsi="宋体"/>
          <w:szCs w:val="21"/>
          <w:highlight w:val="none"/>
        </w:rPr>
        <w:t>监狱企业</w:t>
      </w:r>
      <w:r>
        <w:rPr>
          <w:rFonts w:ascii="宋体" w:hAnsi="宋体"/>
          <w:szCs w:val="21"/>
          <w:highlight w:val="none"/>
        </w:rPr>
        <w:t>的具体情况如下：</w:t>
      </w:r>
    </w:p>
    <w:p w14:paraId="3A4F012D">
      <w:pPr>
        <w:ind w:firstLine="420" w:firstLineChars="200"/>
        <w:rPr>
          <w:rFonts w:ascii="宋体" w:hAnsi="宋体"/>
          <w:szCs w:val="21"/>
          <w:highlight w:val="none"/>
        </w:rPr>
      </w:pPr>
      <w:r>
        <w:rPr>
          <w:rFonts w:ascii="宋体" w:hAnsi="宋体"/>
          <w:szCs w:val="21"/>
          <w:highlight w:val="none"/>
        </w:rPr>
        <w:t>1.</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b/>
          <w:bCs/>
          <w:szCs w:val="21"/>
          <w:highlight w:val="none"/>
          <w:u w:val="single"/>
        </w:rPr>
        <w:t>）</w:t>
      </w:r>
      <w:r>
        <w:rPr>
          <w:rFonts w:ascii="宋体" w:hAnsi="宋体"/>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ascii="宋体" w:hAnsi="宋体"/>
          <w:szCs w:val="21"/>
          <w:highlight w:val="none"/>
        </w:rPr>
        <w:t>；</w:t>
      </w:r>
    </w:p>
    <w:p w14:paraId="5F3A962E">
      <w:pPr>
        <w:ind w:firstLine="420" w:firstLineChars="200"/>
        <w:rPr>
          <w:rFonts w:ascii="宋体" w:hAnsi="宋体"/>
          <w:szCs w:val="21"/>
          <w:highlight w:val="none"/>
        </w:rPr>
      </w:pPr>
      <w:r>
        <w:rPr>
          <w:rFonts w:ascii="宋体" w:hAnsi="宋体"/>
          <w:szCs w:val="21"/>
          <w:highlight w:val="none"/>
        </w:rPr>
        <w:t>2.</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i/>
          <w:iCs/>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hint="eastAsia" w:ascii="宋体" w:hAnsi="宋体"/>
          <w:szCs w:val="21"/>
          <w:highlight w:val="none"/>
        </w:rPr>
        <w:t>。</w:t>
      </w:r>
    </w:p>
    <w:p w14:paraId="34DD3B0F">
      <w:pPr>
        <w:ind w:firstLine="420" w:firstLineChars="200"/>
        <w:outlineLvl w:val="3"/>
        <w:rPr>
          <w:rFonts w:ascii="宋体" w:hAnsi="宋体"/>
          <w:szCs w:val="21"/>
          <w:highlight w:val="none"/>
        </w:rPr>
      </w:pPr>
      <w:r>
        <w:rPr>
          <w:rFonts w:ascii="宋体" w:hAnsi="宋体"/>
          <w:szCs w:val="21"/>
          <w:highlight w:val="none"/>
        </w:rPr>
        <w:t xml:space="preserve">…… </w:t>
      </w:r>
    </w:p>
    <w:p w14:paraId="27A874EE">
      <w:pPr>
        <w:ind w:firstLine="420" w:firstLineChars="200"/>
        <w:rPr>
          <w:rFonts w:ascii="宋体" w:hAnsi="宋体"/>
          <w:szCs w:val="21"/>
          <w:highlight w:val="none"/>
        </w:rPr>
      </w:pPr>
      <w:r>
        <w:rPr>
          <w:rFonts w:ascii="宋体" w:hAnsi="宋体" w:cstheme="minorBidi"/>
          <w:szCs w:val="21"/>
          <w:highlight w:val="none"/>
        </w:rPr>
        <w:t>本</w:t>
      </w:r>
      <w:r>
        <w:rPr>
          <w:rFonts w:hint="eastAsia" w:ascii="宋体" w:hAnsi="宋体" w:cstheme="minorBidi"/>
          <w:szCs w:val="21"/>
          <w:highlight w:val="none"/>
        </w:rPr>
        <w:t>投标人</w:t>
      </w:r>
      <w:r>
        <w:rPr>
          <w:rFonts w:ascii="宋体" w:hAnsi="宋体"/>
          <w:szCs w:val="21"/>
          <w:highlight w:val="none"/>
        </w:rPr>
        <w:t>对上述声明内容的真实性负责。如有虚假，将依法承担相应责任。</w:t>
      </w:r>
    </w:p>
    <w:p w14:paraId="40730871">
      <w:pPr>
        <w:ind w:firstLine="420" w:firstLineChars="200"/>
        <w:rPr>
          <w:rFonts w:ascii="宋体" w:hAnsi="宋体"/>
          <w:szCs w:val="21"/>
          <w:highlight w:val="none"/>
        </w:rPr>
      </w:pPr>
      <w:r>
        <w:rPr>
          <w:rFonts w:hint="eastAsia" w:ascii="宋体" w:hAnsi="宋体"/>
          <w:szCs w:val="21"/>
          <w:highlight w:val="none"/>
        </w:rPr>
        <w:t>附：省级以上监狱管理局、戒毒管理局（含新疆生产建设兵团）出具的监狱企业证明文件。</w:t>
      </w:r>
    </w:p>
    <w:p w14:paraId="610D02FE">
      <w:pPr>
        <w:ind w:left="723" w:hanging="723" w:hangingChars="300"/>
        <w:rPr>
          <w:b/>
          <w:sz w:val="24"/>
          <w:highlight w:val="none"/>
        </w:rPr>
      </w:pPr>
    </w:p>
    <w:p w14:paraId="1373CA9C">
      <w:pPr>
        <w:ind w:left="723" w:hanging="723" w:hangingChars="300"/>
        <w:rPr>
          <w:b/>
          <w:sz w:val="24"/>
          <w:highlight w:val="none"/>
        </w:rPr>
      </w:pPr>
    </w:p>
    <w:p w14:paraId="7D22331D">
      <w:pPr>
        <w:rPr>
          <w:rFonts w:hint="eastAsia" w:ascii="黑体" w:eastAsia="黑体"/>
          <w:b w:val="0"/>
          <w:sz w:val="24"/>
          <w:szCs w:val="24"/>
          <w:highlight w:val="none"/>
        </w:rPr>
      </w:pPr>
      <w:r>
        <w:rPr>
          <w:rFonts w:hint="eastAsia" w:ascii="黑体" w:eastAsia="黑体"/>
          <w:b w:val="0"/>
          <w:sz w:val="24"/>
          <w:szCs w:val="24"/>
          <w:highlight w:val="none"/>
        </w:rPr>
        <w:br w:type="page"/>
      </w:r>
    </w:p>
    <w:p w14:paraId="33D53A5A">
      <w:pPr>
        <w:pStyle w:val="5"/>
        <w:jc w:val="center"/>
        <w:rPr>
          <w:rFonts w:ascii="黑体" w:eastAsia="黑体"/>
          <w:b w:val="0"/>
          <w:sz w:val="24"/>
          <w:szCs w:val="24"/>
          <w:highlight w:val="none"/>
        </w:rPr>
      </w:pPr>
      <w:r>
        <w:rPr>
          <w:rFonts w:hint="eastAsia" w:ascii="黑体" w:eastAsia="黑体"/>
          <w:b w:val="0"/>
          <w:sz w:val="24"/>
          <w:szCs w:val="24"/>
          <w:highlight w:val="none"/>
        </w:rPr>
        <w:t>四、项目详细报价</w:t>
      </w:r>
    </w:p>
    <w:p w14:paraId="54A2A9A0">
      <w:pPr>
        <w:tabs>
          <w:tab w:val="left" w:pos="720"/>
        </w:tabs>
        <w:ind w:firstLine="3132" w:firstLineChars="1300"/>
        <w:rPr>
          <w:b/>
          <w:sz w:val="24"/>
          <w:highlight w:val="none"/>
        </w:rPr>
      </w:pPr>
      <w:r>
        <w:rPr>
          <w:rFonts w:hint="eastAsia"/>
          <w:b/>
          <w:sz w:val="24"/>
          <w:highlight w:val="none"/>
        </w:rPr>
        <w:t>（一）分项报价表</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1138"/>
        <w:gridCol w:w="2800"/>
        <w:gridCol w:w="2206"/>
        <w:gridCol w:w="2222"/>
      </w:tblGrid>
      <w:tr w14:paraId="35014A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575" w:hRule="atLeast"/>
          <w:jc w:val="center"/>
        </w:trPr>
        <w:tc>
          <w:tcPr>
            <w:tcW w:w="680" w:type="pct"/>
            <w:vAlign w:val="center"/>
          </w:tcPr>
          <w:p w14:paraId="1553174D">
            <w:pPr>
              <w:tabs>
                <w:tab w:val="left" w:pos="8364"/>
              </w:tabs>
              <w:snapToGrid w:val="0"/>
              <w:ind w:right="-58"/>
              <w:jc w:val="center"/>
              <w:rPr>
                <w:rFonts w:ascii="宋体" w:hAnsi="宋体" w:cs="宋体"/>
                <w:b w:val="0"/>
                <w:bCs/>
                <w:szCs w:val="21"/>
                <w:highlight w:val="none"/>
              </w:rPr>
            </w:pPr>
            <w:r>
              <w:rPr>
                <w:rFonts w:hint="eastAsia" w:ascii="宋体" w:hAnsi="宋体" w:cs="宋体"/>
                <w:b w:val="0"/>
                <w:bCs/>
                <w:szCs w:val="21"/>
                <w:highlight w:val="none"/>
              </w:rPr>
              <w:t>序号</w:t>
            </w:r>
          </w:p>
        </w:tc>
        <w:tc>
          <w:tcPr>
            <w:tcW w:w="1673" w:type="pct"/>
            <w:vAlign w:val="center"/>
          </w:tcPr>
          <w:p w14:paraId="48A85826">
            <w:pPr>
              <w:tabs>
                <w:tab w:val="left" w:pos="8364"/>
              </w:tabs>
              <w:snapToGrid w:val="0"/>
              <w:ind w:right="-58"/>
              <w:jc w:val="center"/>
              <w:rPr>
                <w:rFonts w:hint="default" w:ascii="宋体" w:hAnsi="宋体" w:eastAsia="宋体" w:cs="宋体"/>
                <w:b w:val="0"/>
                <w:bCs/>
                <w:szCs w:val="21"/>
                <w:highlight w:val="none"/>
                <w:lang w:val="en-US" w:eastAsia="zh-CN"/>
              </w:rPr>
            </w:pPr>
            <w:r>
              <w:rPr>
                <w:rFonts w:hint="eastAsia" w:ascii="宋体" w:hAnsi="宋体" w:cs="宋体"/>
                <w:b w:val="0"/>
                <w:bCs/>
                <w:szCs w:val="21"/>
                <w:highlight w:val="none"/>
                <w:lang w:val="en-US" w:eastAsia="zh-CN"/>
              </w:rPr>
              <w:t>报价项目</w:t>
            </w:r>
          </w:p>
        </w:tc>
        <w:tc>
          <w:tcPr>
            <w:tcW w:w="1318" w:type="pct"/>
            <w:vAlign w:val="center"/>
          </w:tcPr>
          <w:p w14:paraId="55D1F32F">
            <w:pPr>
              <w:keepNext w:val="0"/>
              <w:keepLines w:val="0"/>
              <w:pageBreakBefore w:val="0"/>
              <w:tabs>
                <w:tab w:val="left" w:pos="8364"/>
              </w:tabs>
              <w:kinsoku/>
              <w:wordWrap/>
              <w:overflowPunct/>
              <w:topLinePunct w:val="0"/>
              <w:autoSpaceDE/>
              <w:autoSpaceDN/>
              <w:bidi w:val="0"/>
              <w:adjustRightInd/>
              <w:snapToGrid w:val="0"/>
              <w:spacing w:after="0" w:line="240" w:lineRule="auto"/>
              <w:jc w:val="center"/>
              <w:textAlignment w:val="auto"/>
              <w:rPr>
                <w:rFonts w:hint="eastAsia" w:ascii="宋体" w:hAnsi="宋体" w:cs="宋体"/>
                <w:b w:val="0"/>
                <w:bCs/>
                <w:szCs w:val="21"/>
                <w:highlight w:val="none"/>
              </w:rPr>
            </w:pPr>
            <w:r>
              <w:rPr>
                <w:rFonts w:hint="eastAsia" w:ascii="宋体" w:hAnsi="宋体" w:cs="宋体"/>
                <w:b w:val="0"/>
                <w:bCs/>
                <w:color w:val="000000" w:themeColor="text1"/>
                <w:szCs w:val="21"/>
                <w:highlight w:val="none"/>
                <w14:textFill>
                  <w14:solidFill>
                    <w14:schemeClr w14:val="tx1"/>
                  </w14:solidFill>
                </w14:textFill>
              </w:rPr>
              <w:t>投标</w:t>
            </w:r>
            <w:r>
              <w:rPr>
                <w:rFonts w:hint="eastAsia" w:ascii="宋体" w:hAnsi="宋体" w:cs="宋体"/>
                <w:b w:val="0"/>
                <w:bCs/>
                <w:color w:val="000000" w:themeColor="text1"/>
                <w:szCs w:val="21"/>
                <w:highlight w:val="none"/>
                <w:lang w:val="en-US" w:eastAsia="zh-CN"/>
                <w14:textFill>
                  <w14:solidFill>
                    <w14:schemeClr w14:val="tx1"/>
                  </w14:solidFill>
                </w14:textFill>
              </w:rPr>
              <w:t>单</w:t>
            </w:r>
            <w:r>
              <w:rPr>
                <w:rFonts w:hint="eastAsia" w:ascii="宋体" w:hAnsi="宋体" w:cs="宋体"/>
                <w:b w:val="0"/>
                <w:bCs/>
                <w:color w:val="000000" w:themeColor="text1"/>
                <w:szCs w:val="21"/>
                <w:highlight w:val="none"/>
                <w14:textFill>
                  <w14:solidFill>
                    <w14:schemeClr w14:val="tx1"/>
                  </w14:solidFill>
                </w14:textFill>
              </w:rPr>
              <w:t>价（单位：</w:t>
            </w:r>
            <w:r>
              <w:rPr>
                <w:rFonts w:hint="eastAsia" w:ascii="宋体" w:hAnsi="宋体" w:cs="宋体"/>
                <w:b w:val="0"/>
                <w:bCs/>
                <w:color w:val="000000" w:themeColor="text1"/>
                <w:szCs w:val="21"/>
                <w:highlight w:val="none"/>
                <w:lang w:val="en-US" w:eastAsia="zh-CN"/>
                <w14:textFill>
                  <w14:solidFill>
                    <w14:schemeClr w14:val="tx1"/>
                  </w14:solidFill>
                </w14:textFill>
              </w:rPr>
              <w:t>元/处</w:t>
            </w:r>
            <w:r>
              <w:rPr>
                <w:rFonts w:hint="eastAsia" w:ascii="宋体" w:hAnsi="宋体" w:cs="宋体"/>
                <w:b w:val="0"/>
                <w:bCs/>
                <w:color w:val="000000" w:themeColor="text1"/>
                <w:szCs w:val="21"/>
                <w:highlight w:val="none"/>
                <w14:textFill>
                  <w14:solidFill>
                    <w14:schemeClr w14:val="tx1"/>
                  </w14:solidFill>
                </w14:textFill>
              </w:rPr>
              <w:t>）</w:t>
            </w:r>
          </w:p>
        </w:tc>
        <w:tc>
          <w:tcPr>
            <w:tcW w:w="1327" w:type="pct"/>
            <w:vAlign w:val="center"/>
          </w:tcPr>
          <w:p w14:paraId="657F720A">
            <w:pPr>
              <w:keepNext w:val="0"/>
              <w:keepLines w:val="0"/>
              <w:pageBreakBefore w:val="0"/>
              <w:tabs>
                <w:tab w:val="left" w:pos="8364"/>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备注</w:t>
            </w:r>
          </w:p>
        </w:tc>
      </w:tr>
      <w:tr w14:paraId="2D21C6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7" w:hRule="atLeast"/>
          <w:jc w:val="center"/>
        </w:trPr>
        <w:tc>
          <w:tcPr>
            <w:tcW w:w="680" w:type="pct"/>
            <w:vAlign w:val="center"/>
          </w:tcPr>
          <w:p w14:paraId="375D93A2">
            <w:pPr>
              <w:tabs>
                <w:tab w:val="left" w:pos="8364"/>
              </w:tabs>
              <w:snapToGrid w:val="0"/>
              <w:ind w:right="-58"/>
              <w:jc w:val="center"/>
              <w:rPr>
                <w:rFonts w:ascii="宋体" w:hAnsi="宋体" w:cs="宋体"/>
                <w:b w:val="0"/>
                <w:bCs/>
                <w:szCs w:val="21"/>
                <w:highlight w:val="none"/>
              </w:rPr>
            </w:pPr>
            <w:r>
              <w:rPr>
                <w:rFonts w:hint="eastAsia" w:ascii="宋体" w:hAnsi="宋体" w:cs="宋体"/>
                <w:b w:val="0"/>
                <w:bCs/>
                <w:szCs w:val="21"/>
                <w:highlight w:val="none"/>
              </w:rPr>
              <w:t>1</w:t>
            </w:r>
          </w:p>
        </w:tc>
        <w:tc>
          <w:tcPr>
            <w:tcW w:w="2800" w:type="dxa"/>
            <w:vAlign w:val="center"/>
          </w:tcPr>
          <w:p w14:paraId="25AC9680">
            <w:pPr>
              <w:keepNext w:val="0"/>
              <w:keepLines w:val="0"/>
              <w:widowControl/>
              <w:suppressLineNumbers w:val="0"/>
              <w:jc w:val="left"/>
              <w:textAlignment w:val="center"/>
              <w:rPr>
                <w:rFonts w:ascii="宋体" w:hAnsi="宋体" w:cs="宋体"/>
                <w:b w:val="0"/>
                <w:bCs/>
                <w:szCs w:val="21"/>
                <w:highlight w:val="none"/>
              </w:rPr>
            </w:pPr>
            <w:r>
              <w:rPr>
                <w:rFonts w:hint="eastAsia" w:ascii="宋体" w:hAnsi="宋体" w:eastAsia="宋体" w:cs="宋体"/>
                <w:i w:val="0"/>
                <w:iCs w:val="0"/>
                <w:color w:val="000000"/>
                <w:kern w:val="0"/>
                <w:sz w:val="22"/>
                <w:szCs w:val="22"/>
                <w:highlight w:val="none"/>
                <w:u w:val="none"/>
                <w:lang w:val="en-US" w:eastAsia="zh-CN" w:bidi="ar"/>
              </w:rPr>
              <w:t>1000平方米及以下</w:t>
            </w:r>
          </w:p>
        </w:tc>
        <w:tc>
          <w:tcPr>
            <w:tcW w:w="1318" w:type="pct"/>
            <w:vAlign w:val="center"/>
          </w:tcPr>
          <w:p w14:paraId="1A1B59DF">
            <w:pPr>
              <w:tabs>
                <w:tab w:val="left" w:pos="8364"/>
              </w:tabs>
              <w:snapToGrid w:val="0"/>
              <w:jc w:val="center"/>
              <w:rPr>
                <w:rFonts w:hint="default" w:ascii="宋体" w:hAnsi="宋体" w:eastAsia="宋体" w:cs="宋体"/>
                <w:b w:val="0"/>
                <w:bCs/>
                <w:color w:val="FF0000"/>
                <w:szCs w:val="21"/>
                <w:highlight w:val="none"/>
                <w:lang w:val="en-US" w:eastAsia="zh-CN"/>
              </w:rPr>
            </w:pPr>
          </w:p>
        </w:tc>
        <w:tc>
          <w:tcPr>
            <w:tcW w:w="2222" w:type="dxa"/>
            <w:vAlign w:val="center"/>
          </w:tcPr>
          <w:p w14:paraId="358FD301">
            <w:pPr>
              <w:bidi w:val="0"/>
              <w:rPr>
                <w:rFonts w:hint="default" w:ascii="宋体" w:hAnsi="宋体" w:eastAsia="宋体" w:cs="宋体"/>
                <w:b w:val="0"/>
                <w:bCs/>
                <w:szCs w:val="21"/>
                <w:highlight w:val="none"/>
                <w:lang w:val="en-US" w:eastAsia="zh-CN"/>
              </w:rPr>
            </w:pPr>
            <w:r>
              <w:rPr>
                <w:rFonts w:hint="eastAsia"/>
                <w:highlight w:val="none"/>
                <w:lang w:val="en-US" w:eastAsia="zh-CN"/>
              </w:rPr>
              <w:t>即物业面积在1000平方米及以下</w:t>
            </w:r>
          </w:p>
        </w:tc>
      </w:tr>
      <w:tr w14:paraId="2848B5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7" w:hRule="atLeast"/>
          <w:jc w:val="center"/>
        </w:trPr>
        <w:tc>
          <w:tcPr>
            <w:tcW w:w="680" w:type="pct"/>
            <w:vAlign w:val="center"/>
          </w:tcPr>
          <w:p w14:paraId="3D1219BA">
            <w:pPr>
              <w:tabs>
                <w:tab w:val="left" w:pos="8364"/>
              </w:tabs>
              <w:snapToGrid w:val="0"/>
              <w:ind w:right="-58"/>
              <w:jc w:val="center"/>
              <w:rPr>
                <w:rFonts w:hint="eastAsia" w:ascii="宋体" w:hAnsi="宋体" w:eastAsia="宋体" w:cs="宋体"/>
                <w:b w:val="0"/>
                <w:bCs/>
                <w:szCs w:val="21"/>
                <w:highlight w:val="none"/>
                <w:lang w:val="en-US" w:eastAsia="zh-CN"/>
              </w:rPr>
            </w:pPr>
            <w:r>
              <w:rPr>
                <w:rFonts w:hint="eastAsia" w:ascii="宋体" w:hAnsi="宋体" w:cs="宋体"/>
                <w:b w:val="0"/>
                <w:bCs/>
                <w:szCs w:val="21"/>
                <w:highlight w:val="none"/>
                <w:lang w:val="en-US" w:eastAsia="zh-CN"/>
              </w:rPr>
              <w:t>2</w:t>
            </w:r>
          </w:p>
        </w:tc>
        <w:tc>
          <w:tcPr>
            <w:tcW w:w="2800" w:type="dxa"/>
            <w:vAlign w:val="center"/>
          </w:tcPr>
          <w:p w14:paraId="54F7BC95">
            <w:pPr>
              <w:keepNext w:val="0"/>
              <w:keepLines w:val="0"/>
              <w:widowControl/>
              <w:suppressLineNumbers w:val="0"/>
              <w:jc w:val="left"/>
              <w:textAlignment w:val="center"/>
              <w:rPr>
                <w:rFonts w:hint="eastAsia" w:ascii="宋体" w:hAnsi="宋体" w:cs="宋体"/>
                <w:b w:val="0"/>
                <w:bCs/>
                <w:szCs w:val="21"/>
                <w:highlight w:val="none"/>
              </w:rPr>
            </w:pPr>
            <w:r>
              <w:rPr>
                <w:rFonts w:hint="eastAsia" w:ascii="宋体" w:hAnsi="宋体" w:eastAsia="宋体" w:cs="宋体"/>
                <w:i w:val="0"/>
                <w:iCs w:val="0"/>
                <w:color w:val="000000"/>
                <w:kern w:val="0"/>
                <w:sz w:val="22"/>
                <w:szCs w:val="22"/>
                <w:highlight w:val="none"/>
                <w:u w:val="none"/>
                <w:lang w:val="en-US" w:eastAsia="zh-CN" w:bidi="ar"/>
              </w:rPr>
              <w:t>1000-3000（含）平方米</w:t>
            </w:r>
          </w:p>
        </w:tc>
        <w:tc>
          <w:tcPr>
            <w:tcW w:w="1318" w:type="pct"/>
            <w:vAlign w:val="center"/>
          </w:tcPr>
          <w:p w14:paraId="587D9B7B">
            <w:pPr>
              <w:tabs>
                <w:tab w:val="left" w:pos="8364"/>
              </w:tabs>
              <w:snapToGrid w:val="0"/>
              <w:jc w:val="center"/>
              <w:rPr>
                <w:rFonts w:hint="default" w:ascii="宋体" w:hAnsi="宋体" w:eastAsia="宋体" w:cs="宋体"/>
                <w:b w:val="0"/>
                <w:bCs/>
                <w:color w:val="FF0000"/>
                <w:szCs w:val="21"/>
                <w:highlight w:val="none"/>
                <w:lang w:val="en-US" w:eastAsia="zh-CN"/>
              </w:rPr>
            </w:pPr>
          </w:p>
        </w:tc>
        <w:tc>
          <w:tcPr>
            <w:tcW w:w="2222" w:type="dxa"/>
            <w:vAlign w:val="center"/>
          </w:tcPr>
          <w:p w14:paraId="73F8B8FB">
            <w:pPr>
              <w:bidi w:val="0"/>
              <w:rPr>
                <w:rFonts w:hint="eastAsia" w:ascii="宋体" w:hAnsi="宋体" w:cs="宋体"/>
                <w:b w:val="0"/>
                <w:bCs/>
                <w:szCs w:val="21"/>
                <w:highlight w:val="none"/>
                <w:lang w:val="en-US" w:eastAsia="zh-CN"/>
              </w:rPr>
            </w:pPr>
            <w:r>
              <w:rPr>
                <w:rFonts w:hint="eastAsia"/>
                <w:highlight w:val="none"/>
                <w:lang w:val="en-US" w:eastAsia="zh-CN"/>
              </w:rPr>
              <w:t>即物业面积在1000-3000（含）平方米</w:t>
            </w:r>
          </w:p>
        </w:tc>
      </w:tr>
      <w:tr w14:paraId="12AC0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7" w:hRule="atLeast"/>
          <w:jc w:val="center"/>
        </w:trPr>
        <w:tc>
          <w:tcPr>
            <w:tcW w:w="680" w:type="pct"/>
            <w:vAlign w:val="center"/>
          </w:tcPr>
          <w:p w14:paraId="6B7F8D01">
            <w:pPr>
              <w:tabs>
                <w:tab w:val="left" w:pos="8364"/>
              </w:tabs>
              <w:snapToGrid w:val="0"/>
              <w:ind w:right="-58"/>
              <w:jc w:val="center"/>
              <w:rPr>
                <w:rFonts w:hint="default" w:ascii="宋体" w:hAnsi="宋体" w:cs="宋体"/>
                <w:b w:val="0"/>
                <w:bCs/>
                <w:szCs w:val="21"/>
                <w:highlight w:val="none"/>
                <w:lang w:val="en-US" w:eastAsia="zh-CN"/>
              </w:rPr>
            </w:pPr>
            <w:r>
              <w:rPr>
                <w:rFonts w:hint="eastAsia" w:ascii="宋体" w:hAnsi="宋体" w:cs="宋体"/>
                <w:b w:val="0"/>
                <w:bCs/>
                <w:szCs w:val="21"/>
                <w:highlight w:val="none"/>
                <w:lang w:val="en-US" w:eastAsia="zh-CN"/>
              </w:rPr>
              <w:t>3</w:t>
            </w:r>
          </w:p>
        </w:tc>
        <w:tc>
          <w:tcPr>
            <w:tcW w:w="2800" w:type="dxa"/>
            <w:vAlign w:val="center"/>
          </w:tcPr>
          <w:p w14:paraId="41D80FE9">
            <w:pPr>
              <w:keepNext w:val="0"/>
              <w:keepLines w:val="0"/>
              <w:widowControl/>
              <w:suppressLineNumbers w:val="0"/>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3000-10000（含）平方米</w:t>
            </w:r>
          </w:p>
        </w:tc>
        <w:tc>
          <w:tcPr>
            <w:tcW w:w="1318" w:type="pct"/>
            <w:vAlign w:val="center"/>
          </w:tcPr>
          <w:p w14:paraId="3C06A1C5">
            <w:pPr>
              <w:tabs>
                <w:tab w:val="left" w:pos="8364"/>
              </w:tabs>
              <w:snapToGrid w:val="0"/>
              <w:jc w:val="center"/>
              <w:rPr>
                <w:rFonts w:hint="default" w:ascii="宋体" w:hAnsi="宋体" w:cs="宋体"/>
                <w:b w:val="0"/>
                <w:bCs/>
                <w:color w:val="FF0000"/>
                <w:szCs w:val="21"/>
                <w:highlight w:val="none"/>
                <w:lang w:val="en-US" w:eastAsia="zh-CN"/>
              </w:rPr>
            </w:pPr>
          </w:p>
        </w:tc>
        <w:tc>
          <w:tcPr>
            <w:tcW w:w="2222" w:type="dxa"/>
            <w:vAlign w:val="center"/>
          </w:tcPr>
          <w:p w14:paraId="55E38785">
            <w:pPr>
              <w:bidi w:val="0"/>
              <w:rPr>
                <w:rFonts w:hint="eastAsia" w:ascii="宋体" w:hAnsi="宋体" w:cs="宋体"/>
                <w:b w:val="0"/>
                <w:bCs/>
                <w:szCs w:val="21"/>
                <w:highlight w:val="none"/>
                <w:lang w:val="en-US" w:eastAsia="zh-CN"/>
              </w:rPr>
            </w:pPr>
            <w:r>
              <w:rPr>
                <w:rFonts w:hint="eastAsia"/>
                <w:highlight w:val="none"/>
                <w:lang w:val="en-US" w:eastAsia="zh-CN"/>
              </w:rPr>
              <w:t>即物业面积在3000-10000（含）平方米</w:t>
            </w:r>
          </w:p>
        </w:tc>
      </w:tr>
      <w:tr w14:paraId="0565D5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7" w:hRule="atLeast"/>
          <w:jc w:val="center"/>
        </w:trPr>
        <w:tc>
          <w:tcPr>
            <w:tcW w:w="680" w:type="pct"/>
            <w:vAlign w:val="center"/>
          </w:tcPr>
          <w:p w14:paraId="7DE0B5AA">
            <w:pPr>
              <w:tabs>
                <w:tab w:val="left" w:pos="8364"/>
              </w:tabs>
              <w:snapToGrid w:val="0"/>
              <w:ind w:right="-58"/>
              <w:jc w:val="center"/>
              <w:rPr>
                <w:rFonts w:hint="default" w:ascii="宋体" w:hAnsi="宋体" w:cs="宋体"/>
                <w:b w:val="0"/>
                <w:bCs/>
                <w:szCs w:val="21"/>
                <w:highlight w:val="none"/>
                <w:lang w:val="en-US" w:eastAsia="zh-CN"/>
              </w:rPr>
            </w:pPr>
            <w:r>
              <w:rPr>
                <w:rFonts w:hint="eastAsia" w:ascii="宋体" w:hAnsi="宋体" w:cs="宋体"/>
                <w:b w:val="0"/>
                <w:bCs/>
                <w:szCs w:val="21"/>
                <w:highlight w:val="none"/>
                <w:lang w:val="en-US" w:eastAsia="zh-CN"/>
              </w:rPr>
              <w:t>4</w:t>
            </w:r>
          </w:p>
        </w:tc>
        <w:tc>
          <w:tcPr>
            <w:tcW w:w="2800" w:type="dxa"/>
            <w:vAlign w:val="center"/>
          </w:tcPr>
          <w:p w14:paraId="6407FD52">
            <w:pPr>
              <w:keepNext w:val="0"/>
              <w:keepLines w:val="0"/>
              <w:widowControl/>
              <w:suppressLineNumbers w:val="0"/>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10000-50000（含）平方米</w:t>
            </w:r>
          </w:p>
        </w:tc>
        <w:tc>
          <w:tcPr>
            <w:tcW w:w="1318" w:type="pct"/>
            <w:vAlign w:val="center"/>
          </w:tcPr>
          <w:p w14:paraId="2616DCA3">
            <w:pPr>
              <w:tabs>
                <w:tab w:val="left" w:pos="8364"/>
              </w:tabs>
              <w:snapToGrid w:val="0"/>
              <w:jc w:val="center"/>
              <w:rPr>
                <w:rFonts w:hint="eastAsia" w:ascii="宋体" w:hAnsi="宋体" w:cs="宋体"/>
                <w:b w:val="0"/>
                <w:bCs/>
                <w:color w:val="FF0000"/>
                <w:szCs w:val="21"/>
                <w:highlight w:val="none"/>
                <w:lang w:val="en-US" w:eastAsia="zh-CN"/>
              </w:rPr>
            </w:pPr>
          </w:p>
        </w:tc>
        <w:tc>
          <w:tcPr>
            <w:tcW w:w="2222" w:type="dxa"/>
            <w:vAlign w:val="center"/>
          </w:tcPr>
          <w:p w14:paraId="0E4D50A7">
            <w:pPr>
              <w:bidi w:val="0"/>
              <w:rPr>
                <w:rFonts w:hint="eastAsia" w:ascii="宋体" w:hAnsi="宋体" w:cs="宋体"/>
                <w:b w:val="0"/>
                <w:bCs/>
                <w:szCs w:val="21"/>
                <w:highlight w:val="none"/>
                <w:lang w:val="en-US" w:eastAsia="zh-CN"/>
              </w:rPr>
            </w:pPr>
            <w:r>
              <w:rPr>
                <w:rFonts w:hint="eastAsia"/>
                <w:highlight w:val="none"/>
                <w:lang w:val="en-US" w:eastAsia="zh-CN"/>
              </w:rPr>
              <w:t>即物业面积在10000-50000（含）</w:t>
            </w:r>
          </w:p>
        </w:tc>
      </w:tr>
      <w:tr w14:paraId="7C7439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7" w:hRule="atLeast"/>
          <w:jc w:val="center"/>
        </w:trPr>
        <w:tc>
          <w:tcPr>
            <w:tcW w:w="680" w:type="pct"/>
            <w:vAlign w:val="center"/>
          </w:tcPr>
          <w:p w14:paraId="51161EA9">
            <w:pPr>
              <w:tabs>
                <w:tab w:val="left" w:pos="8364"/>
              </w:tabs>
              <w:snapToGrid w:val="0"/>
              <w:ind w:right="-58"/>
              <w:jc w:val="center"/>
              <w:rPr>
                <w:rFonts w:hint="default" w:ascii="宋体" w:hAnsi="宋体" w:cs="宋体"/>
                <w:b w:val="0"/>
                <w:bCs/>
                <w:szCs w:val="21"/>
                <w:highlight w:val="none"/>
                <w:lang w:val="en-US" w:eastAsia="zh-CN"/>
              </w:rPr>
            </w:pPr>
            <w:r>
              <w:rPr>
                <w:rFonts w:hint="eastAsia" w:ascii="宋体" w:hAnsi="宋体" w:cs="宋体"/>
                <w:b w:val="0"/>
                <w:bCs/>
                <w:szCs w:val="21"/>
                <w:highlight w:val="none"/>
                <w:lang w:val="en-US" w:eastAsia="zh-CN"/>
              </w:rPr>
              <w:t>5</w:t>
            </w:r>
          </w:p>
        </w:tc>
        <w:tc>
          <w:tcPr>
            <w:tcW w:w="2800" w:type="dxa"/>
            <w:vAlign w:val="center"/>
          </w:tcPr>
          <w:p w14:paraId="55711D58">
            <w:pPr>
              <w:keepNext w:val="0"/>
              <w:keepLines w:val="0"/>
              <w:widowControl/>
              <w:suppressLineNumbers w:val="0"/>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50000-100000（含）平方米</w:t>
            </w:r>
          </w:p>
        </w:tc>
        <w:tc>
          <w:tcPr>
            <w:tcW w:w="1318" w:type="pct"/>
            <w:vAlign w:val="center"/>
          </w:tcPr>
          <w:p w14:paraId="7857906B">
            <w:pPr>
              <w:tabs>
                <w:tab w:val="left" w:pos="8364"/>
              </w:tabs>
              <w:snapToGrid w:val="0"/>
              <w:jc w:val="center"/>
              <w:rPr>
                <w:rFonts w:hint="eastAsia" w:ascii="宋体" w:hAnsi="宋体" w:cs="宋体"/>
                <w:b w:val="0"/>
                <w:bCs/>
                <w:color w:val="FF0000"/>
                <w:szCs w:val="21"/>
                <w:highlight w:val="none"/>
                <w:lang w:val="en-US" w:eastAsia="zh-CN"/>
              </w:rPr>
            </w:pPr>
          </w:p>
        </w:tc>
        <w:tc>
          <w:tcPr>
            <w:tcW w:w="2222" w:type="dxa"/>
            <w:vAlign w:val="center"/>
          </w:tcPr>
          <w:p w14:paraId="5D0F95A2">
            <w:pPr>
              <w:bidi w:val="0"/>
              <w:rPr>
                <w:rFonts w:hint="eastAsia" w:ascii="宋体" w:hAnsi="宋体" w:cs="宋体"/>
                <w:b w:val="0"/>
                <w:bCs/>
                <w:szCs w:val="21"/>
                <w:highlight w:val="none"/>
                <w:lang w:val="en-US" w:eastAsia="zh-CN"/>
              </w:rPr>
            </w:pPr>
            <w:r>
              <w:rPr>
                <w:rFonts w:hint="eastAsia"/>
                <w:highlight w:val="none"/>
                <w:lang w:val="en-US" w:eastAsia="zh-CN"/>
              </w:rPr>
              <w:t>即物业面积在50000-100000（含）平方米</w:t>
            </w:r>
          </w:p>
        </w:tc>
      </w:tr>
      <w:tr w14:paraId="64A96C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7" w:hRule="atLeast"/>
          <w:jc w:val="center"/>
        </w:trPr>
        <w:tc>
          <w:tcPr>
            <w:tcW w:w="680" w:type="pct"/>
            <w:vAlign w:val="center"/>
          </w:tcPr>
          <w:p w14:paraId="79C686B7">
            <w:pPr>
              <w:tabs>
                <w:tab w:val="left" w:pos="8364"/>
              </w:tabs>
              <w:snapToGrid w:val="0"/>
              <w:ind w:right="-58"/>
              <w:jc w:val="center"/>
              <w:rPr>
                <w:rFonts w:hint="default" w:ascii="宋体" w:hAnsi="宋体" w:cs="宋体"/>
                <w:b w:val="0"/>
                <w:bCs/>
                <w:szCs w:val="21"/>
                <w:highlight w:val="none"/>
                <w:lang w:val="en-US" w:eastAsia="zh-CN"/>
              </w:rPr>
            </w:pPr>
            <w:r>
              <w:rPr>
                <w:rFonts w:hint="eastAsia" w:ascii="宋体" w:hAnsi="宋体" w:cs="宋体"/>
                <w:b w:val="0"/>
                <w:bCs/>
                <w:szCs w:val="21"/>
                <w:highlight w:val="none"/>
                <w:lang w:val="en-US" w:eastAsia="zh-CN"/>
              </w:rPr>
              <w:t>6</w:t>
            </w:r>
          </w:p>
        </w:tc>
        <w:tc>
          <w:tcPr>
            <w:tcW w:w="2800" w:type="dxa"/>
            <w:vAlign w:val="center"/>
          </w:tcPr>
          <w:p w14:paraId="1182CB45">
            <w:pPr>
              <w:keepNext w:val="0"/>
              <w:keepLines w:val="0"/>
              <w:widowControl/>
              <w:suppressLineNumbers w:val="0"/>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100000-200000（含）平方米</w:t>
            </w:r>
          </w:p>
        </w:tc>
        <w:tc>
          <w:tcPr>
            <w:tcW w:w="1318" w:type="pct"/>
            <w:vAlign w:val="center"/>
          </w:tcPr>
          <w:p w14:paraId="616AFE94">
            <w:pPr>
              <w:tabs>
                <w:tab w:val="left" w:pos="8364"/>
              </w:tabs>
              <w:snapToGrid w:val="0"/>
              <w:jc w:val="center"/>
              <w:rPr>
                <w:rFonts w:hint="eastAsia" w:ascii="宋体" w:hAnsi="宋体" w:cs="宋体"/>
                <w:b w:val="0"/>
                <w:bCs/>
                <w:color w:val="FF0000"/>
                <w:szCs w:val="21"/>
                <w:highlight w:val="none"/>
                <w:lang w:val="en-US" w:eastAsia="zh-CN"/>
              </w:rPr>
            </w:pPr>
          </w:p>
        </w:tc>
        <w:tc>
          <w:tcPr>
            <w:tcW w:w="2222" w:type="dxa"/>
            <w:vAlign w:val="center"/>
          </w:tcPr>
          <w:p w14:paraId="11F68B89">
            <w:pPr>
              <w:bidi w:val="0"/>
              <w:rPr>
                <w:rFonts w:hint="eastAsia" w:ascii="宋体" w:hAnsi="宋体" w:cs="宋体"/>
                <w:b w:val="0"/>
                <w:bCs/>
                <w:szCs w:val="21"/>
                <w:highlight w:val="none"/>
                <w:lang w:val="en-US" w:eastAsia="zh-CN"/>
              </w:rPr>
            </w:pPr>
            <w:r>
              <w:rPr>
                <w:rFonts w:hint="eastAsia"/>
                <w:highlight w:val="none"/>
                <w:lang w:val="en-US" w:eastAsia="zh-CN"/>
              </w:rPr>
              <w:t>即物业面积在100000-200000（含）平方米</w:t>
            </w:r>
          </w:p>
        </w:tc>
      </w:tr>
      <w:tr w14:paraId="3A938D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7" w:hRule="atLeast"/>
          <w:jc w:val="center"/>
        </w:trPr>
        <w:tc>
          <w:tcPr>
            <w:tcW w:w="680" w:type="pct"/>
            <w:vAlign w:val="center"/>
          </w:tcPr>
          <w:p w14:paraId="69189CAC">
            <w:pPr>
              <w:tabs>
                <w:tab w:val="left" w:pos="8364"/>
              </w:tabs>
              <w:snapToGrid w:val="0"/>
              <w:ind w:right="-58"/>
              <w:jc w:val="center"/>
              <w:rPr>
                <w:rFonts w:hint="default" w:ascii="宋体" w:hAnsi="宋体" w:cs="宋体"/>
                <w:b w:val="0"/>
                <w:bCs/>
                <w:szCs w:val="21"/>
                <w:highlight w:val="none"/>
                <w:lang w:val="en-US" w:eastAsia="zh-CN"/>
              </w:rPr>
            </w:pPr>
            <w:r>
              <w:rPr>
                <w:rFonts w:hint="eastAsia" w:ascii="宋体" w:hAnsi="宋体" w:cs="宋体"/>
                <w:b w:val="0"/>
                <w:bCs/>
                <w:szCs w:val="21"/>
                <w:highlight w:val="none"/>
                <w:lang w:val="en-US" w:eastAsia="zh-CN"/>
              </w:rPr>
              <w:t>7</w:t>
            </w:r>
          </w:p>
        </w:tc>
        <w:tc>
          <w:tcPr>
            <w:tcW w:w="2800" w:type="dxa"/>
            <w:vAlign w:val="center"/>
          </w:tcPr>
          <w:p w14:paraId="256D03E0">
            <w:pPr>
              <w:keepNext w:val="0"/>
              <w:keepLines w:val="0"/>
              <w:widowControl/>
              <w:suppressLineNumbers w:val="0"/>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200000平方米以上</w:t>
            </w:r>
          </w:p>
        </w:tc>
        <w:tc>
          <w:tcPr>
            <w:tcW w:w="1318" w:type="pct"/>
            <w:vAlign w:val="center"/>
          </w:tcPr>
          <w:p w14:paraId="6FB2FD6B">
            <w:pPr>
              <w:tabs>
                <w:tab w:val="left" w:pos="8364"/>
              </w:tabs>
              <w:snapToGrid w:val="0"/>
              <w:jc w:val="center"/>
              <w:rPr>
                <w:rFonts w:hint="eastAsia" w:ascii="宋体" w:hAnsi="宋体" w:cs="宋体"/>
                <w:b w:val="0"/>
                <w:bCs/>
                <w:color w:val="FF0000"/>
                <w:szCs w:val="21"/>
                <w:highlight w:val="none"/>
                <w:lang w:val="en-US" w:eastAsia="zh-CN"/>
              </w:rPr>
            </w:pPr>
          </w:p>
        </w:tc>
        <w:tc>
          <w:tcPr>
            <w:tcW w:w="2222" w:type="dxa"/>
            <w:vAlign w:val="center"/>
          </w:tcPr>
          <w:p w14:paraId="58FCF34C">
            <w:pPr>
              <w:bidi w:val="0"/>
              <w:rPr>
                <w:rFonts w:hint="eastAsia" w:ascii="宋体" w:hAnsi="宋体" w:cs="宋体"/>
                <w:b w:val="0"/>
                <w:bCs/>
                <w:szCs w:val="21"/>
                <w:highlight w:val="none"/>
                <w:lang w:val="en-US" w:eastAsia="zh-CN"/>
              </w:rPr>
            </w:pPr>
            <w:r>
              <w:rPr>
                <w:rFonts w:hint="eastAsia"/>
                <w:highlight w:val="none"/>
                <w:lang w:val="en-US" w:eastAsia="zh-CN"/>
              </w:rPr>
              <w:t>即物业面积在200000平方米以上</w:t>
            </w:r>
          </w:p>
        </w:tc>
      </w:tr>
      <w:tr w14:paraId="2C9E99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7" w:hRule="atLeast"/>
          <w:jc w:val="center"/>
        </w:trPr>
        <w:tc>
          <w:tcPr>
            <w:tcW w:w="680" w:type="pct"/>
            <w:vAlign w:val="center"/>
          </w:tcPr>
          <w:p w14:paraId="3CD2FF05">
            <w:pPr>
              <w:tabs>
                <w:tab w:val="left" w:pos="8364"/>
              </w:tabs>
              <w:snapToGrid w:val="0"/>
              <w:ind w:right="-58"/>
              <w:jc w:val="center"/>
              <w:rPr>
                <w:rFonts w:hint="default" w:ascii="宋体" w:hAnsi="宋体" w:cs="宋体"/>
                <w:b w:val="0"/>
                <w:bCs/>
                <w:szCs w:val="21"/>
                <w:highlight w:val="none"/>
                <w:lang w:val="en-US" w:eastAsia="zh-CN"/>
              </w:rPr>
            </w:pPr>
            <w:r>
              <w:rPr>
                <w:rFonts w:hint="eastAsia" w:ascii="宋体" w:hAnsi="宋体" w:cs="宋体"/>
                <w:b w:val="0"/>
                <w:bCs/>
                <w:szCs w:val="21"/>
                <w:highlight w:val="none"/>
                <w:lang w:val="en-US" w:eastAsia="zh-CN"/>
              </w:rPr>
              <w:t>8</w:t>
            </w:r>
          </w:p>
        </w:tc>
        <w:tc>
          <w:tcPr>
            <w:tcW w:w="2800" w:type="dxa"/>
            <w:vAlign w:val="center"/>
          </w:tcPr>
          <w:p w14:paraId="4AF1025A">
            <w:pPr>
              <w:keepNext w:val="0"/>
              <w:keepLines w:val="0"/>
              <w:widowControl/>
              <w:suppressLineNumbers w:val="0"/>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停车场</w:t>
            </w:r>
          </w:p>
        </w:tc>
        <w:tc>
          <w:tcPr>
            <w:tcW w:w="1318" w:type="pct"/>
            <w:vAlign w:val="center"/>
          </w:tcPr>
          <w:p w14:paraId="1E107ECC">
            <w:pPr>
              <w:tabs>
                <w:tab w:val="left" w:pos="8364"/>
              </w:tabs>
              <w:snapToGrid w:val="0"/>
              <w:jc w:val="center"/>
              <w:rPr>
                <w:rFonts w:hint="eastAsia" w:ascii="宋体" w:hAnsi="宋体" w:cs="宋体"/>
                <w:b w:val="0"/>
                <w:bCs/>
                <w:color w:val="FF0000"/>
                <w:szCs w:val="21"/>
                <w:highlight w:val="none"/>
                <w:lang w:val="en-US" w:eastAsia="zh-CN"/>
              </w:rPr>
            </w:pPr>
          </w:p>
        </w:tc>
        <w:tc>
          <w:tcPr>
            <w:tcW w:w="1327" w:type="pct"/>
            <w:vAlign w:val="center"/>
          </w:tcPr>
          <w:p w14:paraId="6E5DAE81">
            <w:pPr>
              <w:tabs>
                <w:tab w:val="left" w:pos="8364"/>
              </w:tabs>
              <w:snapToGrid w:val="0"/>
              <w:jc w:val="center"/>
              <w:rPr>
                <w:rFonts w:hint="eastAsia" w:ascii="宋体" w:hAnsi="宋体" w:cs="宋体"/>
                <w:b w:val="0"/>
                <w:bCs/>
                <w:szCs w:val="21"/>
                <w:highlight w:val="none"/>
                <w:lang w:val="en-US" w:eastAsia="zh-CN"/>
              </w:rPr>
            </w:pPr>
            <w:r>
              <w:rPr>
                <w:rFonts w:hint="eastAsia"/>
                <w:highlight w:val="none"/>
                <w:lang w:val="en-US" w:eastAsia="zh-CN"/>
              </w:rPr>
              <w:t>按每处停车场进行报价</w:t>
            </w:r>
          </w:p>
        </w:tc>
      </w:tr>
    </w:tbl>
    <w:p w14:paraId="5671DAD9">
      <w:pPr>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1、本项目</w:t>
      </w:r>
      <w:r>
        <w:rPr>
          <w:rFonts w:hint="eastAsia" w:ascii="宋体" w:hAnsi="宋体" w:eastAsia="宋体" w:cs="宋体"/>
          <w:b w:val="0"/>
          <w:bCs/>
          <w:color w:val="auto"/>
          <w:sz w:val="21"/>
          <w:szCs w:val="21"/>
          <w:highlight w:val="none"/>
          <w:lang w:val="en-US" w:eastAsia="zh-CN"/>
        </w:rPr>
        <w:t>投标按</w:t>
      </w:r>
      <w:r>
        <w:rPr>
          <w:rFonts w:hint="eastAsia" w:ascii="宋体" w:hAnsi="宋体" w:eastAsia="宋体" w:cs="宋体"/>
          <w:b w:val="0"/>
          <w:bCs/>
          <w:color w:val="auto"/>
          <w:sz w:val="21"/>
          <w:szCs w:val="21"/>
          <w:highlight w:val="none"/>
        </w:rPr>
        <w:t>单价</w:t>
      </w:r>
      <w:r>
        <w:rPr>
          <w:rFonts w:hint="eastAsia" w:ascii="宋体" w:hAnsi="宋体" w:eastAsia="宋体" w:cs="宋体"/>
          <w:b w:val="0"/>
          <w:bCs/>
          <w:color w:val="auto"/>
          <w:sz w:val="21"/>
          <w:szCs w:val="21"/>
          <w:highlight w:val="none"/>
          <w:lang w:val="en-US" w:eastAsia="zh-CN"/>
        </w:rPr>
        <w:t>报价</w:t>
      </w:r>
      <w:r>
        <w:rPr>
          <w:rFonts w:hint="eastAsia" w:ascii="宋体" w:hAnsi="宋体" w:eastAsia="宋体" w:cs="宋体"/>
          <w:b w:val="0"/>
          <w:bCs/>
          <w:color w:val="auto"/>
          <w:sz w:val="21"/>
          <w:szCs w:val="21"/>
          <w:highlight w:val="none"/>
        </w:rPr>
        <w:t>，</w:t>
      </w:r>
      <w:r>
        <w:rPr>
          <w:rFonts w:hint="eastAsia" w:ascii="宋体" w:hAnsi="宋体" w:eastAsia="宋体"/>
          <w:szCs w:val="21"/>
          <w:highlight w:val="none"/>
          <w:lang w:val="en-US" w:eastAsia="zh-CN"/>
        </w:rPr>
        <w:t>报价应</w:t>
      </w:r>
      <w:r>
        <w:rPr>
          <w:rFonts w:hint="eastAsia" w:ascii="宋体" w:hAnsi="宋体"/>
          <w:szCs w:val="21"/>
          <w:highlight w:val="none"/>
        </w:rPr>
        <w:t>包括但不限于项目服务成本、法定税费和企业利润等一切费用。</w:t>
      </w:r>
    </w:p>
    <w:p w14:paraId="0E2200FC">
      <w:pPr>
        <w:keepNext w:val="0"/>
        <w:keepLines w:val="0"/>
        <w:pageBreakBefore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cs="宋体"/>
          <w:b w:val="0"/>
          <w:bCs/>
          <w:color w:val="auto"/>
          <w:sz w:val="21"/>
          <w:szCs w:val="21"/>
          <w:highlight w:val="none"/>
          <w:lang w:val="en-US" w:eastAsia="zh-CN"/>
        </w:rPr>
        <w:t>以上</w:t>
      </w:r>
      <w:r>
        <w:rPr>
          <w:rFonts w:hint="eastAsia" w:ascii="宋体" w:hAnsi="宋体" w:eastAsia="宋体" w:cs="宋体"/>
          <w:b w:val="0"/>
          <w:bCs/>
          <w:color w:val="auto"/>
          <w:sz w:val="21"/>
          <w:szCs w:val="21"/>
          <w:highlight w:val="none"/>
        </w:rPr>
        <w:t>报价使用货币及单位：人民币（元），报价精确到小数点后两位。</w:t>
      </w:r>
    </w:p>
    <w:p w14:paraId="2F0CCBB4">
      <w:pPr>
        <w:numPr>
          <w:ilvl w:val="0"/>
          <w:numId w:val="0"/>
        </w:numPr>
        <w:tabs>
          <w:tab w:val="left" w:pos="720"/>
        </w:tabs>
        <w:ind w:firstLine="420"/>
        <w:jc w:val="left"/>
        <w:rPr>
          <w:rFonts w:hint="eastAsia"/>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、投标人应根据本企业的成本自行决定报价，但不得低于其企业成本的报价投标</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评标时</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评标委员会认为投标人的报价明显低于其他通过符合性审查的投标人报价，有可能影响产品服务质量或者不能诚信履约的，应当要求其在评标现场合理的时间内提供书面说明，必要时提交相关材料；投标人不能证明其报价合理性的，评标委员会应当将其作为无效投标处理。</w:t>
      </w:r>
    </w:p>
    <w:p w14:paraId="2DD00346">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Cs/>
          <w:szCs w:val="21"/>
          <w:highlight w:val="none"/>
        </w:rPr>
      </w:pPr>
      <w:r>
        <w:rPr>
          <w:rFonts w:hint="eastAsia" w:ascii="宋体" w:hAnsi="宋体" w:cs="宋体"/>
          <w:b w:val="0"/>
          <w:bCs/>
          <w:color w:val="auto"/>
          <w:kern w:val="2"/>
          <w:sz w:val="21"/>
          <w:szCs w:val="21"/>
          <w:highlight w:val="none"/>
          <w:lang w:val="en-US" w:eastAsia="zh-CN" w:bidi="ar-SA"/>
        </w:rPr>
        <w:t>4</w:t>
      </w:r>
      <w:r>
        <w:rPr>
          <w:rFonts w:hint="eastAsia" w:ascii="宋体" w:hAnsi="宋体" w:eastAsia="宋体" w:cs="宋体"/>
          <w:b w:val="0"/>
          <w:bCs/>
          <w:color w:val="auto"/>
          <w:kern w:val="2"/>
          <w:sz w:val="21"/>
          <w:szCs w:val="21"/>
          <w:highlight w:val="none"/>
          <w:lang w:val="en-US" w:eastAsia="zh-CN" w:bidi="ar-SA"/>
        </w:rPr>
        <w:t>、投标文件报价填写说明：本项目投标报价涉及多项内容，投标人在“开标一览表”中的“投标报价”统一填写“壹元（小写：1元）”，此处填写“壹元（小写：1元）”不作为评审价格；具体的代煎服务费和配送费报价，投标人在“四、项目详细报价 （一）分项报价表”中按以上投标报价要求填写，此处填写的各项投标报价作为价格得分计算依据。</w:t>
      </w:r>
      <w:r>
        <w:rPr>
          <w:rFonts w:hint="eastAsia" w:ascii="宋体" w:hAnsi="宋体" w:cs="宋体"/>
          <w:b w:val="0"/>
          <w:bCs/>
          <w:color w:val="auto"/>
          <w:kern w:val="2"/>
          <w:sz w:val="21"/>
          <w:szCs w:val="21"/>
          <w:highlight w:val="none"/>
          <w:lang w:val="en-US" w:eastAsia="zh-CN" w:bidi="ar-SA"/>
        </w:rPr>
        <w:t>（根据《中华人民共和国政府采购法》第二条规定，分项报价不得为0元）</w:t>
      </w:r>
    </w:p>
    <w:p w14:paraId="1889AA8F">
      <w:pPr>
        <w:pStyle w:val="2"/>
        <w:rPr>
          <w:rFonts w:hint="default"/>
          <w:highlight w:val="none"/>
          <w:lang w:val="en-US" w:eastAsia="zh-CN"/>
        </w:rPr>
      </w:pPr>
    </w:p>
    <w:p w14:paraId="6CFE0436">
      <w:pPr>
        <w:tabs>
          <w:tab w:val="left" w:pos="720"/>
        </w:tabs>
        <w:jc w:val="center"/>
        <w:rPr>
          <w:b/>
          <w:sz w:val="24"/>
          <w:highlight w:val="none"/>
        </w:rPr>
      </w:pPr>
      <w:r>
        <w:rPr>
          <w:rFonts w:hint="eastAsia"/>
          <w:b/>
          <w:sz w:val="24"/>
          <w:highlight w:val="none"/>
        </w:rPr>
        <w:t>（二）</w:t>
      </w:r>
      <w:bookmarkStart w:id="38" w:name="_Hlk72073235"/>
      <w:r>
        <w:rPr>
          <w:rFonts w:hint="eastAsia"/>
          <w:b/>
          <w:sz w:val="24"/>
          <w:highlight w:val="none"/>
        </w:rPr>
        <w:t>投标人认为需要涉及的其他内容报价清单</w:t>
      </w:r>
      <w:bookmarkEnd w:id="38"/>
    </w:p>
    <w:p w14:paraId="6E2814F3">
      <w:pPr>
        <w:rPr>
          <w:highlight w:val="none"/>
        </w:rPr>
      </w:pPr>
    </w:p>
    <w:p w14:paraId="19D94C3D">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276C7408">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五、同类项目业绩</w:t>
      </w:r>
    </w:p>
    <w:tbl>
      <w:tblPr>
        <w:tblStyle w:val="42"/>
        <w:tblW w:w="901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75"/>
        <w:gridCol w:w="1267"/>
        <w:gridCol w:w="1105"/>
        <w:gridCol w:w="1538"/>
        <w:gridCol w:w="1287"/>
        <w:gridCol w:w="1113"/>
        <w:gridCol w:w="907"/>
        <w:gridCol w:w="1123"/>
      </w:tblGrid>
      <w:tr w14:paraId="29E0D11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56" w:hRule="atLeast"/>
          <w:jc w:val="center"/>
        </w:trPr>
        <w:tc>
          <w:tcPr>
            <w:tcW w:w="675" w:type="dxa"/>
            <w:vAlign w:val="center"/>
          </w:tcPr>
          <w:p w14:paraId="09C2C7FB">
            <w:pPr>
              <w:spacing w:line="276" w:lineRule="auto"/>
              <w:jc w:val="center"/>
              <w:rPr>
                <w:rFonts w:ascii="宋体"/>
                <w:szCs w:val="21"/>
                <w:highlight w:val="none"/>
              </w:rPr>
            </w:pPr>
            <w:r>
              <w:rPr>
                <w:rFonts w:hint="eastAsia" w:ascii="宋体" w:hAnsi="宋体"/>
                <w:szCs w:val="21"/>
                <w:highlight w:val="none"/>
              </w:rPr>
              <w:t>序号</w:t>
            </w:r>
          </w:p>
        </w:tc>
        <w:tc>
          <w:tcPr>
            <w:tcW w:w="1267" w:type="dxa"/>
            <w:vAlign w:val="center"/>
          </w:tcPr>
          <w:p w14:paraId="27627443">
            <w:pPr>
              <w:spacing w:line="276" w:lineRule="auto"/>
              <w:jc w:val="center"/>
              <w:rPr>
                <w:rFonts w:ascii="宋体"/>
                <w:szCs w:val="21"/>
                <w:highlight w:val="none"/>
              </w:rPr>
            </w:pPr>
            <w:r>
              <w:rPr>
                <w:rFonts w:hint="eastAsia" w:ascii="宋体" w:hAnsi="宋体"/>
                <w:szCs w:val="21"/>
                <w:highlight w:val="none"/>
              </w:rPr>
              <w:t>采购人</w:t>
            </w:r>
          </w:p>
        </w:tc>
        <w:tc>
          <w:tcPr>
            <w:tcW w:w="1105" w:type="dxa"/>
            <w:vAlign w:val="center"/>
          </w:tcPr>
          <w:p w14:paraId="6F311249">
            <w:pPr>
              <w:spacing w:line="276" w:lineRule="auto"/>
              <w:jc w:val="center"/>
              <w:rPr>
                <w:rFonts w:ascii="宋体"/>
                <w:szCs w:val="21"/>
                <w:highlight w:val="none"/>
              </w:rPr>
            </w:pPr>
            <w:r>
              <w:rPr>
                <w:rFonts w:hint="eastAsia" w:ascii="宋体" w:hAnsi="宋体"/>
                <w:szCs w:val="21"/>
                <w:highlight w:val="none"/>
              </w:rPr>
              <w:t>项目名称</w:t>
            </w:r>
          </w:p>
        </w:tc>
        <w:tc>
          <w:tcPr>
            <w:tcW w:w="1538" w:type="dxa"/>
            <w:vAlign w:val="center"/>
          </w:tcPr>
          <w:p w14:paraId="6BEC8E78">
            <w:pPr>
              <w:spacing w:line="276" w:lineRule="auto"/>
              <w:jc w:val="center"/>
              <w:rPr>
                <w:rFonts w:ascii="宋体"/>
                <w:szCs w:val="21"/>
                <w:highlight w:val="none"/>
              </w:rPr>
            </w:pPr>
            <w:r>
              <w:rPr>
                <w:rFonts w:hint="eastAsia" w:ascii="宋体"/>
                <w:szCs w:val="21"/>
                <w:highlight w:val="none"/>
              </w:rPr>
              <w:t>合同签订时间</w:t>
            </w:r>
          </w:p>
        </w:tc>
        <w:tc>
          <w:tcPr>
            <w:tcW w:w="1287" w:type="dxa"/>
            <w:vAlign w:val="center"/>
          </w:tcPr>
          <w:p w14:paraId="0C152B7A">
            <w:pPr>
              <w:spacing w:line="276" w:lineRule="auto"/>
              <w:jc w:val="center"/>
              <w:rPr>
                <w:rFonts w:ascii="宋体"/>
                <w:szCs w:val="21"/>
                <w:highlight w:val="none"/>
              </w:rPr>
            </w:pPr>
            <w:r>
              <w:rPr>
                <w:rFonts w:hint="eastAsia" w:ascii="宋体" w:hAnsi="宋体"/>
                <w:szCs w:val="21"/>
                <w:highlight w:val="none"/>
              </w:rPr>
              <w:t>完成时间</w:t>
            </w:r>
          </w:p>
        </w:tc>
        <w:tc>
          <w:tcPr>
            <w:tcW w:w="1113" w:type="dxa"/>
            <w:vAlign w:val="center"/>
          </w:tcPr>
          <w:p w14:paraId="5FD5A898">
            <w:pPr>
              <w:spacing w:line="276" w:lineRule="auto"/>
              <w:jc w:val="center"/>
              <w:rPr>
                <w:rFonts w:ascii="宋体"/>
                <w:szCs w:val="21"/>
                <w:highlight w:val="none"/>
              </w:rPr>
            </w:pPr>
            <w:r>
              <w:rPr>
                <w:rFonts w:hint="eastAsia" w:ascii="宋体" w:hAnsi="宋体"/>
                <w:szCs w:val="21"/>
                <w:highlight w:val="none"/>
              </w:rPr>
              <w:t>服务情况</w:t>
            </w:r>
          </w:p>
        </w:tc>
        <w:tc>
          <w:tcPr>
            <w:tcW w:w="907" w:type="dxa"/>
            <w:vAlign w:val="center"/>
          </w:tcPr>
          <w:p w14:paraId="5400F2CD">
            <w:pPr>
              <w:spacing w:line="276" w:lineRule="auto"/>
              <w:jc w:val="center"/>
              <w:rPr>
                <w:rFonts w:ascii="宋体"/>
                <w:szCs w:val="21"/>
                <w:highlight w:val="none"/>
              </w:rPr>
            </w:pPr>
            <w:r>
              <w:rPr>
                <w:rFonts w:hint="eastAsia" w:ascii="宋体" w:hAnsi="宋体"/>
                <w:szCs w:val="21"/>
                <w:highlight w:val="none"/>
              </w:rPr>
              <w:t>联系人</w:t>
            </w:r>
          </w:p>
        </w:tc>
        <w:tc>
          <w:tcPr>
            <w:tcW w:w="1123" w:type="dxa"/>
            <w:vAlign w:val="center"/>
          </w:tcPr>
          <w:p w14:paraId="38B8DAAA">
            <w:pPr>
              <w:spacing w:line="276" w:lineRule="auto"/>
              <w:jc w:val="center"/>
              <w:rPr>
                <w:rFonts w:ascii="宋体"/>
                <w:szCs w:val="21"/>
                <w:highlight w:val="none"/>
              </w:rPr>
            </w:pPr>
            <w:r>
              <w:rPr>
                <w:rFonts w:hint="eastAsia" w:ascii="宋体" w:hAnsi="宋体"/>
                <w:szCs w:val="21"/>
                <w:highlight w:val="none"/>
              </w:rPr>
              <w:t>联系电话</w:t>
            </w:r>
          </w:p>
        </w:tc>
      </w:tr>
      <w:tr w14:paraId="7F4FD86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12662253">
            <w:pPr>
              <w:spacing w:line="276" w:lineRule="auto"/>
              <w:rPr>
                <w:rFonts w:ascii="宋体"/>
                <w:szCs w:val="21"/>
                <w:highlight w:val="none"/>
              </w:rPr>
            </w:pPr>
          </w:p>
        </w:tc>
        <w:tc>
          <w:tcPr>
            <w:tcW w:w="1267" w:type="dxa"/>
          </w:tcPr>
          <w:p w14:paraId="73256B1D">
            <w:pPr>
              <w:spacing w:line="276" w:lineRule="auto"/>
              <w:rPr>
                <w:rFonts w:ascii="宋体"/>
                <w:szCs w:val="21"/>
                <w:highlight w:val="none"/>
              </w:rPr>
            </w:pPr>
          </w:p>
        </w:tc>
        <w:tc>
          <w:tcPr>
            <w:tcW w:w="1105" w:type="dxa"/>
          </w:tcPr>
          <w:p w14:paraId="525570D7">
            <w:pPr>
              <w:spacing w:line="276" w:lineRule="auto"/>
              <w:rPr>
                <w:rFonts w:ascii="宋体"/>
                <w:szCs w:val="21"/>
                <w:highlight w:val="none"/>
              </w:rPr>
            </w:pPr>
          </w:p>
        </w:tc>
        <w:tc>
          <w:tcPr>
            <w:tcW w:w="1538" w:type="dxa"/>
          </w:tcPr>
          <w:p w14:paraId="72100266">
            <w:pPr>
              <w:spacing w:line="276" w:lineRule="auto"/>
              <w:rPr>
                <w:rFonts w:ascii="宋体"/>
                <w:szCs w:val="21"/>
                <w:highlight w:val="none"/>
              </w:rPr>
            </w:pPr>
          </w:p>
        </w:tc>
        <w:tc>
          <w:tcPr>
            <w:tcW w:w="1287" w:type="dxa"/>
          </w:tcPr>
          <w:p w14:paraId="2BC3568B">
            <w:pPr>
              <w:spacing w:line="276" w:lineRule="auto"/>
              <w:rPr>
                <w:rFonts w:ascii="宋体"/>
                <w:szCs w:val="21"/>
                <w:highlight w:val="none"/>
              </w:rPr>
            </w:pPr>
          </w:p>
        </w:tc>
        <w:tc>
          <w:tcPr>
            <w:tcW w:w="1113" w:type="dxa"/>
          </w:tcPr>
          <w:p w14:paraId="1DB9DFE5">
            <w:pPr>
              <w:spacing w:line="276" w:lineRule="auto"/>
              <w:rPr>
                <w:rFonts w:ascii="宋体"/>
                <w:szCs w:val="21"/>
                <w:highlight w:val="none"/>
              </w:rPr>
            </w:pPr>
          </w:p>
        </w:tc>
        <w:tc>
          <w:tcPr>
            <w:tcW w:w="907" w:type="dxa"/>
          </w:tcPr>
          <w:p w14:paraId="0E3265E9">
            <w:pPr>
              <w:spacing w:line="276" w:lineRule="auto"/>
              <w:rPr>
                <w:rFonts w:ascii="宋体"/>
                <w:szCs w:val="21"/>
                <w:highlight w:val="none"/>
              </w:rPr>
            </w:pPr>
          </w:p>
        </w:tc>
        <w:tc>
          <w:tcPr>
            <w:tcW w:w="1123" w:type="dxa"/>
          </w:tcPr>
          <w:p w14:paraId="69B8D679">
            <w:pPr>
              <w:spacing w:line="276" w:lineRule="auto"/>
              <w:rPr>
                <w:rFonts w:ascii="宋体"/>
                <w:szCs w:val="21"/>
                <w:highlight w:val="none"/>
              </w:rPr>
            </w:pPr>
          </w:p>
        </w:tc>
      </w:tr>
      <w:tr w14:paraId="2C9CFBF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5F66D3B7">
            <w:pPr>
              <w:spacing w:line="276" w:lineRule="auto"/>
              <w:rPr>
                <w:rFonts w:ascii="宋体"/>
                <w:szCs w:val="21"/>
                <w:highlight w:val="none"/>
              </w:rPr>
            </w:pPr>
          </w:p>
        </w:tc>
        <w:tc>
          <w:tcPr>
            <w:tcW w:w="1267" w:type="dxa"/>
          </w:tcPr>
          <w:p w14:paraId="7661CB22">
            <w:pPr>
              <w:spacing w:line="276" w:lineRule="auto"/>
              <w:rPr>
                <w:rFonts w:ascii="宋体"/>
                <w:szCs w:val="21"/>
                <w:highlight w:val="none"/>
              </w:rPr>
            </w:pPr>
          </w:p>
        </w:tc>
        <w:tc>
          <w:tcPr>
            <w:tcW w:w="1105" w:type="dxa"/>
          </w:tcPr>
          <w:p w14:paraId="6EE6D8EE">
            <w:pPr>
              <w:spacing w:line="276" w:lineRule="auto"/>
              <w:rPr>
                <w:rFonts w:ascii="宋体"/>
                <w:szCs w:val="21"/>
                <w:highlight w:val="none"/>
              </w:rPr>
            </w:pPr>
          </w:p>
        </w:tc>
        <w:tc>
          <w:tcPr>
            <w:tcW w:w="1538" w:type="dxa"/>
          </w:tcPr>
          <w:p w14:paraId="34ECAAFC">
            <w:pPr>
              <w:spacing w:line="276" w:lineRule="auto"/>
              <w:rPr>
                <w:rFonts w:ascii="宋体"/>
                <w:szCs w:val="21"/>
                <w:highlight w:val="none"/>
              </w:rPr>
            </w:pPr>
          </w:p>
        </w:tc>
        <w:tc>
          <w:tcPr>
            <w:tcW w:w="1287" w:type="dxa"/>
          </w:tcPr>
          <w:p w14:paraId="4AE02D61">
            <w:pPr>
              <w:spacing w:line="276" w:lineRule="auto"/>
              <w:rPr>
                <w:rFonts w:ascii="宋体"/>
                <w:szCs w:val="21"/>
                <w:highlight w:val="none"/>
              </w:rPr>
            </w:pPr>
          </w:p>
        </w:tc>
        <w:tc>
          <w:tcPr>
            <w:tcW w:w="1113" w:type="dxa"/>
          </w:tcPr>
          <w:p w14:paraId="65A440C0">
            <w:pPr>
              <w:spacing w:line="276" w:lineRule="auto"/>
              <w:rPr>
                <w:rFonts w:ascii="宋体"/>
                <w:szCs w:val="21"/>
                <w:highlight w:val="none"/>
              </w:rPr>
            </w:pPr>
          </w:p>
        </w:tc>
        <w:tc>
          <w:tcPr>
            <w:tcW w:w="907" w:type="dxa"/>
          </w:tcPr>
          <w:p w14:paraId="40FBB262">
            <w:pPr>
              <w:spacing w:line="276" w:lineRule="auto"/>
              <w:rPr>
                <w:rFonts w:ascii="宋体"/>
                <w:szCs w:val="21"/>
                <w:highlight w:val="none"/>
              </w:rPr>
            </w:pPr>
          </w:p>
        </w:tc>
        <w:tc>
          <w:tcPr>
            <w:tcW w:w="1123" w:type="dxa"/>
          </w:tcPr>
          <w:p w14:paraId="6E712126">
            <w:pPr>
              <w:spacing w:line="276" w:lineRule="auto"/>
              <w:rPr>
                <w:rFonts w:ascii="宋体"/>
                <w:szCs w:val="21"/>
                <w:highlight w:val="none"/>
              </w:rPr>
            </w:pPr>
          </w:p>
        </w:tc>
      </w:tr>
      <w:tr w14:paraId="19C6842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44BC8813">
            <w:pPr>
              <w:spacing w:line="276" w:lineRule="auto"/>
              <w:rPr>
                <w:rFonts w:ascii="宋体"/>
                <w:szCs w:val="21"/>
                <w:highlight w:val="none"/>
              </w:rPr>
            </w:pPr>
          </w:p>
        </w:tc>
        <w:tc>
          <w:tcPr>
            <w:tcW w:w="1267" w:type="dxa"/>
          </w:tcPr>
          <w:p w14:paraId="715348AA">
            <w:pPr>
              <w:spacing w:line="276" w:lineRule="auto"/>
              <w:rPr>
                <w:rFonts w:ascii="宋体"/>
                <w:szCs w:val="21"/>
                <w:highlight w:val="none"/>
              </w:rPr>
            </w:pPr>
          </w:p>
        </w:tc>
        <w:tc>
          <w:tcPr>
            <w:tcW w:w="1105" w:type="dxa"/>
          </w:tcPr>
          <w:p w14:paraId="217E33EE">
            <w:pPr>
              <w:spacing w:line="276" w:lineRule="auto"/>
              <w:rPr>
                <w:rFonts w:ascii="宋体"/>
                <w:szCs w:val="21"/>
                <w:highlight w:val="none"/>
              </w:rPr>
            </w:pPr>
          </w:p>
        </w:tc>
        <w:tc>
          <w:tcPr>
            <w:tcW w:w="1538" w:type="dxa"/>
          </w:tcPr>
          <w:p w14:paraId="02FD55E0">
            <w:pPr>
              <w:spacing w:line="276" w:lineRule="auto"/>
              <w:rPr>
                <w:rFonts w:ascii="宋体"/>
                <w:szCs w:val="21"/>
                <w:highlight w:val="none"/>
              </w:rPr>
            </w:pPr>
          </w:p>
        </w:tc>
        <w:tc>
          <w:tcPr>
            <w:tcW w:w="1287" w:type="dxa"/>
          </w:tcPr>
          <w:p w14:paraId="6FF3A772">
            <w:pPr>
              <w:spacing w:line="276" w:lineRule="auto"/>
              <w:rPr>
                <w:rFonts w:ascii="宋体"/>
                <w:szCs w:val="21"/>
                <w:highlight w:val="none"/>
              </w:rPr>
            </w:pPr>
          </w:p>
        </w:tc>
        <w:tc>
          <w:tcPr>
            <w:tcW w:w="1113" w:type="dxa"/>
          </w:tcPr>
          <w:p w14:paraId="07384B6F">
            <w:pPr>
              <w:spacing w:line="276" w:lineRule="auto"/>
              <w:rPr>
                <w:rFonts w:ascii="宋体"/>
                <w:szCs w:val="21"/>
                <w:highlight w:val="none"/>
              </w:rPr>
            </w:pPr>
          </w:p>
        </w:tc>
        <w:tc>
          <w:tcPr>
            <w:tcW w:w="907" w:type="dxa"/>
          </w:tcPr>
          <w:p w14:paraId="5D771260">
            <w:pPr>
              <w:spacing w:line="276" w:lineRule="auto"/>
              <w:rPr>
                <w:rFonts w:ascii="宋体"/>
                <w:szCs w:val="21"/>
                <w:highlight w:val="none"/>
              </w:rPr>
            </w:pPr>
          </w:p>
        </w:tc>
        <w:tc>
          <w:tcPr>
            <w:tcW w:w="1123" w:type="dxa"/>
          </w:tcPr>
          <w:p w14:paraId="063DCD8C">
            <w:pPr>
              <w:spacing w:line="276" w:lineRule="auto"/>
              <w:rPr>
                <w:rFonts w:ascii="宋体"/>
                <w:szCs w:val="21"/>
                <w:highlight w:val="none"/>
              </w:rPr>
            </w:pPr>
          </w:p>
        </w:tc>
      </w:tr>
      <w:tr w14:paraId="54E906F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75406644">
            <w:pPr>
              <w:spacing w:line="276" w:lineRule="auto"/>
              <w:rPr>
                <w:rFonts w:ascii="宋体"/>
                <w:szCs w:val="21"/>
                <w:highlight w:val="none"/>
              </w:rPr>
            </w:pPr>
          </w:p>
        </w:tc>
        <w:tc>
          <w:tcPr>
            <w:tcW w:w="1267" w:type="dxa"/>
          </w:tcPr>
          <w:p w14:paraId="1BDD2C8B">
            <w:pPr>
              <w:spacing w:line="276" w:lineRule="auto"/>
              <w:rPr>
                <w:rFonts w:ascii="宋体"/>
                <w:szCs w:val="21"/>
                <w:highlight w:val="none"/>
              </w:rPr>
            </w:pPr>
          </w:p>
        </w:tc>
        <w:tc>
          <w:tcPr>
            <w:tcW w:w="1105" w:type="dxa"/>
          </w:tcPr>
          <w:p w14:paraId="3AAD2F8C">
            <w:pPr>
              <w:spacing w:line="276" w:lineRule="auto"/>
              <w:rPr>
                <w:rFonts w:ascii="宋体"/>
                <w:szCs w:val="21"/>
                <w:highlight w:val="none"/>
              </w:rPr>
            </w:pPr>
          </w:p>
        </w:tc>
        <w:tc>
          <w:tcPr>
            <w:tcW w:w="1538" w:type="dxa"/>
          </w:tcPr>
          <w:p w14:paraId="4E93943F">
            <w:pPr>
              <w:spacing w:line="276" w:lineRule="auto"/>
              <w:rPr>
                <w:rFonts w:ascii="宋体"/>
                <w:szCs w:val="21"/>
                <w:highlight w:val="none"/>
              </w:rPr>
            </w:pPr>
          </w:p>
        </w:tc>
        <w:tc>
          <w:tcPr>
            <w:tcW w:w="1287" w:type="dxa"/>
          </w:tcPr>
          <w:p w14:paraId="70E5DA20">
            <w:pPr>
              <w:spacing w:line="276" w:lineRule="auto"/>
              <w:rPr>
                <w:rFonts w:ascii="宋体"/>
                <w:szCs w:val="21"/>
                <w:highlight w:val="none"/>
              </w:rPr>
            </w:pPr>
          </w:p>
        </w:tc>
        <w:tc>
          <w:tcPr>
            <w:tcW w:w="1113" w:type="dxa"/>
          </w:tcPr>
          <w:p w14:paraId="13A3A844">
            <w:pPr>
              <w:spacing w:line="276" w:lineRule="auto"/>
              <w:rPr>
                <w:rFonts w:ascii="宋体"/>
                <w:szCs w:val="21"/>
                <w:highlight w:val="none"/>
              </w:rPr>
            </w:pPr>
          </w:p>
        </w:tc>
        <w:tc>
          <w:tcPr>
            <w:tcW w:w="907" w:type="dxa"/>
          </w:tcPr>
          <w:p w14:paraId="5FD0F742">
            <w:pPr>
              <w:spacing w:line="276" w:lineRule="auto"/>
              <w:rPr>
                <w:rFonts w:ascii="宋体"/>
                <w:szCs w:val="21"/>
                <w:highlight w:val="none"/>
              </w:rPr>
            </w:pPr>
          </w:p>
        </w:tc>
        <w:tc>
          <w:tcPr>
            <w:tcW w:w="1123" w:type="dxa"/>
          </w:tcPr>
          <w:p w14:paraId="6D51944E">
            <w:pPr>
              <w:spacing w:line="276" w:lineRule="auto"/>
              <w:rPr>
                <w:rFonts w:ascii="宋体"/>
                <w:szCs w:val="21"/>
                <w:highlight w:val="none"/>
              </w:rPr>
            </w:pPr>
          </w:p>
        </w:tc>
      </w:tr>
      <w:tr w14:paraId="19A1240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23" w:hRule="atLeast"/>
          <w:jc w:val="center"/>
        </w:trPr>
        <w:tc>
          <w:tcPr>
            <w:tcW w:w="675" w:type="dxa"/>
          </w:tcPr>
          <w:p w14:paraId="1064889A">
            <w:pPr>
              <w:spacing w:line="276" w:lineRule="auto"/>
              <w:rPr>
                <w:rFonts w:ascii="宋体"/>
                <w:szCs w:val="21"/>
                <w:highlight w:val="none"/>
              </w:rPr>
            </w:pPr>
          </w:p>
        </w:tc>
        <w:tc>
          <w:tcPr>
            <w:tcW w:w="1267" w:type="dxa"/>
          </w:tcPr>
          <w:p w14:paraId="66841EF7">
            <w:pPr>
              <w:spacing w:line="276" w:lineRule="auto"/>
              <w:rPr>
                <w:rFonts w:ascii="宋体"/>
                <w:szCs w:val="21"/>
                <w:highlight w:val="none"/>
              </w:rPr>
            </w:pPr>
          </w:p>
        </w:tc>
        <w:tc>
          <w:tcPr>
            <w:tcW w:w="1105" w:type="dxa"/>
          </w:tcPr>
          <w:p w14:paraId="6537CFFB">
            <w:pPr>
              <w:spacing w:line="276" w:lineRule="auto"/>
              <w:rPr>
                <w:rFonts w:ascii="宋体"/>
                <w:szCs w:val="21"/>
                <w:highlight w:val="none"/>
              </w:rPr>
            </w:pPr>
          </w:p>
        </w:tc>
        <w:tc>
          <w:tcPr>
            <w:tcW w:w="1538" w:type="dxa"/>
          </w:tcPr>
          <w:p w14:paraId="5FFBAE65">
            <w:pPr>
              <w:spacing w:line="276" w:lineRule="auto"/>
              <w:rPr>
                <w:rFonts w:ascii="宋体"/>
                <w:szCs w:val="21"/>
                <w:highlight w:val="none"/>
              </w:rPr>
            </w:pPr>
          </w:p>
        </w:tc>
        <w:tc>
          <w:tcPr>
            <w:tcW w:w="1287" w:type="dxa"/>
          </w:tcPr>
          <w:p w14:paraId="3116056D">
            <w:pPr>
              <w:spacing w:line="276" w:lineRule="auto"/>
              <w:rPr>
                <w:rFonts w:ascii="宋体"/>
                <w:szCs w:val="21"/>
                <w:highlight w:val="none"/>
              </w:rPr>
            </w:pPr>
          </w:p>
        </w:tc>
        <w:tc>
          <w:tcPr>
            <w:tcW w:w="1113" w:type="dxa"/>
          </w:tcPr>
          <w:p w14:paraId="0947C940">
            <w:pPr>
              <w:spacing w:line="276" w:lineRule="auto"/>
              <w:rPr>
                <w:rFonts w:ascii="宋体"/>
                <w:szCs w:val="21"/>
                <w:highlight w:val="none"/>
              </w:rPr>
            </w:pPr>
          </w:p>
        </w:tc>
        <w:tc>
          <w:tcPr>
            <w:tcW w:w="907" w:type="dxa"/>
          </w:tcPr>
          <w:p w14:paraId="3BDAEA2B">
            <w:pPr>
              <w:spacing w:line="276" w:lineRule="auto"/>
              <w:rPr>
                <w:rFonts w:ascii="宋体"/>
                <w:szCs w:val="21"/>
                <w:highlight w:val="none"/>
              </w:rPr>
            </w:pPr>
          </w:p>
        </w:tc>
        <w:tc>
          <w:tcPr>
            <w:tcW w:w="1123" w:type="dxa"/>
          </w:tcPr>
          <w:p w14:paraId="6C99B5E6">
            <w:pPr>
              <w:spacing w:line="276" w:lineRule="auto"/>
              <w:rPr>
                <w:rFonts w:ascii="宋体"/>
                <w:szCs w:val="21"/>
                <w:highlight w:val="none"/>
              </w:rPr>
            </w:pPr>
          </w:p>
        </w:tc>
      </w:tr>
    </w:tbl>
    <w:p w14:paraId="2E980315">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（特别提示：以上表格仅供参考。投标人须按本招标文件评标信息中“同类项目业绩”这一评分因素要求，提供证明资料）</w:t>
      </w:r>
    </w:p>
    <w:p w14:paraId="34868FFA">
      <w:pPr>
        <w:rPr>
          <w:rFonts w:hint="eastAsia" w:ascii="黑体" w:eastAsia="黑体"/>
          <w:b w:val="0"/>
          <w:kern w:val="0"/>
          <w:sz w:val="24"/>
          <w:szCs w:val="24"/>
          <w:highlight w:val="none"/>
        </w:rPr>
      </w:pPr>
      <w:bookmarkStart w:id="39" w:name="_Toc59916729"/>
      <w:r>
        <w:rPr>
          <w:rFonts w:hint="eastAsia" w:ascii="黑体" w:eastAsia="黑体"/>
          <w:b w:val="0"/>
          <w:kern w:val="0"/>
          <w:sz w:val="24"/>
          <w:szCs w:val="24"/>
          <w:highlight w:val="none"/>
        </w:rPr>
        <w:br w:type="page"/>
      </w:r>
    </w:p>
    <w:p w14:paraId="3C7D1EEF">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六、</w:t>
      </w:r>
      <w:bookmarkEnd w:id="39"/>
      <w:r>
        <w:rPr>
          <w:rFonts w:hint="eastAsia" w:ascii="黑体" w:eastAsia="黑体"/>
          <w:b w:val="0"/>
          <w:kern w:val="0"/>
          <w:sz w:val="24"/>
          <w:szCs w:val="24"/>
          <w:highlight w:val="none"/>
        </w:rPr>
        <w:t>履约评价</w:t>
      </w:r>
    </w:p>
    <w:p w14:paraId="23E985FD">
      <w:pPr>
        <w:pStyle w:val="5"/>
        <w:spacing w:line="276" w:lineRule="auto"/>
        <w:jc w:val="center"/>
        <w:rPr>
          <w:rFonts w:hint="eastAsia"/>
          <w:b w:val="0"/>
          <w:bCs w:val="0"/>
          <w:sz w:val="21"/>
          <w:szCs w:val="21"/>
          <w:highlight w:val="none"/>
        </w:rPr>
      </w:pPr>
      <w:r>
        <w:rPr>
          <w:rFonts w:hint="eastAsia"/>
          <w:b w:val="0"/>
          <w:bCs w:val="0"/>
          <w:sz w:val="21"/>
          <w:szCs w:val="21"/>
          <w:highlight w:val="none"/>
        </w:rPr>
        <w:t>（特别提示：投标人须按本招标文件评标信息中“履约评价”这一评分因素要求，提供证明资料）</w:t>
      </w:r>
    </w:p>
    <w:p w14:paraId="3436ABE9">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433F364A">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、认证情况</w:t>
      </w:r>
    </w:p>
    <w:tbl>
      <w:tblPr>
        <w:tblStyle w:val="42"/>
        <w:tblW w:w="852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77C599B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9" w:hRule="atLeast"/>
          <w:jc w:val="center"/>
        </w:trPr>
        <w:tc>
          <w:tcPr>
            <w:tcW w:w="1067" w:type="dxa"/>
            <w:vAlign w:val="center"/>
          </w:tcPr>
          <w:p w14:paraId="412FF23F">
            <w:pPr>
              <w:spacing w:line="276" w:lineRule="auto"/>
              <w:jc w:val="center"/>
              <w:rPr>
                <w:rFonts w:ascii="宋体"/>
                <w:szCs w:val="21"/>
                <w:highlight w:val="none"/>
              </w:rPr>
            </w:pPr>
            <w:r>
              <w:rPr>
                <w:rFonts w:hint="eastAsia" w:ascii="宋体" w:hAnsi="宋体"/>
                <w:szCs w:val="21"/>
                <w:highlight w:val="none"/>
              </w:rPr>
              <w:t>序号</w:t>
            </w:r>
          </w:p>
        </w:tc>
        <w:tc>
          <w:tcPr>
            <w:tcW w:w="2002" w:type="dxa"/>
            <w:vAlign w:val="center"/>
          </w:tcPr>
          <w:p w14:paraId="635FF254">
            <w:pPr>
              <w:spacing w:line="276" w:lineRule="auto"/>
              <w:jc w:val="center"/>
              <w:rPr>
                <w:rFonts w:ascii="宋体"/>
                <w:szCs w:val="21"/>
                <w:highlight w:val="none"/>
              </w:rPr>
            </w:pPr>
            <w:r>
              <w:rPr>
                <w:rFonts w:hint="eastAsia" w:ascii="宋体" w:hAnsi="宋体"/>
                <w:szCs w:val="21"/>
                <w:highlight w:val="none"/>
              </w:rPr>
              <w:t>证书名称</w:t>
            </w:r>
          </w:p>
        </w:tc>
        <w:tc>
          <w:tcPr>
            <w:tcW w:w="1745" w:type="dxa"/>
            <w:vAlign w:val="center"/>
          </w:tcPr>
          <w:p w14:paraId="43764266">
            <w:pPr>
              <w:spacing w:line="276" w:lineRule="auto"/>
              <w:jc w:val="center"/>
              <w:rPr>
                <w:rFonts w:ascii="宋体"/>
                <w:szCs w:val="21"/>
                <w:highlight w:val="none"/>
              </w:rPr>
            </w:pPr>
            <w:r>
              <w:rPr>
                <w:rFonts w:hint="eastAsia" w:ascii="宋体" w:hAnsi="宋体"/>
                <w:szCs w:val="21"/>
                <w:highlight w:val="none"/>
              </w:rPr>
              <w:t>证书有效期</w:t>
            </w:r>
          </w:p>
        </w:tc>
        <w:tc>
          <w:tcPr>
            <w:tcW w:w="1861" w:type="dxa"/>
            <w:vAlign w:val="center"/>
          </w:tcPr>
          <w:p w14:paraId="5D4B9814">
            <w:pPr>
              <w:spacing w:line="276" w:lineRule="auto"/>
              <w:jc w:val="center"/>
              <w:rPr>
                <w:rFonts w:ascii="宋体"/>
                <w:szCs w:val="21"/>
                <w:highlight w:val="none"/>
              </w:rPr>
            </w:pPr>
            <w:r>
              <w:rPr>
                <w:rFonts w:hint="eastAsia" w:ascii="宋体" w:hAnsi="宋体"/>
                <w:szCs w:val="21"/>
                <w:highlight w:val="none"/>
              </w:rPr>
              <w:t>证书颁发机构</w:t>
            </w:r>
          </w:p>
        </w:tc>
        <w:tc>
          <w:tcPr>
            <w:tcW w:w="1854" w:type="dxa"/>
            <w:vAlign w:val="center"/>
          </w:tcPr>
          <w:p w14:paraId="03715A11">
            <w:pPr>
              <w:spacing w:line="276" w:lineRule="auto"/>
              <w:jc w:val="center"/>
              <w:rPr>
                <w:highlight w:val="none"/>
              </w:rPr>
            </w:pPr>
            <w:r>
              <w:rPr>
                <w:rFonts w:hint="eastAsia"/>
                <w:highlight w:val="none"/>
              </w:rPr>
              <w:t>备注说明</w:t>
            </w:r>
          </w:p>
        </w:tc>
      </w:tr>
      <w:tr w14:paraId="2FBCBA3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532B7C23">
            <w:pPr>
              <w:spacing w:line="276" w:lineRule="auto"/>
              <w:jc w:val="center"/>
              <w:rPr>
                <w:rFonts w:ascii="宋体"/>
                <w:szCs w:val="21"/>
                <w:highlight w:val="none"/>
              </w:rPr>
            </w:pPr>
          </w:p>
        </w:tc>
        <w:tc>
          <w:tcPr>
            <w:tcW w:w="2002" w:type="dxa"/>
            <w:vAlign w:val="center"/>
          </w:tcPr>
          <w:p w14:paraId="089880F9">
            <w:pPr>
              <w:spacing w:line="276" w:lineRule="auto"/>
              <w:jc w:val="center"/>
              <w:rPr>
                <w:rFonts w:ascii="宋体"/>
                <w:szCs w:val="21"/>
                <w:highlight w:val="none"/>
              </w:rPr>
            </w:pPr>
          </w:p>
        </w:tc>
        <w:tc>
          <w:tcPr>
            <w:tcW w:w="1745" w:type="dxa"/>
            <w:vAlign w:val="center"/>
          </w:tcPr>
          <w:p w14:paraId="66B946C2">
            <w:pPr>
              <w:spacing w:line="276" w:lineRule="auto"/>
              <w:jc w:val="center"/>
              <w:rPr>
                <w:rFonts w:ascii="宋体"/>
                <w:szCs w:val="21"/>
                <w:highlight w:val="none"/>
              </w:rPr>
            </w:pPr>
          </w:p>
        </w:tc>
        <w:tc>
          <w:tcPr>
            <w:tcW w:w="1861" w:type="dxa"/>
            <w:vAlign w:val="center"/>
          </w:tcPr>
          <w:p w14:paraId="17FD2969">
            <w:pPr>
              <w:spacing w:line="276" w:lineRule="auto"/>
              <w:jc w:val="center"/>
              <w:rPr>
                <w:rFonts w:ascii="宋体"/>
                <w:szCs w:val="21"/>
                <w:highlight w:val="none"/>
              </w:rPr>
            </w:pPr>
          </w:p>
        </w:tc>
        <w:tc>
          <w:tcPr>
            <w:tcW w:w="1854" w:type="dxa"/>
            <w:vAlign w:val="center"/>
          </w:tcPr>
          <w:p w14:paraId="1CC23F99">
            <w:pPr>
              <w:spacing w:line="276" w:lineRule="auto"/>
              <w:jc w:val="center"/>
              <w:rPr>
                <w:rFonts w:ascii="宋体"/>
                <w:szCs w:val="21"/>
                <w:highlight w:val="none"/>
              </w:rPr>
            </w:pPr>
          </w:p>
        </w:tc>
      </w:tr>
      <w:tr w14:paraId="5B1D605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159305A8">
            <w:pPr>
              <w:spacing w:line="276" w:lineRule="auto"/>
              <w:jc w:val="center"/>
              <w:rPr>
                <w:rFonts w:ascii="宋体"/>
                <w:szCs w:val="21"/>
                <w:highlight w:val="none"/>
              </w:rPr>
            </w:pPr>
          </w:p>
        </w:tc>
        <w:tc>
          <w:tcPr>
            <w:tcW w:w="2002" w:type="dxa"/>
            <w:vAlign w:val="center"/>
          </w:tcPr>
          <w:p w14:paraId="65D04E8F">
            <w:pPr>
              <w:spacing w:line="276" w:lineRule="auto"/>
              <w:jc w:val="center"/>
              <w:rPr>
                <w:rFonts w:ascii="宋体"/>
                <w:szCs w:val="21"/>
                <w:highlight w:val="none"/>
              </w:rPr>
            </w:pPr>
          </w:p>
        </w:tc>
        <w:tc>
          <w:tcPr>
            <w:tcW w:w="1745" w:type="dxa"/>
            <w:vAlign w:val="center"/>
          </w:tcPr>
          <w:p w14:paraId="0128ACF1">
            <w:pPr>
              <w:spacing w:line="276" w:lineRule="auto"/>
              <w:jc w:val="center"/>
              <w:rPr>
                <w:rFonts w:ascii="宋体"/>
                <w:szCs w:val="21"/>
                <w:highlight w:val="none"/>
              </w:rPr>
            </w:pPr>
          </w:p>
        </w:tc>
        <w:tc>
          <w:tcPr>
            <w:tcW w:w="1861" w:type="dxa"/>
            <w:vAlign w:val="center"/>
          </w:tcPr>
          <w:p w14:paraId="1B5F0CB1">
            <w:pPr>
              <w:spacing w:line="276" w:lineRule="auto"/>
              <w:jc w:val="center"/>
              <w:rPr>
                <w:rFonts w:ascii="宋体"/>
                <w:szCs w:val="21"/>
                <w:highlight w:val="none"/>
              </w:rPr>
            </w:pPr>
          </w:p>
        </w:tc>
        <w:tc>
          <w:tcPr>
            <w:tcW w:w="1854" w:type="dxa"/>
            <w:vAlign w:val="center"/>
          </w:tcPr>
          <w:p w14:paraId="0F4359BD">
            <w:pPr>
              <w:spacing w:line="276" w:lineRule="auto"/>
              <w:jc w:val="center"/>
              <w:rPr>
                <w:rFonts w:ascii="宋体"/>
                <w:szCs w:val="21"/>
                <w:highlight w:val="none"/>
              </w:rPr>
            </w:pPr>
          </w:p>
        </w:tc>
      </w:tr>
      <w:tr w14:paraId="0E9B988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617607FE">
            <w:pPr>
              <w:spacing w:line="276" w:lineRule="auto"/>
              <w:jc w:val="center"/>
              <w:rPr>
                <w:rFonts w:ascii="宋体"/>
                <w:szCs w:val="21"/>
                <w:highlight w:val="none"/>
              </w:rPr>
            </w:pPr>
          </w:p>
        </w:tc>
        <w:tc>
          <w:tcPr>
            <w:tcW w:w="2002" w:type="dxa"/>
            <w:vAlign w:val="center"/>
          </w:tcPr>
          <w:p w14:paraId="64274241">
            <w:pPr>
              <w:spacing w:line="276" w:lineRule="auto"/>
              <w:jc w:val="center"/>
              <w:rPr>
                <w:rFonts w:ascii="宋体"/>
                <w:szCs w:val="21"/>
                <w:highlight w:val="none"/>
              </w:rPr>
            </w:pPr>
          </w:p>
        </w:tc>
        <w:tc>
          <w:tcPr>
            <w:tcW w:w="1745" w:type="dxa"/>
            <w:vAlign w:val="center"/>
          </w:tcPr>
          <w:p w14:paraId="6C89C430">
            <w:pPr>
              <w:spacing w:line="276" w:lineRule="auto"/>
              <w:jc w:val="center"/>
              <w:rPr>
                <w:rFonts w:ascii="宋体"/>
                <w:szCs w:val="21"/>
                <w:highlight w:val="none"/>
              </w:rPr>
            </w:pPr>
          </w:p>
        </w:tc>
        <w:tc>
          <w:tcPr>
            <w:tcW w:w="1861" w:type="dxa"/>
            <w:vAlign w:val="center"/>
          </w:tcPr>
          <w:p w14:paraId="5DCC98CE">
            <w:pPr>
              <w:spacing w:line="276" w:lineRule="auto"/>
              <w:jc w:val="center"/>
              <w:rPr>
                <w:rFonts w:ascii="宋体"/>
                <w:szCs w:val="21"/>
                <w:highlight w:val="none"/>
              </w:rPr>
            </w:pPr>
          </w:p>
        </w:tc>
        <w:tc>
          <w:tcPr>
            <w:tcW w:w="1854" w:type="dxa"/>
            <w:vAlign w:val="center"/>
          </w:tcPr>
          <w:p w14:paraId="5E66902F">
            <w:pPr>
              <w:spacing w:line="276" w:lineRule="auto"/>
              <w:jc w:val="center"/>
              <w:rPr>
                <w:rFonts w:ascii="宋体"/>
                <w:szCs w:val="21"/>
                <w:highlight w:val="none"/>
              </w:rPr>
            </w:pPr>
          </w:p>
        </w:tc>
      </w:tr>
    </w:tbl>
    <w:p w14:paraId="6B373BEE">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（特别提示：以上表格仅供参考。投标人须按本招标文件评标信息中“认证情况”这一评分因素要求，提供证明资料）</w:t>
      </w:r>
    </w:p>
    <w:p w14:paraId="33CB7795">
      <w:pPr>
        <w:pStyle w:val="2"/>
        <w:spacing w:line="276" w:lineRule="auto"/>
        <w:rPr>
          <w:b w:val="0"/>
          <w:bCs w:val="0"/>
          <w:sz w:val="21"/>
          <w:szCs w:val="21"/>
          <w:highlight w:val="none"/>
        </w:rPr>
      </w:pPr>
    </w:p>
    <w:p w14:paraId="19D22E9F">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6C71D829">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八</w:t>
      </w:r>
      <w:r>
        <w:rPr>
          <w:rFonts w:hint="eastAsia" w:ascii="黑体" w:eastAsia="黑体"/>
          <w:b w:val="0"/>
          <w:kern w:val="0"/>
          <w:sz w:val="24"/>
          <w:szCs w:val="24"/>
          <w:highlight w:val="none"/>
        </w:rPr>
        <w:t>、获奖情况</w:t>
      </w:r>
    </w:p>
    <w:p w14:paraId="116612CD">
      <w:pPr>
        <w:pStyle w:val="2"/>
        <w:spacing w:line="276" w:lineRule="auto"/>
        <w:rPr>
          <w:b w:val="0"/>
          <w:bCs w:val="0"/>
          <w:sz w:val="21"/>
          <w:szCs w:val="21"/>
          <w:highlight w:val="none"/>
        </w:rPr>
      </w:pPr>
      <w:r>
        <w:rPr>
          <w:rFonts w:hint="eastAsia"/>
          <w:b w:val="0"/>
          <w:bCs w:val="0"/>
          <w:sz w:val="21"/>
          <w:szCs w:val="21"/>
          <w:highlight w:val="none"/>
        </w:rPr>
        <w:t>（特别提示：投标人须按本招标文件评标信息中“获奖情况”这一评分因素要求，提供证明资料）</w:t>
      </w:r>
    </w:p>
    <w:p w14:paraId="225B4FC9">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4BCD06F2">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九</w:t>
      </w:r>
      <w:r>
        <w:rPr>
          <w:rFonts w:hint="eastAsia" w:ascii="黑体" w:eastAsia="黑体"/>
          <w:b w:val="0"/>
          <w:kern w:val="0"/>
          <w:sz w:val="24"/>
          <w:szCs w:val="24"/>
          <w:highlight w:val="none"/>
        </w:rPr>
        <w:t>、自主知识产权产品（创新、设计）情况</w:t>
      </w:r>
    </w:p>
    <w:tbl>
      <w:tblPr>
        <w:tblStyle w:val="42"/>
        <w:tblW w:w="852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25371EE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9" w:hRule="atLeast"/>
          <w:jc w:val="center"/>
        </w:trPr>
        <w:tc>
          <w:tcPr>
            <w:tcW w:w="1067" w:type="dxa"/>
            <w:vAlign w:val="center"/>
          </w:tcPr>
          <w:p w14:paraId="0432C817">
            <w:pPr>
              <w:spacing w:line="276" w:lineRule="auto"/>
              <w:jc w:val="center"/>
              <w:rPr>
                <w:rFonts w:ascii="宋体"/>
                <w:szCs w:val="21"/>
                <w:highlight w:val="none"/>
              </w:rPr>
            </w:pPr>
            <w:r>
              <w:rPr>
                <w:rFonts w:hint="eastAsia" w:ascii="宋体" w:hAnsi="宋体"/>
                <w:szCs w:val="21"/>
                <w:highlight w:val="none"/>
              </w:rPr>
              <w:t>序号</w:t>
            </w:r>
          </w:p>
        </w:tc>
        <w:tc>
          <w:tcPr>
            <w:tcW w:w="2002" w:type="dxa"/>
            <w:vAlign w:val="center"/>
          </w:tcPr>
          <w:p w14:paraId="02F7922A">
            <w:pPr>
              <w:spacing w:line="276" w:lineRule="auto"/>
              <w:jc w:val="center"/>
              <w:rPr>
                <w:rFonts w:ascii="宋体"/>
                <w:szCs w:val="21"/>
                <w:highlight w:val="none"/>
              </w:rPr>
            </w:pPr>
            <w:r>
              <w:rPr>
                <w:rFonts w:hint="eastAsia" w:ascii="宋体" w:hAnsi="宋体"/>
                <w:szCs w:val="21"/>
                <w:highlight w:val="none"/>
              </w:rPr>
              <w:t>证书名称</w:t>
            </w:r>
          </w:p>
        </w:tc>
        <w:tc>
          <w:tcPr>
            <w:tcW w:w="1745" w:type="dxa"/>
            <w:vAlign w:val="center"/>
          </w:tcPr>
          <w:p w14:paraId="6099A6F5">
            <w:pPr>
              <w:spacing w:line="276" w:lineRule="auto"/>
              <w:jc w:val="center"/>
              <w:rPr>
                <w:rFonts w:ascii="宋体"/>
                <w:szCs w:val="21"/>
                <w:highlight w:val="none"/>
              </w:rPr>
            </w:pPr>
            <w:r>
              <w:rPr>
                <w:rFonts w:hint="eastAsia" w:ascii="宋体" w:hAnsi="宋体"/>
                <w:szCs w:val="21"/>
                <w:highlight w:val="none"/>
              </w:rPr>
              <w:t>证书有效期</w:t>
            </w:r>
          </w:p>
        </w:tc>
        <w:tc>
          <w:tcPr>
            <w:tcW w:w="1861" w:type="dxa"/>
            <w:vAlign w:val="center"/>
          </w:tcPr>
          <w:p w14:paraId="53BCEA55">
            <w:pPr>
              <w:spacing w:line="276" w:lineRule="auto"/>
              <w:jc w:val="center"/>
              <w:rPr>
                <w:rFonts w:ascii="宋体"/>
                <w:szCs w:val="21"/>
                <w:highlight w:val="none"/>
              </w:rPr>
            </w:pPr>
            <w:r>
              <w:rPr>
                <w:rFonts w:hint="eastAsia" w:ascii="宋体" w:hAnsi="宋体"/>
                <w:szCs w:val="21"/>
                <w:highlight w:val="none"/>
              </w:rPr>
              <w:t>证书颁发机构</w:t>
            </w:r>
          </w:p>
        </w:tc>
        <w:tc>
          <w:tcPr>
            <w:tcW w:w="1854" w:type="dxa"/>
            <w:vAlign w:val="center"/>
          </w:tcPr>
          <w:p w14:paraId="343D41D7">
            <w:pPr>
              <w:spacing w:line="276" w:lineRule="auto"/>
              <w:jc w:val="center"/>
              <w:rPr>
                <w:highlight w:val="none"/>
              </w:rPr>
            </w:pPr>
            <w:r>
              <w:rPr>
                <w:rFonts w:hint="eastAsia"/>
                <w:highlight w:val="none"/>
              </w:rPr>
              <w:t>备注说明</w:t>
            </w:r>
          </w:p>
        </w:tc>
      </w:tr>
      <w:tr w14:paraId="413CB47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0674AAC4">
            <w:pPr>
              <w:spacing w:line="276" w:lineRule="auto"/>
              <w:jc w:val="center"/>
              <w:rPr>
                <w:rFonts w:ascii="宋体"/>
                <w:szCs w:val="21"/>
                <w:highlight w:val="none"/>
              </w:rPr>
            </w:pPr>
          </w:p>
        </w:tc>
        <w:tc>
          <w:tcPr>
            <w:tcW w:w="2002" w:type="dxa"/>
            <w:vAlign w:val="center"/>
          </w:tcPr>
          <w:p w14:paraId="54469B46">
            <w:pPr>
              <w:spacing w:line="276" w:lineRule="auto"/>
              <w:jc w:val="center"/>
              <w:rPr>
                <w:rFonts w:ascii="宋体"/>
                <w:szCs w:val="21"/>
                <w:highlight w:val="none"/>
              </w:rPr>
            </w:pPr>
          </w:p>
        </w:tc>
        <w:tc>
          <w:tcPr>
            <w:tcW w:w="1745" w:type="dxa"/>
            <w:vAlign w:val="center"/>
          </w:tcPr>
          <w:p w14:paraId="1C3C4AEA">
            <w:pPr>
              <w:spacing w:line="276" w:lineRule="auto"/>
              <w:jc w:val="center"/>
              <w:rPr>
                <w:rFonts w:ascii="宋体"/>
                <w:szCs w:val="21"/>
                <w:highlight w:val="none"/>
              </w:rPr>
            </w:pPr>
          </w:p>
        </w:tc>
        <w:tc>
          <w:tcPr>
            <w:tcW w:w="1861" w:type="dxa"/>
            <w:vAlign w:val="center"/>
          </w:tcPr>
          <w:p w14:paraId="09FBE110">
            <w:pPr>
              <w:spacing w:line="276" w:lineRule="auto"/>
              <w:jc w:val="center"/>
              <w:rPr>
                <w:rFonts w:ascii="宋体"/>
                <w:szCs w:val="21"/>
                <w:highlight w:val="none"/>
              </w:rPr>
            </w:pPr>
          </w:p>
        </w:tc>
        <w:tc>
          <w:tcPr>
            <w:tcW w:w="1854" w:type="dxa"/>
            <w:vAlign w:val="center"/>
          </w:tcPr>
          <w:p w14:paraId="1729E708">
            <w:pPr>
              <w:spacing w:line="276" w:lineRule="auto"/>
              <w:jc w:val="center"/>
              <w:rPr>
                <w:rFonts w:ascii="宋体"/>
                <w:szCs w:val="21"/>
                <w:highlight w:val="none"/>
              </w:rPr>
            </w:pPr>
          </w:p>
        </w:tc>
      </w:tr>
      <w:tr w14:paraId="1E2B86F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6CC14AD6">
            <w:pPr>
              <w:spacing w:line="276" w:lineRule="auto"/>
              <w:jc w:val="center"/>
              <w:rPr>
                <w:rFonts w:ascii="宋体"/>
                <w:szCs w:val="21"/>
                <w:highlight w:val="none"/>
              </w:rPr>
            </w:pPr>
          </w:p>
        </w:tc>
        <w:tc>
          <w:tcPr>
            <w:tcW w:w="2002" w:type="dxa"/>
            <w:vAlign w:val="center"/>
          </w:tcPr>
          <w:p w14:paraId="2A6F282B">
            <w:pPr>
              <w:spacing w:line="276" w:lineRule="auto"/>
              <w:jc w:val="center"/>
              <w:rPr>
                <w:rFonts w:ascii="宋体"/>
                <w:szCs w:val="21"/>
                <w:highlight w:val="none"/>
              </w:rPr>
            </w:pPr>
          </w:p>
        </w:tc>
        <w:tc>
          <w:tcPr>
            <w:tcW w:w="1745" w:type="dxa"/>
            <w:vAlign w:val="center"/>
          </w:tcPr>
          <w:p w14:paraId="0AB9F742">
            <w:pPr>
              <w:spacing w:line="276" w:lineRule="auto"/>
              <w:jc w:val="center"/>
              <w:rPr>
                <w:rFonts w:ascii="宋体"/>
                <w:szCs w:val="21"/>
                <w:highlight w:val="none"/>
              </w:rPr>
            </w:pPr>
          </w:p>
        </w:tc>
        <w:tc>
          <w:tcPr>
            <w:tcW w:w="1861" w:type="dxa"/>
            <w:vAlign w:val="center"/>
          </w:tcPr>
          <w:p w14:paraId="2F05AE4C">
            <w:pPr>
              <w:spacing w:line="276" w:lineRule="auto"/>
              <w:jc w:val="center"/>
              <w:rPr>
                <w:rFonts w:ascii="宋体"/>
                <w:szCs w:val="21"/>
                <w:highlight w:val="none"/>
              </w:rPr>
            </w:pPr>
          </w:p>
        </w:tc>
        <w:tc>
          <w:tcPr>
            <w:tcW w:w="1854" w:type="dxa"/>
            <w:vAlign w:val="center"/>
          </w:tcPr>
          <w:p w14:paraId="771E7B64">
            <w:pPr>
              <w:spacing w:line="276" w:lineRule="auto"/>
              <w:jc w:val="center"/>
              <w:rPr>
                <w:rFonts w:ascii="宋体"/>
                <w:szCs w:val="21"/>
                <w:highlight w:val="none"/>
              </w:rPr>
            </w:pPr>
          </w:p>
        </w:tc>
      </w:tr>
      <w:tr w14:paraId="331DF66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3F94F0C1">
            <w:pPr>
              <w:spacing w:line="276" w:lineRule="auto"/>
              <w:jc w:val="center"/>
              <w:rPr>
                <w:rFonts w:ascii="宋体"/>
                <w:szCs w:val="21"/>
                <w:highlight w:val="none"/>
              </w:rPr>
            </w:pPr>
          </w:p>
        </w:tc>
        <w:tc>
          <w:tcPr>
            <w:tcW w:w="2002" w:type="dxa"/>
            <w:vAlign w:val="center"/>
          </w:tcPr>
          <w:p w14:paraId="1A61BB46">
            <w:pPr>
              <w:spacing w:line="276" w:lineRule="auto"/>
              <w:jc w:val="center"/>
              <w:rPr>
                <w:rFonts w:ascii="宋体"/>
                <w:szCs w:val="21"/>
                <w:highlight w:val="none"/>
              </w:rPr>
            </w:pPr>
          </w:p>
        </w:tc>
        <w:tc>
          <w:tcPr>
            <w:tcW w:w="1745" w:type="dxa"/>
            <w:vAlign w:val="center"/>
          </w:tcPr>
          <w:p w14:paraId="081EF9B6">
            <w:pPr>
              <w:spacing w:line="276" w:lineRule="auto"/>
              <w:jc w:val="center"/>
              <w:rPr>
                <w:rFonts w:ascii="宋体"/>
                <w:szCs w:val="21"/>
                <w:highlight w:val="none"/>
              </w:rPr>
            </w:pPr>
          </w:p>
        </w:tc>
        <w:tc>
          <w:tcPr>
            <w:tcW w:w="1861" w:type="dxa"/>
            <w:vAlign w:val="center"/>
          </w:tcPr>
          <w:p w14:paraId="44D5C690">
            <w:pPr>
              <w:spacing w:line="276" w:lineRule="auto"/>
              <w:jc w:val="center"/>
              <w:rPr>
                <w:rFonts w:ascii="宋体"/>
                <w:szCs w:val="21"/>
                <w:highlight w:val="none"/>
              </w:rPr>
            </w:pPr>
          </w:p>
        </w:tc>
        <w:tc>
          <w:tcPr>
            <w:tcW w:w="1854" w:type="dxa"/>
            <w:vAlign w:val="center"/>
          </w:tcPr>
          <w:p w14:paraId="5BC74227">
            <w:pPr>
              <w:spacing w:line="276" w:lineRule="auto"/>
              <w:jc w:val="center"/>
              <w:rPr>
                <w:rFonts w:ascii="宋体"/>
                <w:szCs w:val="21"/>
                <w:highlight w:val="none"/>
              </w:rPr>
            </w:pPr>
          </w:p>
        </w:tc>
      </w:tr>
    </w:tbl>
    <w:p w14:paraId="5F8FA8AB">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（特别提示：以上表格仅供参考。投标人须按本招标文件评标信息中“自主知识产权产品（创新、设计）情况”这一评分因素要求，提供证明资料）</w:t>
      </w:r>
    </w:p>
    <w:p w14:paraId="048F7053">
      <w:pPr>
        <w:widowControl/>
        <w:tabs>
          <w:tab w:val="left" w:pos="720"/>
        </w:tabs>
        <w:spacing w:line="360" w:lineRule="auto"/>
        <w:ind w:left="420"/>
        <w:jc w:val="left"/>
        <w:rPr>
          <w:rFonts w:ascii="黑体" w:hAnsi="宋体" w:eastAsia="黑体"/>
          <w:bCs/>
          <w:sz w:val="24"/>
          <w:highlight w:val="none"/>
        </w:rPr>
      </w:pPr>
    </w:p>
    <w:p w14:paraId="2917A17E">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5F822D91">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十</w:t>
      </w:r>
      <w:r>
        <w:rPr>
          <w:rFonts w:hint="eastAsia" w:ascii="黑体" w:eastAsia="黑体"/>
          <w:b w:val="0"/>
          <w:kern w:val="0"/>
          <w:sz w:val="24"/>
          <w:szCs w:val="24"/>
          <w:highlight w:val="none"/>
        </w:rPr>
        <w:t>、服务网点</w:t>
      </w:r>
    </w:p>
    <w:p w14:paraId="1C0FDCFC">
      <w:pPr>
        <w:spacing w:line="360" w:lineRule="auto"/>
        <w:jc w:val="center"/>
        <w:rPr>
          <w:b/>
          <w:bCs/>
          <w:sz w:val="24"/>
          <w:highlight w:val="none"/>
        </w:rPr>
      </w:pPr>
      <w:r>
        <w:rPr>
          <w:rFonts w:hint="eastAsia"/>
          <w:b/>
          <w:bCs/>
          <w:sz w:val="24"/>
          <w:highlight w:val="none"/>
        </w:rPr>
        <w:t>承诺函</w:t>
      </w:r>
    </w:p>
    <w:p w14:paraId="29B2D99A">
      <w:pPr>
        <w:spacing w:line="360" w:lineRule="auto"/>
        <w:rPr>
          <w:szCs w:val="21"/>
          <w:highlight w:val="none"/>
        </w:rPr>
      </w:pPr>
      <w:r>
        <w:rPr>
          <w:rFonts w:hint="eastAsia"/>
          <w:szCs w:val="21"/>
          <w:highlight w:val="none"/>
        </w:rPr>
        <w:t>致：深圳公共资源交易中心、采购人</w:t>
      </w:r>
    </w:p>
    <w:p w14:paraId="759AE36B">
      <w:pPr>
        <w:spacing w:line="360" w:lineRule="auto"/>
        <w:ind w:firstLine="420" w:firstLineChars="200"/>
        <w:rPr>
          <w:szCs w:val="21"/>
          <w:highlight w:val="none"/>
        </w:rPr>
      </w:pPr>
      <w:r>
        <w:rPr>
          <w:rFonts w:hint="eastAsia"/>
          <w:szCs w:val="21"/>
          <w:highlight w:val="none"/>
        </w:rPr>
        <w:t>我单位承诺，中标后为本项目提供本地服务网点，如不遵守相应承诺，愿按违约处理，并承担由此给采购人带来的损失。</w:t>
      </w:r>
    </w:p>
    <w:p w14:paraId="663118EE">
      <w:pPr>
        <w:spacing w:line="360" w:lineRule="auto"/>
        <w:ind w:right="960" w:firstLine="4830" w:firstLineChars="2300"/>
        <w:rPr>
          <w:szCs w:val="21"/>
          <w:highlight w:val="none"/>
        </w:rPr>
      </w:pPr>
      <w:r>
        <w:rPr>
          <w:rFonts w:hint="eastAsia"/>
          <w:szCs w:val="21"/>
          <w:highlight w:val="none"/>
        </w:rPr>
        <w:t xml:space="preserve">投标人：              </w:t>
      </w:r>
    </w:p>
    <w:p w14:paraId="006AE3DC">
      <w:pPr>
        <w:spacing w:line="360" w:lineRule="auto"/>
        <w:rPr>
          <w:szCs w:val="21"/>
          <w:highlight w:val="none"/>
        </w:rPr>
      </w:pPr>
      <w:r>
        <w:rPr>
          <w:rFonts w:hint="eastAsia"/>
          <w:szCs w:val="21"/>
          <w:highlight w:val="none"/>
        </w:rPr>
        <w:t xml:space="preserve">                                              日期：    年   月   日</w:t>
      </w:r>
    </w:p>
    <w:p w14:paraId="3159E6D3">
      <w:pPr>
        <w:spacing w:line="360" w:lineRule="auto"/>
        <w:rPr>
          <w:szCs w:val="21"/>
          <w:highlight w:val="none"/>
        </w:rPr>
      </w:pPr>
      <w:r>
        <w:rPr>
          <w:b/>
          <w:bCs/>
          <w:szCs w:val="21"/>
          <w:highlight w:val="none"/>
        </w:rPr>
        <w:t>特别提示：投标人需按以上模板要求提供承诺函，否则将按不得分处理</w:t>
      </w:r>
      <w:r>
        <w:rPr>
          <w:rFonts w:hint="eastAsia"/>
          <w:b/>
          <w:bCs/>
          <w:szCs w:val="21"/>
          <w:highlight w:val="none"/>
        </w:rPr>
        <w:t>。</w:t>
      </w:r>
    </w:p>
    <w:p w14:paraId="5CDCCA52">
      <w:pPr>
        <w:spacing w:line="360" w:lineRule="auto"/>
        <w:rPr>
          <w:rFonts w:hint="eastAsia"/>
          <w:szCs w:val="21"/>
          <w:highlight w:val="none"/>
        </w:rPr>
      </w:pPr>
      <w:r>
        <w:rPr>
          <w:rFonts w:hint="eastAsia"/>
          <w:szCs w:val="21"/>
          <w:highlight w:val="none"/>
        </w:rPr>
        <w:t>（特别提示：投标人须按本招标文件评标信息中“服务网点”这一评审因素要求，提供以上承诺函）</w:t>
      </w:r>
    </w:p>
    <w:p w14:paraId="5634F738">
      <w:pPr>
        <w:pStyle w:val="5"/>
        <w:spacing w:line="276" w:lineRule="auto"/>
        <w:jc w:val="center"/>
        <w:rPr>
          <w:rFonts w:ascii="黑体" w:eastAsia="黑体"/>
          <w:b w:val="0"/>
          <w:kern w:val="0"/>
          <w:sz w:val="24"/>
          <w:szCs w:val="24"/>
          <w:highlight w:val="none"/>
        </w:rPr>
      </w:pPr>
      <w:r>
        <w:rPr>
          <w:rFonts w:hint="eastAsia"/>
          <w:szCs w:val="21"/>
          <w:highlight w:val="none"/>
        </w:rPr>
        <w:br w:type="page"/>
      </w:r>
      <w:r>
        <w:rPr>
          <w:rFonts w:hint="eastAsia" w:ascii="黑体" w:eastAsia="黑体"/>
          <w:b w:val="0"/>
          <w:kern w:val="0"/>
          <w:sz w:val="24"/>
          <w:szCs w:val="24"/>
          <w:highlight w:val="none"/>
          <w:lang w:val="en-US" w:eastAsia="zh-CN"/>
        </w:rPr>
        <w:t>十一</w:t>
      </w:r>
      <w:r>
        <w:rPr>
          <w:rFonts w:hint="eastAsia" w:ascii="黑体" w:eastAsia="黑体"/>
          <w:b w:val="0"/>
          <w:kern w:val="0"/>
          <w:sz w:val="24"/>
          <w:szCs w:val="24"/>
          <w:highlight w:val="none"/>
        </w:rPr>
        <w:t>、投标人认为需要加以说明的其他内容（信息公开部分）</w:t>
      </w:r>
    </w:p>
    <w:p w14:paraId="58AA8AC1">
      <w:pPr>
        <w:spacing w:line="240" w:lineRule="auto"/>
        <w:rPr>
          <w:rFonts w:hint="eastAsia"/>
          <w:szCs w:val="21"/>
          <w:highlight w:val="none"/>
        </w:rPr>
      </w:pPr>
    </w:p>
    <w:p w14:paraId="00B3DEBD">
      <w:pPr>
        <w:pStyle w:val="50"/>
        <w:rPr>
          <w:highlight w:val="none"/>
        </w:rPr>
      </w:pPr>
    </w:p>
    <w:p w14:paraId="6FD2B9C0">
      <w:pPr>
        <w:pStyle w:val="9"/>
        <w:rPr>
          <w:highlight w:val="none"/>
        </w:rPr>
      </w:pPr>
    </w:p>
    <w:p w14:paraId="24FA2750">
      <w:pPr>
        <w:rPr>
          <w:rFonts w:hint="default" w:eastAsia="宋体"/>
          <w:highlight w:val="none"/>
          <w:lang w:val="en-US" w:eastAsia="zh-CN"/>
        </w:rPr>
      </w:pPr>
    </w:p>
    <w:p w14:paraId="58E3F735">
      <w:pPr>
        <w:rPr>
          <w:rFonts w:hint="eastAsia"/>
          <w:b/>
          <w:color w:val="FF0000"/>
          <w:sz w:val="24"/>
          <w:highlight w:val="none"/>
        </w:rPr>
      </w:pPr>
      <w:r>
        <w:rPr>
          <w:rFonts w:hint="eastAsia"/>
          <w:b/>
          <w:color w:val="FF0000"/>
          <w:sz w:val="24"/>
          <w:highlight w:val="none"/>
        </w:rPr>
        <w:br w:type="page"/>
      </w:r>
    </w:p>
    <w:p w14:paraId="1027BC38">
      <w:pPr>
        <w:ind w:firstLine="1446" w:firstLineChars="600"/>
        <w:rPr>
          <w:highlight w:val="none"/>
        </w:rPr>
      </w:pPr>
      <w:r>
        <w:rPr>
          <w:rFonts w:hint="eastAsia"/>
          <w:b/>
          <w:color w:val="FF0000"/>
          <w:sz w:val="24"/>
          <w:highlight w:val="none"/>
        </w:rPr>
        <w:t>（信息公开部分的内容到此为止！以下为信息不公开部分。）</w:t>
      </w:r>
    </w:p>
    <w:p w14:paraId="093BC5B4">
      <w:pPr>
        <w:outlineLvl w:val="1"/>
        <w:rPr>
          <w:rFonts w:hint="eastAsia" w:ascii="宋体" w:hAnsi="宋体"/>
          <w:b/>
          <w:color w:val="FF0000"/>
          <w:sz w:val="28"/>
          <w:szCs w:val="28"/>
          <w:highlight w:val="none"/>
        </w:rPr>
      </w:pPr>
    </w:p>
    <w:p w14:paraId="09E51DC5">
      <w:pPr>
        <w:outlineLvl w:val="1"/>
        <w:rPr>
          <w:rFonts w:ascii="宋体" w:hAnsi="宋体"/>
          <w:b/>
          <w:color w:val="FF0000"/>
          <w:sz w:val="28"/>
          <w:szCs w:val="28"/>
          <w:highlight w:val="none"/>
        </w:rPr>
      </w:pPr>
      <w:r>
        <w:rPr>
          <w:rFonts w:hint="eastAsia" w:ascii="宋体" w:hAnsi="宋体"/>
          <w:b/>
          <w:color w:val="FF0000"/>
          <w:sz w:val="28"/>
          <w:szCs w:val="28"/>
          <w:highlight w:val="none"/>
        </w:rPr>
        <w:t>投标文件附件（信息不公开部分）</w:t>
      </w:r>
    </w:p>
    <w:p w14:paraId="79005766">
      <w:pPr>
        <w:widowControl w:val="0"/>
        <w:snapToGrid w:val="0"/>
        <w:spacing w:before="0" w:after="0" w:line="240" w:lineRule="auto"/>
        <w:jc w:val="center"/>
        <w:outlineLvl w:val="0"/>
        <w:rPr>
          <w:rFonts w:hint="eastAsia" w:ascii="黑体" w:hAnsi="宋体" w:eastAsia="黑体" w:cs="Times New Roman"/>
          <w:b w:val="0"/>
          <w:bCs/>
          <w:kern w:val="2"/>
          <w:sz w:val="24"/>
          <w:szCs w:val="32"/>
          <w:highlight w:val="none"/>
          <w:lang w:val="en-US" w:eastAsia="zh-CN" w:bidi="ar-SA"/>
        </w:rPr>
      </w:pPr>
      <w:r>
        <w:rPr>
          <w:rFonts w:hint="eastAsia" w:ascii="黑体" w:hAnsi="宋体" w:eastAsia="黑体" w:cs="Times New Roman"/>
          <w:b w:val="0"/>
          <w:bCs/>
          <w:kern w:val="2"/>
          <w:sz w:val="24"/>
          <w:szCs w:val="32"/>
          <w:highlight w:val="none"/>
          <w:lang w:val="en-US" w:eastAsia="zh-CN" w:bidi="ar-SA"/>
        </w:rPr>
        <w:t>一、供应商基本情况表</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43AB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14:paraId="39D1F1EE">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投标（响应）供应商</w:t>
            </w:r>
          </w:p>
        </w:tc>
        <w:tc>
          <w:tcPr>
            <w:tcW w:w="1427" w:type="pct"/>
            <w:gridSpan w:val="2"/>
            <w:noWrap w:val="0"/>
            <w:vAlign w:val="center"/>
          </w:tcPr>
          <w:p w14:paraId="4ACA8777">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430FE901">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项目名称及编号</w:t>
            </w:r>
          </w:p>
        </w:tc>
        <w:tc>
          <w:tcPr>
            <w:tcW w:w="1669" w:type="pct"/>
            <w:gridSpan w:val="2"/>
            <w:noWrap w:val="0"/>
            <w:vAlign w:val="center"/>
          </w:tcPr>
          <w:p w14:paraId="21B24F46">
            <w:pPr>
              <w:jc w:val="center"/>
              <w:rPr>
                <w:rFonts w:hint="eastAsia" w:ascii="宋体" w:hAnsi="宋体" w:eastAsia="宋体" w:cs="宋体"/>
                <w:color w:val="auto"/>
                <w:sz w:val="21"/>
                <w:szCs w:val="21"/>
                <w:highlight w:val="none"/>
                <w:vertAlign w:val="baseline"/>
                <w:lang w:val="en-US" w:eastAsia="zh-CN"/>
              </w:rPr>
            </w:pPr>
          </w:p>
        </w:tc>
      </w:tr>
      <w:tr w14:paraId="3C4C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6D79F176">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投标（响应）供应商相关人员情况</w:t>
            </w:r>
          </w:p>
        </w:tc>
      </w:tr>
      <w:tr w14:paraId="79BE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182A69B">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275" w:type="pct"/>
            <w:gridSpan w:val="2"/>
            <w:tcBorders>
              <w:bottom w:val="single" w:color="auto" w:sz="4" w:space="0"/>
            </w:tcBorders>
            <w:noWrap w:val="0"/>
            <w:vAlign w:val="center"/>
          </w:tcPr>
          <w:p w14:paraId="7F88295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529" w:type="pct"/>
            <w:tcBorders>
              <w:bottom w:val="single" w:color="auto" w:sz="4" w:space="0"/>
            </w:tcBorders>
            <w:noWrap w:val="0"/>
            <w:vAlign w:val="center"/>
          </w:tcPr>
          <w:p w14:paraId="364C31A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113" w:type="pct"/>
            <w:gridSpan w:val="2"/>
            <w:tcBorders>
              <w:bottom w:val="single" w:color="auto" w:sz="4" w:space="0"/>
            </w:tcBorders>
            <w:noWrap w:val="0"/>
            <w:vAlign w:val="center"/>
          </w:tcPr>
          <w:p w14:paraId="3DD0E2A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838" w:type="pct"/>
            <w:tcBorders>
              <w:bottom w:val="single" w:color="auto" w:sz="4" w:space="0"/>
            </w:tcBorders>
            <w:noWrap w:val="0"/>
            <w:vAlign w:val="center"/>
          </w:tcPr>
          <w:p w14:paraId="4B15F06C">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w:t>
            </w:r>
          </w:p>
          <w:p w14:paraId="2FE6F584">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关系单位</w:t>
            </w:r>
          </w:p>
        </w:tc>
        <w:tc>
          <w:tcPr>
            <w:tcW w:w="830" w:type="pct"/>
            <w:tcBorders>
              <w:bottom w:val="single" w:color="auto" w:sz="4" w:space="0"/>
            </w:tcBorders>
            <w:noWrap w:val="0"/>
            <w:vAlign w:val="center"/>
          </w:tcPr>
          <w:p w14:paraId="54167C56">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w:t>
            </w:r>
          </w:p>
          <w:p w14:paraId="79D75930">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保险单位</w:t>
            </w:r>
          </w:p>
        </w:tc>
      </w:tr>
      <w:tr w14:paraId="1633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FB0416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766B26F5">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94AA159">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79852F33">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21813191">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28AF1501">
            <w:pPr>
              <w:jc w:val="center"/>
              <w:rPr>
                <w:rFonts w:hint="eastAsia" w:ascii="宋体" w:hAnsi="宋体" w:eastAsia="宋体" w:cs="宋体"/>
                <w:color w:val="auto"/>
                <w:sz w:val="21"/>
                <w:szCs w:val="21"/>
                <w:highlight w:val="none"/>
                <w:vertAlign w:val="baseline"/>
                <w:lang w:val="en-US" w:eastAsia="zh-CN"/>
              </w:rPr>
            </w:pPr>
          </w:p>
        </w:tc>
      </w:tr>
      <w:tr w14:paraId="6A35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DEE41AB">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6055F2A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53F44EB3">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59144300">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75C24381">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781C517C">
            <w:pPr>
              <w:jc w:val="center"/>
              <w:rPr>
                <w:rFonts w:hint="eastAsia" w:ascii="宋体" w:hAnsi="宋体" w:eastAsia="宋体" w:cs="宋体"/>
                <w:color w:val="auto"/>
                <w:sz w:val="21"/>
                <w:szCs w:val="21"/>
                <w:highlight w:val="none"/>
                <w:vertAlign w:val="baseline"/>
                <w:lang w:val="en-US" w:eastAsia="zh-CN"/>
              </w:rPr>
            </w:pPr>
          </w:p>
        </w:tc>
      </w:tr>
      <w:tr w14:paraId="17EB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4FB33BBF">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3</w:t>
            </w:r>
          </w:p>
        </w:tc>
        <w:tc>
          <w:tcPr>
            <w:tcW w:w="1275" w:type="pct"/>
            <w:gridSpan w:val="2"/>
            <w:tcBorders>
              <w:top w:val="single" w:color="auto" w:sz="4" w:space="0"/>
            </w:tcBorders>
            <w:noWrap w:val="0"/>
            <w:vAlign w:val="center"/>
          </w:tcPr>
          <w:p w14:paraId="5FB6868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37AC6F31">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tcBorders>
            <w:noWrap w:val="0"/>
            <w:vAlign w:val="center"/>
          </w:tcPr>
          <w:p w14:paraId="70DEE5CF">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tcBorders>
            <w:noWrap w:val="0"/>
            <w:vAlign w:val="center"/>
          </w:tcPr>
          <w:p w14:paraId="1B5075D3">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tcBorders>
            <w:noWrap w:val="0"/>
            <w:vAlign w:val="center"/>
          </w:tcPr>
          <w:p w14:paraId="4A12B7EF">
            <w:pPr>
              <w:jc w:val="center"/>
              <w:rPr>
                <w:rFonts w:hint="eastAsia" w:ascii="宋体" w:hAnsi="宋体" w:eastAsia="宋体" w:cs="宋体"/>
                <w:color w:val="auto"/>
                <w:sz w:val="21"/>
                <w:szCs w:val="21"/>
                <w:highlight w:val="none"/>
                <w:vertAlign w:val="baseline"/>
                <w:lang w:val="en-US" w:eastAsia="zh-CN"/>
              </w:rPr>
            </w:pPr>
          </w:p>
        </w:tc>
      </w:tr>
      <w:tr w14:paraId="3BAA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42432594">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4</w:t>
            </w:r>
          </w:p>
        </w:tc>
        <w:tc>
          <w:tcPr>
            <w:tcW w:w="1275" w:type="pct"/>
            <w:gridSpan w:val="2"/>
            <w:noWrap w:val="0"/>
            <w:vAlign w:val="center"/>
          </w:tcPr>
          <w:p w14:paraId="62B4D1CE">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2F5A5BD8">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3F31A569">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08007A53">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2A9BB448">
            <w:pPr>
              <w:jc w:val="center"/>
              <w:rPr>
                <w:rFonts w:hint="eastAsia" w:ascii="宋体" w:hAnsi="宋体" w:eastAsia="宋体" w:cs="宋体"/>
                <w:color w:val="auto"/>
                <w:sz w:val="21"/>
                <w:szCs w:val="21"/>
                <w:highlight w:val="none"/>
                <w:vertAlign w:val="baseline"/>
                <w:lang w:val="en-US" w:eastAsia="zh-CN"/>
              </w:rPr>
            </w:pPr>
          </w:p>
        </w:tc>
      </w:tr>
      <w:tr w14:paraId="7E94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21B9ED25">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5</w:t>
            </w:r>
          </w:p>
        </w:tc>
        <w:tc>
          <w:tcPr>
            <w:tcW w:w="1275" w:type="pct"/>
            <w:gridSpan w:val="2"/>
            <w:noWrap w:val="0"/>
            <w:vAlign w:val="center"/>
          </w:tcPr>
          <w:p w14:paraId="7A6673CE">
            <w:pPr>
              <w:widowControl w:val="0"/>
              <w:snapToGrid w:val="0"/>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5A3E54B1">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3DA472D7">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6BBD18B4">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59D5D4DC">
            <w:pPr>
              <w:jc w:val="center"/>
              <w:rPr>
                <w:rFonts w:hint="eastAsia" w:ascii="宋体" w:hAnsi="宋体" w:eastAsia="宋体" w:cs="宋体"/>
                <w:color w:val="auto"/>
                <w:sz w:val="21"/>
                <w:szCs w:val="21"/>
                <w:highlight w:val="none"/>
                <w:vertAlign w:val="baseline"/>
                <w:lang w:val="en-US" w:eastAsia="zh-CN"/>
              </w:rPr>
            </w:pPr>
          </w:p>
        </w:tc>
      </w:tr>
      <w:tr w14:paraId="1E2F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7EC67F14">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4C27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769C23DF">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投标（响应）供应商关联关系情况</w:t>
            </w:r>
          </w:p>
        </w:tc>
      </w:tr>
      <w:tr w14:paraId="178B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966E1E9">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序号</w:t>
            </w:r>
          </w:p>
        </w:tc>
        <w:tc>
          <w:tcPr>
            <w:tcW w:w="1275" w:type="pct"/>
            <w:gridSpan w:val="2"/>
            <w:tcBorders>
              <w:bottom w:val="single" w:color="auto" w:sz="4" w:space="0"/>
            </w:tcBorders>
            <w:noWrap w:val="0"/>
            <w:vAlign w:val="center"/>
          </w:tcPr>
          <w:p w14:paraId="57626BB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055E1FE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33D6C4AE">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6B70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6E7FA8A1">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4845B75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24A48990">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D505B65">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831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66A9A71E">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5A49E20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2C9E9A02">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529B542">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2D8B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066C1B65">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36FD5194">
      <w:pPr>
        <w:pStyle w:val="50"/>
        <w:rPr>
          <w:rFonts w:hint="eastAsia" w:ascii="宋体" w:hAnsi="宋体"/>
          <w:b/>
          <w:color w:val="FF0000"/>
          <w:sz w:val="28"/>
          <w:szCs w:val="28"/>
          <w:highlight w:val="none"/>
        </w:rPr>
      </w:pPr>
    </w:p>
    <w:p w14:paraId="7505D266">
      <w:pPr>
        <w:pStyle w:val="5"/>
        <w:jc w:val="center"/>
        <w:rPr>
          <w:rFonts w:ascii="黑体" w:eastAsia="黑体"/>
          <w:b w:val="0"/>
          <w:sz w:val="24"/>
          <w:highlight w:val="none"/>
        </w:rPr>
      </w:pPr>
      <w:r>
        <w:rPr>
          <w:rFonts w:hint="eastAsia" w:ascii="黑体" w:eastAsia="黑体"/>
          <w:b w:val="0"/>
          <w:sz w:val="24"/>
          <w:highlight w:val="none"/>
          <w:lang w:val="en-US" w:eastAsia="zh-CN"/>
        </w:rPr>
        <w:t>二</w:t>
      </w:r>
      <w:r>
        <w:rPr>
          <w:rFonts w:hint="eastAsia" w:ascii="黑体" w:eastAsia="黑体"/>
          <w:b w:val="0"/>
          <w:sz w:val="24"/>
          <w:highlight w:val="none"/>
        </w:rPr>
        <w:t>、</w:t>
      </w:r>
      <w:bookmarkStart w:id="40" w:name="_Hlk72092499"/>
      <w:r>
        <w:rPr>
          <w:rFonts w:hint="eastAsia" w:ascii="黑体" w:eastAsia="黑体"/>
          <w:b w:val="0"/>
          <w:sz w:val="24"/>
          <w:highlight w:val="none"/>
        </w:rPr>
        <w:t>法定代表人（负责人）证明书</w:t>
      </w:r>
      <w:bookmarkEnd w:id="40"/>
    </w:p>
    <w:p w14:paraId="30648054">
      <w:pPr>
        <w:rPr>
          <w:sz w:val="24"/>
          <w:highlight w:val="none"/>
        </w:rPr>
      </w:pPr>
    </w:p>
    <w:p w14:paraId="5F642C54">
      <w:pPr>
        <w:spacing w:line="360" w:lineRule="auto"/>
        <w:ind w:firstLine="420" w:firstLineChars="200"/>
        <w:rPr>
          <w:rFonts w:hint="default" w:eastAsia="宋体"/>
          <w:szCs w:val="21"/>
          <w:highlight w:val="none"/>
          <w:lang w:val="en-US" w:eastAsia="zh-CN"/>
        </w:rPr>
      </w:pP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姓名</w:t>
      </w:r>
      <w:r>
        <w:rPr>
          <w:rFonts w:hint="eastAsia" w:eastAsia="宋体"/>
          <w:szCs w:val="21"/>
          <w:highlight w:val="none"/>
          <w:u w:val="none"/>
          <w:lang w:eastAsia="zh-CN"/>
        </w:rPr>
        <w:t>）</w:t>
      </w:r>
      <w:r>
        <w:rPr>
          <w:rFonts w:hint="eastAsia"/>
          <w:szCs w:val="21"/>
          <w:highlight w:val="none"/>
        </w:rPr>
        <w:t>，现任我单位</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rPr>
        <w:t>职务，为法定代表人（负责人），</w:t>
      </w:r>
      <w:r>
        <w:rPr>
          <w:rFonts w:hint="eastAsia" w:ascii="Times New Roman" w:eastAsia="宋体"/>
          <w:szCs w:val="21"/>
          <w:highlight w:val="none"/>
          <w:lang w:val="en-US" w:eastAsia="zh-CN"/>
        </w:rPr>
        <w:t>身份证件</w:t>
      </w:r>
      <w:r>
        <w:rPr>
          <w:rFonts w:hint="eastAsia"/>
          <w:szCs w:val="21"/>
          <w:highlight w:val="none"/>
        </w:rPr>
        <w:t>号</w:t>
      </w:r>
      <w:r>
        <w:rPr>
          <w:rFonts w:hint="eastAsia" w:ascii="Times New Roman" w:eastAsia="宋体"/>
          <w:szCs w:val="21"/>
          <w:highlight w:val="none"/>
          <w:lang w:val="en-US" w:eastAsia="zh-CN"/>
        </w:rPr>
        <w:t>为</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联系电话：</w:t>
      </w:r>
      <w:r>
        <w:rPr>
          <w:rFonts w:hint="eastAsia" w:ascii="Times New Roman" w:eastAsia="宋体"/>
          <w:szCs w:val="21"/>
          <w:highlight w:val="none"/>
          <w:u w:val="single"/>
          <w:lang w:val="en-US" w:eastAsia="zh-CN"/>
        </w:rPr>
        <w:t xml:space="preserve">                </w:t>
      </w:r>
      <w:r>
        <w:rPr>
          <w:rFonts w:hint="eastAsia" w:ascii="Times New Roman" w:eastAsia="宋体"/>
          <w:szCs w:val="21"/>
          <w:highlight w:val="none"/>
          <w:lang w:val="en-US" w:eastAsia="zh-CN"/>
        </w:rPr>
        <w:t>。</w:t>
      </w:r>
    </w:p>
    <w:p w14:paraId="224D0C08">
      <w:pPr>
        <w:spacing w:line="360" w:lineRule="auto"/>
        <w:ind w:firstLine="420" w:firstLineChars="200"/>
        <w:rPr>
          <w:szCs w:val="21"/>
          <w:highlight w:val="none"/>
        </w:rPr>
      </w:pPr>
      <w:r>
        <w:rPr>
          <w:rFonts w:hint="eastAsia"/>
          <w:szCs w:val="21"/>
          <w:highlight w:val="none"/>
        </w:rPr>
        <w:t>特此证明。</w:t>
      </w:r>
    </w:p>
    <w:p w14:paraId="420D1953">
      <w:pPr>
        <w:spacing w:line="360" w:lineRule="auto"/>
        <w:ind w:firstLine="420" w:firstLineChars="200"/>
        <w:rPr>
          <w:rFonts w:hint="eastAsia"/>
          <w:szCs w:val="21"/>
          <w:highlight w:val="none"/>
        </w:rPr>
      </w:pPr>
      <w:r>
        <w:rPr>
          <w:rFonts w:hint="eastAsia"/>
          <w:szCs w:val="21"/>
          <w:highlight w:val="none"/>
        </w:rPr>
        <w:t>说明：1</w:t>
      </w:r>
      <w:r>
        <w:rPr>
          <w:rFonts w:hint="eastAsia"/>
          <w:szCs w:val="21"/>
          <w:highlight w:val="none"/>
          <w:lang w:val="en-US" w:eastAsia="zh-CN"/>
        </w:rPr>
        <w:t>.</w:t>
      </w:r>
      <w:r>
        <w:rPr>
          <w:rFonts w:hint="eastAsia"/>
          <w:szCs w:val="21"/>
          <w:highlight w:val="none"/>
        </w:rPr>
        <w:t>法定代表人为投标人（企业事业单位、国家机关、社会团体）的主要行政负责人。</w:t>
      </w:r>
    </w:p>
    <w:p w14:paraId="6147EE95">
      <w:pPr>
        <w:numPr>
          <w:ilvl w:val="0"/>
          <w:numId w:val="0"/>
        </w:num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eastAsia" w:eastAsia="宋体"/>
          <w:color w:val="auto"/>
          <w:szCs w:val="21"/>
          <w:highlight w:val="none"/>
          <w:lang w:eastAsia="zh-Hans"/>
        </w:rPr>
        <w:t>本证明书要供法定代表人（负责人）</w:t>
      </w:r>
      <w:r>
        <w:rPr>
          <w:rFonts w:hint="eastAsia" w:ascii="Times New Roman" w:eastAsia="宋体"/>
          <w:color w:val="auto"/>
          <w:szCs w:val="21"/>
          <w:highlight w:val="none"/>
          <w:lang w:val="en-US" w:eastAsia="zh-CN"/>
        </w:rPr>
        <w:t>相关身份证明文件：身份证扫描件（正反两面）</w:t>
      </w:r>
      <w:r>
        <w:rPr>
          <w:rFonts w:hint="eastAsia"/>
          <w:color w:val="auto"/>
          <w:szCs w:val="21"/>
          <w:highlight w:val="none"/>
          <w:lang w:val="en-US" w:eastAsia="zh-CN"/>
        </w:rPr>
        <w:t>方为有效</w:t>
      </w:r>
      <w:r>
        <w:rPr>
          <w:rFonts w:hint="eastAsia" w:ascii="Times New Roman" w:eastAsia="宋体"/>
          <w:color w:val="auto"/>
          <w:szCs w:val="21"/>
          <w:highlight w:val="none"/>
          <w:lang w:val="en-US" w:eastAsia="zh-CN"/>
        </w:rPr>
        <w:t>；港澳台居民可提供来往通行证扫描件；非中国国籍管辖范围人员，可提供公安部门认可的身份证明材料扫描件。</w:t>
      </w:r>
    </w:p>
    <w:p w14:paraId="103FB293">
      <w:pPr>
        <w:numPr>
          <w:ilvl w:val="0"/>
          <w:numId w:val="0"/>
        </w:numPr>
        <w:spacing w:line="360" w:lineRule="auto"/>
        <w:ind w:firstLine="420" w:firstLineChars="200"/>
        <w:rPr>
          <w:szCs w:val="21"/>
          <w:highlight w:val="none"/>
        </w:rPr>
      </w:pPr>
      <w:r>
        <w:rPr>
          <w:rFonts w:hint="eastAsia"/>
          <w:color w:val="auto"/>
          <w:szCs w:val="21"/>
          <w:highlight w:val="none"/>
          <w:lang w:val="en-US" w:eastAsia="zh-CN"/>
        </w:rPr>
        <w:t>3.</w:t>
      </w:r>
      <w:r>
        <w:rPr>
          <w:rFonts w:hint="eastAsia" w:eastAsia="宋体"/>
          <w:color w:val="auto"/>
          <w:szCs w:val="21"/>
          <w:highlight w:val="none"/>
          <w:lang w:eastAsia="zh-Hans"/>
        </w:rPr>
        <w:t>本项目投标授权代表为法定代表人（负责人）的，无需提供</w:t>
      </w:r>
      <w:r>
        <w:rPr>
          <w:rFonts w:hint="eastAsia"/>
          <w:color w:val="auto"/>
          <w:szCs w:val="21"/>
          <w:highlight w:val="none"/>
        </w:rPr>
        <w:t>《投标文件签署授权委托书》</w:t>
      </w:r>
      <w:r>
        <w:rPr>
          <w:rFonts w:hint="eastAsia" w:eastAsia="宋体"/>
          <w:color w:val="auto"/>
          <w:szCs w:val="21"/>
          <w:highlight w:val="none"/>
          <w:lang w:eastAsia="zh-Hans"/>
        </w:rPr>
        <w:t>。</w:t>
      </w:r>
    </w:p>
    <w:p w14:paraId="36697D4E">
      <w:pPr>
        <w:numPr>
          <w:ilvl w:val="0"/>
          <w:numId w:val="0"/>
        </w:numPr>
        <w:spacing w:line="360" w:lineRule="auto"/>
        <w:ind w:firstLine="420" w:firstLineChars="200"/>
        <w:rPr>
          <w:szCs w:val="21"/>
          <w:highlight w:val="none"/>
        </w:rPr>
      </w:pPr>
      <w:r>
        <w:rPr>
          <w:rFonts w:hint="eastAsia"/>
          <w:szCs w:val="21"/>
          <w:highlight w:val="none"/>
          <w:lang w:val="en-US" w:eastAsia="zh-CN"/>
        </w:rPr>
        <w:t>4.</w:t>
      </w:r>
      <w:r>
        <w:rPr>
          <w:rFonts w:hint="eastAsia"/>
          <w:szCs w:val="21"/>
          <w:highlight w:val="none"/>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66E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343DAE72">
            <w:pPr>
              <w:jc w:val="center"/>
              <w:rPr>
                <w:rFonts w:hint="eastAsia"/>
                <w:highlight w:val="none"/>
                <w:lang w:val="en-US" w:eastAsia="zh-CN"/>
              </w:rPr>
            </w:pPr>
            <w:r>
              <w:rPr>
                <w:rFonts w:hint="eastAsia" w:ascii="Times New Roman" w:eastAsia="宋体"/>
                <w:highlight w:val="none"/>
                <w:lang w:val="en-US" w:eastAsia="zh-CN"/>
              </w:rPr>
              <w:t>证件扫描件正面</w:t>
            </w:r>
          </w:p>
          <w:p w14:paraId="36D23E36">
            <w:pPr>
              <w:pStyle w:val="2"/>
              <w:jc w:val="center"/>
              <w:rPr>
                <w:rFonts w:hint="eastAsia"/>
                <w:highlight w:val="none"/>
                <w:lang w:val="en-US" w:eastAsia="zh-CN"/>
              </w:rPr>
            </w:pPr>
            <w:r>
              <w:rPr>
                <w:rFonts w:hint="eastAsia"/>
                <w:highlight w:val="none"/>
                <w:lang w:val="en-US" w:eastAsia="zh-CN"/>
              </w:rPr>
              <w:t xml:space="preserve"> </w:t>
            </w:r>
          </w:p>
          <w:p w14:paraId="65F40386">
            <w:pPr>
              <w:pStyle w:val="36"/>
              <w:rPr>
                <w:rFonts w:hint="eastAsia"/>
                <w:highlight w:val="none"/>
                <w:lang w:val="en-US" w:eastAsia="zh-CN"/>
              </w:rPr>
            </w:pPr>
          </w:p>
          <w:p w14:paraId="43479CB0">
            <w:pPr>
              <w:pStyle w:val="36"/>
              <w:rPr>
                <w:rFonts w:hint="eastAsia"/>
                <w:highlight w:val="none"/>
                <w:lang w:val="en-US" w:eastAsia="zh-CN"/>
              </w:rPr>
            </w:pPr>
          </w:p>
          <w:p w14:paraId="69C8A563">
            <w:pPr>
              <w:pStyle w:val="36"/>
              <w:rPr>
                <w:rFonts w:hint="eastAsia"/>
                <w:highlight w:val="none"/>
                <w:lang w:val="en-US" w:eastAsia="zh-CN"/>
              </w:rPr>
            </w:pPr>
          </w:p>
          <w:p w14:paraId="47B0B9E9">
            <w:pPr>
              <w:pStyle w:val="36"/>
              <w:rPr>
                <w:rFonts w:hint="default"/>
                <w:highlight w:val="none"/>
                <w:lang w:val="en-US" w:eastAsia="zh-CN"/>
              </w:rPr>
            </w:pPr>
          </w:p>
          <w:p w14:paraId="3218D66D">
            <w:pPr>
              <w:pStyle w:val="36"/>
              <w:jc w:val="center"/>
              <w:rPr>
                <w:rFonts w:hint="default"/>
                <w:highlight w:val="none"/>
                <w:lang w:val="en-US" w:eastAsia="zh-CN"/>
              </w:rPr>
            </w:pPr>
          </w:p>
        </w:tc>
        <w:tc>
          <w:tcPr>
            <w:tcW w:w="4265" w:type="dxa"/>
            <w:vAlign w:val="top"/>
          </w:tcPr>
          <w:p w14:paraId="74817A56">
            <w:pPr>
              <w:jc w:val="center"/>
              <w:rPr>
                <w:rFonts w:hint="eastAsia"/>
                <w:highlight w:val="none"/>
                <w:lang w:val="en-US" w:eastAsia="zh-CN"/>
              </w:rPr>
            </w:pPr>
            <w:r>
              <w:rPr>
                <w:rFonts w:hint="eastAsia" w:ascii="Times New Roman" w:eastAsia="宋体"/>
                <w:highlight w:val="none"/>
                <w:lang w:val="en-US" w:eastAsia="zh-CN"/>
              </w:rPr>
              <w:t>证件扫描件反面</w:t>
            </w:r>
          </w:p>
          <w:p w14:paraId="39D73F47">
            <w:pPr>
              <w:pStyle w:val="2"/>
              <w:jc w:val="center"/>
              <w:rPr>
                <w:rFonts w:hint="eastAsia"/>
                <w:highlight w:val="none"/>
                <w:lang w:val="en-US" w:eastAsia="zh-CN"/>
              </w:rPr>
            </w:pPr>
          </w:p>
          <w:p w14:paraId="57BEBF1F">
            <w:pPr>
              <w:pStyle w:val="36"/>
              <w:jc w:val="center"/>
              <w:rPr>
                <w:rFonts w:hint="eastAsia"/>
                <w:sz w:val="24"/>
                <w:highlight w:val="none"/>
                <w:vertAlign w:val="baseline"/>
                <w:lang w:val="en-US" w:eastAsia="zh-CN"/>
              </w:rPr>
            </w:pPr>
          </w:p>
        </w:tc>
      </w:tr>
    </w:tbl>
    <w:p w14:paraId="0AD3E1DB">
      <w:pPr>
        <w:rPr>
          <w:color w:val="auto"/>
          <w:sz w:val="24"/>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AD0F735">
      <w:pPr>
        <w:rPr>
          <w:sz w:val="24"/>
          <w:highlight w:val="none"/>
        </w:rPr>
      </w:pPr>
    </w:p>
    <w:p w14:paraId="4F84271E">
      <w:pPr>
        <w:pStyle w:val="5"/>
        <w:spacing w:before="120" w:after="120"/>
        <w:jc w:val="center"/>
        <w:rPr>
          <w:rFonts w:ascii="黑体" w:eastAsia="黑体"/>
          <w:b w:val="0"/>
          <w:sz w:val="24"/>
          <w:highlight w:val="none"/>
        </w:rPr>
      </w:pPr>
      <w:r>
        <w:rPr>
          <w:rFonts w:hint="eastAsia" w:ascii="黑体" w:eastAsia="黑体"/>
          <w:b w:val="0"/>
          <w:sz w:val="24"/>
          <w:highlight w:val="none"/>
          <w:lang w:val="en-US" w:eastAsia="zh-CN"/>
        </w:rPr>
        <w:t>三</w:t>
      </w:r>
      <w:r>
        <w:rPr>
          <w:rFonts w:hint="eastAsia" w:ascii="黑体" w:eastAsia="黑体"/>
          <w:b w:val="0"/>
          <w:sz w:val="24"/>
          <w:highlight w:val="none"/>
        </w:rPr>
        <w:t>、投标文件签署授权委托书</w:t>
      </w:r>
    </w:p>
    <w:p w14:paraId="1828C171">
      <w:pPr>
        <w:spacing w:line="360" w:lineRule="auto"/>
        <w:ind w:firstLine="420" w:firstLineChars="200"/>
        <w:rPr>
          <w:rFonts w:hint="eastAsia"/>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14:paraId="1F91D59A">
      <w:pPr>
        <w:spacing w:line="360" w:lineRule="auto"/>
        <w:ind w:firstLine="420" w:firstLineChars="200"/>
        <w:rPr>
          <w:rFonts w:hint="eastAsia"/>
          <w:szCs w:val="21"/>
          <w:highlight w:val="none"/>
        </w:rPr>
      </w:pPr>
      <w:r>
        <w:rPr>
          <w:rFonts w:hint="eastAsia"/>
          <w:szCs w:val="21"/>
          <w:highlight w:val="none"/>
        </w:rPr>
        <w:t>代理人无转委托权，特此委托。</w:t>
      </w:r>
    </w:p>
    <w:p w14:paraId="72A22899">
      <w:pPr>
        <w:spacing w:line="360" w:lineRule="auto"/>
        <w:ind w:firstLine="420" w:firstLineChars="200"/>
        <w:rPr>
          <w:rFonts w:hint="eastAsia"/>
          <w:szCs w:val="21"/>
          <w:highlight w:val="none"/>
        </w:rPr>
      </w:pPr>
    </w:p>
    <w:p w14:paraId="23D07ADB">
      <w:pPr>
        <w:spacing w:line="360" w:lineRule="auto"/>
        <w:ind w:firstLine="420" w:firstLineChars="200"/>
        <w:rPr>
          <w:rFonts w:hint="eastAsia"/>
          <w:szCs w:val="21"/>
          <w:highlight w:val="none"/>
          <w:u w:val="none"/>
          <w:lang w:eastAsia="zh-CN"/>
        </w:rPr>
      </w:pPr>
      <w:r>
        <w:rPr>
          <w:rFonts w:hint="eastAsia"/>
          <w:szCs w:val="21"/>
          <w:highlight w:val="none"/>
        </w:rPr>
        <w:t>代理人</w:t>
      </w:r>
      <w:r>
        <w:rPr>
          <w:rFonts w:hint="eastAsia" w:eastAsia="宋体"/>
          <w:szCs w:val="21"/>
          <w:highlight w:val="none"/>
          <w:lang w:eastAsia="zh-CN"/>
        </w:rPr>
        <w:t>：</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65907FFE">
      <w:pPr>
        <w:spacing w:line="360" w:lineRule="auto"/>
        <w:ind w:firstLine="420" w:firstLineChars="200"/>
        <w:rPr>
          <w:rFonts w:hint="eastAsia"/>
          <w:szCs w:val="21"/>
          <w:highlight w:val="none"/>
          <w:u w:val="none"/>
          <w:lang w:eastAsia="zh-CN"/>
        </w:rPr>
      </w:pPr>
      <w:r>
        <w:rPr>
          <w:rFonts w:hint="eastAsia"/>
          <w:szCs w:val="21"/>
          <w:highlight w:val="none"/>
        </w:rPr>
        <w:t>身份</w:t>
      </w:r>
      <w:r>
        <w:rPr>
          <w:rFonts w:hint="eastAsia" w:ascii="Times New Roman" w:eastAsia="宋体"/>
          <w:szCs w:val="21"/>
          <w:highlight w:val="none"/>
          <w:lang w:val="en-US" w:eastAsia="zh-CN"/>
        </w:rPr>
        <w:t>证件号</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职务：</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6D5094E3">
      <w:pPr>
        <w:spacing w:line="360" w:lineRule="auto"/>
        <w:ind w:firstLine="420" w:firstLineChars="200"/>
        <w:rPr>
          <w:rFonts w:hint="default"/>
          <w:szCs w:val="21"/>
          <w:highlight w:val="none"/>
          <w:u w:val="none"/>
          <w:lang w:val="en-US" w:eastAsia="zh-CN"/>
        </w:rPr>
      </w:pPr>
      <w:r>
        <w:rPr>
          <w:rFonts w:hint="eastAsia"/>
          <w:szCs w:val="21"/>
          <w:highlight w:val="none"/>
        </w:rPr>
        <w:t>联系电话：</w:t>
      </w:r>
      <w:r>
        <w:rPr>
          <w:rFonts w:hint="eastAsia"/>
          <w:szCs w:val="21"/>
          <w:highlight w:val="none"/>
          <w:u w:val="single"/>
        </w:rPr>
        <w:t xml:space="preserve">         </w:t>
      </w:r>
      <w:r>
        <w:rPr>
          <w:rFonts w:hint="eastAsia" w:eastAsia="宋体"/>
          <w:szCs w:val="21"/>
          <w:highlight w:val="none"/>
          <w:lang w:eastAsia="zh-CN"/>
        </w:rPr>
        <w:t>，</w:t>
      </w:r>
      <w:r>
        <w:rPr>
          <w:rFonts w:hint="eastAsia"/>
          <w:szCs w:val="21"/>
          <w:highlight w:val="none"/>
        </w:rPr>
        <w:t>手机：</w:t>
      </w:r>
      <w:r>
        <w:rPr>
          <w:rFonts w:hint="eastAsia"/>
          <w:szCs w:val="21"/>
          <w:highlight w:val="none"/>
          <w:u w:val="single"/>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电子邮箱：</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74800EB4">
      <w:pPr>
        <w:spacing w:line="360" w:lineRule="auto"/>
        <w:ind w:firstLine="420" w:firstLineChars="200"/>
        <w:rPr>
          <w:rFonts w:hint="eastAsia" w:eastAsia="宋体"/>
          <w:szCs w:val="21"/>
          <w:highlight w:val="none"/>
          <w:lang w:eastAsia="zh-CN"/>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r>
        <w:rPr>
          <w:rFonts w:hint="eastAsia" w:eastAsia="宋体"/>
          <w:szCs w:val="21"/>
          <w:highlight w:val="none"/>
          <w:lang w:eastAsia="zh-CN"/>
        </w:rPr>
        <w:t>。</w:t>
      </w:r>
    </w:p>
    <w:p w14:paraId="484E084B">
      <w:pPr>
        <w:spacing w:line="360" w:lineRule="auto"/>
        <w:ind w:firstLine="422" w:firstLineChars="200"/>
        <w:rPr>
          <w:b/>
          <w:color w:val="FF0000"/>
          <w:szCs w:val="21"/>
          <w:highlight w:val="none"/>
        </w:rPr>
      </w:pPr>
      <w:r>
        <w:rPr>
          <w:rFonts w:hint="eastAsia"/>
          <w:b/>
          <w:color w:val="FF0000"/>
          <w:szCs w:val="21"/>
          <w:highlight w:val="none"/>
        </w:rPr>
        <w:t>附：请提供代理人身份证扫描件（正反两面）</w:t>
      </w:r>
      <w:r>
        <w:rPr>
          <w:rFonts w:hint="eastAsia"/>
          <w:b/>
          <w:color w:val="FF0000"/>
          <w:szCs w:val="21"/>
          <w:highlight w:val="none"/>
          <w:lang w:val="en-US" w:eastAsia="zh-CN"/>
        </w:rPr>
        <w:t>方为有效</w:t>
      </w:r>
      <w:r>
        <w:rPr>
          <w:rFonts w:hint="eastAsia"/>
          <w:b/>
          <w:color w:val="FF0000"/>
          <w:szCs w:val="21"/>
          <w:highlight w:val="none"/>
        </w:rPr>
        <w:t>；港澳台居民可提供来往通行证扫描件；非中国国籍管辖范围人员，可提供公安部门认可的身份证明材料扫描件。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2C2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1C03C5C5">
            <w:pPr>
              <w:jc w:val="center"/>
              <w:rPr>
                <w:rFonts w:hint="eastAsia"/>
                <w:highlight w:val="none"/>
                <w:lang w:val="en-US" w:eastAsia="zh-CN"/>
              </w:rPr>
            </w:pPr>
            <w:r>
              <w:rPr>
                <w:rFonts w:hint="eastAsia" w:ascii="Times New Roman" w:eastAsia="宋体"/>
                <w:highlight w:val="none"/>
                <w:lang w:val="en-US" w:eastAsia="zh-CN"/>
              </w:rPr>
              <w:t>证件扫描件正面</w:t>
            </w:r>
          </w:p>
          <w:p w14:paraId="1950824A">
            <w:pPr>
              <w:pStyle w:val="2"/>
              <w:jc w:val="center"/>
              <w:rPr>
                <w:rFonts w:hint="eastAsia"/>
                <w:highlight w:val="none"/>
                <w:lang w:val="en-US" w:eastAsia="zh-CN"/>
              </w:rPr>
            </w:pPr>
          </w:p>
          <w:p w14:paraId="7F8EE366">
            <w:pPr>
              <w:pStyle w:val="36"/>
              <w:jc w:val="center"/>
              <w:rPr>
                <w:rFonts w:hint="default"/>
                <w:highlight w:val="none"/>
                <w:lang w:val="en-US" w:eastAsia="zh-CN"/>
              </w:rPr>
            </w:pPr>
          </w:p>
        </w:tc>
        <w:tc>
          <w:tcPr>
            <w:tcW w:w="4265" w:type="dxa"/>
            <w:vAlign w:val="top"/>
          </w:tcPr>
          <w:p w14:paraId="0E8A4A13">
            <w:pPr>
              <w:jc w:val="center"/>
              <w:rPr>
                <w:rFonts w:hint="eastAsia"/>
                <w:highlight w:val="none"/>
                <w:lang w:val="en-US" w:eastAsia="zh-CN"/>
              </w:rPr>
            </w:pPr>
            <w:r>
              <w:rPr>
                <w:rFonts w:hint="eastAsia" w:ascii="Times New Roman" w:eastAsia="宋体"/>
                <w:highlight w:val="none"/>
                <w:lang w:val="en-US" w:eastAsia="zh-CN"/>
              </w:rPr>
              <w:t>证件扫描件反面</w:t>
            </w:r>
          </w:p>
          <w:p w14:paraId="14C78822">
            <w:pPr>
              <w:pStyle w:val="2"/>
              <w:jc w:val="center"/>
              <w:rPr>
                <w:rFonts w:hint="eastAsia"/>
                <w:highlight w:val="none"/>
                <w:lang w:val="en-US" w:eastAsia="zh-CN"/>
              </w:rPr>
            </w:pPr>
          </w:p>
          <w:p w14:paraId="0C3F2A36">
            <w:pPr>
              <w:pStyle w:val="36"/>
              <w:jc w:val="center"/>
              <w:rPr>
                <w:rFonts w:hint="eastAsia"/>
                <w:sz w:val="24"/>
                <w:highlight w:val="none"/>
                <w:vertAlign w:val="baseline"/>
                <w:lang w:val="en-US" w:eastAsia="zh-CN"/>
              </w:rPr>
            </w:pPr>
          </w:p>
        </w:tc>
      </w:tr>
    </w:tbl>
    <w:p w14:paraId="676ED442">
      <w:pPr>
        <w:rPr>
          <w:rFonts w:hint="eastAsia"/>
          <w:color w:val="auto"/>
          <w:sz w:val="21"/>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6464252">
      <w:pPr>
        <w:pStyle w:val="5"/>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四</w:t>
      </w:r>
      <w:r>
        <w:rPr>
          <w:rFonts w:hint="eastAsia" w:ascii="黑体" w:eastAsia="黑体"/>
          <w:b w:val="0"/>
          <w:kern w:val="0"/>
          <w:sz w:val="24"/>
          <w:szCs w:val="24"/>
          <w:highlight w:val="none"/>
        </w:rPr>
        <w:t>、</w:t>
      </w:r>
      <w:bookmarkStart w:id="41" w:name="_Hlk72092634"/>
      <w:r>
        <w:rPr>
          <w:rFonts w:hint="eastAsia" w:ascii="黑体" w:eastAsia="黑体"/>
          <w:b w:val="0"/>
          <w:kern w:val="0"/>
          <w:sz w:val="24"/>
          <w:szCs w:val="24"/>
          <w:highlight w:val="none"/>
        </w:rPr>
        <w:t>实质性条款响应情况表</w:t>
      </w:r>
      <w:bookmarkEnd w:id="41"/>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1DBF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43670AC1">
            <w:pPr>
              <w:adjustRightInd w:val="0"/>
              <w:snapToGrid w:val="0"/>
              <w:spacing w:line="360" w:lineRule="auto"/>
              <w:jc w:val="center"/>
              <w:rPr>
                <w:rFonts w:ascii="宋体" w:hAnsi="宋体"/>
                <w:kern w:val="0"/>
                <w:szCs w:val="21"/>
                <w:highlight w:val="none"/>
              </w:rPr>
            </w:pPr>
            <w:bookmarkStart w:id="42" w:name="_Hlk72092651"/>
            <w:r>
              <w:rPr>
                <w:rFonts w:hint="eastAsia" w:ascii="宋体" w:hAnsi="宋体"/>
                <w:kern w:val="0"/>
                <w:szCs w:val="21"/>
                <w:highlight w:val="none"/>
              </w:rPr>
              <w:t>序号</w:t>
            </w:r>
          </w:p>
        </w:tc>
        <w:tc>
          <w:tcPr>
            <w:tcW w:w="2664" w:type="dxa"/>
            <w:vAlign w:val="center"/>
          </w:tcPr>
          <w:p w14:paraId="6216728F">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c>
          <w:tcPr>
            <w:tcW w:w="1588" w:type="dxa"/>
            <w:vAlign w:val="center"/>
          </w:tcPr>
          <w:p w14:paraId="314808C8">
            <w:pPr>
              <w:adjustRightInd w:val="0"/>
              <w:snapToGrid w:val="0"/>
              <w:spacing w:line="360" w:lineRule="auto"/>
              <w:jc w:val="center"/>
              <w:rPr>
                <w:rFonts w:ascii="宋体" w:hAnsi="宋体"/>
                <w:kern w:val="0"/>
                <w:szCs w:val="21"/>
                <w:highlight w:val="none"/>
              </w:rPr>
            </w:pPr>
            <w:r>
              <w:rPr>
                <w:rFonts w:hint="eastAsia"/>
                <w:highlight w:val="none"/>
              </w:rPr>
              <w:t>投标响应</w:t>
            </w:r>
          </w:p>
        </w:tc>
        <w:tc>
          <w:tcPr>
            <w:tcW w:w="1842" w:type="dxa"/>
            <w:vAlign w:val="center"/>
          </w:tcPr>
          <w:p w14:paraId="147250D9">
            <w:pPr>
              <w:adjustRightInd w:val="0"/>
              <w:snapToGrid w:val="0"/>
              <w:spacing w:line="360" w:lineRule="auto"/>
              <w:jc w:val="center"/>
              <w:rPr>
                <w:rFonts w:ascii="宋体" w:hAnsi="宋体"/>
                <w:kern w:val="0"/>
                <w:szCs w:val="21"/>
                <w:highlight w:val="none"/>
              </w:rPr>
            </w:pPr>
            <w:r>
              <w:rPr>
                <w:rFonts w:hint="eastAsia"/>
                <w:highlight w:val="none"/>
              </w:rPr>
              <w:t>偏离情况</w:t>
            </w:r>
          </w:p>
        </w:tc>
        <w:tc>
          <w:tcPr>
            <w:tcW w:w="1418" w:type="dxa"/>
            <w:vAlign w:val="center"/>
          </w:tcPr>
          <w:p w14:paraId="2AF1F150">
            <w:pPr>
              <w:adjustRightInd w:val="0"/>
              <w:snapToGrid w:val="0"/>
              <w:spacing w:line="360" w:lineRule="auto"/>
              <w:jc w:val="center"/>
              <w:rPr>
                <w:rFonts w:ascii="宋体" w:hAnsi="宋体"/>
                <w:kern w:val="0"/>
                <w:szCs w:val="21"/>
                <w:highlight w:val="none"/>
              </w:rPr>
            </w:pPr>
            <w:r>
              <w:rPr>
                <w:rFonts w:hint="eastAsia"/>
                <w:highlight w:val="none"/>
              </w:rPr>
              <w:t>说明</w:t>
            </w:r>
          </w:p>
        </w:tc>
      </w:tr>
      <w:bookmarkEnd w:id="42"/>
      <w:tr w14:paraId="2E91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83FF9C6">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2664" w:type="dxa"/>
            <w:vAlign w:val="center"/>
          </w:tcPr>
          <w:p w14:paraId="345B3221">
            <w:pPr>
              <w:adjustRightInd w:val="0"/>
              <w:snapToGrid w:val="0"/>
              <w:spacing w:line="360" w:lineRule="auto"/>
              <w:jc w:val="center"/>
              <w:rPr>
                <w:rFonts w:hAnsi="宋体"/>
                <w:kern w:val="0"/>
                <w:szCs w:val="21"/>
                <w:highlight w:val="none"/>
              </w:rPr>
            </w:pPr>
            <w:r>
              <w:rPr>
                <w:rFonts w:hint="eastAsia"/>
                <w:color w:val="FF0000"/>
                <w:highlight w:val="none"/>
              </w:rPr>
              <w:t>招标文件《商务要求★》的所有内容。</w:t>
            </w:r>
          </w:p>
        </w:tc>
        <w:tc>
          <w:tcPr>
            <w:tcW w:w="1588" w:type="dxa"/>
          </w:tcPr>
          <w:p w14:paraId="1E120A66">
            <w:pPr>
              <w:adjustRightInd w:val="0"/>
              <w:snapToGrid w:val="0"/>
              <w:spacing w:line="360" w:lineRule="auto"/>
              <w:rPr>
                <w:rFonts w:ascii="宋体" w:hAnsi="宋体"/>
                <w:kern w:val="0"/>
                <w:szCs w:val="21"/>
                <w:highlight w:val="none"/>
              </w:rPr>
            </w:pPr>
          </w:p>
        </w:tc>
        <w:tc>
          <w:tcPr>
            <w:tcW w:w="1842" w:type="dxa"/>
          </w:tcPr>
          <w:p w14:paraId="6E4C8F46">
            <w:pPr>
              <w:adjustRightInd w:val="0"/>
              <w:snapToGrid w:val="0"/>
              <w:spacing w:line="360" w:lineRule="auto"/>
              <w:rPr>
                <w:rFonts w:ascii="宋体" w:hAnsi="宋体"/>
                <w:kern w:val="0"/>
                <w:szCs w:val="21"/>
                <w:highlight w:val="none"/>
              </w:rPr>
            </w:pPr>
          </w:p>
        </w:tc>
        <w:tc>
          <w:tcPr>
            <w:tcW w:w="1418" w:type="dxa"/>
          </w:tcPr>
          <w:p w14:paraId="52BEFB67">
            <w:pPr>
              <w:adjustRightInd w:val="0"/>
              <w:snapToGrid w:val="0"/>
              <w:spacing w:line="360" w:lineRule="auto"/>
              <w:rPr>
                <w:rFonts w:ascii="宋体" w:hAnsi="宋体"/>
                <w:kern w:val="0"/>
                <w:szCs w:val="21"/>
                <w:highlight w:val="none"/>
              </w:rPr>
            </w:pPr>
          </w:p>
        </w:tc>
      </w:tr>
    </w:tbl>
    <w:p w14:paraId="0C539C0C">
      <w:pPr>
        <w:ind w:firstLine="482" w:firstLineChars="200"/>
        <w:rPr>
          <w:b/>
          <w:sz w:val="24"/>
          <w:szCs w:val="22"/>
          <w:highlight w:val="none"/>
        </w:rPr>
      </w:pPr>
      <w:r>
        <w:rPr>
          <w:rFonts w:hint="eastAsia"/>
          <w:b/>
          <w:sz w:val="24"/>
          <w:szCs w:val="22"/>
          <w:highlight w:val="none"/>
        </w:rPr>
        <w:t>注：1.上表所列各项均为不可负偏离条款。</w:t>
      </w:r>
    </w:p>
    <w:p w14:paraId="5A5F4C64">
      <w:pPr>
        <w:ind w:firstLine="482" w:firstLineChars="200"/>
        <w:rPr>
          <w:b/>
          <w:sz w:val="24"/>
          <w:szCs w:val="22"/>
          <w:highlight w:val="none"/>
        </w:rPr>
      </w:pPr>
      <w:r>
        <w:rPr>
          <w:rFonts w:hint="eastAsia"/>
          <w:b/>
          <w:sz w:val="24"/>
          <w:szCs w:val="22"/>
          <w:highlight w:val="none"/>
        </w:rPr>
        <w:t>2.“投标响应”一栏应当详细填写投标人自身响应情况</w:t>
      </w:r>
      <w:r>
        <w:rPr>
          <w:rFonts w:hint="eastAsia" w:ascii="宋体" w:hAnsi="宋体" w:cs="宋体"/>
          <w:szCs w:val="21"/>
          <w:highlight w:val="none"/>
          <w:lang w:eastAsia="zh-CN"/>
        </w:rPr>
        <w:t>，</w:t>
      </w:r>
      <w:r>
        <w:rPr>
          <w:rFonts w:hint="eastAsia" w:ascii="宋体" w:hAnsi="宋体" w:cs="宋体"/>
          <w:b/>
          <w:szCs w:val="21"/>
          <w:highlight w:val="none"/>
        </w:rPr>
        <w:t>如完全满足实质性条款具体内容可填写“完全响应”</w:t>
      </w:r>
      <w:r>
        <w:rPr>
          <w:rFonts w:hint="eastAsia"/>
          <w:b/>
          <w:sz w:val="24"/>
          <w:szCs w:val="22"/>
          <w:highlight w:val="none"/>
        </w:rPr>
        <w:t>。</w:t>
      </w:r>
    </w:p>
    <w:p w14:paraId="18B9DAB9">
      <w:pPr>
        <w:ind w:firstLine="482" w:firstLineChars="200"/>
        <w:rPr>
          <w:b/>
          <w:sz w:val="24"/>
          <w:szCs w:val="22"/>
          <w:highlight w:val="none"/>
        </w:rPr>
      </w:pPr>
      <w:r>
        <w:rPr>
          <w:rFonts w:hint="eastAsia"/>
          <w:b/>
          <w:sz w:val="24"/>
          <w:szCs w:val="22"/>
          <w:highlight w:val="none"/>
        </w:rPr>
        <w:t>3</w:t>
      </w:r>
      <w:r>
        <w:rPr>
          <w:b/>
          <w:sz w:val="24"/>
          <w:szCs w:val="22"/>
          <w:highlight w:val="none"/>
        </w:rPr>
        <w:t>.</w:t>
      </w:r>
      <w:r>
        <w:rPr>
          <w:rFonts w:hint="eastAsia"/>
          <w:b/>
          <w:sz w:val="24"/>
          <w:szCs w:val="22"/>
          <w:highlight w:val="none"/>
        </w:rPr>
        <w:t>“偏离情况”一栏应填写“正偏离”、“负偏离”或“无偏离”，</w:t>
      </w:r>
      <w:r>
        <w:rPr>
          <w:rFonts w:hint="eastAsia"/>
          <w:b/>
          <w:sz w:val="24"/>
          <w:highlight w:val="none"/>
        </w:rPr>
        <w:t>“正偏离”表示“投标响应优于实质性条款具体内容要求”，“负偏离”表示“投标响应不满足实质性条款具体内容要求”，“无偏离”表示“投标响应与实质性条款具体内容要求一致”。</w:t>
      </w:r>
    </w:p>
    <w:p w14:paraId="36B8DFC4">
      <w:pPr>
        <w:ind w:firstLine="482" w:firstLineChars="200"/>
        <w:rPr>
          <w:b/>
          <w:sz w:val="24"/>
          <w:highlight w:val="none"/>
        </w:rPr>
      </w:pPr>
      <w:r>
        <w:rPr>
          <w:b/>
          <w:sz w:val="24"/>
          <w:highlight w:val="none"/>
        </w:rPr>
        <w:t>4.</w:t>
      </w:r>
      <w:r>
        <w:rPr>
          <w:rFonts w:hint="eastAsia"/>
          <w:b/>
          <w:sz w:val="24"/>
          <w:highlight w:val="none"/>
        </w:rPr>
        <w:t>评审委员会有权对投标响应情况作出判断（作出评审结论）。</w:t>
      </w:r>
    </w:p>
    <w:p w14:paraId="7D6EF1BB">
      <w:pPr>
        <w:ind w:firstLine="482" w:firstLineChars="200"/>
        <w:rPr>
          <w:b/>
          <w:sz w:val="24"/>
          <w:szCs w:val="22"/>
          <w:highlight w:val="none"/>
        </w:rPr>
      </w:pPr>
      <w:r>
        <w:rPr>
          <w:b/>
          <w:sz w:val="24"/>
          <w:szCs w:val="22"/>
          <w:highlight w:val="none"/>
        </w:rPr>
        <w:t>5</w:t>
      </w:r>
      <w:r>
        <w:rPr>
          <w:rFonts w:hint="eastAsia"/>
          <w:b/>
          <w:sz w:val="24"/>
          <w:szCs w:val="22"/>
          <w:highlight w:val="none"/>
        </w:rPr>
        <w:t>.实质性响应条款“投标响应情况”与投标文件其它内容冲突的，以实质性响应条款“投标响应情况”为准。</w:t>
      </w:r>
    </w:p>
    <w:p w14:paraId="68ED4521">
      <w:pPr>
        <w:ind w:firstLine="482" w:firstLineChars="200"/>
        <w:rPr>
          <w:b/>
          <w:sz w:val="24"/>
          <w:szCs w:val="22"/>
          <w:highlight w:val="none"/>
        </w:rPr>
      </w:pPr>
      <w:r>
        <w:rPr>
          <w:rFonts w:hint="eastAsia"/>
          <w:b/>
          <w:sz w:val="24"/>
          <w:szCs w:val="22"/>
          <w:highlight w:val="none"/>
        </w:rPr>
        <w:t>6.要求提供证明资料，在“说明”一栏中列明证明资料的位置,以便评审；未要求提供证明材料的，投标人可以不提供。</w:t>
      </w:r>
    </w:p>
    <w:p w14:paraId="7F929BA4">
      <w:pPr>
        <w:ind w:firstLine="420" w:firstLineChars="200"/>
        <w:rPr>
          <w:highlight w:val="none"/>
        </w:rPr>
      </w:pPr>
    </w:p>
    <w:p w14:paraId="70E33154">
      <w:pPr>
        <w:rPr>
          <w:b/>
          <w:bCs/>
          <w:sz w:val="24"/>
          <w:highlight w:val="none"/>
        </w:rPr>
      </w:pPr>
    </w:p>
    <w:p w14:paraId="38ADB278">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0DAEA920">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五</w:t>
      </w:r>
      <w:r>
        <w:rPr>
          <w:rFonts w:hint="eastAsia" w:ascii="黑体" w:eastAsia="黑体"/>
          <w:b w:val="0"/>
          <w:kern w:val="0"/>
          <w:sz w:val="24"/>
          <w:szCs w:val="24"/>
          <w:highlight w:val="none"/>
        </w:rPr>
        <w:t>、实施方案</w:t>
      </w:r>
    </w:p>
    <w:p w14:paraId="5621A1C3">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（特别提示：投标人须按本招标文件评标信息中“实施方案”这一评分因素要求，提供证明资料）</w:t>
      </w:r>
    </w:p>
    <w:p w14:paraId="13EFA740">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60BA04DC">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六</w:t>
      </w:r>
      <w:r>
        <w:rPr>
          <w:rFonts w:hint="eastAsia" w:ascii="黑体" w:eastAsia="黑体"/>
          <w:b w:val="0"/>
          <w:kern w:val="0"/>
          <w:sz w:val="24"/>
          <w:szCs w:val="24"/>
          <w:highlight w:val="none"/>
        </w:rPr>
        <w:t>、项目重点难点分析、应对措施及相关的合理化建议</w:t>
      </w:r>
    </w:p>
    <w:p w14:paraId="304D403B">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（特别提示：投标人须按本招标文件评标信息中“项目重点难点分析、应对措施及相关的合理化建议”这一评分因素要求，提供证明资料）</w:t>
      </w:r>
    </w:p>
    <w:p w14:paraId="28B80883">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54E52D67">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、质量（完成时间、安全、环保）保障措施及方案</w:t>
      </w:r>
    </w:p>
    <w:p w14:paraId="4319D1AC">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（特别提示：投标人须按本招标文件评标信息中“质量（完成时间、安全、环保）保障措施及方案”这一评分因素要求，提供证明资料）</w:t>
      </w:r>
    </w:p>
    <w:p w14:paraId="751B78FC">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52531B9D">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八</w:t>
      </w:r>
      <w:r>
        <w:rPr>
          <w:rFonts w:hint="eastAsia" w:ascii="黑体" w:eastAsia="黑体"/>
          <w:b w:val="0"/>
          <w:kern w:val="0"/>
          <w:sz w:val="24"/>
          <w:szCs w:val="24"/>
          <w:highlight w:val="none"/>
        </w:rPr>
        <w:t>、项目完成（服务期满）后的服务承诺</w:t>
      </w:r>
    </w:p>
    <w:p w14:paraId="46FD2DA2">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（特别提示：投标人须按本招标文件评标信息中“项目完成（服务期满）后的服务承诺”这一评分因素要求，提供证明资料）</w:t>
      </w:r>
    </w:p>
    <w:p w14:paraId="1D700C74">
      <w:pPr>
        <w:rPr>
          <w:rFonts w:ascii="黑体" w:hAnsi="宋体" w:eastAsia="黑体"/>
          <w:bCs/>
          <w:kern w:val="0"/>
          <w:sz w:val="24"/>
          <w:highlight w:val="none"/>
        </w:rPr>
      </w:pPr>
    </w:p>
    <w:p w14:paraId="5CE4D5EE">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419A8D16">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九</w:t>
      </w:r>
      <w:r>
        <w:rPr>
          <w:rFonts w:hint="eastAsia" w:ascii="黑体" w:eastAsia="黑体"/>
          <w:b w:val="0"/>
          <w:kern w:val="0"/>
          <w:sz w:val="24"/>
          <w:szCs w:val="24"/>
          <w:highlight w:val="none"/>
        </w:rPr>
        <w:t>、拟安排的项目负责人情况（仅限一人）</w:t>
      </w:r>
    </w:p>
    <w:p w14:paraId="1B45577C">
      <w:pPr>
        <w:pStyle w:val="6"/>
        <w:spacing w:before="0" w:after="0" w:line="240" w:lineRule="auto"/>
        <w:jc w:val="left"/>
        <w:rPr>
          <w:rFonts w:ascii="宋体" w:hAnsi="宋体" w:eastAsia="宋体"/>
          <w:sz w:val="21"/>
          <w:szCs w:val="21"/>
          <w:highlight w:val="none"/>
        </w:rPr>
      </w:pP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-1人员配备承诺</w:t>
      </w:r>
    </w:p>
    <w:p w14:paraId="0F3A46AB">
      <w:pPr>
        <w:adjustRightInd w:val="0"/>
        <w:snapToGrid w:val="0"/>
        <w:spacing w:line="276" w:lineRule="auto"/>
        <w:jc w:val="center"/>
        <w:rPr>
          <w:rFonts w:ascii="宋体"/>
          <w:kern w:val="0"/>
          <w:szCs w:val="21"/>
          <w:highlight w:val="none"/>
        </w:rPr>
      </w:pPr>
      <w:r>
        <w:rPr>
          <w:rFonts w:hint="eastAsia" w:ascii="宋体" w:hAnsi="宋体"/>
          <w:b/>
          <w:szCs w:val="21"/>
          <w:highlight w:val="none"/>
        </w:rPr>
        <w:t>人员配备承诺</w:t>
      </w:r>
    </w:p>
    <w:p w14:paraId="0E374787">
      <w:pPr>
        <w:adjustRightInd w:val="0"/>
        <w:snapToGrid w:val="0"/>
        <w:spacing w:line="276" w:lineRule="auto"/>
        <w:jc w:val="left"/>
        <w:rPr>
          <w:rFonts w:ascii="宋体"/>
          <w:color w:val="000000"/>
          <w:szCs w:val="21"/>
          <w:highlight w:val="none"/>
          <w:u w:val="single"/>
        </w:rPr>
      </w:pPr>
      <w:r>
        <w:rPr>
          <w:rFonts w:hint="eastAsia" w:ascii="宋体" w:hAnsi="宋体"/>
          <w:color w:val="000000"/>
          <w:szCs w:val="21"/>
          <w:highlight w:val="none"/>
        </w:rPr>
        <w:t>致：</w:t>
      </w:r>
      <w:r>
        <w:rPr>
          <w:rFonts w:ascii="宋体" w:hAnsi="宋体"/>
          <w:color w:val="000000"/>
          <w:szCs w:val="21"/>
          <w:highlight w:val="none"/>
          <w:u w:val="single"/>
        </w:rPr>
        <w:t xml:space="preserve">     </w:t>
      </w:r>
      <w:r>
        <w:rPr>
          <w:rFonts w:hint="eastAsia" w:ascii="宋体" w:hAnsi="宋体"/>
          <w:color w:val="000000"/>
          <w:szCs w:val="21"/>
          <w:highlight w:val="none"/>
          <w:u w:val="single"/>
        </w:rPr>
        <w:t>（采购人）</w:t>
      </w:r>
      <w:r>
        <w:rPr>
          <w:rFonts w:ascii="宋体" w:hAnsi="宋体"/>
          <w:color w:val="000000"/>
          <w:szCs w:val="21"/>
          <w:highlight w:val="none"/>
          <w:u w:val="single"/>
        </w:rPr>
        <w:t xml:space="preserve">          </w:t>
      </w:r>
    </w:p>
    <w:p w14:paraId="39349DD1">
      <w:pPr>
        <w:adjustRightInd w:val="0"/>
        <w:snapToGrid w:val="0"/>
        <w:spacing w:line="276"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根据已收到贵方的项目编号为</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招标文件，遵照《中华人民共和国政府采购法》和《深圳网上政府采购管理暂行办法》等有关规定，我方经考察现场和研究上述招标文件的投标须知、合同条款、技术规范、澄清公告、答疑公告及所有相关文件后，我方完全认可贵方提供的上述文件，做出承诺满足以下要求：</w:t>
      </w:r>
    </w:p>
    <w:p w14:paraId="41E4AE69">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p>
    <w:p w14:paraId="210A6C29">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如果违反本承诺书中任何条款，我方愿意接受：</w:t>
      </w:r>
    </w:p>
    <w:p w14:paraId="7C5A4048">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1.取消我方中标资格并按照虚假投标进行相应处理；</w:t>
      </w:r>
    </w:p>
    <w:p w14:paraId="6443FAF0">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2.视作我方单方面违约，并按照合同规定向贵方支付违约金或解除合同；</w:t>
      </w:r>
    </w:p>
    <w:p w14:paraId="15ED2AC3">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3.履约评价评定为合格及以下；</w:t>
      </w:r>
    </w:p>
    <w:p w14:paraId="706B6A64">
      <w:pPr>
        <w:adjustRightInd w:val="0"/>
        <w:snapToGrid w:val="0"/>
        <w:spacing w:line="276"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4.行政主管部门或相关主管部门的不良行为记录、行政处</w:t>
      </w:r>
      <w:r>
        <w:rPr>
          <w:rFonts w:hint="eastAsia" w:ascii="宋体" w:hAnsi="宋体"/>
          <w:bCs/>
          <w:color w:val="000000" w:themeColor="text1"/>
          <w:szCs w:val="21"/>
          <w:highlight w:val="none"/>
          <w14:textFill>
            <w14:solidFill>
              <w14:schemeClr w14:val="tx1"/>
            </w14:solidFill>
          </w14:textFill>
        </w:rPr>
        <w:t>罚。</w:t>
      </w:r>
    </w:p>
    <w:p w14:paraId="0A823EB9">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5E2354F2">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投标供应商：  </w:t>
      </w:r>
    </w:p>
    <w:p w14:paraId="6716841A">
      <w:pPr>
        <w:adjustRightInd w:val="0"/>
        <w:snapToGrid w:val="0"/>
        <w:spacing w:line="276" w:lineRule="auto"/>
        <w:jc w:val="cente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日      期：  </w:t>
      </w:r>
      <w:r>
        <w:rPr>
          <w:rFonts w:hint="eastAsia" w:ascii="宋体" w:hAnsi="宋体"/>
          <w:color w:val="000000" w:themeColor="text1"/>
          <w:szCs w:val="21"/>
          <w:highlight w:val="none"/>
          <w:u w:val="single"/>
          <w14:textFill>
            <w14:solidFill>
              <w14:schemeClr w14:val="tx1"/>
            </w14:solidFill>
          </w14:textFill>
        </w:rPr>
        <w:t xml:space="preserve">       年    月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日</w:t>
      </w:r>
    </w:p>
    <w:p w14:paraId="2E1C0DFA">
      <w:pPr>
        <w:pStyle w:val="6"/>
        <w:adjustRightInd w:val="0"/>
        <w:snapToGrid w:val="0"/>
        <w:spacing w:before="0" w:after="0" w:line="276" w:lineRule="auto"/>
        <w:jc w:val="left"/>
        <w:rPr>
          <w:highlight w:val="none"/>
        </w:rPr>
      </w:pPr>
      <w:r>
        <w:rPr>
          <w:rFonts w:hint="eastAsia" w:ascii="宋体" w:hAnsi="宋体" w:eastAsia="宋体"/>
          <w:sz w:val="21"/>
          <w:szCs w:val="21"/>
          <w:highlight w:val="none"/>
          <w:lang w:val="en-US" w:eastAsia="zh-CN"/>
        </w:rPr>
        <w:t>9</w:t>
      </w:r>
      <w:r>
        <w:rPr>
          <w:rFonts w:ascii="宋体" w:hAnsi="宋体" w:eastAsia="宋体"/>
          <w:sz w:val="21"/>
          <w:szCs w:val="21"/>
          <w:highlight w:val="none"/>
        </w:rPr>
        <w:t>-2</w:t>
      </w:r>
      <w:r>
        <w:rPr>
          <w:rFonts w:hint="eastAsia" w:ascii="宋体" w:hAnsi="宋体" w:eastAsia="宋体"/>
          <w:sz w:val="21"/>
          <w:szCs w:val="21"/>
          <w:highlight w:val="none"/>
        </w:rPr>
        <w:t>拟安排的项目负责人情况（仅限一人）情况</w:t>
      </w:r>
    </w:p>
    <w:tbl>
      <w:tblPr>
        <w:tblStyle w:val="42"/>
        <w:tblW w:w="845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932"/>
        <w:gridCol w:w="932"/>
        <w:gridCol w:w="932"/>
        <w:gridCol w:w="1224"/>
        <w:gridCol w:w="992"/>
        <w:gridCol w:w="1171"/>
        <w:gridCol w:w="1149"/>
      </w:tblGrid>
      <w:tr w14:paraId="4946F2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125" w:type="dxa"/>
            <w:vMerge w:val="restart"/>
            <w:vAlign w:val="center"/>
          </w:tcPr>
          <w:p w14:paraId="4F60234A">
            <w:pPr>
              <w:spacing w:line="276" w:lineRule="auto"/>
              <w:jc w:val="center"/>
              <w:rPr>
                <w:rFonts w:ascii="宋体" w:hAnsi="宋体"/>
                <w:szCs w:val="21"/>
                <w:highlight w:val="none"/>
              </w:rPr>
            </w:pPr>
            <w:r>
              <w:rPr>
                <w:rFonts w:hint="eastAsia" w:ascii="宋体" w:hAnsi="宋体"/>
                <w:szCs w:val="21"/>
                <w:highlight w:val="none"/>
              </w:rPr>
              <w:t>类别</w:t>
            </w:r>
          </w:p>
        </w:tc>
        <w:tc>
          <w:tcPr>
            <w:tcW w:w="932" w:type="dxa"/>
            <w:vMerge w:val="restart"/>
            <w:vAlign w:val="center"/>
          </w:tcPr>
          <w:p w14:paraId="6495DE57">
            <w:pPr>
              <w:spacing w:line="276" w:lineRule="auto"/>
              <w:jc w:val="center"/>
              <w:rPr>
                <w:rFonts w:ascii="宋体" w:hAnsi="宋体"/>
                <w:szCs w:val="21"/>
                <w:highlight w:val="none"/>
              </w:rPr>
            </w:pPr>
            <w:r>
              <w:rPr>
                <w:rFonts w:hint="eastAsia" w:ascii="宋体" w:hAnsi="宋体"/>
                <w:szCs w:val="21"/>
                <w:highlight w:val="none"/>
              </w:rPr>
              <w:t>姓名</w:t>
            </w:r>
          </w:p>
        </w:tc>
        <w:tc>
          <w:tcPr>
            <w:tcW w:w="932" w:type="dxa"/>
            <w:vMerge w:val="restart"/>
            <w:vAlign w:val="center"/>
          </w:tcPr>
          <w:p w14:paraId="1695F7FE">
            <w:pPr>
              <w:spacing w:line="276" w:lineRule="auto"/>
              <w:jc w:val="center"/>
              <w:rPr>
                <w:rFonts w:ascii="宋体" w:hAnsi="宋体"/>
                <w:szCs w:val="21"/>
                <w:highlight w:val="none"/>
              </w:rPr>
            </w:pPr>
            <w:r>
              <w:rPr>
                <w:rFonts w:hint="eastAsia" w:ascii="宋体" w:hAnsi="宋体"/>
                <w:szCs w:val="21"/>
                <w:highlight w:val="none"/>
              </w:rPr>
              <w:t>职称</w:t>
            </w:r>
          </w:p>
        </w:tc>
        <w:tc>
          <w:tcPr>
            <w:tcW w:w="932" w:type="dxa"/>
            <w:vMerge w:val="restart"/>
            <w:vAlign w:val="center"/>
          </w:tcPr>
          <w:p w14:paraId="38746845">
            <w:pPr>
              <w:spacing w:line="276" w:lineRule="auto"/>
              <w:jc w:val="center"/>
              <w:rPr>
                <w:rFonts w:ascii="宋体" w:hAnsi="宋体"/>
                <w:szCs w:val="21"/>
                <w:highlight w:val="none"/>
              </w:rPr>
            </w:pPr>
            <w:r>
              <w:rPr>
                <w:rFonts w:hint="eastAsia" w:ascii="宋体" w:hAnsi="宋体"/>
                <w:szCs w:val="21"/>
                <w:highlight w:val="none"/>
              </w:rPr>
              <w:t>学历</w:t>
            </w:r>
          </w:p>
        </w:tc>
        <w:tc>
          <w:tcPr>
            <w:tcW w:w="4536" w:type="dxa"/>
            <w:gridSpan w:val="4"/>
            <w:vAlign w:val="center"/>
          </w:tcPr>
          <w:p w14:paraId="0DF74B36">
            <w:pPr>
              <w:spacing w:line="276" w:lineRule="auto"/>
              <w:jc w:val="center"/>
              <w:rPr>
                <w:rFonts w:ascii="宋体" w:hAnsi="宋体"/>
                <w:szCs w:val="21"/>
                <w:highlight w:val="none"/>
              </w:rPr>
            </w:pPr>
            <w:r>
              <w:rPr>
                <w:rFonts w:hint="eastAsia" w:ascii="宋体" w:hAnsi="宋体"/>
                <w:szCs w:val="21"/>
                <w:highlight w:val="none"/>
              </w:rPr>
              <w:t>上岗资格证明</w:t>
            </w:r>
          </w:p>
        </w:tc>
      </w:tr>
      <w:tr w14:paraId="24DA8D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125" w:type="dxa"/>
            <w:vMerge w:val="continue"/>
            <w:vAlign w:val="center"/>
          </w:tcPr>
          <w:p w14:paraId="4BA5A4C4">
            <w:pPr>
              <w:spacing w:line="276" w:lineRule="auto"/>
              <w:jc w:val="center"/>
              <w:rPr>
                <w:rFonts w:ascii="宋体" w:hAnsi="宋体"/>
                <w:szCs w:val="21"/>
                <w:highlight w:val="none"/>
              </w:rPr>
            </w:pPr>
          </w:p>
        </w:tc>
        <w:tc>
          <w:tcPr>
            <w:tcW w:w="932" w:type="dxa"/>
            <w:vMerge w:val="continue"/>
            <w:vAlign w:val="center"/>
          </w:tcPr>
          <w:p w14:paraId="4D421CE7">
            <w:pPr>
              <w:spacing w:line="276" w:lineRule="auto"/>
              <w:jc w:val="center"/>
              <w:rPr>
                <w:rFonts w:ascii="宋体" w:hAnsi="宋体"/>
                <w:szCs w:val="21"/>
                <w:highlight w:val="none"/>
              </w:rPr>
            </w:pPr>
          </w:p>
        </w:tc>
        <w:tc>
          <w:tcPr>
            <w:tcW w:w="932" w:type="dxa"/>
            <w:vMerge w:val="continue"/>
          </w:tcPr>
          <w:p w14:paraId="51FA239C">
            <w:pPr>
              <w:spacing w:line="276" w:lineRule="auto"/>
              <w:jc w:val="center"/>
              <w:rPr>
                <w:rFonts w:ascii="宋体" w:hAnsi="宋体"/>
                <w:szCs w:val="21"/>
                <w:highlight w:val="none"/>
              </w:rPr>
            </w:pPr>
          </w:p>
        </w:tc>
        <w:tc>
          <w:tcPr>
            <w:tcW w:w="932" w:type="dxa"/>
            <w:vMerge w:val="continue"/>
            <w:vAlign w:val="center"/>
          </w:tcPr>
          <w:p w14:paraId="4DB874E1">
            <w:pPr>
              <w:spacing w:line="276" w:lineRule="auto"/>
              <w:jc w:val="center"/>
              <w:rPr>
                <w:rFonts w:ascii="宋体" w:hAnsi="宋体"/>
                <w:szCs w:val="21"/>
                <w:highlight w:val="none"/>
              </w:rPr>
            </w:pPr>
          </w:p>
        </w:tc>
        <w:tc>
          <w:tcPr>
            <w:tcW w:w="1224" w:type="dxa"/>
            <w:vAlign w:val="center"/>
          </w:tcPr>
          <w:p w14:paraId="592180F4">
            <w:pPr>
              <w:spacing w:line="276" w:lineRule="auto"/>
              <w:jc w:val="center"/>
              <w:rPr>
                <w:rFonts w:ascii="宋体" w:hAnsi="宋体"/>
                <w:szCs w:val="21"/>
                <w:highlight w:val="none"/>
              </w:rPr>
            </w:pPr>
            <w:r>
              <w:rPr>
                <w:rFonts w:hint="eastAsia" w:ascii="宋体" w:hAnsi="宋体"/>
                <w:szCs w:val="21"/>
                <w:highlight w:val="none"/>
              </w:rPr>
              <w:t>证书名称</w:t>
            </w:r>
          </w:p>
        </w:tc>
        <w:tc>
          <w:tcPr>
            <w:tcW w:w="992" w:type="dxa"/>
            <w:vAlign w:val="center"/>
          </w:tcPr>
          <w:p w14:paraId="3F83FA6C">
            <w:pPr>
              <w:spacing w:line="276" w:lineRule="auto"/>
              <w:jc w:val="center"/>
              <w:rPr>
                <w:rFonts w:ascii="宋体" w:hAnsi="宋体"/>
                <w:szCs w:val="21"/>
                <w:highlight w:val="none"/>
              </w:rPr>
            </w:pPr>
            <w:r>
              <w:rPr>
                <w:rFonts w:hint="eastAsia" w:ascii="宋体" w:hAnsi="宋体"/>
                <w:szCs w:val="21"/>
                <w:highlight w:val="none"/>
              </w:rPr>
              <w:t>级别</w:t>
            </w:r>
          </w:p>
        </w:tc>
        <w:tc>
          <w:tcPr>
            <w:tcW w:w="1171" w:type="dxa"/>
            <w:vAlign w:val="center"/>
          </w:tcPr>
          <w:p w14:paraId="0DA8FAC7">
            <w:pPr>
              <w:spacing w:line="276" w:lineRule="auto"/>
              <w:jc w:val="center"/>
              <w:rPr>
                <w:rFonts w:ascii="宋体" w:hAnsi="宋体"/>
                <w:szCs w:val="21"/>
                <w:highlight w:val="none"/>
              </w:rPr>
            </w:pPr>
            <w:r>
              <w:rPr>
                <w:rFonts w:hint="eastAsia" w:ascii="宋体" w:hAnsi="宋体"/>
                <w:szCs w:val="21"/>
                <w:highlight w:val="none"/>
              </w:rPr>
              <w:t>证号</w:t>
            </w:r>
          </w:p>
        </w:tc>
        <w:tc>
          <w:tcPr>
            <w:tcW w:w="1149" w:type="dxa"/>
            <w:vAlign w:val="center"/>
          </w:tcPr>
          <w:p w14:paraId="115AD043">
            <w:pPr>
              <w:spacing w:line="276" w:lineRule="auto"/>
              <w:jc w:val="center"/>
              <w:rPr>
                <w:rFonts w:ascii="宋体" w:hAnsi="宋体"/>
                <w:szCs w:val="21"/>
                <w:highlight w:val="none"/>
              </w:rPr>
            </w:pPr>
            <w:r>
              <w:rPr>
                <w:rFonts w:hint="eastAsia" w:ascii="宋体" w:hAnsi="宋体"/>
                <w:szCs w:val="21"/>
                <w:highlight w:val="none"/>
              </w:rPr>
              <w:t>专业</w:t>
            </w:r>
          </w:p>
        </w:tc>
      </w:tr>
      <w:tr w14:paraId="63828B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125" w:type="dxa"/>
            <w:vAlign w:val="center"/>
          </w:tcPr>
          <w:p w14:paraId="2070D900">
            <w:pPr>
              <w:spacing w:line="276" w:lineRule="auto"/>
              <w:jc w:val="center"/>
              <w:rPr>
                <w:rFonts w:ascii="宋体" w:hAnsi="宋体"/>
                <w:szCs w:val="21"/>
                <w:highlight w:val="none"/>
              </w:rPr>
            </w:pPr>
            <w:r>
              <w:rPr>
                <w:rFonts w:hint="eastAsia" w:ascii="宋体" w:hAnsi="宋体"/>
                <w:szCs w:val="21"/>
                <w:highlight w:val="none"/>
              </w:rPr>
              <w:t>拟派项目负责人</w:t>
            </w:r>
          </w:p>
        </w:tc>
        <w:tc>
          <w:tcPr>
            <w:tcW w:w="932" w:type="dxa"/>
            <w:vAlign w:val="center"/>
          </w:tcPr>
          <w:p w14:paraId="782E033B">
            <w:pPr>
              <w:spacing w:line="276" w:lineRule="auto"/>
              <w:jc w:val="center"/>
              <w:rPr>
                <w:rFonts w:ascii="宋体" w:hAnsi="宋体"/>
                <w:szCs w:val="21"/>
                <w:highlight w:val="none"/>
              </w:rPr>
            </w:pPr>
          </w:p>
        </w:tc>
        <w:tc>
          <w:tcPr>
            <w:tcW w:w="932" w:type="dxa"/>
          </w:tcPr>
          <w:p w14:paraId="507D109E">
            <w:pPr>
              <w:spacing w:line="276" w:lineRule="auto"/>
              <w:jc w:val="center"/>
              <w:rPr>
                <w:rFonts w:ascii="宋体" w:hAnsi="宋体"/>
                <w:szCs w:val="21"/>
                <w:highlight w:val="none"/>
              </w:rPr>
            </w:pPr>
          </w:p>
        </w:tc>
        <w:tc>
          <w:tcPr>
            <w:tcW w:w="932" w:type="dxa"/>
            <w:vAlign w:val="center"/>
          </w:tcPr>
          <w:p w14:paraId="025CEBDC">
            <w:pPr>
              <w:spacing w:line="276" w:lineRule="auto"/>
              <w:jc w:val="center"/>
              <w:rPr>
                <w:rFonts w:ascii="宋体" w:hAnsi="宋体"/>
                <w:szCs w:val="21"/>
                <w:highlight w:val="none"/>
              </w:rPr>
            </w:pPr>
          </w:p>
        </w:tc>
        <w:tc>
          <w:tcPr>
            <w:tcW w:w="1224" w:type="dxa"/>
            <w:vAlign w:val="center"/>
          </w:tcPr>
          <w:p w14:paraId="6E27296E">
            <w:pPr>
              <w:spacing w:line="276" w:lineRule="auto"/>
              <w:jc w:val="center"/>
              <w:rPr>
                <w:rFonts w:ascii="宋体" w:hAnsi="宋体"/>
                <w:szCs w:val="21"/>
                <w:highlight w:val="none"/>
              </w:rPr>
            </w:pPr>
          </w:p>
        </w:tc>
        <w:tc>
          <w:tcPr>
            <w:tcW w:w="992" w:type="dxa"/>
            <w:vAlign w:val="center"/>
          </w:tcPr>
          <w:p w14:paraId="70E3D34D">
            <w:pPr>
              <w:spacing w:line="276" w:lineRule="auto"/>
              <w:jc w:val="center"/>
              <w:rPr>
                <w:rFonts w:ascii="宋体" w:hAnsi="宋体"/>
                <w:szCs w:val="21"/>
                <w:highlight w:val="none"/>
              </w:rPr>
            </w:pPr>
          </w:p>
        </w:tc>
        <w:tc>
          <w:tcPr>
            <w:tcW w:w="1171" w:type="dxa"/>
            <w:vAlign w:val="center"/>
          </w:tcPr>
          <w:p w14:paraId="74CC4F27">
            <w:pPr>
              <w:spacing w:line="276" w:lineRule="auto"/>
              <w:jc w:val="center"/>
              <w:rPr>
                <w:rFonts w:ascii="宋体" w:hAnsi="宋体"/>
                <w:szCs w:val="21"/>
                <w:highlight w:val="none"/>
              </w:rPr>
            </w:pPr>
          </w:p>
        </w:tc>
        <w:tc>
          <w:tcPr>
            <w:tcW w:w="1149" w:type="dxa"/>
            <w:vAlign w:val="center"/>
          </w:tcPr>
          <w:p w14:paraId="105C8ED9">
            <w:pPr>
              <w:spacing w:line="276" w:lineRule="auto"/>
              <w:jc w:val="center"/>
              <w:rPr>
                <w:rFonts w:ascii="宋体" w:hAnsi="宋体"/>
                <w:szCs w:val="21"/>
                <w:highlight w:val="none"/>
              </w:rPr>
            </w:pPr>
          </w:p>
        </w:tc>
      </w:tr>
    </w:tbl>
    <w:p w14:paraId="24E32592">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（特别提示：以上表格仅供参考。投标人须按本招标文件评标信息中“拟安排的项目负责人情况（仅限一人）”这一评分因素要求，提供证明资料）</w:t>
      </w:r>
    </w:p>
    <w:p w14:paraId="49C9AECB">
      <w:pPr>
        <w:adjustRightInd w:val="0"/>
        <w:snapToGrid w:val="0"/>
        <w:rPr>
          <w:highlight w:val="none"/>
        </w:rPr>
      </w:pPr>
    </w:p>
    <w:p w14:paraId="7689C439">
      <w:pPr>
        <w:rPr>
          <w:rFonts w:hint="eastAsia" w:ascii="黑体" w:eastAsia="黑体"/>
          <w:b w:val="0"/>
          <w:kern w:val="0"/>
          <w:sz w:val="24"/>
          <w:szCs w:val="24"/>
          <w:highlight w:val="none"/>
          <w:lang w:val="en-US" w:eastAsia="zh-CN"/>
        </w:rPr>
      </w:pPr>
      <w:bookmarkStart w:id="43" w:name="_Toc59916727"/>
      <w:r>
        <w:rPr>
          <w:rFonts w:hint="eastAsia" w:ascii="黑体" w:eastAsia="黑体"/>
          <w:b w:val="0"/>
          <w:kern w:val="0"/>
          <w:sz w:val="24"/>
          <w:szCs w:val="24"/>
          <w:highlight w:val="none"/>
          <w:lang w:val="en-US" w:eastAsia="zh-CN"/>
        </w:rPr>
        <w:br w:type="page"/>
      </w:r>
    </w:p>
    <w:p w14:paraId="55CDC655">
      <w:pPr>
        <w:pStyle w:val="5"/>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十</w:t>
      </w:r>
      <w:r>
        <w:rPr>
          <w:rFonts w:hint="eastAsia" w:ascii="黑体" w:eastAsia="黑体"/>
          <w:b w:val="0"/>
          <w:kern w:val="0"/>
          <w:sz w:val="24"/>
          <w:szCs w:val="24"/>
          <w:highlight w:val="none"/>
        </w:rPr>
        <w:t>、</w:t>
      </w:r>
      <w:bookmarkEnd w:id="43"/>
      <w:r>
        <w:rPr>
          <w:rFonts w:hint="eastAsia" w:ascii="黑体" w:eastAsia="黑体"/>
          <w:b w:val="0"/>
          <w:kern w:val="0"/>
          <w:sz w:val="24"/>
          <w:szCs w:val="24"/>
          <w:highlight w:val="none"/>
        </w:rPr>
        <w:t>拟安排的项目主要团队成员（主要技术人员）情况（项目负责人除外）情况</w:t>
      </w:r>
    </w:p>
    <w:tbl>
      <w:tblPr>
        <w:tblStyle w:val="42"/>
        <w:tblW w:w="88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876"/>
        <w:gridCol w:w="877"/>
        <w:gridCol w:w="877"/>
        <w:gridCol w:w="877"/>
        <w:gridCol w:w="1151"/>
        <w:gridCol w:w="933"/>
        <w:gridCol w:w="1101"/>
        <w:gridCol w:w="1080"/>
      </w:tblGrid>
      <w:tr w14:paraId="36BB78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14:paraId="1B5E00DA">
            <w:pPr>
              <w:spacing w:line="276" w:lineRule="auto"/>
              <w:jc w:val="center"/>
              <w:rPr>
                <w:rFonts w:ascii="宋体" w:hAnsi="宋体" w:cs="宋体"/>
                <w:szCs w:val="21"/>
                <w:highlight w:val="none"/>
              </w:rPr>
            </w:pPr>
            <w:r>
              <w:rPr>
                <w:rFonts w:hint="eastAsia" w:ascii="宋体" w:hAnsi="宋体" w:cs="宋体"/>
                <w:szCs w:val="21"/>
                <w:highlight w:val="none"/>
              </w:rPr>
              <w:t>类别</w:t>
            </w:r>
          </w:p>
        </w:tc>
        <w:tc>
          <w:tcPr>
            <w:tcW w:w="876" w:type="dxa"/>
            <w:vMerge w:val="restart"/>
            <w:vAlign w:val="center"/>
          </w:tcPr>
          <w:p w14:paraId="7FC852A2">
            <w:pPr>
              <w:spacing w:line="276" w:lineRule="auto"/>
              <w:jc w:val="center"/>
              <w:rPr>
                <w:rFonts w:ascii="宋体" w:hAnsi="宋体" w:cs="宋体"/>
                <w:szCs w:val="21"/>
                <w:highlight w:val="none"/>
              </w:rPr>
            </w:pPr>
            <w:r>
              <w:rPr>
                <w:rFonts w:hint="eastAsia" w:ascii="宋体" w:hAnsi="宋体" w:cs="宋体"/>
                <w:szCs w:val="21"/>
                <w:highlight w:val="none"/>
              </w:rPr>
              <w:t>职务</w:t>
            </w:r>
          </w:p>
        </w:tc>
        <w:tc>
          <w:tcPr>
            <w:tcW w:w="877" w:type="dxa"/>
            <w:vMerge w:val="restart"/>
            <w:vAlign w:val="center"/>
          </w:tcPr>
          <w:p w14:paraId="5E63D969">
            <w:pPr>
              <w:spacing w:line="276" w:lineRule="auto"/>
              <w:jc w:val="center"/>
              <w:rPr>
                <w:rFonts w:ascii="宋体" w:hAnsi="宋体" w:cs="宋体"/>
                <w:szCs w:val="21"/>
                <w:highlight w:val="none"/>
              </w:rPr>
            </w:pPr>
            <w:r>
              <w:rPr>
                <w:rFonts w:hint="eastAsia" w:ascii="宋体" w:hAnsi="宋体" w:cs="宋体"/>
                <w:szCs w:val="21"/>
                <w:highlight w:val="none"/>
              </w:rPr>
              <w:t>姓名</w:t>
            </w:r>
          </w:p>
        </w:tc>
        <w:tc>
          <w:tcPr>
            <w:tcW w:w="877" w:type="dxa"/>
            <w:vMerge w:val="restart"/>
            <w:vAlign w:val="center"/>
          </w:tcPr>
          <w:p w14:paraId="4C823907">
            <w:pPr>
              <w:spacing w:line="276" w:lineRule="auto"/>
              <w:jc w:val="center"/>
              <w:rPr>
                <w:rFonts w:ascii="宋体" w:hAnsi="宋体" w:cs="宋体"/>
                <w:szCs w:val="21"/>
                <w:highlight w:val="none"/>
              </w:rPr>
            </w:pPr>
            <w:r>
              <w:rPr>
                <w:rFonts w:hint="eastAsia" w:ascii="宋体" w:hAnsi="宋体" w:cs="宋体"/>
                <w:szCs w:val="21"/>
                <w:highlight w:val="none"/>
              </w:rPr>
              <w:t>职称</w:t>
            </w:r>
          </w:p>
        </w:tc>
        <w:tc>
          <w:tcPr>
            <w:tcW w:w="877" w:type="dxa"/>
            <w:vMerge w:val="restart"/>
            <w:vAlign w:val="center"/>
          </w:tcPr>
          <w:p w14:paraId="53EB84E1">
            <w:pPr>
              <w:spacing w:line="276" w:lineRule="auto"/>
              <w:jc w:val="center"/>
              <w:rPr>
                <w:rFonts w:ascii="宋体" w:hAnsi="宋体" w:cs="宋体"/>
                <w:szCs w:val="21"/>
                <w:highlight w:val="none"/>
              </w:rPr>
            </w:pPr>
            <w:r>
              <w:rPr>
                <w:rFonts w:hint="eastAsia" w:ascii="宋体" w:hAnsi="宋体" w:cs="宋体"/>
                <w:szCs w:val="21"/>
                <w:highlight w:val="none"/>
              </w:rPr>
              <w:t>学历</w:t>
            </w:r>
          </w:p>
        </w:tc>
        <w:tc>
          <w:tcPr>
            <w:tcW w:w="4265" w:type="dxa"/>
            <w:gridSpan w:val="4"/>
            <w:vAlign w:val="center"/>
          </w:tcPr>
          <w:p w14:paraId="26475E3D">
            <w:pPr>
              <w:spacing w:line="276" w:lineRule="auto"/>
              <w:jc w:val="center"/>
              <w:rPr>
                <w:rFonts w:ascii="宋体" w:hAnsi="宋体" w:cs="宋体"/>
                <w:szCs w:val="21"/>
                <w:highlight w:val="none"/>
              </w:rPr>
            </w:pPr>
            <w:r>
              <w:rPr>
                <w:rFonts w:hint="eastAsia" w:ascii="宋体" w:hAnsi="宋体" w:cs="宋体"/>
                <w:szCs w:val="21"/>
                <w:highlight w:val="none"/>
              </w:rPr>
              <w:t>上岗资格证明</w:t>
            </w:r>
          </w:p>
        </w:tc>
      </w:tr>
      <w:tr w14:paraId="277120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478B51E9">
            <w:pPr>
              <w:spacing w:line="276" w:lineRule="auto"/>
              <w:jc w:val="center"/>
              <w:rPr>
                <w:rFonts w:ascii="宋体" w:hAnsi="宋体" w:cs="宋体"/>
                <w:szCs w:val="21"/>
                <w:highlight w:val="none"/>
              </w:rPr>
            </w:pPr>
          </w:p>
        </w:tc>
        <w:tc>
          <w:tcPr>
            <w:tcW w:w="876" w:type="dxa"/>
            <w:vMerge w:val="continue"/>
            <w:vAlign w:val="center"/>
          </w:tcPr>
          <w:p w14:paraId="07C5653C">
            <w:pPr>
              <w:spacing w:line="276" w:lineRule="auto"/>
              <w:jc w:val="center"/>
              <w:rPr>
                <w:rFonts w:ascii="宋体" w:hAnsi="宋体" w:cs="宋体"/>
                <w:szCs w:val="21"/>
                <w:highlight w:val="none"/>
              </w:rPr>
            </w:pPr>
          </w:p>
        </w:tc>
        <w:tc>
          <w:tcPr>
            <w:tcW w:w="877" w:type="dxa"/>
            <w:vMerge w:val="continue"/>
            <w:vAlign w:val="center"/>
          </w:tcPr>
          <w:p w14:paraId="29DB1D92">
            <w:pPr>
              <w:spacing w:line="276" w:lineRule="auto"/>
              <w:jc w:val="center"/>
              <w:rPr>
                <w:rFonts w:ascii="宋体" w:hAnsi="宋体" w:cs="宋体"/>
                <w:szCs w:val="21"/>
                <w:highlight w:val="none"/>
              </w:rPr>
            </w:pPr>
          </w:p>
        </w:tc>
        <w:tc>
          <w:tcPr>
            <w:tcW w:w="877" w:type="dxa"/>
            <w:vMerge w:val="continue"/>
          </w:tcPr>
          <w:p w14:paraId="710EEC1C">
            <w:pPr>
              <w:spacing w:line="276" w:lineRule="auto"/>
              <w:jc w:val="center"/>
              <w:rPr>
                <w:rFonts w:ascii="宋体" w:hAnsi="宋体" w:cs="宋体"/>
                <w:szCs w:val="21"/>
                <w:highlight w:val="none"/>
              </w:rPr>
            </w:pPr>
          </w:p>
        </w:tc>
        <w:tc>
          <w:tcPr>
            <w:tcW w:w="877" w:type="dxa"/>
            <w:vMerge w:val="continue"/>
            <w:vAlign w:val="center"/>
          </w:tcPr>
          <w:p w14:paraId="2235DD22">
            <w:pPr>
              <w:spacing w:line="276" w:lineRule="auto"/>
              <w:jc w:val="center"/>
              <w:rPr>
                <w:rFonts w:ascii="宋体" w:hAnsi="宋体" w:cs="宋体"/>
                <w:szCs w:val="21"/>
                <w:highlight w:val="none"/>
              </w:rPr>
            </w:pPr>
          </w:p>
        </w:tc>
        <w:tc>
          <w:tcPr>
            <w:tcW w:w="1151" w:type="dxa"/>
            <w:vAlign w:val="center"/>
          </w:tcPr>
          <w:p w14:paraId="2D8F5D75">
            <w:pPr>
              <w:spacing w:line="276" w:lineRule="auto"/>
              <w:jc w:val="center"/>
              <w:rPr>
                <w:rFonts w:ascii="宋体" w:hAnsi="宋体" w:cs="宋体"/>
                <w:szCs w:val="21"/>
                <w:highlight w:val="none"/>
              </w:rPr>
            </w:pPr>
            <w:r>
              <w:rPr>
                <w:rFonts w:hint="eastAsia" w:ascii="宋体" w:hAnsi="宋体" w:cs="宋体"/>
                <w:szCs w:val="21"/>
                <w:highlight w:val="none"/>
              </w:rPr>
              <w:t>证书名称</w:t>
            </w:r>
          </w:p>
        </w:tc>
        <w:tc>
          <w:tcPr>
            <w:tcW w:w="933" w:type="dxa"/>
            <w:vAlign w:val="center"/>
          </w:tcPr>
          <w:p w14:paraId="0CD1D736">
            <w:pPr>
              <w:spacing w:line="276" w:lineRule="auto"/>
              <w:jc w:val="center"/>
              <w:rPr>
                <w:rFonts w:ascii="宋体" w:hAnsi="宋体" w:cs="宋体"/>
                <w:szCs w:val="21"/>
                <w:highlight w:val="none"/>
              </w:rPr>
            </w:pPr>
            <w:r>
              <w:rPr>
                <w:rFonts w:hint="eastAsia" w:ascii="宋体" w:hAnsi="宋体" w:cs="宋体"/>
                <w:szCs w:val="21"/>
                <w:highlight w:val="none"/>
              </w:rPr>
              <w:t>级别</w:t>
            </w:r>
          </w:p>
        </w:tc>
        <w:tc>
          <w:tcPr>
            <w:tcW w:w="1101" w:type="dxa"/>
            <w:vAlign w:val="center"/>
          </w:tcPr>
          <w:p w14:paraId="382F0FA5">
            <w:pPr>
              <w:spacing w:line="276" w:lineRule="auto"/>
              <w:jc w:val="center"/>
              <w:rPr>
                <w:rFonts w:ascii="宋体" w:hAnsi="宋体" w:cs="宋体"/>
                <w:szCs w:val="21"/>
                <w:highlight w:val="none"/>
              </w:rPr>
            </w:pPr>
            <w:r>
              <w:rPr>
                <w:rFonts w:hint="eastAsia" w:ascii="宋体" w:hAnsi="宋体" w:cs="宋体"/>
                <w:szCs w:val="21"/>
                <w:highlight w:val="none"/>
              </w:rPr>
              <w:t>证号</w:t>
            </w:r>
          </w:p>
        </w:tc>
        <w:tc>
          <w:tcPr>
            <w:tcW w:w="1080" w:type="dxa"/>
            <w:vAlign w:val="center"/>
          </w:tcPr>
          <w:p w14:paraId="12563201">
            <w:pPr>
              <w:spacing w:line="276" w:lineRule="auto"/>
              <w:jc w:val="center"/>
              <w:rPr>
                <w:rFonts w:ascii="宋体" w:hAnsi="宋体" w:cs="宋体"/>
                <w:szCs w:val="21"/>
                <w:highlight w:val="none"/>
              </w:rPr>
            </w:pPr>
            <w:r>
              <w:rPr>
                <w:rFonts w:hint="eastAsia" w:ascii="宋体" w:hAnsi="宋体" w:cs="宋体"/>
                <w:szCs w:val="21"/>
                <w:highlight w:val="none"/>
              </w:rPr>
              <w:t>专业</w:t>
            </w:r>
          </w:p>
        </w:tc>
      </w:tr>
      <w:tr w14:paraId="0EC0D7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restart"/>
            <w:vAlign w:val="center"/>
          </w:tcPr>
          <w:p w14:paraId="24EFD13B">
            <w:pPr>
              <w:spacing w:line="276" w:lineRule="auto"/>
              <w:jc w:val="center"/>
              <w:rPr>
                <w:rFonts w:ascii="宋体" w:hAnsi="宋体" w:cs="宋体"/>
                <w:szCs w:val="21"/>
                <w:highlight w:val="none"/>
              </w:rPr>
            </w:pPr>
            <w:r>
              <w:rPr>
                <w:rFonts w:hint="eastAsia" w:ascii="宋体" w:hAnsi="宋体" w:cs="宋体"/>
                <w:szCs w:val="21"/>
                <w:highlight w:val="none"/>
              </w:rPr>
              <w:t>拟安排的项目团队成员</w:t>
            </w:r>
          </w:p>
        </w:tc>
        <w:tc>
          <w:tcPr>
            <w:tcW w:w="876" w:type="dxa"/>
            <w:vAlign w:val="center"/>
          </w:tcPr>
          <w:p w14:paraId="7BD9961A">
            <w:pPr>
              <w:spacing w:line="276" w:lineRule="auto"/>
              <w:jc w:val="center"/>
              <w:rPr>
                <w:rFonts w:ascii="宋体" w:hAnsi="宋体" w:cs="宋体"/>
                <w:szCs w:val="21"/>
                <w:highlight w:val="none"/>
              </w:rPr>
            </w:pPr>
          </w:p>
        </w:tc>
        <w:tc>
          <w:tcPr>
            <w:tcW w:w="877" w:type="dxa"/>
            <w:vAlign w:val="center"/>
          </w:tcPr>
          <w:p w14:paraId="7D31B78F">
            <w:pPr>
              <w:spacing w:line="276" w:lineRule="auto"/>
              <w:jc w:val="center"/>
              <w:rPr>
                <w:rFonts w:ascii="宋体" w:hAnsi="宋体" w:cs="宋体"/>
                <w:szCs w:val="21"/>
                <w:highlight w:val="none"/>
              </w:rPr>
            </w:pPr>
          </w:p>
        </w:tc>
        <w:tc>
          <w:tcPr>
            <w:tcW w:w="877" w:type="dxa"/>
          </w:tcPr>
          <w:p w14:paraId="3352716C">
            <w:pPr>
              <w:spacing w:line="276" w:lineRule="auto"/>
              <w:jc w:val="center"/>
              <w:rPr>
                <w:rFonts w:ascii="宋体" w:hAnsi="宋体" w:cs="宋体"/>
                <w:szCs w:val="21"/>
                <w:highlight w:val="none"/>
              </w:rPr>
            </w:pPr>
          </w:p>
        </w:tc>
        <w:tc>
          <w:tcPr>
            <w:tcW w:w="877" w:type="dxa"/>
            <w:vAlign w:val="center"/>
          </w:tcPr>
          <w:p w14:paraId="1866F00A">
            <w:pPr>
              <w:spacing w:line="276" w:lineRule="auto"/>
              <w:jc w:val="center"/>
              <w:rPr>
                <w:rFonts w:ascii="宋体" w:hAnsi="宋体" w:cs="宋体"/>
                <w:szCs w:val="21"/>
                <w:highlight w:val="none"/>
              </w:rPr>
            </w:pPr>
          </w:p>
        </w:tc>
        <w:tc>
          <w:tcPr>
            <w:tcW w:w="1151" w:type="dxa"/>
            <w:vAlign w:val="center"/>
          </w:tcPr>
          <w:p w14:paraId="57307F77">
            <w:pPr>
              <w:spacing w:line="276" w:lineRule="auto"/>
              <w:jc w:val="center"/>
              <w:rPr>
                <w:rFonts w:ascii="宋体" w:hAnsi="宋体" w:cs="宋体"/>
                <w:szCs w:val="21"/>
                <w:highlight w:val="none"/>
              </w:rPr>
            </w:pPr>
          </w:p>
        </w:tc>
        <w:tc>
          <w:tcPr>
            <w:tcW w:w="933" w:type="dxa"/>
            <w:vAlign w:val="center"/>
          </w:tcPr>
          <w:p w14:paraId="5D22926F">
            <w:pPr>
              <w:spacing w:line="276" w:lineRule="auto"/>
              <w:jc w:val="center"/>
              <w:rPr>
                <w:rFonts w:ascii="宋体" w:hAnsi="宋体" w:cs="宋体"/>
                <w:szCs w:val="21"/>
                <w:highlight w:val="none"/>
              </w:rPr>
            </w:pPr>
          </w:p>
        </w:tc>
        <w:tc>
          <w:tcPr>
            <w:tcW w:w="1101" w:type="dxa"/>
            <w:vAlign w:val="center"/>
          </w:tcPr>
          <w:p w14:paraId="0010C4D0">
            <w:pPr>
              <w:spacing w:line="276" w:lineRule="auto"/>
              <w:jc w:val="center"/>
              <w:rPr>
                <w:rFonts w:ascii="宋体" w:hAnsi="宋体" w:cs="宋体"/>
                <w:szCs w:val="21"/>
                <w:highlight w:val="none"/>
              </w:rPr>
            </w:pPr>
          </w:p>
        </w:tc>
        <w:tc>
          <w:tcPr>
            <w:tcW w:w="1080" w:type="dxa"/>
            <w:vAlign w:val="center"/>
          </w:tcPr>
          <w:p w14:paraId="688B4E30">
            <w:pPr>
              <w:spacing w:line="276" w:lineRule="auto"/>
              <w:jc w:val="center"/>
              <w:rPr>
                <w:rFonts w:ascii="宋体" w:hAnsi="宋体" w:cs="宋体"/>
                <w:szCs w:val="21"/>
                <w:highlight w:val="none"/>
              </w:rPr>
            </w:pPr>
          </w:p>
        </w:tc>
      </w:tr>
      <w:tr w14:paraId="1B7466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3219F264">
            <w:pPr>
              <w:spacing w:line="276" w:lineRule="auto"/>
              <w:jc w:val="center"/>
              <w:rPr>
                <w:rFonts w:ascii="宋体" w:hAnsi="宋体" w:cs="宋体"/>
                <w:szCs w:val="21"/>
                <w:highlight w:val="none"/>
              </w:rPr>
            </w:pPr>
          </w:p>
        </w:tc>
        <w:tc>
          <w:tcPr>
            <w:tcW w:w="876" w:type="dxa"/>
            <w:vAlign w:val="center"/>
          </w:tcPr>
          <w:p w14:paraId="29CB5EA8">
            <w:pPr>
              <w:spacing w:line="276" w:lineRule="auto"/>
              <w:jc w:val="center"/>
              <w:rPr>
                <w:rFonts w:ascii="宋体" w:hAnsi="宋体" w:cs="宋体"/>
                <w:szCs w:val="21"/>
                <w:highlight w:val="none"/>
              </w:rPr>
            </w:pPr>
          </w:p>
        </w:tc>
        <w:tc>
          <w:tcPr>
            <w:tcW w:w="877" w:type="dxa"/>
            <w:vAlign w:val="center"/>
          </w:tcPr>
          <w:p w14:paraId="4B840DCA">
            <w:pPr>
              <w:spacing w:line="276" w:lineRule="auto"/>
              <w:jc w:val="center"/>
              <w:rPr>
                <w:rFonts w:ascii="宋体" w:hAnsi="宋体" w:cs="宋体"/>
                <w:szCs w:val="21"/>
                <w:highlight w:val="none"/>
              </w:rPr>
            </w:pPr>
          </w:p>
        </w:tc>
        <w:tc>
          <w:tcPr>
            <w:tcW w:w="877" w:type="dxa"/>
          </w:tcPr>
          <w:p w14:paraId="779E481F">
            <w:pPr>
              <w:spacing w:line="276" w:lineRule="auto"/>
              <w:jc w:val="center"/>
              <w:rPr>
                <w:rFonts w:ascii="宋体" w:hAnsi="宋体" w:cs="宋体"/>
                <w:szCs w:val="21"/>
                <w:highlight w:val="none"/>
              </w:rPr>
            </w:pPr>
          </w:p>
        </w:tc>
        <w:tc>
          <w:tcPr>
            <w:tcW w:w="877" w:type="dxa"/>
            <w:vAlign w:val="center"/>
          </w:tcPr>
          <w:p w14:paraId="5004270D">
            <w:pPr>
              <w:spacing w:line="276" w:lineRule="auto"/>
              <w:jc w:val="center"/>
              <w:rPr>
                <w:rFonts w:ascii="宋体" w:hAnsi="宋体" w:cs="宋体"/>
                <w:szCs w:val="21"/>
                <w:highlight w:val="none"/>
              </w:rPr>
            </w:pPr>
          </w:p>
        </w:tc>
        <w:tc>
          <w:tcPr>
            <w:tcW w:w="1151" w:type="dxa"/>
            <w:vAlign w:val="center"/>
          </w:tcPr>
          <w:p w14:paraId="00BD689E">
            <w:pPr>
              <w:spacing w:line="276" w:lineRule="auto"/>
              <w:jc w:val="center"/>
              <w:rPr>
                <w:rFonts w:ascii="宋体" w:hAnsi="宋体" w:cs="宋体"/>
                <w:szCs w:val="21"/>
                <w:highlight w:val="none"/>
              </w:rPr>
            </w:pPr>
          </w:p>
        </w:tc>
        <w:tc>
          <w:tcPr>
            <w:tcW w:w="933" w:type="dxa"/>
            <w:vAlign w:val="center"/>
          </w:tcPr>
          <w:p w14:paraId="33CFEAA2">
            <w:pPr>
              <w:spacing w:line="276" w:lineRule="auto"/>
              <w:jc w:val="center"/>
              <w:rPr>
                <w:rFonts w:ascii="宋体" w:hAnsi="宋体" w:cs="宋体"/>
                <w:szCs w:val="21"/>
                <w:highlight w:val="none"/>
              </w:rPr>
            </w:pPr>
          </w:p>
        </w:tc>
        <w:tc>
          <w:tcPr>
            <w:tcW w:w="1101" w:type="dxa"/>
            <w:vAlign w:val="center"/>
          </w:tcPr>
          <w:p w14:paraId="19DCF2F8">
            <w:pPr>
              <w:spacing w:line="276" w:lineRule="auto"/>
              <w:jc w:val="center"/>
              <w:rPr>
                <w:rFonts w:ascii="宋体" w:hAnsi="宋体" w:cs="宋体"/>
                <w:szCs w:val="21"/>
                <w:highlight w:val="none"/>
              </w:rPr>
            </w:pPr>
          </w:p>
        </w:tc>
        <w:tc>
          <w:tcPr>
            <w:tcW w:w="1080" w:type="dxa"/>
            <w:vAlign w:val="center"/>
          </w:tcPr>
          <w:p w14:paraId="015BCB99">
            <w:pPr>
              <w:spacing w:line="276" w:lineRule="auto"/>
              <w:jc w:val="center"/>
              <w:rPr>
                <w:rFonts w:ascii="宋体" w:hAnsi="宋体" w:cs="宋体"/>
                <w:szCs w:val="21"/>
                <w:highlight w:val="none"/>
              </w:rPr>
            </w:pPr>
          </w:p>
        </w:tc>
      </w:tr>
      <w:tr w14:paraId="5DA36F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17301530">
            <w:pPr>
              <w:spacing w:line="276" w:lineRule="auto"/>
              <w:jc w:val="center"/>
              <w:rPr>
                <w:rFonts w:ascii="宋体" w:hAnsi="宋体" w:cs="宋体"/>
                <w:szCs w:val="21"/>
                <w:highlight w:val="none"/>
              </w:rPr>
            </w:pPr>
          </w:p>
        </w:tc>
        <w:tc>
          <w:tcPr>
            <w:tcW w:w="876" w:type="dxa"/>
            <w:vAlign w:val="center"/>
          </w:tcPr>
          <w:p w14:paraId="5D81CA48">
            <w:pPr>
              <w:spacing w:line="276" w:lineRule="auto"/>
              <w:jc w:val="center"/>
              <w:rPr>
                <w:rFonts w:ascii="宋体" w:hAnsi="宋体" w:cs="宋体"/>
                <w:szCs w:val="21"/>
                <w:highlight w:val="none"/>
              </w:rPr>
            </w:pPr>
          </w:p>
        </w:tc>
        <w:tc>
          <w:tcPr>
            <w:tcW w:w="877" w:type="dxa"/>
            <w:vAlign w:val="center"/>
          </w:tcPr>
          <w:p w14:paraId="292D8000">
            <w:pPr>
              <w:spacing w:line="276" w:lineRule="auto"/>
              <w:jc w:val="center"/>
              <w:rPr>
                <w:rFonts w:ascii="宋体" w:hAnsi="宋体" w:cs="宋体"/>
                <w:szCs w:val="21"/>
                <w:highlight w:val="none"/>
              </w:rPr>
            </w:pPr>
          </w:p>
        </w:tc>
        <w:tc>
          <w:tcPr>
            <w:tcW w:w="877" w:type="dxa"/>
          </w:tcPr>
          <w:p w14:paraId="247BECE3">
            <w:pPr>
              <w:spacing w:line="276" w:lineRule="auto"/>
              <w:jc w:val="center"/>
              <w:rPr>
                <w:rFonts w:ascii="宋体" w:hAnsi="宋体" w:cs="宋体"/>
                <w:szCs w:val="21"/>
                <w:highlight w:val="none"/>
              </w:rPr>
            </w:pPr>
          </w:p>
        </w:tc>
        <w:tc>
          <w:tcPr>
            <w:tcW w:w="877" w:type="dxa"/>
            <w:vAlign w:val="center"/>
          </w:tcPr>
          <w:p w14:paraId="7818089F">
            <w:pPr>
              <w:spacing w:line="276" w:lineRule="auto"/>
              <w:jc w:val="center"/>
              <w:rPr>
                <w:rFonts w:ascii="宋体" w:hAnsi="宋体" w:cs="宋体"/>
                <w:szCs w:val="21"/>
                <w:highlight w:val="none"/>
              </w:rPr>
            </w:pPr>
          </w:p>
        </w:tc>
        <w:tc>
          <w:tcPr>
            <w:tcW w:w="1151" w:type="dxa"/>
            <w:vAlign w:val="center"/>
          </w:tcPr>
          <w:p w14:paraId="13175247">
            <w:pPr>
              <w:spacing w:line="276" w:lineRule="auto"/>
              <w:jc w:val="center"/>
              <w:rPr>
                <w:rFonts w:ascii="宋体" w:hAnsi="宋体" w:cs="宋体"/>
                <w:szCs w:val="21"/>
                <w:highlight w:val="none"/>
              </w:rPr>
            </w:pPr>
          </w:p>
        </w:tc>
        <w:tc>
          <w:tcPr>
            <w:tcW w:w="933" w:type="dxa"/>
            <w:vAlign w:val="center"/>
          </w:tcPr>
          <w:p w14:paraId="27BC6C3B">
            <w:pPr>
              <w:spacing w:line="276" w:lineRule="auto"/>
              <w:jc w:val="center"/>
              <w:rPr>
                <w:rFonts w:ascii="宋体" w:hAnsi="宋体" w:cs="宋体"/>
                <w:szCs w:val="21"/>
                <w:highlight w:val="none"/>
              </w:rPr>
            </w:pPr>
          </w:p>
        </w:tc>
        <w:tc>
          <w:tcPr>
            <w:tcW w:w="1101" w:type="dxa"/>
            <w:vAlign w:val="center"/>
          </w:tcPr>
          <w:p w14:paraId="0B117604">
            <w:pPr>
              <w:spacing w:line="276" w:lineRule="auto"/>
              <w:jc w:val="center"/>
              <w:rPr>
                <w:rFonts w:ascii="宋体" w:hAnsi="宋体" w:cs="宋体"/>
                <w:szCs w:val="21"/>
                <w:highlight w:val="none"/>
              </w:rPr>
            </w:pPr>
          </w:p>
        </w:tc>
        <w:tc>
          <w:tcPr>
            <w:tcW w:w="1080" w:type="dxa"/>
            <w:vAlign w:val="center"/>
          </w:tcPr>
          <w:p w14:paraId="403C3C79">
            <w:pPr>
              <w:spacing w:line="276" w:lineRule="auto"/>
              <w:jc w:val="center"/>
              <w:rPr>
                <w:rFonts w:ascii="宋体" w:hAnsi="宋体" w:cs="宋体"/>
                <w:szCs w:val="21"/>
                <w:highlight w:val="none"/>
              </w:rPr>
            </w:pPr>
          </w:p>
        </w:tc>
      </w:tr>
      <w:tr w14:paraId="54C3B8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14:paraId="20E57CF1">
            <w:pPr>
              <w:spacing w:line="276" w:lineRule="auto"/>
              <w:jc w:val="center"/>
              <w:rPr>
                <w:rFonts w:ascii="宋体" w:hAnsi="宋体" w:cs="宋体"/>
                <w:szCs w:val="21"/>
                <w:highlight w:val="none"/>
              </w:rPr>
            </w:pPr>
            <w:r>
              <w:rPr>
                <w:rFonts w:hint="eastAsia" w:ascii="宋体" w:hAnsi="宋体" w:cs="宋体"/>
                <w:szCs w:val="21"/>
                <w:highlight w:val="none"/>
              </w:rPr>
              <w:t>其他</w:t>
            </w:r>
          </w:p>
        </w:tc>
        <w:tc>
          <w:tcPr>
            <w:tcW w:w="876" w:type="dxa"/>
          </w:tcPr>
          <w:p w14:paraId="3863A3CF">
            <w:pPr>
              <w:spacing w:line="276" w:lineRule="auto"/>
              <w:rPr>
                <w:rFonts w:ascii="宋体" w:hAnsi="宋体" w:cs="宋体"/>
                <w:szCs w:val="21"/>
                <w:highlight w:val="none"/>
              </w:rPr>
            </w:pPr>
          </w:p>
        </w:tc>
        <w:tc>
          <w:tcPr>
            <w:tcW w:w="877" w:type="dxa"/>
          </w:tcPr>
          <w:p w14:paraId="7E868470">
            <w:pPr>
              <w:spacing w:line="276" w:lineRule="auto"/>
              <w:rPr>
                <w:rFonts w:ascii="宋体" w:hAnsi="宋体" w:cs="宋体"/>
                <w:szCs w:val="21"/>
                <w:highlight w:val="none"/>
              </w:rPr>
            </w:pPr>
          </w:p>
        </w:tc>
        <w:tc>
          <w:tcPr>
            <w:tcW w:w="877" w:type="dxa"/>
          </w:tcPr>
          <w:p w14:paraId="3D55B214">
            <w:pPr>
              <w:spacing w:line="276" w:lineRule="auto"/>
              <w:rPr>
                <w:rFonts w:ascii="宋体" w:hAnsi="宋体" w:cs="宋体"/>
                <w:szCs w:val="21"/>
                <w:highlight w:val="none"/>
              </w:rPr>
            </w:pPr>
          </w:p>
        </w:tc>
        <w:tc>
          <w:tcPr>
            <w:tcW w:w="877" w:type="dxa"/>
          </w:tcPr>
          <w:p w14:paraId="74DF1F11">
            <w:pPr>
              <w:spacing w:line="276" w:lineRule="auto"/>
              <w:rPr>
                <w:rFonts w:ascii="宋体" w:hAnsi="宋体" w:cs="宋体"/>
                <w:szCs w:val="21"/>
                <w:highlight w:val="none"/>
              </w:rPr>
            </w:pPr>
          </w:p>
        </w:tc>
        <w:tc>
          <w:tcPr>
            <w:tcW w:w="1151" w:type="dxa"/>
          </w:tcPr>
          <w:p w14:paraId="30AB89B0">
            <w:pPr>
              <w:spacing w:line="276" w:lineRule="auto"/>
              <w:rPr>
                <w:rFonts w:ascii="宋体" w:hAnsi="宋体" w:cs="宋体"/>
                <w:szCs w:val="21"/>
                <w:highlight w:val="none"/>
              </w:rPr>
            </w:pPr>
          </w:p>
        </w:tc>
        <w:tc>
          <w:tcPr>
            <w:tcW w:w="933" w:type="dxa"/>
          </w:tcPr>
          <w:p w14:paraId="2C40CD0C">
            <w:pPr>
              <w:spacing w:line="276" w:lineRule="auto"/>
              <w:rPr>
                <w:rFonts w:ascii="宋体" w:hAnsi="宋体" w:cs="宋体"/>
                <w:szCs w:val="21"/>
                <w:highlight w:val="none"/>
              </w:rPr>
            </w:pPr>
          </w:p>
        </w:tc>
        <w:tc>
          <w:tcPr>
            <w:tcW w:w="1101" w:type="dxa"/>
          </w:tcPr>
          <w:p w14:paraId="51546D37">
            <w:pPr>
              <w:spacing w:line="276" w:lineRule="auto"/>
              <w:rPr>
                <w:rFonts w:ascii="宋体" w:hAnsi="宋体" w:cs="宋体"/>
                <w:szCs w:val="21"/>
                <w:highlight w:val="none"/>
              </w:rPr>
            </w:pPr>
          </w:p>
        </w:tc>
        <w:tc>
          <w:tcPr>
            <w:tcW w:w="1080" w:type="dxa"/>
          </w:tcPr>
          <w:p w14:paraId="01DA7D4C">
            <w:pPr>
              <w:spacing w:line="276" w:lineRule="auto"/>
              <w:rPr>
                <w:rFonts w:ascii="宋体" w:hAnsi="宋体" w:cs="宋体"/>
                <w:szCs w:val="21"/>
                <w:highlight w:val="none"/>
              </w:rPr>
            </w:pPr>
          </w:p>
        </w:tc>
      </w:tr>
      <w:tr w14:paraId="2FE6C9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continue"/>
          </w:tcPr>
          <w:p w14:paraId="758A5ADE">
            <w:pPr>
              <w:spacing w:line="276" w:lineRule="auto"/>
              <w:rPr>
                <w:rFonts w:ascii="宋体" w:hAnsi="宋体" w:cs="宋体"/>
                <w:szCs w:val="21"/>
                <w:highlight w:val="none"/>
              </w:rPr>
            </w:pPr>
          </w:p>
        </w:tc>
        <w:tc>
          <w:tcPr>
            <w:tcW w:w="876" w:type="dxa"/>
          </w:tcPr>
          <w:p w14:paraId="19C9C706">
            <w:pPr>
              <w:spacing w:line="276" w:lineRule="auto"/>
              <w:rPr>
                <w:rFonts w:ascii="宋体" w:hAnsi="宋体" w:cs="宋体"/>
                <w:szCs w:val="21"/>
                <w:highlight w:val="none"/>
              </w:rPr>
            </w:pPr>
          </w:p>
        </w:tc>
        <w:tc>
          <w:tcPr>
            <w:tcW w:w="877" w:type="dxa"/>
          </w:tcPr>
          <w:p w14:paraId="211CFA8F">
            <w:pPr>
              <w:spacing w:line="276" w:lineRule="auto"/>
              <w:rPr>
                <w:rFonts w:ascii="宋体" w:hAnsi="宋体" w:cs="宋体"/>
                <w:szCs w:val="21"/>
                <w:highlight w:val="none"/>
              </w:rPr>
            </w:pPr>
          </w:p>
        </w:tc>
        <w:tc>
          <w:tcPr>
            <w:tcW w:w="877" w:type="dxa"/>
          </w:tcPr>
          <w:p w14:paraId="33854E6E">
            <w:pPr>
              <w:spacing w:line="276" w:lineRule="auto"/>
              <w:rPr>
                <w:rFonts w:ascii="宋体" w:hAnsi="宋体" w:cs="宋体"/>
                <w:szCs w:val="21"/>
                <w:highlight w:val="none"/>
              </w:rPr>
            </w:pPr>
          </w:p>
        </w:tc>
        <w:tc>
          <w:tcPr>
            <w:tcW w:w="877" w:type="dxa"/>
          </w:tcPr>
          <w:p w14:paraId="4921E1B9">
            <w:pPr>
              <w:spacing w:line="276" w:lineRule="auto"/>
              <w:rPr>
                <w:rFonts w:ascii="宋体" w:hAnsi="宋体" w:cs="宋体"/>
                <w:szCs w:val="21"/>
                <w:highlight w:val="none"/>
              </w:rPr>
            </w:pPr>
          </w:p>
        </w:tc>
        <w:tc>
          <w:tcPr>
            <w:tcW w:w="1151" w:type="dxa"/>
          </w:tcPr>
          <w:p w14:paraId="01E26884">
            <w:pPr>
              <w:spacing w:line="276" w:lineRule="auto"/>
              <w:rPr>
                <w:rFonts w:ascii="宋体" w:hAnsi="宋体" w:cs="宋体"/>
                <w:szCs w:val="21"/>
                <w:highlight w:val="none"/>
              </w:rPr>
            </w:pPr>
          </w:p>
        </w:tc>
        <w:tc>
          <w:tcPr>
            <w:tcW w:w="933" w:type="dxa"/>
          </w:tcPr>
          <w:p w14:paraId="0A282ED8">
            <w:pPr>
              <w:spacing w:line="276" w:lineRule="auto"/>
              <w:rPr>
                <w:rFonts w:ascii="宋体" w:hAnsi="宋体" w:cs="宋体"/>
                <w:szCs w:val="21"/>
                <w:highlight w:val="none"/>
              </w:rPr>
            </w:pPr>
          </w:p>
        </w:tc>
        <w:tc>
          <w:tcPr>
            <w:tcW w:w="1101" w:type="dxa"/>
          </w:tcPr>
          <w:p w14:paraId="50B6B0F8">
            <w:pPr>
              <w:spacing w:line="276" w:lineRule="auto"/>
              <w:rPr>
                <w:rFonts w:ascii="宋体" w:hAnsi="宋体" w:cs="宋体"/>
                <w:szCs w:val="21"/>
                <w:highlight w:val="none"/>
              </w:rPr>
            </w:pPr>
          </w:p>
        </w:tc>
        <w:tc>
          <w:tcPr>
            <w:tcW w:w="1080" w:type="dxa"/>
          </w:tcPr>
          <w:p w14:paraId="658AFAB5">
            <w:pPr>
              <w:spacing w:line="276" w:lineRule="auto"/>
              <w:rPr>
                <w:rFonts w:ascii="宋体" w:hAnsi="宋体" w:cs="宋体"/>
                <w:szCs w:val="21"/>
                <w:highlight w:val="none"/>
              </w:rPr>
            </w:pPr>
          </w:p>
        </w:tc>
      </w:tr>
    </w:tbl>
    <w:p w14:paraId="09AC0BD5">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（特别提示：以上表格仅供参考。投标人须按本招标文件评标信息中“拟安排的项目主要团队成员（主要技术人员）情况（项目负责人除外）情况”这一评分因素要求，提供证明资料）</w:t>
      </w:r>
    </w:p>
    <w:p w14:paraId="7112203B">
      <w:pPr>
        <w:pStyle w:val="9"/>
        <w:spacing w:before="60" w:beforeLines="25" w:after="60" w:afterLines="25"/>
        <w:ind w:firstLine="0"/>
        <w:rPr>
          <w:rFonts w:ascii="黑体" w:hAnsi="宋体" w:eastAsia="黑体"/>
          <w:sz w:val="24"/>
          <w:highlight w:val="none"/>
        </w:rPr>
      </w:pPr>
    </w:p>
    <w:p w14:paraId="22AA1B70">
      <w:pPr>
        <w:rPr>
          <w:rFonts w:ascii="黑体" w:hAnsi="宋体" w:eastAsia="黑体"/>
          <w:sz w:val="24"/>
          <w:highlight w:val="none"/>
        </w:rPr>
      </w:pPr>
    </w:p>
    <w:p w14:paraId="40AB806B">
      <w:pPr>
        <w:rPr>
          <w:rFonts w:hint="eastAsia" w:ascii="黑体" w:eastAsia="黑体"/>
          <w:b w:val="0"/>
          <w:bCs w:val="0"/>
          <w:sz w:val="24"/>
          <w:highlight w:val="none"/>
        </w:rPr>
      </w:pPr>
      <w:r>
        <w:rPr>
          <w:rFonts w:hint="eastAsia" w:ascii="黑体" w:eastAsia="黑体"/>
          <w:b w:val="0"/>
          <w:bCs w:val="0"/>
          <w:sz w:val="24"/>
          <w:highlight w:val="none"/>
        </w:rPr>
        <w:br w:type="page"/>
      </w:r>
    </w:p>
    <w:p w14:paraId="32868C44">
      <w:pPr>
        <w:pStyle w:val="5"/>
        <w:jc w:val="center"/>
        <w:rPr>
          <w:rFonts w:ascii="黑体" w:eastAsia="黑体"/>
          <w:b w:val="0"/>
          <w:bCs w:val="0"/>
          <w:sz w:val="24"/>
          <w:highlight w:val="none"/>
        </w:rPr>
      </w:pPr>
      <w:r>
        <w:rPr>
          <w:rFonts w:hint="eastAsia" w:ascii="黑体" w:eastAsia="黑体"/>
          <w:b w:val="0"/>
          <w:bCs w:val="0"/>
          <w:sz w:val="24"/>
          <w:highlight w:val="none"/>
        </w:rPr>
        <w:t>十</w:t>
      </w:r>
      <w:r>
        <w:rPr>
          <w:rFonts w:hint="eastAsia" w:ascii="黑体" w:eastAsia="黑体"/>
          <w:b w:val="0"/>
          <w:bCs w:val="0"/>
          <w:sz w:val="24"/>
          <w:highlight w:val="none"/>
          <w:lang w:val="en-US" w:eastAsia="zh-CN"/>
        </w:rPr>
        <w:t>一</w:t>
      </w:r>
      <w:r>
        <w:rPr>
          <w:rFonts w:hint="eastAsia" w:ascii="黑体" w:eastAsia="黑体"/>
          <w:b w:val="0"/>
          <w:bCs w:val="0"/>
          <w:sz w:val="24"/>
          <w:highlight w:val="none"/>
        </w:rPr>
        <w:t>、违约承诺</w:t>
      </w:r>
    </w:p>
    <w:p w14:paraId="6895FE78">
      <w:pPr>
        <w:pStyle w:val="2"/>
        <w:spacing w:line="276" w:lineRule="auto"/>
        <w:rPr>
          <w:rFonts w:ascii="黑体" w:hAnsi="宋体" w:eastAsia="黑体"/>
          <w:b w:val="0"/>
          <w:bCs w:val="0"/>
          <w:highlight w:val="none"/>
        </w:rPr>
      </w:pPr>
      <w:r>
        <w:rPr>
          <w:rFonts w:hint="eastAsia"/>
          <w:b w:val="0"/>
          <w:bCs w:val="0"/>
          <w:sz w:val="21"/>
          <w:szCs w:val="21"/>
          <w:highlight w:val="none"/>
        </w:rPr>
        <w:t>（特别提示：投标人须按本招标文件评标信息中“拟投入的服务资源（车辆、场地、工具、机器等）情况”这一评分因素要求，提供证明资料）</w:t>
      </w:r>
    </w:p>
    <w:p w14:paraId="37049229">
      <w:pPr>
        <w:pStyle w:val="6"/>
        <w:jc w:val="center"/>
        <w:rPr>
          <w:rFonts w:hint="eastAsia" w:ascii="黑体" w:eastAsia="黑体"/>
          <w:b w:val="0"/>
          <w:bCs w:val="0"/>
          <w:sz w:val="24"/>
          <w:szCs w:val="20"/>
          <w:highlight w:val="none"/>
          <w:lang w:val="en-US" w:eastAsia="zh-CN"/>
        </w:rPr>
      </w:pPr>
    </w:p>
    <w:p w14:paraId="0F388E44">
      <w:pPr>
        <w:rPr>
          <w:rFonts w:hint="eastAsia" w:ascii="黑体" w:eastAsia="黑体" w:cs="Times New Roman"/>
          <w:b w:val="0"/>
          <w:bCs w:val="0"/>
          <w:sz w:val="24"/>
          <w:szCs w:val="28"/>
          <w:highlight w:val="none"/>
          <w:lang w:val="en-US" w:eastAsia="zh-CN"/>
        </w:rPr>
      </w:pPr>
      <w:r>
        <w:rPr>
          <w:rFonts w:hint="eastAsia" w:ascii="黑体" w:eastAsia="黑体" w:cs="Times New Roman"/>
          <w:b w:val="0"/>
          <w:bCs w:val="0"/>
          <w:sz w:val="24"/>
          <w:szCs w:val="28"/>
          <w:highlight w:val="none"/>
          <w:lang w:val="en-US" w:eastAsia="zh-CN"/>
        </w:rPr>
        <w:br w:type="page"/>
      </w:r>
    </w:p>
    <w:p w14:paraId="17888552">
      <w:pPr>
        <w:pStyle w:val="6"/>
        <w:jc w:val="center"/>
        <w:rPr>
          <w:rFonts w:hint="eastAsia" w:ascii="黑体" w:eastAsia="黑体" w:cs="Times New Roman"/>
          <w:b w:val="0"/>
          <w:bCs w:val="0"/>
          <w:sz w:val="24"/>
          <w:szCs w:val="28"/>
          <w:highlight w:val="none"/>
        </w:rPr>
      </w:pPr>
      <w:r>
        <w:rPr>
          <w:rFonts w:hint="eastAsia" w:ascii="黑体" w:eastAsia="黑体" w:cs="Times New Roman"/>
          <w:b w:val="0"/>
          <w:bCs w:val="0"/>
          <w:sz w:val="24"/>
          <w:szCs w:val="28"/>
          <w:highlight w:val="none"/>
          <w:lang w:val="en-US" w:eastAsia="zh-CN"/>
        </w:rPr>
        <w:t>十</w:t>
      </w:r>
      <w:r>
        <w:rPr>
          <w:rFonts w:hint="eastAsia" w:ascii="黑体" w:cs="Times New Roman"/>
          <w:b w:val="0"/>
          <w:bCs w:val="0"/>
          <w:sz w:val="24"/>
          <w:szCs w:val="28"/>
          <w:highlight w:val="none"/>
          <w:lang w:val="en-US" w:eastAsia="zh-CN"/>
        </w:rPr>
        <w:t>二</w:t>
      </w:r>
      <w:r>
        <w:rPr>
          <w:rFonts w:hint="eastAsia" w:ascii="黑体" w:eastAsia="黑体" w:cs="Times New Roman"/>
          <w:b w:val="0"/>
          <w:bCs w:val="0"/>
          <w:sz w:val="24"/>
          <w:szCs w:val="28"/>
          <w:highlight w:val="none"/>
        </w:rPr>
        <w:t>、投标人认为需要加以说明的其他内容（信息不公开部分）</w:t>
      </w:r>
    </w:p>
    <w:p w14:paraId="6BE87160">
      <w:pPr>
        <w:keepNext w:val="0"/>
        <w:keepLines w:val="0"/>
        <w:widowControl/>
        <w:suppressLineNumbers w:val="0"/>
        <w:jc w:val="center"/>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lang w:val="en-US" w:eastAsia="zh-CN"/>
        </w:rPr>
        <w:t>政府采购违法行为风险知悉确认书</w:t>
      </w:r>
    </w:p>
    <w:p w14:paraId="4F84D6EB">
      <w:pPr>
        <w:spacing w:before="0" w:beforeLines="0" w:after="156" w:afterLines="50" w:line="360" w:lineRule="exact"/>
        <w:ind w:firstLine="422" w:firstLineChars="200"/>
        <w:rPr>
          <w:rFonts w:hint="eastAsia" w:eastAsia="宋体" w:cs="Times New Roman"/>
          <w:b/>
          <w:bCs/>
          <w:color w:val="auto"/>
          <w:sz w:val="24"/>
          <w:highlight w:val="none"/>
          <w:lang w:val="en-US" w:eastAsia="zh-CN"/>
        </w:rPr>
      </w:pPr>
      <w:r>
        <w:rPr>
          <w:rFonts w:hint="eastAsia"/>
          <w:b/>
          <w:bCs/>
          <w:color w:val="auto"/>
          <w:sz w:val="21"/>
          <w:szCs w:val="21"/>
          <w:highlight w:val="none"/>
          <w:lang w:eastAsia="zh-CN"/>
        </w:rPr>
        <w:t>我</w:t>
      </w:r>
      <w:r>
        <w:rPr>
          <w:rFonts w:hint="eastAsia" w:ascii="Calibri" w:hAnsi="Calibri" w:eastAsia="宋体" w:cs="Times New Roman"/>
          <w:b/>
          <w:bCs/>
          <w:color w:val="auto"/>
          <w:sz w:val="21"/>
          <w:szCs w:val="21"/>
          <w:highlight w:val="none"/>
          <w:lang w:val="en-US" w:eastAsia="zh-CN"/>
        </w:rPr>
        <w:t>单位</w:t>
      </w:r>
      <w:r>
        <w:rPr>
          <w:rFonts w:hint="eastAsia" w:eastAsia="宋体"/>
          <w:b/>
          <w:bCs/>
          <w:color w:val="auto"/>
          <w:sz w:val="21"/>
          <w:szCs w:val="21"/>
          <w:highlight w:val="none"/>
        </w:rPr>
        <w:t>在</w:t>
      </w:r>
      <w:r>
        <w:rPr>
          <w:rFonts w:hint="eastAsia"/>
          <w:b/>
          <w:bCs/>
          <w:color w:val="auto"/>
          <w:sz w:val="21"/>
          <w:szCs w:val="21"/>
          <w:highlight w:val="none"/>
        </w:rPr>
        <w:t>投标前已充分知悉以下情形为参与政府采购活动时的重大风险事项，并承诺已对下述风险提示事项重点排查，</w:t>
      </w:r>
      <w:r>
        <w:rPr>
          <w:rFonts w:hint="eastAsia" w:eastAsia="宋体" w:cs="Times New Roman"/>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r>
        <w:rPr>
          <w:rFonts w:hint="eastAsia" w:eastAsia="宋体" w:cs="Times New Roman"/>
          <w:b/>
          <w:bCs/>
          <w:color w:val="auto"/>
          <w:sz w:val="24"/>
          <w:highlight w:val="none"/>
          <w:lang w:val="en-US" w:eastAsia="zh-CN"/>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15CD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08988A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59BE95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04C1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D0285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03F4EE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215A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583C2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3053B44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442F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36CB3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504D24F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3769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95CF2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1176468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7EB8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8F252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78729C6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0CA5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FF209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5884386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49C96412">
      <w:pPr>
        <w:spacing w:before="156" w:beforeLines="50" w:line="380" w:lineRule="exact"/>
        <w:ind w:firstLine="422" w:firstLineChars="200"/>
        <w:rPr>
          <w:b/>
          <w:color w:val="auto"/>
          <w:highlight w:val="none"/>
        </w:rPr>
      </w:pPr>
      <w:r>
        <w:rPr>
          <w:rFonts w:hint="eastAsia"/>
          <w:b/>
          <w:color w:val="auto"/>
          <w:highlight w:val="none"/>
        </w:rPr>
        <w:t>一、</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已充分知悉“隐瞒真实情况，提供虚假资料”的法定情形，包括但不限于：</w:t>
      </w:r>
    </w:p>
    <w:p w14:paraId="058BBE91">
      <w:pPr>
        <w:spacing w:beforeLines="0" w:line="380" w:lineRule="exact"/>
        <w:ind w:firstLine="420" w:firstLineChars="200"/>
        <w:rPr>
          <w:color w:val="auto"/>
          <w:highlight w:val="none"/>
        </w:rPr>
      </w:pPr>
      <w:r>
        <w:rPr>
          <w:rFonts w:hint="eastAsia"/>
          <w:color w:val="auto"/>
          <w:highlight w:val="none"/>
        </w:rPr>
        <w:t>（一）通过转让或者租借等方式从其他单位获取资格或者资质证书投标的</w:t>
      </w:r>
      <w:r>
        <w:rPr>
          <w:rFonts w:hint="eastAsia"/>
          <w:color w:val="auto"/>
          <w:highlight w:val="none"/>
        </w:rPr>
        <w:t>。</w:t>
      </w:r>
    </w:p>
    <w:p w14:paraId="0C270DE0">
      <w:pPr>
        <w:spacing w:beforeLines="0" w:line="380" w:lineRule="exact"/>
        <w:ind w:firstLine="420" w:firstLineChars="200"/>
        <w:rPr>
          <w:color w:val="auto"/>
          <w:highlight w:val="none"/>
        </w:rPr>
      </w:pPr>
      <w:r>
        <w:rPr>
          <w:rFonts w:hint="eastAsia"/>
          <w:color w:val="auto"/>
          <w:highlight w:val="none"/>
        </w:rPr>
        <w:t>（二）由其他单位或者其他单位负责人在投标供应商编制的投标文件上加盖印章或者签字的。</w:t>
      </w:r>
    </w:p>
    <w:p w14:paraId="08C47BF3">
      <w:pPr>
        <w:spacing w:beforeLines="0" w:line="380" w:lineRule="exact"/>
        <w:ind w:firstLine="420" w:firstLineChars="200"/>
        <w:rPr>
          <w:color w:val="auto"/>
          <w:highlight w:val="none"/>
        </w:rPr>
      </w:pPr>
      <w:r>
        <w:rPr>
          <w:rFonts w:hint="eastAsia"/>
          <w:color w:val="auto"/>
          <w:highlight w:val="none"/>
        </w:rPr>
        <w:t>（三）项目负责人或者主要技术人员不是本单位人员的。</w:t>
      </w:r>
    </w:p>
    <w:p w14:paraId="7A21E8D8">
      <w:pPr>
        <w:spacing w:beforeLines="0" w:line="380" w:lineRule="exact"/>
        <w:ind w:firstLine="420" w:firstLineChars="200"/>
        <w:rPr>
          <w:color w:val="auto"/>
          <w:highlight w:val="none"/>
        </w:rPr>
      </w:pPr>
      <w:r>
        <w:rPr>
          <w:rFonts w:hint="eastAsia"/>
          <w:color w:val="auto"/>
          <w:highlight w:val="none"/>
        </w:rPr>
        <w:t>（四）投标保证金不是从投标供应商基本账户转出的。</w:t>
      </w:r>
    </w:p>
    <w:p w14:paraId="6CD91D13">
      <w:pPr>
        <w:spacing w:beforeLines="0" w:line="380" w:lineRule="exact"/>
        <w:ind w:firstLine="420" w:firstLineChars="200"/>
        <w:rPr>
          <w:color w:val="auto"/>
          <w:highlight w:val="none"/>
        </w:rPr>
      </w:pPr>
      <w:r>
        <w:rPr>
          <w:rFonts w:hint="eastAsia"/>
          <w:color w:val="auto"/>
          <w:highlight w:val="none"/>
        </w:rPr>
        <w:t>（五）其他隐瞒真实情况、提供虚假资料的行为。</w:t>
      </w:r>
    </w:p>
    <w:p w14:paraId="632FE955">
      <w:pPr>
        <w:spacing w:beforeLines="0" w:line="380" w:lineRule="exact"/>
        <w:ind w:firstLine="422" w:firstLineChars="200"/>
        <w:rPr>
          <w:b/>
          <w:color w:val="auto"/>
          <w:highlight w:val="none"/>
        </w:rPr>
      </w:pPr>
      <w:r>
        <w:rPr>
          <w:rFonts w:hint="eastAsia"/>
          <w:b/>
          <w:color w:val="auto"/>
          <w:highlight w:val="none"/>
        </w:rPr>
        <w:t>二、</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已充分知悉“与其他采购参加人串通投标”的法定情形，包括但不限于：</w:t>
      </w:r>
    </w:p>
    <w:p w14:paraId="1E96B6E0">
      <w:pPr>
        <w:spacing w:beforeLines="0" w:line="380" w:lineRule="exact"/>
        <w:ind w:firstLine="420" w:firstLineChars="200"/>
        <w:rPr>
          <w:color w:val="auto"/>
          <w:highlight w:val="none"/>
        </w:rPr>
      </w:pPr>
      <w:r>
        <w:rPr>
          <w:rFonts w:hint="eastAsia"/>
          <w:color w:val="auto"/>
          <w:highlight w:val="none"/>
        </w:rPr>
        <w:t>（一）投标供应商之间相互约定给予未中标的供应商利益补偿。</w:t>
      </w:r>
    </w:p>
    <w:p w14:paraId="7E2C2217">
      <w:pPr>
        <w:spacing w:beforeLines="0" w:line="380" w:lineRule="exact"/>
        <w:ind w:firstLine="420" w:firstLineChars="200"/>
        <w:rPr>
          <w:color w:val="auto"/>
          <w:highlight w:val="none"/>
        </w:rPr>
      </w:pPr>
      <w:r>
        <w:rPr>
          <w:rFonts w:hint="eastAsia"/>
          <w:color w:val="auto"/>
          <w:highlight w:val="none"/>
        </w:rPr>
        <w:t>（二）不同投标供应商的法定代表人、主要经营负责人、项目投标授权代表人、项目负责人、主要技术人员为同一人、属同一单位或者在同一单位缴纳社会保险。</w:t>
      </w:r>
    </w:p>
    <w:p w14:paraId="2BB32B26">
      <w:pPr>
        <w:spacing w:beforeLines="0" w:line="340" w:lineRule="exact"/>
        <w:ind w:firstLine="420" w:firstLineChars="200"/>
        <w:rPr>
          <w:color w:val="auto"/>
          <w:highlight w:val="none"/>
        </w:rPr>
      </w:pPr>
      <w:r>
        <w:rPr>
          <w:rFonts w:hint="eastAsia"/>
          <w:color w:val="auto"/>
          <w:highlight w:val="none"/>
        </w:rPr>
        <w:t>（三）不同投标供应商的投标文件由同一单位或者同一人编制，或者由同一人分阶段参与编制的。</w:t>
      </w:r>
    </w:p>
    <w:p w14:paraId="2E476217">
      <w:pPr>
        <w:spacing w:beforeLines="0" w:line="340" w:lineRule="exact"/>
        <w:ind w:firstLine="420" w:firstLineChars="200"/>
        <w:rPr>
          <w:color w:val="auto"/>
          <w:highlight w:val="none"/>
        </w:rPr>
      </w:pPr>
      <w:r>
        <w:rPr>
          <w:rFonts w:hint="eastAsia"/>
          <w:color w:val="auto"/>
          <w:highlight w:val="none"/>
        </w:rPr>
        <w:t>（四）不同投标供应商的投标文件或部分投标文件相互混装。</w:t>
      </w:r>
    </w:p>
    <w:p w14:paraId="19C78104">
      <w:pPr>
        <w:spacing w:beforeLines="0" w:line="340" w:lineRule="exact"/>
        <w:ind w:firstLine="420" w:firstLineChars="200"/>
        <w:rPr>
          <w:color w:val="auto"/>
          <w:highlight w:val="none"/>
        </w:rPr>
      </w:pPr>
      <w:r>
        <w:rPr>
          <w:rFonts w:hint="eastAsia"/>
          <w:color w:val="auto"/>
          <w:highlight w:val="none"/>
        </w:rPr>
        <w:t>（五）不同投标供应商的投标文件内容存在非正常一致。</w:t>
      </w:r>
    </w:p>
    <w:p w14:paraId="13645279">
      <w:pPr>
        <w:spacing w:beforeLines="0" w:line="340" w:lineRule="exact"/>
        <w:ind w:firstLine="420" w:firstLineChars="200"/>
        <w:rPr>
          <w:color w:val="auto"/>
          <w:highlight w:val="none"/>
        </w:rPr>
      </w:pPr>
      <w:r>
        <w:rPr>
          <w:rFonts w:hint="eastAsia"/>
          <w:color w:val="auto"/>
          <w:highlight w:val="none"/>
        </w:rPr>
        <w:t>（六）由同一单位工作人员为两家以上（含两家）供应商进行同一项投标活动的。</w:t>
      </w:r>
    </w:p>
    <w:p w14:paraId="6C4083CB">
      <w:pPr>
        <w:spacing w:beforeLines="0" w:line="340" w:lineRule="exact"/>
        <w:ind w:firstLine="420" w:firstLineChars="200"/>
        <w:rPr>
          <w:color w:val="auto"/>
          <w:highlight w:val="none"/>
        </w:rPr>
      </w:pPr>
      <w:r>
        <w:rPr>
          <w:rFonts w:hint="eastAsia"/>
          <w:color w:val="auto"/>
          <w:highlight w:val="none"/>
        </w:rPr>
        <w:t>（七）不同投标人的投标报价呈规律性差异。</w:t>
      </w:r>
    </w:p>
    <w:p w14:paraId="480230BC">
      <w:pPr>
        <w:spacing w:beforeLines="0" w:line="340" w:lineRule="exact"/>
        <w:ind w:firstLine="420" w:firstLineChars="200"/>
        <w:rPr>
          <w:color w:val="auto"/>
          <w:highlight w:val="none"/>
        </w:rPr>
      </w:pPr>
      <w:r>
        <w:rPr>
          <w:rFonts w:hint="eastAsia"/>
          <w:color w:val="auto"/>
          <w:highlight w:val="none"/>
        </w:rPr>
        <w:t>（八）不同投标人的投标保证金从同一单位或者个人的账户转出。</w:t>
      </w:r>
    </w:p>
    <w:p w14:paraId="1D327F50">
      <w:pPr>
        <w:spacing w:beforeLines="0" w:line="340" w:lineRule="exact"/>
        <w:ind w:firstLine="420" w:firstLineChars="200"/>
        <w:rPr>
          <w:color w:val="auto"/>
          <w:highlight w:val="none"/>
        </w:rPr>
      </w:pPr>
      <w:r>
        <w:rPr>
          <w:rFonts w:hint="eastAsia"/>
          <w:color w:val="auto"/>
          <w:highlight w:val="none"/>
        </w:rPr>
        <w:t>（九）主管部门依照法律、法规认定的其他情形。</w:t>
      </w:r>
    </w:p>
    <w:p w14:paraId="7348112A">
      <w:pPr>
        <w:spacing w:beforeLines="0" w:line="340" w:lineRule="exact"/>
        <w:ind w:firstLine="422" w:firstLineChars="200"/>
        <w:rPr>
          <w:b/>
          <w:color w:val="auto"/>
          <w:highlight w:val="none"/>
        </w:rPr>
      </w:pPr>
      <w:r>
        <w:rPr>
          <w:rFonts w:hint="eastAsia"/>
          <w:b/>
          <w:color w:val="auto"/>
          <w:highlight w:val="none"/>
        </w:rPr>
        <w:t>三、</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已充分知悉下列情形</w:t>
      </w:r>
      <w:r>
        <w:rPr>
          <w:rFonts w:hint="eastAsia"/>
          <w:b/>
          <w:color w:val="auto"/>
          <w:highlight w:val="none"/>
          <w:lang w:eastAsia="zh-CN"/>
        </w:rPr>
        <w:t>存在</w:t>
      </w:r>
      <w:r>
        <w:rPr>
          <w:rFonts w:hint="eastAsia"/>
          <w:b/>
          <w:color w:val="auto"/>
          <w:highlight w:val="none"/>
        </w:rPr>
        <w:t>法律风险，在投标前已对相关风险事项进行排</w:t>
      </w:r>
      <w:r>
        <w:rPr>
          <w:rFonts w:hint="eastAsia"/>
          <w:b/>
          <w:color w:val="auto"/>
          <w:highlight w:val="none"/>
        </w:rPr>
        <w:t>查。</w:t>
      </w:r>
    </w:p>
    <w:p w14:paraId="22267BF1">
      <w:pPr>
        <w:spacing w:beforeLines="0" w:line="340" w:lineRule="exact"/>
        <w:ind w:firstLine="420" w:firstLineChars="200"/>
        <w:rPr>
          <w:b/>
          <w:color w:val="auto"/>
          <w:highlight w:val="none"/>
        </w:rPr>
      </w:pPr>
      <w:r>
        <w:rPr>
          <w:rFonts w:hint="eastAsia"/>
          <w:color w:val="auto"/>
          <w:highlight w:val="none"/>
        </w:rPr>
        <w:t>（一）对于从其他主体获取的投标资料，</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应审慎核查，确保</w:t>
      </w:r>
      <w:r>
        <w:rPr>
          <w:rFonts w:hint="eastAsia"/>
          <w:color w:val="auto"/>
          <w:highlight w:val="none"/>
          <w:lang w:eastAsia="zh-CN"/>
        </w:rPr>
        <w:t>其</w:t>
      </w:r>
      <w:r>
        <w:rPr>
          <w:rFonts w:hint="eastAsia"/>
          <w:color w:val="auto"/>
          <w:highlight w:val="none"/>
        </w:rPr>
        <w:t>真实性。</w:t>
      </w:r>
      <w:r>
        <w:rPr>
          <w:rFonts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F2FC1F0">
      <w:pPr>
        <w:spacing w:beforeLines="0" w:line="340" w:lineRule="exact"/>
        <w:ind w:firstLine="420" w:firstLineChars="200"/>
        <w:rPr>
          <w:color w:val="auto"/>
          <w:highlight w:val="none"/>
        </w:rPr>
      </w:pPr>
      <w:r>
        <w:rPr>
          <w:rFonts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color w:val="auto"/>
          <w:highlight w:val="none"/>
          <w:lang w:eastAsia="zh-CN"/>
        </w:rPr>
        <w:t>处理</w:t>
      </w:r>
      <w:r>
        <w:rPr>
          <w:rFonts w:hint="eastAsia"/>
          <w:color w:val="auto"/>
          <w:highlight w:val="none"/>
        </w:rPr>
        <w:t>。</w:t>
      </w:r>
    </w:p>
    <w:p w14:paraId="3E36D6D5">
      <w:pPr>
        <w:spacing w:beforeLines="0" w:line="340" w:lineRule="exact"/>
        <w:ind w:firstLine="420" w:firstLineChars="200"/>
        <w:rPr>
          <w:color w:val="auto"/>
          <w:highlight w:val="none"/>
        </w:rPr>
      </w:pPr>
      <w:r>
        <w:rPr>
          <w:rFonts w:hint="eastAsia"/>
          <w:color w:val="auto"/>
          <w:highlight w:val="none"/>
        </w:rPr>
        <w:t>（</w:t>
      </w:r>
      <w:r>
        <w:rPr>
          <w:rFonts w:hint="eastAsia"/>
          <w:color w:val="auto"/>
          <w:highlight w:val="none"/>
          <w:lang w:eastAsia="zh-CN"/>
        </w:rPr>
        <w:t>三</w:t>
      </w:r>
      <w:r>
        <w:rPr>
          <w:rFonts w:hint="eastAsia"/>
          <w:color w:val="auto"/>
          <w:highlight w:val="none"/>
        </w:rPr>
        <w:t>）</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对投标电子密钥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负有妥善保管、及时变更和续期等主体责任</w:t>
      </w:r>
      <w:r>
        <w:rPr>
          <w:rFonts w:hint="eastAsia"/>
          <w:color w:val="auto"/>
          <w:highlight w:val="none"/>
          <w:lang w:eastAsia="zh-CN"/>
        </w:rPr>
        <w:t>；</w:t>
      </w:r>
      <w:r>
        <w:rPr>
          <w:rFonts w:hint="eastAsia"/>
          <w:color w:val="auto"/>
          <w:highlight w:val="none"/>
        </w:rPr>
        <w:t>使用电子密钥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在深圳政府采购网站进行的活动，均具有法律效力，须承担相应的法律后果。</w:t>
      </w:r>
      <w:r>
        <w:rPr>
          <w:rFonts w:hint="eastAsia"/>
          <w:color w:val="auto"/>
          <w:highlight w:val="none"/>
          <w:lang w:eastAsia="zh-CN"/>
        </w:rPr>
        <w:t>若</w:t>
      </w:r>
      <w:r>
        <w:rPr>
          <w:rFonts w:hint="eastAsia"/>
          <w:b/>
          <w:bCs/>
          <w:color w:val="auto"/>
          <w:highlight w:val="none"/>
        </w:rPr>
        <w:t>擅自将投标密钥</w:t>
      </w:r>
      <w:r>
        <w:rPr>
          <w:rFonts w:hint="eastAsia"/>
          <w:b/>
          <w:bCs/>
          <w:color w:val="auto"/>
          <w:highlight w:val="none"/>
          <w:lang w:eastAsia="zh-CN"/>
        </w:rPr>
        <w:t>或</w:t>
      </w:r>
      <w:r>
        <w:rPr>
          <w:rFonts w:hint="eastAsia"/>
          <w:b/>
          <w:bCs/>
          <w:color w:val="auto"/>
          <w:highlight w:val="none"/>
          <w:lang w:val="en-US" w:eastAsia="zh-CN"/>
        </w:rPr>
        <w:t>电子营业执照</w:t>
      </w:r>
      <w:r>
        <w:rPr>
          <w:rFonts w:hint="eastAsia"/>
          <w:b/>
          <w:bCs/>
          <w:color w:val="auto"/>
          <w:highlight w:val="none"/>
        </w:rPr>
        <w:t>出借他人使用所造成的法律后果，由</w:t>
      </w:r>
      <w:r>
        <w:rPr>
          <w:rFonts w:hint="eastAsia"/>
          <w:b/>
          <w:bCs/>
          <w:color w:val="auto"/>
          <w:highlight w:val="none"/>
          <w:lang w:eastAsia="zh-CN"/>
        </w:rPr>
        <w:t>我</w:t>
      </w:r>
      <w:r>
        <w:rPr>
          <w:rFonts w:hint="eastAsia"/>
          <w:b/>
          <w:bCs/>
          <w:color w:val="auto"/>
          <w:highlight w:val="none"/>
          <w:lang w:val="en-US" w:eastAsia="zh-CN"/>
        </w:rPr>
        <w:t>单位</w:t>
      </w:r>
      <w:r>
        <w:rPr>
          <w:rFonts w:hint="eastAsia"/>
          <w:b/>
          <w:bCs/>
          <w:color w:val="auto"/>
          <w:highlight w:val="none"/>
        </w:rPr>
        <w:t>自行承担</w:t>
      </w:r>
      <w:r>
        <w:rPr>
          <w:rFonts w:hint="eastAsia"/>
          <w:color w:val="auto"/>
          <w:highlight w:val="none"/>
        </w:rPr>
        <w:t>。</w:t>
      </w:r>
    </w:p>
    <w:p w14:paraId="5B2CAB4E">
      <w:pPr>
        <w:spacing w:beforeLines="0" w:line="340" w:lineRule="exact"/>
        <w:ind w:firstLine="422" w:firstLineChars="200"/>
        <w:rPr>
          <w:b/>
          <w:color w:val="auto"/>
          <w:highlight w:val="none"/>
        </w:rPr>
      </w:pPr>
      <w:r>
        <w:rPr>
          <w:rFonts w:hint="eastAsia"/>
          <w:b/>
          <w:color w:val="auto"/>
          <w:highlight w:val="none"/>
        </w:rPr>
        <w:t>四、</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已充分知悉政府采购违法、违规行为的法律</w:t>
      </w:r>
      <w:r>
        <w:rPr>
          <w:rFonts w:hint="eastAsia"/>
          <w:b/>
          <w:color w:val="auto"/>
          <w:highlight w:val="none"/>
        </w:rPr>
        <w:t>后果。</w:t>
      </w:r>
    </w:p>
    <w:p w14:paraId="3CF8A991">
      <w:pPr>
        <w:spacing w:beforeLines="0" w:line="340" w:lineRule="exact"/>
        <w:ind w:firstLine="420" w:firstLineChars="200"/>
        <w:rPr>
          <w:color w:val="auto"/>
          <w:highlight w:val="none"/>
        </w:rPr>
      </w:pPr>
      <w:r>
        <w:rPr>
          <w:rFonts w:hint="eastAsia"/>
          <w:color w:val="auto"/>
          <w:highlight w:val="none"/>
        </w:rPr>
        <w:t>经查实，若</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14:paraId="6D42650C">
      <w:pPr>
        <w:spacing w:beforeLines="0" w:line="340" w:lineRule="exact"/>
        <w:ind w:firstLine="420" w:firstLineChars="200"/>
        <w:rPr>
          <w:color w:val="auto"/>
          <w:highlight w:val="none"/>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已仔细阅读《政府采购违法行为风险知悉确认书》，充分知悉违法行为的法律后果，并承诺将严谨、诚信、依法依规参与政府采购活动”。</w:t>
      </w:r>
    </w:p>
    <w:tbl>
      <w:tblPr>
        <w:tblStyle w:val="19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3469A67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4FB3675F">
            <w:pPr>
              <w:autoSpaceDE w:val="0"/>
              <w:autoSpaceDN w:val="0"/>
              <w:spacing w:beforeLines="0" w:line="340" w:lineRule="exact"/>
              <w:ind w:firstLine="1866"/>
              <w:rPr>
                <w:rFonts w:ascii="宋体" w:hAnsi="宋体" w:eastAsia="宋体"/>
                <w:color w:val="auto"/>
                <w:spacing w:val="-4"/>
                <w:kern w:val="0"/>
                <w:szCs w:val="21"/>
                <w:highlight w:val="none"/>
              </w:rPr>
            </w:pPr>
          </w:p>
        </w:tc>
      </w:tr>
      <w:tr w14:paraId="34BEC24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054C0BB0">
            <w:pPr>
              <w:autoSpaceDE w:val="0"/>
              <w:autoSpaceDN w:val="0"/>
              <w:spacing w:beforeLines="0" w:line="340" w:lineRule="exact"/>
              <w:ind w:firstLine="1866"/>
              <w:rPr>
                <w:rFonts w:ascii="宋体" w:hAnsi="宋体" w:eastAsia="宋体"/>
                <w:color w:val="auto"/>
                <w:spacing w:val="-4"/>
                <w:kern w:val="0"/>
                <w:szCs w:val="21"/>
                <w:highlight w:val="none"/>
              </w:rPr>
            </w:pPr>
          </w:p>
        </w:tc>
      </w:tr>
      <w:tr w14:paraId="4ED7FBC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010CAA3A">
            <w:pPr>
              <w:autoSpaceDE w:val="0"/>
              <w:autoSpaceDN w:val="0"/>
              <w:spacing w:beforeLines="0" w:line="340" w:lineRule="exact"/>
              <w:ind w:firstLine="1866"/>
              <w:rPr>
                <w:rFonts w:ascii="宋体" w:hAnsi="宋体" w:eastAsia="宋体"/>
                <w:color w:val="auto"/>
                <w:spacing w:val="-4"/>
                <w:kern w:val="0"/>
                <w:szCs w:val="21"/>
                <w:highlight w:val="none"/>
              </w:rPr>
            </w:pPr>
          </w:p>
        </w:tc>
      </w:tr>
      <w:tr w14:paraId="314D643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5AB13900">
            <w:pPr>
              <w:autoSpaceDE w:val="0"/>
              <w:autoSpaceDN w:val="0"/>
              <w:spacing w:beforeLines="0" w:line="340" w:lineRule="exact"/>
              <w:ind w:firstLine="1866"/>
              <w:rPr>
                <w:rFonts w:ascii="宋体" w:hAnsi="宋体" w:eastAsia="宋体"/>
                <w:color w:val="auto"/>
                <w:spacing w:val="-4"/>
                <w:kern w:val="0"/>
                <w:szCs w:val="21"/>
                <w:highlight w:val="none"/>
              </w:rPr>
            </w:pPr>
          </w:p>
        </w:tc>
      </w:tr>
    </w:tbl>
    <w:p w14:paraId="42CBD62E">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highlight w:val="none"/>
        </w:rPr>
      </w:pPr>
    </w:p>
    <w:p w14:paraId="6D58FE98">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eastAsia="zh-CN"/>
        </w:rPr>
        <w:t>单位</w:t>
      </w:r>
      <w:r>
        <w:rPr>
          <w:rFonts w:hint="eastAsia" w:ascii="宋体" w:hAnsi="宋体" w:eastAsia="宋体"/>
          <w:color w:val="auto"/>
          <w:spacing w:val="-4"/>
          <w:kern w:val="0"/>
          <w:szCs w:val="21"/>
          <w:highlight w:val="none"/>
        </w:rPr>
        <w:t>负责人签名：</w:t>
      </w:r>
      <w:r>
        <w:rPr>
          <w:rFonts w:hint="eastAsia" w:ascii="宋体" w:hAnsi="宋体" w:eastAsia="宋体"/>
          <w:color w:val="auto"/>
          <w:spacing w:val="-4"/>
          <w:kern w:val="0"/>
          <w:szCs w:val="21"/>
          <w:highlight w:val="none"/>
          <w:u w:val="single"/>
        </w:rPr>
        <w:t xml:space="preserve">              </w:t>
      </w:r>
    </w:p>
    <w:p w14:paraId="61C37D01">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val="en-US" w:eastAsia="zh-CN"/>
        </w:rPr>
        <w:t xml:space="preserve">                                 </w:t>
      </w:r>
      <w:r>
        <w:rPr>
          <w:rFonts w:hint="eastAsia" w:ascii="宋体" w:hAnsi="宋体" w:eastAsia="宋体"/>
          <w:color w:val="auto"/>
          <w:spacing w:val="-4"/>
          <w:kern w:val="0"/>
          <w:szCs w:val="21"/>
          <w:highlight w:val="none"/>
          <w:lang w:eastAsia="zh-CN"/>
        </w:rPr>
        <w:t>（加盖</w:t>
      </w:r>
      <w:r>
        <w:rPr>
          <w:rFonts w:hint="eastAsia" w:ascii="宋体" w:hAnsi="宋体" w:eastAsia="宋体"/>
          <w:color w:val="auto"/>
          <w:spacing w:val="-4"/>
          <w:kern w:val="0"/>
          <w:szCs w:val="21"/>
          <w:highlight w:val="none"/>
        </w:rPr>
        <w:t>公章</w:t>
      </w:r>
      <w:r>
        <w:rPr>
          <w:rFonts w:hint="eastAsia" w:ascii="宋体" w:hAnsi="宋体" w:eastAsia="宋体"/>
          <w:color w:val="auto"/>
          <w:spacing w:val="-4"/>
          <w:kern w:val="0"/>
          <w:szCs w:val="21"/>
          <w:highlight w:val="none"/>
          <w:lang w:eastAsia="zh-CN"/>
        </w:rPr>
        <w:t>）</w:t>
      </w:r>
    </w:p>
    <w:p w14:paraId="59B78CEA">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rPr>
        <w:t xml:space="preserve">     日期：</w:t>
      </w:r>
      <w:r>
        <w:rPr>
          <w:rFonts w:hint="eastAsia" w:ascii="宋体" w:hAnsi="宋体" w:eastAsia="宋体"/>
          <w:color w:val="auto"/>
          <w:spacing w:val="-4"/>
          <w:kern w:val="0"/>
          <w:szCs w:val="21"/>
          <w:highlight w:val="none"/>
          <w:u w:val="single"/>
        </w:rPr>
        <w:t xml:space="preserve">              </w:t>
      </w:r>
    </w:p>
    <w:p w14:paraId="18437E87">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highlight w:val="none"/>
        </w:rPr>
      </w:pPr>
    </w:p>
    <w:p w14:paraId="322DE3AC">
      <w:pPr>
        <w:widowControl/>
        <w:wordWrap w:val="0"/>
        <w:autoSpaceDE w:val="0"/>
        <w:autoSpaceDN w:val="0"/>
        <w:spacing w:line="400" w:lineRule="exact"/>
        <w:ind w:right="1414" w:firstLine="404" w:firstLineChars="200"/>
        <w:jc w:val="right"/>
        <w:rPr>
          <w:rFonts w:ascii="宋体" w:hAnsi="宋体" w:eastAsiaTheme="minorEastAsia"/>
          <w:spacing w:val="-4"/>
          <w:kern w:val="0"/>
          <w:szCs w:val="21"/>
          <w:highlight w:val="none"/>
        </w:rPr>
      </w:pPr>
      <w:r>
        <w:rPr>
          <w:rFonts w:hint="eastAsia" w:ascii="宋体" w:hAnsi="宋体" w:eastAsiaTheme="minorEastAsia"/>
          <w:spacing w:val="-4"/>
          <w:kern w:val="0"/>
          <w:szCs w:val="21"/>
          <w:highlight w:val="none"/>
        </w:rPr>
        <w:t xml:space="preserve">     </w:t>
      </w:r>
    </w:p>
    <w:p w14:paraId="6F303565">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14:paraId="43872EA1">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根据《深圳市财政局关于在采购文件及深圳政府采购智慧平台增设供应商投标特别警示条款等事宜的通知》（深财购〔202</w:t>
      </w:r>
      <w:r>
        <w:rPr>
          <w:rFonts w:hint="eastAsia" w:ascii="宋体" w:hAnsi="宋体" w:eastAsiaTheme="minorEastAsia"/>
          <w:b/>
          <w:bCs/>
          <w:color w:val="FF0000"/>
          <w:spacing w:val="-4"/>
          <w:kern w:val="0"/>
          <w:szCs w:val="21"/>
          <w:highlight w:val="none"/>
          <w:lang w:val="en-US" w:eastAsia="zh-CN"/>
        </w:rPr>
        <w:t>5</w:t>
      </w:r>
      <w:r>
        <w:rPr>
          <w:rFonts w:hint="eastAsia" w:ascii="宋体" w:hAnsi="宋体" w:eastAsiaTheme="minorEastAsia"/>
          <w:b/>
          <w:bCs/>
          <w:color w:val="FF0000"/>
          <w:spacing w:val="-4"/>
          <w:kern w:val="0"/>
          <w:szCs w:val="21"/>
          <w:highlight w:val="none"/>
        </w:rPr>
        <w:t>〕</w:t>
      </w:r>
      <w:r>
        <w:rPr>
          <w:rFonts w:hint="eastAsia" w:ascii="宋体" w:hAnsi="宋体" w:eastAsiaTheme="minorEastAsia"/>
          <w:b/>
          <w:bCs/>
          <w:color w:val="FF0000"/>
          <w:spacing w:val="-4"/>
          <w:kern w:val="0"/>
          <w:szCs w:val="21"/>
          <w:highlight w:val="none"/>
          <w:lang w:val="en-US" w:eastAsia="zh-CN"/>
        </w:rPr>
        <w:t>7</w:t>
      </w:r>
      <w:r>
        <w:rPr>
          <w:rFonts w:hint="eastAsia" w:ascii="宋体" w:hAnsi="宋体" w:eastAsiaTheme="minorEastAsia"/>
          <w:b/>
          <w:bCs/>
          <w:color w:val="FF0000"/>
          <w:spacing w:val="-4"/>
          <w:kern w:val="0"/>
          <w:szCs w:val="21"/>
          <w:highlight w:val="none"/>
        </w:rPr>
        <w:t xml:space="preserve"> 号），该风险知悉确认书用于对供应商违法行为的警示，不作为供应商资格性审查及符合性审查条件。</w:t>
      </w:r>
    </w:p>
    <w:p w14:paraId="15B71E91">
      <w:pPr>
        <w:widowControl/>
        <w:autoSpaceDE w:val="0"/>
        <w:autoSpaceDN w:val="0"/>
        <w:spacing w:line="400" w:lineRule="exact"/>
        <w:ind w:firstLine="406" w:firstLineChars="200"/>
        <w:jc w:val="left"/>
        <w:rPr>
          <w:rFonts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w:t>
      </w:r>
      <w:r>
        <w:rPr>
          <w:rFonts w:hint="eastAsia" w:ascii="宋体" w:hAnsi="宋体" w:eastAsia="宋体" w:cs="宋体"/>
          <w:b/>
          <w:bCs/>
          <w:color w:val="auto"/>
          <w:spacing w:val="-4"/>
          <w:kern w:val="0"/>
          <w:szCs w:val="21"/>
          <w:highlight w:val="none"/>
          <w:lang w:eastAsia="zh-CN"/>
        </w:rPr>
        <w:t>《</w:t>
      </w:r>
      <w:r>
        <w:rPr>
          <w:rFonts w:hint="eastAsia" w:ascii="宋体" w:hAnsi="宋体" w:eastAsia="宋体" w:cs="宋体"/>
          <w:b/>
          <w:bCs/>
          <w:color w:val="auto"/>
          <w:spacing w:val="-4"/>
          <w:kern w:val="0"/>
          <w:szCs w:val="21"/>
          <w:highlight w:val="none"/>
          <w:lang w:val="en-US" w:eastAsia="zh-CN"/>
        </w:rPr>
        <w:t>政府采购违法行为风险知悉确认书</w:t>
      </w:r>
      <w:r>
        <w:rPr>
          <w:rFonts w:hint="eastAsia" w:ascii="宋体" w:hAnsi="宋体" w:eastAsia="宋体" w:cs="宋体"/>
          <w:b/>
          <w:bCs/>
          <w:color w:val="auto"/>
          <w:spacing w:val="-4"/>
          <w:kern w:val="0"/>
          <w:szCs w:val="21"/>
          <w:highlight w:val="none"/>
          <w:lang w:eastAsia="zh-CN"/>
        </w:rPr>
        <w:t>》需由</w:t>
      </w:r>
      <w:r>
        <w:rPr>
          <w:rFonts w:hint="eastAsia" w:ascii="宋体" w:hAnsi="宋体" w:eastAsiaTheme="minorEastAsia"/>
          <w:b/>
          <w:bCs/>
          <w:color w:val="FF0000"/>
          <w:spacing w:val="-4"/>
          <w:kern w:val="0"/>
          <w:szCs w:val="21"/>
          <w:highlight w:val="none"/>
        </w:rPr>
        <w:t>投标供应商负责人或投标授权代表签字</w:t>
      </w:r>
      <w:r>
        <w:rPr>
          <w:rFonts w:hint="eastAsia" w:ascii="宋体" w:hAnsi="宋体" w:eastAsiaTheme="minorEastAsia"/>
          <w:b/>
          <w:bCs/>
          <w:color w:val="FF0000"/>
          <w:spacing w:val="-4"/>
          <w:kern w:val="0"/>
          <w:szCs w:val="21"/>
          <w:highlight w:val="none"/>
        </w:rPr>
        <w:t>并加盖单位公章</w:t>
      </w:r>
      <w:r>
        <w:rPr>
          <w:rFonts w:hint="eastAsia" w:ascii="宋体" w:hAnsi="宋体" w:eastAsiaTheme="minorEastAsia"/>
          <w:b/>
          <w:bCs/>
          <w:color w:val="FF0000"/>
          <w:spacing w:val="-4"/>
          <w:kern w:val="0"/>
          <w:szCs w:val="21"/>
          <w:highlight w:val="none"/>
        </w:rPr>
        <w:t>后，扫描上传至投标文件一并提交。</w:t>
      </w:r>
    </w:p>
    <w:p w14:paraId="1C6A00E5">
      <w:pPr>
        <w:widowControl/>
        <w:autoSpaceDE w:val="0"/>
        <w:autoSpaceDN w:val="0"/>
        <w:spacing w:line="400" w:lineRule="exact"/>
        <w:ind w:right="1414" w:firstLine="480" w:firstLineChars="200"/>
        <w:jc w:val="right"/>
        <w:rPr>
          <w:rFonts w:eastAsiaTheme="minorEastAsia"/>
          <w:kern w:val="0"/>
          <w:sz w:val="24"/>
          <w:highlight w:val="none"/>
        </w:rPr>
      </w:pPr>
    </w:p>
    <w:p w14:paraId="4A119227">
      <w:pPr>
        <w:jc w:val="center"/>
        <w:rPr>
          <w:rFonts w:hint="eastAsia" w:ascii="黑体" w:eastAsia="黑体"/>
          <w:b w:val="0"/>
          <w:bCs w:val="0"/>
          <w:sz w:val="24"/>
          <w:szCs w:val="20"/>
          <w:highlight w:val="none"/>
          <w:lang w:val="en-US" w:eastAsia="zh-CN"/>
        </w:rPr>
      </w:pPr>
      <w:r>
        <w:rPr>
          <w:rFonts w:hint="eastAsia" w:ascii="黑体" w:eastAsia="黑体"/>
          <w:b w:val="0"/>
          <w:bCs w:val="0"/>
          <w:sz w:val="24"/>
          <w:szCs w:val="20"/>
          <w:highlight w:val="none"/>
          <w:lang w:val="en-US" w:eastAsia="zh-CN"/>
        </w:rPr>
        <w:t>（二）订单融资情况</w:t>
      </w:r>
    </w:p>
    <w:p w14:paraId="3A08918A">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highlight w:val="none"/>
        </w:rPr>
      </w:pPr>
      <w:r>
        <w:rPr>
          <w:rFonts w:hint="eastAsia" w:ascii="宋体" w:hAnsi="宋体" w:cs="宋体"/>
          <w:b/>
          <w:bCs/>
          <w:highlight w:val="none"/>
          <w:lang w:val="en-US" w:eastAsia="zh-CN"/>
        </w:rPr>
        <w:t>1</w:t>
      </w:r>
      <w:r>
        <w:rPr>
          <w:rFonts w:hint="eastAsia" w:ascii="宋体" w:hAnsi="宋体" w:cs="宋体"/>
          <w:b/>
          <w:bCs/>
          <w:highlight w:val="none"/>
          <w:lang w:eastAsia="zh-CN"/>
        </w:rPr>
        <w:t>、</w:t>
      </w:r>
      <w:r>
        <w:rPr>
          <w:rFonts w:hint="eastAsia" w:ascii="宋体" w:hAnsi="宋体" w:cs="宋体"/>
          <w:b/>
          <w:bCs/>
          <w:highlight w:val="none"/>
        </w:rPr>
        <w:t>关于政府采购订单融资政策</w:t>
      </w:r>
    </w:p>
    <w:p w14:paraId="44905C64">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val="0"/>
          <w:bCs/>
          <w:kern w:val="2"/>
          <w:sz w:val="21"/>
          <w:szCs w:val="21"/>
          <w:highlight w:val="none"/>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E8F911D">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2</w:t>
      </w:r>
      <w:r>
        <w:rPr>
          <w:rFonts w:hint="eastAsia" w:ascii="宋体" w:hAnsi="宋体" w:cs="宋体"/>
          <w:b/>
          <w:bCs/>
          <w:highlight w:val="none"/>
          <w:lang w:eastAsia="zh-CN"/>
        </w:rPr>
        <w:t>、</w:t>
      </w:r>
      <w:r>
        <w:rPr>
          <w:rFonts w:hint="eastAsia" w:ascii="宋体" w:hAnsi="宋体" w:cs="宋体"/>
          <w:b/>
          <w:bCs/>
          <w:highlight w:val="none"/>
          <w:lang w:val="en-US" w:eastAsia="zh-CN"/>
        </w:rPr>
        <w:t>供应商账户信息</w:t>
      </w:r>
    </w:p>
    <w:p w14:paraId="2759A1B5">
      <w:pPr>
        <w:ind w:left="420" w:leftChars="200" w:firstLine="210" w:firstLineChars="100"/>
        <w:rPr>
          <w:rFonts w:hint="eastAsia"/>
          <w:szCs w:val="21"/>
          <w:highlight w:val="none"/>
        </w:rPr>
      </w:pPr>
      <w:r>
        <w:rPr>
          <w:rFonts w:hint="eastAsia"/>
          <w:szCs w:val="21"/>
          <w:highlight w:val="none"/>
        </w:rPr>
        <w:t>投标人</w:t>
      </w:r>
      <w:r>
        <w:rPr>
          <w:rFonts w:hint="eastAsia"/>
          <w:szCs w:val="21"/>
          <w:highlight w:val="none"/>
          <w:lang w:eastAsia="zh-CN"/>
        </w:rPr>
        <w:t>（</w:t>
      </w:r>
      <w:r>
        <w:rPr>
          <w:rFonts w:hint="eastAsia"/>
          <w:szCs w:val="21"/>
          <w:highlight w:val="none"/>
          <w:lang w:val="en-US" w:eastAsia="zh-CN"/>
        </w:rPr>
        <w:t>单位全称</w:t>
      </w:r>
      <w:r>
        <w:rPr>
          <w:rFonts w:hint="eastAsia"/>
          <w:szCs w:val="21"/>
          <w:highlight w:val="none"/>
          <w:lang w:eastAsia="zh-CN"/>
        </w:rPr>
        <w:t>）</w:t>
      </w:r>
      <w:r>
        <w:rPr>
          <w:rFonts w:hint="eastAsia"/>
          <w:szCs w:val="21"/>
          <w:highlight w:val="none"/>
        </w:rPr>
        <w:t>：</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eastAsia="宋体"/>
          <w:szCs w:val="21"/>
          <w:highlight w:val="none"/>
          <w:lang w:eastAsia="zh-CN"/>
        </w:rPr>
        <w:t>；</w:t>
      </w:r>
      <w:r>
        <w:rPr>
          <w:rFonts w:hint="eastAsia"/>
          <w:szCs w:val="21"/>
          <w:highlight w:val="none"/>
        </w:rPr>
        <w:t xml:space="preserve">  </w:t>
      </w:r>
    </w:p>
    <w:p w14:paraId="640867AD">
      <w:pPr>
        <w:ind w:left="420" w:leftChars="200" w:firstLine="210" w:firstLineChars="100"/>
        <w:rPr>
          <w:rFonts w:hint="eastAsia"/>
          <w:szCs w:val="21"/>
          <w:highlight w:val="none"/>
          <w:u w:val="none"/>
          <w:lang w:eastAsia="zh-CN"/>
        </w:rPr>
      </w:pPr>
      <w:r>
        <w:rPr>
          <w:rFonts w:hint="eastAsia"/>
          <w:szCs w:val="21"/>
          <w:highlight w:val="none"/>
          <w:lang w:val="en-US" w:eastAsia="zh-CN"/>
        </w:rPr>
        <w:t>投标人</w:t>
      </w:r>
      <w:r>
        <w:rPr>
          <w:rFonts w:hint="eastAsia"/>
          <w:szCs w:val="21"/>
          <w:highlight w:val="none"/>
        </w:rPr>
        <w:t>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6760AEC7">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236DBFA2">
      <w:pPr>
        <w:ind w:left="420" w:leftChars="200" w:firstLine="210" w:firstLineChars="100"/>
        <w:rPr>
          <w:rFonts w:hint="eastAsia"/>
          <w:szCs w:val="21"/>
          <w:highlight w:val="none"/>
          <w:u w:val="thick"/>
        </w:rPr>
      </w:pPr>
      <w:r>
        <w:rPr>
          <w:rFonts w:hint="eastAsia"/>
          <w:szCs w:val="21"/>
          <w:highlight w:val="none"/>
          <w:lang w:val="en-US" w:eastAsia="zh-CN"/>
        </w:rPr>
        <w:t>联系</w:t>
      </w: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502B74E9">
      <w:pPr>
        <w:ind w:left="420" w:leftChars="200" w:firstLine="210" w:firstLineChars="100"/>
        <w:rPr>
          <w:rFonts w:hint="eastAsia"/>
          <w:szCs w:val="21"/>
          <w:highlight w:val="none"/>
          <w:u w:val="none"/>
          <w:lang w:eastAsia="zh-CN"/>
        </w:rPr>
      </w:pPr>
      <w:r>
        <w:rPr>
          <w:rFonts w:hint="eastAsia" w:ascii="Times New Roman" w:eastAsia="宋体"/>
          <w:szCs w:val="21"/>
          <w:highlight w:val="none"/>
          <w:lang w:val="en-US" w:eastAsia="zh-CN"/>
        </w:rPr>
        <w:t>开户银行名称：</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4179DE4F">
      <w:pPr>
        <w:ind w:left="420" w:leftChars="200" w:firstLine="210" w:firstLineChars="100"/>
        <w:rPr>
          <w:rFonts w:hint="eastAsia"/>
          <w:szCs w:val="21"/>
          <w:highlight w:val="none"/>
          <w:u w:val="thick"/>
          <w:lang w:eastAsia="zh-CN"/>
        </w:rPr>
      </w:pPr>
      <w:r>
        <w:rPr>
          <w:rFonts w:hint="eastAsia"/>
          <w:szCs w:val="21"/>
          <w:highlight w:val="none"/>
          <w:u w:val="none"/>
          <w:lang w:val="en-US" w:eastAsia="zh-CN"/>
        </w:rPr>
        <w:t>开户银行账号：</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none"/>
          <w:lang w:eastAsia="zh-CN"/>
        </w:rPr>
        <w:t>；</w:t>
      </w:r>
    </w:p>
    <w:p w14:paraId="5FC5005C">
      <w:pPr>
        <w:ind w:left="420" w:leftChars="200" w:firstLine="210" w:firstLineChars="100"/>
        <w:rPr>
          <w:rFonts w:hint="eastAsia"/>
          <w:szCs w:val="21"/>
          <w:highlight w:val="none"/>
          <w:u w:val="none"/>
          <w:lang w:eastAsia="zh-CN"/>
        </w:rPr>
      </w:pPr>
      <w:r>
        <w:rPr>
          <w:rFonts w:hint="eastAsia"/>
          <w:szCs w:val="21"/>
          <w:highlight w:val="none"/>
          <w:u w:val="none"/>
          <w:lang w:val="en-US" w:eastAsia="zh-CN"/>
        </w:rPr>
        <w:t>开户银行地址：</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none"/>
          <w:lang w:eastAsia="zh-CN"/>
        </w:rPr>
        <w:t>。</w:t>
      </w:r>
    </w:p>
    <w:p w14:paraId="79BDF4AB">
      <w:pPr>
        <w:ind w:left="420" w:leftChars="200" w:firstLine="210" w:firstLineChars="100"/>
        <w:rPr>
          <w:rFonts w:hint="eastAsia"/>
          <w:szCs w:val="21"/>
          <w:highlight w:val="none"/>
          <w:u w:val="none"/>
        </w:rPr>
      </w:pPr>
      <w:r>
        <w:rPr>
          <w:rFonts w:hint="eastAsia"/>
          <w:szCs w:val="21"/>
          <w:highlight w:val="none"/>
          <w:u w:val="none"/>
        </w:rPr>
        <w:t xml:space="preserve"> </w:t>
      </w:r>
      <w:r>
        <w:rPr>
          <w:rFonts w:hint="eastAsia" w:ascii="宋体" w:hAnsi="宋体" w:eastAsiaTheme="minorEastAsia"/>
          <w:b/>
          <w:bCs/>
          <w:color w:val="FF0000"/>
          <w:spacing w:val="-4"/>
          <w:kern w:val="0"/>
          <w:szCs w:val="21"/>
          <w:highlight w:val="none"/>
          <w:lang w:val="en-US" w:eastAsia="zh-CN"/>
        </w:rPr>
        <w:t>注：本项填写内容作为订单融资开展的参考信息，</w:t>
      </w:r>
      <w:r>
        <w:rPr>
          <w:rFonts w:hint="eastAsia" w:ascii="宋体" w:hAnsi="宋体" w:eastAsiaTheme="minorEastAsia"/>
          <w:b/>
          <w:bCs/>
          <w:color w:val="FF0000"/>
          <w:spacing w:val="-4"/>
          <w:kern w:val="0"/>
          <w:szCs w:val="21"/>
          <w:highlight w:val="none"/>
        </w:rPr>
        <w:t>不作为供应商资格性审查及符合性审查条件。</w:t>
      </w:r>
    </w:p>
    <w:p w14:paraId="660755C8">
      <w:pPr>
        <w:widowControl/>
        <w:autoSpaceDE w:val="0"/>
        <w:autoSpaceDN w:val="0"/>
        <w:spacing w:line="400" w:lineRule="exact"/>
        <w:ind w:right="1414" w:firstLine="480" w:firstLineChars="200"/>
        <w:jc w:val="right"/>
        <w:rPr>
          <w:rFonts w:eastAsiaTheme="minorEastAsia"/>
          <w:kern w:val="0"/>
          <w:sz w:val="24"/>
          <w:highlight w:val="none"/>
        </w:rPr>
      </w:pPr>
    </w:p>
    <w:p w14:paraId="01EF5C42">
      <w:pPr>
        <w:widowControl/>
        <w:autoSpaceDE w:val="0"/>
        <w:autoSpaceDN w:val="0"/>
        <w:spacing w:line="400" w:lineRule="exact"/>
        <w:ind w:right="1414" w:firstLine="480" w:firstLineChars="200"/>
        <w:jc w:val="right"/>
        <w:rPr>
          <w:rFonts w:eastAsiaTheme="minorEastAsia"/>
          <w:kern w:val="0"/>
          <w:sz w:val="24"/>
          <w:highlight w:val="none"/>
        </w:rPr>
      </w:pPr>
    </w:p>
    <w:p w14:paraId="3A3D51FF">
      <w:pPr>
        <w:ind w:firstLine="630" w:firstLineChars="300"/>
        <w:rPr>
          <w:rFonts w:ascii="宋体" w:hAnsi="宋体"/>
          <w:highlight w:val="none"/>
        </w:rPr>
      </w:pPr>
      <w:r>
        <w:rPr>
          <w:highlight w:val="none"/>
        </w:rPr>
        <w:t xml:space="preserve">  </w:t>
      </w:r>
      <w:r>
        <w:rPr>
          <w:rFonts w:hint="eastAsia" w:ascii="宋体" w:hAnsi="宋体"/>
          <w:highlight w:val="none"/>
        </w:rPr>
        <w:t>………………（根据项目具体情况增加与综合实力评审相关的节点）</w:t>
      </w:r>
    </w:p>
    <w:p w14:paraId="2DCD018A">
      <w:pPr>
        <w:ind w:firstLine="720" w:firstLineChars="300"/>
        <w:rPr>
          <w:sz w:val="24"/>
          <w:highlight w:val="none"/>
        </w:rPr>
      </w:pPr>
    </w:p>
    <w:p w14:paraId="565D734C">
      <w:pPr>
        <w:widowControl/>
        <w:spacing w:line="360" w:lineRule="auto"/>
        <w:jc w:val="left"/>
        <w:rPr>
          <w:rFonts w:eastAsiaTheme="minorEastAsia"/>
          <w:b/>
          <w:bCs/>
          <w:kern w:val="0"/>
          <w:sz w:val="24"/>
          <w:highlight w:val="none"/>
        </w:rPr>
      </w:pPr>
    </w:p>
    <w:p w14:paraId="5B152C0F">
      <w:pPr>
        <w:widowControl/>
        <w:jc w:val="center"/>
        <w:rPr>
          <w:rFonts w:ascii="黑体" w:hAnsi="宋体" w:eastAsia="黑体"/>
          <w:kern w:val="0"/>
          <w:sz w:val="24"/>
          <w:szCs w:val="20"/>
          <w:highlight w:val="none"/>
        </w:rPr>
      </w:pPr>
      <w:r>
        <w:rPr>
          <w:rFonts w:hint="eastAsia" w:ascii="黑体" w:hAnsi="宋体" w:eastAsia="黑体"/>
          <w:kern w:val="0"/>
          <w:sz w:val="24"/>
          <w:szCs w:val="20"/>
          <w:highlight w:val="none"/>
        </w:rPr>
        <w:t>（</w:t>
      </w:r>
      <w:r>
        <w:rPr>
          <w:rFonts w:hint="eastAsia" w:ascii="黑体" w:hAnsi="宋体" w:eastAsia="黑体"/>
          <w:kern w:val="0"/>
          <w:sz w:val="24"/>
          <w:szCs w:val="20"/>
          <w:highlight w:val="none"/>
          <w:lang w:val="en-US" w:eastAsia="zh-CN"/>
        </w:rPr>
        <w:t>三</w:t>
      </w:r>
      <w:r>
        <w:rPr>
          <w:rFonts w:hint="eastAsia" w:ascii="黑体" w:hAnsi="宋体" w:eastAsia="黑体"/>
          <w:kern w:val="0"/>
          <w:sz w:val="24"/>
          <w:szCs w:val="20"/>
          <w:highlight w:val="none"/>
        </w:rPr>
        <w:t>）投标人认为需要加以说明的其他内容（格式自定）</w:t>
      </w:r>
    </w:p>
    <w:p w14:paraId="7E590A10">
      <w:pPr>
        <w:rPr>
          <w:highlight w:val="none"/>
        </w:rPr>
      </w:pPr>
    </w:p>
    <w:p w14:paraId="5B61D931">
      <w:pPr>
        <w:pStyle w:val="2"/>
        <w:rPr>
          <w:highlight w:val="none"/>
        </w:rPr>
        <w:sectPr>
          <w:pgSz w:w="11907" w:h="16840"/>
          <w:pgMar w:top="1440" w:right="1797" w:bottom="1440" w:left="1797" w:header="851" w:footer="992" w:gutter="0"/>
          <w:cols w:space="425" w:num="1"/>
          <w:titlePg/>
          <w:docGrid w:linePitch="462" w:charSpace="0"/>
        </w:sectPr>
      </w:pPr>
    </w:p>
    <w:p w14:paraId="7655C703">
      <w:pPr>
        <w:pStyle w:val="2"/>
        <w:rPr>
          <w:highlight w:val="none"/>
        </w:rPr>
      </w:pPr>
    </w:p>
    <w:p w14:paraId="098A9E99">
      <w:pPr>
        <w:pStyle w:val="7"/>
        <w:rPr>
          <w:highlight w:val="none"/>
        </w:rPr>
      </w:pPr>
      <w:r>
        <w:rPr>
          <w:rFonts w:hint="eastAsia"/>
          <w:highlight w:val="none"/>
        </w:rPr>
        <w:t>第五章  合同条款及格式</w:t>
      </w:r>
    </w:p>
    <w:p w14:paraId="4D7B9DCF">
      <w:pPr>
        <w:ind w:firstLine="411" w:firstLineChars="196"/>
        <w:rPr>
          <w:highlight w:val="none"/>
        </w:rPr>
      </w:pPr>
    </w:p>
    <w:p w14:paraId="680219ED">
      <w:pPr>
        <w:jc w:val="center"/>
        <w:outlineLvl w:val="0"/>
        <w:rPr>
          <w:highlight w:val="none"/>
        </w:rPr>
      </w:pPr>
      <w:r>
        <w:rPr>
          <w:rFonts w:hint="eastAsia"/>
          <w:b/>
          <w:sz w:val="24"/>
          <w:highlight w:val="none"/>
        </w:rPr>
        <w:t>（仅供参考，具体以项目需求及采购结果为准）</w:t>
      </w:r>
    </w:p>
    <w:p w14:paraId="2312A49B">
      <w:pPr>
        <w:rPr>
          <w:rFonts w:ascii="宋体" w:hAnsi="宋体"/>
          <w:b/>
          <w:bCs/>
          <w:szCs w:val="21"/>
          <w:highlight w:val="none"/>
        </w:rPr>
      </w:pPr>
      <w:r>
        <w:rPr>
          <w:rFonts w:hint="eastAsia" w:ascii="宋体" w:hAnsi="宋体"/>
          <w:b/>
          <w:bCs/>
          <w:szCs w:val="21"/>
          <w:highlight w:val="none"/>
        </w:rPr>
        <w:t>甲方：</w:t>
      </w:r>
    </w:p>
    <w:p w14:paraId="44592802">
      <w:pPr>
        <w:rPr>
          <w:rFonts w:ascii="宋体" w:hAnsi="宋体"/>
          <w:szCs w:val="21"/>
          <w:highlight w:val="none"/>
        </w:rPr>
      </w:pPr>
      <w:r>
        <w:rPr>
          <w:rFonts w:hint="eastAsia" w:ascii="宋体" w:hAnsi="宋体"/>
          <w:szCs w:val="21"/>
          <w:highlight w:val="none"/>
        </w:rPr>
        <w:t>地址：</w:t>
      </w:r>
    </w:p>
    <w:p w14:paraId="7AB0164A">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14:paraId="4C5D5241">
      <w:pPr>
        <w:rPr>
          <w:rFonts w:ascii="宋体" w:hAnsi="宋体"/>
          <w:b/>
          <w:bCs/>
          <w:szCs w:val="21"/>
          <w:highlight w:val="none"/>
        </w:rPr>
      </w:pPr>
      <w:r>
        <w:rPr>
          <w:rFonts w:hint="eastAsia" w:ascii="宋体" w:hAnsi="宋体"/>
          <w:szCs w:val="21"/>
          <w:highlight w:val="none"/>
        </w:rPr>
        <w:t>联系电话：</w:t>
      </w:r>
    </w:p>
    <w:p w14:paraId="42FC159D">
      <w:pPr>
        <w:rPr>
          <w:rFonts w:ascii="宋体" w:hAnsi="宋体"/>
          <w:b/>
          <w:bCs/>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r>
        <w:rPr>
          <w:rFonts w:ascii="宋体" w:hAnsi="宋体"/>
          <w:b/>
          <w:bCs/>
          <w:szCs w:val="21"/>
          <w:highlight w:val="none"/>
        </w:rPr>
        <w:t xml:space="preserve"> </w:t>
      </w:r>
    </w:p>
    <w:p w14:paraId="7288DD7D">
      <w:pPr>
        <w:rPr>
          <w:rFonts w:ascii="宋体" w:hAnsi="宋体"/>
          <w:b/>
          <w:bCs/>
          <w:szCs w:val="21"/>
          <w:highlight w:val="none"/>
        </w:rPr>
      </w:pPr>
      <w:r>
        <w:rPr>
          <w:rFonts w:hint="eastAsia" w:ascii="宋体" w:hAnsi="宋体"/>
          <w:b/>
          <w:bCs/>
          <w:szCs w:val="21"/>
          <w:highlight w:val="none"/>
        </w:rPr>
        <w:t>乙方：</w:t>
      </w:r>
    </w:p>
    <w:p w14:paraId="41975AB1">
      <w:pPr>
        <w:rPr>
          <w:rFonts w:ascii="宋体" w:hAnsi="宋体"/>
          <w:szCs w:val="21"/>
          <w:highlight w:val="none"/>
        </w:rPr>
      </w:pPr>
      <w:r>
        <w:rPr>
          <w:rFonts w:hint="eastAsia" w:ascii="宋体" w:hAnsi="宋体"/>
          <w:szCs w:val="21"/>
          <w:highlight w:val="none"/>
        </w:rPr>
        <w:t>地址：</w:t>
      </w:r>
    </w:p>
    <w:p w14:paraId="72F5A893">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14:paraId="65D4BEB9">
      <w:pPr>
        <w:rPr>
          <w:rFonts w:ascii="宋体" w:hAnsi="宋体"/>
          <w:b/>
          <w:bCs/>
          <w:szCs w:val="21"/>
          <w:highlight w:val="none"/>
        </w:rPr>
      </w:pPr>
      <w:r>
        <w:rPr>
          <w:rFonts w:hint="eastAsia" w:ascii="宋体" w:hAnsi="宋体"/>
          <w:szCs w:val="21"/>
          <w:highlight w:val="none"/>
        </w:rPr>
        <w:t>联系电话：</w:t>
      </w:r>
    </w:p>
    <w:p w14:paraId="27B6F246">
      <w:pPr>
        <w:rPr>
          <w:rFonts w:ascii="宋体" w:hAnsi="宋体"/>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p>
    <w:p w14:paraId="639C7667">
      <w:pPr>
        <w:rPr>
          <w:rFonts w:ascii="宋体" w:hAnsi="宋体"/>
          <w:szCs w:val="21"/>
          <w:highlight w:val="none"/>
        </w:rPr>
      </w:pPr>
    </w:p>
    <w:p w14:paraId="66B49AFA">
      <w:pPr>
        <w:ind w:firstLine="420" w:firstLineChars="200"/>
        <w:rPr>
          <w:rFonts w:ascii="宋体" w:hAnsi="宋体"/>
          <w:szCs w:val="21"/>
          <w:highlight w:val="none"/>
        </w:rPr>
      </w:pPr>
      <w:r>
        <w:rPr>
          <w:rFonts w:hint="eastAsia" w:ascii="宋体" w:hAnsi="宋体"/>
          <w:szCs w:val="21"/>
          <w:highlight w:val="none"/>
        </w:rPr>
        <w:t>根据深圳公共资源交易中心（深圳交易集团有限公司</w:t>
      </w:r>
      <w:r>
        <w:rPr>
          <w:rFonts w:hint="eastAsia" w:ascii="宋体" w:hAnsi="宋体"/>
          <w:szCs w:val="21"/>
          <w:highlight w:val="none"/>
          <w:lang w:val="en-US" w:eastAsia="zh-CN"/>
        </w:rPr>
        <w:t>福田</w:t>
      </w:r>
      <w:r>
        <w:rPr>
          <w:rFonts w:hint="eastAsia" w:ascii="宋体" w:hAnsi="宋体"/>
          <w:szCs w:val="21"/>
          <w:highlight w:val="none"/>
        </w:rPr>
        <w:t>分公司）*</w:t>
      </w:r>
      <w:r>
        <w:rPr>
          <w:rFonts w:ascii="宋体" w:hAnsi="宋体"/>
          <w:szCs w:val="21"/>
          <w:highlight w:val="none"/>
        </w:rPr>
        <w:t>**</w:t>
      </w:r>
      <w:r>
        <w:rPr>
          <w:rFonts w:hint="eastAsia" w:ascii="宋体" w:hAnsi="宋体"/>
          <w:szCs w:val="21"/>
          <w:highlight w:val="none"/>
        </w:rPr>
        <w:t>号项目结果，*</w:t>
      </w:r>
      <w:r>
        <w:rPr>
          <w:rFonts w:ascii="宋体" w:hAnsi="宋体"/>
          <w:szCs w:val="21"/>
          <w:highlight w:val="none"/>
        </w:rPr>
        <w:t>**</w:t>
      </w:r>
      <w:r>
        <w:rPr>
          <w:rFonts w:hint="eastAsia" w:ascii="宋体" w:hAnsi="宋体"/>
          <w:szCs w:val="21"/>
          <w:highlight w:val="none"/>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highlight w:val="none"/>
          <w:u w:val="single"/>
          <w:lang w:val="zh-CN"/>
        </w:rPr>
        <w:t xml:space="preserve">                      服务项目</w:t>
      </w:r>
      <w:r>
        <w:rPr>
          <w:rFonts w:hint="eastAsia" w:ascii="宋体" w:hAnsi="宋体"/>
          <w:szCs w:val="21"/>
          <w:highlight w:val="none"/>
        </w:rPr>
        <w:t>，达成以下合同条款：</w:t>
      </w:r>
    </w:p>
    <w:p w14:paraId="0ED5F62E">
      <w:pPr>
        <w:ind w:firstLine="422" w:firstLineChars="200"/>
        <w:rPr>
          <w:rFonts w:ascii="宋体" w:hAnsi="宋体"/>
          <w:b/>
          <w:bCs/>
          <w:szCs w:val="21"/>
          <w:highlight w:val="none"/>
        </w:rPr>
      </w:pPr>
      <w:r>
        <w:rPr>
          <w:rFonts w:hint="eastAsia" w:ascii="宋体" w:hAnsi="宋体"/>
          <w:b/>
          <w:bCs/>
          <w:szCs w:val="21"/>
          <w:highlight w:val="none"/>
        </w:rPr>
        <w:t>第一条　项目概况</w:t>
      </w:r>
    </w:p>
    <w:p w14:paraId="4BAA9742">
      <w:pPr>
        <w:ind w:firstLine="420" w:firstLineChars="200"/>
        <w:rPr>
          <w:rFonts w:ascii="宋体" w:hAnsi="宋体"/>
          <w:szCs w:val="21"/>
          <w:highlight w:val="none"/>
        </w:rPr>
      </w:pPr>
      <w:r>
        <w:rPr>
          <w:rFonts w:hint="eastAsia" w:ascii="宋体" w:hAnsi="宋体"/>
          <w:szCs w:val="21"/>
          <w:highlight w:val="none"/>
        </w:rPr>
        <w:t xml:space="preserve">项目名称： </w:t>
      </w:r>
    </w:p>
    <w:p w14:paraId="131077B4">
      <w:pPr>
        <w:ind w:firstLine="420" w:firstLineChars="200"/>
        <w:rPr>
          <w:rFonts w:ascii="宋体" w:hAnsi="宋体"/>
          <w:szCs w:val="21"/>
          <w:highlight w:val="none"/>
        </w:rPr>
      </w:pPr>
      <w:r>
        <w:rPr>
          <w:rFonts w:hint="eastAsia" w:ascii="宋体" w:hAnsi="宋体"/>
          <w:szCs w:val="21"/>
          <w:highlight w:val="none"/>
        </w:rPr>
        <w:t xml:space="preserve">项目内容： </w:t>
      </w:r>
    </w:p>
    <w:p w14:paraId="7469E1C2">
      <w:pPr>
        <w:ind w:firstLine="420" w:firstLineChars="200"/>
        <w:rPr>
          <w:rFonts w:ascii="宋体" w:hAnsi="宋体"/>
          <w:szCs w:val="21"/>
          <w:highlight w:val="none"/>
        </w:rPr>
      </w:pPr>
      <w:r>
        <w:rPr>
          <w:rFonts w:hint="eastAsia" w:ascii="宋体" w:hAnsi="宋体"/>
          <w:szCs w:val="21"/>
          <w:highlight w:val="none"/>
        </w:rPr>
        <w:t xml:space="preserve">服务时间： </w:t>
      </w:r>
    </w:p>
    <w:p w14:paraId="7C249A89">
      <w:pPr>
        <w:ind w:firstLine="420" w:firstLineChars="200"/>
        <w:rPr>
          <w:rFonts w:ascii="宋体" w:hAnsi="宋体"/>
          <w:szCs w:val="21"/>
          <w:highlight w:val="none"/>
        </w:rPr>
      </w:pPr>
      <w:r>
        <w:rPr>
          <w:rFonts w:hint="eastAsia" w:ascii="宋体" w:hAnsi="宋体"/>
          <w:szCs w:val="21"/>
          <w:highlight w:val="none"/>
        </w:rPr>
        <w:t>合同价款：合同总价为元，含一切税、费。</w:t>
      </w:r>
      <w:r>
        <w:rPr>
          <w:highlight w:val="none"/>
        </w:rPr>
        <w:t>本合同总价包括</w:t>
      </w:r>
      <w:r>
        <w:rPr>
          <w:rFonts w:hint="eastAsia" w:ascii="宋体" w:hAnsi="宋体"/>
          <w:szCs w:val="21"/>
          <w:highlight w:val="none"/>
        </w:rPr>
        <w:t>乙方为实施本项目*</w:t>
      </w:r>
      <w:r>
        <w:rPr>
          <w:rFonts w:ascii="宋体" w:hAnsi="宋体"/>
          <w:szCs w:val="21"/>
          <w:highlight w:val="none"/>
        </w:rPr>
        <w:t>**</w:t>
      </w:r>
      <w:r>
        <w:rPr>
          <w:rFonts w:hint="eastAsia" w:ascii="宋体" w:hAnsi="宋体"/>
          <w:szCs w:val="21"/>
          <w:highlight w:val="none"/>
        </w:rPr>
        <w:t>所需的设备仪器费、车辆租赁费、</w:t>
      </w:r>
      <w:r>
        <w:rPr>
          <w:highlight w:val="none"/>
        </w:rPr>
        <w:t>服务</w:t>
      </w:r>
      <w:r>
        <w:rPr>
          <w:rFonts w:hint="eastAsia"/>
          <w:highlight w:val="none"/>
        </w:rPr>
        <w:t>和</w:t>
      </w:r>
      <w:r>
        <w:rPr>
          <w:highlight w:val="none"/>
        </w:rPr>
        <w:t>技术费用</w:t>
      </w:r>
      <w:r>
        <w:rPr>
          <w:rFonts w:hint="eastAsia"/>
          <w:highlight w:val="none"/>
        </w:rPr>
        <w:t>等</w:t>
      </w:r>
      <w:r>
        <w:rPr>
          <w:highlight w:val="none"/>
        </w:rPr>
        <w:t>，为固定不变价格，且不随通货膨胀的影响而波动。合同总价包括</w:t>
      </w:r>
      <w:r>
        <w:rPr>
          <w:rFonts w:hint="eastAsia" w:ascii="宋体" w:hAnsi="宋体"/>
          <w:szCs w:val="21"/>
          <w:highlight w:val="none"/>
        </w:rPr>
        <w:t>乙方</w:t>
      </w:r>
      <w:r>
        <w:rPr>
          <w:highlight w:val="none"/>
        </w:rPr>
        <w:t>履行本合同义务所发生的一切费用和支出和以各种方式寄送技术资料到</w:t>
      </w:r>
      <w:r>
        <w:rPr>
          <w:rFonts w:hint="eastAsia"/>
          <w:highlight w:val="none"/>
        </w:rPr>
        <w:t>甲</w:t>
      </w:r>
      <w:r>
        <w:rPr>
          <w:highlight w:val="none"/>
        </w:rPr>
        <w:t>方办公室所发生的费用。</w:t>
      </w:r>
    </w:p>
    <w:p w14:paraId="17B48A80">
      <w:pPr>
        <w:pStyle w:val="9"/>
        <w:rPr>
          <w:rFonts w:ascii="宋体" w:hAnsi="宋体"/>
          <w:szCs w:val="21"/>
          <w:highlight w:val="none"/>
        </w:rPr>
      </w:pPr>
      <w:r>
        <w:rPr>
          <w:rFonts w:hint="eastAsia" w:ascii="宋体" w:hAnsi="宋体"/>
          <w:szCs w:val="21"/>
          <w:highlight w:val="none"/>
        </w:rPr>
        <w:t>支付方式：分期支付。</w:t>
      </w:r>
    </w:p>
    <w:p w14:paraId="2FD0D23F">
      <w:pPr>
        <w:ind w:firstLine="422" w:firstLineChars="200"/>
        <w:rPr>
          <w:rFonts w:ascii="宋体" w:hAnsi="宋体"/>
          <w:b/>
          <w:bCs/>
          <w:szCs w:val="21"/>
          <w:highlight w:val="none"/>
        </w:rPr>
      </w:pPr>
      <w:r>
        <w:rPr>
          <w:rFonts w:hint="eastAsia" w:ascii="宋体" w:hAnsi="宋体"/>
          <w:b/>
          <w:bCs/>
          <w:szCs w:val="21"/>
          <w:highlight w:val="none"/>
        </w:rPr>
        <w:t>第二条  服务范围</w:t>
      </w:r>
    </w:p>
    <w:p w14:paraId="40192AA4">
      <w:pPr>
        <w:ind w:firstLine="420" w:firstLineChars="200"/>
        <w:rPr>
          <w:rFonts w:ascii="宋体" w:hAnsi="宋体"/>
          <w:szCs w:val="21"/>
          <w:highlight w:val="none"/>
        </w:rPr>
      </w:pPr>
      <w:r>
        <w:rPr>
          <w:rFonts w:hint="eastAsia" w:ascii="宋体" w:hAnsi="宋体"/>
          <w:szCs w:val="21"/>
          <w:highlight w:val="none"/>
        </w:rPr>
        <w:t xml:space="preserve">1、  </w:t>
      </w:r>
    </w:p>
    <w:p w14:paraId="2CFBE161">
      <w:pPr>
        <w:ind w:firstLine="420" w:firstLineChars="200"/>
        <w:rPr>
          <w:rFonts w:ascii="宋体" w:hAnsi="宋体"/>
          <w:szCs w:val="21"/>
          <w:highlight w:val="none"/>
        </w:rPr>
      </w:pPr>
      <w:r>
        <w:rPr>
          <w:rFonts w:hint="eastAsia" w:ascii="宋体" w:hAnsi="宋体"/>
          <w:szCs w:val="21"/>
          <w:highlight w:val="none"/>
        </w:rPr>
        <w:t xml:space="preserve">2、  </w:t>
      </w:r>
    </w:p>
    <w:p w14:paraId="3D681C36">
      <w:pPr>
        <w:ind w:firstLine="420" w:firstLineChars="200"/>
        <w:rPr>
          <w:rFonts w:ascii="宋体" w:hAnsi="宋体"/>
          <w:szCs w:val="21"/>
          <w:highlight w:val="none"/>
        </w:rPr>
      </w:pPr>
      <w:r>
        <w:rPr>
          <w:rFonts w:hint="eastAsia" w:ascii="宋体" w:hAnsi="宋体"/>
          <w:szCs w:val="21"/>
          <w:highlight w:val="none"/>
        </w:rPr>
        <w:t xml:space="preserve">3、  </w:t>
      </w:r>
    </w:p>
    <w:p w14:paraId="78D8C1F1">
      <w:pPr>
        <w:ind w:firstLine="420" w:firstLineChars="200"/>
        <w:rPr>
          <w:rFonts w:ascii="宋体" w:hAnsi="宋体"/>
          <w:szCs w:val="21"/>
          <w:highlight w:val="none"/>
        </w:rPr>
      </w:pPr>
      <w:r>
        <w:rPr>
          <w:rFonts w:hint="eastAsia" w:ascii="宋体" w:hAnsi="宋体"/>
          <w:szCs w:val="21"/>
          <w:highlight w:val="none"/>
        </w:rPr>
        <w:t>4、 其他合同未明示的相关工作。</w:t>
      </w:r>
    </w:p>
    <w:p w14:paraId="02BC8B0E">
      <w:pPr>
        <w:ind w:firstLine="422" w:firstLineChars="200"/>
        <w:rPr>
          <w:rFonts w:ascii="宋体" w:hAnsi="宋体"/>
          <w:b/>
          <w:bCs/>
          <w:szCs w:val="21"/>
          <w:highlight w:val="none"/>
        </w:rPr>
      </w:pPr>
      <w:r>
        <w:rPr>
          <w:rFonts w:hint="eastAsia" w:ascii="宋体" w:hAnsi="宋体"/>
          <w:b/>
          <w:bCs/>
          <w:szCs w:val="21"/>
          <w:highlight w:val="none"/>
        </w:rPr>
        <w:t>第三条  时间要求及阶段成果</w:t>
      </w:r>
    </w:p>
    <w:p w14:paraId="1D543A45">
      <w:pPr>
        <w:ind w:firstLine="420" w:firstLineChars="200"/>
        <w:rPr>
          <w:rFonts w:ascii="宋体" w:hAnsi="宋体"/>
          <w:szCs w:val="21"/>
          <w:highlight w:val="none"/>
        </w:rPr>
      </w:pPr>
      <w:r>
        <w:rPr>
          <w:rFonts w:hint="eastAsia" w:ascii="宋体" w:hAnsi="宋体"/>
          <w:szCs w:val="21"/>
          <w:highlight w:val="none"/>
        </w:rPr>
        <w:t>1、合同签订天内完成项目实施的准备工作，包括工作大纲和试验细则的编制；</w:t>
      </w:r>
    </w:p>
    <w:p w14:paraId="633662D4">
      <w:pPr>
        <w:ind w:firstLine="420" w:firstLineChars="200"/>
        <w:rPr>
          <w:rFonts w:ascii="宋体" w:hAnsi="宋体"/>
          <w:szCs w:val="21"/>
          <w:highlight w:val="none"/>
        </w:rPr>
      </w:pPr>
      <w:r>
        <w:rPr>
          <w:rFonts w:hint="eastAsia" w:ascii="宋体" w:hAnsi="宋体"/>
          <w:szCs w:val="21"/>
          <w:highlight w:val="none"/>
        </w:rPr>
        <w:t xml:space="preserve">2、 </w:t>
      </w:r>
    </w:p>
    <w:p w14:paraId="7FC3F762">
      <w:pPr>
        <w:ind w:firstLine="420" w:firstLineChars="200"/>
        <w:rPr>
          <w:rFonts w:ascii="宋体" w:hAnsi="宋体"/>
          <w:szCs w:val="21"/>
          <w:highlight w:val="none"/>
        </w:rPr>
      </w:pPr>
      <w:r>
        <w:rPr>
          <w:rFonts w:hint="eastAsia" w:ascii="宋体" w:hAnsi="宋体"/>
          <w:szCs w:val="21"/>
          <w:highlight w:val="none"/>
        </w:rPr>
        <w:t>3、</w:t>
      </w:r>
    </w:p>
    <w:p w14:paraId="7128ECB3">
      <w:pPr>
        <w:ind w:firstLine="420" w:firstLineChars="200"/>
        <w:rPr>
          <w:rFonts w:ascii="宋体" w:hAnsi="宋体"/>
          <w:szCs w:val="21"/>
          <w:highlight w:val="none"/>
        </w:rPr>
      </w:pPr>
      <w:r>
        <w:rPr>
          <w:rFonts w:hint="eastAsia" w:ascii="宋体" w:hAnsi="宋体"/>
          <w:szCs w:val="21"/>
          <w:highlight w:val="none"/>
        </w:rPr>
        <w:t>4、</w:t>
      </w:r>
    </w:p>
    <w:p w14:paraId="24AD2BD7">
      <w:pPr>
        <w:ind w:firstLine="422" w:firstLineChars="200"/>
        <w:rPr>
          <w:rFonts w:ascii="宋体" w:hAnsi="宋体"/>
          <w:b/>
          <w:bCs/>
          <w:szCs w:val="21"/>
          <w:highlight w:val="none"/>
        </w:rPr>
      </w:pPr>
      <w:r>
        <w:rPr>
          <w:rFonts w:hint="eastAsia" w:ascii="宋体" w:hAnsi="宋体"/>
          <w:b/>
          <w:bCs/>
          <w:szCs w:val="21"/>
          <w:highlight w:val="none"/>
        </w:rPr>
        <w:t>第四条  服务资料归属</w:t>
      </w:r>
    </w:p>
    <w:p w14:paraId="290E4742">
      <w:pPr>
        <w:ind w:firstLine="420" w:firstLineChars="200"/>
        <w:rPr>
          <w:highlight w:val="none"/>
        </w:rPr>
      </w:pPr>
      <w:r>
        <w:rPr>
          <w:highlight w:val="none"/>
        </w:rPr>
        <w:t>1</w:t>
      </w:r>
      <w:r>
        <w:rPr>
          <w:rFonts w:hint="eastAsia"/>
          <w:highlight w:val="none"/>
        </w:rPr>
        <w:t>、</w:t>
      </w:r>
      <w:r>
        <w:rPr>
          <w:highlight w:val="none"/>
        </w:rPr>
        <w:t>所有提交给</w:t>
      </w:r>
      <w:r>
        <w:rPr>
          <w:rFonts w:hint="eastAsia"/>
          <w:highlight w:val="none"/>
        </w:rPr>
        <w:t>甲</w:t>
      </w:r>
      <w:r>
        <w:rPr>
          <w:highlight w:val="none"/>
        </w:rPr>
        <w:t>方的服务</w:t>
      </w:r>
      <w:r>
        <w:rPr>
          <w:rFonts w:hint="eastAsia"/>
          <w:highlight w:val="none"/>
        </w:rPr>
        <w:t>文件</w:t>
      </w:r>
      <w:r>
        <w:rPr>
          <w:highlight w:val="none"/>
        </w:rPr>
        <w:t>及相关的资料的最后文本，包括为履行技术服务范围所编制的图纸、计划和证明资料等，都属于</w:t>
      </w:r>
      <w:r>
        <w:rPr>
          <w:rFonts w:hint="eastAsia"/>
          <w:highlight w:val="none"/>
        </w:rPr>
        <w:t>甲</w:t>
      </w:r>
      <w:r>
        <w:rPr>
          <w:highlight w:val="none"/>
        </w:rPr>
        <w:t>方的财产，</w:t>
      </w:r>
      <w:r>
        <w:rPr>
          <w:rFonts w:hint="eastAsia" w:ascii="宋体" w:hAnsi="宋体"/>
          <w:szCs w:val="21"/>
          <w:highlight w:val="none"/>
        </w:rPr>
        <w:t>乙</w:t>
      </w:r>
      <w:r>
        <w:rPr>
          <w:highlight w:val="none"/>
        </w:rPr>
        <w:t>方在提交给</w:t>
      </w:r>
      <w:r>
        <w:rPr>
          <w:rFonts w:hint="eastAsia"/>
          <w:highlight w:val="none"/>
        </w:rPr>
        <w:t>甲</w:t>
      </w:r>
      <w:r>
        <w:rPr>
          <w:highlight w:val="none"/>
        </w:rPr>
        <w:t>方之前应将上述资料进行整理归类和编制索引</w:t>
      </w:r>
      <w:r>
        <w:rPr>
          <w:rFonts w:hint="eastAsia"/>
          <w:highlight w:val="none"/>
        </w:rPr>
        <w:t>。</w:t>
      </w:r>
    </w:p>
    <w:p w14:paraId="5B5A880F">
      <w:pPr>
        <w:ind w:firstLine="420" w:firstLineChars="200"/>
        <w:rPr>
          <w:highlight w:val="none"/>
        </w:rPr>
      </w:pPr>
      <w:r>
        <w:rPr>
          <w:highlight w:val="none"/>
        </w:rPr>
        <w:t>2</w:t>
      </w:r>
      <w:r>
        <w:rPr>
          <w:rFonts w:hint="eastAsia"/>
          <w:highlight w:val="none"/>
        </w:rPr>
        <w:t>、</w:t>
      </w:r>
      <w:r>
        <w:rPr>
          <w:rFonts w:hint="eastAsia" w:ascii="宋体" w:hAnsi="宋体"/>
          <w:szCs w:val="21"/>
          <w:highlight w:val="none"/>
        </w:rPr>
        <w:t>乙</w:t>
      </w:r>
      <w:r>
        <w:rPr>
          <w:highlight w:val="none"/>
        </w:rPr>
        <w:t>方未经</w:t>
      </w:r>
      <w:r>
        <w:rPr>
          <w:rFonts w:hint="eastAsia"/>
          <w:highlight w:val="none"/>
        </w:rPr>
        <w:t>甲</w:t>
      </w:r>
      <w:r>
        <w:rPr>
          <w:highlight w:val="none"/>
        </w:rPr>
        <w:t>方的书面同意，不得将上述资料用于与本服务项目之外的任何项目</w:t>
      </w:r>
      <w:r>
        <w:rPr>
          <w:rFonts w:hint="eastAsia"/>
          <w:highlight w:val="none"/>
        </w:rPr>
        <w:t>。</w:t>
      </w:r>
    </w:p>
    <w:p w14:paraId="6EEFC319">
      <w:pPr>
        <w:ind w:firstLine="420" w:firstLineChars="200"/>
        <w:rPr>
          <w:highlight w:val="none"/>
        </w:rPr>
      </w:pPr>
      <w:r>
        <w:rPr>
          <w:rFonts w:hint="eastAsia"/>
          <w:highlight w:val="none"/>
        </w:rPr>
        <w:t>3、</w:t>
      </w:r>
      <w:r>
        <w:rPr>
          <w:highlight w:val="none"/>
        </w:rPr>
        <w:t>合同履行</w:t>
      </w:r>
      <w:r>
        <w:rPr>
          <w:rFonts w:hint="eastAsia"/>
          <w:highlight w:val="none"/>
        </w:rPr>
        <w:t>完毕，</w:t>
      </w:r>
      <w:r>
        <w:rPr>
          <w:highlight w:val="none"/>
        </w:rPr>
        <w:t>未经</w:t>
      </w:r>
      <w:r>
        <w:rPr>
          <w:rFonts w:hint="eastAsia"/>
          <w:highlight w:val="none"/>
        </w:rPr>
        <w:t>甲</w:t>
      </w:r>
      <w:r>
        <w:rPr>
          <w:highlight w:val="none"/>
        </w:rPr>
        <w:t>方的书面同意</w:t>
      </w:r>
      <w:r>
        <w:rPr>
          <w:rFonts w:hint="eastAsia"/>
          <w:highlight w:val="none"/>
        </w:rPr>
        <w:t>，</w:t>
      </w:r>
      <w:r>
        <w:rPr>
          <w:rFonts w:hint="eastAsia" w:ascii="宋体" w:hAnsi="宋体"/>
          <w:szCs w:val="21"/>
          <w:highlight w:val="none"/>
        </w:rPr>
        <w:t>乙</w:t>
      </w:r>
      <w:r>
        <w:rPr>
          <w:highlight w:val="none"/>
        </w:rPr>
        <w:t>方</w:t>
      </w:r>
      <w:r>
        <w:rPr>
          <w:rFonts w:hint="eastAsia"/>
          <w:highlight w:val="none"/>
        </w:rPr>
        <w:t>不得保存在</w:t>
      </w:r>
      <w:r>
        <w:rPr>
          <w:highlight w:val="none"/>
        </w:rPr>
        <w:t>履行合同过程中所获得或接触到的任何</w:t>
      </w:r>
      <w:r>
        <w:rPr>
          <w:rFonts w:hint="eastAsia" w:ascii="宋体" w:hAnsi="宋体"/>
          <w:szCs w:val="21"/>
          <w:highlight w:val="none"/>
        </w:rPr>
        <w:t>内部数据资料。</w:t>
      </w:r>
    </w:p>
    <w:p w14:paraId="116C08AD">
      <w:pPr>
        <w:ind w:firstLine="422" w:firstLineChars="200"/>
        <w:rPr>
          <w:rFonts w:ascii="宋体" w:hAnsi="宋体"/>
          <w:b/>
          <w:bCs/>
          <w:szCs w:val="21"/>
          <w:highlight w:val="none"/>
        </w:rPr>
      </w:pPr>
      <w:r>
        <w:rPr>
          <w:rFonts w:hint="eastAsia" w:ascii="宋体" w:hAnsi="宋体"/>
          <w:b/>
          <w:bCs/>
          <w:szCs w:val="21"/>
          <w:highlight w:val="none"/>
        </w:rPr>
        <w:t>第五条  甲方的义务</w:t>
      </w:r>
    </w:p>
    <w:p w14:paraId="01B9E05E">
      <w:pPr>
        <w:ind w:firstLine="420" w:firstLineChars="200"/>
        <w:rPr>
          <w:rFonts w:ascii="宋体" w:hAnsi="宋体"/>
          <w:szCs w:val="21"/>
          <w:highlight w:val="none"/>
        </w:rPr>
      </w:pPr>
      <w:r>
        <w:rPr>
          <w:rFonts w:hint="eastAsia" w:ascii="宋体" w:hAnsi="宋体"/>
          <w:szCs w:val="21"/>
          <w:highlight w:val="none"/>
        </w:rPr>
        <w:t>1、负责与本服务项目有关的第三方的协调，提供开展服务工作的外部条件。</w:t>
      </w:r>
    </w:p>
    <w:p w14:paraId="3DAC5AE2">
      <w:pPr>
        <w:ind w:firstLine="420" w:firstLineChars="200"/>
        <w:rPr>
          <w:rFonts w:ascii="宋体" w:hAnsi="宋体"/>
          <w:szCs w:val="21"/>
          <w:highlight w:val="none"/>
        </w:rPr>
      </w:pPr>
      <w:r>
        <w:rPr>
          <w:rFonts w:hint="eastAsia" w:ascii="宋体" w:hAnsi="宋体"/>
          <w:szCs w:val="21"/>
          <w:highlight w:val="none"/>
        </w:rPr>
        <w:t>2、向乙方提供与本项目服务工作有关的资料。</w:t>
      </w:r>
    </w:p>
    <w:p w14:paraId="6942F372">
      <w:pPr>
        <w:ind w:firstLine="420" w:firstLineChars="200"/>
        <w:rPr>
          <w:rFonts w:ascii="宋体" w:hAnsi="宋体"/>
          <w:szCs w:val="21"/>
          <w:highlight w:val="none"/>
        </w:rPr>
      </w:pPr>
      <w:r>
        <w:rPr>
          <w:rFonts w:hint="eastAsia" w:ascii="宋体" w:hAnsi="宋体"/>
          <w:szCs w:val="21"/>
          <w:highlight w:val="none"/>
        </w:rPr>
        <w:t>3、负责组织有关专家对项目试验成果评估报告的评审。</w:t>
      </w:r>
    </w:p>
    <w:p w14:paraId="6BC1FC7D">
      <w:pPr>
        <w:ind w:firstLine="422" w:firstLineChars="200"/>
        <w:rPr>
          <w:rFonts w:ascii="宋体" w:hAnsi="宋体"/>
          <w:b/>
          <w:bCs/>
          <w:szCs w:val="21"/>
          <w:highlight w:val="none"/>
        </w:rPr>
      </w:pPr>
      <w:r>
        <w:rPr>
          <w:rFonts w:hint="eastAsia" w:ascii="宋体" w:hAnsi="宋体"/>
          <w:b/>
          <w:bCs/>
          <w:szCs w:val="21"/>
          <w:highlight w:val="none"/>
        </w:rPr>
        <w:t>第六条　乙方的义务</w:t>
      </w:r>
    </w:p>
    <w:p w14:paraId="0323AD76">
      <w:pPr>
        <w:ind w:firstLine="420" w:firstLineChars="200"/>
        <w:rPr>
          <w:rFonts w:ascii="宋体" w:hAnsi="宋体"/>
          <w:szCs w:val="21"/>
          <w:highlight w:val="none"/>
        </w:rPr>
      </w:pPr>
      <w:r>
        <w:rPr>
          <w:rFonts w:hint="eastAsia" w:ascii="宋体" w:hAnsi="宋体"/>
          <w:szCs w:val="21"/>
          <w:highlight w:val="none"/>
        </w:rPr>
        <w:t>１、应按照招标文件、投标文件要求按期完成本项目服务工作。</w:t>
      </w:r>
    </w:p>
    <w:p w14:paraId="6DE0C3E6">
      <w:pPr>
        <w:ind w:firstLine="420" w:firstLineChars="200"/>
        <w:rPr>
          <w:rFonts w:ascii="宋体" w:hAnsi="宋体"/>
          <w:szCs w:val="21"/>
          <w:highlight w:val="none"/>
        </w:rPr>
      </w:pPr>
      <w:r>
        <w:rPr>
          <w:rFonts w:hint="eastAsia" w:ascii="宋体" w:hAnsi="宋体"/>
          <w:szCs w:val="21"/>
          <w:highlight w:val="none"/>
        </w:rPr>
        <w:t>2、负责组织项目的实施，保证工程进度和成桥荷载试验工作质量，并满足交通部交工验收相关标准。</w:t>
      </w:r>
    </w:p>
    <w:p w14:paraId="5E64A29E">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highlight w:val="none"/>
        </w:rPr>
        <w:t>向甲方提交检测资料等各套，一套电子版文件。</w:t>
      </w:r>
    </w:p>
    <w:p w14:paraId="35557AA7">
      <w:pPr>
        <w:ind w:firstLine="420" w:firstLineChars="200"/>
        <w:rPr>
          <w:rFonts w:ascii="宋体" w:hAnsi="宋体"/>
          <w:szCs w:val="21"/>
          <w:highlight w:val="none"/>
        </w:rPr>
      </w:pPr>
      <w:r>
        <w:rPr>
          <w:rFonts w:hint="eastAsia" w:ascii="宋体" w:hAnsi="宋体"/>
          <w:szCs w:val="21"/>
          <w:highlight w:val="none"/>
        </w:rPr>
        <w:t>4、在履行合同期间或合同规定期限内，不得泄露与本合同规定业务活动有关的保密资料。</w:t>
      </w:r>
    </w:p>
    <w:p w14:paraId="30673CC9">
      <w:pPr>
        <w:ind w:firstLine="422" w:firstLineChars="200"/>
        <w:rPr>
          <w:rFonts w:ascii="宋体" w:hAnsi="宋体"/>
          <w:b/>
          <w:bCs/>
          <w:szCs w:val="21"/>
          <w:highlight w:val="none"/>
        </w:rPr>
      </w:pPr>
      <w:r>
        <w:rPr>
          <w:rFonts w:hint="eastAsia" w:ascii="宋体" w:hAnsi="宋体"/>
          <w:b/>
          <w:bCs/>
          <w:szCs w:val="21"/>
          <w:highlight w:val="none"/>
        </w:rPr>
        <w:t>第七条  甲方的权利</w:t>
      </w:r>
    </w:p>
    <w:p w14:paraId="6FDE562E">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、有权向乙方询问工作进展情况及相关的内容。</w:t>
      </w:r>
    </w:p>
    <w:p w14:paraId="528079D0">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、有权阐述对具体问题的意见和建议。</w:t>
      </w:r>
    </w:p>
    <w:p w14:paraId="27A51176">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、当甲方认定乙方人员不按合同履行其职责，或与第三人串通给甲方造成经济损失的，甲方有权要求更换人员，直至终止合同并要求乙方承担相应的赔偿责任。</w:t>
      </w:r>
    </w:p>
    <w:p w14:paraId="3657A058">
      <w:pPr>
        <w:ind w:firstLine="422" w:firstLineChars="200"/>
        <w:rPr>
          <w:rFonts w:ascii="宋体" w:hAnsi="宋体"/>
          <w:b/>
          <w:bCs/>
          <w:szCs w:val="21"/>
          <w:highlight w:val="none"/>
        </w:rPr>
      </w:pPr>
      <w:r>
        <w:rPr>
          <w:rFonts w:hint="eastAsia" w:ascii="宋体" w:hAnsi="宋体"/>
          <w:b/>
          <w:bCs/>
          <w:szCs w:val="21"/>
          <w:highlight w:val="none"/>
        </w:rPr>
        <w:t>第八条  乙方的权利</w:t>
      </w:r>
    </w:p>
    <w:p w14:paraId="284C678F">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、乙方在本项目服务过程中，如甲方提供的资料不明确时可向甲方提出书面报告。</w:t>
      </w:r>
    </w:p>
    <w:p w14:paraId="1DE108D0">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、乙方在本项目服务过程中，有权对第三方提出与本服务业务有关的问题进行核对或查问。</w:t>
      </w:r>
    </w:p>
    <w:p w14:paraId="1EFB334E">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、乙方在本项目服务过程中，有到工程现场勘察的权利。</w:t>
      </w:r>
    </w:p>
    <w:p w14:paraId="5640883C">
      <w:pPr>
        <w:ind w:firstLine="422" w:firstLineChars="200"/>
        <w:rPr>
          <w:rFonts w:ascii="宋体" w:hAnsi="宋体"/>
          <w:b/>
          <w:bCs/>
          <w:szCs w:val="21"/>
          <w:highlight w:val="none"/>
        </w:rPr>
      </w:pPr>
      <w:r>
        <w:rPr>
          <w:rFonts w:hint="eastAsia" w:ascii="宋体" w:hAnsi="宋体"/>
          <w:b/>
          <w:bCs/>
          <w:szCs w:val="21"/>
          <w:highlight w:val="none"/>
        </w:rPr>
        <w:t>第九条  甲方的责任</w:t>
      </w:r>
    </w:p>
    <w:p w14:paraId="0A8CF104">
      <w:pPr>
        <w:ind w:firstLine="420" w:firstLineChars="200"/>
        <w:rPr>
          <w:rFonts w:ascii="宋体" w:hAnsi="宋体"/>
          <w:szCs w:val="21"/>
          <w:highlight w:val="none"/>
        </w:rPr>
      </w:pPr>
      <w:r>
        <w:rPr>
          <w:rFonts w:hint="eastAsia" w:ascii="宋体" w:hAnsi="宋体"/>
          <w:szCs w:val="21"/>
          <w:highlight w:val="none"/>
        </w:rPr>
        <w:t>1、应当履行本合同约定的义务，如有违反则应当承担违约责任，赔偿给乙方造成的损失。</w:t>
      </w:r>
    </w:p>
    <w:p w14:paraId="780FFD7E">
      <w:pPr>
        <w:ind w:firstLine="420" w:firstLineChars="200"/>
        <w:rPr>
          <w:rFonts w:ascii="宋体" w:hAnsi="宋体"/>
          <w:szCs w:val="21"/>
          <w:highlight w:val="none"/>
        </w:rPr>
      </w:pPr>
      <w:r>
        <w:rPr>
          <w:rFonts w:hint="eastAsia" w:ascii="宋体" w:hAnsi="宋体"/>
          <w:szCs w:val="21"/>
          <w:highlight w:val="none"/>
        </w:rPr>
        <w:t>2、甲方向乙方提出赔偿要求不能成立时，则应补偿由于该赔偿或其他要求所导致乙方的各种费用的支出。</w:t>
      </w:r>
    </w:p>
    <w:p w14:paraId="5E3186DA">
      <w:pPr>
        <w:ind w:firstLine="422" w:firstLineChars="200"/>
        <w:rPr>
          <w:rFonts w:ascii="宋体" w:hAnsi="宋体"/>
          <w:b/>
          <w:bCs/>
          <w:szCs w:val="21"/>
          <w:highlight w:val="none"/>
        </w:rPr>
      </w:pPr>
      <w:r>
        <w:rPr>
          <w:rFonts w:hint="eastAsia" w:ascii="宋体" w:hAnsi="宋体"/>
          <w:b/>
          <w:bCs/>
          <w:szCs w:val="21"/>
          <w:highlight w:val="none"/>
        </w:rPr>
        <w:t>第十条  乙方的责任</w:t>
      </w:r>
    </w:p>
    <w:p w14:paraId="767693F2">
      <w:pPr>
        <w:ind w:firstLine="420" w:firstLineChars="200"/>
        <w:rPr>
          <w:rFonts w:ascii="宋体" w:hAnsi="宋体"/>
          <w:szCs w:val="21"/>
          <w:highlight w:val="none"/>
        </w:rPr>
      </w:pPr>
      <w:r>
        <w:rPr>
          <w:rFonts w:hint="eastAsia" w:ascii="宋体" w:hAnsi="宋体"/>
          <w:szCs w:val="21"/>
          <w:highlight w:val="none"/>
        </w:rPr>
        <w:t>1、乙方的责任期即本合同有效期。如因非乙方的责任造成进度的推迟或延误而超过约定的日期，双方应进一步约定相应延长合同有效期。</w:t>
      </w:r>
    </w:p>
    <w:p w14:paraId="1A326FC8">
      <w:pPr>
        <w:ind w:firstLine="420" w:firstLineChars="200"/>
        <w:rPr>
          <w:rFonts w:ascii="宋体" w:hAnsi="宋体"/>
          <w:szCs w:val="21"/>
          <w:highlight w:val="none"/>
        </w:rPr>
      </w:pPr>
      <w:r>
        <w:rPr>
          <w:rFonts w:hint="eastAsia" w:ascii="宋体" w:hAnsi="宋体"/>
          <w:szCs w:val="21"/>
          <w:highlight w:val="none"/>
        </w:rPr>
        <w:t>2、乙方的责任期内，应当履行本合同中约定的义务，因乙方的单方过失造成的经济损失，应当向甲方进行赔偿。</w:t>
      </w:r>
    </w:p>
    <w:p w14:paraId="79228AF0">
      <w:pPr>
        <w:ind w:firstLine="420" w:firstLineChars="200"/>
        <w:rPr>
          <w:rFonts w:ascii="宋体" w:hAnsi="宋体"/>
          <w:szCs w:val="21"/>
          <w:highlight w:val="none"/>
        </w:rPr>
      </w:pPr>
      <w:r>
        <w:rPr>
          <w:rFonts w:hint="eastAsia" w:ascii="宋体" w:hAnsi="宋体"/>
          <w:szCs w:val="21"/>
          <w:highlight w:val="none"/>
        </w:rPr>
        <w:t>3、乙方对甲方或第三方所提出的问题不能及时核对或答复，导致合同不能全部或部分履行，乙方应承担责任。</w:t>
      </w:r>
    </w:p>
    <w:p w14:paraId="47CAA7E5">
      <w:pPr>
        <w:ind w:firstLine="420" w:firstLineChars="200"/>
        <w:rPr>
          <w:rFonts w:ascii="宋体" w:hAnsi="宋体"/>
          <w:szCs w:val="21"/>
          <w:highlight w:val="none"/>
        </w:rPr>
      </w:pPr>
      <w:r>
        <w:rPr>
          <w:rFonts w:hint="eastAsia" w:ascii="宋体" w:hAnsi="宋体"/>
          <w:szCs w:val="21"/>
          <w:highlight w:val="none"/>
        </w:rPr>
        <w:t>4、乙方向甲方提出赔偿要求不能成立时，则应补偿由于该赔偿或其他要求所导致甲方的各种费用的支出。</w:t>
      </w:r>
    </w:p>
    <w:p w14:paraId="5C24BF48">
      <w:pPr>
        <w:ind w:firstLine="422" w:firstLineChars="200"/>
        <w:rPr>
          <w:rFonts w:ascii="宋体" w:hAnsi="宋体"/>
          <w:b/>
          <w:bCs/>
          <w:szCs w:val="21"/>
          <w:highlight w:val="none"/>
        </w:rPr>
      </w:pPr>
      <w:r>
        <w:rPr>
          <w:rFonts w:hint="eastAsia" w:ascii="宋体" w:hAnsi="宋体"/>
          <w:b/>
          <w:bCs/>
          <w:szCs w:val="21"/>
          <w:highlight w:val="none"/>
        </w:rPr>
        <w:t>第十一条  人员要求</w:t>
      </w:r>
    </w:p>
    <w:p w14:paraId="3C481BF3">
      <w:pPr>
        <w:ind w:firstLine="420" w:firstLineChars="200"/>
        <w:rPr>
          <w:rFonts w:ascii="宋体" w:hAnsi="宋体"/>
          <w:szCs w:val="21"/>
          <w:highlight w:val="none"/>
        </w:rPr>
      </w:pPr>
      <w:r>
        <w:rPr>
          <w:rFonts w:hint="eastAsia" w:ascii="宋体" w:hAnsi="宋体"/>
          <w:szCs w:val="21"/>
          <w:highlight w:val="none"/>
        </w:rPr>
        <w:t>1、参加本项目试验的人员必须具有国家和有关部门规定的相应资质。</w:t>
      </w:r>
    </w:p>
    <w:p w14:paraId="567A9449">
      <w:pPr>
        <w:ind w:firstLine="420" w:firstLineChars="200"/>
        <w:rPr>
          <w:rFonts w:ascii="宋体" w:hAnsi="宋体"/>
          <w:szCs w:val="21"/>
          <w:highlight w:val="none"/>
        </w:rPr>
      </w:pPr>
      <w:r>
        <w:rPr>
          <w:rFonts w:hint="eastAsia" w:ascii="宋体" w:hAnsi="宋体"/>
          <w:szCs w:val="21"/>
          <w:highlight w:val="none"/>
        </w:rPr>
        <w:t>2、 参加本项目的试验人员的配置必须与投标文件中的服务承诺书和试验服务组织实施方案一致。</w:t>
      </w:r>
    </w:p>
    <w:p w14:paraId="3B35854A">
      <w:pPr>
        <w:ind w:firstLine="420" w:firstLineChars="200"/>
        <w:rPr>
          <w:rFonts w:ascii="宋体" w:hAnsi="宋体"/>
          <w:szCs w:val="21"/>
          <w:highlight w:val="none"/>
        </w:rPr>
      </w:pPr>
      <w:r>
        <w:rPr>
          <w:rFonts w:hint="eastAsia" w:ascii="宋体" w:hAnsi="宋体"/>
          <w:szCs w:val="21"/>
          <w:highlight w:val="none"/>
        </w:rPr>
        <w:t>3、必须以直属试验人员参与本项目服务，不得使用挂靠队伍。</w:t>
      </w:r>
    </w:p>
    <w:p w14:paraId="221C98D0">
      <w:pPr>
        <w:ind w:firstLine="422" w:firstLineChars="200"/>
        <w:rPr>
          <w:rFonts w:ascii="宋体" w:hAnsi="宋体"/>
          <w:b/>
          <w:bCs/>
          <w:szCs w:val="21"/>
          <w:highlight w:val="none"/>
        </w:rPr>
      </w:pPr>
      <w:r>
        <w:rPr>
          <w:rFonts w:hint="eastAsia" w:ascii="宋体" w:hAnsi="宋体"/>
          <w:b/>
          <w:bCs/>
          <w:szCs w:val="21"/>
          <w:highlight w:val="none"/>
        </w:rPr>
        <w:t>第十二条  乙方服务工具要求</w:t>
      </w:r>
    </w:p>
    <w:p w14:paraId="08FE6F4A">
      <w:pPr>
        <w:ind w:firstLine="420" w:firstLineChars="200"/>
        <w:rPr>
          <w:rFonts w:ascii="宋体" w:hAnsi="宋体"/>
          <w:szCs w:val="21"/>
          <w:highlight w:val="none"/>
        </w:rPr>
      </w:pPr>
      <w:r>
        <w:rPr>
          <w:rFonts w:hint="eastAsia" w:ascii="宋体" w:hAnsi="宋体"/>
          <w:szCs w:val="21"/>
          <w:highlight w:val="none"/>
        </w:rPr>
        <w:t>1、乙方应配备中标项目所需的足够数量的仪器、仪表以及工具等设备。用户不需向乙方提供施工工具和仪器、仪表。</w:t>
      </w:r>
    </w:p>
    <w:p w14:paraId="721683CA">
      <w:pPr>
        <w:ind w:firstLine="420" w:firstLineChars="200"/>
        <w:rPr>
          <w:rFonts w:ascii="宋体" w:hAnsi="宋体"/>
          <w:szCs w:val="21"/>
          <w:highlight w:val="none"/>
        </w:rPr>
      </w:pPr>
      <w:r>
        <w:rPr>
          <w:rFonts w:hint="eastAsia" w:ascii="宋体" w:hAnsi="宋体"/>
          <w:szCs w:val="21"/>
          <w:highlight w:val="none"/>
        </w:rPr>
        <w:t>2、乙方在提供服务过程中应自备车辆。</w:t>
      </w:r>
    </w:p>
    <w:p w14:paraId="2E99F686">
      <w:pPr>
        <w:ind w:firstLine="422" w:firstLineChars="200"/>
        <w:rPr>
          <w:rFonts w:ascii="宋体" w:hAnsi="宋体"/>
          <w:b/>
          <w:bCs/>
          <w:szCs w:val="21"/>
          <w:highlight w:val="none"/>
        </w:rPr>
      </w:pPr>
      <w:r>
        <w:rPr>
          <w:rFonts w:hint="eastAsia" w:ascii="宋体" w:hAnsi="宋体"/>
          <w:b/>
          <w:bCs/>
          <w:szCs w:val="21"/>
          <w:highlight w:val="none"/>
        </w:rPr>
        <w:t>第十三条  保密要求</w:t>
      </w:r>
    </w:p>
    <w:p w14:paraId="5ABC9120">
      <w:pPr>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6234F87">
      <w:pPr>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乙方在履行合同过程中所获得或接触到的任何</w:t>
      </w:r>
      <w:r>
        <w:rPr>
          <w:rFonts w:hint="eastAsia" w:ascii="宋体" w:hAnsi="宋体"/>
          <w:szCs w:val="21"/>
          <w:highlight w:val="none"/>
        </w:rPr>
        <w:t>内部数据资料，未经甲方同意，不得向第三方透露。</w:t>
      </w:r>
    </w:p>
    <w:p w14:paraId="39ACFBA0">
      <w:pPr>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乙方</w:t>
      </w:r>
      <w:r>
        <w:rPr>
          <w:rFonts w:hint="eastAsia" w:ascii="宋体" w:hAnsi="宋体"/>
          <w:szCs w:val="21"/>
          <w:highlight w:val="none"/>
        </w:rPr>
        <w:t>实施项目的一切程序都应符合国家安全、保密的有关规定和标准。</w:t>
      </w:r>
    </w:p>
    <w:p w14:paraId="3EAC208F">
      <w:pPr>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乙方</w:t>
      </w:r>
      <w:r>
        <w:rPr>
          <w:rFonts w:hint="eastAsia" w:ascii="宋体" w:hAnsi="宋体"/>
          <w:szCs w:val="21"/>
          <w:highlight w:val="none"/>
        </w:rPr>
        <w:t>参加项目的有关人员均需同甲方签订保密协议。</w:t>
      </w:r>
    </w:p>
    <w:p w14:paraId="161A89AD">
      <w:pPr>
        <w:ind w:firstLine="422" w:firstLineChars="200"/>
        <w:rPr>
          <w:rFonts w:ascii="宋体" w:hAnsi="宋体"/>
          <w:b/>
          <w:bCs/>
          <w:szCs w:val="21"/>
          <w:highlight w:val="none"/>
        </w:rPr>
      </w:pPr>
      <w:r>
        <w:rPr>
          <w:rFonts w:hint="eastAsia" w:ascii="宋体" w:hAnsi="宋体"/>
          <w:b/>
          <w:bCs/>
          <w:szCs w:val="21"/>
          <w:highlight w:val="none"/>
        </w:rPr>
        <w:t xml:space="preserve">第十四条  验收     </w:t>
      </w:r>
    </w:p>
    <w:p w14:paraId="27FD0828">
      <w:pPr>
        <w:ind w:firstLine="420" w:firstLineChars="200"/>
        <w:rPr>
          <w:rFonts w:ascii="宋体" w:hAnsi="宋体"/>
          <w:szCs w:val="21"/>
          <w:highlight w:val="none"/>
        </w:rPr>
      </w:pPr>
      <w:r>
        <w:rPr>
          <w:rFonts w:hint="eastAsia" w:ascii="宋体" w:hAnsi="宋体"/>
          <w:szCs w:val="21"/>
          <w:highlight w:val="none"/>
        </w:rPr>
        <w:t>1、下列文件的验收分为</w:t>
      </w:r>
      <w:r>
        <w:rPr>
          <w:rFonts w:hint="eastAsia" w:ascii="宋体" w:hAnsi="宋体"/>
          <w:szCs w:val="21"/>
          <w:highlight w:val="none"/>
          <w:u w:val="single"/>
        </w:rPr>
        <w:t xml:space="preserve">          三</w:t>
      </w:r>
      <w:r>
        <w:rPr>
          <w:rFonts w:hint="eastAsia" w:ascii="宋体" w:hAnsi="宋体"/>
          <w:szCs w:val="21"/>
          <w:highlight w:val="none"/>
        </w:rPr>
        <w:t>个阶段:</w:t>
      </w:r>
    </w:p>
    <w:p w14:paraId="5CA8C606">
      <w:pPr>
        <w:ind w:firstLine="420" w:firstLineChars="200"/>
        <w:rPr>
          <w:rFonts w:ascii="宋体" w:hAnsi="宋体"/>
          <w:szCs w:val="21"/>
          <w:highlight w:val="none"/>
        </w:rPr>
      </w:pPr>
      <w:r>
        <w:rPr>
          <w:rFonts w:hint="eastAsia" w:ascii="宋体" w:hAnsi="宋体"/>
          <w:szCs w:val="21"/>
          <w:highlight w:val="none"/>
        </w:rPr>
        <w:t>2、其余文件和工作由用户组织有关技术人员根据国家和行业有关规范、规程、标准和用户需求直接验收。</w:t>
      </w:r>
    </w:p>
    <w:p w14:paraId="459A8C66">
      <w:pPr>
        <w:ind w:firstLine="420" w:firstLineChars="200"/>
        <w:rPr>
          <w:rFonts w:ascii="宋体" w:hAnsi="宋体"/>
          <w:szCs w:val="21"/>
          <w:highlight w:val="none"/>
        </w:rPr>
      </w:pPr>
      <w:r>
        <w:rPr>
          <w:rFonts w:hint="eastAsia" w:ascii="宋体" w:hAnsi="宋体"/>
          <w:szCs w:val="21"/>
          <w:highlight w:val="none"/>
        </w:rPr>
        <w:t>3、验收依据为招标文件、投标文件，国家和行业有关规范、规程和标准。</w:t>
      </w:r>
    </w:p>
    <w:p w14:paraId="310C7551">
      <w:pPr>
        <w:ind w:firstLine="422" w:firstLineChars="200"/>
        <w:rPr>
          <w:rFonts w:ascii="宋体" w:hAnsi="宋体"/>
          <w:b/>
          <w:bCs/>
          <w:szCs w:val="21"/>
          <w:highlight w:val="none"/>
        </w:rPr>
      </w:pPr>
      <w:r>
        <w:rPr>
          <w:rFonts w:hint="eastAsia" w:ascii="宋体" w:hAnsi="宋体"/>
          <w:b/>
          <w:bCs/>
          <w:szCs w:val="21"/>
          <w:highlight w:val="none"/>
        </w:rPr>
        <w:t>第十五条  付款方式</w:t>
      </w:r>
    </w:p>
    <w:p w14:paraId="768F840E">
      <w:pPr>
        <w:ind w:firstLine="420" w:firstLineChars="200"/>
        <w:rPr>
          <w:rFonts w:ascii="宋体" w:hAnsi="宋体"/>
          <w:szCs w:val="21"/>
          <w:highlight w:val="none"/>
        </w:rPr>
      </w:pPr>
      <w:r>
        <w:rPr>
          <w:rFonts w:hint="eastAsia" w:ascii="宋体" w:hAnsi="宋体"/>
          <w:szCs w:val="21"/>
          <w:highlight w:val="none"/>
        </w:rPr>
        <w:t>1、合同签订后   天内乙方向甲方开具合法有效的发票后，甲方于   天内向乙方支付合同总价%的款项。</w:t>
      </w:r>
    </w:p>
    <w:p w14:paraId="2697391E">
      <w:pPr>
        <w:ind w:firstLine="420" w:firstLineChars="200"/>
        <w:rPr>
          <w:rFonts w:ascii="宋体" w:hAnsi="宋体"/>
          <w:szCs w:val="21"/>
          <w:highlight w:val="none"/>
        </w:rPr>
      </w:pPr>
      <w:r>
        <w:rPr>
          <w:rFonts w:hint="eastAsia" w:ascii="宋体" w:hAnsi="宋体"/>
          <w:szCs w:val="21"/>
          <w:highlight w:val="none"/>
        </w:rPr>
        <w:t>2、检测完成并提交评估报告后  天内，乙方向甲方开具合法有效发票后 天，甲方向乙方支付合同总价%的款项。</w:t>
      </w:r>
    </w:p>
    <w:p w14:paraId="7AB9B3CE">
      <w:pPr>
        <w:ind w:firstLine="420" w:firstLineChars="200"/>
        <w:rPr>
          <w:rFonts w:ascii="宋体" w:hAnsi="宋体"/>
          <w:szCs w:val="21"/>
          <w:highlight w:val="none"/>
        </w:rPr>
      </w:pPr>
      <w:r>
        <w:rPr>
          <w:rFonts w:hint="eastAsia" w:ascii="宋体" w:hAnsi="宋体"/>
          <w:szCs w:val="21"/>
          <w:highlight w:val="none"/>
        </w:rPr>
        <w:t>3、报告通过专家评审后，甲方向乙方支付合同总价%的款项。</w:t>
      </w:r>
    </w:p>
    <w:p w14:paraId="5B6E2CC5">
      <w:pPr>
        <w:ind w:firstLine="422" w:firstLineChars="200"/>
        <w:rPr>
          <w:rFonts w:ascii="宋体" w:hAnsi="宋体"/>
          <w:b/>
          <w:bCs/>
          <w:szCs w:val="21"/>
          <w:highlight w:val="none"/>
        </w:rPr>
      </w:pPr>
      <w:r>
        <w:rPr>
          <w:rFonts w:hint="eastAsia" w:ascii="宋体" w:hAnsi="宋体"/>
          <w:b/>
          <w:bCs/>
          <w:szCs w:val="21"/>
          <w:highlight w:val="none"/>
        </w:rPr>
        <w:t>第十六条  争议解决办法</w:t>
      </w:r>
    </w:p>
    <w:p w14:paraId="5F5FEBB2">
      <w:pPr>
        <w:ind w:firstLine="420" w:firstLineChars="200"/>
        <w:rPr>
          <w:rFonts w:ascii="宋体" w:hAnsi="宋体"/>
          <w:szCs w:val="21"/>
          <w:highlight w:val="none"/>
        </w:rPr>
      </w:pPr>
      <w:r>
        <w:rPr>
          <w:rFonts w:hint="eastAsia" w:ascii="宋体" w:hAnsi="宋体"/>
          <w:szCs w:val="21"/>
          <w:highlight w:val="none"/>
        </w:rPr>
        <w:t>执行本合同发生的争议，由甲乙双方协商解决，如协商不成的，应提交甲方所在地人民法院诉讼解决。</w:t>
      </w:r>
    </w:p>
    <w:p w14:paraId="4F8A6BB8">
      <w:pPr>
        <w:ind w:firstLine="422" w:firstLineChars="200"/>
        <w:rPr>
          <w:rFonts w:ascii="宋体" w:hAnsi="宋体"/>
          <w:b/>
          <w:bCs/>
          <w:szCs w:val="21"/>
          <w:highlight w:val="none"/>
        </w:rPr>
      </w:pPr>
      <w:r>
        <w:rPr>
          <w:rFonts w:hint="eastAsia" w:ascii="宋体" w:hAnsi="宋体"/>
          <w:b/>
          <w:bCs/>
          <w:szCs w:val="21"/>
          <w:highlight w:val="none"/>
        </w:rPr>
        <w:t>第十七条  风险责任</w:t>
      </w:r>
    </w:p>
    <w:p w14:paraId="05D55B73">
      <w:pPr>
        <w:ind w:firstLine="420" w:firstLineChars="200"/>
        <w:rPr>
          <w:rFonts w:ascii="宋体" w:hAnsi="宋体"/>
          <w:szCs w:val="21"/>
          <w:highlight w:val="none"/>
        </w:rPr>
      </w:pPr>
      <w:r>
        <w:rPr>
          <w:rFonts w:hint="eastAsia" w:ascii="宋体" w:hAnsi="宋体"/>
          <w:szCs w:val="21"/>
          <w:highlight w:val="none"/>
        </w:rPr>
        <w:t>１、乙方应完全地按照招标文件的要求和乙方投标文件的承诺完成本项目，出于自身财务、技术、人力等原因导致项目失败的，应承担全部责任。</w:t>
      </w:r>
    </w:p>
    <w:p w14:paraId="05BE84A6">
      <w:pPr>
        <w:ind w:firstLine="420" w:firstLineChars="200"/>
        <w:rPr>
          <w:rFonts w:ascii="宋体" w:hAnsi="宋体"/>
          <w:szCs w:val="21"/>
          <w:highlight w:val="none"/>
        </w:rPr>
      </w:pPr>
      <w:r>
        <w:rPr>
          <w:rFonts w:hint="eastAsia" w:ascii="宋体" w:hAnsi="宋体"/>
          <w:szCs w:val="21"/>
          <w:highlight w:val="none"/>
        </w:rPr>
        <w:t>2、乙方在实施荷载试验过程中应对自身的安全生产负责，若非因甲方原因发生的各种事故甲方不承担任何责任。</w:t>
      </w:r>
    </w:p>
    <w:p w14:paraId="2297E395">
      <w:pPr>
        <w:ind w:firstLine="422" w:firstLineChars="200"/>
        <w:rPr>
          <w:rFonts w:ascii="宋体" w:hAnsi="宋体"/>
          <w:b/>
          <w:bCs/>
          <w:szCs w:val="21"/>
          <w:highlight w:val="none"/>
        </w:rPr>
      </w:pPr>
      <w:r>
        <w:rPr>
          <w:rFonts w:hint="eastAsia" w:ascii="宋体" w:hAnsi="宋体"/>
          <w:b/>
          <w:bCs/>
          <w:szCs w:val="21"/>
          <w:highlight w:val="none"/>
        </w:rPr>
        <w:t>第十八条  违约责任</w:t>
      </w:r>
    </w:p>
    <w:p w14:paraId="2C550FA2">
      <w:pPr>
        <w:pStyle w:val="20"/>
        <w:spacing w:line="240" w:lineRule="auto"/>
        <w:rPr>
          <w:rFonts w:ascii="宋体" w:hAnsi="宋体"/>
          <w:szCs w:val="21"/>
          <w:highlight w:val="none"/>
        </w:rPr>
      </w:pPr>
      <w:r>
        <w:rPr>
          <w:rFonts w:hint="eastAsia" w:ascii="宋体" w:hAnsi="宋体"/>
          <w:szCs w:val="21"/>
          <w:highlight w:val="none"/>
        </w:rPr>
        <w:t>１、因乙方原因，未能按规定时间完成有关工作的，每延误一天，甲方可在支付合同余款中扣除合同价款千分之一。</w:t>
      </w:r>
    </w:p>
    <w:p w14:paraId="7EC11227">
      <w:pPr>
        <w:ind w:firstLine="420" w:firstLineChars="200"/>
        <w:rPr>
          <w:rFonts w:ascii="宋体" w:hAnsi="宋体"/>
          <w:szCs w:val="21"/>
          <w:highlight w:val="none"/>
        </w:rPr>
      </w:pPr>
      <w:r>
        <w:rPr>
          <w:rFonts w:hint="eastAsia" w:ascii="宋体" w:hAnsi="宋体"/>
          <w:szCs w:val="21"/>
          <w:highlight w:val="none"/>
        </w:rPr>
        <w:t>2、由于乙方原因造成试验成果质量低劣，不能满足大纲要求时，应继续完善试验工作，其费用由乙方承担。</w:t>
      </w:r>
    </w:p>
    <w:p w14:paraId="624DC6E5">
      <w:pPr>
        <w:ind w:firstLine="420" w:firstLineChars="200"/>
        <w:rPr>
          <w:rFonts w:ascii="宋体" w:hAnsi="宋体"/>
          <w:szCs w:val="21"/>
          <w:highlight w:val="none"/>
        </w:rPr>
      </w:pPr>
      <w:r>
        <w:rPr>
          <w:rFonts w:hint="eastAsia" w:ascii="宋体" w:hAnsi="宋体"/>
          <w:szCs w:val="21"/>
          <w:highlight w:val="none"/>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5F2FFD43">
      <w:pPr>
        <w:ind w:firstLine="420" w:firstLineChars="200"/>
        <w:rPr>
          <w:rFonts w:ascii="宋体" w:hAnsi="宋体"/>
          <w:szCs w:val="21"/>
          <w:highlight w:val="none"/>
        </w:rPr>
      </w:pPr>
      <w:r>
        <w:rPr>
          <w:rFonts w:hint="eastAsia" w:ascii="宋体" w:hAnsi="宋体"/>
          <w:szCs w:val="21"/>
          <w:highlight w:val="none"/>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39BF8103">
      <w:pPr>
        <w:ind w:firstLine="420" w:firstLineChars="200"/>
        <w:rPr>
          <w:rFonts w:ascii="宋体" w:hAnsi="宋体"/>
          <w:szCs w:val="21"/>
          <w:highlight w:val="none"/>
        </w:rPr>
      </w:pPr>
      <w:r>
        <w:rPr>
          <w:rFonts w:hint="eastAsia" w:ascii="宋体" w:hAnsi="宋体"/>
          <w:szCs w:val="21"/>
          <w:highlight w:val="none"/>
        </w:rPr>
        <w:t>5、乙方或其工作人员违反本合同约定的保密义务，甲方有权要求乙方按合同总额   %支付违约金；造成不良影响或对甲方造成损失的，甲方有权要求乙方消除影响，承担赔偿责任，并有权解除合同。</w:t>
      </w:r>
    </w:p>
    <w:p w14:paraId="4A63AF18">
      <w:pPr>
        <w:ind w:firstLine="420" w:firstLineChars="200"/>
        <w:rPr>
          <w:rFonts w:ascii="宋体" w:hAnsi="宋体"/>
          <w:szCs w:val="21"/>
          <w:highlight w:val="none"/>
        </w:rPr>
      </w:pPr>
      <w:r>
        <w:rPr>
          <w:rFonts w:hint="eastAsia" w:ascii="宋体" w:hAnsi="宋体"/>
          <w:szCs w:val="21"/>
          <w:highlight w:val="none"/>
        </w:rPr>
        <w:t>6、因乙方提供的服务成果受到侵权指控或者引发法律纠纷，影响甲方使用服务成果或者导致合同目的不能实现的，甲方有权要求乙方按合同总额   %支付违约金，并有权解除合同。</w:t>
      </w:r>
    </w:p>
    <w:p w14:paraId="50179174">
      <w:pPr>
        <w:ind w:firstLine="422" w:firstLineChars="200"/>
        <w:rPr>
          <w:rFonts w:ascii="宋体" w:hAnsi="宋体"/>
          <w:b/>
          <w:bCs/>
          <w:szCs w:val="21"/>
          <w:highlight w:val="none"/>
        </w:rPr>
      </w:pPr>
      <w:r>
        <w:rPr>
          <w:rFonts w:hint="eastAsia" w:ascii="宋体" w:hAnsi="宋体"/>
          <w:b/>
          <w:bCs/>
          <w:szCs w:val="21"/>
          <w:highlight w:val="none"/>
        </w:rPr>
        <w:t>第十九条  其他</w:t>
      </w:r>
    </w:p>
    <w:p w14:paraId="3F380261">
      <w:pPr>
        <w:ind w:firstLine="420" w:firstLineChars="200"/>
        <w:rPr>
          <w:rFonts w:hint="eastAsia" w:ascii="宋体" w:hAnsi="宋体"/>
          <w:szCs w:val="21"/>
          <w:highlight w:val="none"/>
        </w:rPr>
      </w:pPr>
      <w:r>
        <w:rPr>
          <w:rFonts w:hint="eastAsia" w:ascii="宋体" w:hAnsi="宋体"/>
          <w:szCs w:val="21"/>
          <w:highlight w:val="none"/>
        </w:rPr>
        <w:t>1、本协议书与下列文件一起构成合同文件，如下述文件之间有任何抵触、矛盾或歧义，应按以下顺序解释：</w:t>
      </w:r>
    </w:p>
    <w:p w14:paraId="123C3278">
      <w:pPr>
        <w:ind w:firstLine="420" w:firstLineChars="200"/>
        <w:rPr>
          <w:rFonts w:hint="eastAsia" w:ascii="宋体" w:hAnsi="宋体"/>
          <w:szCs w:val="21"/>
          <w:highlight w:val="none"/>
        </w:rPr>
      </w:pPr>
      <w:r>
        <w:rPr>
          <w:rFonts w:hint="eastAsia" w:ascii="宋体" w:hAnsi="宋体"/>
          <w:szCs w:val="21"/>
          <w:highlight w:val="none"/>
        </w:rPr>
        <w:t>（1）政府采购合同协议书及其变更、补充协议</w:t>
      </w:r>
    </w:p>
    <w:p w14:paraId="468B94E2">
      <w:pPr>
        <w:ind w:firstLine="420" w:firstLineChars="200"/>
        <w:rPr>
          <w:rFonts w:hint="eastAsia" w:ascii="宋体" w:hAnsi="宋体"/>
          <w:szCs w:val="21"/>
          <w:highlight w:val="none"/>
        </w:rPr>
      </w:pPr>
      <w:r>
        <w:rPr>
          <w:rFonts w:hint="eastAsia" w:ascii="宋体" w:hAnsi="宋体"/>
          <w:szCs w:val="21"/>
          <w:highlight w:val="none"/>
        </w:rPr>
        <w:t>（2）政府采购合同专用条款</w:t>
      </w:r>
    </w:p>
    <w:p w14:paraId="2C21FC47">
      <w:pPr>
        <w:ind w:firstLine="420" w:firstLineChars="200"/>
        <w:rPr>
          <w:rFonts w:hint="eastAsia" w:ascii="宋体" w:hAnsi="宋体"/>
          <w:szCs w:val="21"/>
          <w:highlight w:val="none"/>
        </w:rPr>
      </w:pPr>
      <w:r>
        <w:rPr>
          <w:rFonts w:hint="eastAsia" w:ascii="宋体" w:hAnsi="宋体"/>
          <w:szCs w:val="21"/>
          <w:highlight w:val="none"/>
        </w:rPr>
        <w:t>（3）政府采购合同通用条款</w:t>
      </w:r>
    </w:p>
    <w:p w14:paraId="5CC1DEA1">
      <w:pPr>
        <w:ind w:firstLine="420" w:firstLineChars="200"/>
        <w:rPr>
          <w:rFonts w:hint="eastAsia" w:ascii="宋体" w:hAnsi="宋体"/>
          <w:szCs w:val="21"/>
          <w:highlight w:val="none"/>
        </w:rPr>
      </w:pPr>
      <w:r>
        <w:rPr>
          <w:rFonts w:hint="eastAsia" w:ascii="宋体" w:hAnsi="宋体"/>
          <w:szCs w:val="21"/>
          <w:highlight w:val="none"/>
        </w:rPr>
        <w:t>（4）中标（成交）通知书</w:t>
      </w:r>
    </w:p>
    <w:p w14:paraId="6226DFF5">
      <w:pPr>
        <w:ind w:firstLine="420" w:firstLineChars="200"/>
        <w:rPr>
          <w:rFonts w:hint="eastAsia" w:ascii="宋体" w:hAnsi="宋体"/>
          <w:szCs w:val="21"/>
          <w:highlight w:val="none"/>
        </w:rPr>
      </w:pPr>
      <w:r>
        <w:rPr>
          <w:rFonts w:hint="eastAsia" w:ascii="宋体" w:hAnsi="宋体"/>
          <w:szCs w:val="21"/>
          <w:highlight w:val="none"/>
        </w:rPr>
        <w:t>（5）投标（响应）文件</w:t>
      </w:r>
    </w:p>
    <w:p w14:paraId="01DFEBE2">
      <w:pPr>
        <w:ind w:firstLine="420" w:firstLineChars="200"/>
        <w:rPr>
          <w:rFonts w:hint="eastAsia" w:ascii="宋体" w:hAnsi="宋体"/>
          <w:szCs w:val="21"/>
          <w:highlight w:val="none"/>
        </w:rPr>
      </w:pPr>
      <w:r>
        <w:rPr>
          <w:rFonts w:hint="eastAsia" w:ascii="宋体" w:hAnsi="宋体"/>
          <w:szCs w:val="21"/>
          <w:highlight w:val="none"/>
        </w:rPr>
        <w:t>（6）采购文件</w:t>
      </w:r>
    </w:p>
    <w:p w14:paraId="4070E698">
      <w:pPr>
        <w:ind w:firstLine="420" w:firstLineChars="200"/>
        <w:rPr>
          <w:rFonts w:hint="eastAsia" w:ascii="宋体" w:hAnsi="宋体"/>
          <w:szCs w:val="21"/>
          <w:highlight w:val="none"/>
        </w:rPr>
      </w:pPr>
      <w:r>
        <w:rPr>
          <w:rFonts w:hint="eastAsia" w:ascii="宋体" w:hAnsi="宋体"/>
          <w:szCs w:val="21"/>
          <w:highlight w:val="none"/>
        </w:rPr>
        <w:t>（7）有关技术文件，图纸</w:t>
      </w:r>
    </w:p>
    <w:p w14:paraId="1C2BA495">
      <w:pPr>
        <w:ind w:firstLine="420" w:firstLineChars="200"/>
        <w:rPr>
          <w:rFonts w:ascii="宋体" w:hAnsi="宋体"/>
          <w:szCs w:val="21"/>
          <w:highlight w:val="none"/>
        </w:rPr>
      </w:pPr>
      <w:r>
        <w:rPr>
          <w:rFonts w:hint="eastAsia" w:ascii="宋体" w:hAnsi="宋体"/>
          <w:szCs w:val="21"/>
          <w:highlight w:val="none"/>
        </w:rPr>
        <w:t>（8）国家法律、行政法规和规章制度规定或合同约定的作为合同组成部分的其他文件。</w:t>
      </w:r>
    </w:p>
    <w:p w14:paraId="712C6D32">
      <w:pPr>
        <w:ind w:firstLine="420" w:firstLineChars="200"/>
        <w:rPr>
          <w:rFonts w:ascii="宋体" w:hAnsi="宋体"/>
          <w:szCs w:val="21"/>
          <w:highlight w:val="none"/>
        </w:rPr>
      </w:pPr>
      <w:r>
        <w:rPr>
          <w:rFonts w:hint="eastAsia" w:ascii="宋体" w:hAnsi="宋体"/>
          <w:szCs w:val="21"/>
          <w:highlight w:val="none"/>
        </w:rPr>
        <w:t>2、下列文件均为本合同的组成部分：</w:t>
      </w:r>
    </w:p>
    <w:p w14:paraId="7C084D2C">
      <w:pPr>
        <w:ind w:firstLine="420" w:firstLineChars="200"/>
        <w:rPr>
          <w:rFonts w:ascii="宋体" w:hAnsi="宋体"/>
          <w:szCs w:val="21"/>
          <w:highlight w:val="none"/>
        </w:rPr>
      </w:pPr>
      <w:r>
        <w:rPr>
          <w:rFonts w:hint="eastAsia" w:ascii="宋体" w:hAnsi="宋体"/>
          <w:szCs w:val="21"/>
          <w:highlight w:val="none"/>
        </w:rPr>
        <w:t>（1）号招标文件、答疑及补充通知；</w:t>
      </w:r>
    </w:p>
    <w:p w14:paraId="09E7EEAD">
      <w:pPr>
        <w:ind w:firstLine="420" w:firstLineChars="200"/>
        <w:rPr>
          <w:rFonts w:ascii="宋体" w:hAnsi="宋体"/>
          <w:szCs w:val="21"/>
          <w:highlight w:val="none"/>
        </w:rPr>
      </w:pPr>
      <w:r>
        <w:rPr>
          <w:rFonts w:hint="eastAsia" w:ascii="宋体" w:hAnsi="宋体"/>
          <w:szCs w:val="21"/>
          <w:highlight w:val="none"/>
        </w:rPr>
        <w:t>（2）投标文件；</w:t>
      </w:r>
    </w:p>
    <w:p w14:paraId="493A57DD">
      <w:pPr>
        <w:ind w:firstLine="420" w:firstLineChars="200"/>
        <w:rPr>
          <w:rFonts w:ascii="宋体" w:hAnsi="宋体"/>
          <w:szCs w:val="21"/>
          <w:highlight w:val="none"/>
        </w:rPr>
      </w:pPr>
      <w:r>
        <w:rPr>
          <w:rFonts w:hint="eastAsia" w:ascii="宋体" w:hAnsi="宋体"/>
          <w:szCs w:val="21"/>
          <w:highlight w:val="none"/>
        </w:rPr>
        <w:t>（3）本合同执行中共同签署的补充与修正文件。</w:t>
      </w:r>
    </w:p>
    <w:p w14:paraId="05AA73CF">
      <w:pPr>
        <w:ind w:firstLine="420" w:firstLineChars="200"/>
        <w:rPr>
          <w:rFonts w:ascii="宋体" w:hAnsi="宋体"/>
          <w:szCs w:val="21"/>
          <w:highlight w:val="none"/>
        </w:rPr>
      </w:pPr>
      <w:r>
        <w:rPr>
          <w:rFonts w:hint="eastAsia" w:ascii="宋体" w:hAnsi="宋体"/>
          <w:szCs w:val="21"/>
          <w:highlight w:val="none"/>
        </w:rPr>
        <w:t>本合同一式份，甲、乙方双方各执份，具有同等法律效力。本合同自双方法人代表签字（盖章）认可之日起生效。</w:t>
      </w:r>
    </w:p>
    <w:p w14:paraId="128123E4">
      <w:pPr>
        <w:ind w:firstLine="420" w:firstLineChars="200"/>
        <w:rPr>
          <w:rFonts w:ascii="宋体" w:hAnsi="宋体"/>
          <w:szCs w:val="21"/>
          <w:highlight w:val="none"/>
        </w:rPr>
      </w:pPr>
      <w:r>
        <w:rPr>
          <w:rFonts w:hint="eastAsia" w:ascii="宋体" w:hAnsi="宋体"/>
          <w:szCs w:val="21"/>
          <w:highlight w:val="none"/>
        </w:rPr>
        <w:t>本合同未尽事宜，双方友好协商，达成解决方案，经双方签字后，可作为本合同的有效附件。</w:t>
      </w:r>
    </w:p>
    <w:p w14:paraId="7833AF76">
      <w:pPr>
        <w:ind w:firstLine="420" w:firstLineChars="200"/>
        <w:rPr>
          <w:rFonts w:ascii="宋体" w:hAnsi="宋体"/>
          <w:szCs w:val="21"/>
          <w:highlight w:val="none"/>
        </w:rPr>
      </w:pPr>
    </w:p>
    <w:p w14:paraId="08B8D56A">
      <w:pPr>
        <w:ind w:firstLine="420" w:firstLineChars="200"/>
        <w:rPr>
          <w:rFonts w:ascii="宋体" w:hAnsi="宋体"/>
          <w:szCs w:val="21"/>
          <w:highlight w:val="none"/>
        </w:rPr>
      </w:pPr>
    </w:p>
    <w:p w14:paraId="2302E183">
      <w:pPr>
        <w:spacing w:line="360" w:lineRule="auto"/>
        <w:ind w:firstLine="560"/>
        <w:jc w:val="left"/>
        <w:rPr>
          <w:rFonts w:ascii="宋体" w:hAnsi="宋体"/>
          <w:szCs w:val="21"/>
          <w:highlight w:val="none"/>
        </w:rPr>
      </w:pPr>
      <w:r>
        <w:rPr>
          <w:rFonts w:hint="eastAsia" w:ascii="宋体" w:hAnsi="宋体"/>
          <w:szCs w:val="21"/>
          <w:highlight w:val="none"/>
        </w:rPr>
        <w:t>甲方（采购人）：   （盖章）       乙方（供应商）：    （盖章）</w:t>
      </w:r>
    </w:p>
    <w:p w14:paraId="5159E755">
      <w:pPr>
        <w:spacing w:line="360" w:lineRule="auto"/>
        <w:ind w:firstLine="560"/>
        <w:jc w:val="left"/>
        <w:rPr>
          <w:rFonts w:ascii="宋体" w:hAnsi="宋体"/>
          <w:szCs w:val="21"/>
          <w:highlight w:val="none"/>
        </w:rPr>
      </w:pPr>
      <w:r>
        <w:rPr>
          <w:rFonts w:hint="eastAsia" w:ascii="宋体" w:hAnsi="宋体"/>
          <w:szCs w:val="21"/>
          <w:highlight w:val="none"/>
        </w:rPr>
        <w:t xml:space="preserve">法定代表人：                     法定代表人： </w:t>
      </w:r>
    </w:p>
    <w:p w14:paraId="5F3CB2AA">
      <w:pPr>
        <w:spacing w:line="360" w:lineRule="auto"/>
        <w:ind w:firstLine="560"/>
        <w:jc w:val="left"/>
        <w:rPr>
          <w:rFonts w:ascii="宋体" w:hAnsi="宋体"/>
          <w:szCs w:val="21"/>
          <w:highlight w:val="none"/>
        </w:rPr>
      </w:pPr>
      <w:r>
        <w:rPr>
          <w:rFonts w:hint="eastAsia" w:ascii="宋体" w:hAnsi="宋体"/>
          <w:szCs w:val="21"/>
          <w:highlight w:val="none"/>
        </w:rPr>
        <w:t>委托代理人：                     委托代理人：</w:t>
      </w:r>
    </w:p>
    <w:p w14:paraId="03204D7C">
      <w:pPr>
        <w:ind w:firstLine="420" w:firstLineChars="200"/>
        <w:rPr>
          <w:rFonts w:ascii="宋体" w:hAnsi="宋体"/>
          <w:szCs w:val="21"/>
          <w:highlight w:val="none"/>
        </w:rPr>
      </w:pPr>
      <w:r>
        <w:rPr>
          <w:rFonts w:hint="eastAsia" w:ascii="宋体" w:hAnsi="宋体"/>
          <w:szCs w:val="21"/>
          <w:highlight w:val="none"/>
        </w:rPr>
        <w:t>日期：   年     月    日         日期：   年     月    日</w:t>
      </w:r>
    </w:p>
    <w:p w14:paraId="448E04DE">
      <w:pPr>
        <w:ind w:firstLine="420" w:firstLineChars="200"/>
        <w:rPr>
          <w:rFonts w:ascii="宋体" w:hAnsi="宋体"/>
          <w:szCs w:val="21"/>
          <w:highlight w:val="none"/>
        </w:rPr>
      </w:pPr>
    </w:p>
    <w:p w14:paraId="1F9DDA71">
      <w:pPr>
        <w:ind w:firstLine="420" w:firstLineChars="200"/>
        <w:rPr>
          <w:rFonts w:ascii="宋体" w:hAnsi="宋体"/>
          <w:szCs w:val="21"/>
          <w:highlight w:val="none"/>
        </w:rPr>
      </w:pPr>
    </w:p>
    <w:p w14:paraId="0401A13F">
      <w:pPr>
        <w:ind w:firstLine="420" w:firstLineChars="200"/>
        <w:rPr>
          <w:rFonts w:ascii="宋体" w:hAnsi="宋体"/>
          <w:szCs w:val="21"/>
          <w:highlight w:val="none"/>
        </w:rPr>
      </w:pPr>
    </w:p>
    <w:p w14:paraId="46A88940">
      <w:pPr>
        <w:ind w:firstLine="420" w:firstLineChars="200"/>
        <w:rPr>
          <w:rFonts w:ascii="宋体" w:hAnsi="宋体"/>
          <w:szCs w:val="21"/>
          <w:highlight w:val="none"/>
        </w:rPr>
      </w:pPr>
    </w:p>
    <w:p w14:paraId="492A22B1">
      <w:pPr>
        <w:ind w:firstLine="420" w:firstLineChars="200"/>
        <w:rPr>
          <w:rFonts w:ascii="宋体" w:hAnsi="宋体"/>
          <w:szCs w:val="21"/>
          <w:highlight w:val="none"/>
        </w:rPr>
      </w:pPr>
    </w:p>
    <w:p w14:paraId="12941C3B">
      <w:pPr>
        <w:widowControl/>
        <w:jc w:val="left"/>
        <w:rPr>
          <w:rFonts w:ascii="宋体" w:hAnsi="宋体"/>
          <w:szCs w:val="21"/>
          <w:highlight w:val="none"/>
        </w:rPr>
      </w:pPr>
      <w:r>
        <w:rPr>
          <w:rFonts w:ascii="宋体" w:hAnsi="宋体"/>
          <w:szCs w:val="21"/>
          <w:highlight w:val="none"/>
        </w:rPr>
        <w:br w:type="page"/>
      </w:r>
    </w:p>
    <w:p w14:paraId="4DF45A7E">
      <w:pPr>
        <w:pStyle w:val="7"/>
        <w:spacing w:before="120" w:beforeLines="50" w:after="120" w:afterLines="50"/>
        <w:ind w:left="562"/>
        <w:rPr>
          <w:sz w:val="28"/>
          <w:szCs w:val="28"/>
          <w:highlight w:val="none"/>
        </w:rPr>
      </w:pPr>
      <w:r>
        <w:rPr>
          <w:rFonts w:hint="eastAsia"/>
          <w:sz w:val="28"/>
          <w:szCs w:val="28"/>
          <w:highlight w:val="none"/>
        </w:rPr>
        <w:t>第二册  通用条款（公开招标）</w:t>
      </w:r>
    </w:p>
    <w:p w14:paraId="0C3900CB">
      <w:pPr>
        <w:pStyle w:val="7"/>
        <w:numPr>
          <w:ilvl w:val="0"/>
          <w:numId w:val="8"/>
        </w:numPr>
        <w:spacing w:before="120" w:beforeLines="50" w:after="120" w:afterLines="50"/>
        <w:ind w:left="562" w:hanging="562"/>
        <w:rPr>
          <w:sz w:val="28"/>
          <w:szCs w:val="28"/>
          <w:highlight w:val="none"/>
        </w:rPr>
      </w:pPr>
      <w:bookmarkStart w:id="44" w:name="_Hlk72399513"/>
      <w:r>
        <w:rPr>
          <w:rFonts w:hint="eastAsia"/>
          <w:sz w:val="28"/>
          <w:szCs w:val="28"/>
          <w:highlight w:val="none"/>
        </w:rPr>
        <w:t>总则</w:t>
      </w:r>
    </w:p>
    <w:bookmarkEnd w:id="44"/>
    <w:p w14:paraId="48F42AAD">
      <w:pPr>
        <w:rPr>
          <w:rFonts w:ascii="黑体" w:hAnsi="宋体" w:eastAsia="黑体"/>
          <w:sz w:val="24"/>
          <w:highlight w:val="none"/>
        </w:rPr>
      </w:pPr>
      <w:r>
        <w:rPr>
          <w:rFonts w:hint="eastAsia" w:ascii="黑体" w:hAnsi="宋体" w:eastAsia="黑体"/>
          <w:sz w:val="24"/>
          <w:highlight w:val="none"/>
        </w:rPr>
        <w:t>1. 通用条款说明</w:t>
      </w:r>
    </w:p>
    <w:p w14:paraId="1BC67BD1">
      <w:pPr>
        <w:ind w:firstLine="411" w:firstLineChars="196"/>
        <w:rPr>
          <w:rFonts w:ascii="宋体" w:hAnsi="宋体"/>
          <w:szCs w:val="21"/>
          <w:highlight w:val="none"/>
        </w:rPr>
      </w:pPr>
      <w:r>
        <w:rPr>
          <w:rFonts w:hint="eastAsia" w:ascii="宋体" w:hAnsi="宋体"/>
          <w:szCs w:val="21"/>
          <w:highlight w:val="none"/>
        </w:rPr>
        <w:t>1.1政府集中采购机构发出招标文件通用条款版本，列出深圳市政府采购项目进行招标采购所适用的通用条款内容。</w:t>
      </w:r>
      <w:bookmarkStart w:id="45" w:name="_Hlk72399729"/>
      <w:r>
        <w:rPr>
          <w:rFonts w:hint="eastAsia" w:ascii="宋体" w:hAnsi="宋体"/>
          <w:szCs w:val="21"/>
          <w:highlight w:val="none"/>
        </w:rPr>
        <w:t>如有需要，政府集中采购机构可以对通用条款的内容进行补充。</w:t>
      </w:r>
      <w:bookmarkEnd w:id="45"/>
    </w:p>
    <w:p w14:paraId="68923347">
      <w:pPr>
        <w:ind w:firstLine="411" w:firstLineChars="196"/>
        <w:rPr>
          <w:rFonts w:ascii="宋体" w:hAnsi="宋体"/>
          <w:szCs w:val="21"/>
          <w:highlight w:val="none"/>
        </w:rPr>
      </w:pPr>
      <w:r>
        <w:rPr>
          <w:rFonts w:hint="eastAsia" w:ascii="宋体" w:hAnsi="宋体"/>
          <w:szCs w:val="21"/>
          <w:highlight w:val="none"/>
        </w:rPr>
        <w:t>1.2招标文件分为第一册“专用条款”和第二册“通用条款”。</w:t>
      </w:r>
    </w:p>
    <w:p w14:paraId="14C0F080">
      <w:pPr>
        <w:ind w:firstLine="411" w:firstLineChars="196"/>
        <w:rPr>
          <w:rFonts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14:paraId="701CD768">
      <w:pPr>
        <w:ind w:firstLine="411" w:firstLineChars="196"/>
        <w:rPr>
          <w:rFonts w:ascii="宋体" w:hAnsi="宋体"/>
          <w:szCs w:val="21"/>
          <w:highlight w:val="none"/>
        </w:rPr>
      </w:pPr>
      <w:r>
        <w:rPr>
          <w:rFonts w:hint="eastAsia" w:ascii="宋体" w:hAnsi="宋体"/>
          <w:szCs w:val="21"/>
          <w:highlight w:val="none"/>
        </w:rPr>
        <w:t>1.4“通用条款”是适用于政府采购公开招标项目的基础性条款，具有普遍性和通用性。</w:t>
      </w:r>
    </w:p>
    <w:p w14:paraId="7D14A799">
      <w:pPr>
        <w:ind w:firstLine="411" w:firstLineChars="196"/>
        <w:rPr>
          <w:rFonts w:ascii="宋体" w:hAnsi="宋体"/>
          <w:szCs w:val="21"/>
          <w:highlight w:val="none"/>
        </w:rPr>
      </w:pPr>
      <w:r>
        <w:rPr>
          <w:rFonts w:hint="eastAsia" w:ascii="宋体" w:hAnsi="宋体"/>
          <w:szCs w:val="21"/>
          <w:highlight w:val="none"/>
        </w:rPr>
        <w:t>1.5 “专用条款”和“通用条款”表述不一致或有冲突时，以“专用条款”为准。</w:t>
      </w:r>
    </w:p>
    <w:p w14:paraId="3DB1F6DF">
      <w:pPr>
        <w:rPr>
          <w:rFonts w:ascii="黑体" w:hAnsi="宋体" w:eastAsia="黑体"/>
          <w:sz w:val="24"/>
          <w:highlight w:val="none"/>
        </w:rPr>
      </w:pPr>
      <w:r>
        <w:rPr>
          <w:rFonts w:hint="eastAsia" w:ascii="黑体" w:hAnsi="宋体" w:eastAsia="黑体"/>
          <w:sz w:val="24"/>
          <w:highlight w:val="none"/>
        </w:rPr>
        <w:t>2</w:t>
      </w:r>
      <w:r>
        <w:rPr>
          <w:rFonts w:ascii="黑体" w:hAnsi="宋体" w:eastAsia="黑体"/>
          <w:sz w:val="24"/>
          <w:highlight w:val="none"/>
        </w:rPr>
        <w:t>．</w:t>
      </w:r>
      <w:r>
        <w:rPr>
          <w:rFonts w:hint="eastAsia" w:ascii="黑体" w:hAnsi="宋体" w:eastAsia="黑体"/>
          <w:sz w:val="24"/>
          <w:highlight w:val="none"/>
        </w:rPr>
        <w:t>招标说明</w:t>
      </w:r>
    </w:p>
    <w:p w14:paraId="35FE5298">
      <w:pPr>
        <w:ind w:firstLine="411" w:firstLineChars="196"/>
        <w:rPr>
          <w:rFonts w:ascii="宋体" w:hAnsi="宋体"/>
          <w:szCs w:val="21"/>
          <w:highlight w:val="none"/>
        </w:rPr>
      </w:pPr>
      <w:r>
        <w:rPr>
          <w:rFonts w:hint="eastAsia" w:ascii="宋体" w:hAnsi="宋体"/>
          <w:szCs w:val="21"/>
          <w:highlight w:val="none"/>
        </w:rPr>
        <w:t>本项目按照《深圳经济特区政府采购条例》、《深圳经济特区政府采购条例实施细则》及政府采购其他法律法规，通过公开招标方式确定中标供应商。</w:t>
      </w:r>
    </w:p>
    <w:p w14:paraId="796E9D56">
      <w:pPr>
        <w:rPr>
          <w:rFonts w:ascii="黑体" w:hAnsi="宋体" w:eastAsia="黑体"/>
          <w:sz w:val="24"/>
          <w:highlight w:val="none"/>
        </w:rPr>
      </w:pPr>
      <w:r>
        <w:rPr>
          <w:rFonts w:hint="eastAsia" w:ascii="黑体" w:hAnsi="宋体" w:eastAsia="黑体"/>
          <w:sz w:val="24"/>
          <w:highlight w:val="none"/>
        </w:rPr>
        <w:t>3．定义</w:t>
      </w:r>
    </w:p>
    <w:p w14:paraId="070E4834">
      <w:pPr>
        <w:ind w:firstLine="420" w:firstLineChars="200"/>
        <w:rPr>
          <w:rFonts w:ascii="宋体" w:hAnsi="宋体"/>
          <w:szCs w:val="21"/>
          <w:highlight w:val="none"/>
        </w:rPr>
      </w:pPr>
      <w:r>
        <w:rPr>
          <w:rFonts w:ascii="宋体" w:hAnsi="宋体"/>
          <w:szCs w:val="21"/>
          <w:highlight w:val="none"/>
        </w:rPr>
        <w:t>招标文件中下列术语应解释为：</w:t>
      </w:r>
    </w:p>
    <w:p w14:paraId="4ADDF414">
      <w:pPr>
        <w:ind w:firstLine="411" w:firstLineChars="196"/>
        <w:rPr>
          <w:rFonts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“采购人”：指利用财政性资金依法进行政府采购的国家机关、事业单位、团体组织；</w:t>
      </w:r>
      <w:r>
        <w:rPr>
          <w:rFonts w:ascii="宋体" w:hAnsi="宋体"/>
          <w:szCs w:val="21"/>
          <w:highlight w:val="none"/>
        </w:rPr>
        <w:t xml:space="preserve"> </w:t>
      </w:r>
    </w:p>
    <w:p w14:paraId="4F23D89A">
      <w:pPr>
        <w:ind w:firstLine="411" w:firstLineChars="196"/>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是指市政府设立的，组织实施政府采购项目，并对政府采购活动提供服务的专门机构；</w:t>
      </w:r>
      <w:r>
        <w:rPr>
          <w:rFonts w:hint="eastAsia" w:ascii="宋体" w:hAnsi="宋体"/>
          <w:szCs w:val="21"/>
          <w:highlight w:val="none"/>
        </w:rPr>
        <w:t>本文件所述的“政府集中采购机构”</w:t>
      </w:r>
      <w:r>
        <w:rPr>
          <w:rFonts w:ascii="宋体" w:hAnsi="宋体"/>
          <w:szCs w:val="21"/>
          <w:highlight w:val="none"/>
        </w:rPr>
        <w:t>指</w:t>
      </w:r>
      <w:r>
        <w:rPr>
          <w:rFonts w:hint="eastAsia" w:ascii="宋体" w:hAnsi="宋体"/>
          <w:b/>
          <w:bCs/>
          <w:szCs w:val="21"/>
          <w:highlight w:val="none"/>
        </w:rPr>
        <w:t>深圳公共资源交易中心</w:t>
      </w:r>
      <w:r>
        <w:rPr>
          <w:rFonts w:hint="eastAsia" w:ascii="宋体" w:hAnsi="宋体"/>
          <w:szCs w:val="21"/>
          <w:highlight w:val="none"/>
        </w:rPr>
        <w:t>；</w:t>
      </w:r>
    </w:p>
    <w:p w14:paraId="725CA9F8">
      <w:pPr>
        <w:ind w:firstLine="411" w:firstLineChars="196"/>
        <w:rPr>
          <w:rFonts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14:paraId="517BC988">
      <w:pPr>
        <w:ind w:firstLine="411" w:firstLineChars="196"/>
        <w:rPr>
          <w:rFonts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14:paraId="1472DD37">
      <w:pPr>
        <w:ind w:firstLine="411" w:firstLineChars="196"/>
        <w:rPr>
          <w:rFonts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14:paraId="185BB750">
      <w:pPr>
        <w:ind w:firstLine="411" w:firstLineChars="196"/>
        <w:rPr>
          <w:rFonts w:ascii="宋体" w:hAnsi="宋体"/>
          <w:szCs w:val="21"/>
          <w:highlight w:val="none"/>
        </w:rPr>
      </w:pPr>
      <w:r>
        <w:rPr>
          <w:rFonts w:hint="eastAsia" w:ascii="宋体" w:hAnsi="宋体"/>
          <w:szCs w:val="21"/>
          <w:highlight w:val="none"/>
        </w:rPr>
        <w:t>3.6“合同”指由本次招标所产生的合同或合约文件；</w:t>
      </w:r>
    </w:p>
    <w:p w14:paraId="1BF365D2">
      <w:pPr>
        <w:ind w:firstLine="411" w:firstLineChars="196"/>
        <w:rPr>
          <w:rFonts w:ascii="宋体" w:hAnsi="宋体"/>
          <w:szCs w:val="21"/>
          <w:highlight w:val="none"/>
        </w:rPr>
      </w:pPr>
      <w:r>
        <w:rPr>
          <w:rFonts w:hint="eastAsia" w:ascii="宋体" w:hAnsi="宋体"/>
          <w:szCs w:val="21"/>
          <w:highlight w:val="none"/>
        </w:rPr>
        <w:t>3.7“电子投标文件”指利用</w:t>
      </w:r>
      <w:r>
        <w:rPr>
          <w:b/>
          <w:bCs/>
          <w:color w:val="FF0000"/>
          <w:szCs w:val="21"/>
          <w:highlight w:val="none"/>
        </w:rPr>
        <w:t>深圳公共资源交易中心（深圳交易集团有限公司</w:t>
      </w:r>
      <w:r>
        <w:rPr>
          <w:rFonts w:hint="eastAsia"/>
          <w:b/>
          <w:bCs/>
          <w:color w:val="FF0000"/>
          <w:szCs w:val="21"/>
          <w:highlight w:val="none"/>
        </w:rPr>
        <w:t>福田</w:t>
      </w:r>
      <w:r>
        <w:rPr>
          <w:b/>
          <w:bCs/>
          <w:color w:val="FF0000"/>
          <w:szCs w:val="21"/>
          <w:highlight w:val="none"/>
        </w:rPr>
        <w:t>分公司）</w:t>
      </w:r>
      <w:r>
        <w:rPr>
          <w:rFonts w:ascii="Times New Roman" w:hAnsi="Times New Roman" w:eastAsia="宋体" w:cs="Times New Roman"/>
          <w:b/>
          <w:bCs/>
          <w:szCs w:val="21"/>
          <w:highlight w:val="none"/>
        </w:rPr>
        <w:t>网站提供的</w:t>
      </w:r>
      <w:r>
        <w:rPr>
          <w:rFonts w:hint="eastAsia" w:ascii="Times New Roman" w:hAnsi="Times New Roman" w:eastAsia="宋体" w:cs="Times New Roman"/>
          <w:b/>
          <w:bCs/>
          <w:szCs w:val="24"/>
          <w:highlight w:val="none"/>
        </w:rPr>
        <w:t>深圳市自行采购系统投标文件制作专用软件（以下简称：投标文件制作软件）制作并加密的投标文件，适用于网上投标；（投标文件制作软件可从“下载地址：</w:t>
      </w:r>
      <w:r>
        <w:rPr>
          <w:rFonts w:ascii="Times New Roman" w:hAnsi="Times New Roman" w:eastAsia="宋体" w:cs="Times New Roman"/>
          <w:b/>
          <w:bCs/>
          <w:szCs w:val="24"/>
          <w:highlight w:val="none"/>
        </w:rPr>
        <w:t>https://www.szggzy.com/jyfw/details.html?contentId=2053275</w:t>
      </w:r>
      <w:r>
        <w:rPr>
          <w:rFonts w:hint="eastAsia" w:ascii="Times New Roman" w:hAnsi="Times New Roman" w:eastAsia="宋体" w:cs="Times New Roman"/>
          <w:b/>
          <w:bCs/>
          <w:szCs w:val="24"/>
          <w:highlight w:val="none"/>
        </w:rPr>
        <w:t>深圳市自行采购系统投标文件编制工具”下载）</w:t>
      </w:r>
      <w:r>
        <w:rPr>
          <w:rFonts w:ascii="Times New Roman" w:hAnsi="Times New Roman" w:eastAsia="宋体" w:cs="Times New Roman"/>
          <w:b/>
          <w:bCs/>
          <w:szCs w:val="21"/>
          <w:highlight w:val="none"/>
        </w:rPr>
        <w:t>；</w:t>
      </w:r>
    </w:p>
    <w:p w14:paraId="1DF33E30">
      <w:pPr>
        <w:ind w:firstLine="411" w:firstLineChars="196"/>
        <w:rPr>
          <w:rFonts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深圳公共资源交易中心（深圳交易集团有限公司</w:t>
      </w:r>
      <w:r>
        <w:rPr>
          <w:rFonts w:hint="eastAsia" w:ascii="宋体" w:hAnsi="宋体"/>
          <w:b/>
          <w:bCs/>
          <w:color w:val="FF0000"/>
          <w:szCs w:val="21"/>
          <w:highlight w:val="none"/>
          <w:lang w:val="en-US" w:eastAsia="zh-CN"/>
        </w:rPr>
        <w:t>福田</w:t>
      </w:r>
      <w:r>
        <w:rPr>
          <w:rFonts w:hint="eastAsia" w:ascii="宋体" w:hAnsi="宋体"/>
          <w:b/>
          <w:bCs/>
          <w:color w:val="FF0000"/>
          <w:szCs w:val="21"/>
          <w:highlight w:val="none"/>
        </w:rPr>
        <w:t>分公司）</w:t>
      </w:r>
      <w:r>
        <w:rPr>
          <w:rFonts w:hint="eastAsia" w:ascii="宋体" w:hAnsi="宋体"/>
          <w:szCs w:val="21"/>
          <w:highlight w:val="none"/>
        </w:rPr>
        <w:t>网站上传电子投标文件；</w:t>
      </w:r>
    </w:p>
    <w:p w14:paraId="1F22A2C4">
      <w:pPr>
        <w:ind w:firstLine="411" w:firstLineChars="196"/>
        <w:rPr>
          <w:rFonts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14:paraId="4A3D7694">
      <w:pPr>
        <w:rPr>
          <w:rFonts w:ascii="黑体" w:hAnsi="宋体" w:eastAsia="黑体"/>
          <w:sz w:val="24"/>
          <w:highlight w:val="none"/>
        </w:rPr>
      </w:pPr>
      <w:r>
        <w:rPr>
          <w:rFonts w:hint="eastAsia" w:ascii="黑体" w:hAnsi="宋体" w:eastAsia="黑体"/>
          <w:sz w:val="24"/>
          <w:highlight w:val="none"/>
        </w:rPr>
        <w:t xml:space="preserve">4. </w:t>
      </w:r>
      <w:bookmarkStart w:id="46" w:name="_Hlk72398643"/>
      <w:r>
        <w:rPr>
          <w:rFonts w:hint="eastAsia" w:ascii="黑体" w:hAnsi="宋体" w:eastAsia="黑体"/>
          <w:sz w:val="24"/>
          <w:highlight w:val="none"/>
        </w:rPr>
        <w:t>政府采购供应商责任</w:t>
      </w:r>
    </w:p>
    <w:p w14:paraId="3BF056BA">
      <w:pPr>
        <w:ind w:firstLine="411" w:firstLineChars="196"/>
        <w:rPr>
          <w:rFonts w:ascii="宋体" w:hAnsi="宋体"/>
          <w:szCs w:val="21"/>
          <w:highlight w:val="none"/>
        </w:rPr>
      </w:pPr>
      <w:r>
        <w:rPr>
          <w:rFonts w:hint="eastAsia" w:ascii="宋体" w:hAnsi="宋体"/>
          <w:szCs w:val="21"/>
          <w:highlight w:val="none"/>
        </w:rPr>
        <w:t>4.1欢迎诚信、有实力和有社会责任心的供应商参与政府采购事业。</w:t>
      </w:r>
    </w:p>
    <w:p w14:paraId="64C754C0">
      <w:pPr>
        <w:ind w:firstLine="411" w:firstLineChars="196"/>
        <w:rPr>
          <w:rFonts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14:paraId="4023D838">
      <w:pPr>
        <w:rPr>
          <w:rFonts w:ascii="黑体" w:hAnsi="宋体" w:eastAsia="黑体"/>
          <w:sz w:val="24"/>
          <w:highlight w:val="none"/>
        </w:rPr>
      </w:pPr>
      <w:r>
        <w:rPr>
          <w:rFonts w:hint="eastAsia" w:ascii="黑体" w:hAnsi="宋体" w:eastAsia="黑体"/>
          <w:sz w:val="24"/>
          <w:highlight w:val="none"/>
        </w:rPr>
        <w:t>5．投标人参加政府采购的条件</w:t>
      </w:r>
    </w:p>
    <w:p w14:paraId="42D21A6B">
      <w:pPr>
        <w:ind w:firstLine="411" w:firstLineChars="196"/>
        <w:rPr>
          <w:rFonts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深圳公共资源交易中心（具体在深圳交易集团有限公司政府采购业务分公司进行办理）</w:t>
      </w:r>
      <w:r>
        <w:rPr>
          <w:rFonts w:hint="eastAsia" w:ascii="宋体" w:hAnsi="宋体"/>
          <w:szCs w:val="21"/>
          <w:highlight w:val="none"/>
        </w:rPr>
        <w:t>进行注册并办理电子密钥。《供应商注册及信息变更指引》详见www.szggzy.com网站“交易服务指南-政府采购”</w:t>
      </w:r>
      <w:r>
        <w:rPr>
          <w:rFonts w:hint="eastAsia" w:ascii="宋体" w:hAnsi="宋体"/>
          <w:szCs w:val="21"/>
          <w:highlight w:val="none"/>
          <w:lang w:val="en-US" w:eastAsia="zh-CN"/>
        </w:rPr>
        <w:t>。</w:t>
      </w:r>
      <w:r>
        <w:rPr>
          <w:rFonts w:hint="eastAsia" w:ascii="宋体" w:hAnsi="宋体"/>
          <w:szCs w:val="21"/>
          <w:highlight w:val="none"/>
        </w:rPr>
        <w:t>。</w:t>
      </w:r>
    </w:p>
    <w:p w14:paraId="2D11E31E">
      <w:pPr>
        <w:ind w:firstLine="411" w:firstLineChars="196"/>
        <w:rPr>
          <w:rFonts w:ascii="宋体" w:hAnsi="宋体"/>
          <w:szCs w:val="21"/>
          <w:highlight w:val="none"/>
        </w:rPr>
      </w:pPr>
      <w:r>
        <w:rPr>
          <w:rFonts w:hint="eastAsia" w:ascii="宋体" w:hAnsi="宋体"/>
          <w:szCs w:val="21"/>
          <w:highlight w:val="none"/>
        </w:rPr>
        <w:t>5.2投标人资格要求</w:t>
      </w:r>
    </w:p>
    <w:p w14:paraId="104E6421">
      <w:pPr>
        <w:ind w:firstLine="411" w:firstLineChars="196"/>
        <w:rPr>
          <w:rFonts w:ascii="宋体" w:hAnsi="宋体"/>
          <w:szCs w:val="21"/>
          <w:highlight w:val="none"/>
        </w:rPr>
      </w:pPr>
      <w:r>
        <w:rPr>
          <w:rFonts w:hint="eastAsia" w:ascii="宋体" w:hAnsi="宋体"/>
          <w:szCs w:val="21"/>
          <w:highlight w:val="none"/>
        </w:rPr>
        <w:t>参加本项目的投标人应具备的资格条件详见本项目招标公告中 “投标人资格要求”（即申请人的资格要求）的内容。</w:t>
      </w:r>
    </w:p>
    <w:p w14:paraId="489F4446">
      <w:pPr>
        <w:ind w:firstLine="411" w:firstLineChars="196"/>
        <w:rPr>
          <w:rFonts w:ascii="宋体" w:hAnsi="宋体"/>
          <w:szCs w:val="21"/>
          <w:highlight w:val="none"/>
        </w:rPr>
      </w:pPr>
      <w:r>
        <w:rPr>
          <w:rFonts w:hint="eastAsia" w:ascii="宋体" w:hAnsi="宋体"/>
          <w:szCs w:val="21"/>
          <w:highlight w:val="none"/>
        </w:rPr>
        <w:t>5.3联合体投标</w:t>
      </w:r>
    </w:p>
    <w:p w14:paraId="69040C97">
      <w:pPr>
        <w:ind w:firstLine="411" w:firstLineChars="196"/>
        <w:rPr>
          <w:rFonts w:ascii="宋体" w:hAnsi="宋体"/>
          <w:szCs w:val="21"/>
          <w:highlight w:val="none"/>
        </w:rPr>
      </w:pPr>
      <w:r>
        <w:rPr>
          <w:rFonts w:hint="eastAsia" w:ascii="宋体" w:hAnsi="宋体"/>
          <w:szCs w:val="21"/>
          <w:highlight w:val="none"/>
        </w:rPr>
        <w:t>5.3.1　以下有关联合体投标的条款仅适用于允许投标人组成联合体投标的项目。</w:t>
      </w:r>
    </w:p>
    <w:p w14:paraId="7E6C8F00">
      <w:pPr>
        <w:ind w:firstLine="411" w:firstLineChars="196"/>
        <w:rPr>
          <w:rFonts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14:paraId="71A61C79">
      <w:pPr>
        <w:ind w:firstLine="411" w:firstLineChars="196"/>
        <w:rPr>
          <w:rFonts w:ascii="宋体" w:hAnsi="宋体"/>
          <w:highlight w:val="none"/>
        </w:rPr>
      </w:pPr>
      <w:r>
        <w:rPr>
          <w:rFonts w:hint="eastAsia" w:ascii="宋体" w:hAnsi="宋体"/>
          <w:highlight w:val="none"/>
        </w:rPr>
        <w:t>（1）投标联合体各方参加政府采购活动应当具备下列条件：</w:t>
      </w:r>
      <w:r>
        <w:rPr>
          <w:rFonts w:ascii="宋体" w:hAnsi="宋体"/>
          <w:highlight w:val="none"/>
        </w:rPr>
        <w:t xml:space="preserve"> </w:t>
      </w:r>
    </w:p>
    <w:p w14:paraId="73DF56CD">
      <w:pPr>
        <w:ind w:left="420" w:leftChars="200" w:firstLine="411" w:firstLineChars="196"/>
        <w:rPr>
          <w:rFonts w:ascii="宋体" w:hAnsi="宋体"/>
          <w:highlight w:val="none"/>
        </w:rPr>
      </w:pPr>
      <w:r>
        <w:rPr>
          <w:rFonts w:hint="eastAsia" w:ascii="宋体" w:hAnsi="宋体"/>
          <w:highlight w:val="none"/>
        </w:rPr>
        <w:t>1、具有独立承担民事责任的能力；</w:t>
      </w:r>
      <w:r>
        <w:rPr>
          <w:rFonts w:ascii="宋体" w:hAnsi="宋体"/>
          <w:highlight w:val="none"/>
        </w:rPr>
        <w:t xml:space="preserve"> </w:t>
      </w:r>
    </w:p>
    <w:p w14:paraId="4BB335BE">
      <w:pPr>
        <w:ind w:left="420" w:firstLine="411" w:firstLineChars="196"/>
        <w:rPr>
          <w:rFonts w:ascii="宋体" w:hAnsi="宋体"/>
          <w:highlight w:val="none"/>
        </w:rPr>
      </w:pPr>
      <w:r>
        <w:rPr>
          <w:rFonts w:hint="eastAsia" w:ascii="宋体" w:hAnsi="宋体"/>
          <w:highlight w:val="none"/>
        </w:rPr>
        <w:t>2、有良好的商业信誉和健全的财务会计制度；</w:t>
      </w:r>
      <w:r>
        <w:rPr>
          <w:rFonts w:ascii="宋体" w:hAnsi="宋体"/>
          <w:highlight w:val="none"/>
        </w:rPr>
        <w:t xml:space="preserve"> </w:t>
      </w:r>
    </w:p>
    <w:p w14:paraId="4A87C8BE">
      <w:pPr>
        <w:ind w:left="420" w:leftChars="200" w:firstLine="411" w:firstLineChars="196"/>
        <w:rPr>
          <w:rFonts w:ascii="宋体" w:hAnsi="宋体"/>
          <w:highlight w:val="none"/>
        </w:rPr>
      </w:pPr>
      <w:r>
        <w:rPr>
          <w:rFonts w:hint="eastAsia" w:ascii="宋体" w:hAnsi="宋体"/>
          <w:highlight w:val="none"/>
        </w:rPr>
        <w:t>3、具有履行合同所必需的设备和专业技术能力；</w:t>
      </w:r>
      <w:r>
        <w:rPr>
          <w:rFonts w:ascii="宋体" w:hAnsi="宋体"/>
          <w:highlight w:val="none"/>
        </w:rPr>
        <w:t xml:space="preserve"> </w:t>
      </w:r>
    </w:p>
    <w:p w14:paraId="35514BAF">
      <w:pPr>
        <w:ind w:left="420" w:leftChars="200" w:firstLine="411" w:firstLineChars="196"/>
        <w:rPr>
          <w:rFonts w:ascii="宋体" w:hAnsi="宋体"/>
          <w:highlight w:val="none"/>
        </w:rPr>
      </w:pPr>
      <w:r>
        <w:rPr>
          <w:rFonts w:hint="eastAsia" w:ascii="宋体" w:hAnsi="宋体"/>
          <w:highlight w:val="none"/>
        </w:rPr>
        <w:t>4、有依法缴纳税收和社会保障资金的良好记录；</w:t>
      </w:r>
      <w:r>
        <w:rPr>
          <w:rFonts w:ascii="宋体" w:hAnsi="宋体"/>
          <w:highlight w:val="none"/>
        </w:rPr>
        <w:t xml:space="preserve"> </w:t>
      </w:r>
    </w:p>
    <w:p w14:paraId="6A513F82">
      <w:pPr>
        <w:ind w:left="420" w:leftChars="200" w:firstLine="411" w:firstLineChars="196"/>
        <w:rPr>
          <w:rFonts w:ascii="宋体" w:hAnsi="宋体"/>
          <w:highlight w:val="none"/>
        </w:rPr>
      </w:pPr>
      <w:r>
        <w:rPr>
          <w:rFonts w:hint="eastAsia" w:ascii="宋体" w:hAnsi="宋体"/>
          <w:highlight w:val="none"/>
        </w:rPr>
        <w:t>5、参加政府采购活动前三年内，在经营活动中没有重大违法记录；</w:t>
      </w:r>
      <w:r>
        <w:rPr>
          <w:rFonts w:ascii="宋体" w:hAnsi="宋体"/>
          <w:highlight w:val="none"/>
        </w:rPr>
        <w:t xml:space="preserve"> </w:t>
      </w:r>
    </w:p>
    <w:p w14:paraId="4D759380">
      <w:pPr>
        <w:ind w:left="420" w:leftChars="200" w:firstLine="411" w:firstLineChars="196"/>
        <w:rPr>
          <w:rFonts w:ascii="宋体" w:hAnsi="宋体"/>
          <w:highlight w:val="none"/>
        </w:rPr>
      </w:pPr>
      <w:r>
        <w:rPr>
          <w:rFonts w:hint="eastAsia" w:ascii="宋体" w:hAnsi="宋体"/>
          <w:highlight w:val="none"/>
        </w:rPr>
        <w:t>6、法律、行政法规规定的其他条件。</w:t>
      </w:r>
      <w:r>
        <w:rPr>
          <w:rFonts w:ascii="宋体" w:hAnsi="宋体"/>
          <w:highlight w:val="none"/>
        </w:rPr>
        <w:t xml:space="preserve"> </w:t>
      </w:r>
    </w:p>
    <w:p w14:paraId="5611B56A">
      <w:pPr>
        <w:ind w:firstLine="411" w:firstLineChars="196"/>
        <w:rPr>
          <w:rFonts w:ascii="宋体" w:hAnsi="宋体"/>
          <w:highlight w:val="none"/>
        </w:rPr>
      </w:pPr>
      <w:r>
        <w:rPr>
          <w:rFonts w:hint="eastAsia" w:ascii="宋体" w:hAnsi="宋体"/>
          <w:highlight w:val="none"/>
        </w:rPr>
        <w:t>（2）在投标截止前，投标联合体各方均应注册成政府集中采购机构供应商；</w:t>
      </w:r>
    </w:p>
    <w:p w14:paraId="21AAE129">
      <w:pPr>
        <w:ind w:firstLine="411" w:firstLineChars="196"/>
        <w:rPr>
          <w:rFonts w:ascii="宋体" w:hAnsi="宋体"/>
          <w:highlight w:val="none"/>
        </w:rPr>
      </w:pPr>
      <w:r>
        <w:rPr>
          <w:rFonts w:hint="eastAsia" w:ascii="宋体" w:hAnsi="宋体"/>
          <w:highlight w:val="none"/>
        </w:rPr>
        <w:t>（3）联合体中有同类资质的供应商按照联合体分工承担相同工作的，应当按照资质等级较低的供应商确定资质等级；</w:t>
      </w:r>
    </w:p>
    <w:p w14:paraId="3EDE9B68">
      <w:pPr>
        <w:ind w:firstLine="411" w:firstLineChars="196"/>
        <w:rPr>
          <w:highlight w:val="none"/>
        </w:rPr>
      </w:pPr>
      <w:r>
        <w:rPr>
          <w:rFonts w:hint="eastAsia"/>
          <w:highlight w:val="none"/>
        </w:rPr>
        <w:t>（4）是否允许联合体参加投标，应当由采购人和采购代理机构根据项目的实际情况和潜在供应商的数量自主决定，如果决定接受联合体投标则应当在招标公告中明示；</w:t>
      </w:r>
    </w:p>
    <w:p w14:paraId="76C9114A">
      <w:pPr>
        <w:ind w:firstLine="411" w:firstLineChars="196"/>
        <w:rPr>
          <w:rFonts w:ascii="宋体" w:hAnsi="宋体"/>
          <w:highlight w:val="none"/>
        </w:rPr>
      </w:pPr>
      <w:r>
        <w:rPr>
          <w:rFonts w:hint="eastAsia" w:ascii="宋体" w:hAnsi="宋体"/>
          <w:highlight w:val="none"/>
        </w:rPr>
        <w:t>（5）投标人的投标文件及中标后签署的合同协议对联合体各方均具法律约束力；</w:t>
      </w:r>
    </w:p>
    <w:p w14:paraId="2008CE84">
      <w:pPr>
        <w:ind w:firstLine="411" w:firstLineChars="196"/>
        <w:rPr>
          <w:rFonts w:ascii="宋体" w:hAnsi="宋体"/>
          <w:highlight w:val="none"/>
        </w:rPr>
      </w:pPr>
      <w:r>
        <w:rPr>
          <w:rFonts w:hint="eastAsia" w:ascii="宋体" w:hAnsi="宋体"/>
          <w:highlight w:val="none"/>
        </w:rPr>
        <w:t>（6）联合体各方应当签订联合体投标协议，明确约定各方拟承担的工作和责任，并将该协议随投标文件一并递交给政府集中采购机构；</w:t>
      </w:r>
    </w:p>
    <w:p w14:paraId="26581D81">
      <w:pPr>
        <w:ind w:firstLine="411" w:firstLineChars="196"/>
        <w:rPr>
          <w:rFonts w:ascii="宋体" w:hAnsi="宋体"/>
          <w:highlight w:val="none"/>
        </w:rPr>
      </w:pPr>
      <w:r>
        <w:rPr>
          <w:rFonts w:hint="eastAsia" w:ascii="宋体" w:hAnsi="宋体"/>
          <w:highlight w:val="none"/>
        </w:rPr>
        <w:t>（7）联合体中标后，联合体各方应当共同与采购人签订合同，就中标项目向采购人承担连带责任；</w:t>
      </w:r>
    </w:p>
    <w:p w14:paraId="12F009E7">
      <w:pPr>
        <w:ind w:firstLine="411" w:firstLineChars="196"/>
        <w:rPr>
          <w:rFonts w:ascii="宋体" w:hAnsi="宋体"/>
          <w:highlight w:val="none"/>
        </w:rPr>
      </w:pPr>
      <w:r>
        <w:rPr>
          <w:rFonts w:hint="eastAsia" w:ascii="宋体" w:hAnsi="宋体"/>
          <w:highlight w:val="none"/>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7D81A9FF">
      <w:pPr>
        <w:ind w:firstLine="411" w:firstLineChars="196"/>
        <w:rPr>
          <w:rFonts w:ascii="宋体" w:hAnsi="宋体"/>
          <w:szCs w:val="21"/>
          <w:highlight w:val="none"/>
        </w:rPr>
      </w:pPr>
      <w:r>
        <w:rPr>
          <w:rFonts w:hint="eastAsia" w:ascii="宋体" w:hAnsi="宋体"/>
          <w:highlight w:val="none"/>
        </w:rPr>
        <w:t>（9）本通用条款中“投标人”一词亦指联合体各方，专用条款另有规定或说明的除外。</w:t>
      </w:r>
    </w:p>
    <w:p w14:paraId="6B61F844">
      <w:pPr>
        <w:rPr>
          <w:rFonts w:ascii="黑体" w:hAnsi="宋体" w:eastAsia="黑体"/>
          <w:sz w:val="24"/>
          <w:highlight w:val="none"/>
        </w:rPr>
      </w:pPr>
      <w:r>
        <w:rPr>
          <w:rFonts w:hint="eastAsia" w:ascii="黑体" w:hAnsi="宋体" w:eastAsia="黑体"/>
          <w:sz w:val="24"/>
          <w:highlight w:val="none"/>
        </w:rPr>
        <w:t>6．政策导向</w:t>
      </w:r>
    </w:p>
    <w:p w14:paraId="2EA8B54A">
      <w:pPr>
        <w:ind w:firstLine="411" w:firstLineChars="196"/>
        <w:rPr>
          <w:rFonts w:ascii="宋体" w:hAnsi="宋体"/>
          <w:highlight w:val="none"/>
        </w:rPr>
      </w:pPr>
      <w:r>
        <w:rPr>
          <w:rFonts w:hint="eastAsia" w:ascii="宋体" w:hAnsi="宋体"/>
          <w:highlight w:val="none"/>
        </w:rPr>
        <w:t>6.1</w:t>
      </w:r>
      <w:r>
        <w:rPr>
          <w:rFonts w:ascii="宋体" w:hAnsi="宋体"/>
          <w:highlight w:val="none"/>
        </w:rPr>
        <w:t xml:space="preserve">  </w:t>
      </w:r>
      <w:r>
        <w:rPr>
          <w:rFonts w:hint="eastAsia" w:ascii="宋体" w:hAnsi="宋体"/>
          <w:highlight w:val="none"/>
        </w:rPr>
        <w:t>政府采购扶持贫困地区、中小企业、监狱企业和残疾人福利性单位发展，支持节能减排、环境保护。</w:t>
      </w:r>
    </w:p>
    <w:p w14:paraId="5E6BBF5A">
      <w:pPr>
        <w:ind w:firstLine="405"/>
        <w:rPr>
          <w:rFonts w:hint="eastAsia" w:ascii="宋体" w:hAnsi="宋体"/>
          <w:highlight w:val="none"/>
        </w:rPr>
      </w:pPr>
      <w:r>
        <w:rPr>
          <w:rFonts w:hint="eastAsia" w:ascii="宋体" w:hAnsi="宋体"/>
          <w:highlight w:val="none"/>
        </w:rPr>
        <w:t>6.2</w:t>
      </w:r>
      <w:r>
        <w:rPr>
          <w:rFonts w:ascii="宋体" w:hAnsi="宋体"/>
          <w:highlight w:val="none"/>
        </w:rPr>
        <w:t xml:space="preserve">  </w:t>
      </w:r>
      <w:r>
        <w:rPr>
          <w:rFonts w:hint="eastAsia" w:ascii="宋体" w:hAnsi="宋体"/>
          <w:highlight w:val="none"/>
        </w:rPr>
        <w:t>本项目落实深圳市政府采购供应商诚信管理政策要求。</w:t>
      </w:r>
    </w:p>
    <w:p w14:paraId="3B0D6FE7">
      <w:pPr>
        <w:ind w:firstLine="405"/>
        <w:rPr>
          <w:rFonts w:hint="default" w:eastAsia="宋体"/>
          <w:highlight w:val="none"/>
          <w:lang w:val="en-US" w:eastAsia="zh-CN"/>
        </w:rPr>
      </w:pPr>
      <w:r>
        <w:rPr>
          <w:rFonts w:hint="eastAsia" w:ascii="宋体" w:hAnsi="宋体"/>
          <w:highlight w:val="none"/>
          <w:lang w:val="en-US" w:eastAsia="zh-CN"/>
        </w:rPr>
        <w:t>6.3  本项目支持投标人性别平等的相关政策。</w:t>
      </w:r>
    </w:p>
    <w:p w14:paraId="6E8C5535">
      <w:pPr>
        <w:rPr>
          <w:rFonts w:ascii="黑体" w:hAnsi="宋体" w:eastAsia="黑体"/>
          <w:sz w:val="24"/>
          <w:highlight w:val="none"/>
        </w:rPr>
      </w:pPr>
      <w:r>
        <w:rPr>
          <w:rFonts w:hint="eastAsia" w:ascii="黑体" w:hAnsi="宋体" w:eastAsia="黑体"/>
          <w:sz w:val="24"/>
          <w:highlight w:val="none"/>
        </w:rPr>
        <w:t>7. 本项目若涉及采购货物，则合格的货物及相应服务应满足以下要求：</w:t>
      </w:r>
    </w:p>
    <w:p w14:paraId="597BCAFF">
      <w:pPr>
        <w:ind w:firstLine="411" w:firstLineChars="196"/>
        <w:rPr>
          <w:rFonts w:ascii="宋体" w:hAnsi="宋体"/>
          <w:highlight w:val="none"/>
        </w:rPr>
      </w:pPr>
      <w:r>
        <w:rPr>
          <w:rFonts w:hint="eastAsia" w:ascii="宋体" w:hAnsi="宋体"/>
          <w:highlight w:val="none"/>
        </w:rPr>
        <w:t>7</w:t>
      </w:r>
      <w:r>
        <w:rPr>
          <w:rFonts w:ascii="宋体" w:hAnsi="宋体"/>
          <w:highlight w:val="none"/>
        </w:rPr>
        <w:t xml:space="preserve">.1  </w:t>
      </w:r>
      <w:r>
        <w:rPr>
          <w:rFonts w:hint="eastAsia" w:ascii="宋体" w:hAnsi="宋体"/>
          <w:highlight w:val="none"/>
        </w:rPr>
        <w:t>必须是全新、未使用过的原装合格正品（包括零部件），如安装或配置了软件的，须为正版软件。</w:t>
      </w:r>
    </w:p>
    <w:p w14:paraId="6210E738">
      <w:pPr>
        <w:ind w:firstLine="411" w:firstLineChars="196"/>
        <w:rPr>
          <w:rFonts w:ascii="宋体" w:hAnsi="宋体"/>
          <w:highlight w:val="none"/>
        </w:rPr>
      </w:pPr>
      <w:r>
        <w:rPr>
          <w:rFonts w:hint="eastAsia" w:ascii="宋体" w:hAnsi="宋体"/>
          <w:highlight w:val="none"/>
        </w:rPr>
        <w:t>7.2  国产的货物及其有关服务必须符合中华人民共和国的设计、制造生产标准及行业标准。招标公告有其他要求的，亦应符合其要求。</w:t>
      </w:r>
    </w:p>
    <w:p w14:paraId="66F9F03B">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3</w:t>
      </w:r>
      <w:r>
        <w:rPr>
          <w:rFonts w:ascii="宋体" w:hAnsi="宋体"/>
          <w:highlight w:val="none"/>
        </w:rPr>
        <w:t xml:space="preserve">  </w:t>
      </w:r>
      <w:r>
        <w:rPr>
          <w:rFonts w:hint="eastAsia" w:ascii="宋体" w:hAnsi="宋体"/>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585835A">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4</w:t>
      </w:r>
      <w:r>
        <w:rPr>
          <w:rFonts w:ascii="宋体" w:hAnsi="宋体"/>
          <w:highlight w:val="none"/>
        </w:rPr>
        <w:t xml:space="preserve">  </w:t>
      </w:r>
      <w:r>
        <w:rPr>
          <w:rFonts w:hint="eastAsia" w:ascii="宋体" w:hAnsi="宋体"/>
          <w:highlight w:val="none"/>
        </w:rPr>
        <w:t>投标人</w:t>
      </w:r>
      <w:bookmarkStart w:id="47" w:name="_Hlk72152753"/>
      <w:r>
        <w:rPr>
          <w:rFonts w:hint="eastAsia" w:ascii="宋体" w:hAnsi="宋体"/>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7"/>
    </w:p>
    <w:p w14:paraId="6F5A53F6">
      <w:pPr>
        <w:ind w:firstLine="411" w:firstLineChars="196"/>
        <w:rPr>
          <w:rFonts w:ascii="宋体" w:hAnsi="宋体"/>
          <w:highlight w:val="none"/>
        </w:rPr>
      </w:pPr>
      <w:r>
        <w:rPr>
          <w:rFonts w:hint="eastAsia" w:ascii="宋体" w:hAnsi="宋体"/>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5B9AA9F5">
      <w:pPr>
        <w:ind w:firstLine="411" w:firstLineChars="196"/>
        <w:rPr>
          <w:rFonts w:ascii="宋体" w:hAnsi="宋体"/>
          <w:highlight w:val="none"/>
        </w:rPr>
      </w:pPr>
      <w:r>
        <w:rPr>
          <w:rFonts w:hint="eastAsia" w:ascii="宋体" w:hAnsi="宋体"/>
          <w:highlight w:val="none"/>
        </w:rPr>
        <w:t>7.6  工期要求：投标人在投标时对其所投项目应提交交货进度、交货计划等，在合同规定的时间内完成项目实施工作。</w:t>
      </w:r>
    </w:p>
    <w:p w14:paraId="40766ACE">
      <w:pPr>
        <w:ind w:firstLine="411" w:firstLineChars="196"/>
        <w:rPr>
          <w:rFonts w:ascii="宋体" w:hAnsi="宋体"/>
          <w:highlight w:val="none"/>
        </w:rPr>
      </w:pPr>
      <w:r>
        <w:rPr>
          <w:rFonts w:hint="eastAsia" w:ascii="宋体" w:hAnsi="宋体"/>
          <w:highlight w:val="none"/>
        </w:rPr>
        <w:t>7.7  投标人必须承担的设备运输、安装调试、验收检测和提供设备操作说明书、图纸等其他相关及类似的义务。</w:t>
      </w:r>
    </w:p>
    <w:p w14:paraId="1D9A7292">
      <w:pPr>
        <w:rPr>
          <w:rFonts w:ascii="黑体" w:hAnsi="宋体" w:eastAsia="黑体"/>
          <w:sz w:val="24"/>
          <w:highlight w:val="none"/>
        </w:rPr>
      </w:pPr>
      <w:r>
        <w:rPr>
          <w:rFonts w:hint="eastAsia" w:ascii="黑体" w:hAnsi="宋体" w:eastAsia="黑体"/>
          <w:sz w:val="24"/>
          <w:highlight w:val="none"/>
        </w:rPr>
        <w:t>8．投标费用</w:t>
      </w:r>
    </w:p>
    <w:p w14:paraId="28EE00E1">
      <w:pPr>
        <w:ind w:firstLine="411" w:firstLineChars="196"/>
        <w:rPr>
          <w:rFonts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14:paraId="64CC0A12">
      <w:pPr>
        <w:rPr>
          <w:rFonts w:ascii="黑体" w:hAnsi="宋体" w:eastAsia="黑体"/>
          <w:sz w:val="24"/>
          <w:highlight w:val="none"/>
        </w:rPr>
      </w:pPr>
      <w:r>
        <w:rPr>
          <w:rFonts w:hint="eastAsia" w:ascii="黑体" w:hAnsi="宋体" w:eastAsia="黑体"/>
          <w:sz w:val="24"/>
          <w:highlight w:val="none"/>
        </w:rPr>
        <w:t>9．踏勘现场</w:t>
      </w:r>
    </w:p>
    <w:p w14:paraId="5D0DCD88">
      <w:pPr>
        <w:ind w:firstLine="411" w:firstLineChars="196"/>
        <w:rPr>
          <w:rFonts w:ascii="宋体" w:hAnsi="宋体"/>
          <w:szCs w:val="21"/>
          <w:highlight w:val="none"/>
        </w:rPr>
      </w:pPr>
      <w:r>
        <w:rPr>
          <w:rFonts w:hint="eastAsia" w:ascii="宋体" w:hAnsi="宋体"/>
          <w:szCs w:val="21"/>
          <w:highlight w:val="none"/>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6DF921EE">
      <w:pPr>
        <w:ind w:firstLine="411" w:firstLineChars="196"/>
        <w:rPr>
          <w:rFonts w:ascii="宋体" w:hAnsi="宋体"/>
          <w:highlight w:val="none"/>
        </w:rPr>
      </w:pPr>
      <w:r>
        <w:rPr>
          <w:rFonts w:hint="eastAsia" w:ascii="宋体" w:hAnsi="宋体"/>
          <w:highlight w:val="none"/>
        </w:rPr>
        <w:t>9.2投标人及其人员经过采购人的允许，可以进入采购人的项目现场踏勘。若招标文件要求投标人于统一时间地点踏勘现场的，投标人应当按时前往。</w:t>
      </w:r>
    </w:p>
    <w:p w14:paraId="04E787D7">
      <w:pPr>
        <w:ind w:firstLine="411" w:firstLineChars="196"/>
        <w:rPr>
          <w:rFonts w:ascii="宋体" w:hAnsi="宋体"/>
          <w:highlight w:val="none"/>
        </w:rPr>
      </w:pPr>
      <w:r>
        <w:rPr>
          <w:rFonts w:hint="eastAsia" w:ascii="宋体" w:hAnsi="宋体"/>
          <w:highlight w:val="none"/>
        </w:rPr>
        <w:t>9.3采购人应当通过政府集中采购机构向投标人提供有关现场的书面资料和数据。</w:t>
      </w:r>
    </w:p>
    <w:p w14:paraId="65327FF2">
      <w:pPr>
        <w:ind w:firstLine="411" w:firstLineChars="196"/>
        <w:rPr>
          <w:rFonts w:ascii="宋体" w:hAnsi="宋体"/>
          <w:highlight w:val="none"/>
        </w:rPr>
      </w:pPr>
      <w:r>
        <w:rPr>
          <w:rFonts w:hint="eastAsia" w:ascii="宋体" w:hAnsi="宋体"/>
          <w:highlight w:val="none"/>
        </w:rPr>
        <w:t>9.4任何人或任何组织在踏勘现场时向投标人提供的任何书面资料或口头承诺，未经政府集中采购机构在网上发布或书面通知，均作无效处理。</w:t>
      </w:r>
    </w:p>
    <w:p w14:paraId="6944000D">
      <w:pPr>
        <w:ind w:firstLine="411" w:firstLineChars="196"/>
        <w:rPr>
          <w:rFonts w:ascii="宋体" w:hAnsi="宋体"/>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14:paraId="6BA32033">
      <w:pPr>
        <w:rPr>
          <w:rFonts w:ascii="宋体" w:hAnsi="宋体"/>
          <w:szCs w:val="21"/>
          <w:highlight w:val="none"/>
        </w:rPr>
      </w:pPr>
      <w:r>
        <w:rPr>
          <w:rFonts w:hint="eastAsia" w:ascii="黑体" w:hAnsi="宋体" w:eastAsia="黑体"/>
          <w:sz w:val="24"/>
          <w:highlight w:val="none"/>
        </w:rPr>
        <w:t>1</w:t>
      </w:r>
      <w:r>
        <w:rPr>
          <w:rFonts w:ascii="黑体" w:hAnsi="宋体" w:eastAsia="黑体"/>
          <w:sz w:val="24"/>
          <w:highlight w:val="none"/>
        </w:rPr>
        <w:t>0</w:t>
      </w:r>
      <w:r>
        <w:rPr>
          <w:rFonts w:hint="eastAsia" w:ascii="黑体" w:hAnsi="宋体" w:eastAsia="黑体"/>
          <w:sz w:val="24"/>
          <w:highlight w:val="none"/>
        </w:rPr>
        <w:t>．标前会议</w:t>
      </w:r>
    </w:p>
    <w:p w14:paraId="70FFE656">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1AC8C6D4">
      <w:pPr>
        <w:ind w:firstLine="411" w:firstLineChars="196"/>
        <w:rPr>
          <w:rFonts w:ascii="宋体" w:hAnsi="宋体"/>
          <w:szCs w:val="21"/>
          <w:highlight w:val="none"/>
        </w:rPr>
      </w:pPr>
      <w:r>
        <w:rPr>
          <w:rFonts w:ascii="宋体" w:hAnsi="宋体"/>
          <w:highlight w:val="none"/>
        </w:rPr>
        <w:t>10</w:t>
      </w:r>
      <w:r>
        <w:rPr>
          <w:rFonts w:hint="eastAsia" w:ascii="宋体" w:hAnsi="宋体"/>
          <w:highlight w:val="none"/>
        </w:rPr>
        <w:t>.</w:t>
      </w:r>
      <w:r>
        <w:rPr>
          <w:rFonts w:ascii="宋体" w:hAnsi="宋体"/>
          <w:highlight w:val="none"/>
        </w:rPr>
        <w:t>2</w:t>
      </w:r>
      <w:r>
        <w:rPr>
          <w:rFonts w:hint="eastAsia" w:ascii="宋体" w:hAnsi="宋体"/>
          <w:highlight w:val="none"/>
        </w:rPr>
        <w:t>任何人或任何组织在标前会议时向投标人提供的任何书面资料或口头承诺，未经政府集中采购机构在网上发布或书面通知，均作无效处理。</w:t>
      </w:r>
    </w:p>
    <w:p w14:paraId="4D4BA2FD">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46"/>
    <w:p w14:paraId="376442F3">
      <w:pPr>
        <w:ind w:firstLine="411" w:firstLineChars="196"/>
        <w:rPr>
          <w:rFonts w:ascii="宋体" w:hAnsi="宋体"/>
          <w:highlight w:val="none"/>
        </w:rPr>
      </w:pPr>
    </w:p>
    <w:p w14:paraId="0AE6DB9C">
      <w:pPr>
        <w:pStyle w:val="7"/>
        <w:numPr>
          <w:ilvl w:val="0"/>
          <w:numId w:val="8"/>
        </w:numPr>
        <w:spacing w:before="120" w:beforeLines="50" w:after="120" w:afterLines="50"/>
        <w:ind w:left="562" w:hanging="562"/>
        <w:rPr>
          <w:sz w:val="28"/>
          <w:szCs w:val="28"/>
          <w:highlight w:val="none"/>
        </w:rPr>
      </w:pPr>
      <w:r>
        <w:rPr>
          <w:rFonts w:hint="eastAsia"/>
          <w:sz w:val="28"/>
          <w:szCs w:val="28"/>
          <w:highlight w:val="none"/>
        </w:rPr>
        <w:t>招标文件</w:t>
      </w:r>
    </w:p>
    <w:p w14:paraId="4CD00DC9">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1</w:t>
      </w:r>
      <w:r>
        <w:rPr>
          <w:rFonts w:hint="eastAsia" w:ascii="黑体" w:hAnsi="宋体" w:eastAsia="黑体"/>
          <w:sz w:val="24"/>
          <w:highlight w:val="none"/>
        </w:rPr>
        <w:t>．</w:t>
      </w:r>
      <w:bookmarkStart w:id="48" w:name="_Hlk72399819"/>
      <w:r>
        <w:rPr>
          <w:rFonts w:hint="eastAsia" w:ascii="黑体" w:hAnsi="宋体" w:eastAsia="黑体"/>
          <w:sz w:val="24"/>
          <w:highlight w:val="none"/>
        </w:rPr>
        <w:t>招标文件的编制与组成</w:t>
      </w:r>
    </w:p>
    <w:p w14:paraId="2FE83A8C">
      <w:pPr>
        <w:snapToGrid w:val="0"/>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.1招标文件除以下内容外，政府集中采购机构在招标期间发出的澄清或修改等相关公告或通知内容，均是招标文件的组成部分，对投标人起约束作用；</w:t>
      </w:r>
    </w:p>
    <w:p w14:paraId="4C0B33F8">
      <w:pPr>
        <w:ind w:firstLine="411" w:firstLineChars="196"/>
        <w:rPr>
          <w:rFonts w:ascii="宋体" w:hAnsi="宋体"/>
          <w:szCs w:val="21"/>
          <w:highlight w:val="none"/>
        </w:rPr>
      </w:pPr>
      <w:r>
        <w:rPr>
          <w:rFonts w:hint="eastAsia" w:ascii="宋体" w:hAnsi="宋体"/>
          <w:szCs w:val="21"/>
          <w:highlight w:val="none"/>
        </w:rPr>
        <w:t>招标文件包括下列内容：</w:t>
      </w:r>
    </w:p>
    <w:p w14:paraId="098473E3">
      <w:pPr>
        <w:ind w:left="420" w:leftChars="200" w:firstLine="413" w:firstLineChars="196"/>
        <w:rPr>
          <w:rFonts w:ascii="宋体" w:hAnsi="宋体"/>
          <w:b/>
          <w:szCs w:val="21"/>
          <w:highlight w:val="none"/>
        </w:rPr>
      </w:pPr>
      <w:r>
        <w:rPr>
          <w:rFonts w:hint="eastAsia" w:ascii="宋体" w:hAnsi="宋体"/>
          <w:b/>
          <w:szCs w:val="21"/>
          <w:highlight w:val="none"/>
        </w:rPr>
        <w:t>第一册  专用条款</w:t>
      </w:r>
    </w:p>
    <w:p w14:paraId="0A3A6189">
      <w:pPr>
        <w:ind w:left="1079" w:leftChars="514"/>
        <w:rPr>
          <w:rFonts w:ascii="宋体" w:hAnsi="宋体"/>
          <w:b/>
          <w:szCs w:val="21"/>
          <w:highlight w:val="none"/>
        </w:rPr>
      </w:pPr>
      <w:r>
        <w:rPr>
          <w:rFonts w:hint="eastAsia" w:ascii="宋体" w:hAnsi="宋体"/>
          <w:b/>
          <w:szCs w:val="21"/>
          <w:highlight w:val="none"/>
        </w:rPr>
        <w:t>关键信息</w:t>
      </w:r>
    </w:p>
    <w:p w14:paraId="5D62D6D0">
      <w:pPr>
        <w:ind w:left="630" w:leftChars="300" w:firstLine="411" w:firstLineChars="196"/>
        <w:rPr>
          <w:rFonts w:ascii="宋体" w:hAnsi="宋体"/>
          <w:szCs w:val="21"/>
          <w:highlight w:val="none"/>
        </w:rPr>
      </w:pPr>
      <w:r>
        <w:rPr>
          <w:rFonts w:hint="eastAsia" w:ascii="宋体" w:hAnsi="宋体"/>
          <w:szCs w:val="21"/>
          <w:highlight w:val="none"/>
        </w:rPr>
        <w:t>第一章  招标公告</w:t>
      </w:r>
    </w:p>
    <w:p w14:paraId="178FED70">
      <w:pPr>
        <w:ind w:left="630" w:leftChars="300" w:firstLine="411" w:firstLineChars="196"/>
        <w:rPr>
          <w:rFonts w:ascii="宋体" w:hAnsi="宋体"/>
          <w:szCs w:val="21"/>
          <w:highlight w:val="none"/>
        </w:rPr>
      </w:pPr>
      <w:r>
        <w:rPr>
          <w:rFonts w:hint="eastAsia" w:ascii="宋体" w:hAnsi="宋体"/>
          <w:szCs w:val="21"/>
          <w:highlight w:val="none"/>
        </w:rPr>
        <w:t>第二章  对通用条款的补充内容及其他关键信息</w:t>
      </w:r>
    </w:p>
    <w:p w14:paraId="19371839">
      <w:pPr>
        <w:ind w:left="630" w:leftChars="300" w:firstLine="411" w:firstLineChars="196"/>
        <w:rPr>
          <w:rFonts w:ascii="宋体" w:hAnsi="宋体"/>
          <w:szCs w:val="21"/>
          <w:highlight w:val="none"/>
        </w:rPr>
      </w:pPr>
      <w:r>
        <w:rPr>
          <w:rFonts w:hint="eastAsia" w:ascii="宋体" w:hAnsi="宋体"/>
          <w:szCs w:val="21"/>
          <w:highlight w:val="none"/>
        </w:rPr>
        <w:t>第三章  用户需求书</w:t>
      </w:r>
    </w:p>
    <w:p w14:paraId="55DB4834">
      <w:pPr>
        <w:ind w:left="630" w:leftChars="300" w:firstLine="411" w:firstLineChars="196"/>
        <w:rPr>
          <w:rFonts w:ascii="宋体" w:hAnsi="宋体"/>
          <w:szCs w:val="21"/>
          <w:highlight w:val="none"/>
        </w:rPr>
      </w:pPr>
      <w:r>
        <w:rPr>
          <w:rFonts w:hint="eastAsia"/>
          <w:highlight w:val="none"/>
        </w:rPr>
        <w:t xml:space="preserve">第四章 </w:t>
      </w:r>
      <w:r>
        <w:rPr>
          <w:highlight w:val="none"/>
        </w:rPr>
        <w:t xml:space="preserve"> </w:t>
      </w:r>
      <w:r>
        <w:rPr>
          <w:rFonts w:hint="eastAsia"/>
          <w:highlight w:val="none"/>
        </w:rPr>
        <w:t>投标文件格式及附件</w:t>
      </w:r>
    </w:p>
    <w:p w14:paraId="690D5528">
      <w:pPr>
        <w:ind w:left="630" w:leftChars="300" w:firstLine="411" w:firstLineChars="196"/>
        <w:rPr>
          <w:rFonts w:ascii="宋体" w:hAnsi="宋体"/>
          <w:szCs w:val="21"/>
          <w:highlight w:val="none"/>
        </w:rPr>
      </w:pPr>
      <w:r>
        <w:rPr>
          <w:rFonts w:hint="eastAsia" w:ascii="宋体" w:hAnsi="宋体"/>
          <w:szCs w:val="21"/>
          <w:highlight w:val="none"/>
        </w:rPr>
        <w:t>第五章  合同条款及格式</w:t>
      </w:r>
    </w:p>
    <w:p w14:paraId="63682C9A">
      <w:pPr>
        <w:ind w:left="420" w:leftChars="200" w:firstLine="413" w:firstLineChars="196"/>
        <w:rPr>
          <w:rFonts w:ascii="宋体" w:hAnsi="宋体"/>
          <w:b/>
          <w:szCs w:val="21"/>
          <w:highlight w:val="none"/>
        </w:rPr>
      </w:pPr>
      <w:r>
        <w:rPr>
          <w:rFonts w:hint="eastAsia" w:ascii="宋体" w:hAnsi="宋体"/>
          <w:b/>
          <w:szCs w:val="21"/>
          <w:highlight w:val="none"/>
        </w:rPr>
        <w:t>第二册  通用条款</w:t>
      </w:r>
    </w:p>
    <w:p w14:paraId="58197F97">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3A477E3F">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5DB0F72E">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19C96680">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5CEE1BD0">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1B6AB93E">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600C0957">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219D558B">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782F1BBE">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03E10BB2">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08686914">
      <w:pPr>
        <w:ind w:left="630" w:leftChars="300" w:firstLine="411" w:firstLineChars="196"/>
        <w:rPr>
          <w:rFonts w:ascii="宋体" w:hAnsi="宋体"/>
          <w:szCs w:val="21"/>
          <w:highlight w:val="none"/>
        </w:rPr>
      </w:pPr>
      <w:r>
        <w:rPr>
          <w:rFonts w:hint="eastAsia" w:ascii="宋体" w:hAnsi="宋体"/>
          <w:szCs w:val="21"/>
          <w:highlight w:val="none"/>
        </w:rPr>
        <w:t>第十一章  质疑处理</w:t>
      </w:r>
    </w:p>
    <w:p w14:paraId="18AD00A9">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6FCC875F">
      <w:pPr>
        <w:ind w:firstLine="411" w:firstLineChars="196"/>
        <w:rPr>
          <w:rFonts w:hint="eastAsia" w:ascii="宋体" w:hAnsi="宋体"/>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w:t>
      </w:r>
      <w:r>
        <w:rPr>
          <w:rFonts w:hint="eastAsia" w:ascii="宋体" w:hAnsi="宋体"/>
          <w:highlight w:val="none"/>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8038115">
      <w:pPr>
        <w:pStyle w:val="2"/>
        <w:ind w:firstLine="420" w:firstLineChars="200"/>
        <w:rPr>
          <w:highlight w:val="none"/>
        </w:rPr>
      </w:pPr>
      <w:r>
        <w:rPr>
          <w:rFonts w:hint="eastAsia" w:ascii="宋体" w:hAnsi="宋体" w:eastAsia="宋体" w:cs="Times New Roman"/>
          <w:b w:val="0"/>
          <w:bCs w:val="0"/>
          <w:kern w:val="2"/>
          <w:sz w:val="21"/>
          <w:szCs w:val="24"/>
          <w:highlight w:val="none"/>
          <w:lang w:val="en-US" w:eastAsia="zh-CN" w:bidi="ar-SA"/>
        </w:rPr>
        <w:t>11.4</w:t>
      </w:r>
      <w:r>
        <w:rPr>
          <w:rFonts w:hint="eastAsia" w:ascii="宋体" w:hAnsi="宋体" w:cs="Times New Roman"/>
          <w:b w:val="0"/>
          <w:bCs w:val="0"/>
          <w:kern w:val="2"/>
          <w:sz w:val="21"/>
          <w:szCs w:val="24"/>
          <w:highlight w:val="none"/>
          <w:lang w:val="en-US" w:eastAsia="zh-CN" w:bidi="ar-SA"/>
        </w:rPr>
        <w:t>招标文件所称“原件</w:t>
      </w:r>
      <w:r>
        <w:rPr>
          <w:rFonts w:hint="eastAsia" w:ascii="宋体" w:hAnsi="宋体" w:eastAsia="宋体" w:cs="Times New Roman"/>
          <w:b w:val="0"/>
          <w:bCs w:val="0"/>
          <w:kern w:val="2"/>
          <w:sz w:val="21"/>
          <w:szCs w:val="24"/>
          <w:highlight w:val="none"/>
          <w:lang w:val="en-US" w:eastAsia="zh-CN" w:bidi="ar-SA"/>
        </w:rPr>
        <w:t>备查</w:t>
      </w:r>
      <w:r>
        <w:rPr>
          <w:rFonts w:hint="eastAsia" w:ascii="宋体" w:hAnsi="宋体" w:cs="Times New Roman"/>
          <w:b w:val="0"/>
          <w:bCs w:val="0"/>
          <w:kern w:val="2"/>
          <w:sz w:val="21"/>
          <w:szCs w:val="24"/>
          <w:highlight w:val="none"/>
          <w:lang w:val="en-US" w:eastAsia="zh-CN" w:bidi="ar-SA"/>
        </w:rPr>
        <w:t>”，</w:t>
      </w:r>
      <w:r>
        <w:rPr>
          <w:rFonts w:hint="eastAsia" w:ascii="宋体" w:hAnsi="宋体" w:eastAsia="宋体" w:cs="Times New Roman"/>
          <w:b w:val="0"/>
          <w:bCs w:val="0"/>
          <w:kern w:val="2"/>
          <w:sz w:val="21"/>
          <w:szCs w:val="24"/>
          <w:highlight w:val="none"/>
          <w:lang w:val="en-US" w:eastAsia="zh-CN" w:bidi="ar-SA"/>
        </w:rPr>
        <w:t>是指在项目产生质疑、投诉等阶段，主管部门、采购人、代理机构、评审委员会等可以要求供应商提供原件进行核查。</w:t>
      </w:r>
    </w:p>
    <w:p w14:paraId="57327FB4">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2</w:t>
      </w:r>
      <w:r>
        <w:rPr>
          <w:rFonts w:hint="eastAsia" w:ascii="黑体" w:hAnsi="宋体" w:eastAsia="黑体"/>
          <w:sz w:val="24"/>
          <w:highlight w:val="none"/>
        </w:rPr>
        <w:t>．招标文件的澄清</w:t>
      </w:r>
    </w:p>
    <w:p w14:paraId="10B8CCA1">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14:paraId="03EC3B09">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.2投标人如对招标文件内容有疑问，应当在招标公告规定的澄清（提问）截止时间前以网上提问的形式通过网上政府采购系统提交政府集中采购机构。</w:t>
      </w:r>
    </w:p>
    <w:p w14:paraId="34875F84">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14:paraId="1DC8F1B5">
      <w:pPr>
        <w:rPr>
          <w:rFonts w:ascii="黑体" w:hAnsi="宋体" w:eastAsia="黑体"/>
          <w:sz w:val="24"/>
          <w:highlight w:val="none"/>
        </w:rPr>
      </w:pPr>
      <w:r>
        <w:rPr>
          <w:rFonts w:ascii="黑体" w:hAnsi="宋体" w:eastAsia="黑体"/>
          <w:sz w:val="24"/>
          <w:highlight w:val="none"/>
        </w:rPr>
        <w:t>1</w:t>
      </w:r>
      <w:r>
        <w:rPr>
          <w:rFonts w:hint="eastAsia" w:ascii="黑体" w:hAnsi="宋体" w:eastAsia="黑体"/>
          <w:sz w:val="24"/>
          <w:highlight w:val="none"/>
        </w:rPr>
        <w:t>3．招标文件的修改</w:t>
      </w:r>
    </w:p>
    <w:p w14:paraId="178BE078">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3.1招标文件发出后，在投标截止日期前任何时候，确需要变更招标文件内容的，政府集中采购机构可主动或在解答投标人提出的澄清问题时对招标文件进行修改。</w:t>
      </w:r>
    </w:p>
    <w:p w14:paraId="5C68AEFB">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3.2招标文件的修改以书面形式（包括政府集中采购机构网站发布方式，如更正公告等）发送给所有投标人，招标文件的修改内容作为招标文件的组成部分，并具有约束力。</w:t>
      </w:r>
    </w:p>
    <w:p w14:paraId="39E3E0F6">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738CAEF">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8"/>
    </w:p>
    <w:p w14:paraId="13EA8DFB">
      <w:pPr>
        <w:rPr>
          <w:rFonts w:ascii="宋体" w:hAnsi="宋体"/>
          <w:szCs w:val="21"/>
          <w:highlight w:val="none"/>
        </w:rPr>
      </w:pPr>
    </w:p>
    <w:p w14:paraId="48DEF0BF">
      <w:pPr>
        <w:pStyle w:val="7"/>
        <w:numPr>
          <w:ilvl w:val="0"/>
          <w:numId w:val="8"/>
        </w:numPr>
        <w:spacing w:before="120" w:beforeLines="50" w:after="120" w:afterLines="50"/>
        <w:ind w:left="562" w:hanging="562"/>
        <w:rPr>
          <w:sz w:val="28"/>
          <w:szCs w:val="28"/>
          <w:highlight w:val="none"/>
        </w:rPr>
      </w:pPr>
      <w:r>
        <w:rPr>
          <w:rFonts w:hint="eastAsia"/>
          <w:sz w:val="28"/>
          <w:szCs w:val="28"/>
          <w:highlight w:val="none"/>
        </w:rPr>
        <w:t>投标文件的编制</w:t>
      </w:r>
    </w:p>
    <w:p w14:paraId="5AB07692">
      <w:pPr>
        <w:rPr>
          <w:rFonts w:ascii="黑体" w:hAnsi="宋体" w:eastAsia="黑体"/>
          <w:sz w:val="24"/>
          <w:highlight w:val="none"/>
        </w:rPr>
      </w:pPr>
      <w:r>
        <w:rPr>
          <w:rFonts w:hint="eastAsia" w:ascii="黑体" w:hAnsi="宋体" w:eastAsia="黑体"/>
          <w:sz w:val="24"/>
          <w:highlight w:val="none"/>
        </w:rPr>
        <w:t>14．</w:t>
      </w:r>
      <w:bookmarkStart w:id="49" w:name="_Hlk72400236"/>
      <w:r>
        <w:rPr>
          <w:rFonts w:hint="eastAsia" w:ascii="黑体" w:hAnsi="宋体" w:eastAsia="黑体"/>
          <w:sz w:val="24"/>
          <w:highlight w:val="none"/>
        </w:rPr>
        <w:t>投标文件的语言及度量单位</w:t>
      </w:r>
    </w:p>
    <w:p w14:paraId="5BD5E16B">
      <w:pPr>
        <w:ind w:firstLine="411" w:firstLineChars="196"/>
        <w:rPr>
          <w:rFonts w:ascii="宋体" w:hAnsi="宋体"/>
          <w:szCs w:val="21"/>
          <w:highlight w:val="none"/>
        </w:rPr>
      </w:pPr>
      <w:r>
        <w:rPr>
          <w:rFonts w:hint="eastAsia" w:ascii="宋体" w:hAnsi="宋体"/>
          <w:szCs w:val="21"/>
          <w:highlight w:val="none"/>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0F616721">
      <w:pPr>
        <w:ind w:firstLine="411" w:firstLineChars="196"/>
        <w:rPr>
          <w:rFonts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49"/>
    <w:p w14:paraId="25DB1BF2">
      <w:pPr>
        <w:rPr>
          <w:rFonts w:ascii="黑体" w:hAnsi="宋体" w:eastAsia="黑体"/>
          <w:sz w:val="24"/>
          <w:highlight w:val="none"/>
        </w:rPr>
      </w:pPr>
      <w:r>
        <w:rPr>
          <w:rFonts w:hint="eastAsia" w:ascii="黑体" w:hAnsi="宋体" w:eastAsia="黑体"/>
          <w:sz w:val="24"/>
          <w:highlight w:val="none"/>
        </w:rPr>
        <w:t>15．</w:t>
      </w:r>
      <w:bookmarkStart w:id="50" w:name="_Hlk72401567"/>
      <w:r>
        <w:rPr>
          <w:rFonts w:hint="eastAsia" w:ascii="黑体" w:hAnsi="宋体" w:eastAsia="黑体"/>
          <w:sz w:val="24"/>
          <w:highlight w:val="none"/>
        </w:rPr>
        <w:t>投标文件的组成</w:t>
      </w:r>
    </w:p>
    <w:p w14:paraId="7D545B6C">
      <w:pPr>
        <w:ind w:firstLine="411" w:firstLineChars="196"/>
        <w:rPr>
          <w:rFonts w:ascii="宋体" w:hAnsi="宋体"/>
          <w:szCs w:val="21"/>
          <w:highlight w:val="none"/>
        </w:rPr>
      </w:pPr>
      <w:r>
        <w:rPr>
          <w:rFonts w:hint="eastAsia" w:ascii="宋体" w:hAnsi="宋体"/>
          <w:szCs w:val="21"/>
          <w:highlight w:val="none"/>
        </w:rPr>
        <w:t>具体内容在招标文件专用条款中进行规定。</w:t>
      </w:r>
    </w:p>
    <w:p w14:paraId="291DE83F">
      <w:pPr>
        <w:rPr>
          <w:rFonts w:ascii="黑体" w:hAnsi="宋体" w:eastAsia="黑体"/>
          <w:sz w:val="24"/>
          <w:highlight w:val="none"/>
        </w:rPr>
      </w:pPr>
      <w:r>
        <w:rPr>
          <w:rFonts w:ascii="黑体" w:hAnsi="宋体" w:eastAsia="黑体"/>
          <w:sz w:val="24"/>
          <w:highlight w:val="none"/>
        </w:rPr>
        <w:t>16．投标文件格式</w:t>
      </w:r>
    </w:p>
    <w:p w14:paraId="2EEA536B">
      <w:pPr>
        <w:ind w:firstLine="411" w:firstLineChars="196"/>
        <w:rPr>
          <w:rFonts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15条中规定的内容。如招标文件提供了投标文件格式，则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14:paraId="27A483C0">
      <w:pPr>
        <w:rPr>
          <w:rFonts w:ascii="黑体" w:hAnsi="宋体" w:eastAsia="黑体"/>
          <w:sz w:val="24"/>
          <w:highlight w:val="none"/>
        </w:rPr>
      </w:pPr>
      <w:r>
        <w:rPr>
          <w:rFonts w:hint="eastAsia" w:ascii="黑体" w:hAnsi="宋体" w:eastAsia="黑体"/>
          <w:sz w:val="24"/>
          <w:highlight w:val="none"/>
        </w:rPr>
        <w:t>17．投标货币</w:t>
      </w:r>
    </w:p>
    <w:p w14:paraId="12C6B2CC">
      <w:pPr>
        <w:ind w:firstLine="411" w:firstLineChars="196"/>
        <w:rPr>
          <w:rFonts w:ascii="宋体" w:hAnsi="宋体"/>
          <w:szCs w:val="21"/>
          <w:highlight w:val="none"/>
        </w:rPr>
      </w:pPr>
      <w:r>
        <w:rPr>
          <w:rFonts w:hint="eastAsia" w:ascii="宋体" w:hAnsi="宋体"/>
          <w:szCs w:val="21"/>
          <w:highlight w:val="none"/>
        </w:rPr>
        <w:t>本项目的投标报价应以人民币计。</w:t>
      </w:r>
    </w:p>
    <w:bookmarkEnd w:id="50"/>
    <w:p w14:paraId="113089CD">
      <w:pPr>
        <w:rPr>
          <w:rFonts w:ascii="黑体" w:hAnsi="宋体" w:eastAsia="黑体"/>
          <w:sz w:val="24"/>
          <w:highlight w:val="none"/>
        </w:rPr>
      </w:pPr>
      <w:r>
        <w:rPr>
          <w:rFonts w:hint="eastAsia" w:ascii="黑体" w:hAnsi="宋体" w:eastAsia="黑体"/>
          <w:sz w:val="24"/>
          <w:highlight w:val="none"/>
        </w:rPr>
        <w:t>18．</w:t>
      </w:r>
      <w:bookmarkStart w:id="51" w:name="_Hlk72401735"/>
      <w:r>
        <w:rPr>
          <w:rFonts w:hint="eastAsia" w:ascii="黑体" w:hAnsi="宋体" w:eastAsia="黑体"/>
          <w:sz w:val="24"/>
          <w:highlight w:val="none"/>
        </w:rPr>
        <w:t>证明投标文件投标技术方案的合格性和符合招标文件规定的文件要求</w:t>
      </w:r>
    </w:p>
    <w:p w14:paraId="3FB6B798">
      <w:pPr>
        <w:ind w:firstLine="411" w:firstLineChars="196"/>
        <w:rPr>
          <w:rFonts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14:paraId="1F6CFF7C">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71B51BCA">
      <w:pPr>
        <w:ind w:firstLine="411" w:firstLineChars="196"/>
        <w:rPr>
          <w:rFonts w:ascii="宋体" w:hAnsi="宋体"/>
          <w:szCs w:val="21"/>
          <w:highlight w:val="none"/>
        </w:rPr>
      </w:pPr>
      <w:r>
        <w:rPr>
          <w:rFonts w:hint="eastAsia" w:ascii="宋体" w:hAnsi="宋体"/>
          <w:szCs w:val="21"/>
          <w:highlight w:val="none"/>
        </w:rPr>
        <w:t>18.2.1主要技术指标和性能的详细说明。</w:t>
      </w:r>
    </w:p>
    <w:p w14:paraId="5ABBAE78">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14:paraId="3FCC6F5D">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01218EE">
      <w:pPr>
        <w:ind w:firstLine="411" w:firstLineChars="196"/>
        <w:rPr>
          <w:rFonts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highlight w:val="none"/>
        </w:rPr>
        <w:t>清晰度要求能够使用电脑阅读、识别和判断</w:t>
      </w:r>
      <w:r>
        <w:rPr>
          <w:rFonts w:hint="eastAsia" w:ascii="宋体" w:hAnsi="宋体"/>
          <w:szCs w:val="21"/>
          <w:highlight w:val="none"/>
        </w:rPr>
        <w:t>；</w:t>
      </w:r>
    </w:p>
    <w:p w14:paraId="6BAE9D68">
      <w:pPr>
        <w:ind w:firstLine="411" w:firstLineChars="196"/>
        <w:rPr>
          <w:rFonts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382F3585">
      <w:pPr>
        <w:ind w:firstLine="411" w:firstLineChars="196"/>
        <w:rPr>
          <w:rFonts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14:paraId="61BF906D">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highlight w:val="none"/>
        </w:rPr>
        <w:t>满足要求</w:t>
      </w:r>
      <w:r>
        <w:rPr>
          <w:rFonts w:hint="eastAsia" w:ascii="宋体" w:hAnsi="宋体"/>
          <w:szCs w:val="21"/>
          <w:highlight w:val="none"/>
        </w:rPr>
        <w:t>，由评审委员会来评判。</w:t>
      </w:r>
    </w:p>
    <w:p w14:paraId="4E864CCF">
      <w:pPr>
        <w:ind w:firstLine="411" w:firstLineChars="196"/>
        <w:rPr>
          <w:rFonts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51"/>
    <w:p w14:paraId="6F2DBA76">
      <w:pPr>
        <w:rPr>
          <w:rFonts w:ascii="黑体" w:hAnsi="宋体" w:eastAsia="黑体"/>
          <w:sz w:val="24"/>
          <w:highlight w:val="none"/>
        </w:rPr>
      </w:pPr>
      <w:r>
        <w:rPr>
          <w:rFonts w:hint="eastAsia" w:ascii="黑体" w:hAnsi="宋体" w:eastAsia="黑体"/>
          <w:sz w:val="24"/>
          <w:highlight w:val="none"/>
        </w:rPr>
        <w:t>19．</w:t>
      </w:r>
      <w:bookmarkStart w:id="52" w:name="_Hlk72402034"/>
      <w:r>
        <w:rPr>
          <w:rFonts w:hint="eastAsia" w:ascii="黑体" w:hAnsi="宋体" w:eastAsia="黑体"/>
          <w:sz w:val="24"/>
          <w:highlight w:val="none"/>
        </w:rPr>
        <w:t>投标文件其他证明文件的要求</w:t>
      </w:r>
    </w:p>
    <w:p w14:paraId="0BBB470E">
      <w:pPr>
        <w:rPr>
          <w:rFonts w:ascii="宋体" w:hAnsi="宋体"/>
          <w:color w:val="FF0000"/>
          <w:szCs w:val="21"/>
          <w:highlight w:val="none"/>
        </w:rPr>
      </w:pPr>
      <w:r>
        <w:rPr>
          <w:rFonts w:hint="eastAsia" w:ascii="黑体" w:hAnsi="宋体" w:eastAsia="黑体"/>
          <w:sz w:val="24"/>
          <w:highlight w:val="none"/>
        </w:rPr>
        <w:t xml:space="preserve">    </w:t>
      </w: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3" w:name="_Hlk71407299"/>
      <w:r>
        <w:rPr>
          <w:rFonts w:hint="eastAsia" w:ascii="宋体" w:hAnsi="宋体"/>
          <w:szCs w:val="21"/>
          <w:highlight w:val="none"/>
        </w:rPr>
        <w:t>若投标人未按要求提供证明材料或提供的是部分证明材料或提供不清晰的扫描件（或照片）的，采购人</w:t>
      </w:r>
      <w:r>
        <w:rPr>
          <w:rFonts w:hint="eastAsia" w:ascii="宋体" w:hAnsi="宋体"/>
          <w:szCs w:val="21"/>
          <w:highlight w:val="none"/>
          <w:lang w:eastAsia="zh-CN"/>
        </w:rPr>
        <w:t>、</w:t>
      </w:r>
      <w:r>
        <w:rPr>
          <w:rFonts w:hint="eastAsia" w:ascii="宋体" w:hAnsi="宋体"/>
          <w:szCs w:val="21"/>
          <w:highlight w:val="none"/>
        </w:rPr>
        <w:t>代理机构</w:t>
      </w:r>
      <w:r>
        <w:rPr>
          <w:rFonts w:hint="eastAsia" w:ascii="宋体" w:hAnsi="宋体"/>
          <w:szCs w:val="21"/>
          <w:highlight w:val="none"/>
          <w:lang w:val="en-US" w:eastAsia="zh-CN"/>
        </w:rPr>
        <w:t>以及</w:t>
      </w:r>
      <w:r>
        <w:rPr>
          <w:rFonts w:hint="eastAsia" w:ascii="宋体" w:hAnsi="宋体"/>
          <w:szCs w:val="21"/>
          <w:highlight w:val="none"/>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3"/>
    <w:p w14:paraId="7A0034AE">
      <w:pPr>
        <w:ind w:firstLine="411" w:firstLineChars="196"/>
        <w:rPr>
          <w:rFonts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3F048F9A">
      <w:pPr>
        <w:rPr>
          <w:rFonts w:ascii="黑体" w:hAnsi="宋体" w:eastAsia="黑体"/>
          <w:sz w:val="24"/>
          <w:highlight w:val="none"/>
        </w:rPr>
      </w:pPr>
      <w:r>
        <w:rPr>
          <w:rFonts w:hint="eastAsia" w:ascii="黑体" w:hAnsi="宋体" w:eastAsia="黑体"/>
          <w:sz w:val="24"/>
          <w:highlight w:val="none"/>
        </w:rPr>
        <w:t>20．投标有效期</w:t>
      </w:r>
    </w:p>
    <w:bookmarkEnd w:id="52"/>
    <w:p w14:paraId="49636314">
      <w:pPr>
        <w:ind w:firstLine="411" w:firstLineChars="196"/>
        <w:rPr>
          <w:rFonts w:ascii="宋体" w:hAnsi="宋体"/>
          <w:szCs w:val="21"/>
          <w:highlight w:val="none"/>
        </w:rPr>
      </w:pPr>
      <w:bookmarkStart w:id="54"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14:paraId="477FF728">
      <w:pPr>
        <w:ind w:firstLine="411" w:firstLineChars="196"/>
        <w:rPr>
          <w:rFonts w:ascii="宋体" w:hAnsi="宋体"/>
          <w:szCs w:val="21"/>
          <w:highlight w:val="none"/>
        </w:rPr>
      </w:pPr>
      <w:r>
        <w:rPr>
          <w:rFonts w:hint="eastAsia" w:ascii="宋体" w:hAnsi="宋体"/>
          <w:szCs w:val="21"/>
          <w:highlight w:val="none"/>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561DB183">
      <w:pPr>
        <w:ind w:firstLine="411" w:firstLineChars="196"/>
        <w:rPr>
          <w:rFonts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54"/>
    <w:p w14:paraId="1092EEE5">
      <w:pPr>
        <w:rPr>
          <w:rFonts w:ascii="黑体" w:hAnsi="宋体" w:eastAsia="黑体"/>
          <w:sz w:val="24"/>
          <w:highlight w:val="none"/>
        </w:rPr>
      </w:pPr>
      <w:r>
        <w:rPr>
          <w:rFonts w:hint="eastAsia" w:ascii="黑体" w:hAnsi="宋体" w:eastAsia="黑体"/>
          <w:sz w:val="24"/>
          <w:highlight w:val="none"/>
        </w:rPr>
        <w:t>21．</w:t>
      </w:r>
      <w:bookmarkStart w:id="55" w:name="_Hlk72402325"/>
      <w:r>
        <w:rPr>
          <w:rFonts w:hint="eastAsia" w:ascii="黑体" w:hAnsi="宋体" w:eastAsia="黑体"/>
          <w:sz w:val="24"/>
          <w:highlight w:val="none"/>
        </w:rPr>
        <w:t xml:space="preserve">关于投标保证金 </w:t>
      </w:r>
    </w:p>
    <w:p w14:paraId="6E916479">
      <w:pPr>
        <w:rPr>
          <w:rFonts w:ascii="宋体" w:hAnsi="宋体"/>
          <w:szCs w:val="21"/>
          <w:highlight w:val="none"/>
        </w:rPr>
      </w:pPr>
      <w:r>
        <w:rPr>
          <w:rFonts w:hint="eastAsia" w:ascii="宋体" w:hAnsi="宋体"/>
          <w:szCs w:val="21"/>
          <w:highlight w:val="none"/>
        </w:rPr>
        <w:t xml:space="preserve">    21.1 </w:t>
      </w:r>
      <w:r>
        <w:rPr>
          <w:rFonts w:hint="eastAsia"/>
          <w:highlight w:val="none"/>
        </w:rPr>
        <w:t>根据《深圳市财政局关于调整政府采购投标（响应）保证金管理政策的通知》（深财购〔2021〕51号）文的规定，本项目不收取投标保证金。</w:t>
      </w:r>
    </w:p>
    <w:p w14:paraId="07816550">
      <w:pPr>
        <w:rPr>
          <w:rFonts w:ascii="黑体" w:hAnsi="宋体" w:eastAsia="黑体"/>
          <w:sz w:val="24"/>
          <w:highlight w:val="none"/>
        </w:rPr>
      </w:pPr>
      <w:r>
        <w:rPr>
          <w:rFonts w:hint="eastAsia" w:ascii="黑体" w:hAnsi="宋体" w:eastAsia="黑体"/>
          <w:sz w:val="24"/>
          <w:highlight w:val="none"/>
        </w:rPr>
        <w:t>22．投标人的替代方案</w:t>
      </w:r>
    </w:p>
    <w:p w14:paraId="06E3BAD1">
      <w:pPr>
        <w:ind w:firstLine="411" w:firstLineChars="196"/>
        <w:rPr>
          <w:rFonts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67FD8D18">
      <w:pPr>
        <w:ind w:firstLine="411" w:firstLineChars="196"/>
        <w:rPr>
          <w:rFonts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5"/>
    <w:p w14:paraId="6B8E9292">
      <w:pPr>
        <w:rPr>
          <w:rFonts w:ascii="黑体" w:hAnsi="宋体" w:eastAsia="黑体"/>
          <w:sz w:val="24"/>
          <w:highlight w:val="none"/>
        </w:rPr>
      </w:pPr>
      <w:r>
        <w:rPr>
          <w:rFonts w:hint="eastAsia" w:ascii="黑体" w:hAnsi="宋体" w:eastAsia="黑体"/>
          <w:sz w:val="24"/>
          <w:highlight w:val="none"/>
        </w:rPr>
        <w:t>23．</w:t>
      </w:r>
      <w:bookmarkStart w:id="56" w:name="_Hlk72402860"/>
      <w:r>
        <w:rPr>
          <w:rFonts w:ascii="黑体" w:hAnsi="宋体" w:eastAsia="黑体"/>
          <w:sz w:val="24"/>
          <w:highlight w:val="none"/>
        </w:rPr>
        <w:t>投标文件的</w:t>
      </w:r>
      <w:r>
        <w:rPr>
          <w:rFonts w:hint="eastAsia" w:ascii="黑体" w:hAnsi="宋体" w:eastAsia="黑体"/>
          <w:sz w:val="24"/>
          <w:highlight w:val="none"/>
        </w:rPr>
        <w:t>制作</w:t>
      </w:r>
      <w:r>
        <w:rPr>
          <w:rFonts w:ascii="黑体" w:hAnsi="宋体" w:eastAsia="黑体"/>
          <w:sz w:val="24"/>
          <w:highlight w:val="none"/>
        </w:rPr>
        <w:t>要求</w:t>
      </w:r>
    </w:p>
    <w:p w14:paraId="3B89DA1F">
      <w:pPr>
        <w:ind w:firstLine="411" w:firstLineChars="196"/>
        <w:rPr>
          <w:rFonts w:hint="eastAsia" w:ascii="宋体" w:hAnsi="宋体"/>
          <w:highlight w:val="none"/>
        </w:rPr>
      </w:pPr>
      <w:r>
        <w:rPr>
          <w:rFonts w:hint="eastAsia" w:ascii="宋体" w:hAnsi="宋体"/>
          <w:highlight w:val="none"/>
        </w:rPr>
        <w:t>23.1投标人应准备所投项目的电子投标文件一份。此电子投标文件须由投标人根据政府集中采购机构提供的后缀名为</w:t>
      </w:r>
      <w:r>
        <w:rPr>
          <w:rFonts w:ascii="宋体" w:hAnsi="宋体" w:eastAsia="宋体" w:cs="宋体"/>
          <w:sz w:val="24"/>
          <w:szCs w:val="24"/>
          <w:highlight w:val="none"/>
        </w:rPr>
        <w:t>.TYZB</w:t>
      </w:r>
      <w:r>
        <w:rPr>
          <w:rFonts w:hint="eastAsia" w:ascii="宋体" w:hAnsi="宋体"/>
          <w:highlight w:val="none"/>
        </w:rPr>
        <w:t>的电子招标文件，下载并使用相应的深圳政府采购自行采购系统投标文件制作专用软件打开招标文件（</w:t>
      </w:r>
      <w:r>
        <w:rPr>
          <w:rFonts w:ascii="宋体" w:hAnsi="宋体" w:eastAsia="宋体" w:cs="宋体"/>
          <w:sz w:val="24"/>
          <w:szCs w:val="24"/>
          <w:highlight w:val="none"/>
        </w:rPr>
        <w:t>.TYZB</w:t>
      </w:r>
      <w:r>
        <w:rPr>
          <w:rFonts w:hint="eastAsia" w:ascii="宋体" w:hAnsi="宋体"/>
          <w:highlight w:val="none"/>
        </w:rPr>
        <w:t>格式）【下载地址：</w:t>
      </w:r>
      <w:r>
        <w:rPr>
          <w:rFonts w:hint="eastAsia" w:ascii="宋体" w:hAnsi="宋体"/>
          <w:highlight w:val="none"/>
        </w:rPr>
        <w:fldChar w:fldCharType="begin"/>
      </w:r>
      <w:r>
        <w:rPr>
          <w:rFonts w:hint="eastAsia" w:ascii="宋体" w:hAnsi="宋体"/>
          <w:highlight w:val="none"/>
        </w:rPr>
        <w:instrText xml:space="preserve"> HYPERLINK "https://www.szggzy.com/jyfw/details.html?contentId=2053275】。" </w:instrText>
      </w:r>
      <w:r>
        <w:rPr>
          <w:rFonts w:hint="eastAsia" w:ascii="宋体" w:hAnsi="宋体"/>
          <w:highlight w:val="none"/>
        </w:rPr>
        <w:fldChar w:fldCharType="separate"/>
      </w:r>
      <w:r>
        <w:rPr>
          <w:rStyle w:val="48"/>
          <w:rFonts w:hint="eastAsia" w:ascii="宋体" w:hAnsi="宋体"/>
          <w:highlight w:val="none"/>
        </w:rPr>
        <w:t>https://www.szggzy.com/jyfw/details.html?contentId=2053275】。</w:t>
      </w:r>
      <w:r>
        <w:rPr>
          <w:rFonts w:hint="eastAsia" w:ascii="宋体" w:hAnsi="宋体"/>
          <w:highlight w:val="none"/>
        </w:rPr>
        <w:fldChar w:fldCharType="end"/>
      </w:r>
    </w:p>
    <w:p w14:paraId="3F46B4CC">
      <w:pPr>
        <w:ind w:firstLine="411" w:firstLineChars="196"/>
        <w:rPr>
          <w:rFonts w:ascii="宋体" w:hAnsi="宋体"/>
          <w:highlight w:val="none"/>
        </w:rPr>
      </w:pPr>
      <w:r>
        <w:rPr>
          <w:rFonts w:hint="eastAsia" w:ascii="宋体" w:hAnsi="宋体"/>
          <w:highlight w:val="none"/>
        </w:rPr>
        <w:t>23.2投标人在使用《投标书编制软件》编制投标书时须注意：</w:t>
      </w:r>
    </w:p>
    <w:p w14:paraId="40007FF6">
      <w:pPr>
        <w:ind w:firstLine="411" w:firstLineChars="196"/>
        <w:rPr>
          <w:rFonts w:ascii="宋体" w:hAnsi="宋体"/>
          <w:highlight w:val="none"/>
        </w:rPr>
      </w:pPr>
      <w:r>
        <w:rPr>
          <w:rFonts w:hint="eastAsia" w:ascii="宋体" w:hAnsi="宋体"/>
          <w:highlight w:val="none"/>
        </w:rPr>
        <w:t>23.2.1导入《投标书编制软件》的招标文件项目编号、包号应与以此制作的投标文件项目编号、包号一致。例如，不能将甲项目A包的招标书导入《投标书编制软件》，制作乙项目B包的投标书。</w:t>
      </w:r>
    </w:p>
    <w:p w14:paraId="257D4272">
      <w:pPr>
        <w:ind w:firstLine="411" w:firstLineChars="196"/>
        <w:rPr>
          <w:rFonts w:ascii="宋体" w:hAnsi="宋体"/>
          <w:highlight w:val="none"/>
        </w:rPr>
      </w:pPr>
      <w:r>
        <w:rPr>
          <w:rFonts w:hint="eastAsia" w:ascii="宋体" w:hAnsi="宋体"/>
          <w:highlight w:val="none"/>
        </w:rPr>
        <w:t>23.2.2不能用非本公司的电子密钥加密本公司的投标文件，或者用其它公司的登录用户上传本公司的投标文件。</w:t>
      </w:r>
    </w:p>
    <w:p w14:paraId="09ACD925">
      <w:pPr>
        <w:ind w:firstLine="411" w:firstLineChars="196"/>
        <w:rPr>
          <w:rFonts w:ascii="宋体" w:hAnsi="宋体"/>
          <w:highlight w:val="none"/>
        </w:rPr>
      </w:pPr>
      <w:r>
        <w:rPr>
          <w:rFonts w:hint="eastAsia" w:ascii="宋体" w:hAnsi="宋体"/>
          <w:highlight w:val="none"/>
        </w:rPr>
        <w:t>23.2.3要求用《投标书编制软件》编制投标书的包，不能用其它方式编制投标书。编制投标文件时，电脑须连通互联网。</w:t>
      </w:r>
    </w:p>
    <w:p w14:paraId="7AE63223">
      <w:pPr>
        <w:ind w:firstLine="411" w:firstLineChars="196"/>
        <w:rPr>
          <w:rFonts w:ascii="宋体" w:hAnsi="宋体"/>
          <w:highlight w:val="none"/>
        </w:rPr>
      </w:pPr>
      <w:r>
        <w:rPr>
          <w:rFonts w:hint="eastAsia" w:ascii="宋体" w:hAnsi="宋体"/>
          <w:highlight w:val="none"/>
        </w:rPr>
        <w:t>23.2.4投标文件不能带病毒。政府集中采购机构将用专业杀毒软件对投标文件进行病毒检测，如果这两种软件均报告发现病毒，则政府集中采购机构认为该投标文件带病毒。</w:t>
      </w:r>
    </w:p>
    <w:p w14:paraId="3FA76221">
      <w:pPr>
        <w:ind w:firstLine="411" w:firstLineChars="196"/>
        <w:rPr>
          <w:rFonts w:ascii="宋体" w:hAnsi="宋体"/>
          <w:highlight w:val="none"/>
        </w:rPr>
      </w:pPr>
      <w:r>
        <w:rPr>
          <w:rFonts w:hint="eastAsia" w:ascii="宋体" w:hAnsi="宋体"/>
          <w:highlight w:val="none"/>
        </w:rPr>
        <w:t>23.2.5完整填写“投标关键信息”</w:t>
      </w:r>
      <w:r>
        <w:rPr>
          <w:rFonts w:hint="eastAsia" w:ascii="宋体" w:hAnsi="宋体"/>
          <w:highlight w:val="none"/>
          <w:lang w:eastAsia="zh-CN"/>
        </w:rPr>
        <w:t>。</w:t>
      </w:r>
    </w:p>
    <w:p w14:paraId="06C79AF0">
      <w:pPr>
        <w:ind w:firstLine="411" w:firstLineChars="196"/>
        <w:rPr>
          <w:rFonts w:ascii="宋体" w:hAnsi="宋体"/>
          <w:highlight w:val="none"/>
        </w:rPr>
      </w:pPr>
      <w:r>
        <w:rPr>
          <w:rFonts w:hint="eastAsia" w:ascii="宋体" w:hAnsi="宋体"/>
          <w:highlight w:val="none"/>
        </w:rPr>
        <w:t>23.2.6投标人在编辑投标文件时，</w:t>
      </w:r>
      <w:r>
        <w:rPr>
          <w:rFonts w:hint="eastAsia" w:ascii="宋体" w:hAnsi="宋体"/>
          <w:b/>
          <w:highlight w:val="none"/>
        </w:rPr>
        <w:t>在投标文件目录中属于本节点内容的必须在本节点中填写，填写到其他节点或附件，</w:t>
      </w:r>
      <w:r>
        <w:rPr>
          <w:rFonts w:hint="eastAsia" w:ascii="宋体" w:hAnsi="宋体"/>
          <w:highlight w:val="none"/>
        </w:rPr>
        <w:t>一切后果由供应商自行承担。</w:t>
      </w:r>
    </w:p>
    <w:p w14:paraId="3F5C4440">
      <w:pPr>
        <w:ind w:firstLine="411" w:firstLineChars="196"/>
        <w:rPr>
          <w:rFonts w:ascii="宋体" w:hAnsi="宋体"/>
          <w:highlight w:val="none"/>
        </w:rPr>
      </w:pPr>
      <w:r>
        <w:rPr>
          <w:rFonts w:hint="eastAsia" w:ascii="宋体" w:hAnsi="宋体"/>
          <w:highlight w:val="none"/>
        </w:rPr>
        <w:t>23.2.7投标文件编写完成后，</w:t>
      </w:r>
      <w:r>
        <w:rPr>
          <w:rFonts w:hint="eastAsia" w:ascii="宋体" w:hAnsi="宋体"/>
          <w:b/>
          <w:highlight w:val="none"/>
        </w:rPr>
        <w:t>必须用属于投标人的电子密钥</w:t>
      </w:r>
      <w:r>
        <w:rPr>
          <w:rFonts w:hint="eastAsia" w:ascii="宋体" w:hAnsi="宋体"/>
          <w:b/>
          <w:highlight w:val="none"/>
          <w:lang w:val="en-US" w:eastAsia="zh-CN"/>
        </w:rPr>
        <w:t>或电子营业执照</w:t>
      </w:r>
      <w:r>
        <w:rPr>
          <w:rFonts w:hint="eastAsia" w:ascii="宋体" w:hAnsi="宋体"/>
          <w:b/>
          <w:highlight w:val="none"/>
        </w:rPr>
        <w:t>进行加密，否则视同未盖公章，将导致投标文件无效。</w:t>
      </w:r>
    </w:p>
    <w:p w14:paraId="528EC022">
      <w:pPr>
        <w:ind w:firstLine="411" w:firstLineChars="196"/>
        <w:rPr>
          <w:rFonts w:ascii="宋体" w:hAnsi="宋体"/>
          <w:highlight w:val="none"/>
        </w:rPr>
      </w:pPr>
      <w:r>
        <w:rPr>
          <w:rFonts w:hint="eastAsia" w:ascii="宋体" w:hAnsi="宋体"/>
          <w:highlight w:val="none"/>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0A3E9F2">
      <w:pPr>
        <w:ind w:firstLine="411" w:firstLineChars="196"/>
        <w:rPr>
          <w:rFonts w:ascii="宋体" w:hAnsi="宋体"/>
          <w:highlight w:val="none"/>
        </w:rPr>
      </w:pPr>
      <w:r>
        <w:rPr>
          <w:rFonts w:hint="eastAsia" w:ascii="宋体" w:hAnsi="宋体"/>
          <w:highlight w:val="none"/>
        </w:rPr>
        <w:t>23.2.9如果开标时出现网络故障、技术故障，影响了政府采购活动，政府集中采购机构有权采取措施如延期、接受无法从网上上传的投标书等，以保障政府采购活动的公开、公平和公正。</w:t>
      </w:r>
    </w:p>
    <w:p w14:paraId="7DC0A16A">
      <w:pPr>
        <w:ind w:firstLine="411" w:firstLineChars="196"/>
        <w:rPr>
          <w:rFonts w:ascii="宋体" w:hAnsi="宋体"/>
          <w:highlight w:val="none"/>
        </w:rPr>
      </w:pPr>
      <w:r>
        <w:rPr>
          <w:rFonts w:hint="eastAsia" w:ascii="宋体" w:hAnsi="宋体"/>
          <w:highlight w:val="none"/>
        </w:rPr>
        <w:t>23.3电报、电话、传真形式的投标概不接受。</w:t>
      </w:r>
    </w:p>
    <w:p w14:paraId="40FB3379">
      <w:pPr>
        <w:ind w:firstLine="413" w:firstLineChars="196"/>
        <w:rPr>
          <w:rFonts w:ascii="宋体" w:hAnsi="宋体"/>
          <w:b/>
          <w:highlight w:val="none"/>
        </w:rPr>
      </w:pPr>
      <w:r>
        <w:rPr>
          <w:rFonts w:hint="eastAsia" w:ascii="宋体" w:hAnsi="宋体"/>
          <w:b/>
          <w:highlight w:val="none"/>
        </w:rPr>
        <w:t>23.4经投标人电子密钥</w:t>
      </w:r>
      <w:r>
        <w:rPr>
          <w:rFonts w:hint="eastAsia" w:ascii="宋体" w:hAnsi="宋体"/>
          <w:b/>
          <w:highlight w:val="none"/>
          <w:lang w:val="en-US" w:eastAsia="zh-CN"/>
        </w:rPr>
        <w:t>或电子营业执照</w:t>
      </w:r>
      <w:r>
        <w:rPr>
          <w:rFonts w:hint="eastAsia" w:ascii="宋体" w:hAnsi="宋体"/>
          <w:b/>
          <w:highlight w:val="none"/>
        </w:rPr>
        <w:t>加密的投标文件无须盖章或签字，</w:t>
      </w:r>
      <w:r>
        <w:rPr>
          <w:rFonts w:hint="eastAsia" w:ascii="宋体" w:hAnsi="宋体"/>
          <w:highlight w:val="none"/>
        </w:rPr>
        <w:t>专用条款另有要求的除外。</w:t>
      </w:r>
    </w:p>
    <w:p w14:paraId="3E0EFF3C">
      <w:pPr>
        <w:ind w:firstLine="413" w:firstLineChars="196"/>
        <w:rPr>
          <w:rFonts w:ascii="宋体" w:hAnsi="宋体"/>
          <w:highlight w:val="none"/>
        </w:rPr>
      </w:pPr>
      <w:r>
        <w:rPr>
          <w:rFonts w:hint="eastAsia" w:ascii="宋体" w:hAnsi="宋体"/>
          <w:b/>
          <w:highlight w:val="none"/>
        </w:rPr>
        <w:t>23.5</w:t>
      </w:r>
      <w:r>
        <w:rPr>
          <w:rFonts w:hint="eastAsia" w:ascii="宋体" w:hAnsi="宋体"/>
          <w:highlight w:val="none"/>
        </w:rPr>
        <w:t xml:space="preserve"> 各类资格（资质）文件提供扫描件，专用条款另有要求的除外。</w:t>
      </w:r>
      <w:bookmarkEnd w:id="56"/>
    </w:p>
    <w:p w14:paraId="70FDC559">
      <w:pPr>
        <w:ind w:firstLine="411" w:firstLineChars="196"/>
        <w:rPr>
          <w:rFonts w:ascii="宋体" w:hAnsi="宋体"/>
          <w:szCs w:val="21"/>
          <w:highlight w:val="none"/>
        </w:rPr>
      </w:pPr>
    </w:p>
    <w:p w14:paraId="492C5EB9">
      <w:pPr>
        <w:pStyle w:val="7"/>
        <w:numPr>
          <w:ilvl w:val="0"/>
          <w:numId w:val="8"/>
        </w:numPr>
        <w:spacing w:before="120" w:beforeLines="50" w:after="120" w:afterLines="50"/>
        <w:ind w:left="562" w:hanging="562"/>
        <w:rPr>
          <w:sz w:val="28"/>
          <w:szCs w:val="28"/>
          <w:highlight w:val="none"/>
        </w:rPr>
      </w:pPr>
      <w:r>
        <w:rPr>
          <w:rFonts w:hint="eastAsia"/>
          <w:sz w:val="28"/>
          <w:szCs w:val="28"/>
          <w:highlight w:val="none"/>
        </w:rPr>
        <w:t>投标文件的递交</w:t>
      </w:r>
    </w:p>
    <w:p w14:paraId="63F5381E">
      <w:pPr>
        <w:rPr>
          <w:rFonts w:ascii="黑体" w:hAnsi="宋体" w:eastAsia="黑体"/>
          <w:sz w:val="24"/>
          <w:highlight w:val="none"/>
        </w:rPr>
      </w:pPr>
      <w:bookmarkStart w:id="57" w:name="_Hlk72405459"/>
      <w:r>
        <w:rPr>
          <w:rFonts w:hint="eastAsia" w:ascii="黑体" w:hAnsi="宋体" w:eastAsia="黑体"/>
          <w:sz w:val="24"/>
          <w:highlight w:val="none"/>
        </w:rPr>
        <w:t>24．投标文件的保密</w:t>
      </w:r>
    </w:p>
    <w:p w14:paraId="27DB22D1">
      <w:pPr>
        <w:spacing w:line="276" w:lineRule="auto"/>
        <w:ind w:firstLine="422" w:firstLineChars="200"/>
        <w:rPr>
          <w:rFonts w:hint="eastAsia"/>
          <w:b/>
          <w:bCs/>
          <w:highlight w:val="none"/>
        </w:rPr>
      </w:pPr>
      <w:r>
        <w:rPr>
          <w:rFonts w:hint="eastAsia"/>
          <w:b/>
          <w:bCs/>
          <w:highlight w:val="none"/>
        </w:rPr>
        <w:t xml:space="preserve">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 </w:t>
      </w:r>
    </w:p>
    <w:p w14:paraId="49A974D4">
      <w:pPr>
        <w:spacing w:line="276" w:lineRule="auto"/>
        <w:ind w:firstLine="422" w:firstLineChars="200"/>
        <w:rPr>
          <w:b/>
          <w:highlight w:val="none"/>
        </w:rPr>
      </w:pPr>
      <w:r>
        <w:rPr>
          <w:b/>
          <w:highlight w:val="none"/>
        </w:rPr>
        <w:t>24.2若采购项目出现延期情况：</w:t>
      </w:r>
    </w:p>
    <w:p w14:paraId="05F666F0">
      <w:pPr>
        <w:spacing w:line="276" w:lineRule="auto"/>
        <w:ind w:firstLine="422" w:firstLineChars="200"/>
        <w:rPr>
          <w:rFonts w:ascii="Times New Roman" w:hAnsi="Times New Roman" w:eastAsia="黑体" w:cs="Times New Roman"/>
          <w:b/>
          <w:sz w:val="24"/>
          <w:szCs w:val="24"/>
          <w:highlight w:val="none"/>
        </w:rPr>
      </w:pPr>
      <w:r>
        <w:rPr>
          <w:rFonts w:ascii="Times New Roman" w:hAnsi="Times New Roman" w:eastAsia="宋体" w:cs="Times New Roman"/>
          <w:b/>
          <w:szCs w:val="24"/>
          <w:highlight w:val="none"/>
        </w:rPr>
        <w:t>如果供下载的招标文件有更新，投标人必须重新下载招标文件、重新制作投标文件、重新加密投标文件、重新上传投标文件。</w:t>
      </w:r>
    </w:p>
    <w:p w14:paraId="092B35BF">
      <w:pPr>
        <w:spacing w:line="276" w:lineRule="auto"/>
        <w:rPr>
          <w:rFonts w:eastAsia="黑体"/>
          <w:sz w:val="24"/>
          <w:highlight w:val="none"/>
        </w:rPr>
      </w:pPr>
      <w:r>
        <w:rPr>
          <w:rFonts w:eastAsia="黑体"/>
          <w:sz w:val="24"/>
          <w:highlight w:val="none"/>
        </w:rPr>
        <w:t>25．上传投标文件及投标截止日期</w:t>
      </w:r>
    </w:p>
    <w:p w14:paraId="794A1885">
      <w:pPr>
        <w:ind w:firstLine="411" w:firstLineChars="196"/>
        <w:rPr>
          <w:rFonts w:hint="eastAsia" w:ascii="宋体" w:hAnsi="宋体"/>
          <w:highlight w:val="none"/>
        </w:rPr>
      </w:pPr>
      <w:r>
        <w:rPr>
          <w:highlight w:val="none"/>
        </w:rPr>
        <w:t>25.1</w:t>
      </w:r>
      <w:r>
        <w:rPr>
          <w:b/>
          <w:bCs/>
          <w:highlight w:val="none"/>
        </w:rPr>
        <w:t>实行网上投标，</w:t>
      </w:r>
      <w:r>
        <w:rPr>
          <w:rFonts w:hint="eastAsia"/>
          <w:b/>
          <w:bCs/>
          <w:highlight w:val="none"/>
        </w:rPr>
        <w:t>投标人必须在招标文件规定的投标截止时间前用电子密钥登录“深圳市自行采购系统（https://trade.szggzy.com/ggzy/center/#/login）”上传投标文件。如上传过程中遇到问题，可拨打采购公告中的技术支持电话，联系方式：0755-36568999 1转7（按1再转7）。</w:t>
      </w:r>
    </w:p>
    <w:p w14:paraId="07C170E7">
      <w:pPr>
        <w:ind w:firstLine="411" w:firstLineChars="196"/>
        <w:rPr>
          <w:rFonts w:ascii="宋体" w:hAnsi="宋体"/>
          <w:highlight w:val="none"/>
        </w:rPr>
      </w:pPr>
      <w:r>
        <w:rPr>
          <w:rFonts w:hint="eastAsia" w:ascii="宋体" w:hAnsi="宋体"/>
          <w:highlight w:val="none"/>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39B9EA2D">
      <w:pPr>
        <w:ind w:firstLine="411" w:firstLineChars="196"/>
        <w:rPr>
          <w:rFonts w:ascii="宋体" w:hAnsi="宋体"/>
          <w:highlight w:val="none"/>
        </w:rPr>
      </w:pPr>
      <w:r>
        <w:rPr>
          <w:rFonts w:hint="eastAsia" w:ascii="宋体" w:hAnsi="宋体"/>
          <w:highlight w:val="none"/>
        </w:rPr>
        <w:t>25</w:t>
      </w:r>
      <w:r>
        <w:rPr>
          <w:rFonts w:ascii="宋体" w:hAnsi="宋体"/>
          <w:highlight w:val="none"/>
        </w:rPr>
        <w:t>.</w:t>
      </w:r>
      <w:r>
        <w:rPr>
          <w:rFonts w:hint="eastAsia" w:ascii="宋体" w:hAnsi="宋体"/>
          <w:highlight w:val="none"/>
        </w:rPr>
        <w:t>3投标截止时间以后不得上传投标文件。</w:t>
      </w:r>
    </w:p>
    <w:p w14:paraId="6DE954BD">
      <w:pPr>
        <w:ind w:firstLine="411" w:firstLineChars="196"/>
        <w:rPr>
          <w:rFonts w:ascii="宋体" w:hAnsi="宋体"/>
          <w:highlight w:val="none"/>
        </w:rPr>
      </w:pPr>
    </w:p>
    <w:bookmarkEnd w:id="57"/>
    <w:p w14:paraId="17CBD039">
      <w:pPr>
        <w:rPr>
          <w:rFonts w:ascii="黑体" w:hAnsi="宋体" w:eastAsia="黑体"/>
          <w:sz w:val="24"/>
          <w:highlight w:val="none"/>
        </w:rPr>
      </w:pPr>
      <w:r>
        <w:rPr>
          <w:rFonts w:hint="eastAsia" w:ascii="黑体" w:hAnsi="宋体" w:eastAsia="黑体"/>
          <w:sz w:val="24"/>
          <w:highlight w:val="none"/>
        </w:rPr>
        <w:t>26. 样品、现场演示、方案讲解</w:t>
      </w:r>
    </w:p>
    <w:p w14:paraId="5783EDEF">
      <w:pPr>
        <w:ind w:firstLine="411" w:firstLineChars="196"/>
        <w:rPr>
          <w:rFonts w:ascii="宋体" w:hAnsi="宋体"/>
          <w:szCs w:val="21"/>
          <w:highlight w:val="none"/>
        </w:rPr>
      </w:pPr>
      <w:r>
        <w:rPr>
          <w:rFonts w:hint="eastAsia" w:ascii="宋体" w:hAnsi="宋体"/>
          <w:szCs w:val="21"/>
          <w:highlight w:val="none"/>
        </w:rPr>
        <w:t>26.1 样品、现场演示、方案讲解等事项在招标文件专用条款中进行规定。</w:t>
      </w:r>
    </w:p>
    <w:p w14:paraId="785A9374">
      <w:pPr>
        <w:rPr>
          <w:rFonts w:ascii="黑体" w:hAnsi="宋体" w:eastAsia="黑体"/>
          <w:sz w:val="24"/>
          <w:highlight w:val="none"/>
        </w:rPr>
      </w:pPr>
      <w:bookmarkStart w:id="58" w:name="_Hlk72428346"/>
      <w:r>
        <w:rPr>
          <w:rFonts w:ascii="黑体" w:hAnsi="宋体" w:eastAsia="黑体"/>
          <w:sz w:val="24"/>
          <w:highlight w:val="none"/>
        </w:rPr>
        <w:t>2</w:t>
      </w:r>
      <w:r>
        <w:rPr>
          <w:rFonts w:hint="eastAsia" w:ascii="黑体" w:hAnsi="宋体" w:eastAsia="黑体"/>
          <w:sz w:val="24"/>
          <w:highlight w:val="none"/>
        </w:rPr>
        <w:t>7．</w:t>
      </w:r>
      <w:r>
        <w:rPr>
          <w:rFonts w:ascii="黑体" w:hAnsi="宋体" w:eastAsia="黑体"/>
          <w:sz w:val="24"/>
          <w:highlight w:val="none"/>
        </w:rPr>
        <w:t>投标文件的修改和撤销</w:t>
      </w:r>
    </w:p>
    <w:p w14:paraId="00CFCC15">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1</w:t>
      </w:r>
      <w:r>
        <w:rPr>
          <w:rFonts w:ascii="宋体" w:hAnsi="宋体"/>
          <w:highlight w:val="none"/>
        </w:rPr>
        <w:t>投标方在提交投标文件后可对其投标文件进行修改</w:t>
      </w:r>
      <w:r>
        <w:rPr>
          <w:rFonts w:hint="eastAsia" w:ascii="宋体" w:hAnsi="宋体"/>
          <w:highlight w:val="none"/>
        </w:rPr>
        <w:t>并重新上传投标文件</w:t>
      </w:r>
      <w:r>
        <w:rPr>
          <w:rFonts w:ascii="宋体" w:hAnsi="宋体"/>
          <w:highlight w:val="none"/>
        </w:rPr>
        <w:t>或</w:t>
      </w:r>
      <w:r>
        <w:rPr>
          <w:rFonts w:hint="eastAsia" w:ascii="宋体" w:hAnsi="宋体"/>
          <w:highlight w:val="none"/>
        </w:rPr>
        <w:t>在网上进行</w:t>
      </w:r>
      <w:r>
        <w:rPr>
          <w:rFonts w:ascii="宋体" w:hAnsi="宋体"/>
          <w:highlight w:val="none"/>
        </w:rPr>
        <w:t>撤销</w:t>
      </w:r>
      <w:r>
        <w:rPr>
          <w:rFonts w:hint="eastAsia" w:ascii="宋体" w:hAnsi="宋体"/>
          <w:highlight w:val="none"/>
        </w:rPr>
        <w:t>投标的操作</w:t>
      </w:r>
      <w:r>
        <w:rPr>
          <w:rFonts w:ascii="宋体" w:hAnsi="宋体"/>
          <w:highlight w:val="none"/>
        </w:rPr>
        <w:t>。</w:t>
      </w:r>
    </w:p>
    <w:p w14:paraId="37E59B39">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2</w:t>
      </w:r>
      <w:r>
        <w:rPr>
          <w:rFonts w:ascii="宋体" w:hAnsi="宋体"/>
          <w:highlight w:val="none"/>
        </w:rPr>
        <w:t>投标截止时间以后不得修改投标文件。</w:t>
      </w:r>
    </w:p>
    <w:p w14:paraId="7865E6A7">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3从投标截止期至投标人在投标文件中确定的投标有效期之间的这段时间内，投标人不得撤回其投标。</w:t>
      </w:r>
    </w:p>
    <w:p w14:paraId="73D628B3">
      <w:pPr>
        <w:ind w:firstLine="411" w:firstLineChars="196"/>
        <w:rPr>
          <w:rFonts w:ascii="宋体" w:hAnsi="宋体"/>
          <w:szCs w:val="21"/>
          <w:highlight w:val="none"/>
        </w:rPr>
      </w:pPr>
      <w:r>
        <w:rPr>
          <w:rFonts w:hint="eastAsia" w:ascii="宋体" w:hAnsi="宋体"/>
          <w:szCs w:val="21"/>
          <w:highlight w:val="none"/>
        </w:rPr>
        <w:t>27.4政府集中采购机构不退还投标文件，专用条款另有规定的除外。</w:t>
      </w:r>
    </w:p>
    <w:bookmarkEnd w:id="58"/>
    <w:p w14:paraId="66C098B0">
      <w:pPr>
        <w:pStyle w:val="7"/>
        <w:numPr>
          <w:ilvl w:val="0"/>
          <w:numId w:val="8"/>
        </w:numPr>
        <w:spacing w:before="120" w:beforeLines="50" w:after="120" w:afterLines="50"/>
        <w:ind w:left="562" w:hanging="562"/>
        <w:rPr>
          <w:sz w:val="28"/>
          <w:szCs w:val="28"/>
          <w:highlight w:val="none"/>
        </w:rPr>
      </w:pPr>
      <w:r>
        <w:rPr>
          <w:rFonts w:hint="eastAsia"/>
          <w:sz w:val="28"/>
          <w:szCs w:val="28"/>
          <w:highlight w:val="none"/>
        </w:rPr>
        <w:t>开标</w:t>
      </w:r>
    </w:p>
    <w:p w14:paraId="29BD14E9">
      <w:pPr>
        <w:rPr>
          <w:rFonts w:ascii="黑体" w:hAnsi="宋体" w:eastAsia="黑体"/>
          <w:sz w:val="24"/>
          <w:highlight w:val="none"/>
        </w:rPr>
      </w:pPr>
      <w:r>
        <w:rPr>
          <w:rFonts w:hint="eastAsia" w:ascii="黑体" w:hAnsi="宋体" w:eastAsia="黑体"/>
          <w:sz w:val="24"/>
          <w:highlight w:val="none"/>
        </w:rPr>
        <w:t>28．开标</w:t>
      </w:r>
    </w:p>
    <w:p w14:paraId="457E22F5">
      <w:pPr>
        <w:ind w:firstLine="315" w:firstLineChars="150"/>
        <w:rPr>
          <w:rFonts w:hint="eastAsia" w:ascii="宋体" w:hAnsi="宋体"/>
          <w:szCs w:val="21"/>
          <w:highlight w:val="none"/>
        </w:rPr>
      </w:pPr>
      <w:r>
        <w:rPr>
          <w:szCs w:val="21"/>
          <w:highlight w:val="none"/>
        </w:rPr>
        <w:t>28.1</w:t>
      </w:r>
      <w:r>
        <w:rPr>
          <w:rFonts w:hint="eastAsia"/>
          <w:b/>
          <w:bCs/>
          <w:highlight w:val="none"/>
        </w:rPr>
        <w:t>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152C50CC">
      <w:pPr>
        <w:ind w:firstLine="315" w:firstLineChars="150"/>
        <w:rPr>
          <w:rFonts w:ascii="宋体" w:hAnsi="宋体"/>
          <w:szCs w:val="21"/>
          <w:highlight w:val="none"/>
        </w:rPr>
      </w:pPr>
      <w:r>
        <w:rPr>
          <w:rFonts w:hint="eastAsia" w:ascii="宋体" w:hAnsi="宋体"/>
          <w:szCs w:val="21"/>
          <w:highlight w:val="none"/>
        </w:rPr>
        <w:t>28.2 政府集中采购机构将在满足开标条件（①解密时间结束，解密后的投标供应商数量满足开标要求或②解密时间结束前所有投标供应商均完成投标文件解密）后，对投标文件进行开标，并在网上公布开标结果。</w:t>
      </w:r>
    </w:p>
    <w:p w14:paraId="71D37B50">
      <w:pPr>
        <w:ind w:firstLine="315" w:firstLineChars="150"/>
        <w:rPr>
          <w:rFonts w:ascii="宋体" w:hAnsi="宋体"/>
          <w:szCs w:val="21"/>
          <w:highlight w:val="none"/>
        </w:rPr>
      </w:pPr>
    </w:p>
    <w:p w14:paraId="3A715B1F">
      <w:pPr>
        <w:pStyle w:val="7"/>
        <w:numPr>
          <w:ilvl w:val="0"/>
          <w:numId w:val="8"/>
        </w:numPr>
        <w:spacing w:before="120" w:beforeLines="50" w:after="120" w:afterLines="50"/>
        <w:ind w:left="562" w:hanging="562"/>
        <w:rPr>
          <w:sz w:val="28"/>
          <w:szCs w:val="28"/>
          <w:highlight w:val="none"/>
        </w:rPr>
      </w:pPr>
      <w:r>
        <w:rPr>
          <w:rFonts w:hint="eastAsia"/>
          <w:sz w:val="28"/>
          <w:szCs w:val="28"/>
          <w:highlight w:val="none"/>
        </w:rPr>
        <w:t>评审要求</w:t>
      </w:r>
    </w:p>
    <w:p w14:paraId="04477C8A">
      <w:pPr>
        <w:rPr>
          <w:rFonts w:ascii="黑体" w:hAnsi="宋体" w:eastAsia="黑体"/>
          <w:sz w:val="24"/>
          <w:highlight w:val="none"/>
        </w:rPr>
      </w:pPr>
      <w:r>
        <w:rPr>
          <w:rFonts w:hint="eastAsia" w:ascii="黑体" w:hAnsi="宋体" w:eastAsia="黑体"/>
          <w:sz w:val="24"/>
          <w:highlight w:val="none"/>
        </w:rPr>
        <w:t>29．评审委员会组成</w:t>
      </w:r>
    </w:p>
    <w:p w14:paraId="7539AF41">
      <w:pPr>
        <w:ind w:firstLine="411" w:firstLineChars="196"/>
        <w:rPr>
          <w:rFonts w:ascii="宋体" w:hAnsi="宋体"/>
          <w:highlight w:val="none"/>
        </w:rPr>
      </w:pPr>
      <w:r>
        <w:rPr>
          <w:rFonts w:hint="eastAsia" w:ascii="宋体" w:hAnsi="宋体"/>
          <w:highlight w:val="none"/>
        </w:rPr>
        <w:t>29.1网上开标结束后召开评审会议，</w:t>
      </w:r>
      <w:r>
        <w:rPr>
          <w:rFonts w:hint="eastAsia" w:ascii="宋体" w:hAnsi="宋体"/>
          <w:szCs w:val="21"/>
          <w:highlight w:val="none"/>
        </w:rPr>
        <w:t>评审委员会</w:t>
      </w:r>
      <w:r>
        <w:rPr>
          <w:rFonts w:hint="eastAsia" w:ascii="宋体" w:hAnsi="宋体"/>
          <w:highlight w:val="none"/>
        </w:rPr>
        <w:t>由政府集中采购机构依法组建，负责评审活动。</w:t>
      </w:r>
    </w:p>
    <w:p w14:paraId="4E68937E">
      <w:pPr>
        <w:ind w:firstLine="411" w:firstLineChars="196"/>
        <w:rPr>
          <w:rFonts w:hint="eastAsia" w:ascii="宋体" w:hAnsi="宋体"/>
          <w:highlight w:val="none"/>
        </w:rPr>
      </w:pPr>
      <w:bookmarkStart w:id="59" w:name="_Hlk72436580"/>
      <w:r>
        <w:rPr>
          <w:rFonts w:hint="eastAsia" w:ascii="宋体" w:hAnsi="宋体"/>
          <w:highlight w:val="none"/>
        </w:rPr>
        <w:t>评审委员会由采购人代表和评审专家组成，成员人数应当为5人以上单数（部分条件下为7人以上单数），其中评审专家不得少于成员总数的三分之二。</w:t>
      </w:r>
      <w:bookmarkEnd w:id="59"/>
      <w:r>
        <w:rPr>
          <w:rFonts w:hint="eastAsia" w:ascii="宋体" w:hAnsi="宋体"/>
          <w:highlight w:val="none"/>
        </w:rPr>
        <w:t>评定</w:t>
      </w:r>
      <w:r>
        <w:rPr>
          <w:rFonts w:hint="eastAsia"/>
          <w:highlight w:val="none"/>
        </w:rPr>
        <w:t>分离项目</w:t>
      </w:r>
      <w:r>
        <w:rPr>
          <w:highlight w:val="none"/>
        </w:rPr>
        <w:t>评审专家</w:t>
      </w:r>
      <w:r>
        <w:rPr>
          <w:rFonts w:hint="eastAsia"/>
          <w:highlight w:val="none"/>
        </w:rPr>
        <w:t>均</w:t>
      </w:r>
      <w:r>
        <w:rPr>
          <w:highlight w:val="none"/>
        </w:rPr>
        <w:t>由</w:t>
      </w:r>
      <w:r>
        <w:rPr>
          <w:rFonts w:hint="eastAsia"/>
          <w:highlight w:val="none"/>
        </w:rPr>
        <w:t>评审专家组成。</w:t>
      </w:r>
      <w:r>
        <w:rPr>
          <w:rFonts w:hint="eastAsia" w:ascii="宋体" w:hAnsi="宋体"/>
          <w:szCs w:val="21"/>
          <w:highlight w:val="none"/>
        </w:rPr>
        <w:t>评审专家一般是</w:t>
      </w:r>
      <w:r>
        <w:rPr>
          <w:rFonts w:hint="eastAsia" w:ascii="宋体" w:hAnsi="宋体"/>
          <w:highlight w:val="none"/>
        </w:rPr>
        <w:t>从深圳市政府采购评审专家库中随机抽取。采购人代表须持本单位签发的《评审授权书》参加评审。</w:t>
      </w:r>
    </w:p>
    <w:p w14:paraId="07FB7C5F">
      <w:pPr>
        <w:pStyle w:val="2"/>
        <w:ind w:firstLine="422" w:firstLineChars="200"/>
        <w:rPr>
          <w:highlight w:val="none"/>
        </w:rPr>
      </w:pPr>
      <w:r>
        <w:rPr>
          <w:rFonts w:hint="eastAsia" w:ascii="宋体" w:hAnsi="宋体" w:eastAsia="宋体" w:cs="Times New Roman"/>
          <w:b/>
          <w:bCs/>
          <w:color w:val="FF0000"/>
          <w:kern w:val="2"/>
          <w:sz w:val="21"/>
          <w:szCs w:val="24"/>
          <w:highlight w:val="none"/>
          <w:lang w:val="en-US" w:eastAsia="zh-CN" w:bidi="ar-SA"/>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属于严管项目，论证及评审抽取专家的规则均按此要求执行。</w:t>
      </w:r>
    </w:p>
    <w:p w14:paraId="180240D9">
      <w:pPr>
        <w:ind w:firstLine="411" w:firstLineChars="196"/>
        <w:rPr>
          <w:rFonts w:ascii="宋体" w:hAnsi="宋体"/>
          <w:highlight w:val="none"/>
        </w:rPr>
      </w:pPr>
      <w:r>
        <w:rPr>
          <w:rFonts w:hint="eastAsia" w:ascii="宋体" w:hAnsi="宋体"/>
          <w:highlight w:val="none"/>
        </w:rPr>
        <w:t>29.2评审定标应当遵循公平、公正、科学、择优的原则。</w:t>
      </w:r>
    </w:p>
    <w:p w14:paraId="278B5AA9">
      <w:pPr>
        <w:ind w:firstLine="411" w:firstLineChars="196"/>
        <w:rPr>
          <w:rFonts w:ascii="宋体" w:hAnsi="宋体"/>
          <w:highlight w:val="none"/>
        </w:rPr>
      </w:pPr>
      <w:r>
        <w:rPr>
          <w:rFonts w:hint="eastAsia" w:ascii="宋体" w:hAnsi="宋体"/>
          <w:highlight w:val="none"/>
        </w:rPr>
        <w:t>29.3评审活动依法进行，任何单位和个人不得非法干预评标过程和结果。</w:t>
      </w:r>
    </w:p>
    <w:p w14:paraId="014A6059">
      <w:pPr>
        <w:ind w:firstLine="411" w:firstLineChars="196"/>
        <w:rPr>
          <w:rFonts w:ascii="宋体" w:hAnsi="宋体"/>
          <w:highlight w:val="none"/>
        </w:rPr>
      </w:pPr>
      <w:r>
        <w:rPr>
          <w:rFonts w:hint="eastAsia" w:ascii="宋体" w:hAnsi="宋体"/>
          <w:highlight w:val="none"/>
        </w:rPr>
        <w:t>29.4评审过程中不允许违背评标程序或采用招标文件未载明的评标方法或评标因素进行评标。</w:t>
      </w:r>
    </w:p>
    <w:p w14:paraId="50897CB1">
      <w:pPr>
        <w:ind w:firstLine="411" w:firstLineChars="196"/>
        <w:rPr>
          <w:rFonts w:ascii="宋体" w:hAnsi="宋体"/>
          <w:bCs/>
          <w:highlight w:val="none"/>
        </w:rPr>
      </w:pPr>
      <w:r>
        <w:rPr>
          <w:rFonts w:hint="eastAsia" w:ascii="宋体" w:hAnsi="宋体"/>
          <w:bCs/>
          <w:highlight w:val="none"/>
        </w:rPr>
        <w:t>29.5 开标后，直到签订合同为止，凡属于对投标文件的审查、澄清、评价和比较的有关资料以及中标候选人的推荐情况、与评审有关的其他任何情况均严格保密（</w:t>
      </w:r>
      <w:r>
        <w:rPr>
          <w:rFonts w:hint="eastAsia"/>
          <w:highlight w:val="none"/>
        </w:rPr>
        <w:t>信息公开的内容除外</w:t>
      </w:r>
      <w:r>
        <w:rPr>
          <w:rFonts w:hint="eastAsia" w:ascii="宋体" w:hAnsi="宋体"/>
          <w:bCs/>
          <w:highlight w:val="none"/>
        </w:rPr>
        <w:t>）。</w:t>
      </w:r>
    </w:p>
    <w:p w14:paraId="01BFC8A9">
      <w:pPr>
        <w:rPr>
          <w:rFonts w:ascii="黑体" w:hAnsi="宋体" w:eastAsia="黑体"/>
          <w:sz w:val="24"/>
          <w:highlight w:val="none"/>
        </w:rPr>
      </w:pPr>
      <w:r>
        <w:rPr>
          <w:rFonts w:hint="eastAsia" w:ascii="黑体" w:hAnsi="宋体" w:eastAsia="黑体"/>
          <w:sz w:val="24"/>
          <w:highlight w:val="none"/>
        </w:rPr>
        <w:t>30．向评审委员会提供的资料</w:t>
      </w:r>
    </w:p>
    <w:p w14:paraId="622B1011">
      <w:pPr>
        <w:ind w:firstLine="411" w:firstLineChars="196"/>
        <w:rPr>
          <w:rFonts w:ascii="宋体" w:hAnsi="宋体"/>
          <w:highlight w:val="none"/>
        </w:rPr>
      </w:pPr>
      <w:r>
        <w:rPr>
          <w:rFonts w:hint="eastAsia" w:ascii="宋体" w:hAnsi="宋体"/>
          <w:highlight w:val="none"/>
        </w:rPr>
        <w:t>30.1公开发布的招标文件，包括图纸、服务清单、答疑文件等；</w:t>
      </w:r>
    </w:p>
    <w:p w14:paraId="0D625CF0">
      <w:pPr>
        <w:ind w:firstLine="411" w:firstLineChars="196"/>
        <w:rPr>
          <w:rFonts w:ascii="宋体" w:hAnsi="宋体"/>
          <w:highlight w:val="none"/>
        </w:rPr>
      </w:pPr>
      <w:r>
        <w:rPr>
          <w:rFonts w:hint="eastAsia" w:ascii="宋体" w:hAnsi="宋体"/>
          <w:highlight w:val="none"/>
        </w:rPr>
        <w:t>30.2其他评标必须的资料。</w:t>
      </w:r>
    </w:p>
    <w:p w14:paraId="725E4D13">
      <w:pPr>
        <w:ind w:firstLine="411" w:firstLineChars="196"/>
        <w:rPr>
          <w:rFonts w:ascii="宋体" w:hAnsi="宋体"/>
          <w:highlight w:val="none"/>
        </w:rPr>
      </w:pPr>
      <w:r>
        <w:rPr>
          <w:rFonts w:hint="eastAsia" w:ascii="宋体" w:hAnsi="宋体"/>
          <w:highlight w:val="none"/>
        </w:rPr>
        <w:t>30.3</w:t>
      </w:r>
      <w:r>
        <w:rPr>
          <w:rFonts w:hint="eastAsia" w:ascii="宋体" w:hAnsi="宋体"/>
          <w:szCs w:val="21"/>
          <w:highlight w:val="none"/>
        </w:rPr>
        <w:t>评审委员会</w:t>
      </w:r>
      <w:r>
        <w:rPr>
          <w:rFonts w:hint="eastAsia" w:ascii="宋体" w:hAnsi="宋体"/>
          <w:highlight w:val="none"/>
        </w:rPr>
        <w:t>应当认真研究招标文件，至少应了解熟悉以下内容：</w:t>
      </w:r>
    </w:p>
    <w:p w14:paraId="5239B78C">
      <w:pPr>
        <w:ind w:firstLine="411" w:firstLineChars="196"/>
        <w:rPr>
          <w:rFonts w:ascii="宋体" w:hAnsi="宋体"/>
          <w:highlight w:val="none"/>
        </w:rPr>
      </w:pPr>
      <w:r>
        <w:rPr>
          <w:rFonts w:hint="eastAsia" w:ascii="宋体" w:hAnsi="宋体"/>
          <w:highlight w:val="none"/>
        </w:rPr>
        <w:t>（1）招标的目的；</w:t>
      </w:r>
    </w:p>
    <w:p w14:paraId="1C1FA6F0">
      <w:pPr>
        <w:ind w:firstLine="411" w:firstLineChars="196"/>
        <w:rPr>
          <w:rFonts w:ascii="宋体" w:hAnsi="宋体"/>
          <w:highlight w:val="none"/>
        </w:rPr>
      </w:pPr>
      <w:r>
        <w:rPr>
          <w:rFonts w:hint="eastAsia" w:ascii="宋体" w:hAnsi="宋体"/>
          <w:highlight w:val="none"/>
        </w:rPr>
        <w:t>（2）招标项目需求的范围和性质；</w:t>
      </w:r>
    </w:p>
    <w:p w14:paraId="17386C27">
      <w:pPr>
        <w:ind w:firstLine="411" w:firstLineChars="196"/>
        <w:rPr>
          <w:rFonts w:ascii="宋体" w:hAnsi="宋体"/>
          <w:highlight w:val="none"/>
        </w:rPr>
      </w:pPr>
      <w:r>
        <w:rPr>
          <w:rFonts w:hint="eastAsia" w:ascii="宋体" w:hAnsi="宋体"/>
          <w:highlight w:val="none"/>
        </w:rPr>
        <w:t>（3）招标文件规定的投标人的资格、财政预算限额、商务条款；</w:t>
      </w:r>
    </w:p>
    <w:p w14:paraId="1B5A8FCE">
      <w:pPr>
        <w:ind w:firstLine="411" w:firstLineChars="196"/>
        <w:rPr>
          <w:rFonts w:ascii="宋体" w:hAnsi="宋体"/>
          <w:highlight w:val="none"/>
        </w:rPr>
      </w:pPr>
      <w:r>
        <w:rPr>
          <w:rFonts w:hint="eastAsia" w:ascii="宋体" w:hAnsi="宋体"/>
          <w:highlight w:val="none"/>
        </w:rPr>
        <w:t>（4）招标文件规定的评标程序、评标方法和评标因素；</w:t>
      </w:r>
    </w:p>
    <w:p w14:paraId="009A9844">
      <w:pPr>
        <w:ind w:firstLine="411" w:firstLineChars="196"/>
        <w:rPr>
          <w:rFonts w:ascii="宋体" w:hAnsi="宋体"/>
          <w:highlight w:val="none"/>
        </w:rPr>
      </w:pPr>
      <w:r>
        <w:rPr>
          <w:rFonts w:hint="eastAsia" w:ascii="宋体" w:hAnsi="宋体"/>
          <w:highlight w:val="none"/>
        </w:rPr>
        <w:t>（5）招标文件所列示的资格性审查表及符合性审查表。</w:t>
      </w:r>
    </w:p>
    <w:p w14:paraId="649FA760">
      <w:pPr>
        <w:rPr>
          <w:rFonts w:ascii="黑体" w:hAnsi="宋体" w:eastAsia="黑体"/>
          <w:sz w:val="24"/>
          <w:highlight w:val="none"/>
        </w:rPr>
      </w:pPr>
      <w:r>
        <w:rPr>
          <w:rFonts w:hint="eastAsia" w:ascii="黑体" w:hAnsi="宋体" w:eastAsia="黑体"/>
          <w:sz w:val="24"/>
          <w:highlight w:val="none"/>
        </w:rPr>
        <w:t>31．独立评审</w:t>
      </w:r>
    </w:p>
    <w:p w14:paraId="794DF831">
      <w:pPr>
        <w:ind w:firstLine="411" w:firstLineChars="196"/>
        <w:rPr>
          <w:rFonts w:ascii="宋体" w:hAnsi="宋体"/>
          <w:bCs/>
          <w:highlight w:val="none"/>
        </w:rPr>
      </w:pPr>
      <w:r>
        <w:rPr>
          <w:rFonts w:hint="eastAsia" w:ascii="宋体" w:hAnsi="宋体"/>
          <w:bCs/>
          <w:highlight w:val="none"/>
        </w:rPr>
        <w:t>3</w:t>
      </w:r>
      <w:r>
        <w:rPr>
          <w:rFonts w:ascii="宋体" w:hAnsi="宋体"/>
          <w:bCs/>
          <w:highlight w:val="none"/>
        </w:rPr>
        <w:t>1</w:t>
      </w:r>
      <w:r>
        <w:rPr>
          <w:rFonts w:hint="eastAsia" w:ascii="宋体" w:hAnsi="宋体"/>
          <w:bCs/>
          <w:highlight w:val="none"/>
        </w:rPr>
        <w:t>.1</w:t>
      </w:r>
      <w:r>
        <w:rPr>
          <w:rFonts w:hint="eastAsia" w:ascii="宋体" w:hAnsi="宋体"/>
          <w:szCs w:val="21"/>
          <w:highlight w:val="none"/>
        </w:rPr>
        <w:t>评审委员会</w:t>
      </w:r>
      <w:r>
        <w:rPr>
          <w:rFonts w:hint="eastAsia" w:ascii="宋体" w:hAnsi="宋体"/>
          <w:bCs/>
          <w:highlight w:val="none"/>
        </w:rPr>
        <w:t>成员的评标活动应当独立进行，并应遵循投标文件初审、澄清有关问题、比较与评价、确定中标供应商、编写评审报告的工作程序。</w:t>
      </w:r>
    </w:p>
    <w:p w14:paraId="6DAA12C6">
      <w:pPr>
        <w:ind w:firstLine="411" w:firstLineChars="196"/>
        <w:rPr>
          <w:rFonts w:ascii="宋体" w:hAnsi="宋体"/>
          <w:bCs/>
          <w:szCs w:val="21"/>
          <w:highlight w:val="none"/>
        </w:rPr>
      </w:pPr>
    </w:p>
    <w:p w14:paraId="27F52143">
      <w:pPr>
        <w:pStyle w:val="7"/>
        <w:numPr>
          <w:ilvl w:val="0"/>
          <w:numId w:val="8"/>
        </w:numPr>
        <w:spacing w:before="120" w:beforeLines="50" w:after="120" w:afterLines="50"/>
        <w:ind w:left="562" w:hanging="562"/>
        <w:rPr>
          <w:sz w:val="28"/>
          <w:szCs w:val="28"/>
          <w:highlight w:val="none"/>
        </w:rPr>
      </w:pPr>
      <w:r>
        <w:rPr>
          <w:rFonts w:hint="eastAsia"/>
          <w:sz w:val="28"/>
          <w:szCs w:val="28"/>
          <w:highlight w:val="none"/>
        </w:rPr>
        <w:t>评审程序及评审方法</w:t>
      </w:r>
    </w:p>
    <w:p w14:paraId="3D8BF561">
      <w:pPr>
        <w:rPr>
          <w:rFonts w:ascii="黑体" w:hAnsi="宋体" w:eastAsia="黑体"/>
          <w:sz w:val="24"/>
          <w:highlight w:val="none"/>
        </w:rPr>
      </w:pPr>
      <w:r>
        <w:rPr>
          <w:rFonts w:hint="eastAsia" w:ascii="黑体" w:hAnsi="宋体" w:eastAsia="黑体"/>
          <w:sz w:val="24"/>
          <w:highlight w:val="none"/>
        </w:rPr>
        <w:t>32．投标文件初审</w:t>
      </w:r>
    </w:p>
    <w:p w14:paraId="26833FA9">
      <w:pPr>
        <w:ind w:firstLine="411" w:firstLineChars="196"/>
        <w:rPr>
          <w:rFonts w:ascii="宋体" w:hAnsi="宋体"/>
          <w:highlight w:val="none"/>
        </w:rPr>
      </w:pPr>
      <w:r>
        <w:rPr>
          <w:rFonts w:hint="eastAsia" w:ascii="宋体" w:hAnsi="宋体"/>
          <w:highlight w:val="none"/>
        </w:rPr>
        <w:t>32.1投标文件初审包括资格性审查和符合性审查。</w:t>
      </w:r>
    </w:p>
    <w:p w14:paraId="3BCAB1B4">
      <w:pPr>
        <w:ind w:firstLine="411" w:firstLineChars="196"/>
        <w:rPr>
          <w:rFonts w:ascii="宋体" w:hAnsi="宋体"/>
          <w:highlight w:val="none"/>
        </w:rPr>
      </w:pPr>
      <w:r>
        <w:rPr>
          <w:rFonts w:hint="eastAsia" w:ascii="宋体" w:hAnsi="宋体"/>
          <w:highlight w:val="none"/>
        </w:rPr>
        <w:t>资格性审查：依据法律法规和招标文件的规定，对投标文件中的资格证明等进行审查，以确定投标供应商是否具备投标资格。</w:t>
      </w:r>
    </w:p>
    <w:p w14:paraId="1D5A712A">
      <w:pPr>
        <w:ind w:firstLine="411" w:firstLineChars="196"/>
        <w:rPr>
          <w:rFonts w:ascii="宋体" w:hAnsi="宋体"/>
          <w:highlight w:val="none"/>
        </w:rPr>
      </w:pPr>
      <w:r>
        <w:rPr>
          <w:rFonts w:hint="eastAsia" w:ascii="宋体" w:hAnsi="宋体"/>
          <w:highlight w:val="none"/>
        </w:rPr>
        <w:t>符合性审查：依据招标文件的规定，对投标文件的有效性、完整性和对招标文件的响应程度进行审查，以确定是否满足符合性审查的要求。</w:t>
      </w:r>
    </w:p>
    <w:p w14:paraId="295813D3">
      <w:pPr>
        <w:ind w:firstLine="411" w:firstLineChars="196"/>
        <w:rPr>
          <w:rFonts w:ascii="宋体" w:hAnsi="宋体"/>
          <w:highlight w:val="none"/>
        </w:rPr>
      </w:pPr>
      <w:r>
        <w:rPr>
          <w:rFonts w:hint="eastAsia" w:ascii="宋体" w:hAnsi="宋体"/>
          <w:highlight w:val="none"/>
        </w:rPr>
        <w:t>32.2 投标文件初审内容请详见《资格性审查表》和《符合性审查表》部分。投标人若有一条审查不通过则按投标无效处理。</w:t>
      </w:r>
    </w:p>
    <w:p w14:paraId="47FD03BB">
      <w:pPr>
        <w:ind w:firstLine="411" w:firstLineChars="196"/>
        <w:rPr>
          <w:rFonts w:ascii="宋体" w:hAnsi="宋体"/>
          <w:bCs/>
          <w:highlight w:val="none"/>
        </w:rPr>
      </w:pPr>
      <w:r>
        <w:rPr>
          <w:rFonts w:hint="eastAsia" w:ascii="宋体" w:hAnsi="宋体"/>
          <w:bCs/>
          <w:highlight w:val="none"/>
        </w:rPr>
        <w:t>32.3 投标文件初审中关于供应商家数的计算:</w:t>
      </w:r>
    </w:p>
    <w:p w14:paraId="7882BD12">
      <w:pPr>
        <w:ind w:firstLine="411" w:firstLineChars="196"/>
        <w:rPr>
          <w:rFonts w:ascii="宋体" w:hAnsi="宋体"/>
          <w:bCs/>
          <w:highlight w:val="none"/>
        </w:rPr>
      </w:pPr>
      <w:r>
        <w:rPr>
          <w:rFonts w:hint="eastAsia" w:ascii="宋体" w:hAnsi="宋体"/>
          <w:bCs/>
          <w:highlight w:val="none"/>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3D200473">
      <w:pPr>
        <w:ind w:firstLine="411" w:firstLineChars="196"/>
        <w:rPr>
          <w:rFonts w:ascii="宋体" w:hAnsi="宋体"/>
          <w:bCs/>
          <w:highlight w:val="none"/>
        </w:rPr>
      </w:pPr>
      <w:r>
        <w:rPr>
          <w:rFonts w:hint="eastAsia" w:ascii="宋体" w:hAnsi="宋体"/>
          <w:bCs/>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highlight w:val="none"/>
        </w:rPr>
        <w:t>评审委员会</w:t>
      </w:r>
      <w:r>
        <w:rPr>
          <w:rFonts w:hint="eastAsia" w:ascii="宋体" w:hAnsi="宋体"/>
          <w:bCs/>
          <w:highlight w:val="none"/>
        </w:rPr>
        <w:t>按照招标文件规定的方式确定一个投标人获得中标人推荐资格，招标文件未规定的采取随机抽取方式确定，其他同品牌投标人不作为中标候选人。</w:t>
      </w:r>
    </w:p>
    <w:p w14:paraId="0E38938D">
      <w:pPr>
        <w:ind w:firstLine="411" w:firstLineChars="196"/>
        <w:rPr>
          <w:rFonts w:ascii="宋体" w:hAnsi="宋体"/>
          <w:bCs/>
          <w:highlight w:val="none"/>
        </w:rPr>
      </w:pPr>
      <w:r>
        <w:rPr>
          <w:rFonts w:hint="eastAsia" w:ascii="宋体" w:hAnsi="宋体"/>
          <w:bCs/>
          <w:highlight w:val="none"/>
        </w:rPr>
        <w:t>32.3.3非单一产品采购项目，采购人应当根据采购项目技术构成、产品价格比重等合理确定核心产品，并在招标文件中载明。多家投标人提供的核心产品品牌相同的，按前两款规定处理。</w:t>
      </w:r>
    </w:p>
    <w:p w14:paraId="277F4CA5">
      <w:pPr>
        <w:ind w:firstLine="411" w:firstLineChars="196"/>
        <w:rPr>
          <w:rFonts w:ascii="宋体" w:hAnsi="宋体"/>
          <w:highlight w:val="none"/>
        </w:rPr>
      </w:pPr>
      <w:r>
        <w:rPr>
          <w:rFonts w:hint="eastAsia" w:ascii="宋体" w:hAnsi="宋体"/>
          <w:highlight w:val="none"/>
        </w:rPr>
        <w:t>32.4投标人投标文件作无效处理的情形，具体包括但不限于以下：</w:t>
      </w:r>
    </w:p>
    <w:p w14:paraId="0429B727">
      <w:pPr>
        <w:ind w:firstLine="411" w:firstLineChars="196"/>
        <w:rPr>
          <w:highlight w:val="none"/>
        </w:rPr>
      </w:pPr>
      <w:r>
        <w:rPr>
          <w:rFonts w:hint="eastAsia" w:ascii="宋体" w:hAnsi="宋体"/>
          <w:highlight w:val="none"/>
        </w:rPr>
        <w:t>32.4.1</w:t>
      </w:r>
      <w:r>
        <w:rPr>
          <w:rFonts w:hint="eastAsia"/>
          <w:highlight w:val="none"/>
        </w:rPr>
        <w:t>不同投标人的投标文件由同一单位或者同一个人编制，或者由同一个人分阶段参与编制；</w:t>
      </w:r>
    </w:p>
    <w:p w14:paraId="7125605A">
      <w:pPr>
        <w:ind w:firstLine="411" w:firstLineChars="196"/>
        <w:rPr>
          <w:highlight w:val="none"/>
        </w:rPr>
      </w:pPr>
      <w:r>
        <w:rPr>
          <w:rFonts w:ascii="宋体" w:hAnsi="宋体"/>
          <w:highlight w:val="none"/>
        </w:rPr>
        <w:t>32.4.</w:t>
      </w:r>
      <w:r>
        <w:rPr>
          <w:rFonts w:hint="eastAsia" w:ascii="宋体" w:hAnsi="宋体"/>
          <w:highlight w:val="none"/>
        </w:rPr>
        <w:t>2</w:t>
      </w:r>
      <w:r>
        <w:rPr>
          <w:rFonts w:hint="eastAsia"/>
          <w:highlight w:val="none"/>
        </w:rPr>
        <w:t>不同投标人委托同一单位或者个人办理投标事宜；</w:t>
      </w:r>
    </w:p>
    <w:p w14:paraId="5BB522D2">
      <w:pPr>
        <w:ind w:firstLine="411" w:firstLineChars="196"/>
        <w:rPr>
          <w:rFonts w:ascii="宋体" w:hAnsi="宋体"/>
          <w:highlight w:val="none"/>
        </w:rPr>
      </w:pPr>
      <w:r>
        <w:rPr>
          <w:rFonts w:hint="eastAsia" w:ascii="宋体" w:hAnsi="宋体"/>
          <w:highlight w:val="none"/>
        </w:rPr>
        <w:t>32.4.3不同投标人的投标文件载明的项目管理成员或者联系人员为同一人；</w:t>
      </w:r>
    </w:p>
    <w:p w14:paraId="1B270FED">
      <w:pPr>
        <w:ind w:firstLine="411" w:firstLineChars="196"/>
        <w:rPr>
          <w:rFonts w:ascii="宋体" w:hAnsi="宋体"/>
          <w:highlight w:val="none"/>
        </w:rPr>
      </w:pPr>
      <w:r>
        <w:rPr>
          <w:rFonts w:hint="eastAsia" w:ascii="宋体" w:hAnsi="宋体"/>
          <w:highlight w:val="none"/>
        </w:rPr>
        <w:t>32.4.4不同投标人的投标文件异常一致或者投标报价呈规律性差异；</w:t>
      </w:r>
    </w:p>
    <w:p w14:paraId="1F7CE81C">
      <w:pPr>
        <w:ind w:firstLine="411" w:firstLineChars="196"/>
        <w:rPr>
          <w:rFonts w:ascii="宋体" w:hAnsi="宋体"/>
          <w:highlight w:val="none"/>
        </w:rPr>
      </w:pPr>
      <w:r>
        <w:rPr>
          <w:rFonts w:hint="eastAsia" w:ascii="宋体" w:hAnsi="宋体"/>
          <w:highlight w:val="none"/>
        </w:rPr>
        <w:t>32.4.5</w:t>
      </w:r>
      <w:r>
        <w:rPr>
          <w:rFonts w:ascii="宋体" w:hAnsi="宋体"/>
          <w:highlight w:val="none"/>
        </w:rPr>
        <w:t>不同投标供应商的投标文件或部分投标文件相互混装</w:t>
      </w:r>
      <w:r>
        <w:rPr>
          <w:rFonts w:hint="eastAsia" w:ascii="宋体" w:hAnsi="宋体"/>
          <w:highlight w:val="none"/>
        </w:rPr>
        <w:t>；</w:t>
      </w:r>
    </w:p>
    <w:p w14:paraId="657A574E">
      <w:pPr>
        <w:ind w:firstLine="411" w:firstLineChars="196"/>
        <w:rPr>
          <w:rFonts w:ascii="宋体" w:hAnsi="宋体"/>
          <w:highlight w:val="none"/>
        </w:rPr>
      </w:pPr>
      <w:r>
        <w:rPr>
          <w:rFonts w:hint="eastAsia" w:ascii="宋体" w:hAnsi="宋体"/>
          <w:highlight w:val="none"/>
        </w:rPr>
        <w:t>32.4.6投标供应商之间相互约定给予未中标的供应商利益补偿；</w:t>
      </w:r>
    </w:p>
    <w:p w14:paraId="5FBD99BD">
      <w:pPr>
        <w:ind w:firstLine="411" w:firstLineChars="196"/>
        <w:rPr>
          <w:rFonts w:ascii="宋体" w:hAnsi="宋体"/>
          <w:highlight w:val="none"/>
        </w:rPr>
      </w:pPr>
      <w:r>
        <w:rPr>
          <w:rFonts w:hint="eastAsia" w:ascii="宋体" w:hAnsi="宋体"/>
          <w:highlight w:val="none"/>
        </w:rPr>
        <w:t>32.4.7不同投标供应商的法定代表人、主要经营负责人、项目投标授权代表人、项目负责人、主要技术人员为同一人、属同一单位或者同一单位缴纳社会保险；</w:t>
      </w:r>
    </w:p>
    <w:p w14:paraId="065112A8">
      <w:pPr>
        <w:ind w:firstLine="411" w:firstLineChars="196"/>
        <w:rPr>
          <w:rFonts w:ascii="宋体" w:hAnsi="宋体"/>
          <w:highlight w:val="none"/>
        </w:rPr>
      </w:pPr>
      <w:r>
        <w:rPr>
          <w:rFonts w:hint="eastAsia" w:ascii="宋体" w:hAnsi="宋体"/>
          <w:highlight w:val="none"/>
        </w:rPr>
        <w:t>32.4.8不同投标供应商的投标文件内容存在非正常一致；</w:t>
      </w:r>
    </w:p>
    <w:p w14:paraId="29269775">
      <w:pPr>
        <w:ind w:firstLine="411" w:firstLineChars="196"/>
        <w:rPr>
          <w:rFonts w:ascii="宋体" w:hAnsi="宋体"/>
          <w:highlight w:val="none"/>
        </w:rPr>
      </w:pPr>
      <w:r>
        <w:rPr>
          <w:rFonts w:hint="eastAsia" w:ascii="宋体" w:hAnsi="宋体"/>
          <w:highlight w:val="none"/>
        </w:rPr>
        <w:t>32.4.9在同一单位工作人员为两家以上（含两家）供应商进行同一项投标活动；</w:t>
      </w:r>
    </w:p>
    <w:p w14:paraId="08794310">
      <w:pPr>
        <w:ind w:firstLine="411" w:firstLineChars="196"/>
        <w:rPr>
          <w:rFonts w:ascii="宋体" w:hAnsi="宋体"/>
          <w:highlight w:val="none"/>
        </w:rPr>
      </w:pPr>
      <w:r>
        <w:rPr>
          <w:rFonts w:hint="eastAsia" w:ascii="宋体" w:hAnsi="宋体"/>
          <w:highlight w:val="none"/>
        </w:rPr>
        <w:t>32.4.10主管部门依照法律、法规认定的其他情形。</w:t>
      </w:r>
    </w:p>
    <w:p w14:paraId="6F2EB7CF">
      <w:pPr>
        <w:ind w:firstLine="411" w:firstLineChars="196"/>
        <w:rPr>
          <w:rFonts w:ascii="宋体" w:hAnsi="宋体"/>
          <w:highlight w:val="none"/>
        </w:rPr>
      </w:pPr>
      <w:r>
        <w:rPr>
          <w:rFonts w:hint="eastAsia" w:ascii="宋体" w:hAnsi="宋体"/>
          <w:highlight w:val="none"/>
        </w:rPr>
        <w:t>32.5对不属于《资格性审查表》和《符合性审查表》所列的其他情形，除专用条款另有规定和32.4条款所列情形外，不得作为投标无效的理由。</w:t>
      </w:r>
    </w:p>
    <w:p w14:paraId="575265E0">
      <w:pPr>
        <w:rPr>
          <w:rFonts w:ascii="黑体" w:hAnsi="宋体" w:eastAsia="黑体"/>
          <w:sz w:val="24"/>
          <w:highlight w:val="none"/>
        </w:rPr>
      </w:pPr>
      <w:r>
        <w:rPr>
          <w:rFonts w:hint="eastAsia" w:ascii="黑体" w:hAnsi="宋体" w:eastAsia="黑体"/>
          <w:sz w:val="24"/>
          <w:highlight w:val="none"/>
        </w:rPr>
        <w:t>33．澄清有关问题</w:t>
      </w:r>
    </w:p>
    <w:p w14:paraId="14229311">
      <w:pPr>
        <w:ind w:firstLine="411" w:firstLineChars="196"/>
        <w:rPr>
          <w:rFonts w:ascii="宋体" w:hAnsi="宋体"/>
          <w:highlight w:val="none"/>
        </w:rPr>
      </w:pPr>
      <w:bookmarkStart w:id="60" w:name="_Hlk71407321"/>
      <w:r>
        <w:rPr>
          <w:rFonts w:hint="eastAsia" w:ascii="宋体" w:hAnsi="宋体"/>
          <w:highlight w:val="none"/>
        </w:rPr>
        <w:t>3</w:t>
      </w:r>
      <w:r>
        <w:rPr>
          <w:rFonts w:ascii="宋体" w:hAnsi="宋体"/>
          <w:highlight w:val="none"/>
        </w:rPr>
        <w:t>3.1</w:t>
      </w:r>
      <w:r>
        <w:rPr>
          <w:rFonts w:hint="eastAsia" w:ascii="宋体" w:hAnsi="宋体"/>
          <w:highlight w:val="none"/>
        </w:rPr>
        <w:t>对招标文件中描述有歧义或前后不一致的地方（不含</w:t>
      </w:r>
      <w:r>
        <w:rPr>
          <w:szCs w:val="21"/>
          <w:highlight w:val="none"/>
        </w:rPr>
        <w:t>招标文件存在歧义、重大缺陷导致评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highlight w:val="none"/>
        </w:rPr>
        <w:t>，评审委员会有权进行评判，但对同一条款的评判应适用于每个投标人。</w:t>
      </w:r>
      <w:bookmarkEnd w:id="60"/>
    </w:p>
    <w:p w14:paraId="44C8A342">
      <w:pPr>
        <w:ind w:firstLine="411" w:firstLineChars="196"/>
        <w:rPr>
          <w:rFonts w:ascii="宋体" w:hAnsi="宋体"/>
          <w:highlight w:val="none"/>
        </w:rPr>
      </w:pPr>
      <w:r>
        <w:rPr>
          <w:rFonts w:hint="eastAsia" w:ascii="宋体" w:hAnsi="宋体"/>
          <w:highlight w:val="none"/>
        </w:rPr>
        <w:t>3</w:t>
      </w:r>
      <w:r>
        <w:rPr>
          <w:rFonts w:ascii="宋体" w:hAnsi="宋体"/>
          <w:highlight w:val="none"/>
        </w:rPr>
        <w:t>3.2</w:t>
      </w:r>
      <w:r>
        <w:rPr>
          <w:szCs w:val="21"/>
          <w:highlight w:val="none"/>
        </w:rPr>
        <w:t>评</w:t>
      </w:r>
      <w:r>
        <w:rPr>
          <w:rFonts w:hint="eastAsia"/>
          <w:szCs w:val="21"/>
          <w:highlight w:val="none"/>
        </w:rPr>
        <w:t>审</w:t>
      </w:r>
      <w:r>
        <w:rPr>
          <w:szCs w:val="21"/>
          <w:highlight w:val="none"/>
        </w:rPr>
        <w:t>委员会发现招标文件存在歧义、重大缺陷导致评</w:t>
      </w:r>
      <w:r>
        <w:rPr>
          <w:rFonts w:hint="eastAsia"/>
          <w:szCs w:val="21"/>
          <w:highlight w:val="none"/>
        </w:rPr>
        <w:t>审</w:t>
      </w:r>
      <w:r>
        <w:rPr>
          <w:szCs w:val="21"/>
          <w:highlight w:val="none"/>
        </w:rPr>
        <w:t>工作无法进行，或者招标文件内容违反国家有关强制性规定的，应当停止评</w:t>
      </w:r>
      <w:r>
        <w:rPr>
          <w:rFonts w:hint="eastAsia"/>
          <w:szCs w:val="21"/>
          <w:highlight w:val="none"/>
        </w:rPr>
        <w:t>审</w:t>
      </w:r>
      <w:r>
        <w:rPr>
          <w:szCs w:val="21"/>
          <w:highlight w:val="none"/>
        </w:rPr>
        <w:t>工作，与</w:t>
      </w:r>
      <w:r>
        <w:rPr>
          <w:rFonts w:hint="eastAsia"/>
          <w:szCs w:val="21"/>
          <w:highlight w:val="none"/>
        </w:rPr>
        <w:t>政府集中采购机构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应当修改招标文件，重新组织采购活动。</w:t>
      </w:r>
    </w:p>
    <w:p w14:paraId="62237FD6">
      <w:pPr>
        <w:ind w:firstLine="411" w:firstLineChars="196"/>
        <w:rPr>
          <w:rFonts w:ascii="宋体" w:hAnsi="宋体"/>
          <w:highlight w:val="none"/>
        </w:rPr>
      </w:pPr>
      <w:r>
        <w:rPr>
          <w:rFonts w:ascii="宋体" w:hAnsi="宋体"/>
          <w:highlight w:val="none"/>
        </w:rPr>
        <w:t>33.3</w:t>
      </w:r>
      <w:r>
        <w:rPr>
          <w:rFonts w:hint="eastAsia" w:ascii="宋体" w:hAnsi="宋体"/>
          <w:highlight w:val="none"/>
        </w:rPr>
        <w:t>对于投标文件中含义不明确、同类问题表述不一致或者有明显文字和计算错误的内容，评审委员会应当以书面形式要求投标人作出必要的澄清、说明或者补正。</w:t>
      </w:r>
    </w:p>
    <w:p w14:paraId="0EFB1252">
      <w:pPr>
        <w:ind w:firstLine="411" w:firstLineChars="196"/>
        <w:rPr>
          <w:rFonts w:ascii="宋体" w:hAnsi="宋体"/>
          <w:highlight w:val="none"/>
        </w:rPr>
      </w:pPr>
      <w:r>
        <w:rPr>
          <w:rFonts w:hint="eastAsia" w:ascii="宋体" w:hAnsi="宋体"/>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BF5DD1E">
      <w:pPr>
        <w:ind w:firstLine="411" w:firstLineChars="196"/>
        <w:rPr>
          <w:rFonts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14:paraId="0340812B">
      <w:pPr>
        <w:rPr>
          <w:rFonts w:ascii="黑体" w:hAnsi="宋体" w:eastAsia="黑体"/>
          <w:sz w:val="24"/>
          <w:highlight w:val="none"/>
        </w:rPr>
      </w:pPr>
      <w:bookmarkStart w:id="61" w:name="_Toc73517673"/>
      <w:bookmarkStart w:id="62" w:name="_Toc73521581"/>
      <w:bookmarkStart w:id="63" w:name="_Toc100052400"/>
      <w:bookmarkStart w:id="64" w:name="_Toc73521669"/>
      <w:bookmarkStart w:id="65" w:name="_Toc73518151"/>
      <w:r>
        <w:rPr>
          <w:rFonts w:hint="eastAsia" w:ascii="黑体" w:hAnsi="宋体" w:eastAsia="黑体"/>
          <w:sz w:val="24"/>
          <w:highlight w:val="none"/>
        </w:rPr>
        <w:t>34．错误的修正</w:t>
      </w:r>
      <w:bookmarkEnd w:id="61"/>
      <w:bookmarkEnd w:id="62"/>
      <w:bookmarkEnd w:id="63"/>
      <w:bookmarkEnd w:id="64"/>
      <w:bookmarkEnd w:id="65"/>
    </w:p>
    <w:p w14:paraId="5CF47214">
      <w:pPr>
        <w:ind w:firstLine="411" w:firstLineChars="196"/>
        <w:rPr>
          <w:rFonts w:ascii="宋体" w:hAnsi="宋体"/>
          <w:szCs w:val="21"/>
          <w:highlight w:val="none"/>
        </w:rPr>
      </w:pPr>
      <w:r>
        <w:rPr>
          <w:rFonts w:hint="eastAsia" w:ascii="宋体" w:hAnsi="宋体"/>
          <w:szCs w:val="21"/>
          <w:highlight w:val="none"/>
        </w:rPr>
        <w:t>投标文件报价出现前后不一致的，除专用条款另有规定外，按照下列规定修正：</w:t>
      </w:r>
    </w:p>
    <w:p w14:paraId="702EFC44">
      <w:pPr>
        <w:ind w:firstLine="411" w:firstLineChars="196"/>
        <w:rPr>
          <w:rFonts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14:paraId="1B0284D7">
      <w:pPr>
        <w:ind w:firstLine="411" w:firstLineChars="196"/>
        <w:rPr>
          <w:rFonts w:ascii="宋体" w:hAnsi="宋体"/>
          <w:szCs w:val="21"/>
          <w:highlight w:val="none"/>
        </w:rPr>
      </w:pPr>
      <w:r>
        <w:rPr>
          <w:rFonts w:hint="eastAsia" w:ascii="宋体" w:hAnsi="宋体"/>
          <w:szCs w:val="21"/>
          <w:highlight w:val="none"/>
        </w:rPr>
        <w:t>34.2大写金额和小写金额不一致的，以大写金额为准；</w:t>
      </w:r>
    </w:p>
    <w:p w14:paraId="649ED7BF">
      <w:pPr>
        <w:ind w:firstLine="411" w:firstLineChars="196"/>
        <w:rPr>
          <w:rFonts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14:paraId="5CDE5583">
      <w:pPr>
        <w:ind w:firstLine="411" w:firstLineChars="196"/>
        <w:rPr>
          <w:rFonts w:ascii="宋体" w:hAnsi="宋体"/>
          <w:szCs w:val="21"/>
          <w:highlight w:val="none"/>
        </w:rPr>
      </w:pPr>
      <w:r>
        <w:rPr>
          <w:rFonts w:hint="eastAsia" w:ascii="宋体" w:hAnsi="宋体"/>
          <w:szCs w:val="21"/>
          <w:highlight w:val="none"/>
        </w:rPr>
        <w:t>34.4总价金额与按单价汇总金额不一致的，以单价金额计算结果为准。</w:t>
      </w:r>
    </w:p>
    <w:p w14:paraId="15AC52D4">
      <w:pPr>
        <w:ind w:firstLine="411" w:firstLineChars="196"/>
        <w:rPr>
          <w:rFonts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14:paraId="24A57DB7">
      <w:pPr>
        <w:rPr>
          <w:rFonts w:ascii="黑体" w:hAnsi="宋体" w:eastAsia="黑体"/>
          <w:sz w:val="24"/>
          <w:highlight w:val="none"/>
        </w:rPr>
      </w:pPr>
      <w:r>
        <w:rPr>
          <w:rFonts w:hint="eastAsia" w:ascii="黑体" w:hAnsi="宋体" w:eastAsia="黑体"/>
          <w:sz w:val="24"/>
          <w:highlight w:val="none"/>
        </w:rPr>
        <w:t>35．投标文件的比较与评价</w:t>
      </w:r>
    </w:p>
    <w:p w14:paraId="49412E21">
      <w:pPr>
        <w:ind w:firstLine="411" w:firstLineChars="196"/>
        <w:rPr>
          <w:rFonts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4286A801">
      <w:pPr>
        <w:ind w:firstLine="411" w:firstLineChars="196"/>
        <w:rPr>
          <w:rFonts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14:paraId="4722E34E">
      <w:pPr>
        <w:rPr>
          <w:rFonts w:ascii="黑体" w:hAnsi="宋体" w:eastAsia="黑体"/>
          <w:sz w:val="24"/>
          <w:highlight w:val="none"/>
        </w:rPr>
      </w:pPr>
      <w:r>
        <w:rPr>
          <w:rFonts w:hint="eastAsia" w:ascii="黑体" w:hAnsi="宋体" w:eastAsia="黑体"/>
          <w:sz w:val="24"/>
          <w:highlight w:val="none"/>
        </w:rPr>
        <w:t>36. 实地考察</w:t>
      </w:r>
    </w:p>
    <w:p w14:paraId="0AD7AB44">
      <w:pPr>
        <w:ind w:firstLine="411" w:firstLineChars="196"/>
        <w:rPr>
          <w:rFonts w:ascii="宋体" w:hAnsi="宋体"/>
          <w:szCs w:val="21"/>
          <w:highlight w:val="none"/>
        </w:rPr>
      </w:pPr>
      <w:r>
        <w:rPr>
          <w:rFonts w:hint="eastAsia" w:ascii="宋体" w:hAnsi="宋体"/>
          <w:szCs w:val="21"/>
          <w:highlight w:val="none"/>
        </w:rPr>
        <w:t>36.1</w:t>
      </w:r>
      <w:r>
        <w:rPr>
          <w:rFonts w:hint="eastAsia" w:ascii="宋体" w:hAnsi="宋体"/>
          <w:szCs w:val="21"/>
          <w:highlight w:val="none"/>
          <w:lang w:val="en-US" w:eastAsia="zh-CN"/>
        </w:rPr>
        <w:t>在评审期间，评审委员会根据招标文件规定（详见“一、对通用条款的补充内容”），有权对本项目的投标人开展实地考察，投标人需时刻做好接收实地考察的准备。</w:t>
      </w:r>
    </w:p>
    <w:p w14:paraId="3663DD51">
      <w:pPr>
        <w:rPr>
          <w:rFonts w:ascii="黑体" w:hAnsi="宋体" w:eastAsia="黑体"/>
          <w:sz w:val="24"/>
          <w:highlight w:val="none"/>
        </w:rPr>
      </w:pPr>
      <w:r>
        <w:rPr>
          <w:rFonts w:hint="eastAsia" w:ascii="黑体" w:hAnsi="宋体" w:eastAsia="黑体"/>
          <w:sz w:val="24"/>
          <w:highlight w:val="none"/>
        </w:rPr>
        <w:t>37．评审方法</w:t>
      </w:r>
    </w:p>
    <w:p w14:paraId="0B84805F">
      <w:pPr>
        <w:ind w:firstLine="413" w:firstLineChars="196"/>
        <w:rPr>
          <w:rFonts w:ascii="宋体" w:hAnsi="宋体"/>
          <w:b/>
          <w:bCs/>
          <w:szCs w:val="21"/>
          <w:highlight w:val="none"/>
        </w:rPr>
      </w:pPr>
      <w:r>
        <w:rPr>
          <w:rFonts w:hint="eastAsia" w:ascii="宋体" w:hAnsi="宋体"/>
          <w:b/>
          <w:bCs/>
          <w:szCs w:val="21"/>
          <w:highlight w:val="none"/>
        </w:rPr>
        <w:t>37.1.1最低价法</w:t>
      </w:r>
    </w:p>
    <w:p w14:paraId="656E3846">
      <w:pPr>
        <w:ind w:firstLine="411" w:firstLineChars="196"/>
        <w:rPr>
          <w:rFonts w:ascii="ˎ̥" w:hAnsi="ˎ̥"/>
          <w:highlight w:val="none"/>
        </w:rPr>
      </w:pPr>
      <w:bookmarkStart w:id="66" w:name="_Hlk72438142"/>
      <w:r>
        <w:rPr>
          <w:rFonts w:ascii="ˎ̥" w:hAnsi="ˎ̥"/>
          <w:highlight w:val="none"/>
        </w:rPr>
        <w:t>最低价法，是指</w:t>
      </w:r>
      <w:r>
        <w:rPr>
          <w:rFonts w:hint="eastAsia" w:ascii="ˎ̥" w:hAnsi="ˎ̥"/>
          <w:highlight w:val="none"/>
        </w:rPr>
        <w:t>完全</w:t>
      </w:r>
      <w:r>
        <w:rPr>
          <w:rFonts w:ascii="ˎ̥" w:hAnsi="ˎ̥"/>
          <w:highlight w:val="none"/>
        </w:rPr>
        <w:t>满足招标文件实质性要求，</w:t>
      </w:r>
      <w:r>
        <w:rPr>
          <w:rFonts w:hint="eastAsia" w:ascii="ˎ̥" w:hAnsi="ˎ̥"/>
          <w:highlight w:val="none"/>
        </w:rPr>
        <w:t>按照报价由低到高的顺序，依据招标文件中规定的数量或者比例推荐候选中标供应商。</w:t>
      </w:r>
    </w:p>
    <w:p w14:paraId="4CDEFE21">
      <w:pPr>
        <w:ind w:firstLine="413" w:firstLineChars="196"/>
        <w:rPr>
          <w:rFonts w:ascii="宋体" w:hAnsi="宋体"/>
          <w:b/>
          <w:bCs/>
          <w:szCs w:val="21"/>
          <w:highlight w:val="none"/>
        </w:rPr>
      </w:pPr>
      <w:r>
        <w:rPr>
          <w:rFonts w:hint="eastAsia" w:ascii="宋体" w:hAnsi="宋体"/>
          <w:b/>
          <w:bCs/>
          <w:szCs w:val="21"/>
          <w:highlight w:val="none"/>
        </w:rPr>
        <w:t>37.1.2综合评分法</w:t>
      </w:r>
    </w:p>
    <w:p w14:paraId="0903C86A">
      <w:pPr>
        <w:ind w:firstLine="411" w:firstLineChars="196"/>
        <w:rPr>
          <w:rFonts w:hint="eastAsia" w:ascii="ˎ̥" w:hAnsi="ˎ̥"/>
          <w:highlight w:val="none"/>
        </w:rPr>
      </w:pPr>
      <w:r>
        <w:rPr>
          <w:rFonts w:ascii="ˎ̥" w:hAnsi="ˎ̥"/>
          <w:highlight w:val="none"/>
        </w:rPr>
        <w:t>综合评分法，是指</w:t>
      </w:r>
      <w:r>
        <w:rPr>
          <w:rFonts w:hint="eastAsia" w:ascii="ˎ̥" w:hAnsi="ˎ̥"/>
          <w:highlight w:val="none"/>
        </w:rPr>
        <w:t>在</w:t>
      </w:r>
      <w:r>
        <w:rPr>
          <w:rFonts w:ascii="ˎ̥" w:hAnsi="ˎ̥"/>
          <w:highlight w:val="none"/>
        </w:rPr>
        <w:t>满足招标文件全部实质性要求</w:t>
      </w:r>
      <w:r>
        <w:rPr>
          <w:rFonts w:hint="eastAsia" w:ascii="ˎ̥" w:hAnsi="ˎ̥"/>
          <w:highlight w:val="none"/>
        </w:rPr>
        <w:t>的前提下</w:t>
      </w:r>
      <w:r>
        <w:rPr>
          <w:rFonts w:ascii="ˎ̥" w:hAnsi="ˎ̥"/>
          <w:highlight w:val="none"/>
        </w:rPr>
        <w:t>，</w:t>
      </w:r>
      <w:r>
        <w:rPr>
          <w:rFonts w:hint="eastAsia" w:ascii="ˎ̥" w:hAnsi="ˎ̥"/>
          <w:highlight w:val="none"/>
        </w:rPr>
        <w:t>按照招标文件中规定的各项因素进行综合评审，评审总得分排名前列的投标人，作为推荐的候选中标供应商。</w:t>
      </w:r>
      <w:bookmarkEnd w:id="66"/>
    </w:p>
    <w:p w14:paraId="505E2E1B">
      <w:pPr>
        <w:ind w:firstLine="411" w:firstLineChars="196"/>
        <w:rPr>
          <w:rFonts w:ascii="宋体" w:hAnsi="宋体"/>
          <w:b/>
          <w:bCs/>
          <w:szCs w:val="21"/>
          <w:highlight w:val="none"/>
        </w:rPr>
      </w:pPr>
      <w:r>
        <w:rPr>
          <w:rFonts w:hint="eastAsia" w:ascii="ˎ̥" w:hAnsi="ˎ̥"/>
          <w:highlight w:val="none"/>
          <w:lang w:val="en-US" w:eastAsia="zh-CN"/>
        </w:rPr>
        <w:t>3</w:t>
      </w:r>
      <w:r>
        <w:rPr>
          <w:rFonts w:hint="eastAsia" w:ascii="宋体" w:hAnsi="宋体"/>
          <w:b/>
          <w:bCs/>
          <w:szCs w:val="21"/>
          <w:highlight w:val="none"/>
        </w:rPr>
        <w:t>7.2 本项目采用的评审方法见本项目招标文件第一册“专用条款”的相关内容。</w:t>
      </w:r>
    </w:p>
    <w:p w14:paraId="4E591660">
      <w:pPr>
        <w:ind w:firstLine="413" w:firstLineChars="196"/>
        <w:rPr>
          <w:rFonts w:ascii="宋体" w:hAnsi="宋体"/>
          <w:b/>
          <w:bCs/>
          <w:szCs w:val="21"/>
          <w:highlight w:val="none"/>
        </w:rPr>
      </w:pPr>
      <w:r>
        <w:rPr>
          <w:rFonts w:hint="eastAsia" w:ascii="宋体" w:hAnsi="宋体"/>
          <w:b/>
          <w:bCs/>
          <w:szCs w:val="21"/>
          <w:highlight w:val="none"/>
        </w:rPr>
        <w:t>37.3重新评审的情形</w:t>
      </w:r>
    </w:p>
    <w:p w14:paraId="2516C272">
      <w:pPr>
        <w:ind w:firstLine="411" w:firstLineChars="196"/>
        <w:rPr>
          <w:rFonts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14:paraId="1092BF2B">
      <w:pPr>
        <w:ind w:firstLine="411" w:firstLineChars="196"/>
        <w:rPr>
          <w:rFonts w:ascii="宋体" w:hAnsi="宋体" w:cs="宋体"/>
          <w:kern w:val="0"/>
          <w:szCs w:val="21"/>
          <w:highlight w:val="none"/>
        </w:rPr>
      </w:pPr>
      <w:r>
        <w:rPr>
          <w:rFonts w:hint="eastAsia" w:ascii="宋体" w:hAnsi="宋体" w:cs="宋体"/>
          <w:kern w:val="0"/>
          <w:szCs w:val="21"/>
          <w:highlight w:val="none"/>
        </w:rPr>
        <w:t>37.3.1分值汇总计算错误的；</w:t>
      </w:r>
    </w:p>
    <w:p w14:paraId="41F37103">
      <w:pPr>
        <w:ind w:firstLine="411" w:firstLineChars="196"/>
        <w:rPr>
          <w:rFonts w:ascii="宋体" w:hAnsi="宋体" w:cs="宋体"/>
          <w:kern w:val="0"/>
          <w:szCs w:val="21"/>
          <w:highlight w:val="none"/>
        </w:rPr>
      </w:pPr>
      <w:r>
        <w:rPr>
          <w:rFonts w:hint="eastAsia" w:ascii="宋体" w:hAnsi="宋体" w:cs="宋体"/>
          <w:kern w:val="0"/>
          <w:szCs w:val="21"/>
          <w:highlight w:val="none"/>
        </w:rPr>
        <w:t>37.3.2分项评分超出评分标准范围的；</w:t>
      </w:r>
    </w:p>
    <w:p w14:paraId="2F3CF1DB">
      <w:pPr>
        <w:ind w:firstLine="411" w:firstLineChars="196"/>
        <w:rPr>
          <w:rFonts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14:paraId="16E57D10">
      <w:pPr>
        <w:ind w:firstLine="411" w:firstLineChars="196"/>
        <w:rPr>
          <w:rFonts w:ascii="宋体" w:hAnsi="宋体" w:cs="宋体"/>
          <w:kern w:val="0"/>
          <w:szCs w:val="21"/>
          <w:highlight w:val="none"/>
        </w:rPr>
      </w:pPr>
      <w:r>
        <w:rPr>
          <w:rFonts w:hint="eastAsia" w:ascii="宋体" w:hAnsi="宋体" w:cs="宋体"/>
          <w:kern w:val="0"/>
          <w:szCs w:val="21"/>
          <w:highlight w:val="none"/>
        </w:rPr>
        <w:t>37.3.4经评审委员会认定评分畸高、畸低的。</w:t>
      </w:r>
    </w:p>
    <w:p w14:paraId="08C5EC66">
      <w:pPr>
        <w:ind w:firstLine="411" w:firstLineChars="196"/>
        <w:rPr>
          <w:rFonts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980D0E0">
      <w:pPr>
        <w:ind w:firstLine="411" w:firstLineChars="196"/>
        <w:rPr>
          <w:rFonts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14:paraId="11BD7A1E">
      <w:pPr>
        <w:ind w:firstLine="413" w:firstLineChars="196"/>
        <w:rPr>
          <w:rFonts w:ascii="宋体" w:hAnsi="宋体"/>
          <w:b/>
          <w:bCs/>
          <w:szCs w:val="21"/>
          <w:highlight w:val="none"/>
        </w:rPr>
      </w:pPr>
      <w:r>
        <w:rPr>
          <w:rFonts w:hint="eastAsia" w:ascii="宋体" w:hAnsi="宋体"/>
          <w:b/>
          <w:bCs/>
          <w:szCs w:val="21"/>
          <w:highlight w:val="none"/>
        </w:rPr>
        <w:t>37.4重新组建评审委员会的情形</w:t>
      </w:r>
    </w:p>
    <w:p w14:paraId="0E3C2FB8">
      <w:pPr>
        <w:ind w:firstLine="411" w:firstLineChars="196"/>
        <w:rPr>
          <w:rFonts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14:paraId="4E999150">
      <w:pPr>
        <w:ind w:firstLine="411" w:firstLineChars="196"/>
        <w:rPr>
          <w:rFonts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14:paraId="36B9E859">
      <w:pPr>
        <w:ind w:firstLine="411" w:firstLineChars="196"/>
        <w:rPr>
          <w:rFonts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14:paraId="3841375A">
      <w:pPr>
        <w:ind w:firstLine="411" w:firstLineChars="196"/>
        <w:rPr>
          <w:rFonts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14:paraId="3E162EB1">
      <w:pPr>
        <w:ind w:firstLine="411" w:firstLineChars="196"/>
        <w:rPr>
          <w:rFonts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14:paraId="40D33020">
      <w:pPr>
        <w:ind w:firstLine="411" w:firstLineChars="196"/>
        <w:rPr>
          <w:rFonts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14:paraId="14E802A6">
      <w:pPr>
        <w:ind w:firstLine="411" w:firstLineChars="196"/>
        <w:rPr>
          <w:rFonts w:ascii="宋体" w:hAnsi="宋体"/>
          <w:szCs w:val="21"/>
          <w:highlight w:val="none"/>
        </w:rPr>
      </w:pPr>
    </w:p>
    <w:p w14:paraId="25B5D090">
      <w:pPr>
        <w:pStyle w:val="7"/>
        <w:numPr>
          <w:ilvl w:val="0"/>
          <w:numId w:val="8"/>
        </w:numPr>
        <w:spacing w:before="120" w:beforeLines="50" w:after="120" w:afterLines="50"/>
        <w:ind w:left="562" w:hanging="562"/>
        <w:rPr>
          <w:sz w:val="28"/>
          <w:szCs w:val="28"/>
          <w:highlight w:val="none"/>
        </w:rPr>
      </w:pPr>
      <w:r>
        <w:rPr>
          <w:rFonts w:hint="eastAsia"/>
          <w:sz w:val="28"/>
          <w:szCs w:val="28"/>
          <w:highlight w:val="none"/>
        </w:rPr>
        <w:t>定标及公示</w:t>
      </w:r>
    </w:p>
    <w:p w14:paraId="00E78D69">
      <w:pPr>
        <w:rPr>
          <w:rFonts w:ascii="黑体" w:hAnsi="宋体" w:eastAsia="黑体"/>
          <w:sz w:val="24"/>
          <w:highlight w:val="none"/>
        </w:rPr>
      </w:pPr>
      <w:r>
        <w:rPr>
          <w:rFonts w:hint="eastAsia" w:ascii="黑体" w:hAnsi="宋体" w:eastAsia="黑体"/>
          <w:sz w:val="24"/>
          <w:highlight w:val="none"/>
        </w:rPr>
        <w:t>38．定标方法</w:t>
      </w:r>
    </w:p>
    <w:p w14:paraId="21E100D0">
      <w:pPr>
        <w:ind w:firstLine="411" w:firstLineChars="196"/>
        <w:rPr>
          <w:rFonts w:ascii="宋体" w:hAnsi="宋体"/>
          <w:szCs w:val="21"/>
          <w:highlight w:val="none"/>
        </w:rPr>
      </w:pPr>
      <w:r>
        <w:rPr>
          <w:rFonts w:hint="eastAsia" w:ascii="宋体" w:hAnsi="宋体"/>
          <w:szCs w:val="21"/>
          <w:highlight w:val="none"/>
        </w:rPr>
        <w:t>38.1非评定分离项目定标方法</w:t>
      </w:r>
    </w:p>
    <w:p w14:paraId="2C906015">
      <w:pPr>
        <w:ind w:firstLine="411" w:firstLineChars="196"/>
        <w:rPr>
          <w:rFonts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1.1评审委员会依据本项目招标文件所约定的评审方法进行评审和比较，向政府集中采购机构提交书面评审报告，并根据评审方法比较评价结果从优到劣进行排序，确定候选中标供应商。</w:t>
      </w:r>
    </w:p>
    <w:p w14:paraId="7EA2B23D">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highlight w:val="none"/>
        </w:rPr>
        <w:t>采用最低价法的，评</w:t>
      </w:r>
      <w:r>
        <w:rPr>
          <w:rFonts w:hint="eastAsia" w:ascii="ˎ̥" w:hAnsi="ˎ̥"/>
          <w:highlight w:val="none"/>
        </w:rPr>
        <w:t>审</w:t>
      </w:r>
      <w:r>
        <w:rPr>
          <w:rFonts w:ascii="ˎ̥" w:hAnsi="ˎ̥"/>
          <w:highlight w:val="none"/>
        </w:rPr>
        <w:t>结果按投标报价由低到高顺序排列。投标报价相同的并列。投标文件满足招标文件全部实质性要求且投标报价最低的</w:t>
      </w:r>
      <w:r>
        <w:rPr>
          <w:rFonts w:hint="eastAsia" w:ascii="ˎ̥" w:hAnsi="ˎ̥"/>
          <w:highlight w:val="none"/>
        </w:rPr>
        <w:t>投标人为中标供应商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p>
    <w:p w14:paraId="5C0418C5">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highlight w:val="none"/>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highlight w:val="none"/>
        </w:rPr>
        <w:t>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r>
        <w:rPr>
          <w:rFonts w:hint="eastAsia" w:ascii="ˎ̥" w:hAnsi="ˎ̥"/>
          <w:highlight w:val="none"/>
        </w:rPr>
        <w:t>出现</w:t>
      </w:r>
      <w:r>
        <w:rPr>
          <w:rFonts w:ascii="ˎ̥" w:hAnsi="ˎ̥"/>
          <w:highlight w:val="none"/>
        </w:rPr>
        <w:t>得分且投标报价相同的并列</w:t>
      </w:r>
      <w:r>
        <w:rPr>
          <w:rFonts w:hint="eastAsia" w:ascii="ˎ̥" w:hAnsi="ˎ̥"/>
          <w:highlight w:val="none"/>
        </w:rPr>
        <w:t>情况时，采取随机抽取的方式确定，具体操作办法及流程由评审委员会确定。</w:t>
      </w:r>
    </w:p>
    <w:p w14:paraId="49ACFCB4">
      <w:pPr>
        <w:ind w:firstLine="411" w:firstLineChars="196"/>
        <w:rPr>
          <w:rFonts w:ascii="宋体" w:hAnsi="宋体"/>
          <w:szCs w:val="21"/>
          <w:highlight w:val="none"/>
        </w:rPr>
      </w:pPr>
      <w:r>
        <w:rPr>
          <w:rFonts w:hint="eastAsia" w:ascii="宋体" w:hAnsi="宋体"/>
          <w:szCs w:val="21"/>
          <w:highlight w:val="none"/>
        </w:rPr>
        <w:t>38.2评定分离项目定标方法</w:t>
      </w:r>
    </w:p>
    <w:p w14:paraId="370AD432">
      <w:pPr>
        <w:ind w:firstLine="411" w:firstLineChars="196"/>
        <w:rPr>
          <w:rFonts w:ascii="宋体" w:hAnsi="宋体"/>
          <w:szCs w:val="21"/>
          <w:highlight w:val="none"/>
        </w:rPr>
      </w:pPr>
      <w:r>
        <w:rPr>
          <w:rFonts w:hint="eastAsia" w:ascii="宋体" w:hAnsi="宋体"/>
          <w:szCs w:val="21"/>
          <w:highlight w:val="none"/>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0CA5E77E">
      <w:pPr>
        <w:ind w:firstLine="411" w:firstLineChars="196"/>
        <w:rPr>
          <w:highlight w:val="none"/>
        </w:rPr>
      </w:pPr>
      <w:r>
        <w:rPr>
          <w:rFonts w:ascii="宋体" w:hAnsi="宋体"/>
          <w:szCs w:val="21"/>
          <w:highlight w:val="none"/>
        </w:rPr>
        <w:t xml:space="preserve">38.2.2 </w:t>
      </w:r>
      <w:bookmarkStart w:id="67" w:name="_Hlk71469733"/>
      <w:r>
        <w:rPr>
          <w:highlight w:val="none"/>
        </w:rPr>
        <w:t>适用评定分离的政府采购项目，采用综合评分法评</w:t>
      </w:r>
      <w:r>
        <w:rPr>
          <w:rFonts w:hint="eastAsia"/>
          <w:highlight w:val="none"/>
        </w:rPr>
        <w:t>审。</w:t>
      </w:r>
      <w:r>
        <w:rPr>
          <w:rFonts w:hint="eastAsia" w:ascii="宋体" w:hAnsi="宋体"/>
          <w:szCs w:val="21"/>
          <w:highlight w:val="none"/>
        </w:rPr>
        <w:t>评审委员会按照评审结果，推荐</w:t>
      </w:r>
      <w:r>
        <w:rPr>
          <w:highlight w:val="none"/>
        </w:rPr>
        <w:t>三个合格的候选中标供应商。</w:t>
      </w:r>
    </w:p>
    <w:p w14:paraId="139AA6CE">
      <w:pPr>
        <w:ind w:firstLine="411" w:firstLineChars="196"/>
        <w:rPr>
          <w:rFonts w:ascii="宋体" w:hAnsi="宋体"/>
          <w:szCs w:val="21"/>
          <w:highlight w:val="none"/>
        </w:rPr>
      </w:pPr>
      <w:r>
        <w:rPr>
          <w:rFonts w:hint="eastAsia" w:ascii="宋体" w:hAnsi="宋体"/>
          <w:szCs w:val="21"/>
          <w:highlight w:val="none"/>
        </w:rPr>
        <w:t>38.2.3</w:t>
      </w:r>
      <w:bookmarkStart w:id="68" w:name="_Hlk71469688"/>
      <w:r>
        <w:rPr>
          <w:highlight w:val="none"/>
        </w:rPr>
        <w:t>适用评定分离的政府采购项目，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67"/>
      <w:bookmarkEnd w:id="68"/>
    </w:p>
    <w:p w14:paraId="7664FECC">
      <w:pPr>
        <w:ind w:firstLine="411" w:firstLineChars="196"/>
        <w:rPr>
          <w:rFonts w:ascii="宋体" w:hAnsi="宋体"/>
          <w:szCs w:val="21"/>
          <w:highlight w:val="none"/>
        </w:rPr>
      </w:pPr>
      <w:r>
        <w:rPr>
          <w:rFonts w:ascii="宋体" w:hAnsi="宋体"/>
          <w:szCs w:val="21"/>
          <w:highlight w:val="none"/>
        </w:rPr>
        <w:t>38.2.4</w:t>
      </w:r>
      <w:r>
        <w:rPr>
          <w:rFonts w:hint="eastAsia" w:ascii="宋体" w:hAnsi="宋体"/>
          <w:szCs w:val="21"/>
          <w:highlight w:val="none"/>
        </w:rPr>
        <w:t>政府集中采购机构</w:t>
      </w:r>
      <w:r>
        <w:rPr>
          <w:highlight w:val="none"/>
        </w:rPr>
        <w:t>应当自评审结束之日起两个工作日内将候选中标供应商名单及其投标文件、评审报告送交采购人</w:t>
      </w:r>
      <w:r>
        <w:rPr>
          <w:rFonts w:hint="eastAsia" w:ascii="宋体" w:hAnsi="宋体"/>
          <w:szCs w:val="21"/>
          <w:highlight w:val="none"/>
        </w:rPr>
        <w:t>。</w:t>
      </w:r>
      <w:r>
        <w:rPr>
          <w:highlight w:val="none"/>
        </w:rPr>
        <w:t>采购人应当安排专人对定标过程进行书面记录，形成定标报告，作为采购文件的组成部分存档，并及时将定标结果反馈</w:t>
      </w:r>
      <w:r>
        <w:rPr>
          <w:rFonts w:hint="eastAsia"/>
          <w:highlight w:val="none"/>
        </w:rPr>
        <w:t>政府集中采购机构。具体定标程序及相关要求以按照《深圳市财政局关于</w:t>
      </w:r>
      <w:r>
        <w:rPr>
          <w:rFonts w:hint="eastAsia" w:ascii="Times New Roman" w:eastAsia="宋体"/>
          <w:highlight w:val="none"/>
          <w:lang w:val="en-US" w:eastAsia="zh-CN"/>
        </w:rPr>
        <w:t>&lt;</w:t>
      </w:r>
      <w:r>
        <w:rPr>
          <w:rFonts w:hint="eastAsia"/>
          <w:highlight w:val="none"/>
        </w:rPr>
        <w:t>深圳市政府采购评标定标分离管理办法</w:t>
      </w:r>
      <w:r>
        <w:rPr>
          <w:rFonts w:hint="eastAsia" w:ascii="Times New Roman" w:eastAsia="宋体"/>
          <w:highlight w:val="none"/>
          <w:lang w:val="en-US" w:eastAsia="zh-CN"/>
        </w:rPr>
        <w:t>&gt;</w:t>
      </w:r>
      <w:r>
        <w:rPr>
          <w:rFonts w:hint="eastAsia"/>
          <w:highlight w:val="none"/>
        </w:rPr>
        <w:t>续期的通知》（深财规〔2023〕1号）执行。</w:t>
      </w:r>
    </w:p>
    <w:p w14:paraId="486BECF9">
      <w:pPr>
        <w:ind w:firstLine="411" w:firstLineChars="196"/>
        <w:rPr>
          <w:rFonts w:ascii="宋体" w:hAnsi="宋体"/>
          <w:szCs w:val="21"/>
          <w:highlight w:val="none"/>
        </w:rPr>
      </w:pPr>
      <w:r>
        <w:rPr>
          <w:rFonts w:hint="eastAsia" w:ascii="宋体" w:hAnsi="宋体"/>
          <w:szCs w:val="21"/>
          <w:highlight w:val="none"/>
        </w:rPr>
        <w:t>说明：采购人及投标供应商应按照上述方法提前做好相关准备。</w:t>
      </w:r>
    </w:p>
    <w:p w14:paraId="58BF9EAC">
      <w:pPr>
        <w:ind w:firstLine="411" w:firstLineChars="196"/>
        <w:rPr>
          <w:rFonts w:ascii="宋体" w:hAnsi="宋体"/>
          <w:szCs w:val="21"/>
          <w:highlight w:val="none"/>
        </w:rPr>
      </w:pPr>
      <w:r>
        <w:rPr>
          <w:rFonts w:hint="eastAsia" w:ascii="宋体" w:hAnsi="宋体"/>
          <w:szCs w:val="21"/>
          <w:highlight w:val="none"/>
        </w:rPr>
        <w:t>38.3专用条款另有规定的，按专用条款相关要求定标。</w:t>
      </w:r>
    </w:p>
    <w:p w14:paraId="5E05A067">
      <w:pPr>
        <w:rPr>
          <w:rFonts w:ascii="黑体" w:hAnsi="宋体" w:eastAsia="黑体"/>
          <w:sz w:val="24"/>
          <w:highlight w:val="none"/>
        </w:rPr>
      </w:pPr>
      <w:r>
        <w:rPr>
          <w:rFonts w:hint="eastAsia" w:ascii="黑体" w:hAnsi="宋体" w:eastAsia="黑体"/>
          <w:sz w:val="24"/>
          <w:highlight w:val="none"/>
        </w:rPr>
        <w:t>39．编写评审报告</w:t>
      </w:r>
    </w:p>
    <w:p w14:paraId="6B2E2426">
      <w:pPr>
        <w:ind w:firstLine="411" w:firstLineChars="196"/>
        <w:rPr>
          <w:rFonts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1F58CA19">
      <w:pPr>
        <w:rPr>
          <w:rFonts w:ascii="黑体" w:hAnsi="宋体" w:eastAsia="黑体"/>
          <w:sz w:val="24"/>
          <w:highlight w:val="none"/>
        </w:rPr>
      </w:pPr>
      <w:r>
        <w:rPr>
          <w:rFonts w:hint="eastAsia" w:ascii="黑体" w:hAnsi="宋体" w:eastAsia="黑体"/>
          <w:sz w:val="24"/>
          <w:highlight w:val="none"/>
        </w:rPr>
        <w:t>40．中标公告</w:t>
      </w:r>
    </w:p>
    <w:p w14:paraId="4C19F1BA">
      <w:pPr>
        <w:ind w:firstLine="411" w:firstLineChars="196"/>
        <w:rPr>
          <w:rFonts w:ascii="宋体" w:hAnsi="宋体"/>
          <w:szCs w:val="21"/>
          <w:highlight w:val="none"/>
        </w:rPr>
      </w:pPr>
      <w:r>
        <w:rPr>
          <w:rFonts w:hint="eastAsia" w:ascii="宋体" w:hAnsi="宋体"/>
          <w:szCs w:val="21"/>
          <w:highlight w:val="none"/>
        </w:rPr>
        <w:t>40.1</w:t>
      </w:r>
      <w:bookmarkStart w:id="69" w:name="_Hlk72438709"/>
      <w:r>
        <w:rPr>
          <w:rFonts w:hint="eastAsia" w:ascii="宋体" w:hAnsi="宋体"/>
          <w:szCs w:val="21"/>
          <w:highlight w:val="none"/>
        </w:rPr>
        <w:t>为体现“公开、公平、公正”的原则，评审结束后经采购人确认（确定）评审结果，政府集中采购机构将在</w:t>
      </w:r>
      <w:r>
        <w:rPr>
          <w:rFonts w:hint="eastAsia" w:ascii="宋体" w:hAnsi="宋体"/>
          <w:b/>
          <w:bCs/>
          <w:szCs w:val="21"/>
          <w:highlight w:val="none"/>
        </w:rPr>
        <w:t>“深圳公共资源交易网（https://szggzy.com/）”</w:t>
      </w:r>
      <w:r>
        <w:rPr>
          <w:rFonts w:hint="eastAsia" w:ascii="宋体" w:hAnsi="宋体"/>
          <w:szCs w:val="21"/>
          <w:highlight w:val="none"/>
        </w:rPr>
        <w:t>上发布中标结果公告。</w:t>
      </w:r>
      <w:bookmarkEnd w:id="69"/>
      <w:bookmarkStart w:id="70" w:name="_Hlk72438751"/>
      <w:r>
        <w:rPr>
          <w:rFonts w:hint="eastAsia" w:ascii="宋体" w:hAnsi="宋体"/>
          <w:szCs w:val="21"/>
          <w:highlight w:val="none"/>
        </w:rPr>
        <w:t>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rPr>
        <w:t>政府集中采购机构</w:t>
      </w:r>
      <w:r>
        <w:rPr>
          <w:rFonts w:ascii="宋体" w:hAnsi="宋体"/>
          <w:szCs w:val="21"/>
          <w:highlight w:val="none"/>
        </w:rPr>
        <w:t>提出。 监督电话：0755-83948143。</w:t>
      </w:r>
      <w:r>
        <w:rPr>
          <w:rFonts w:hint="eastAsia" w:ascii="宋体" w:hAnsi="宋体"/>
          <w:szCs w:val="21"/>
          <w:highlight w:val="none"/>
        </w:rPr>
        <w:t>若在公示期内未提出质疑，则视为认同该评审结果。</w:t>
      </w:r>
    </w:p>
    <w:bookmarkEnd w:id="70"/>
    <w:p w14:paraId="5B632B45">
      <w:pPr>
        <w:ind w:firstLine="411" w:firstLineChars="196"/>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1612ADA6">
      <w:pPr>
        <w:rPr>
          <w:rFonts w:ascii="黑体" w:hAnsi="宋体" w:eastAsia="黑体"/>
          <w:sz w:val="24"/>
          <w:highlight w:val="none"/>
        </w:rPr>
      </w:pPr>
      <w:r>
        <w:rPr>
          <w:rFonts w:hint="eastAsia" w:ascii="黑体" w:hAnsi="宋体" w:eastAsia="黑体"/>
          <w:sz w:val="24"/>
          <w:highlight w:val="none"/>
        </w:rPr>
        <w:t>41．中标通知书</w:t>
      </w:r>
    </w:p>
    <w:p w14:paraId="50C3EB8A">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71"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b/>
          <w:bCs/>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1"/>
    </w:p>
    <w:p w14:paraId="654AD060">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14:paraId="1B3ABAED">
      <w:pPr>
        <w:ind w:firstLine="411" w:firstLineChars="196"/>
        <w:rPr>
          <w:rFonts w:ascii="宋体" w:hAnsi="宋体"/>
          <w:szCs w:val="21"/>
          <w:highlight w:val="none"/>
        </w:rPr>
      </w:pPr>
      <w:bookmarkStart w:id="72" w:name="_Hlk71407340"/>
      <w:r>
        <w:rPr>
          <w:rFonts w:hint="eastAsia" w:ascii="宋体" w:hAnsi="宋体"/>
          <w:szCs w:val="21"/>
          <w:highlight w:val="none"/>
        </w:rPr>
        <w:t>41.3因质疑投诉或其它原因导致项目结果变更或采购终止的，政府集中采购机构有权吊销中标通知书。</w:t>
      </w:r>
    </w:p>
    <w:bookmarkEnd w:id="72"/>
    <w:p w14:paraId="61AAA4C6">
      <w:pPr>
        <w:ind w:firstLine="411" w:firstLineChars="196"/>
        <w:rPr>
          <w:rFonts w:ascii="宋体" w:hAnsi="宋体"/>
          <w:szCs w:val="21"/>
          <w:highlight w:val="none"/>
        </w:rPr>
      </w:pPr>
    </w:p>
    <w:p w14:paraId="0FE5EF11">
      <w:pPr>
        <w:pStyle w:val="7"/>
        <w:numPr>
          <w:ilvl w:val="0"/>
          <w:numId w:val="8"/>
        </w:numPr>
        <w:spacing w:before="120" w:beforeLines="50" w:after="120" w:afterLines="50"/>
        <w:ind w:left="562" w:hanging="562"/>
        <w:rPr>
          <w:sz w:val="28"/>
          <w:szCs w:val="28"/>
          <w:highlight w:val="none"/>
        </w:rPr>
      </w:pPr>
      <w:r>
        <w:rPr>
          <w:rFonts w:hint="eastAsia"/>
          <w:sz w:val="28"/>
          <w:szCs w:val="28"/>
          <w:highlight w:val="none"/>
        </w:rPr>
        <w:t>公开招标失败的后续处理</w:t>
      </w:r>
    </w:p>
    <w:p w14:paraId="34422EF3">
      <w:pPr>
        <w:rPr>
          <w:rFonts w:ascii="黑体" w:hAnsi="宋体" w:eastAsia="黑体"/>
          <w:sz w:val="24"/>
          <w:highlight w:val="none"/>
        </w:rPr>
      </w:pPr>
      <w:r>
        <w:rPr>
          <w:rFonts w:hint="eastAsia" w:ascii="黑体" w:hAnsi="宋体" w:eastAsia="黑体"/>
          <w:sz w:val="24"/>
          <w:highlight w:val="none"/>
        </w:rPr>
        <w:t>42．公开招标失败的处理</w:t>
      </w:r>
    </w:p>
    <w:p w14:paraId="5B453011">
      <w:pPr>
        <w:ind w:firstLine="411" w:firstLineChars="196"/>
        <w:rPr>
          <w:rFonts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rPr>
        <w:t>政府集中采购机构</w:t>
      </w:r>
      <w:r>
        <w:rPr>
          <w:rFonts w:hint="eastAsia" w:ascii="宋体" w:hAnsi="宋体"/>
          <w:highlight w:val="none"/>
        </w:rPr>
        <w:t>重新组织采购。</w:t>
      </w:r>
    </w:p>
    <w:p w14:paraId="3ACD81E5">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3BEBBAFA">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6C37FC8D">
      <w:pPr>
        <w:ind w:firstLine="411" w:firstLineChars="196"/>
        <w:rPr>
          <w:rFonts w:ascii="宋体" w:hAnsi="宋体"/>
          <w:highlight w:val="none"/>
        </w:rPr>
      </w:pPr>
      <w:r>
        <w:rPr>
          <w:rFonts w:hint="eastAsia" w:ascii="宋体" w:hAnsi="宋体"/>
          <w:highlight w:val="none"/>
        </w:rPr>
        <w:t>（1）由政府集中采购机构重新组织公开招标；</w:t>
      </w:r>
    </w:p>
    <w:p w14:paraId="459F7FC4">
      <w:pPr>
        <w:ind w:firstLine="411" w:firstLineChars="196"/>
        <w:rPr>
          <w:rFonts w:ascii="宋体" w:hAnsi="宋体"/>
          <w:highlight w:val="none"/>
        </w:rPr>
      </w:pPr>
      <w:r>
        <w:rPr>
          <w:rFonts w:hint="eastAsia" w:ascii="宋体" w:hAnsi="宋体"/>
          <w:highlight w:val="none"/>
        </w:rPr>
        <w:t>（2）根据实际情况需要向同级财政部门提出非公开招标方式申请，经同级财政部门批准，公开招标失败采购项目可转为竞争性谈判或单一来源谈判方式采购。</w:t>
      </w:r>
    </w:p>
    <w:p w14:paraId="4B21D352">
      <w:pPr>
        <w:ind w:firstLine="411" w:firstLineChars="196"/>
        <w:rPr>
          <w:rFonts w:ascii="宋体" w:hAnsi="宋体"/>
          <w:highlight w:val="none"/>
        </w:rPr>
      </w:pPr>
      <w:r>
        <w:rPr>
          <w:rFonts w:hint="eastAsia" w:ascii="宋体" w:hAnsi="宋体"/>
          <w:highlight w:val="none"/>
        </w:rPr>
        <w:t>42.4公开招标失败的采购项目重新组织公开招标，由政府集中采购机构重新按公开招标流程组织采购活动。</w:t>
      </w:r>
    </w:p>
    <w:p w14:paraId="5B8E10CA">
      <w:pPr>
        <w:rPr>
          <w:rFonts w:ascii="宋体" w:hAnsi="宋体"/>
          <w:highlight w:val="none"/>
        </w:rPr>
      </w:pPr>
      <w:r>
        <w:rPr>
          <w:rFonts w:hint="eastAsia" w:ascii="黑体" w:hAnsi="宋体" w:eastAsia="黑体"/>
          <w:sz w:val="24"/>
          <w:highlight w:val="none"/>
        </w:rPr>
        <w:t xml:space="preserve">    </w:t>
      </w:r>
      <w:r>
        <w:rPr>
          <w:rFonts w:hint="eastAsia" w:ascii="宋体" w:hAnsi="宋体"/>
          <w:highlight w:val="none"/>
        </w:rPr>
        <w:t>42.5公开招标失败的采购项目经同级财政部门批准转为竞争性谈判或单一来源谈判方式采购的，按规定要求组织政府采购工作。</w:t>
      </w:r>
    </w:p>
    <w:p w14:paraId="3E5F840D">
      <w:pPr>
        <w:rPr>
          <w:rFonts w:ascii="黑体" w:hAnsi="宋体" w:eastAsia="黑体"/>
          <w:sz w:val="24"/>
          <w:highlight w:val="none"/>
        </w:rPr>
      </w:pPr>
    </w:p>
    <w:p w14:paraId="2E114D10">
      <w:pPr>
        <w:pStyle w:val="7"/>
        <w:numPr>
          <w:ilvl w:val="0"/>
          <w:numId w:val="8"/>
        </w:numPr>
        <w:spacing w:before="120" w:beforeLines="50" w:after="120" w:afterLines="50"/>
        <w:ind w:left="562" w:hanging="562"/>
        <w:rPr>
          <w:sz w:val="28"/>
          <w:szCs w:val="28"/>
          <w:highlight w:val="none"/>
        </w:rPr>
      </w:pPr>
      <w:bookmarkStart w:id="73" w:name="_Hlk72439043"/>
      <w:r>
        <w:rPr>
          <w:rFonts w:hint="eastAsia"/>
          <w:sz w:val="28"/>
          <w:szCs w:val="28"/>
          <w:highlight w:val="none"/>
        </w:rPr>
        <w:t>合同的授予与备案</w:t>
      </w:r>
      <w:bookmarkEnd w:id="73"/>
    </w:p>
    <w:p w14:paraId="37D9D281">
      <w:pPr>
        <w:rPr>
          <w:rFonts w:ascii="黑体" w:hAnsi="宋体" w:eastAsia="黑体"/>
          <w:sz w:val="24"/>
          <w:highlight w:val="none"/>
        </w:rPr>
      </w:pPr>
      <w:bookmarkStart w:id="74" w:name="_Toc73521674"/>
      <w:bookmarkStart w:id="75" w:name="_Toc73517679"/>
      <w:bookmarkStart w:id="76" w:name="_Toc73521586"/>
      <w:bookmarkStart w:id="77" w:name="_Toc100052408"/>
      <w:bookmarkStart w:id="78" w:name="_Toc73518157"/>
      <w:bookmarkStart w:id="79" w:name="_Hlk72439088"/>
      <w:r>
        <w:rPr>
          <w:rFonts w:hint="eastAsia" w:ascii="黑体" w:hAnsi="宋体" w:eastAsia="黑体"/>
          <w:sz w:val="24"/>
          <w:highlight w:val="none"/>
        </w:rPr>
        <w:t>43．合同授予标准</w:t>
      </w:r>
      <w:bookmarkEnd w:id="74"/>
      <w:bookmarkEnd w:id="75"/>
      <w:bookmarkEnd w:id="76"/>
      <w:bookmarkEnd w:id="77"/>
      <w:bookmarkEnd w:id="78"/>
    </w:p>
    <w:p w14:paraId="32C261FD">
      <w:pPr>
        <w:ind w:firstLine="411" w:firstLineChars="196"/>
        <w:rPr>
          <w:rFonts w:ascii="宋体" w:hAnsi="宋体"/>
          <w:szCs w:val="21"/>
          <w:highlight w:val="none"/>
        </w:rPr>
      </w:pPr>
      <w:r>
        <w:rPr>
          <w:rFonts w:hint="eastAsia" w:ascii="宋体" w:hAnsi="宋体"/>
          <w:szCs w:val="21"/>
          <w:highlight w:val="none"/>
        </w:rPr>
        <w:t>本项目的合同将授予经本招标文件规定评审确定的中标供应商。</w:t>
      </w:r>
    </w:p>
    <w:p w14:paraId="47443960">
      <w:pPr>
        <w:rPr>
          <w:rFonts w:ascii="黑体" w:hAnsi="宋体" w:eastAsia="黑体"/>
          <w:sz w:val="24"/>
          <w:highlight w:val="none"/>
        </w:rPr>
      </w:pPr>
      <w:bookmarkStart w:id="80" w:name="_Toc73521587"/>
      <w:bookmarkStart w:id="81" w:name="_Toc73521675"/>
      <w:bookmarkStart w:id="82" w:name="_Toc73518158"/>
      <w:bookmarkStart w:id="83" w:name="_Toc100052409"/>
      <w:bookmarkStart w:id="84" w:name="_Toc73517680"/>
      <w:r>
        <w:rPr>
          <w:rFonts w:hint="eastAsia" w:ascii="黑体" w:hAnsi="宋体" w:eastAsia="黑体"/>
          <w:sz w:val="24"/>
          <w:highlight w:val="none"/>
        </w:rPr>
        <w:t>44．</w:t>
      </w:r>
      <w:bookmarkEnd w:id="80"/>
      <w:bookmarkEnd w:id="81"/>
      <w:bookmarkEnd w:id="82"/>
      <w:bookmarkEnd w:id="83"/>
      <w:bookmarkEnd w:id="84"/>
      <w:r>
        <w:rPr>
          <w:rFonts w:hint="eastAsia" w:ascii="黑体" w:hAnsi="宋体" w:eastAsia="黑体"/>
          <w:sz w:val="24"/>
          <w:highlight w:val="none"/>
        </w:rPr>
        <w:t>接受和拒绝任何或所有投标的权力</w:t>
      </w:r>
    </w:p>
    <w:p w14:paraId="0B05FF31">
      <w:pPr>
        <w:ind w:firstLine="411" w:firstLineChars="196"/>
        <w:rPr>
          <w:rFonts w:ascii="宋体" w:hAnsi="宋体"/>
          <w:szCs w:val="21"/>
          <w:highlight w:val="none"/>
        </w:rPr>
      </w:pPr>
      <w:r>
        <w:rPr>
          <w:rFonts w:hint="eastAsia" w:ascii="宋体" w:hAnsi="宋体"/>
          <w:szCs w:val="21"/>
          <w:highlight w:val="none"/>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0C5D4685">
      <w:pPr>
        <w:rPr>
          <w:rFonts w:ascii="黑体" w:hAnsi="宋体" w:eastAsia="黑体"/>
          <w:sz w:val="24"/>
          <w:highlight w:val="none"/>
        </w:rPr>
      </w:pPr>
      <w:bookmarkStart w:id="85" w:name="_Toc73517682"/>
      <w:bookmarkStart w:id="86" w:name="_Toc73518160"/>
      <w:bookmarkStart w:id="87" w:name="_Toc100052410"/>
      <w:bookmarkStart w:id="88" w:name="_Toc73521677"/>
      <w:bookmarkStart w:id="89" w:name="_Toc73521589"/>
      <w:r>
        <w:rPr>
          <w:rFonts w:hint="eastAsia" w:ascii="黑体" w:hAnsi="宋体" w:eastAsia="黑体"/>
          <w:sz w:val="24"/>
          <w:highlight w:val="none"/>
        </w:rPr>
        <w:t>45．合同的签订</w:t>
      </w:r>
      <w:bookmarkEnd w:id="85"/>
      <w:bookmarkEnd w:id="86"/>
      <w:bookmarkEnd w:id="87"/>
      <w:bookmarkEnd w:id="88"/>
      <w:bookmarkEnd w:id="89"/>
    </w:p>
    <w:p w14:paraId="0C2654CD">
      <w:pPr>
        <w:ind w:firstLine="411" w:firstLineChars="196"/>
        <w:rPr>
          <w:rFonts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45.1中标人将于中标通知书发出之日起十个工作日内，按照采购文件（招标文件和投标文件等）内容与采购人签订政府采购合同；合同的实质性内容应当符合招标文件的规定；</w:t>
      </w:r>
    </w:p>
    <w:p w14:paraId="0DEB2374">
      <w:pPr>
        <w:ind w:firstLine="411" w:firstLineChars="196"/>
        <w:rPr>
          <w:rFonts w:ascii="宋体" w:hAnsi="宋体"/>
          <w:szCs w:val="21"/>
          <w:highlight w:val="none"/>
        </w:rPr>
      </w:pPr>
      <w:r>
        <w:rPr>
          <w:rFonts w:hint="eastAsia" w:ascii="宋体" w:hAnsi="宋体"/>
          <w:szCs w:val="21"/>
          <w:highlight w:val="none"/>
        </w:rPr>
        <w:t>45.2中标人如不按本通用条款第45</w:t>
      </w:r>
      <w:r>
        <w:rPr>
          <w:rFonts w:ascii="宋体" w:hAnsi="宋体"/>
          <w:szCs w:val="21"/>
          <w:highlight w:val="none"/>
        </w:rPr>
        <w:t>.1</w:t>
      </w:r>
      <w:r>
        <w:rPr>
          <w:rFonts w:hint="eastAsia" w:ascii="宋体" w:hAnsi="宋体"/>
          <w:szCs w:val="21"/>
          <w:highlight w:val="none"/>
        </w:rPr>
        <w:t>款的规定与采购人签订合同，</w:t>
      </w:r>
      <w:r>
        <w:rPr>
          <w:rFonts w:ascii="宋体" w:hAnsi="宋体" w:cs="宋体"/>
          <w:kern w:val="0"/>
          <w:szCs w:val="21"/>
          <w:highlight w:val="none"/>
        </w:rPr>
        <w:t>情节严重的，由</w:t>
      </w:r>
      <w:r>
        <w:rPr>
          <w:rFonts w:hint="eastAsia" w:ascii="宋体" w:hAnsi="宋体" w:cs="宋体"/>
          <w:kern w:val="0"/>
          <w:szCs w:val="21"/>
          <w:highlight w:val="none"/>
        </w:rPr>
        <w:t>同级财政</w:t>
      </w:r>
      <w:r>
        <w:rPr>
          <w:rFonts w:ascii="宋体" w:hAnsi="宋体" w:cs="宋体"/>
          <w:kern w:val="0"/>
          <w:szCs w:val="21"/>
          <w:highlight w:val="none"/>
        </w:rPr>
        <w:t>部门记入供应商诚信档案，予以通报</w:t>
      </w:r>
      <w:r>
        <w:rPr>
          <w:rFonts w:hint="eastAsia" w:ascii="宋体" w:hAnsi="宋体"/>
          <w:szCs w:val="21"/>
          <w:highlight w:val="none"/>
        </w:rPr>
        <w:t>；</w:t>
      </w:r>
    </w:p>
    <w:p w14:paraId="671DE6C2">
      <w:pPr>
        <w:ind w:firstLine="411" w:firstLineChars="196"/>
        <w:rPr>
          <w:rFonts w:ascii="宋体" w:hAnsi="宋体"/>
          <w:szCs w:val="21"/>
          <w:highlight w:val="none"/>
        </w:rPr>
      </w:pPr>
      <w:r>
        <w:rPr>
          <w:rFonts w:hint="eastAsia" w:ascii="宋体" w:hAnsi="宋体"/>
          <w:szCs w:val="21"/>
          <w:highlight w:val="none"/>
        </w:rPr>
        <w:t>45.3中标人应当按照合同约定履行义务，完成中标项目，不得将中标项目转让（转包）给他人。</w:t>
      </w:r>
    </w:p>
    <w:p w14:paraId="1BAD27DA">
      <w:pPr>
        <w:rPr>
          <w:rFonts w:ascii="黑体" w:hAnsi="宋体" w:eastAsia="黑体"/>
          <w:sz w:val="24"/>
          <w:highlight w:val="none"/>
        </w:rPr>
      </w:pPr>
      <w:bookmarkStart w:id="90" w:name="_Toc73517683"/>
      <w:bookmarkStart w:id="91" w:name="_Toc100052411"/>
      <w:bookmarkStart w:id="92" w:name="_Toc73521678"/>
      <w:bookmarkStart w:id="93" w:name="_Toc73521590"/>
      <w:bookmarkStart w:id="94" w:name="_Toc73518161"/>
      <w:r>
        <w:rPr>
          <w:rFonts w:hint="eastAsia" w:ascii="黑体" w:hAnsi="宋体" w:eastAsia="黑体"/>
          <w:sz w:val="24"/>
          <w:highlight w:val="none"/>
        </w:rPr>
        <w:t>46．履约担保</w:t>
      </w:r>
      <w:bookmarkEnd w:id="90"/>
      <w:bookmarkEnd w:id="91"/>
      <w:bookmarkEnd w:id="92"/>
      <w:bookmarkEnd w:id="93"/>
      <w:bookmarkEnd w:id="94"/>
    </w:p>
    <w:p w14:paraId="6457F4BB">
      <w:pPr>
        <w:ind w:firstLine="411" w:firstLineChars="196"/>
        <w:rPr>
          <w:rFonts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14:paraId="68499D25">
      <w:pPr>
        <w:ind w:firstLine="411" w:firstLineChars="196"/>
        <w:rPr>
          <w:rFonts w:ascii="宋体" w:hAnsi="宋体"/>
          <w:szCs w:val="21"/>
          <w:highlight w:val="none"/>
        </w:rPr>
      </w:pPr>
      <w:r>
        <w:rPr>
          <w:rFonts w:hint="eastAsia" w:ascii="宋体" w:hAnsi="宋体"/>
          <w:szCs w:val="21"/>
          <w:highlight w:val="none"/>
        </w:rPr>
        <w:t>46.2，允许供应商自主选择以支票、汇票、本票、保函等非现金方式提交履约担保；</w:t>
      </w:r>
      <w:r>
        <w:rPr>
          <w:highlight w:val="none"/>
        </w:rPr>
        <w:t>中标</w:t>
      </w:r>
      <w:r>
        <w:rPr>
          <w:rFonts w:hint="eastAsia"/>
          <w:highlight w:val="none"/>
        </w:rPr>
        <w:t>人</w:t>
      </w:r>
      <w:r>
        <w:rPr>
          <w:highlight w:val="none"/>
        </w:rPr>
        <w:t>提交履约</w:t>
      </w:r>
      <w:r>
        <w:rPr>
          <w:rFonts w:hint="eastAsia"/>
          <w:highlight w:val="none"/>
        </w:rPr>
        <w:t>担保不是</w:t>
      </w:r>
      <w:r>
        <w:rPr>
          <w:highlight w:val="none"/>
        </w:rPr>
        <w:t>合同签订的</w:t>
      </w:r>
      <w:r>
        <w:rPr>
          <w:rFonts w:hint="eastAsia"/>
          <w:highlight w:val="none"/>
        </w:rPr>
        <w:t>前提</w:t>
      </w:r>
      <w:r>
        <w:rPr>
          <w:highlight w:val="none"/>
        </w:rPr>
        <w:t>条件，不要求中标</w:t>
      </w:r>
      <w:r>
        <w:rPr>
          <w:rFonts w:hint="eastAsia"/>
          <w:highlight w:val="none"/>
        </w:rPr>
        <w:t>人</w:t>
      </w:r>
      <w:r>
        <w:rPr>
          <w:highlight w:val="none"/>
        </w:rPr>
        <w:t>提供除法律、法规明确规定外的其他担保</w:t>
      </w:r>
      <w:r>
        <w:rPr>
          <w:rFonts w:hint="eastAsia"/>
          <w:highlight w:val="none"/>
        </w:rPr>
        <w:t>。</w:t>
      </w:r>
    </w:p>
    <w:p w14:paraId="171E2368">
      <w:pPr>
        <w:rPr>
          <w:rFonts w:ascii="黑体" w:hAnsi="宋体" w:eastAsia="黑体"/>
          <w:sz w:val="24"/>
          <w:highlight w:val="none"/>
        </w:rPr>
      </w:pPr>
      <w:r>
        <w:rPr>
          <w:rFonts w:hint="eastAsia" w:ascii="黑体" w:hAnsi="宋体" w:eastAsia="黑体"/>
          <w:sz w:val="24"/>
          <w:highlight w:val="none"/>
        </w:rPr>
        <w:t>47. 合同备案</w:t>
      </w:r>
    </w:p>
    <w:p w14:paraId="073A76A3">
      <w:pPr>
        <w:ind w:firstLine="411" w:firstLineChars="196"/>
        <w:rPr>
          <w:rFonts w:ascii="宋体" w:hAnsi="宋体"/>
          <w:szCs w:val="21"/>
          <w:highlight w:val="none"/>
        </w:rPr>
      </w:pPr>
      <w:r>
        <w:rPr>
          <w:rFonts w:hint="eastAsia" w:ascii="宋体" w:hAnsi="宋体" w:eastAsia="宋体" w:cs="Times New Roman"/>
          <w:kern w:val="2"/>
          <w:sz w:val="21"/>
          <w:szCs w:val="21"/>
          <w:highlight w:val="none"/>
          <w:lang w:eastAsia="zh-Hans"/>
        </w:rPr>
        <w:t>采购人与中标供应商自中标通知书发出之日起10个工作日内签订政府采购合同，</w:t>
      </w:r>
      <w:r>
        <w:rPr>
          <w:rFonts w:hint="eastAsia" w:ascii="宋体" w:hAnsi="宋体" w:eastAsia="宋体" w:cs="Times New Roman"/>
          <w:kern w:val="2"/>
          <w:sz w:val="21"/>
          <w:szCs w:val="21"/>
          <w:highlight w:val="none"/>
          <w:lang w:val="en-US" w:eastAsia="zh-CN"/>
        </w:rPr>
        <w:t>并按财政部门规定提交备案。</w:t>
      </w:r>
    </w:p>
    <w:p w14:paraId="67ED9E4F">
      <w:pPr>
        <w:rPr>
          <w:rFonts w:ascii="黑体" w:hAnsi="宋体" w:eastAsia="黑体"/>
          <w:sz w:val="24"/>
          <w:highlight w:val="none"/>
        </w:rPr>
      </w:pPr>
      <w:r>
        <w:rPr>
          <w:rFonts w:hint="eastAsia" w:ascii="黑体" w:hAnsi="宋体" w:eastAsia="黑体"/>
          <w:sz w:val="24"/>
          <w:highlight w:val="none"/>
        </w:rPr>
        <w:t>48. 合同变更</w:t>
      </w:r>
    </w:p>
    <w:p w14:paraId="2C4963AC">
      <w:pPr>
        <w:ind w:firstLine="411" w:firstLineChars="196"/>
        <w:rPr>
          <w:rFonts w:ascii="宋体" w:hAnsi="宋体"/>
          <w:szCs w:val="21"/>
          <w:highlight w:val="none"/>
        </w:rPr>
      </w:pPr>
      <w:r>
        <w:rPr>
          <w:rFonts w:hint="eastAsia" w:ascii="宋体" w:hAnsi="宋体"/>
          <w:szCs w:val="21"/>
          <w:highlight w:val="none"/>
        </w:rPr>
        <w:t>合同变更事宜按《深圳市财政局关于优化政府采购合同备案的通知》（深财发保〔2022〕2号）相关规定执行。</w:t>
      </w:r>
    </w:p>
    <w:p w14:paraId="57002199">
      <w:pPr>
        <w:rPr>
          <w:rFonts w:ascii="黑体" w:hAnsi="宋体" w:eastAsia="黑体"/>
          <w:sz w:val="24"/>
          <w:highlight w:val="none"/>
        </w:rPr>
      </w:pPr>
      <w:r>
        <w:rPr>
          <w:rFonts w:hint="eastAsia" w:ascii="黑体" w:hAnsi="宋体" w:eastAsia="黑体"/>
          <w:sz w:val="24"/>
          <w:highlight w:val="none"/>
        </w:rPr>
        <w:t>49. 项目验收</w:t>
      </w:r>
    </w:p>
    <w:p w14:paraId="083769B5">
      <w:pPr>
        <w:widowControl/>
        <w:ind w:right="176" w:firstLine="420"/>
        <w:jc w:val="left"/>
        <w:rPr>
          <w:rFonts w:ascii="宋体" w:hAnsi="宋体"/>
          <w:highlight w:val="none"/>
        </w:rPr>
      </w:pPr>
      <w:r>
        <w:rPr>
          <w:rFonts w:hint="eastAsia" w:ascii="宋体" w:hAnsi="宋体"/>
          <w:highlight w:val="none"/>
        </w:rPr>
        <w:t>49.1采购人应当按照招标文件和合同规定的标准和方法，及时组织验收。</w:t>
      </w:r>
      <w:r>
        <w:rPr>
          <w:rFonts w:ascii="宋体" w:hAnsi="宋体"/>
          <w:highlight w:val="none"/>
        </w:rPr>
        <w:t xml:space="preserve"> </w:t>
      </w:r>
    </w:p>
    <w:p w14:paraId="7AE1A42B">
      <w:pPr>
        <w:rPr>
          <w:rFonts w:ascii="黑体" w:hAnsi="宋体" w:eastAsia="黑体"/>
          <w:sz w:val="24"/>
          <w:highlight w:val="none"/>
        </w:rPr>
      </w:pPr>
      <w:r>
        <w:rPr>
          <w:rFonts w:hint="eastAsia" w:ascii="黑体" w:hAnsi="宋体" w:eastAsia="黑体"/>
          <w:sz w:val="24"/>
          <w:highlight w:val="none"/>
        </w:rPr>
        <w:t>50. 宣传</w:t>
      </w:r>
    </w:p>
    <w:p w14:paraId="2C6E6C87">
      <w:pPr>
        <w:ind w:left="210" w:leftChars="100" w:firstLine="411" w:firstLineChars="196"/>
        <w:rPr>
          <w:rFonts w:ascii="宋体" w:hAnsi="宋体"/>
          <w:highlight w:val="none"/>
        </w:rPr>
      </w:pPr>
      <w:r>
        <w:rPr>
          <w:rFonts w:hint="eastAsia" w:ascii="宋体" w:hAnsi="宋体"/>
          <w:highlight w:val="none"/>
        </w:rPr>
        <w:t>凡与政府采购活动有关的宣传或广告，若当中提及政府采购，</w:t>
      </w:r>
      <w:r>
        <w:rPr>
          <w:rFonts w:ascii="宋体" w:hAnsi="宋体"/>
          <w:highlight w:val="none"/>
        </w:rPr>
        <w:t>必须事先将具体对外宣传方案报</w:t>
      </w:r>
      <w:r>
        <w:rPr>
          <w:rFonts w:hint="eastAsia" w:ascii="宋体" w:hAnsi="宋体"/>
          <w:highlight w:val="none"/>
        </w:rPr>
        <w:t>同级财政部门</w:t>
      </w:r>
      <w:r>
        <w:rPr>
          <w:rFonts w:ascii="宋体" w:hAnsi="宋体"/>
          <w:highlight w:val="none"/>
        </w:rPr>
        <w:t>和</w:t>
      </w:r>
      <w:r>
        <w:rPr>
          <w:rFonts w:hint="eastAsia" w:ascii="宋体" w:hAnsi="宋体"/>
          <w:highlight w:val="none"/>
        </w:rPr>
        <w:t>政府集中采购机构</w:t>
      </w:r>
      <w:r>
        <w:rPr>
          <w:rFonts w:ascii="宋体" w:hAnsi="宋体"/>
          <w:highlight w:val="none"/>
        </w:rPr>
        <w:t>，并征得其同意。对外市场宣传包括但不限于以下形式：</w:t>
      </w:r>
    </w:p>
    <w:p w14:paraId="786DC396">
      <w:pPr>
        <w:ind w:left="210" w:leftChars="100" w:firstLine="411" w:firstLineChars="196"/>
        <w:rPr>
          <w:rFonts w:ascii="宋体" w:hAnsi="宋体"/>
          <w:highlight w:val="none"/>
        </w:rPr>
      </w:pPr>
      <w:r>
        <w:rPr>
          <w:rFonts w:ascii="宋体" w:hAnsi="宋体"/>
          <w:highlight w:val="none"/>
        </w:rPr>
        <w:t>a.名片、宣传册、广告标语等；</w:t>
      </w:r>
    </w:p>
    <w:p w14:paraId="387C4912">
      <w:pPr>
        <w:ind w:left="210" w:leftChars="100" w:firstLine="411" w:firstLineChars="196"/>
        <w:rPr>
          <w:rFonts w:ascii="宋体" w:hAnsi="宋体"/>
          <w:highlight w:val="none"/>
        </w:rPr>
      </w:pPr>
      <w:r>
        <w:rPr>
          <w:rFonts w:ascii="宋体" w:hAnsi="宋体"/>
          <w:highlight w:val="none"/>
        </w:rPr>
        <w:t>b.案例介绍、推广等；</w:t>
      </w:r>
    </w:p>
    <w:p w14:paraId="19EF1AEA">
      <w:pPr>
        <w:ind w:left="210" w:leftChars="100" w:firstLine="411" w:firstLineChars="196"/>
        <w:rPr>
          <w:rFonts w:ascii="宋体" w:hAnsi="宋体"/>
          <w:highlight w:val="none"/>
        </w:rPr>
      </w:pPr>
      <w:r>
        <w:rPr>
          <w:rFonts w:hint="eastAsia" w:ascii="宋体" w:hAnsi="宋体"/>
          <w:highlight w:val="none"/>
        </w:rPr>
        <w:t>c.工作</w:t>
      </w:r>
      <w:r>
        <w:rPr>
          <w:rFonts w:ascii="宋体" w:hAnsi="宋体"/>
          <w:highlight w:val="none"/>
        </w:rPr>
        <w:t>人员向其他消费群体宣传。</w:t>
      </w:r>
    </w:p>
    <w:p w14:paraId="6AB1696B">
      <w:pPr>
        <w:rPr>
          <w:rFonts w:ascii="黑体" w:hAnsi="宋体" w:eastAsia="黑体"/>
          <w:sz w:val="24"/>
          <w:highlight w:val="none"/>
        </w:rPr>
      </w:pPr>
      <w:r>
        <w:rPr>
          <w:rFonts w:hint="eastAsia" w:ascii="黑体" w:hAnsi="宋体" w:eastAsia="黑体"/>
          <w:sz w:val="24"/>
          <w:highlight w:val="none"/>
        </w:rPr>
        <w:t>51. 供应商违法责任</w:t>
      </w:r>
    </w:p>
    <w:p w14:paraId="05847ADE">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1D0F4E3">
      <w:pPr>
        <w:ind w:firstLine="411" w:firstLineChars="196"/>
        <w:rPr>
          <w:rFonts w:ascii="宋体" w:hAnsi="宋体"/>
          <w:szCs w:val="21"/>
          <w:highlight w:val="none"/>
        </w:rPr>
      </w:pPr>
      <w:r>
        <w:rPr>
          <w:rFonts w:hint="eastAsia" w:ascii="宋体" w:hAnsi="宋体"/>
          <w:szCs w:val="21"/>
          <w:highlight w:val="none"/>
        </w:rPr>
        <w:t>（1）在采购活动中应当回避而未回避的；</w:t>
      </w:r>
    </w:p>
    <w:p w14:paraId="14627D81">
      <w:pPr>
        <w:ind w:firstLine="411" w:firstLineChars="196"/>
        <w:rPr>
          <w:rFonts w:ascii="宋体" w:hAnsi="宋体"/>
          <w:szCs w:val="21"/>
          <w:highlight w:val="none"/>
        </w:rPr>
      </w:pPr>
      <w:r>
        <w:rPr>
          <w:rFonts w:hint="eastAsia" w:ascii="宋体" w:hAnsi="宋体"/>
          <w:szCs w:val="21"/>
          <w:highlight w:val="none"/>
        </w:rPr>
        <w:t>（2）未按本条例规定签订、履行采购合同，造成严重后果的；</w:t>
      </w:r>
    </w:p>
    <w:p w14:paraId="2F1D91A7">
      <w:pPr>
        <w:ind w:firstLine="411" w:firstLineChars="196"/>
        <w:rPr>
          <w:rFonts w:ascii="宋体" w:hAnsi="宋体"/>
          <w:szCs w:val="21"/>
          <w:highlight w:val="none"/>
        </w:rPr>
      </w:pPr>
      <w:r>
        <w:rPr>
          <w:rFonts w:hint="eastAsia" w:ascii="宋体" w:hAnsi="宋体"/>
          <w:szCs w:val="21"/>
          <w:highlight w:val="none"/>
        </w:rPr>
        <w:t>（3）隐瞒真实情况，提供虚假资料的；</w:t>
      </w:r>
    </w:p>
    <w:p w14:paraId="4617D671">
      <w:pPr>
        <w:ind w:firstLine="411" w:firstLineChars="196"/>
        <w:rPr>
          <w:rFonts w:ascii="宋体" w:hAnsi="宋体"/>
          <w:szCs w:val="21"/>
          <w:highlight w:val="none"/>
        </w:rPr>
      </w:pPr>
      <w:r>
        <w:rPr>
          <w:rFonts w:hint="eastAsia" w:ascii="宋体" w:hAnsi="宋体"/>
          <w:szCs w:val="21"/>
          <w:highlight w:val="none"/>
        </w:rPr>
        <w:t>（4）以非法手段排斥其他供应商参与竞争的；</w:t>
      </w:r>
    </w:p>
    <w:p w14:paraId="7463FC87">
      <w:pPr>
        <w:ind w:firstLine="411" w:firstLineChars="196"/>
        <w:rPr>
          <w:rFonts w:ascii="宋体" w:hAnsi="宋体"/>
          <w:szCs w:val="21"/>
          <w:highlight w:val="none"/>
        </w:rPr>
      </w:pPr>
      <w:r>
        <w:rPr>
          <w:rFonts w:hint="eastAsia" w:ascii="宋体" w:hAnsi="宋体"/>
          <w:szCs w:val="21"/>
          <w:highlight w:val="none"/>
        </w:rPr>
        <w:t>（5）与其他采购参加人串通投标的；</w:t>
      </w:r>
    </w:p>
    <w:p w14:paraId="2E26AA2E">
      <w:pPr>
        <w:ind w:firstLine="411" w:firstLineChars="196"/>
        <w:rPr>
          <w:rFonts w:ascii="宋体" w:hAnsi="宋体"/>
          <w:szCs w:val="21"/>
          <w:highlight w:val="none"/>
        </w:rPr>
      </w:pPr>
      <w:r>
        <w:rPr>
          <w:rFonts w:hint="eastAsia" w:ascii="宋体" w:hAnsi="宋体"/>
          <w:szCs w:val="21"/>
          <w:highlight w:val="none"/>
        </w:rPr>
        <w:t>（6）恶意投诉的；</w:t>
      </w:r>
    </w:p>
    <w:p w14:paraId="01191149">
      <w:pPr>
        <w:ind w:firstLine="411" w:firstLineChars="196"/>
        <w:rPr>
          <w:rFonts w:ascii="宋体" w:hAnsi="宋体"/>
          <w:szCs w:val="21"/>
          <w:highlight w:val="none"/>
        </w:rPr>
      </w:pPr>
      <w:r>
        <w:rPr>
          <w:rFonts w:hint="eastAsia" w:ascii="宋体" w:hAnsi="宋体"/>
          <w:szCs w:val="21"/>
          <w:highlight w:val="none"/>
        </w:rPr>
        <w:t>（7）向采购项目相关人行贿或者提供其他不当利益的；</w:t>
      </w:r>
    </w:p>
    <w:p w14:paraId="31AFD284">
      <w:pPr>
        <w:ind w:firstLine="411" w:firstLineChars="196"/>
        <w:rPr>
          <w:rFonts w:ascii="宋体" w:hAnsi="宋体"/>
          <w:szCs w:val="21"/>
          <w:highlight w:val="none"/>
        </w:rPr>
      </w:pPr>
      <w:r>
        <w:rPr>
          <w:rFonts w:hint="eastAsia" w:ascii="宋体" w:hAnsi="宋体"/>
          <w:szCs w:val="21"/>
          <w:highlight w:val="none"/>
        </w:rPr>
        <w:t>（8）阻碍、抗拒主管部门监督检查的；</w:t>
      </w:r>
    </w:p>
    <w:p w14:paraId="4ABB4ECE">
      <w:pPr>
        <w:ind w:firstLine="411" w:firstLineChars="196"/>
        <w:rPr>
          <w:rFonts w:ascii="宋体" w:hAnsi="宋体"/>
          <w:szCs w:val="21"/>
          <w:highlight w:val="none"/>
        </w:rPr>
      </w:pPr>
      <w:r>
        <w:rPr>
          <w:rFonts w:hint="eastAsia" w:ascii="宋体" w:hAnsi="宋体"/>
          <w:szCs w:val="21"/>
          <w:highlight w:val="none"/>
        </w:rPr>
        <w:t>（9）其他违反本条例规定的行为。</w:t>
      </w:r>
    </w:p>
    <w:p w14:paraId="515605A2">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》（深财购〔2021〕51号）的要求，供应商在政府采购活动中出现《深圳经济特区政府采购条例实施细则》第八十条所列情形的，</w:t>
      </w:r>
      <w:bookmarkStart w:id="95" w:name="_Hlk72440769"/>
      <w:r>
        <w:rPr>
          <w:rFonts w:hint="eastAsia" w:ascii="宋体" w:hAnsi="宋体"/>
          <w:szCs w:val="21"/>
          <w:highlight w:val="none"/>
        </w:rPr>
        <w:t>政府集中采购机构或采购人不予退还其交纳的谈判保证金，情节严重的，并由主管部门</w:t>
      </w:r>
      <w:bookmarkEnd w:id="95"/>
      <w:r>
        <w:rPr>
          <w:rFonts w:hint="eastAsia" w:ascii="宋体" w:hAnsi="宋体"/>
          <w:szCs w:val="21"/>
          <w:highlight w:val="none"/>
        </w:rPr>
        <w:t>记入供应商诚信档案，予以通报：</w:t>
      </w:r>
    </w:p>
    <w:p w14:paraId="373BE2EF">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14:paraId="36BC26BD">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14:paraId="7E5EAB7F">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）将中标项目转让给他人、或者在投标文件中未说明且未经采购人、采购招标机构同意，将中标项目分包给他人的；</w:t>
      </w:r>
    </w:p>
    <w:p w14:paraId="16209D27">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bookmarkEnd w:id="79"/>
    <w:p w14:paraId="70116DA6">
      <w:pPr>
        <w:pStyle w:val="7"/>
        <w:numPr>
          <w:ilvl w:val="0"/>
          <w:numId w:val="8"/>
        </w:numPr>
        <w:spacing w:before="120" w:beforeLines="50" w:after="120" w:afterLines="50"/>
        <w:ind w:left="562" w:hanging="562"/>
        <w:rPr>
          <w:sz w:val="28"/>
          <w:szCs w:val="28"/>
          <w:highlight w:val="none"/>
        </w:rPr>
      </w:pPr>
      <w:r>
        <w:rPr>
          <w:rFonts w:hint="eastAsia"/>
          <w:sz w:val="28"/>
          <w:szCs w:val="28"/>
          <w:highlight w:val="none"/>
        </w:rPr>
        <w:t>质疑处理</w:t>
      </w:r>
    </w:p>
    <w:p w14:paraId="78345A73">
      <w:pPr>
        <w:rPr>
          <w:rFonts w:ascii="黑体" w:hAnsi="宋体" w:eastAsia="黑体"/>
          <w:sz w:val="24"/>
          <w:highlight w:val="none"/>
        </w:rPr>
      </w:pPr>
      <w:bookmarkStart w:id="96" w:name="_Hlk72439706"/>
      <w:r>
        <w:rPr>
          <w:rFonts w:hint="eastAsia" w:ascii="黑体" w:hAnsi="宋体" w:eastAsia="黑体"/>
          <w:sz w:val="24"/>
          <w:highlight w:val="none"/>
        </w:rPr>
        <w:t>52.质疑提出与答复</w:t>
      </w:r>
    </w:p>
    <w:p w14:paraId="17876889">
      <w:pPr>
        <w:rPr>
          <w:rFonts w:ascii="宋体" w:hAnsi="宋体"/>
          <w:szCs w:val="21"/>
          <w:highlight w:val="none"/>
        </w:rPr>
      </w:pPr>
      <w:r>
        <w:rPr>
          <w:rFonts w:hint="eastAsia" w:ascii="宋体" w:hAnsi="宋体"/>
          <w:szCs w:val="21"/>
          <w:highlight w:val="none"/>
        </w:rPr>
        <w:t xml:space="preserve">    52.1提出质疑</w:t>
      </w:r>
    </w:p>
    <w:p w14:paraId="6178353E">
      <w:pPr>
        <w:rPr>
          <w:rFonts w:ascii="宋体" w:hAnsi="宋体"/>
          <w:szCs w:val="21"/>
          <w:highlight w:val="none"/>
        </w:rPr>
      </w:pPr>
      <w:r>
        <w:rPr>
          <w:rFonts w:hint="eastAsia" w:ascii="宋体" w:hAnsi="宋体"/>
          <w:szCs w:val="21"/>
          <w:highlight w:val="none"/>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B0C2180">
      <w:pPr>
        <w:rPr>
          <w:rFonts w:ascii="宋体" w:hAnsi="宋体"/>
          <w:szCs w:val="21"/>
          <w:highlight w:val="none"/>
        </w:rPr>
      </w:pPr>
      <w:r>
        <w:rPr>
          <w:rFonts w:hint="eastAsia" w:ascii="宋体" w:hAnsi="宋体"/>
          <w:szCs w:val="21"/>
          <w:highlight w:val="none"/>
        </w:rPr>
        <w:t xml:space="preserve">    52.2</w:t>
      </w:r>
      <w:r>
        <w:rPr>
          <w:rFonts w:ascii="宋体" w:hAnsi="宋体"/>
          <w:szCs w:val="21"/>
          <w:highlight w:val="none"/>
        </w:rPr>
        <w:t>法律依据</w:t>
      </w:r>
    </w:p>
    <w:p w14:paraId="5F78BB7B">
      <w:pPr>
        <w:rPr>
          <w:rFonts w:ascii="宋体" w:hAnsi="宋体"/>
          <w:szCs w:val="21"/>
          <w:highlight w:val="none"/>
        </w:rPr>
      </w:pPr>
      <w:r>
        <w:rPr>
          <w:rFonts w:hint="eastAsia" w:ascii="宋体" w:hAnsi="宋体"/>
          <w:szCs w:val="21"/>
          <w:highlight w:val="none"/>
        </w:rPr>
        <w:t xml:space="preserve">    《中华人民共和国政府采购法》、《中华人民共和国政府采购法实施条例》、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14:paraId="42C53629">
      <w:pPr>
        <w:rPr>
          <w:rFonts w:ascii="宋体" w:hAnsi="宋体"/>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szCs w:val="21"/>
          <w:highlight w:val="none"/>
        </w:rPr>
        <w:t>52.3质疑条件</w:t>
      </w:r>
    </w:p>
    <w:p w14:paraId="76BA6C0E">
      <w:pPr>
        <w:rPr>
          <w:rFonts w:ascii="宋体" w:hAnsi="宋体"/>
          <w:szCs w:val="21"/>
          <w:highlight w:val="none"/>
        </w:rPr>
      </w:pPr>
      <w:r>
        <w:rPr>
          <w:rFonts w:hint="eastAsia" w:ascii="宋体" w:hAnsi="宋体"/>
          <w:szCs w:val="21"/>
          <w:highlight w:val="none"/>
        </w:rPr>
        <w:t xml:space="preserve">    52.3.1提出质疑的供应商应当是参与所质疑项目采购活动的供应商；以联合体形式参与的，质疑应当由组成联合体的所有成员共同提出；</w:t>
      </w:r>
    </w:p>
    <w:p w14:paraId="327963C4">
      <w:pPr>
        <w:rPr>
          <w:rFonts w:ascii="宋体" w:hAnsi="宋体"/>
          <w:szCs w:val="21"/>
          <w:highlight w:val="none"/>
        </w:rPr>
      </w:pPr>
      <w:r>
        <w:rPr>
          <w:rFonts w:hint="eastAsia" w:ascii="宋体" w:hAnsi="宋体"/>
          <w:szCs w:val="21"/>
          <w:highlight w:val="none"/>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highlight w:val="none"/>
          <w:lang w:val="en-US" w:eastAsia="zh-CN"/>
        </w:rPr>
        <w:t>采购</w:t>
      </w:r>
      <w:r>
        <w:rPr>
          <w:rFonts w:hint="eastAsia" w:ascii="宋体" w:hAnsi="宋体"/>
          <w:szCs w:val="21"/>
          <w:highlight w:val="none"/>
        </w:rPr>
        <w:t>文件的质疑，为</w:t>
      </w:r>
      <w:r>
        <w:rPr>
          <w:rFonts w:hint="eastAsia" w:ascii="宋体" w:hAnsi="宋体"/>
          <w:szCs w:val="21"/>
          <w:highlight w:val="none"/>
          <w:lang w:val="en-US" w:eastAsia="zh-CN"/>
        </w:rPr>
        <w:t>采购</w:t>
      </w:r>
      <w:r>
        <w:rPr>
          <w:rFonts w:hint="eastAsia" w:ascii="宋体" w:hAnsi="宋体"/>
          <w:szCs w:val="21"/>
          <w:highlight w:val="none"/>
        </w:rPr>
        <w:t>文件公布之日；对采购过程的质疑，为各采购程序环节结束之日；对中标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结果以及评审委员会组成人员的质疑，为中标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结果公示之日；</w:t>
      </w:r>
    </w:p>
    <w:p w14:paraId="61564172">
      <w:pPr>
        <w:ind w:firstLine="420"/>
        <w:rPr>
          <w:rFonts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14:paraId="488C28AE">
      <w:pPr>
        <w:ind w:firstLine="420"/>
        <w:rPr>
          <w:rFonts w:ascii="宋体" w:hAnsi="宋体"/>
          <w:szCs w:val="21"/>
          <w:highlight w:val="none"/>
        </w:rPr>
      </w:pPr>
      <w:r>
        <w:rPr>
          <w:rFonts w:hint="eastAsia" w:ascii="宋体" w:hAnsi="宋体"/>
          <w:szCs w:val="21"/>
          <w:highlight w:val="none"/>
        </w:rPr>
        <w:t>（1）供应商的名称（或者姓名）、地址、邮编、邮箱、联系人及联系电话；</w:t>
      </w:r>
    </w:p>
    <w:p w14:paraId="6A122C54">
      <w:pPr>
        <w:ind w:firstLine="420" w:firstLineChars="200"/>
        <w:rPr>
          <w:rFonts w:ascii="宋体" w:hAnsi="宋体"/>
          <w:szCs w:val="21"/>
          <w:highlight w:val="none"/>
        </w:rPr>
      </w:pPr>
      <w:r>
        <w:rPr>
          <w:rFonts w:hint="eastAsia" w:ascii="宋体" w:hAnsi="宋体"/>
          <w:szCs w:val="21"/>
          <w:highlight w:val="none"/>
        </w:rPr>
        <w:t>（2）质疑项目的名称、编号；</w:t>
      </w:r>
    </w:p>
    <w:p w14:paraId="707CB53C">
      <w:pPr>
        <w:ind w:firstLine="420" w:firstLineChars="200"/>
        <w:rPr>
          <w:rFonts w:ascii="宋体" w:hAnsi="宋体"/>
          <w:szCs w:val="21"/>
          <w:highlight w:val="none"/>
        </w:rPr>
      </w:pPr>
      <w:r>
        <w:rPr>
          <w:rFonts w:hint="eastAsia" w:ascii="宋体" w:hAnsi="宋体"/>
          <w:szCs w:val="21"/>
          <w:highlight w:val="none"/>
        </w:rPr>
        <w:t>（3）具体、明确的质疑对象、质疑事项和质疑请求；</w:t>
      </w:r>
    </w:p>
    <w:p w14:paraId="2F087443">
      <w:pPr>
        <w:ind w:firstLine="420" w:firstLineChars="200"/>
        <w:rPr>
          <w:rFonts w:ascii="宋体" w:hAnsi="宋体"/>
          <w:szCs w:val="21"/>
          <w:highlight w:val="none"/>
        </w:rPr>
      </w:pPr>
      <w:r>
        <w:rPr>
          <w:rFonts w:hint="eastAsia" w:ascii="宋体" w:hAnsi="宋体"/>
          <w:szCs w:val="21"/>
          <w:highlight w:val="none"/>
        </w:rPr>
        <w:t>（4）因质疑事项而受损害的权益；</w:t>
      </w:r>
    </w:p>
    <w:p w14:paraId="24B147D7">
      <w:pPr>
        <w:ind w:firstLine="420" w:firstLineChars="200"/>
        <w:rPr>
          <w:rFonts w:ascii="宋体" w:hAnsi="宋体"/>
          <w:szCs w:val="21"/>
          <w:highlight w:val="none"/>
        </w:rPr>
      </w:pPr>
      <w:r>
        <w:rPr>
          <w:rFonts w:hint="eastAsia" w:ascii="宋体" w:hAnsi="宋体"/>
          <w:szCs w:val="21"/>
          <w:highlight w:val="none"/>
        </w:rPr>
        <w:t>（5）事实依据；</w:t>
      </w:r>
    </w:p>
    <w:p w14:paraId="31EB4490">
      <w:pPr>
        <w:ind w:firstLine="420" w:firstLineChars="200"/>
        <w:rPr>
          <w:rFonts w:ascii="宋体" w:hAnsi="宋体"/>
          <w:szCs w:val="21"/>
          <w:highlight w:val="none"/>
        </w:rPr>
      </w:pPr>
      <w:r>
        <w:rPr>
          <w:rFonts w:hint="eastAsia" w:ascii="宋体" w:hAnsi="宋体"/>
          <w:szCs w:val="21"/>
          <w:highlight w:val="none"/>
        </w:rPr>
        <w:t>（6）必要的法律依据；</w:t>
      </w:r>
    </w:p>
    <w:p w14:paraId="2F142DFA">
      <w:pPr>
        <w:ind w:firstLine="420" w:firstLineChars="200"/>
        <w:rPr>
          <w:rFonts w:ascii="宋体" w:hAnsi="宋体"/>
          <w:szCs w:val="21"/>
          <w:highlight w:val="none"/>
        </w:rPr>
      </w:pPr>
      <w:r>
        <w:rPr>
          <w:rFonts w:hint="eastAsia" w:ascii="宋体" w:hAnsi="宋体"/>
          <w:szCs w:val="21"/>
          <w:highlight w:val="none"/>
        </w:rPr>
        <w:t>（7）提出质疑的日期。</w:t>
      </w:r>
    </w:p>
    <w:p w14:paraId="6A80178C">
      <w:pPr>
        <w:ind w:firstLine="420" w:firstLineChars="200"/>
        <w:rPr>
          <w:rFonts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14:paraId="6D7850B9">
      <w:pPr>
        <w:ind w:firstLine="420" w:firstLineChars="200"/>
        <w:rPr>
          <w:rFonts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14:paraId="703D8EC6">
      <w:pPr>
        <w:ind w:firstLine="420" w:firstLineChars="200"/>
        <w:rPr>
          <w:rFonts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731E60C7">
      <w:pPr>
        <w:ind w:firstLine="420" w:firstLineChars="200"/>
        <w:rPr>
          <w:rFonts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43BA5BC">
      <w:pPr>
        <w:ind w:firstLine="420" w:firstLineChars="200"/>
        <w:rPr>
          <w:rFonts w:ascii="宋体" w:hAnsi="宋体"/>
          <w:szCs w:val="21"/>
          <w:highlight w:val="none"/>
        </w:rPr>
      </w:pPr>
      <w:r>
        <w:rPr>
          <w:rFonts w:hint="eastAsia" w:ascii="宋体" w:hAnsi="宋体"/>
          <w:szCs w:val="21"/>
          <w:highlight w:val="none"/>
        </w:rPr>
        <w:t>52.5收文地点</w:t>
      </w:r>
    </w:p>
    <w:p w14:paraId="30DB6114">
      <w:pPr>
        <w:ind w:firstLine="422" w:firstLineChars="200"/>
        <w:rPr>
          <w:rFonts w:hint="eastAsia" w:ascii="宋体" w:hAnsi="宋体"/>
          <w:szCs w:val="21"/>
          <w:highlight w:val="none"/>
        </w:rPr>
      </w:pPr>
      <w:r>
        <w:rPr>
          <w:b/>
          <w:bCs/>
          <w:szCs w:val="21"/>
          <w:highlight w:val="none"/>
        </w:rPr>
        <w:t>地址：</w:t>
      </w:r>
      <w:r>
        <w:rPr>
          <w:rFonts w:hint="eastAsia"/>
          <w:b/>
          <w:bCs/>
          <w:szCs w:val="21"/>
          <w:highlight w:val="none"/>
        </w:rPr>
        <w:t xml:space="preserve">深圳市南山区沙河西路3185号南山智谷A座（深圳交易集团总部大楼）27楼。质疑咨询电话：0755-86273611 </w:t>
      </w:r>
      <w:r>
        <w:rPr>
          <w:b/>
          <w:bCs/>
          <w:szCs w:val="21"/>
          <w:highlight w:val="none"/>
        </w:rPr>
        <w:t>。</w:t>
      </w:r>
    </w:p>
    <w:p w14:paraId="5AE5569D">
      <w:pPr>
        <w:ind w:firstLine="420" w:firstLineChars="200"/>
        <w:rPr>
          <w:rFonts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14:paraId="79DA4212">
      <w:pPr>
        <w:ind w:firstLine="420" w:firstLineChars="200"/>
        <w:rPr>
          <w:rFonts w:ascii="宋体" w:hAnsi="宋体"/>
          <w:szCs w:val="21"/>
          <w:highlight w:val="none"/>
        </w:rPr>
      </w:pPr>
      <w:r>
        <w:rPr>
          <w:rFonts w:hint="eastAsia" w:ascii="宋体" w:hAnsi="宋体"/>
          <w:szCs w:val="21"/>
          <w:highlight w:val="none"/>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65806CED">
      <w:pPr>
        <w:ind w:firstLine="420" w:firstLineChars="200"/>
        <w:rPr>
          <w:rFonts w:ascii="仿宋" w:hAnsi="仿宋" w:eastAsia="仿宋"/>
          <w:sz w:val="28"/>
          <w:szCs w:val="28"/>
          <w:highlight w:val="none"/>
        </w:rPr>
      </w:pPr>
      <w:r>
        <w:rPr>
          <w:rFonts w:hint="eastAsia" w:ascii="宋体" w:hAnsi="宋体"/>
          <w:szCs w:val="21"/>
          <w:highlight w:val="none"/>
        </w:rPr>
        <w:t>52.6.2供应商提交的质疑材料不符合质疑条件的，视情况处理：</w:t>
      </w:r>
    </w:p>
    <w:p w14:paraId="20DC2AD0">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供应商提交的质疑材料不全或者未按要求签字或者盖章的，政府集中采购机构应当一次性告知供应商需补正的内容和补正期限。</w:t>
      </w:r>
    </w:p>
    <w:p w14:paraId="2A04B8C2">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3A505CDA">
      <w:pPr>
        <w:ind w:firstLine="420" w:firstLineChars="200"/>
        <w:rPr>
          <w:rFonts w:ascii="宋体" w:hAnsi="宋体"/>
          <w:szCs w:val="21"/>
          <w:highlight w:val="none"/>
        </w:rPr>
      </w:pPr>
      <w:r>
        <w:rPr>
          <w:rFonts w:hint="eastAsia" w:ascii="宋体" w:hAnsi="宋体"/>
          <w:szCs w:val="21"/>
          <w:highlight w:val="none"/>
        </w:rPr>
        <w:t>（1）质疑主体不满足要求的；</w:t>
      </w:r>
    </w:p>
    <w:p w14:paraId="57A44161">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76DA5D2A">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0E6AD9F3">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38C9EF34">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1F19C972">
      <w:pPr>
        <w:ind w:firstLine="420" w:firstLineChars="200"/>
        <w:rPr>
          <w:rFonts w:ascii="宋体" w:hAnsi="宋体"/>
          <w:szCs w:val="21"/>
          <w:highlight w:val="none"/>
        </w:rPr>
      </w:pPr>
      <w:r>
        <w:rPr>
          <w:rFonts w:hint="eastAsia" w:ascii="宋体" w:hAnsi="宋体"/>
          <w:szCs w:val="21"/>
          <w:highlight w:val="none"/>
        </w:rPr>
        <w:t>质疑事项不予受理的，政府集中采购机构应当向供应商出具不符合质疑条件告知书。</w:t>
      </w:r>
    </w:p>
    <w:p w14:paraId="79FC7D47">
      <w:pPr>
        <w:rPr>
          <w:rFonts w:ascii="宋体" w:hAnsi="宋体"/>
          <w:szCs w:val="21"/>
          <w:highlight w:val="none"/>
        </w:rPr>
      </w:pPr>
      <w:r>
        <w:rPr>
          <w:rFonts w:hint="eastAsia" w:ascii="宋体" w:hAnsi="宋体"/>
          <w:color w:val="FF0000"/>
          <w:szCs w:val="21"/>
          <w:highlight w:val="none"/>
        </w:rPr>
        <w:t xml:space="preserve">  </w:t>
      </w:r>
      <w:r>
        <w:rPr>
          <w:rFonts w:hint="eastAsia" w:ascii="宋体" w:hAnsi="宋体"/>
          <w:szCs w:val="21"/>
          <w:highlight w:val="none"/>
        </w:rPr>
        <w:t xml:space="preserve">  52.7质疑答复时限</w:t>
      </w:r>
    </w:p>
    <w:p w14:paraId="6160BF9B">
      <w:pPr>
        <w:rPr>
          <w:rFonts w:ascii="宋体" w:hAnsi="宋体"/>
          <w:szCs w:val="21"/>
          <w:highlight w:val="none"/>
        </w:rPr>
      </w:pPr>
      <w:r>
        <w:rPr>
          <w:rFonts w:hint="eastAsia" w:ascii="宋体" w:hAnsi="宋体"/>
          <w:szCs w:val="21"/>
          <w:highlight w:val="none"/>
        </w:rPr>
        <w:t xml:space="preserve">    自收文之日起七个工作日内。</w:t>
      </w:r>
    </w:p>
    <w:p w14:paraId="24A8790B">
      <w:pPr>
        <w:rPr>
          <w:rFonts w:ascii="宋体" w:hAnsi="宋体"/>
          <w:szCs w:val="21"/>
          <w:highlight w:val="none"/>
        </w:rPr>
      </w:pPr>
      <w:r>
        <w:rPr>
          <w:rFonts w:hint="eastAsia" w:ascii="宋体" w:hAnsi="宋体"/>
          <w:szCs w:val="21"/>
          <w:highlight w:val="none"/>
        </w:rPr>
        <w:t xml:space="preserve">    52.8投诉</w:t>
      </w:r>
    </w:p>
    <w:p w14:paraId="432F114C">
      <w:pPr>
        <w:rPr>
          <w:rFonts w:ascii="宋体" w:hAnsi="宋体"/>
          <w:szCs w:val="21"/>
          <w:highlight w:val="none"/>
        </w:rPr>
      </w:pPr>
      <w:r>
        <w:rPr>
          <w:rFonts w:hint="eastAsia" w:ascii="宋体" w:hAnsi="宋体"/>
          <w:szCs w:val="21"/>
          <w:highlight w:val="none"/>
        </w:rPr>
        <w:t xml:space="preserve">    对质疑答复不满意或者未在规定时间内答复的，提出质疑的供应商可以在答复期满后15个工作日内向同级财政部门投诉。</w:t>
      </w:r>
    </w:p>
    <w:p w14:paraId="6FA51000">
      <w:pPr>
        <w:rPr>
          <w:rFonts w:ascii="黑体" w:hAnsi="宋体" w:eastAsia="黑体"/>
          <w:sz w:val="24"/>
          <w:highlight w:val="none"/>
        </w:rPr>
      </w:pPr>
      <w:r>
        <w:rPr>
          <w:rFonts w:hint="eastAsia" w:ascii="黑体" w:hAnsi="宋体" w:eastAsia="黑体"/>
          <w:sz w:val="24"/>
          <w:highlight w:val="none"/>
        </w:rPr>
        <w:t>53. 质疑后续处理</w:t>
      </w:r>
    </w:p>
    <w:p w14:paraId="0DA56842">
      <w:pPr>
        <w:rPr>
          <w:rFonts w:ascii="宋体" w:hAnsi="宋体"/>
          <w:szCs w:val="21"/>
          <w:highlight w:val="none"/>
        </w:rPr>
      </w:pPr>
      <w:r>
        <w:rPr>
          <w:rFonts w:hint="eastAsia" w:ascii="宋体" w:hAnsi="宋体"/>
          <w:szCs w:val="21"/>
          <w:highlight w:val="none"/>
        </w:rPr>
        <w:t xml:space="preserve">    53.1供应商质疑不成立，或者成立但未对中标、成交结果构成影响的，继续开展采购活动。</w:t>
      </w:r>
    </w:p>
    <w:p w14:paraId="55D3EBC6">
      <w:pPr>
        <w:ind w:firstLine="420"/>
        <w:rPr>
          <w:rFonts w:hint="eastAsia" w:ascii="宋体" w:hAnsi="宋体"/>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1C392122">
      <w:pPr>
        <w:ind w:firstLine="0" w:firstLineChars="0"/>
        <w:jc w:val="both"/>
        <w:rPr>
          <w:rFonts w:hint="eastAsia"/>
          <w:highlight w:val="none"/>
        </w:rPr>
      </w:pPr>
      <w:r>
        <w:rPr>
          <w:rFonts w:hint="eastAsia"/>
          <w:highlight w:val="none"/>
          <w:lang w:val="en-US" w:eastAsia="zh-CN"/>
        </w:rPr>
        <w:t xml:space="preserve">   </w:t>
      </w:r>
      <w:r>
        <w:rPr>
          <w:rFonts w:hint="eastAsia"/>
          <w:highlight w:val="none"/>
        </w:rPr>
        <w:t>53.3被质疑供应商应配合提供质疑答辩意见,并提供相关证据材料,逾期不作书面答辩</w:t>
      </w:r>
    </w:p>
    <w:p w14:paraId="7F2A0E53">
      <w:pPr>
        <w:ind w:firstLine="0" w:firstLineChars="0"/>
        <w:jc w:val="both"/>
        <w:rPr>
          <w:rFonts w:hint="default" w:eastAsia="宋体"/>
          <w:highlight w:val="none"/>
          <w:lang w:val="en-US" w:eastAsia="zh-CN"/>
        </w:rPr>
      </w:pPr>
      <w:r>
        <w:rPr>
          <w:rFonts w:hint="eastAsia"/>
          <w:highlight w:val="none"/>
        </w:rPr>
        <w:t>的,视同放弃答辩权利,依法承担由此可能产生的不利法律后果。</w:t>
      </w:r>
    </w:p>
    <w:p w14:paraId="0C451289">
      <w:pPr>
        <w:pStyle w:val="50"/>
        <w:ind w:firstLine="420"/>
        <w:rPr>
          <w:highlight w:val="none"/>
        </w:rPr>
      </w:pPr>
    </w:p>
    <w:p w14:paraId="0FF34093">
      <w:pPr>
        <w:jc w:val="center"/>
        <w:rPr>
          <w:highlight w:val="none"/>
        </w:rPr>
      </w:pPr>
      <w:r>
        <w:rPr>
          <w:highlight w:val="none"/>
        </w:rPr>
        <w:t>---- END ----</w:t>
      </w:r>
    </w:p>
    <w:bookmarkEnd w:id="96"/>
    <w:p w14:paraId="2A770338">
      <w:pPr>
        <w:rPr>
          <w:highlight w:val="none"/>
        </w:rPr>
      </w:pPr>
    </w:p>
    <w:p w14:paraId="2E07DA2E">
      <w:pPr>
        <w:ind w:firstLine="420" w:firstLineChars="200"/>
        <w:rPr>
          <w:rFonts w:ascii="宋体" w:hAnsi="宋体"/>
          <w:szCs w:val="21"/>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269A9">
    <w:pPr>
      <w:pStyle w:val="28"/>
      <w:framePr w:wrap="around" w:vAnchor="text" w:hAnchor="margin" w:xAlign="center" w:y="1"/>
      <w:rPr>
        <w:rStyle w:val="46"/>
      </w:rPr>
    </w:pPr>
    <w:r>
      <w:t xml:space="preserve">- </w:t>
    </w:r>
    <w:r>
      <w:fldChar w:fldCharType="begin"/>
    </w:r>
    <w:r>
      <w:instrText xml:space="preserve"> PAGE </w:instrText>
    </w:r>
    <w:r>
      <w:fldChar w:fldCharType="separate"/>
    </w:r>
    <w:r>
      <w:t>29</w:t>
    </w:r>
    <w:r>
      <w:fldChar w:fldCharType="end"/>
    </w:r>
    <w:r>
      <w:t xml:space="preserve"> -</w:t>
    </w:r>
  </w:p>
  <w:p w14:paraId="1D08E68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E189C">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64A46B46">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568E6">
    <w:pPr>
      <w:pStyle w:val="28"/>
      <w:framePr w:wrap="around" w:vAnchor="text" w:hAnchor="margin" w:xAlign="center" w:y="1"/>
      <w:rPr>
        <w:rStyle w:val="46"/>
      </w:rPr>
    </w:pPr>
    <w:r>
      <w:t xml:space="preserve">- </w:t>
    </w:r>
    <w:r>
      <w:fldChar w:fldCharType="begin"/>
    </w:r>
    <w:r>
      <w:instrText xml:space="preserve"> PAGE </w:instrText>
    </w:r>
    <w:r>
      <w:fldChar w:fldCharType="separate"/>
    </w:r>
    <w:r>
      <w:t>29</w:t>
    </w:r>
    <w:r>
      <w:fldChar w:fldCharType="end"/>
    </w:r>
    <w:r>
      <w:t xml:space="preserve"> -</w:t>
    </w:r>
  </w:p>
  <w:p w14:paraId="4284EB00">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9B575">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63EFE858">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B196F">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D10E4">
    <w:pPr>
      <w:pStyle w:val="29"/>
      <w:pBdr>
        <w:top w:val="none" w:color="auto" w:sz="0" w:space="0"/>
        <w:left w:val="none" w:color="auto" w:sz="0" w:space="0"/>
        <w:bottom w:val="none" w:color="auto" w:sz="0" w:space="1"/>
        <w:right w:val="none" w:color="auto" w:sz="0" w:space="0"/>
        <w:between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7"/>
      <w:lvlText w:val="%1."/>
      <w:lvlJc w:val="left"/>
      <w:pPr>
        <w:tabs>
          <w:tab w:val="left" w:pos="2040"/>
        </w:tabs>
        <w:ind w:left="2040" w:leftChars="800" w:hanging="360" w:hangingChars="200"/>
      </w:pPr>
    </w:lvl>
  </w:abstractNum>
  <w:abstractNum w:abstractNumId="1">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2">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2503483"/>
    <w:multiLevelType w:val="multilevel"/>
    <w:tmpl w:val="12503483"/>
    <w:lvl w:ilvl="0" w:tentative="0">
      <w:start w:val="1"/>
      <w:numFmt w:val="bullet"/>
      <w:pStyle w:val="105"/>
      <w:lvlText w:val=""/>
      <w:lvlJc w:val="left"/>
      <w:pPr>
        <w:tabs>
          <w:tab w:val="left" w:pos="420"/>
        </w:tabs>
        <w:ind w:left="420" w:hanging="420"/>
      </w:pPr>
      <w:rPr>
        <w:rFonts w:hint="default" w:ascii="Wingdings" w:hAnsi="Wingdings"/>
      </w:rPr>
    </w:lvl>
    <w:lvl w:ilvl="1" w:tentative="0">
      <w:start w:val="1"/>
      <w:numFmt w:val="bullet"/>
      <w:pStyle w:val="10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60D20D0"/>
    <w:multiLevelType w:val="multilevel"/>
    <w:tmpl w:val="160D20D0"/>
    <w:lvl w:ilvl="0" w:tentative="0">
      <w:start w:val="1"/>
      <w:numFmt w:val="bullet"/>
      <w:pStyle w:val="73"/>
      <w:lvlText w:val=""/>
      <w:lvlJc w:val="left"/>
      <w:pPr>
        <w:tabs>
          <w:tab w:val="left" w:pos="840"/>
        </w:tabs>
        <w:ind w:left="840" w:hanging="420"/>
      </w:pPr>
      <w:rPr>
        <w:rFonts w:hint="default" w:ascii="Wingdings" w:hAnsi="Wingdings"/>
      </w:rPr>
    </w:lvl>
    <w:lvl w:ilvl="1" w:tentative="0">
      <w:start w:val="1"/>
      <w:numFmt w:val="bullet"/>
      <w:pStyle w:val="7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282379FC"/>
    <w:multiLevelType w:val="singleLevel"/>
    <w:tmpl w:val="282379FC"/>
    <w:lvl w:ilvl="0" w:tentative="0">
      <w:start w:val="2"/>
      <w:numFmt w:val="chineseCounting"/>
      <w:suff w:val="nothing"/>
      <w:lvlText w:val="（%1）"/>
      <w:lvlJc w:val="left"/>
      <w:rPr>
        <w:rFonts w:hint="eastAsia"/>
      </w:rPr>
    </w:lvl>
  </w:abstractNum>
  <w:abstractNum w:abstractNumId="6">
    <w:nsid w:val="2F395B7B"/>
    <w:multiLevelType w:val="multilevel"/>
    <w:tmpl w:val="2F395B7B"/>
    <w:lvl w:ilvl="0" w:tentative="0">
      <w:start w:val="1"/>
      <w:numFmt w:val="bullet"/>
      <w:pStyle w:val="16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7AEF7716"/>
    <w:multiLevelType w:val="multilevel"/>
    <w:tmpl w:val="7AEF7716"/>
    <w:lvl w:ilvl="0" w:tentative="0">
      <w:start w:val="1"/>
      <w:numFmt w:val="chineseCountingThousand"/>
      <w:pStyle w:val="11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4"/>
  </w:num>
  <w:num w:numId="4">
    <w:abstractNumId w:val="3"/>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OTcwMzQxZDVkODc4NGRlNTVhYjhlMWUxM2VjMzY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8F4DD0"/>
    <w:rsid w:val="02034A18"/>
    <w:rsid w:val="02A37291"/>
    <w:rsid w:val="03613039"/>
    <w:rsid w:val="036202D4"/>
    <w:rsid w:val="038A236C"/>
    <w:rsid w:val="038A4A16"/>
    <w:rsid w:val="03D07714"/>
    <w:rsid w:val="03EC6FAB"/>
    <w:rsid w:val="04B94B88"/>
    <w:rsid w:val="04D63F10"/>
    <w:rsid w:val="05262D76"/>
    <w:rsid w:val="056F462F"/>
    <w:rsid w:val="05B45F67"/>
    <w:rsid w:val="06270849"/>
    <w:rsid w:val="06552DE0"/>
    <w:rsid w:val="067D4F9E"/>
    <w:rsid w:val="06D71535"/>
    <w:rsid w:val="07515FD1"/>
    <w:rsid w:val="07991A83"/>
    <w:rsid w:val="087B2F8F"/>
    <w:rsid w:val="08CA370B"/>
    <w:rsid w:val="09F07824"/>
    <w:rsid w:val="0A0932C7"/>
    <w:rsid w:val="0A506477"/>
    <w:rsid w:val="0A8A4C86"/>
    <w:rsid w:val="0B547001"/>
    <w:rsid w:val="0C8D726E"/>
    <w:rsid w:val="0CE05750"/>
    <w:rsid w:val="0D1077DD"/>
    <w:rsid w:val="0EA162F1"/>
    <w:rsid w:val="0F4F55B5"/>
    <w:rsid w:val="0F523385"/>
    <w:rsid w:val="10907D14"/>
    <w:rsid w:val="110658A6"/>
    <w:rsid w:val="114A387E"/>
    <w:rsid w:val="116D2364"/>
    <w:rsid w:val="11A5684D"/>
    <w:rsid w:val="120E7E09"/>
    <w:rsid w:val="123D4E07"/>
    <w:rsid w:val="12562AA0"/>
    <w:rsid w:val="128C51F9"/>
    <w:rsid w:val="1478143A"/>
    <w:rsid w:val="15525935"/>
    <w:rsid w:val="156B7273"/>
    <w:rsid w:val="159B504D"/>
    <w:rsid w:val="167F40D4"/>
    <w:rsid w:val="169B65A7"/>
    <w:rsid w:val="16CB4F50"/>
    <w:rsid w:val="17853B61"/>
    <w:rsid w:val="17A710C7"/>
    <w:rsid w:val="17CB121D"/>
    <w:rsid w:val="183A1C0C"/>
    <w:rsid w:val="18B310B8"/>
    <w:rsid w:val="199E5A21"/>
    <w:rsid w:val="19D2715C"/>
    <w:rsid w:val="1B942A09"/>
    <w:rsid w:val="1BB61013"/>
    <w:rsid w:val="1BCE272A"/>
    <w:rsid w:val="1BDF7E16"/>
    <w:rsid w:val="1BEC2078"/>
    <w:rsid w:val="1C4C11C0"/>
    <w:rsid w:val="1D035455"/>
    <w:rsid w:val="1D2B1804"/>
    <w:rsid w:val="1D2D465B"/>
    <w:rsid w:val="1E0A297A"/>
    <w:rsid w:val="1E3950C5"/>
    <w:rsid w:val="1E4808ED"/>
    <w:rsid w:val="1FF71956"/>
    <w:rsid w:val="20913CBA"/>
    <w:rsid w:val="20DB5404"/>
    <w:rsid w:val="210118AD"/>
    <w:rsid w:val="25B12A01"/>
    <w:rsid w:val="25C31279"/>
    <w:rsid w:val="26101C34"/>
    <w:rsid w:val="27034AD1"/>
    <w:rsid w:val="280C250B"/>
    <w:rsid w:val="28CF69C0"/>
    <w:rsid w:val="28DD6E23"/>
    <w:rsid w:val="298D24BC"/>
    <w:rsid w:val="2A4F0167"/>
    <w:rsid w:val="2AD91221"/>
    <w:rsid w:val="2ADE7026"/>
    <w:rsid w:val="2B057693"/>
    <w:rsid w:val="2CDD21EA"/>
    <w:rsid w:val="2D8206C8"/>
    <w:rsid w:val="2EEC40A0"/>
    <w:rsid w:val="2FD74BE1"/>
    <w:rsid w:val="307410C2"/>
    <w:rsid w:val="308D0856"/>
    <w:rsid w:val="31121EF5"/>
    <w:rsid w:val="31EF7704"/>
    <w:rsid w:val="33305B83"/>
    <w:rsid w:val="338B6C3E"/>
    <w:rsid w:val="34C17D58"/>
    <w:rsid w:val="35AF558A"/>
    <w:rsid w:val="361D05E2"/>
    <w:rsid w:val="39AF0A37"/>
    <w:rsid w:val="39E14173"/>
    <w:rsid w:val="3A660185"/>
    <w:rsid w:val="3BDD4E74"/>
    <w:rsid w:val="3C01691E"/>
    <w:rsid w:val="3C7E4EDD"/>
    <w:rsid w:val="3CB21EDE"/>
    <w:rsid w:val="3D303E99"/>
    <w:rsid w:val="3E824310"/>
    <w:rsid w:val="3EB53DB8"/>
    <w:rsid w:val="3F2415CF"/>
    <w:rsid w:val="405C2C22"/>
    <w:rsid w:val="40B97C69"/>
    <w:rsid w:val="41103AB3"/>
    <w:rsid w:val="411A2A57"/>
    <w:rsid w:val="4185067D"/>
    <w:rsid w:val="41A2641C"/>
    <w:rsid w:val="426828AB"/>
    <w:rsid w:val="42A11473"/>
    <w:rsid w:val="42D24149"/>
    <w:rsid w:val="42E51F94"/>
    <w:rsid w:val="44502E5B"/>
    <w:rsid w:val="44C558EE"/>
    <w:rsid w:val="45882058"/>
    <w:rsid w:val="45E17242"/>
    <w:rsid w:val="46CF4FC2"/>
    <w:rsid w:val="46EC288D"/>
    <w:rsid w:val="47804F8F"/>
    <w:rsid w:val="47B6656B"/>
    <w:rsid w:val="48C170B3"/>
    <w:rsid w:val="49574862"/>
    <w:rsid w:val="4A5406A2"/>
    <w:rsid w:val="4AA13BA6"/>
    <w:rsid w:val="4AC519F6"/>
    <w:rsid w:val="4B110B90"/>
    <w:rsid w:val="4B2E0642"/>
    <w:rsid w:val="4D4B1098"/>
    <w:rsid w:val="4D624570"/>
    <w:rsid w:val="4E444B87"/>
    <w:rsid w:val="4E5E5755"/>
    <w:rsid w:val="4F204746"/>
    <w:rsid w:val="4FB34218"/>
    <w:rsid w:val="53083749"/>
    <w:rsid w:val="5355411C"/>
    <w:rsid w:val="53590226"/>
    <w:rsid w:val="54803EF9"/>
    <w:rsid w:val="55F8121C"/>
    <w:rsid w:val="55FD133D"/>
    <w:rsid w:val="561244DD"/>
    <w:rsid w:val="562B3B54"/>
    <w:rsid w:val="563A27AE"/>
    <w:rsid w:val="563E276B"/>
    <w:rsid w:val="56BD644F"/>
    <w:rsid w:val="56F15429"/>
    <w:rsid w:val="573F362D"/>
    <w:rsid w:val="57752C31"/>
    <w:rsid w:val="5879650B"/>
    <w:rsid w:val="58B205DA"/>
    <w:rsid w:val="59562254"/>
    <w:rsid w:val="59F22E73"/>
    <w:rsid w:val="5AA23067"/>
    <w:rsid w:val="5AB92201"/>
    <w:rsid w:val="5B847B74"/>
    <w:rsid w:val="5CED3FF9"/>
    <w:rsid w:val="5D4476FB"/>
    <w:rsid w:val="5E8B3C4B"/>
    <w:rsid w:val="5ED8763C"/>
    <w:rsid w:val="5EE80ED1"/>
    <w:rsid w:val="5F771986"/>
    <w:rsid w:val="5FC96642"/>
    <w:rsid w:val="60032513"/>
    <w:rsid w:val="601574AE"/>
    <w:rsid w:val="60257F58"/>
    <w:rsid w:val="61250170"/>
    <w:rsid w:val="614B2DC9"/>
    <w:rsid w:val="62111B39"/>
    <w:rsid w:val="634925E3"/>
    <w:rsid w:val="63EE1813"/>
    <w:rsid w:val="65735661"/>
    <w:rsid w:val="665E5750"/>
    <w:rsid w:val="66DC2EB8"/>
    <w:rsid w:val="678877B3"/>
    <w:rsid w:val="67E1648C"/>
    <w:rsid w:val="67EE261E"/>
    <w:rsid w:val="68DA5D31"/>
    <w:rsid w:val="69A9410F"/>
    <w:rsid w:val="6B100175"/>
    <w:rsid w:val="6D0E2679"/>
    <w:rsid w:val="6D4621DE"/>
    <w:rsid w:val="6DE55656"/>
    <w:rsid w:val="6E261BA7"/>
    <w:rsid w:val="6E660432"/>
    <w:rsid w:val="6E681C31"/>
    <w:rsid w:val="6E8D3E82"/>
    <w:rsid w:val="6ED7625C"/>
    <w:rsid w:val="6F135292"/>
    <w:rsid w:val="70F50EBA"/>
    <w:rsid w:val="71266569"/>
    <w:rsid w:val="717C6A58"/>
    <w:rsid w:val="71D60130"/>
    <w:rsid w:val="73A155A6"/>
    <w:rsid w:val="73FA5E27"/>
    <w:rsid w:val="741E4FC3"/>
    <w:rsid w:val="7447637A"/>
    <w:rsid w:val="74C667AB"/>
    <w:rsid w:val="74C876B4"/>
    <w:rsid w:val="757440A2"/>
    <w:rsid w:val="75F73A2A"/>
    <w:rsid w:val="75FC7405"/>
    <w:rsid w:val="769958F2"/>
    <w:rsid w:val="76E96805"/>
    <w:rsid w:val="770266B0"/>
    <w:rsid w:val="77E577FB"/>
    <w:rsid w:val="78174C2D"/>
    <w:rsid w:val="784576F8"/>
    <w:rsid w:val="786969C5"/>
    <w:rsid w:val="78767A5E"/>
    <w:rsid w:val="793D0B51"/>
    <w:rsid w:val="7B471C92"/>
    <w:rsid w:val="7CFE3D1B"/>
    <w:rsid w:val="7D7C3B6C"/>
    <w:rsid w:val="7DEB27D3"/>
    <w:rsid w:val="7E816BC7"/>
    <w:rsid w:val="7EF402AF"/>
    <w:rsid w:val="7F2E3DC9"/>
    <w:rsid w:val="7FF03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4"/>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69"/>
    <w:qFormat/>
    <w:uiPriority w:val="0"/>
    <w:pPr>
      <w:adjustRightInd w:val="0"/>
      <w:jc w:val="center"/>
      <w:textAlignment w:val="baseline"/>
      <w:outlineLvl w:val="1"/>
    </w:pPr>
    <w:rPr>
      <w:kern w:val="0"/>
      <w:sz w:val="24"/>
      <w:szCs w:val="20"/>
    </w:rPr>
  </w:style>
  <w:style w:type="paragraph" w:styleId="5">
    <w:name w:val="heading 3"/>
    <w:basedOn w:val="6"/>
    <w:next w:val="1"/>
    <w:link w:val="53"/>
    <w:qFormat/>
    <w:uiPriority w:val="9"/>
    <w:pPr>
      <w:spacing w:before="260" w:after="260" w:line="240" w:lineRule="auto"/>
      <w:outlineLvl w:val="2"/>
    </w:pPr>
    <w:rPr>
      <w:rFonts w:ascii="宋体" w:hAnsi="宋体" w:eastAsia="宋体"/>
      <w:szCs w:val="32"/>
    </w:rPr>
  </w:style>
  <w:style w:type="paragraph" w:styleId="6">
    <w:name w:val="heading 4"/>
    <w:basedOn w:val="1"/>
    <w:next w:val="1"/>
    <w:link w:val="51"/>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8"/>
    <w:qFormat/>
    <w:uiPriority w:val="0"/>
    <w:pPr>
      <w:keepNext/>
      <w:keepLines/>
      <w:spacing w:before="280" w:after="290" w:line="376" w:lineRule="auto"/>
      <w:outlineLvl w:val="4"/>
    </w:pPr>
    <w:rPr>
      <w:b/>
      <w:sz w:val="28"/>
      <w:szCs w:val="20"/>
    </w:rPr>
  </w:style>
  <w:style w:type="paragraph" w:styleId="10">
    <w:name w:val="heading 6"/>
    <w:basedOn w:val="1"/>
    <w:next w:val="9"/>
    <w:link w:val="81"/>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2"/>
    <w:qFormat/>
    <w:uiPriority w:val="0"/>
    <w:pPr>
      <w:keepNext/>
      <w:keepLines/>
      <w:spacing w:before="240" w:after="64" w:line="320" w:lineRule="auto"/>
      <w:outlineLvl w:val="6"/>
    </w:pPr>
    <w:rPr>
      <w:b/>
      <w:sz w:val="24"/>
      <w:szCs w:val="20"/>
    </w:rPr>
  </w:style>
  <w:style w:type="paragraph" w:styleId="12">
    <w:name w:val="heading 8"/>
    <w:basedOn w:val="1"/>
    <w:next w:val="9"/>
    <w:link w:val="83"/>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84"/>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0"/>
    <w:qFormat/>
    <w:uiPriority w:val="0"/>
    <w:pPr>
      <w:spacing w:line="360" w:lineRule="auto"/>
    </w:pPr>
    <w:rPr>
      <w:b/>
      <w:bCs/>
      <w:sz w:val="24"/>
    </w:rPr>
  </w:style>
  <w:style w:type="paragraph" w:styleId="3">
    <w:name w:val="Title"/>
    <w:basedOn w:val="1"/>
    <w:next w:val="1"/>
    <w:link w:val="85"/>
    <w:qFormat/>
    <w:uiPriority w:val="0"/>
    <w:pPr>
      <w:spacing w:before="240" w:after="60"/>
      <w:jc w:val="center"/>
      <w:outlineLvl w:val="0"/>
    </w:pPr>
    <w:rPr>
      <w:rFonts w:ascii="Arial" w:hAnsi="Arial" w:eastAsia="隶书" w:cs="Arial"/>
      <w:b/>
      <w:bCs/>
      <w:sz w:val="32"/>
      <w:szCs w:val="32"/>
    </w:rPr>
  </w:style>
  <w:style w:type="paragraph" w:styleId="9">
    <w:name w:val="Normal Indent"/>
    <w:basedOn w:val="1"/>
    <w:next w:val="2"/>
    <w:link w:val="55"/>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2"/>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96"/>
    <w:qFormat/>
    <w:uiPriority w:val="0"/>
    <w:pPr>
      <w:spacing w:after="120"/>
    </w:pPr>
    <w:rPr>
      <w:sz w:val="16"/>
      <w:szCs w:val="16"/>
    </w:rPr>
  </w:style>
  <w:style w:type="paragraph" w:styleId="20">
    <w:name w:val="Body Text Indent"/>
    <w:basedOn w:val="1"/>
    <w:link w:val="77"/>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8"/>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6"/>
    <w:qFormat/>
    <w:uiPriority w:val="0"/>
    <w:rPr>
      <w:rFonts w:ascii="宋体" w:hAnsi="Courier New"/>
      <w:sz w:val="32"/>
      <w:szCs w:val="20"/>
    </w:rPr>
  </w:style>
  <w:style w:type="paragraph" w:styleId="26">
    <w:name w:val="Body Text Indent 2"/>
    <w:basedOn w:val="1"/>
    <w:link w:val="91"/>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7"/>
    <w:semiHidden/>
    <w:qFormat/>
    <w:uiPriority w:val="99"/>
    <w:rPr>
      <w:sz w:val="18"/>
      <w:szCs w:val="18"/>
    </w:rPr>
  </w:style>
  <w:style w:type="paragraph" w:styleId="28">
    <w:name w:val="footer"/>
    <w:basedOn w:val="1"/>
    <w:link w:val="95"/>
    <w:qFormat/>
    <w:uiPriority w:val="0"/>
    <w:pPr>
      <w:tabs>
        <w:tab w:val="center" w:pos="4153"/>
        <w:tab w:val="right" w:pos="8306"/>
      </w:tabs>
      <w:snapToGrid w:val="0"/>
      <w:jc w:val="left"/>
    </w:pPr>
    <w:rPr>
      <w:sz w:val="18"/>
      <w:szCs w:val="18"/>
    </w:rPr>
  </w:style>
  <w:style w:type="paragraph" w:styleId="29">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3"/>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Body Text 2"/>
    <w:basedOn w:val="1"/>
    <w:link w:val="94"/>
    <w:qFormat/>
    <w:uiPriority w:val="0"/>
    <w:pPr>
      <w:spacing w:line="360" w:lineRule="auto"/>
    </w:pPr>
    <w:rPr>
      <w:sz w:val="24"/>
    </w:rPr>
  </w:style>
  <w:style w:type="paragraph" w:styleId="37">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88"/>
    <w:qFormat/>
    <w:uiPriority w:val="99"/>
    <w:rPr>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annotation subject"/>
    <w:basedOn w:val="18"/>
    <w:next w:val="18"/>
    <w:link w:val="183"/>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28"/>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paragraph" w:styleId="5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1">
    <w:name w:val="标题 4 Char"/>
    <w:link w:val="6"/>
    <w:qFormat/>
    <w:uiPriority w:val="9"/>
    <w:rPr>
      <w:rFonts w:ascii="Arial" w:hAnsi="Arial" w:eastAsia="黑体"/>
      <w:b/>
      <w:bCs/>
      <w:kern w:val="2"/>
      <w:sz w:val="28"/>
      <w:szCs w:val="28"/>
      <w:lang w:val="en-US" w:eastAsia="zh-CN" w:bidi="ar-SA"/>
    </w:rPr>
  </w:style>
  <w:style w:type="paragraph" w:customStyle="1" w:styleId="5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3">
    <w:name w:val="标题 3 Char1"/>
    <w:link w:val="5"/>
    <w:qFormat/>
    <w:uiPriority w:val="9"/>
    <w:rPr>
      <w:rFonts w:ascii="宋体" w:hAnsi="宋体" w:eastAsia="宋体"/>
      <w:b/>
      <w:bCs/>
      <w:kern w:val="2"/>
      <w:sz w:val="28"/>
      <w:szCs w:val="32"/>
      <w:lang w:val="en-US" w:eastAsia="zh-CN" w:bidi="ar-SA"/>
    </w:rPr>
  </w:style>
  <w:style w:type="character" w:customStyle="1" w:styleId="54">
    <w:name w:val="标题 1 Char"/>
    <w:link w:val="4"/>
    <w:qFormat/>
    <w:uiPriority w:val="0"/>
    <w:rPr>
      <w:rFonts w:ascii="宋体" w:hAnsi="宋体" w:eastAsia="黑体"/>
      <w:b/>
      <w:bCs/>
      <w:kern w:val="44"/>
      <w:sz w:val="28"/>
      <w:szCs w:val="44"/>
      <w:lang w:val="en-US" w:eastAsia="zh-CN" w:bidi="ar-SA"/>
    </w:rPr>
  </w:style>
  <w:style w:type="character" w:customStyle="1" w:styleId="55">
    <w:name w:val="正文缩进 Char"/>
    <w:link w:val="9"/>
    <w:qFormat/>
    <w:uiPriority w:val="0"/>
    <w:rPr>
      <w:rFonts w:eastAsia="宋体"/>
      <w:kern w:val="2"/>
      <w:sz w:val="21"/>
      <w:lang w:val="en-US" w:eastAsia="zh-CN" w:bidi="ar-SA"/>
    </w:rPr>
  </w:style>
  <w:style w:type="character" w:customStyle="1" w:styleId="56">
    <w:name w:val="标题 3 Char"/>
    <w:qFormat/>
    <w:uiPriority w:val="0"/>
    <w:rPr>
      <w:rFonts w:ascii="黑体" w:eastAsia="黑体"/>
      <w:bCs/>
      <w:sz w:val="30"/>
    </w:rPr>
  </w:style>
  <w:style w:type="paragraph" w:customStyle="1" w:styleId="5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4">
    <w:name w:val="自定义正文"/>
    <w:basedOn w:val="1"/>
    <w:qFormat/>
    <w:uiPriority w:val="0"/>
    <w:pPr>
      <w:spacing w:afterLines="50"/>
      <w:ind w:left="600" w:leftChars="600"/>
    </w:pPr>
  </w:style>
  <w:style w:type="paragraph" w:customStyle="1" w:styleId="65">
    <w:name w:val="Char Char Char Char Char"/>
    <w:basedOn w:val="1"/>
    <w:qFormat/>
    <w:uiPriority w:val="0"/>
    <w:rPr>
      <w:rFonts w:ascii="Tahoma" w:hAnsi="Tahoma"/>
      <w:sz w:val="24"/>
      <w:szCs w:val="20"/>
    </w:rPr>
  </w:style>
  <w:style w:type="paragraph" w:customStyle="1" w:styleId="6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7">
    <w:name w:val="Char Char"/>
    <w:basedOn w:val="1"/>
    <w:qFormat/>
    <w:uiPriority w:val="0"/>
    <w:rPr>
      <w:rFonts w:ascii="Tahoma" w:hAnsi="Tahoma"/>
      <w:sz w:val="24"/>
      <w:szCs w:val="20"/>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标题 2 Char"/>
    <w:link w:val="7"/>
    <w:qFormat/>
    <w:uiPriority w:val="0"/>
    <w:rPr>
      <w:rFonts w:ascii="宋体" w:hAnsi="宋体" w:eastAsia="宋体"/>
      <w:b/>
      <w:bCs/>
      <w:sz w:val="24"/>
      <w:lang w:val="en-US" w:eastAsia="zh-CN" w:bidi="ar-SA"/>
    </w:rPr>
  </w:style>
  <w:style w:type="paragraph" w:customStyle="1" w:styleId="7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USE 1"/>
    <w:basedOn w:val="1"/>
    <w:qFormat/>
    <w:uiPriority w:val="0"/>
    <w:pPr>
      <w:spacing w:line="200" w:lineRule="atLeast"/>
      <w:jc w:val="left"/>
    </w:pPr>
    <w:rPr>
      <w:rFonts w:ascii="宋体" w:hAnsi="宋体"/>
      <w:b/>
      <w:sz w:val="24"/>
      <w:szCs w:val="28"/>
    </w:rPr>
  </w:style>
  <w:style w:type="paragraph" w:customStyle="1" w:styleId="7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4">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5">
    <w:name w:val="样式 标题 2 + 段前: 13 磅 段后: 13 磅 行距: 单倍行距"/>
    <w:basedOn w:val="7"/>
    <w:qFormat/>
    <w:uiPriority w:val="0"/>
    <w:pPr>
      <w:adjustRightInd/>
      <w:spacing w:before="0" w:after="0"/>
      <w:jc w:val="both"/>
      <w:textAlignment w:val="auto"/>
    </w:pPr>
    <w:rPr>
      <w:rFonts w:ascii="Cambria" w:hAnsi="Cambria" w:cs="宋体"/>
      <w:kern w:val="2"/>
      <w:sz w:val="32"/>
    </w:rPr>
  </w:style>
  <w:style w:type="character" w:customStyle="1" w:styleId="76">
    <w:name w:val="H4 Char2"/>
    <w:qFormat/>
    <w:uiPriority w:val="0"/>
    <w:rPr>
      <w:rFonts w:ascii="Arial" w:hAnsi="Arial" w:eastAsia="黑体"/>
      <w:b/>
      <w:bCs/>
      <w:kern w:val="2"/>
      <w:sz w:val="28"/>
      <w:szCs w:val="28"/>
      <w:lang w:val="en-US" w:eastAsia="zh-CN" w:bidi="ar-SA"/>
    </w:rPr>
  </w:style>
  <w:style w:type="character" w:customStyle="1" w:styleId="77">
    <w:name w:val="正文文本缩进 Char"/>
    <w:link w:val="20"/>
    <w:qFormat/>
    <w:uiPriority w:val="0"/>
    <w:rPr>
      <w:rFonts w:eastAsia="宋体"/>
      <w:kern w:val="2"/>
      <w:sz w:val="21"/>
      <w:szCs w:val="24"/>
      <w:lang w:val="en-US" w:eastAsia="zh-CN" w:bidi="ar-SA"/>
    </w:rPr>
  </w:style>
  <w:style w:type="character" w:customStyle="1" w:styleId="78">
    <w:name w:val="标题 5 Char"/>
    <w:link w:val="8"/>
    <w:qFormat/>
    <w:uiPriority w:val="0"/>
    <w:rPr>
      <w:rFonts w:eastAsia="宋体"/>
      <w:b/>
      <w:kern w:val="2"/>
      <w:sz w:val="28"/>
      <w:lang w:val="en-US" w:eastAsia="zh-CN" w:bidi="ar-SA"/>
    </w:rPr>
  </w:style>
  <w:style w:type="character" w:customStyle="1" w:styleId="79">
    <w:name w:val="第*章 Char"/>
    <w:qFormat/>
    <w:uiPriority w:val="0"/>
    <w:rPr>
      <w:rFonts w:ascii="Arial" w:hAnsi="Arial" w:eastAsia="黑体"/>
      <w:b/>
      <w:bCs/>
      <w:kern w:val="2"/>
      <w:sz w:val="32"/>
      <w:szCs w:val="32"/>
    </w:rPr>
  </w:style>
  <w:style w:type="character" w:customStyle="1" w:styleId="80">
    <w:name w:val="章标题1 Char"/>
    <w:qFormat/>
    <w:uiPriority w:val="0"/>
    <w:rPr>
      <w:rFonts w:eastAsia="宋体"/>
      <w:b/>
      <w:bCs/>
      <w:kern w:val="2"/>
      <w:sz w:val="32"/>
      <w:szCs w:val="32"/>
      <w:lang w:val="en-US" w:eastAsia="zh-CN" w:bidi="ar-SA"/>
    </w:rPr>
  </w:style>
  <w:style w:type="character" w:customStyle="1" w:styleId="81">
    <w:name w:val="标题 6 Char"/>
    <w:link w:val="10"/>
    <w:qFormat/>
    <w:uiPriority w:val="0"/>
    <w:rPr>
      <w:rFonts w:ascii="Arial" w:hAnsi="Arial" w:eastAsia="黑体"/>
      <w:b/>
      <w:kern w:val="2"/>
      <w:sz w:val="24"/>
      <w:lang w:val="en-US" w:eastAsia="zh-CN" w:bidi="ar-SA"/>
    </w:rPr>
  </w:style>
  <w:style w:type="character" w:customStyle="1" w:styleId="82">
    <w:name w:val="标题 7 Char"/>
    <w:link w:val="11"/>
    <w:qFormat/>
    <w:uiPriority w:val="0"/>
    <w:rPr>
      <w:rFonts w:eastAsia="宋体"/>
      <w:b/>
      <w:kern w:val="2"/>
      <w:sz w:val="24"/>
      <w:lang w:val="en-US" w:eastAsia="zh-CN" w:bidi="ar-SA"/>
    </w:rPr>
  </w:style>
  <w:style w:type="character" w:customStyle="1" w:styleId="83">
    <w:name w:val="标题 8 Char"/>
    <w:link w:val="12"/>
    <w:qFormat/>
    <w:uiPriority w:val="0"/>
    <w:rPr>
      <w:rFonts w:ascii="Arial" w:hAnsi="Arial" w:eastAsia="黑体"/>
      <w:kern w:val="2"/>
      <w:sz w:val="24"/>
      <w:lang w:val="en-US" w:eastAsia="zh-CN" w:bidi="ar-SA"/>
    </w:rPr>
  </w:style>
  <w:style w:type="character" w:customStyle="1" w:styleId="84">
    <w:name w:val="标题 9 Char"/>
    <w:link w:val="13"/>
    <w:qFormat/>
    <w:uiPriority w:val="0"/>
    <w:rPr>
      <w:rFonts w:ascii="Arial" w:hAnsi="Arial" w:eastAsia="黑体"/>
      <w:kern w:val="2"/>
      <w:sz w:val="21"/>
      <w:lang w:val="en-US" w:eastAsia="zh-CN" w:bidi="ar-SA"/>
    </w:rPr>
  </w:style>
  <w:style w:type="character" w:customStyle="1" w:styleId="85">
    <w:name w:val="标题 Char"/>
    <w:link w:val="3"/>
    <w:qFormat/>
    <w:uiPriority w:val="0"/>
    <w:rPr>
      <w:rFonts w:ascii="Arial" w:hAnsi="Arial" w:eastAsia="隶书" w:cs="Arial"/>
      <w:b/>
      <w:bCs/>
      <w:kern w:val="2"/>
      <w:sz w:val="32"/>
      <w:szCs w:val="32"/>
      <w:lang w:val="en-US" w:eastAsia="zh-CN" w:bidi="ar-SA"/>
    </w:rPr>
  </w:style>
  <w:style w:type="character" w:customStyle="1" w:styleId="86">
    <w:name w:val="日期 Char"/>
    <w:link w:val="25"/>
    <w:qFormat/>
    <w:uiPriority w:val="0"/>
    <w:rPr>
      <w:rFonts w:ascii="宋体" w:hAnsi="Courier New" w:eastAsia="宋体"/>
      <w:kern w:val="2"/>
      <w:sz w:val="32"/>
      <w:lang w:val="en-US" w:eastAsia="zh-CN" w:bidi="ar-SA"/>
    </w:rPr>
  </w:style>
  <w:style w:type="character" w:customStyle="1" w:styleId="87">
    <w:name w:val="HTML 预设格式 Char"/>
    <w:link w:val="37"/>
    <w:qFormat/>
    <w:uiPriority w:val="0"/>
    <w:rPr>
      <w:rFonts w:ascii="Arial Unicode MS" w:hAnsi="Arial Unicode MS" w:eastAsia="Arial Unicode MS"/>
      <w:color w:val="000000"/>
      <w:lang w:val="en-US" w:eastAsia="zh-CN" w:bidi="ar-SA"/>
    </w:rPr>
  </w:style>
  <w:style w:type="character" w:customStyle="1" w:styleId="88">
    <w:name w:val="纯文本 Char"/>
    <w:link w:val="23"/>
    <w:qFormat/>
    <w:uiPriority w:val="0"/>
    <w:rPr>
      <w:rFonts w:ascii="宋体" w:hAnsi="Courier New" w:eastAsia="宋体"/>
      <w:kern w:val="2"/>
      <w:sz w:val="21"/>
      <w:lang w:val="en-US" w:eastAsia="zh-CN" w:bidi="ar-SA"/>
    </w:rPr>
  </w:style>
  <w:style w:type="character" w:customStyle="1" w:styleId="89">
    <w:name w:val="正文文字首行缩进 Char"/>
    <w:qFormat/>
    <w:uiPriority w:val="0"/>
    <w:rPr>
      <w:kern w:val="2"/>
      <w:sz w:val="21"/>
      <w:szCs w:val="24"/>
    </w:rPr>
  </w:style>
  <w:style w:type="character" w:customStyle="1" w:styleId="90">
    <w:name w:val="正文文本 Char"/>
    <w:link w:val="2"/>
    <w:qFormat/>
    <w:uiPriority w:val="0"/>
    <w:rPr>
      <w:rFonts w:eastAsia="宋体"/>
      <w:b/>
      <w:bCs/>
      <w:kern w:val="2"/>
      <w:sz w:val="24"/>
      <w:szCs w:val="24"/>
      <w:lang w:val="en-US" w:eastAsia="zh-CN" w:bidi="ar-SA"/>
    </w:rPr>
  </w:style>
  <w:style w:type="character" w:customStyle="1" w:styleId="91">
    <w:name w:val="正文文本缩进 2 Char"/>
    <w:link w:val="26"/>
    <w:qFormat/>
    <w:uiPriority w:val="0"/>
    <w:rPr>
      <w:rFonts w:ascii="宋体" w:hAnsi="宋体" w:eastAsia="宋体"/>
      <w:kern w:val="2"/>
      <w:sz w:val="21"/>
      <w:szCs w:val="24"/>
      <w:lang w:val="en-US" w:eastAsia="zh-CN" w:bidi="ar-SA"/>
    </w:rPr>
  </w:style>
  <w:style w:type="character" w:customStyle="1" w:styleId="92">
    <w:name w:val="页眉 Char"/>
    <w:link w:val="29"/>
    <w:qFormat/>
    <w:uiPriority w:val="99"/>
    <w:rPr>
      <w:rFonts w:eastAsia="宋体"/>
      <w:kern w:val="2"/>
      <w:sz w:val="18"/>
      <w:szCs w:val="18"/>
      <w:lang w:val="en-US" w:eastAsia="zh-CN" w:bidi="ar-SA"/>
    </w:rPr>
  </w:style>
  <w:style w:type="character" w:customStyle="1" w:styleId="93">
    <w:name w:val="正文文本缩进 3 Char"/>
    <w:link w:val="33"/>
    <w:qFormat/>
    <w:uiPriority w:val="0"/>
    <w:rPr>
      <w:rFonts w:ascii="宋体" w:eastAsia="宋体"/>
      <w:b/>
      <w:bCs/>
      <w:kern w:val="2"/>
      <w:sz w:val="24"/>
      <w:szCs w:val="24"/>
      <w:lang w:val="en-US" w:eastAsia="zh-CN" w:bidi="ar-SA"/>
    </w:rPr>
  </w:style>
  <w:style w:type="character" w:customStyle="1" w:styleId="94">
    <w:name w:val="正文文本 2 Char"/>
    <w:link w:val="36"/>
    <w:qFormat/>
    <w:uiPriority w:val="0"/>
    <w:rPr>
      <w:rFonts w:eastAsia="宋体"/>
      <w:kern w:val="2"/>
      <w:sz w:val="24"/>
      <w:szCs w:val="24"/>
      <w:lang w:val="en-US" w:eastAsia="zh-CN" w:bidi="ar-SA"/>
    </w:rPr>
  </w:style>
  <w:style w:type="character" w:customStyle="1" w:styleId="95">
    <w:name w:val="页脚 Char"/>
    <w:link w:val="28"/>
    <w:qFormat/>
    <w:uiPriority w:val="0"/>
    <w:rPr>
      <w:rFonts w:eastAsia="宋体"/>
      <w:kern w:val="2"/>
      <w:sz w:val="18"/>
      <w:szCs w:val="18"/>
      <w:lang w:val="en-US" w:eastAsia="zh-CN" w:bidi="ar-SA"/>
    </w:rPr>
  </w:style>
  <w:style w:type="character" w:customStyle="1" w:styleId="96">
    <w:name w:val="正文文本 3 Char"/>
    <w:link w:val="19"/>
    <w:qFormat/>
    <w:uiPriority w:val="0"/>
    <w:rPr>
      <w:rFonts w:eastAsia="宋体"/>
      <w:kern w:val="2"/>
      <w:sz w:val="16"/>
      <w:szCs w:val="16"/>
      <w:lang w:val="en-US" w:eastAsia="zh-CN" w:bidi="ar-SA"/>
    </w:rPr>
  </w:style>
  <w:style w:type="character" w:customStyle="1" w:styleId="97">
    <w:name w:val="批注框文本 Char"/>
    <w:link w:val="27"/>
    <w:semiHidden/>
    <w:qFormat/>
    <w:uiPriority w:val="99"/>
    <w:rPr>
      <w:rFonts w:eastAsia="宋体"/>
      <w:kern w:val="2"/>
      <w:sz w:val="18"/>
      <w:szCs w:val="18"/>
      <w:lang w:val="en-US" w:eastAsia="zh-CN" w:bidi="ar-SA"/>
    </w:rPr>
  </w:style>
  <w:style w:type="paragraph" w:customStyle="1" w:styleId="98">
    <w:name w:val="样式1"/>
    <w:basedOn w:val="3"/>
    <w:qFormat/>
    <w:uiPriority w:val="0"/>
    <w:pPr>
      <w:spacing w:before="120" w:after="120"/>
    </w:pPr>
    <w:rPr>
      <w:rFonts w:eastAsia="黑体"/>
      <w:b w:val="0"/>
      <w:sz w:val="30"/>
      <w:szCs w:val="21"/>
    </w:rPr>
  </w:style>
  <w:style w:type="paragraph" w:customStyle="1" w:styleId="99">
    <w:name w:val="样式2"/>
    <w:basedOn w:val="3"/>
    <w:next w:val="98"/>
    <w:qFormat/>
    <w:uiPriority w:val="0"/>
    <w:pPr>
      <w:spacing w:before="120" w:after="120"/>
    </w:pPr>
    <w:rPr>
      <w:rFonts w:eastAsia="黑体"/>
      <w:b w:val="0"/>
      <w:sz w:val="30"/>
      <w:szCs w:val="30"/>
    </w:rPr>
  </w:style>
  <w:style w:type="character" w:customStyle="1" w:styleId="100">
    <w:name w:val="标题 3 Char Char"/>
    <w:qFormat/>
    <w:uiPriority w:val="0"/>
    <w:rPr>
      <w:rFonts w:eastAsia="宋体"/>
      <w:b/>
      <w:bCs/>
      <w:kern w:val="2"/>
      <w:sz w:val="32"/>
      <w:szCs w:val="32"/>
      <w:lang w:val="en-US" w:eastAsia="zh-CN" w:bidi="ar-SA"/>
    </w:rPr>
  </w:style>
  <w:style w:type="paragraph" w:customStyle="1" w:styleId="10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3">
    <w:name w:val="--规划正文"/>
    <w:basedOn w:val="1"/>
    <w:qFormat/>
    <w:uiPriority w:val="0"/>
    <w:pPr>
      <w:spacing w:line="360" w:lineRule="auto"/>
      <w:ind w:firstLine="200" w:firstLineChars="200"/>
    </w:pPr>
    <w:rPr>
      <w:szCs w:val="20"/>
    </w:rPr>
  </w:style>
  <w:style w:type="paragraph" w:customStyle="1" w:styleId="104">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6">
    <w:name w:val="样式4"/>
    <w:basedOn w:val="1"/>
    <w:qFormat/>
    <w:uiPriority w:val="0"/>
    <w:pPr>
      <w:tabs>
        <w:tab w:val="left" w:pos="842"/>
      </w:tabs>
      <w:spacing w:line="360" w:lineRule="auto"/>
      <w:ind w:left="842" w:hanging="420"/>
    </w:pPr>
    <w:rPr>
      <w:sz w:val="24"/>
    </w:rPr>
  </w:style>
  <w:style w:type="paragraph" w:customStyle="1" w:styleId="107">
    <w:name w:val="文字"/>
    <w:basedOn w:val="1"/>
    <w:qFormat/>
    <w:uiPriority w:val="0"/>
    <w:pPr>
      <w:tabs>
        <w:tab w:val="left" w:pos="8520"/>
      </w:tabs>
      <w:spacing w:line="312" w:lineRule="auto"/>
      <w:ind w:right="-210" w:firstLine="556"/>
    </w:pPr>
    <w:rPr>
      <w:rFonts w:ascii="宋体"/>
      <w:sz w:val="28"/>
      <w:szCs w:val="20"/>
    </w:rPr>
  </w:style>
  <w:style w:type="paragraph" w:customStyle="1" w:styleId="108">
    <w:name w:val="--规划-表格-居左"/>
    <w:basedOn w:val="103"/>
    <w:qFormat/>
    <w:uiPriority w:val="0"/>
    <w:pPr>
      <w:spacing w:line="240" w:lineRule="auto"/>
      <w:ind w:firstLine="0" w:firstLineChars="0"/>
    </w:pPr>
    <w:rPr>
      <w:sz w:val="20"/>
    </w:rPr>
  </w:style>
  <w:style w:type="paragraph" w:customStyle="1" w:styleId="109">
    <w:name w:val="--规划-表格-居中"/>
    <w:basedOn w:val="103"/>
    <w:qFormat/>
    <w:uiPriority w:val="0"/>
    <w:pPr>
      <w:spacing w:line="240" w:lineRule="auto"/>
      <w:ind w:firstLine="0" w:firstLineChars="0"/>
      <w:jc w:val="center"/>
    </w:pPr>
    <w:rPr>
      <w:sz w:val="20"/>
    </w:rPr>
  </w:style>
  <w:style w:type="paragraph" w:customStyle="1" w:styleId="110">
    <w:name w:val="--编号内缩进"/>
    <w:basedOn w:val="1"/>
    <w:qFormat/>
    <w:uiPriority w:val="0"/>
    <w:pPr>
      <w:spacing w:line="360" w:lineRule="auto"/>
      <w:ind w:left="420" w:firstLine="200" w:firstLineChars="200"/>
    </w:pPr>
    <w:rPr>
      <w:szCs w:val="21"/>
    </w:rPr>
  </w:style>
  <w:style w:type="paragraph" w:customStyle="1" w:styleId="111">
    <w:name w:val="--规划-题注"/>
    <w:basedOn w:val="1"/>
    <w:next w:val="103"/>
    <w:qFormat/>
    <w:uiPriority w:val="0"/>
    <w:pPr>
      <w:spacing w:line="360" w:lineRule="auto"/>
      <w:jc w:val="center"/>
    </w:pPr>
    <w:rPr>
      <w:rFonts w:eastAsia="黑体"/>
    </w:rPr>
  </w:style>
  <w:style w:type="paragraph" w:customStyle="1" w:styleId="112">
    <w:name w:val="--规划-图和表"/>
    <w:next w:val="103"/>
    <w:qFormat/>
    <w:uiPriority w:val="0"/>
    <w:pPr>
      <w:jc w:val="center"/>
    </w:pPr>
    <w:rPr>
      <w:rFonts w:ascii="Times New Roman" w:hAnsi="Times New Roman" w:eastAsia="宋体" w:cs="Times New Roman"/>
      <w:kern w:val="2"/>
      <w:sz w:val="21"/>
      <w:lang w:val="en-US" w:eastAsia="zh-CN" w:bidi="ar-SA"/>
    </w:rPr>
  </w:style>
  <w:style w:type="paragraph" w:customStyle="1" w:styleId="113">
    <w:name w:val="--规划-小标题"/>
    <w:basedOn w:val="1"/>
    <w:next w:val="103"/>
    <w:qFormat/>
    <w:uiPriority w:val="0"/>
    <w:pPr>
      <w:keepNext/>
      <w:keepLines/>
      <w:spacing w:line="360" w:lineRule="auto"/>
      <w:outlineLvl w:val="4"/>
    </w:pPr>
    <w:rPr>
      <w:rFonts w:eastAsia="黑体"/>
    </w:rPr>
  </w:style>
  <w:style w:type="paragraph" w:customStyle="1" w:styleId="114">
    <w:name w:val="--规划正文 Char"/>
    <w:basedOn w:val="1"/>
    <w:qFormat/>
    <w:uiPriority w:val="0"/>
    <w:pPr>
      <w:spacing w:line="360" w:lineRule="auto"/>
      <w:ind w:firstLine="200" w:firstLineChars="200"/>
    </w:pPr>
    <w:rPr>
      <w:sz w:val="24"/>
    </w:rPr>
  </w:style>
  <w:style w:type="paragraph" w:customStyle="1" w:styleId="115">
    <w:name w:val="缺省文本"/>
    <w:basedOn w:val="1"/>
    <w:qFormat/>
    <w:uiPriority w:val="0"/>
    <w:pPr>
      <w:autoSpaceDE w:val="0"/>
      <w:autoSpaceDN w:val="0"/>
      <w:adjustRightInd w:val="0"/>
      <w:jc w:val="left"/>
    </w:pPr>
    <w:rPr>
      <w:kern w:val="0"/>
    </w:rPr>
  </w:style>
  <w:style w:type="paragraph" w:customStyle="1" w:styleId="11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7">
    <w:name w:val="--规划正文 Char Char"/>
    <w:qFormat/>
    <w:uiPriority w:val="0"/>
    <w:rPr>
      <w:rFonts w:eastAsia="宋体"/>
      <w:kern w:val="2"/>
      <w:sz w:val="24"/>
      <w:szCs w:val="24"/>
      <w:lang w:val="en-US" w:eastAsia="zh-CN" w:bidi="ar-SA"/>
    </w:rPr>
  </w:style>
  <w:style w:type="paragraph" w:customStyle="1" w:styleId="118">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9">
    <w:name w:val="--规划正文 Char1"/>
    <w:qFormat/>
    <w:uiPriority w:val="0"/>
    <w:rPr>
      <w:rFonts w:eastAsia="宋体"/>
      <w:kern w:val="2"/>
      <w:sz w:val="21"/>
      <w:lang w:val="en-US" w:eastAsia="zh-CN" w:bidi="ar-SA"/>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sz w:val="24"/>
      <w:szCs w:val="20"/>
    </w:rPr>
  </w:style>
  <w:style w:type="character" w:customStyle="1" w:styleId="122">
    <w:name w:val="content1"/>
    <w:qFormat/>
    <w:uiPriority w:val="0"/>
    <w:rPr>
      <w:rFonts w:hint="default" w:ascii="??" w:hAnsi="??"/>
      <w:sz w:val="16"/>
      <w:szCs w:val="16"/>
      <w:u w:val="none"/>
    </w:rPr>
  </w:style>
  <w:style w:type="character" w:customStyle="1" w:styleId="123">
    <w:name w:val="unnamed4"/>
    <w:basedOn w:val="44"/>
    <w:qFormat/>
    <w:uiPriority w:val="0"/>
  </w:style>
  <w:style w:type="character" w:customStyle="1" w:styleId="124">
    <w:name w:val="font2"/>
    <w:basedOn w:val="44"/>
    <w:qFormat/>
    <w:uiPriority w:val="0"/>
  </w:style>
  <w:style w:type="character" w:customStyle="1" w:styleId="125">
    <w:name w:val="font41"/>
    <w:qFormat/>
    <w:uiPriority w:val="0"/>
    <w:rPr>
      <w:color w:val="000000"/>
      <w:spacing w:val="260"/>
      <w:sz w:val="18"/>
      <w:szCs w:val="18"/>
      <w:u w:val="none"/>
    </w:rPr>
  </w:style>
  <w:style w:type="paragraph" w:customStyle="1" w:styleId="12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8">
    <w:name w:val="正文首行缩进 Char"/>
    <w:link w:val="41"/>
    <w:qFormat/>
    <w:uiPriority w:val="0"/>
    <w:rPr>
      <w:rFonts w:eastAsia="宋体"/>
      <w:b/>
      <w:bCs/>
      <w:kern w:val="2"/>
      <w:sz w:val="21"/>
      <w:szCs w:val="24"/>
      <w:lang w:val="en-US" w:eastAsia="zh-CN" w:bidi="ar-SA"/>
    </w:rPr>
  </w:style>
  <w:style w:type="paragraph" w:customStyle="1" w:styleId="12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2">
    <w:name w:val="mode"/>
    <w:basedOn w:val="44"/>
    <w:qFormat/>
    <w:uiPriority w:val="0"/>
  </w:style>
  <w:style w:type="paragraph" w:customStyle="1" w:styleId="133">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34">
    <w:name w:val="unnamed3"/>
    <w:basedOn w:val="44"/>
    <w:qFormat/>
    <w:uiPriority w:val="0"/>
  </w:style>
  <w:style w:type="paragraph" w:customStyle="1" w:styleId="135">
    <w:name w:val="8"/>
    <w:basedOn w:val="1"/>
    <w:next w:val="20"/>
    <w:qFormat/>
    <w:uiPriority w:val="0"/>
    <w:pPr>
      <w:spacing w:after="120"/>
      <w:ind w:left="420" w:leftChars="200"/>
    </w:pPr>
  </w:style>
  <w:style w:type="paragraph" w:customStyle="1" w:styleId="13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8">
    <w:name w:val="5"/>
    <w:basedOn w:val="1"/>
    <w:qFormat/>
    <w:uiPriority w:val="0"/>
    <w:pPr>
      <w:autoSpaceDE w:val="0"/>
      <w:autoSpaceDN w:val="0"/>
      <w:adjustRightInd w:val="0"/>
      <w:jc w:val="left"/>
    </w:pPr>
    <w:rPr>
      <w:rFonts w:ascii="宋体"/>
      <w:b/>
      <w:bCs/>
      <w:kern w:val="0"/>
      <w:sz w:val="18"/>
      <w:szCs w:val="18"/>
    </w:rPr>
  </w:style>
  <w:style w:type="paragraph" w:customStyle="1" w:styleId="139">
    <w:name w:val="6"/>
    <w:basedOn w:val="138"/>
    <w:qFormat/>
    <w:uiPriority w:val="0"/>
    <w:pPr>
      <w:spacing w:line="270" w:lineRule="atLeast"/>
      <w:jc w:val="both"/>
    </w:pPr>
    <w:rPr>
      <w:b w:val="0"/>
      <w:bCs w:val="0"/>
    </w:rPr>
  </w:style>
  <w:style w:type="paragraph" w:customStyle="1" w:styleId="14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1">
    <w:name w:val="姜文清定义的正文"/>
    <w:basedOn w:val="1"/>
    <w:qFormat/>
    <w:uiPriority w:val="0"/>
    <w:pPr>
      <w:spacing w:line="240" w:lineRule="atLeast"/>
      <w:ind w:firstLine="567"/>
    </w:pPr>
    <w:rPr>
      <w:szCs w:val="20"/>
    </w:rPr>
  </w:style>
  <w:style w:type="paragraph" w:customStyle="1" w:styleId="14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3">
    <w:name w:val="CM2"/>
    <w:basedOn w:val="142"/>
    <w:next w:val="142"/>
    <w:qFormat/>
    <w:uiPriority w:val="0"/>
    <w:pPr>
      <w:spacing w:line="200" w:lineRule="atLeast"/>
    </w:pPr>
    <w:rPr>
      <w:rFonts w:ascii="Arial" w:hAnsi="Arial" w:eastAsia="宋体" w:cs="Times New Roman"/>
      <w:color w:val="auto"/>
    </w:rPr>
  </w:style>
  <w:style w:type="paragraph" w:customStyle="1" w:styleId="144">
    <w:name w:val="Normal Paragraph"/>
    <w:basedOn w:val="1"/>
    <w:qFormat/>
    <w:uiPriority w:val="0"/>
    <w:pPr>
      <w:widowControl/>
      <w:spacing w:before="120" w:line="360" w:lineRule="auto"/>
      <w:ind w:firstLine="425"/>
    </w:pPr>
    <w:rPr>
      <w:kern w:val="0"/>
      <w:sz w:val="24"/>
    </w:rPr>
  </w:style>
  <w:style w:type="character" w:customStyle="1" w:styleId="145">
    <w:name w:val="blue"/>
    <w:basedOn w:val="44"/>
    <w:qFormat/>
    <w:uiPriority w:val="0"/>
  </w:style>
  <w:style w:type="paragraph" w:customStyle="1" w:styleId="14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7">
    <w:name w:val="font"/>
    <w:basedOn w:val="44"/>
    <w:qFormat/>
    <w:uiPriority w:val="0"/>
  </w:style>
  <w:style w:type="character" w:customStyle="1" w:styleId="148">
    <w:name w:val="font11"/>
    <w:qFormat/>
    <w:uiPriority w:val="0"/>
    <w:rPr>
      <w:rFonts w:hint="default" w:ascii="ˎ̥" w:hAnsi="ˎ̥"/>
    </w:rPr>
  </w:style>
  <w:style w:type="paragraph" w:customStyle="1" w:styleId="14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0">
    <w:name w:val="proddescription"/>
    <w:basedOn w:val="44"/>
    <w:qFormat/>
    <w:uiPriority w:val="0"/>
  </w:style>
  <w:style w:type="character" w:customStyle="1" w:styleId="151">
    <w:name w:val="prodheadlines"/>
    <w:basedOn w:val="44"/>
    <w:qFormat/>
    <w:uiPriority w:val="0"/>
  </w:style>
  <w:style w:type="character" w:customStyle="1" w:styleId="152">
    <w:name w:val="text"/>
    <w:basedOn w:val="44"/>
    <w:qFormat/>
    <w:uiPriority w:val="0"/>
  </w:style>
  <w:style w:type="paragraph" w:customStyle="1" w:styleId="15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段落正文"/>
    <w:basedOn w:val="23"/>
    <w:qFormat/>
    <w:uiPriority w:val="0"/>
    <w:pPr>
      <w:ind w:firstLine="560" w:firstLineChars="200"/>
    </w:pPr>
    <w:rPr>
      <w:sz w:val="28"/>
    </w:rPr>
  </w:style>
  <w:style w:type="character" w:customStyle="1" w:styleId="159">
    <w:name w:val="gray6"/>
    <w:basedOn w:val="44"/>
    <w:qFormat/>
    <w:uiPriority w:val="0"/>
  </w:style>
  <w:style w:type="character" w:customStyle="1" w:styleId="160">
    <w:name w:val="style9"/>
    <w:basedOn w:val="44"/>
    <w:qFormat/>
    <w:uiPriority w:val="0"/>
  </w:style>
  <w:style w:type="paragraph" w:customStyle="1" w:styleId="16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2">
    <w:name w:val="grame"/>
    <w:basedOn w:val="44"/>
    <w:qFormat/>
    <w:uiPriority w:val="0"/>
  </w:style>
  <w:style w:type="paragraph" w:customStyle="1" w:styleId="16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Char1"/>
    <w:basedOn w:val="1"/>
    <w:qFormat/>
    <w:uiPriority w:val="0"/>
    <w:pPr>
      <w:jc w:val="left"/>
    </w:pPr>
    <w:rPr>
      <w:rFonts w:ascii="Tahoma" w:hAnsi="Tahoma"/>
      <w:sz w:val="24"/>
      <w:szCs w:val="20"/>
    </w:rPr>
  </w:style>
  <w:style w:type="paragraph" w:customStyle="1" w:styleId="16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font6"/>
    <w:basedOn w:val="1"/>
    <w:qFormat/>
    <w:uiPriority w:val="0"/>
    <w:pPr>
      <w:widowControl/>
      <w:spacing w:before="100" w:beforeAutospacing="1" w:after="100" w:afterAutospacing="1"/>
      <w:jc w:val="left"/>
    </w:pPr>
    <w:rPr>
      <w:kern w:val="0"/>
      <w:sz w:val="24"/>
    </w:rPr>
  </w:style>
  <w:style w:type="paragraph" w:customStyle="1" w:styleId="1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表格字"/>
    <w:basedOn w:val="1"/>
    <w:qFormat/>
    <w:uiPriority w:val="0"/>
    <w:pPr>
      <w:adjustRightInd w:val="0"/>
      <w:jc w:val="center"/>
    </w:pPr>
    <w:rPr>
      <w:rFonts w:ascii="宋体"/>
      <w:sz w:val="24"/>
      <w:szCs w:val="20"/>
    </w:rPr>
  </w:style>
  <w:style w:type="character" w:customStyle="1" w:styleId="173">
    <w:name w:val="样式 小三 加粗"/>
    <w:qFormat/>
    <w:uiPriority w:val="0"/>
    <w:rPr>
      <w:rFonts w:eastAsia="宋体"/>
      <w:b/>
      <w:bCs/>
      <w:sz w:val="32"/>
    </w:rPr>
  </w:style>
  <w:style w:type="paragraph" w:customStyle="1" w:styleId="1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6">
    <w:name w:val="Char Char Char"/>
    <w:basedOn w:val="1"/>
    <w:qFormat/>
    <w:uiPriority w:val="0"/>
    <w:rPr>
      <w:rFonts w:ascii="Tahoma" w:hAnsi="Tahoma"/>
      <w:sz w:val="24"/>
      <w:szCs w:val="20"/>
    </w:rPr>
  </w:style>
  <w:style w:type="paragraph" w:customStyle="1" w:styleId="17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8">
    <w:name w:val="info4"/>
    <w:basedOn w:val="44"/>
    <w:qFormat/>
    <w:uiPriority w:val="0"/>
  </w:style>
  <w:style w:type="paragraph" w:customStyle="1" w:styleId="179">
    <w:name w:val="缩进正文"/>
    <w:basedOn w:val="1"/>
    <w:link w:val="180"/>
    <w:qFormat/>
    <w:uiPriority w:val="0"/>
    <w:pPr>
      <w:ind w:firstLine="560" w:firstLineChars="200"/>
    </w:pPr>
    <w:rPr>
      <w:rFonts w:eastAsia="仿宋_GB2312" w:cs="宋体"/>
      <w:sz w:val="28"/>
      <w:szCs w:val="20"/>
    </w:rPr>
  </w:style>
  <w:style w:type="character" w:customStyle="1" w:styleId="180">
    <w:name w:val="缩进正文 Char"/>
    <w:link w:val="179"/>
    <w:qFormat/>
    <w:uiPriority w:val="0"/>
    <w:rPr>
      <w:rFonts w:eastAsia="仿宋_GB2312" w:cs="宋体"/>
      <w:kern w:val="2"/>
      <w:sz w:val="28"/>
      <w:lang w:val="en-US" w:eastAsia="zh-CN" w:bidi="ar-SA"/>
    </w:rPr>
  </w:style>
  <w:style w:type="paragraph" w:customStyle="1" w:styleId="181">
    <w:name w:val="列出段落1"/>
    <w:basedOn w:val="1"/>
    <w:qFormat/>
    <w:uiPriority w:val="0"/>
    <w:pPr>
      <w:ind w:firstLine="420" w:firstLineChars="200"/>
    </w:pPr>
    <w:rPr>
      <w:rFonts w:ascii="Calibri" w:hAnsi="Calibri" w:cs="Calibri"/>
      <w:szCs w:val="21"/>
    </w:rPr>
  </w:style>
  <w:style w:type="character" w:customStyle="1" w:styleId="182">
    <w:name w:val="批注文字 Char"/>
    <w:basedOn w:val="44"/>
    <w:link w:val="18"/>
    <w:qFormat/>
    <w:uiPriority w:val="99"/>
    <w:rPr>
      <w:rFonts w:ascii="宋体"/>
      <w:sz w:val="34"/>
    </w:rPr>
  </w:style>
  <w:style w:type="character" w:customStyle="1" w:styleId="183">
    <w:name w:val="批注主题 Char"/>
    <w:basedOn w:val="182"/>
    <w:link w:val="40"/>
    <w:qFormat/>
    <w:uiPriority w:val="99"/>
    <w:rPr>
      <w:rFonts w:ascii="宋体"/>
      <w:sz w:val="34"/>
    </w:rPr>
  </w:style>
  <w:style w:type="paragraph" w:customStyle="1" w:styleId="184">
    <w:name w:val="评价"/>
    <w:basedOn w:val="1"/>
    <w:qFormat/>
    <w:uiPriority w:val="0"/>
    <w:pPr>
      <w:spacing w:afterLines="20"/>
      <w:ind w:firstLine="1446" w:firstLineChars="200"/>
    </w:pPr>
    <w:rPr>
      <w:rFonts w:ascii="Calibri" w:hAnsi="Calibri"/>
      <w:sz w:val="24"/>
    </w:rPr>
  </w:style>
  <w:style w:type="paragraph" w:customStyle="1" w:styleId="18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6">
    <w:name w:val="alt-edited1"/>
    <w:qFormat/>
    <w:uiPriority w:val="0"/>
    <w:rPr>
      <w:color w:val="4D90F0"/>
    </w:rPr>
  </w:style>
  <w:style w:type="character" w:customStyle="1" w:styleId="187">
    <w:name w:val="body text Char1"/>
    <w:qFormat/>
    <w:uiPriority w:val="0"/>
    <w:rPr>
      <w:rFonts w:eastAsia="宋体"/>
      <w:kern w:val="2"/>
      <w:sz w:val="21"/>
      <w:lang w:val="en-US" w:eastAsia="zh-CN" w:bidi="ar-SA"/>
    </w:rPr>
  </w:style>
  <w:style w:type="character" w:customStyle="1" w:styleId="188">
    <w:name w:val="普通(网站) Char"/>
    <w:link w:val="38"/>
    <w:qFormat/>
    <w:uiPriority w:val="0"/>
    <w:rPr>
      <w:kern w:val="2"/>
      <w:sz w:val="24"/>
      <w:szCs w:val="24"/>
    </w:rPr>
  </w:style>
  <w:style w:type="character" w:customStyle="1" w:styleId="189">
    <w:name w:val="批注文字 Char1"/>
    <w:qFormat/>
    <w:uiPriority w:val="99"/>
    <w:rPr>
      <w:rFonts w:ascii="宋体"/>
      <w:sz w:val="34"/>
    </w:rPr>
  </w:style>
  <w:style w:type="character" w:customStyle="1" w:styleId="190">
    <w:name w:val="正文缩进 Char1"/>
    <w:qFormat/>
    <w:uiPriority w:val="0"/>
    <w:rPr>
      <w:rFonts w:eastAsia="宋体"/>
      <w:kern w:val="2"/>
      <w:sz w:val="21"/>
      <w:lang w:val="en-US" w:eastAsia="zh-CN" w:bidi="ar-SA"/>
    </w:rPr>
  </w:style>
  <w:style w:type="table" w:customStyle="1" w:styleId="19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69</Pages>
  <Words>4549</Words>
  <Characters>4774</Characters>
  <Lines>332</Lines>
  <Paragraphs>93</Paragraphs>
  <TotalTime>10</TotalTime>
  <ScaleCrop>false</ScaleCrop>
  <LinksUpToDate>false</LinksUpToDate>
  <CharactersWithSpaces>4789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2021-04-19T08:29:00Z</dcterms:created>
  <dc:creator>thsware</dc:creator>
  <cp:lastModifiedBy>菠萝熊</cp:lastModifiedBy>
  <cp:lastPrinted>2021-05-09T08:02:00Z</cp:lastPrinted>
  <dcterms:modified xsi:type="dcterms:W3CDTF">2025-09-12T11:35:53Z</dcterms:modified>
  <dc:title>招  标　文　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965CC8C1DE30451FB89282EAC08F38AA_13</vt:lpwstr>
  </property>
  <property fmtid="{D5CDD505-2E9C-101B-9397-08002B2CF9AE}" pid="4" name="KSOTemplateDocerSaveRecord">
    <vt:lpwstr>eyJoZGlkIjoiMTEzMmY3N2I4ZDI1ZjE2ODBjMDFkZjY1NmM5NWQwZWUiLCJ1c2VySWQiOiIzODU2MzU4NTIifQ==</vt:lpwstr>
  </property>
</Properties>
</file>