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采购文件信息</w:t>
      </w:r>
    </w:p>
    <w:tbl>
      <w:tblPr>
        <w:tblStyle w:val="43"/>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pPr>
              <w:widowControl/>
              <w:jc w:val="left"/>
              <w:rPr>
                <w:sz w:val="30"/>
                <w:szCs w:val="30"/>
              </w:rPr>
            </w:pPr>
            <w:r>
              <w:rPr>
                <w:rFonts w:hint="eastAsia"/>
                <w:sz w:val="30"/>
                <w:szCs w:val="30"/>
              </w:rPr>
              <w:t>SZZXCG-2025-00148</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pPr>
              <w:widowControl/>
              <w:jc w:val="left"/>
              <w:rPr>
                <w:sz w:val="30"/>
                <w:szCs w:val="30"/>
              </w:rPr>
            </w:pPr>
            <w:r>
              <w:rPr>
                <w:rFonts w:hint="eastAsia"/>
                <w:sz w:val="30"/>
                <w:szCs w:val="30"/>
              </w:rPr>
              <w:t>深圳市第一、第二看守所监区医务室改造</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rPr>
              <w:t>工程类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rPr>
              <w:t>公开征集</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tbl>
    <w:p>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83"/>
        <w:gridCol w:w="82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3"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sz w:val="28"/>
                <w:szCs w:val="28"/>
              </w:rPr>
            </w:pPr>
            <w:r>
              <w:rPr>
                <w:sz w:val="28"/>
                <w:szCs w:val="28"/>
              </w:rPr>
              <w:t>序号</w:t>
            </w:r>
          </w:p>
        </w:tc>
        <w:tc>
          <w:tcPr>
            <w:tcW w:w="8289"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3"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cs="宋体"/>
                <w:szCs w:val="21"/>
              </w:rPr>
            </w:pPr>
            <w:r>
              <w:rPr>
                <w:szCs w:val="21"/>
              </w:rPr>
              <w:t>1</w:t>
            </w:r>
          </w:p>
        </w:tc>
        <w:tc>
          <w:tcPr>
            <w:tcW w:w="8289" w:type="dxa"/>
            <w:tcBorders>
              <w:top w:val="single" w:color="000000" w:sz="8" w:space="0"/>
              <w:left w:val="single" w:color="000000" w:sz="8" w:space="0"/>
              <w:bottom w:val="single" w:color="000000" w:sz="8" w:space="0"/>
              <w:right w:val="single" w:color="000000" w:sz="8" w:space="0"/>
            </w:tcBorders>
          </w:tcPr>
          <w:p>
            <w:pPr>
              <w:rPr>
                <w:rFonts w:hint="eastAsia" w:ascii="宋体" w:hAnsi="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采购</w:t>
            </w:r>
            <w:r>
              <w:rPr>
                <w:rFonts w:ascii="宋体" w:hAnsi="宋体" w:cs="宋体"/>
                <w:kern w:val="0"/>
                <w:szCs w:val="21"/>
              </w:rPr>
              <w:t>公告</w:t>
            </w:r>
            <w:r>
              <w:rPr>
                <w:rFonts w:hint="eastAsia" w:ascii="宋体" w:hAnsi="宋体"/>
                <w:szCs w:val="21"/>
              </w:rPr>
              <w:t>投标人资格</w:t>
            </w:r>
          </w:p>
          <w:p>
            <w:pPr>
              <w:rPr>
                <w:rFonts w:hint="eastAsia" w:ascii="宋体" w:hAnsi="宋体" w:cs="宋体"/>
                <w:szCs w:val="21"/>
              </w:rPr>
            </w:pPr>
            <w:r>
              <w:rPr>
                <w:rFonts w:hint="eastAsia" w:ascii="宋体" w:hAnsi="宋体"/>
                <w:szCs w:val="21"/>
              </w:rPr>
              <w:t>要求</w:t>
            </w:r>
            <w:r>
              <w:rPr>
                <w:rFonts w:ascii="宋体" w:hAnsi="宋体" w:cs="宋体"/>
                <w:kern w:val="0"/>
                <w:szCs w:val="21"/>
              </w:rPr>
              <w:t>）</w:t>
            </w:r>
          </w:p>
        </w:tc>
      </w:tr>
    </w:tbl>
    <w:p>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3"/>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对同一项目投标时，不得提供两套以上的投标方案（采购文件另有规定的除外）；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分项报价或投标总价不得高于相应预算金额（或设定的预算金额下的最高限价）；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投标人响应的内容在技术、商务等方面没有实质性满足（</w:t>
            </w:r>
            <w:r>
              <w:rPr>
                <w:rFonts w:hint="eastAsia" w:ascii="Calibri" w:hAnsi="Calibri"/>
              </w:rPr>
              <w:t>或未响应采购文件中带★号条款或响应有负偏离）</w:t>
            </w:r>
            <w:r>
              <w:rPr>
                <w:rFonts w:hint="eastAsia"/>
              </w:rPr>
              <w:t>采购文件要求的（是否实质性满足采购文件要求，由评审委员会根据实质性条款响应情况作出评判，若采购文件未设置实质性条款，不得据此做投标无效处理）；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未按采购文件所提供的样式填写《投标函》；未按采购文件所提供的《采购投标及履约承诺函》进行承诺或不符合承诺的；未按采购文件对投标文件组成的要求提供投标文件；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采购标的/所投产品/货物清单有缺漏项或响应不全或报价有缺漏或者对采购文件规定的项目需求内容或者需求数量进行修改，评审委员会判定投标响应不满足采购需求；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ascii="宋体" w:hAnsi="宋体" w:cs="宋体"/>
                <w:kern w:val="0"/>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ascii="宋体" w:hAnsi="宋体" w:cs="宋体"/>
                <w:kern w:val="0"/>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r>
              <w:rPr>
                <w:rFonts w:hint="eastAsia" w:ascii="宋体" w:hAnsi="宋体" w:cs="宋体"/>
                <w:kern w:val="0"/>
                <w:szCs w:val="21"/>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pStyle w:val="37"/>
        <w:jc w:val="center"/>
        <w:outlineLvl w:val="1"/>
        <w:rPr>
          <w:rFonts w:hint="eastAsia" w:ascii="黑体" w:hAnsi="黑体" w:eastAsia="黑体"/>
          <w:sz w:val="40"/>
          <w:szCs w:val="40"/>
        </w:rPr>
      </w:pPr>
      <w:bookmarkStart w:id="116" w:name="_GoBack"/>
      <w:bookmarkEnd w:id="116"/>
      <w:r>
        <w:rPr>
          <w:rFonts w:hint="eastAsia" w:ascii="黑体" w:hAnsi="黑体" w:eastAsia="黑体"/>
          <w:sz w:val="40"/>
          <w:szCs w:val="40"/>
        </w:rPr>
        <w:t>评标信息</w:t>
      </w:r>
    </w:p>
    <w:tbl>
      <w:tblPr>
        <w:tblStyle w:val="43"/>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704"/>
        <w:gridCol w:w="709"/>
        <w:gridCol w:w="1701"/>
        <w:gridCol w:w="1134"/>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keepNext w:val="0"/>
              <w:keepLines w:val="0"/>
              <w:pageBreakBefore w:val="0"/>
              <w:widowControl w:val="0"/>
              <w:kinsoku/>
              <w:overflowPunct/>
              <w:topLinePunct w:val="0"/>
              <w:autoSpaceDE/>
              <w:autoSpaceDN/>
              <w:bidi w:val="0"/>
              <w:adjustRightInd/>
              <w:snapToGrid/>
              <w:spacing w:line="300" w:lineRule="exact"/>
              <w:ind w:left="0"/>
              <w:jc w:val="left"/>
              <w:rPr>
                <w:rFonts w:hint="eastAsia" w:ascii="宋体" w:hAnsi="宋体" w:eastAsia="宋体" w:cs="宋体"/>
                <w:b/>
                <w:bCs/>
                <w:sz w:val="21"/>
                <w:szCs w:val="21"/>
              </w:rPr>
            </w:pPr>
            <w:r>
              <w:rPr>
                <w:rFonts w:hint="eastAsia" w:ascii="宋体" w:hAnsi="宋体" w:eastAsia="宋体" w:cs="宋体"/>
                <w:b/>
                <w:bCs/>
                <w:sz w:val="21"/>
                <w:szCs w:val="21"/>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pStyle w:val="37"/>
              <w:keepNext w:val="0"/>
              <w:keepLines w:val="0"/>
              <w:pageBreakBefore w:val="0"/>
              <w:widowControl w:val="0"/>
              <w:kinsoku/>
              <w:overflowPunct/>
              <w:topLinePunct w:val="0"/>
              <w:autoSpaceDE/>
              <w:autoSpaceDN/>
              <w:bidi w:val="0"/>
              <w:adjustRightInd/>
              <w:snapToGrid/>
              <w:spacing w:line="300" w:lineRule="exact"/>
              <w:ind w:left="0" w:firstLine="420"/>
              <w:rPr>
                <w:rFonts w:hint="eastAsia" w:ascii="宋体" w:hAnsi="宋体" w:eastAsia="宋体" w:cs="宋体"/>
                <w:sz w:val="21"/>
                <w:szCs w:val="21"/>
              </w:rPr>
            </w:pPr>
            <w:r>
              <w:rPr>
                <w:rFonts w:hint="eastAsia" w:ascii="宋体" w:hAnsi="宋体" w:eastAsia="宋体" w:cs="宋体"/>
                <w:sz w:val="21"/>
                <w:szCs w:val="21"/>
              </w:rPr>
              <w:t>综合评分法。在最大限度地满足采购文件实质性要求的前提下，按照采购文件中规定的各项因素进行综合评审，评标总得分排名前列的投标人，作为推荐的候选中标供应商。（适用于中标候选人为多家的情形）</w:t>
            </w:r>
          </w:p>
          <w:p>
            <w:pPr>
              <w:pStyle w:val="37"/>
              <w:keepNext w:val="0"/>
              <w:keepLines w:val="0"/>
              <w:pageBreakBefore w:val="0"/>
              <w:widowControl w:val="0"/>
              <w:kinsoku/>
              <w:overflowPunct/>
              <w:topLinePunct w:val="0"/>
              <w:autoSpaceDE/>
              <w:autoSpaceDN/>
              <w:bidi w:val="0"/>
              <w:adjustRightInd/>
              <w:snapToGrid/>
              <w:spacing w:line="300" w:lineRule="exact"/>
              <w:ind w:left="0" w:firstLine="420"/>
              <w:rPr>
                <w:rFonts w:hint="eastAsia" w:ascii="宋体" w:hAnsi="宋体" w:eastAsia="宋体" w:cs="宋体"/>
                <w:sz w:val="21"/>
                <w:szCs w:val="21"/>
              </w:rPr>
            </w:pPr>
            <w:r>
              <w:rPr>
                <w:rFonts w:hint="eastAsia" w:ascii="宋体" w:hAnsi="宋体" w:eastAsia="宋体" w:cs="宋体"/>
                <w:sz w:val="21"/>
                <w:szCs w:val="21"/>
              </w:rPr>
              <w:t>价格分计算方法：</w:t>
            </w:r>
          </w:p>
          <w:p>
            <w:pPr>
              <w:pStyle w:val="37"/>
              <w:keepNext w:val="0"/>
              <w:keepLines w:val="0"/>
              <w:pageBreakBefore w:val="0"/>
              <w:widowControl w:val="0"/>
              <w:kinsoku/>
              <w:overflowPunct/>
              <w:topLinePunct w:val="0"/>
              <w:autoSpaceDE/>
              <w:autoSpaceDN/>
              <w:bidi w:val="0"/>
              <w:adjustRightInd/>
              <w:snapToGrid/>
              <w:spacing w:line="300" w:lineRule="exact"/>
              <w:ind w:left="0"/>
              <w:rPr>
                <w:rFonts w:hint="eastAsia" w:ascii="宋体" w:hAnsi="宋体" w:eastAsia="宋体" w:cs="宋体"/>
                <w:sz w:val="21"/>
                <w:szCs w:val="21"/>
              </w:rPr>
            </w:pPr>
            <w:r>
              <w:rPr>
                <w:rFonts w:hint="eastAsia" w:ascii="宋体" w:hAnsi="宋体" w:eastAsia="宋体" w:cs="宋体"/>
                <w:sz w:val="21"/>
                <w:szCs w:val="21"/>
              </w:rPr>
              <w:t xml:space="preserve">采用低价优先法计算，即满足采购文件要求且投标价格最低的投标报价为评标基准价，其价格分为满分。其他投标人的价格分统一按照下列公式计算： </w:t>
            </w:r>
            <w:r>
              <w:rPr>
                <w:rFonts w:hint="eastAsia" w:ascii="宋体" w:hAnsi="宋体" w:eastAsia="宋体" w:cs="宋体"/>
                <w:sz w:val="21"/>
                <w:szCs w:val="21"/>
              </w:rPr>
              <w:br w:type="textWrapping"/>
            </w:r>
            <w:r>
              <w:rPr>
                <w:rFonts w:hint="eastAsia" w:ascii="宋体" w:hAnsi="宋体" w:eastAsia="宋体" w:cs="宋体"/>
                <w:sz w:val="21"/>
                <w:szCs w:val="21"/>
              </w:rPr>
              <w:t xml:space="preserve">投标报价得分=(评标基准价／投标报价)×100 </w:t>
            </w:r>
            <w:r>
              <w:rPr>
                <w:rFonts w:hint="eastAsia" w:ascii="宋体" w:hAnsi="宋体" w:eastAsia="宋体" w:cs="宋体"/>
                <w:sz w:val="21"/>
                <w:szCs w:val="21"/>
              </w:rPr>
              <w:br w:type="textWrapping"/>
            </w:r>
            <w:r>
              <w:rPr>
                <w:rFonts w:hint="eastAsia" w:ascii="宋体" w:hAnsi="宋体" w:eastAsia="宋体" w:cs="宋体"/>
                <w:sz w:val="21"/>
                <w:szCs w:val="21"/>
              </w:rPr>
              <w:t xml:space="preserve">评标总得分＝F1×A1＋F2×A2＋……＋Fn×An </w:t>
            </w:r>
            <w:r>
              <w:rPr>
                <w:rFonts w:hint="eastAsia" w:ascii="宋体" w:hAnsi="宋体" w:eastAsia="宋体" w:cs="宋体"/>
                <w:sz w:val="21"/>
                <w:szCs w:val="21"/>
              </w:rPr>
              <w:br w:type="textWrapping"/>
            </w:r>
            <w:r>
              <w:rPr>
                <w:rFonts w:hint="eastAsia" w:ascii="宋体" w:hAnsi="宋体" w:eastAsia="宋体" w:cs="宋体"/>
                <w:sz w:val="21"/>
                <w:szCs w:val="21"/>
              </w:rPr>
              <w:t xml:space="preserve">F1、F2……Fn分别为各项评审因素的得分； </w:t>
            </w:r>
            <w:r>
              <w:rPr>
                <w:rFonts w:hint="eastAsia" w:ascii="宋体" w:hAnsi="宋体" w:eastAsia="宋体" w:cs="宋体"/>
                <w:sz w:val="21"/>
                <w:szCs w:val="21"/>
              </w:rPr>
              <w:br w:type="textWrapping"/>
            </w:r>
            <w:r>
              <w:rPr>
                <w:rFonts w:hint="eastAsia" w:ascii="宋体" w:hAnsi="宋体" w:eastAsia="宋体" w:cs="宋体"/>
                <w:sz w:val="21"/>
                <w:szCs w:val="21"/>
              </w:rPr>
              <w:t xml:space="preserve">A1、A2、……An 分别为各项评审因素所占的权重(A1＋A2＋……＋An＝1)。 </w:t>
            </w:r>
            <w:r>
              <w:rPr>
                <w:rFonts w:hint="eastAsia" w:ascii="宋体" w:hAnsi="宋体" w:eastAsia="宋体" w:cs="宋体"/>
                <w:sz w:val="21"/>
                <w:szCs w:val="21"/>
              </w:rPr>
              <w:br w:type="textWrapping"/>
            </w:r>
            <w:r>
              <w:rPr>
                <w:rFonts w:hint="eastAsia" w:ascii="宋体" w:hAnsi="宋体" w:eastAsia="宋体" w:cs="宋体"/>
                <w:sz w:val="21"/>
                <w:szCs w:val="21"/>
              </w:rPr>
              <w:t>评标过程中，不得去掉报价中的最高报价和最低报价。</w:t>
            </w:r>
          </w:p>
          <w:p>
            <w:pPr>
              <w:pStyle w:val="37"/>
              <w:keepNext w:val="0"/>
              <w:keepLines w:val="0"/>
              <w:pageBreakBefore w:val="0"/>
              <w:widowControl w:val="0"/>
              <w:kinsoku/>
              <w:overflowPunct/>
              <w:topLinePunct w:val="0"/>
              <w:autoSpaceDE/>
              <w:autoSpaceDN/>
              <w:bidi w:val="0"/>
              <w:adjustRightInd/>
              <w:snapToGrid/>
              <w:spacing w:line="300" w:lineRule="exact"/>
              <w:ind w:left="0"/>
              <w:rPr>
                <w:rFonts w:hint="eastAsia" w:ascii="宋体" w:hAnsi="宋体" w:eastAsia="宋体" w:cs="宋体"/>
                <w:sz w:val="21"/>
                <w:szCs w:val="21"/>
              </w:rPr>
            </w:pPr>
            <w:r>
              <w:rPr>
                <w:rFonts w:hint="eastAsia" w:ascii="宋体" w:hAnsi="宋体" w:eastAsia="宋体" w:cs="宋体"/>
                <w:sz w:val="21"/>
                <w:szCs w:val="21"/>
              </w:rPr>
              <w:t>注：投标人的“</w:t>
            </w:r>
            <w:r>
              <w:rPr>
                <w:rFonts w:hint="eastAsia" w:ascii="宋体" w:hAnsi="宋体" w:eastAsia="宋体" w:cs="宋体"/>
                <w:color w:val="FF0000"/>
                <w:sz w:val="21"/>
                <w:szCs w:val="21"/>
              </w:rPr>
              <w:t>技术响应情况</w:t>
            </w:r>
            <w:r>
              <w:rPr>
                <w:rFonts w:hint="eastAsia" w:ascii="宋体" w:hAnsi="宋体" w:eastAsia="宋体" w:cs="宋体"/>
                <w:sz w:val="21"/>
                <w:szCs w:val="21"/>
              </w:rPr>
              <w:t>”“技术偏离情况”等必须与客观实际保持一致，响应不实且情节严重的，经查实，将依法记入供应商诚信档案或受到行政处罚。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544" w:type="dxa"/>
            <w:gridSpan w:val="3"/>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4824"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w:t>
            </w:r>
          </w:p>
        </w:tc>
        <w:tc>
          <w:tcPr>
            <w:tcW w:w="3544" w:type="dxa"/>
            <w:gridSpan w:val="3"/>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价格</w:t>
            </w:r>
          </w:p>
        </w:tc>
        <w:tc>
          <w:tcPr>
            <w:tcW w:w="4824" w:type="dxa"/>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00" w:lineRule="exact"/>
              <w:ind w:left="0"/>
              <w:rPr>
                <w:rFonts w:hint="eastAsia" w:ascii="宋体" w:hAnsi="宋体" w:eastAsia="宋体" w:cs="宋体"/>
                <w:b/>
                <w:bCs/>
                <w:color w:val="0000FF"/>
                <w:sz w:val="21"/>
                <w:szCs w:val="21"/>
              </w:rPr>
            </w:pPr>
          </w:p>
        </w:tc>
        <w:tc>
          <w:tcPr>
            <w:tcW w:w="8368" w:type="dxa"/>
            <w:gridSpan w:val="4"/>
          </w:tcPr>
          <w:p>
            <w:pPr>
              <w:keepNext w:val="0"/>
              <w:keepLines w:val="0"/>
              <w:pageBreakBefore w:val="0"/>
              <w:widowControl w:val="0"/>
              <w:kinsoku/>
              <w:wordWrap w:val="0"/>
              <w:overflowPunct/>
              <w:topLinePunct w:val="0"/>
              <w:autoSpaceDE/>
              <w:autoSpaceDN/>
              <w:bidi w:val="0"/>
              <w:adjustRightInd/>
              <w:snapToGrid/>
              <w:spacing w:line="300" w:lineRule="exact"/>
              <w:ind w:lef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2</w:t>
            </w:r>
          </w:p>
        </w:tc>
        <w:tc>
          <w:tcPr>
            <w:tcW w:w="3544" w:type="dxa"/>
            <w:gridSpan w:val="3"/>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技术部分</w:t>
            </w:r>
          </w:p>
        </w:tc>
        <w:tc>
          <w:tcPr>
            <w:tcW w:w="4824" w:type="dxa"/>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00" w:lineRule="exact"/>
              <w:ind w:left="0"/>
              <w:rPr>
                <w:rFonts w:hint="eastAsia" w:ascii="宋体" w:hAnsi="宋体" w:eastAsia="宋体" w:cs="宋体"/>
                <w:b/>
                <w:bCs/>
                <w:color w:val="0000FF"/>
                <w:sz w:val="21"/>
                <w:szCs w:val="21"/>
              </w:rPr>
            </w:pPr>
          </w:p>
        </w:tc>
        <w:tc>
          <w:tcPr>
            <w:tcW w:w="8368" w:type="dxa"/>
            <w:gridSpan w:val="4"/>
          </w:tcPr>
          <w:p>
            <w:pPr>
              <w:keepNext w:val="0"/>
              <w:keepLines w:val="0"/>
              <w:pageBreakBefore w:val="0"/>
              <w:widowControl w:val="0"/>
              <w:kinsoku/>
              <w:wordWrap w:val="0"/>
              <w:overflowPunct/>
              <w:topLinePunct w:val="0"/>
              <w:autoSpaceDE/>
              <w:autoSpaceDN/>
              <w:bidi w:val="0"/>
              <w:adjustRightInd/>
              <w:snapToGrid/>
              <w:spacing w:line="300" w:lineRule="exact"/>
              <w:ind w:lef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keepNext w:val="0"/>
              <w:keepLines w:val="0"/>
              <w:pageBreakBefore w:val="0"/>
              <w:widowControl w:val="0"/>
              <w:kinsoku/>
              <w:overflowPunct/>
              <w:topLinePunct w:val="0"/>
              <w:autoSpaceDE/>
              <w:autoSpaceDN/>
              <w:bidi w:val="0"/>
              <w:adjustRightInd/>
              <w:snapToGrid/>
              <w:spacing w:line="300" w:lineRule="exact"/>
              <w:ind w:left="0"/>
              <w:rPr>
                <w:rFonts w:hint="eastAsia" w:ascii="宋体" w:hAnsi="宋体" w:eastAsia="宋体" w:cs="宋体"/>
                <w:b/>
                <w:bCs/>
                <w:color w:val="0000FF"/>
                <w:sz w:val="21"/>
                <w:szCs w:val="21"/>
              </w:rPr>
            </w:pPr>
          </w:p>
        </w:tc>
        <w:tc>
          <w:tcPr>
            <w:tcW w:w="709"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701"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sz w:val="21"/>
                <w:szCs w:val="21"/>
              </w:rPr>
            </w:pPr>
            <w:r>
              <w:rPr>
                <w:rFonts w:hint="eastAsia" w:ascii="宋体" w:hAnsi="宋体" w:eastAsia="宋体" w:cs="宋体"/>
                <w:b/>
                <w:bCs/>
                <w:sz w:val="21"/>
                <w:szCs w:val="21"/>
              </w:rPr>
              <w:t>评审因素</w:t>
            </w:r>
          </w:p>
        </w:tc>
        <w:tc>
          <w:tcPr>
            <w:tcW w:w="1134"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sz w:val="21"/>
                <w:szCs w:val="21"/>
              </w:rPr>
            </w:pPr>
            <w:r>
              <w:rPr>
                <w:rFonts w:hint="eastAsia" w:ascii="宋体" w:hAnsi="宋体" w:eastAsia="宋体" w:cs="宋体"/>
                <w:b/>
                <w:bCs/>
                <w:sz w:val="21"/>
                <w:szCs w:val="21"/>
              </w:rPr>
              <w:t>权重(%)</w:t>
            </w:r>
          </w:p>
        </w:tc>
        <w:tc>
          <w:tcPr>
            <w:tcW w:w="4824"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sz w:val="21"/>
                <w:szCs w:val="21"/>
              </w:rPr>
            </w:pPr>
            <w:r>
              <w:rPr>
                <w:rFonts w:hint="eastAsia" w:ascii="宋体" w:hAnsi="宋体" w:eastAsia="宋体" w:cs="宋体"/>
                <w:b/>
                <w:bCs/>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00" w:lineRule="exact"/>
              <w:ind w:left="0"/>
              <w:rPr>
                <w:rFonts w:hint="eastAsia" w:ascii="宋体" w:hAnsi="宋体" w:eastAsia="宋体" w:cs="宋体"/>
                <w:b/>
                <w:bCs/>
                <w:color w:val="0000FF"/>
                <w:sz w:val="21"/>
                <w:szCs w:val="21"/>
              </w:rPr>
            </w:pPr>
          </w:p>
        </w:tc>
        <w:tc>
          <w:tcPr>
            <w:tcW w:w="709" w:type="dx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sz w:val="21"/>
                <w:szCs w:val="21"/>
              </w:rPr>
            </w:pPr>
            <w:r>
              <w:rPr>
                <w:rFonts w:hint="eastAsia" w:ascii="宋体" w:hAnsi="宋体" w:eastAsia="宋体" w:cs="宋体"/>
                <w:sz w:val="21"/>
                <w:szCs w:val="21"/>
              </w:rPr>
              <w:t>1</w:t>
            </w:r>
          </w:p>
        </w:tc>
        <w:tc>
          <w:tcPr>
            <w:tcW w:w="1701" w:type="dxa"/>
            <w:vAlign w:val="center"/>
          </w:tcPr>
          <w:p>
            <w:pPr>
              <w:keepNext w:val="0"/>
              <w:keepLines w:val="0"/>
              <w:pageBreakBefore w:val="0"/>
              <w:widowControl w:val="0"/>
              <w:kinsoku/>
              <w:overflowPunct/>
              <w:topLinePunct w:val="0"/>
              <w:autoSpaceDE/>
              <w:autoSpaceDN/>
              <w:bidi w:val="0"/>
              <w:adjustRightInd/>
              <w:snapToGrid/>
              <w:spacing w:line="300" w:lineRule="exact"/>
              <w:ind w:left="0"/>
              <w:jc w:val="center"/>
              <w:textAlignment w:val="top"/>
              <w:rPr>
                <w:rFonts w:hint="eastAsia" w:ascii="宋体" w:hAnsi="宋体" w:eastAsia="宋体" w:cs="宋体"/>
                <w:sz w:val="21"/>
                <w:szCs w:val="21"/>
              </w:rPr>
            </w:pPr>
            <w:r>
              <w:rPr>
                <w:rFonts w:hint="eastAsia" w:ascii="宋体" w:hAnsi="宋体" w:eastAsia="宋体" w:cs="宋体"/>
                <w:sz w:val="21"/>
                <w:szCs w:val="21"/>
              </w:rPr>
              <w:t>施工组织计划、施工技术、施工工艺及相关的合理化建议</w:t>
            </w:r>
          </w:p>
        </w:tc>
        <w:tc>
          <w:tcPr>
            <w:tcW w:w="1134" w:type="dxa"/>
            <w:vAlign w:val="center"/>
          </w:tcPr>
          <w:p>
            <w:pPr>
              <w:keepNext w:val="0"/>
              <w:keepLines w:val="0"/>
              <w:pageBreakBefore w:val="0"/>
              <w:widowControl w:val="0"/>
              <w:kinsoku/>
              <w:overflowPunct/>
              <w:topLinePunct w:val="0"/>
              <w:autoSpaceDE/>
              <w:autoSpaceDN/>
              <w:bidi w:val="0"/>
              <w:adjustRightInd/>
              <w:snapToGrid/>
              <w:spacing w:line="300" w:lineRule="exact"/>
              <w:ind w:left="0"/>
              <w:jc w:val="center"/>
              <w:textAlignment w:val="top"/>
              <w:rPr>
                <w:rFonts w:hint="eastAsia" w:ascii="宋体" w:hAnsi="宋体" w:eastAsia="宋体" w:cs="宋体"/>
                <w:sz w:val="21"/>
                <w:szCs w:val="21"/>
              </w:rPr>
            </w:pPr>
            <w:r>
              <w:rPr>
                <w:rFonts w:hint="eastAsia" w:ascii="宋体" w:hAnsi="宋体" w:eastAsia="宋体" w:cs="宋体"/>
                <w:sz w:val="21"/>
                <w:szCs w:val="21"/>
              </w:rPr>
              <w:t>10</w:t>
            </w:r>
          </w:p>
        </w:tc>
        <w:tc>
          <w:tcPr>
            <w:tcW w:w="4824" w:type="dxa"/>
          </w:tcPr>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（一）评审内容：</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投标文件中对项目的：</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1.进度计划；</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2.施工安排；</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3.主要劳动力配置；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满足以上3个内容的得60分；满足以上2个内容的得40分；满足以上1个内容的得20分。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（二）在此基础上，按照下列要求进行加分：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1.有具体的时间节点和步骤；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2.有具体的人员安排及明确的分工；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3.对工艺上提出有针对性的建议。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每满足一点内容加15分，最多加40分。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00" w:lineRule="exact"/>
              <w:ind w:left="0"/>
              <w:rPr>
                <w:rFonts w:hint="eastAsia" w:ascii="宋体" w:hAnsi="宋体" w:eastAsia="宋体" w:cs="宋体"/>
                <w:b/>
                <w:bCs/>
                <w:color w:val="0000FF"/>
                <w:sz w:val="21"/>
                <w:szCs w:val="21"/>
              </w:rPr>
            </w:pPr>
          </w:p>
        </w:tc>
        <w:tc>
          <w:tcPr>
            <w:tcW w:w="709" w:type="dx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sz w:val="21"/>
                <w:szCs w:val="21"/>
              </w:rPr>
            </w:pPr>
            <w:r>
              <w:rPr>
                <w:rFonts w:hint="eastAsia" w:ascii="宋体" w:hAnsi="宋体" w:eastAsia="宋体" w:cs="宋体"/>
                <w:sz w:val="21"/>
                <w:szCs w:val="21"/>
              </w:rPr>
              <w:t>2</w:t>
            </w:r>
          </w:p>
        </w:tc>
        <w:tc>
          <w:tcPr>
            <w:tcW w:w="1701" w:type="dxa"/>
            <w:vAlign w:val="center"/>
          </w:tcPr>
          <w:p>
            <w:pPr>
              <w:keepNext w:val="0"/>
              <w:keepLines w:val="0"/>
              <w:pageBreakBefore w:val="0"/>
              <w:widowControl w:val="0"/>
              <w:kinsoku/>
              <w:overflowPunct/>
              <w:topLinePunct w:val="0"/>
              <w:autoSpaceDE/>
              <w:autoSpaceDN/>
              <w:bidi w:val="0"/>
              <w:adjustRightInd/>
              <w:snapToGrid/>
              <w:spacing w:line="300" w:lineRule="exact"/>
              <w:ind w:left="0"/>
              <w:jc w:val="center"/>
              <w:textAlignment w:val="top"/>
              <w:rPr>
                <w:rFonts w:hint="eastAsia" w:ascii="宋体" w:hAnsi="宋体" w:eastAsia="宋体" w:cs="宋体"/>
                <w:sz w:val="21"/>
                <w:szCs w:val="21"/>
              </w:rPr>
            </w:pPr>
            <w:r>
              <w:rPr>
                <w:rFonts w:hint="eastAsia" w:ascii="宋体" w:hAnsi="宋体" w:eastAsia="宋体" w:cs="宋体"/>
                <w:sz w:val="21"/>
                <w:szCs w:val="21"/>
              </w:rPr>
              <w:t>项目实施关键施工技术（重点难点）分析及解决方案</w:t>
            </w:r>
          </w:p>
        </w:tc>
        <w:tc>
          <w:tcPr>
            <w:tcW w:w="1134" w:type="dxa"/>
            <w:vAlign w:val="center"/>
          </w:tcPr>
          <w:p>
            <w:pPr>
              <w:keepNext w:val="0"/>
              <w:keepLines w:val="0"/>
              <w:pageBreakBefore w:val="0"/>
              <w:widowControl w:val="0"/>
              <w:kinsoku/>
              <w:overflowPunct/>
              <w:topLinePunct w:val="0"/>
              <w:autoSpaceDE/>
              <w:autoSpaceDN/>
              <w:bidi w:val="0"/>
              <w:adjustRightInd/>
              <w:snapToGrid/>
              <w:spacing w:line="300" w:lineRule="exact"/>
              <w:ind w:left="0"/>
              <w:jc w:val="center"/>
              <w:textAlignment w:val="top"/>
              <w:rPr>
                <w:rFonts w:hint="eastAsia" w:ascii="宋体" w:hAnsi="宋体" w:eastAsia="宋体" w:cs="宋体"/>
                <w:sz w:val="21"/>
                <w:szCs w:val="21"/>
              </w:rPr>
            </w:pPr>
            <w:r>
              <w:rPr>
                <w:rFonts w:hint="eastAsia" w:ascii="宋体" w:hAnsi="宋体" w:eastAsia="宋体" w:cs="宋体"/>
                <w:sz w:val="21"/>
                <w:szCs w:val="21"/>
              </w:rPr>
              <w:t>10</w:t>
            </w:r>
          </w:p>
        </w:tc>
        <w:tc>
          <w:tcPr>
            <w:tcW w:w="4824" w:type="dxa"/>
          </w:tcPr>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（一）评审内容：</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投标文件中对项目的：</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1.项目总体安排与资源配置、质量控制；</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2.各项费用控制，各类经济技术指标、估算，资料齐全程度；</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3.项目实施重点、难点和解决方案及进度保证措施；</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满足以上3个内容的得60分；满足以上2个内容的得40分；包含以上1个内容的得20分。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（二）在此基础上，按照下列要求进行加分：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1.从前瞻性、系统性等角度研判重难点；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2.从可实施、可操作的角度提出应对措施；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3.多角度、有针对性的提出操作和指引。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每满足一点内容加15分，最多加40分。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00" w:lineRule="exact"/>
              <w:ind w:left="0"/>
              <w:rPr>
                <w:rFonts w:hint="eastAsia" w:ascii="宋体" w:hAnsi="宋体" w:eastAsia="宋体" w:cs="宋体"/>
                <w:b/>
                <w:bCs/>
                <w:color w:val="0000FF"/>
                <w:sz w:val="21"/>
                <w:szCs w:val="21"/>
              </w:rPr>
            </w:pPr>
          </w:p>
        </w:tc>
        <w:tc>
          <w:tcPr>
            <w:tcW w:w="709" w:type="dx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sz w:val="21"/>
                <w:szCs w:val="21"/>
              </w:rPr>
            </w:pPr>
            <w:r>
              <w:rPr>
                <w:rFonts w:hint="eastAsia" w:ascii="宋体" w:hAnsi="宋体" w:eastAsia="宋体" w:cs="宋体"/>
                <w:sz w:val="21"/>
                <w:szCs w:val="21"/>
              </w:rPr>
              <w:t>3</w:t>
            </w:r>
          </w:p>
        </w:tc>
        <w:tc>
          <w:tcPr>
            <w:tcW w:w="1701" w:type="dxa"/>
            <w:vAlign w:val="center"/>
          </w:tcPr>
          <w:p>
            <w:pPr>
              <w:keepNext w:val="0"/>
              <w:keepLines w:val="0"/>
              <w:pageBreakBefore w:val="0"/>
              <w:widowControl w:val="0"/>
              <w:kinsoku/>
              <w:overflowPunct/>
              <w:topLinePunct w:val="0"/>
              <w:autoSpaceDE/>
              <w:autoSpaceDN/>
              <w:bidi w:val="0"/>
              <w:adjustRightInd/>
              <w:snapToGrid/>
              <w:spacing w:line="300" w:lineRule="exact"/>
              <w:ind w:left="0"/>
              <w:jc w:val="center"/>
              <w:textAlignment w:val="top"/>
              <w:rPr>
                <w:rFonts w:hint="eastAsia" w:ascii="宋体" w:hAnsi="宋体" w:eastAsia="宋体" w:cs="宋体"/>
                <w:sz w:val="21"/>
                <w:szCs w:val="21"/>
              </w:rPr>
            </w:pPr>
            <w:r>
              <w:rPr>
                <w:rFonts w:hint="eastAsia" w:ascii="宋体" w:hAnsi="宋体" w:eastAsia="宋体" w:cs="宋体"/>
                <w:sz w:val="21"/>
                <w:szCs w:val="21"/>
              </w:rPr>
              <w:t>拟采用设备（材料）的性能（节能环保情况）、档次及质量可靠性</w:t>
            </w:r>
          </w:p>
        </w:tc>
        <w:tc>
          <w:tcPr>
            <w:tcW w:w="1134" w:type="dxa"/>
            <w:vAlign w:val="center"/>
          </w:tcPr>
          <w:p>
            <w:pPr>
              <w:keepNext w:val="0"/>
              <w:keepLines w:val="0"/>
              <w:pageBreakBefore w:val="0"/>
              <w:widowControl w:val="0"/>
              <w:kinsoku/>
              <w:overflowPunct/>
              <w:topLinePunct w:val="0"/>
              <w:autoSpaceDE/>
              <w:autoSpaceDN/>
              <w:bidi w:val="0"/>
              <w:adjustRightInd/>
              <w:snapToGrid/>
              <w:spacing w:line="300" w:lineRule="exact"/>
              <w:ind w:left="0"/>
              <w:jc w:val="center"/>
              <w:textAlignment w:val="top"/>
              <w:rPr>
                <w:rFonts w:hint="eastAsia" w:ascii="宋体" w:hAnsi="宋体" w:eastAsia="宋体" w:cs="宋体"/>
                <w:sz w:val="21"/>
                <w:szCs w:val="21"/>
              </w:rPr>
            </w:pPr>
            <w:r>
              <w:rPr>
                <w:rFonts w:hint="eastAsia" w:ascii="宋体" w:hAnsi="宋体" w:eastAsia="宋体" w:cs="宋体"/>
                <w:sz w:val="21"/>
                <w:szCs w:val="21"/>
              </w:rPr>
              <w:t>8</w:t>
            </w:r>
          </w:p>
        </w:tc>
        <w:tc>
          <w:tcPr>
            <w:tcW w:w="4824" w:type="dxa"/>
          </w:tcPr>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（一）评审内容：</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投标文件中对项目的：</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1.机械设备；</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2.材料质量等级；</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3.投入的计划和保证措施情况。</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满足以上3个内容的得60分；满足以上2个内容的得40分；满足以上1个内容的得20分。</w:t>
            </w:r>
            <w:r>
              <w:rPr>
                <w:rFonts w:hint="eastAsia" w:ascii="宋体" w:hAnsi="宋体" w:eastAsia="宋体" w:cs="宋体"/>
                <w:i/>
                <w:iCs/>
                <w:sz w:val="21"/>
                <w:szCs w:val="21"/>
              </w:rPr>
              <w:t xml:space="preserve">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（二）在此基础上，按照下列要求进行加分：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1.拟投入的设备计划中设备性能强；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2.拟投入的材料质量有保证，档次及质量可靠性高；</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3.拟投入的材料符合节能环保相关要求。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每满足一点内容加15分，最多加40分。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00" w:lineRule="exact"/>
              <w:ind w:left="0"/>
              <w:rPr>
                <w:rFonts w:hint="eastAsia" w:ascii="宋体" w:hAnsi="宋体" w:eastAsia="宋体" w:cs="宋体"/>
                <w:b/>
                <w:bCs/>
                <w:color w:val="0000FF"/>
                <w:sz w:val="21"/>
                <w:szCs w:val="21"/>
              </w:rPr>
            </w:pPr>
          </w:p>
        </w:tc>
        <w:tc>
          <w:tcPr>
            <w:tcW w:w="709" w:type="dx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sz w:val="21"/>
                <w:szCs w:val="21"/>
              </w:rPr>
            </w:pPr>
            <w:r>
              <w:rPr>
                <w:rFonts w:hint="eastAsia" w:ascii="宋体" w:hAnsi="宋体" w:eastAsia="宋体" w:cs="宋体"/>
                <w:sz w:val="21"/>
                <w:szCs w:val="21"/>
              </w:rPr>
              <w:t>4</w:t>
            </w:r>
          </w:p>
        </w:tc>
        <w:tc>
          <w:tcPr>
            <w:tcW w:w="1701" w:type="dxa"/>
            <w:vAlign w:val="center"/>
          </w:tcPr>
          <w:p>
            <w:pPr>
              <w:keepNext w:val="0"/>
              <w:keepLines w:val="0"/>
              <w:pageBreakBefore w:val="0"/>
              <w:widowControl w:val="0"/>
              <w:kinsoku/>
              <w:overflowPunct/>
              <w:topLinePunct w:val="0"/>
              <w:autoSpaceDE/>
              <w:autoSpaceDN/>
              <w:bidi w:val="0"/>
              <w:adjustRightInd/>
              <w:snapToGrid/>
              <w:spacing w:line="300" w:lineRule="exact"/>
              <w:ind w:left="0"/>
              <w:jc w:val="center"/>
              <w:textAlignment w:val="top"/>
              <w:rPr>
                <w:rFonts w:hint="eastAsia" w:ascii="宋体" w:hAnsi="宋体" w:eastAsia="宋体" w:cs="宋体"/>
                <w:sz w:val="21"/>
                <w:szCs w:val="21"/>
              </w:rPr>
            </w:pPr>
            <w:r>
              <w:rPr>
                <w:rFonts w:hint="eastAsia" w:ascii="宋体" w:hAnsi="宋体" w:eastAsia="宋体" w:cs="宋体"/>
                <w:sz w:val="21"/>
                <w:szCs w:val="21"/>
              </w:rPr>
              <w:t>施工质量（安全、环保、售后服务）保障措施及相关的违约承诺</w:t>
            </w:r>
          </w:p>
        </w:tc>
        <w:tc>
          <w:tcPr>
            <w:tcW w:w="1134" w:type="dxa"/>
            <w:vAlign w:val="center"/>
          </w:tcPr>
          <w:p>
            <w:pPr>
              <w:keepNext w:val="0"/>
              <w:keepLines w:val="0"/>
              <w:pageBreakBefore w:val="0"/>
              <w:widowControl w:val="0"/>
              <w:kinsoku/>
              <w:overflowPunct/>
              <w:topLinePunct w:val="0"/>
              <w:autoSpaceDE/>
              <w:autoSpaceDN/>
              <w:bidi w:val="0"/>
              <w:adjustRightInd/>
              <w:snapToGrid/>
              <w:spacing w:line="300" w:lineRule="exact"/>
              <w:ind w:left="0"/>
              <w:jc w:val="center"/>
              <w:textAlignment w:val="top"/>
              <w:rPr>
                <w:rFonts w:hint="eastAsia" w:ascii="宋体" w:hAnsi="宋体" w:eastAsia="宋体" w:cs="宋体"/>
                <w:sz w:val="21"/>
                <w:szCs w:val="21"/>
              </w:rPr>
            </w:pPr>
            <w:r>
              <w:rPr>
                <w:rFonts w:hint="eastAsia" w:ascii="宋体" w:hAnsi="宋体" w:eastAsia="宋体" w:cs="宋体"/>
                <w:sz w:val="21"/>
                <w:szCs w:val="21"/>
              </w:rPr>
              <w:t>10</w:t>
            </w:r>
          </w:p>
        </w:tc>
        <w:tc>
          <w:tcPr>
            <w:tcW w:w="4824" w:type="dxa"/>
          </w:tcPr>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（一）评审内容：</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投标文件中对项目的：</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1.质量承诺；</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2.安全保证措施；</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3.环保目标；</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4.售后服务承诺情况；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满足以上4个内容的得60分；满足以上3个内容的得50分；满足以上2个内容的得40分；满足以上1个内容的得20分。</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（二）在此基础上，按照下列要求进行加分：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1.质量承诺标准高；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2.安全保证措施科学完善；</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3.环保目标明确精准；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.售后服务承诺可操作性强。</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每满足一点内容加10分，最多加40分。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00" w:lineRule="exact"/>
              <w:ind w:left="0"/>
              <w:rPr>
                <w:rFonts w:hint="eastAsia" w:ascii="宋体" w:hAnsi="宋体" w:eastAsia="宋体" w:cs="宋体"/>
                <w:b/>
                <w:bCs/>
                <w:color w:val="0000FF"/>
                <w:sz w:val="21"/>
                <w:szCs w:val="21"/>
              </w:rPr>
            </w:pPr>
          </w:p>
        </w:tc>
        <w:tc>
          <w:tcPr>
            <w:tcW w:w="709" w:type="dx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sz w:val="21"/>
                <w:szCs w:val="21"/>
              </w:rPr>
            </w:pPr>
            <w:r>
              <w:rPr>
                <w:rFonts w:hint="eastAsia" w:ascii="宋体" w:hAnsi="宋体" w:eastAsia="宋体" w:cs="宋体"/>
                <w:sz w:val="21"/>
                <w:szCs w:val="21"/>
              </w:rPr>
              <w:t>5</w:t>
            </w:r>
          </w:p>
        </w:tc>
        <w:tc>
          <w:tcPr>
            <w:tcW w:w="1701" w:type="dxa"/>
            <w:vAlign w:val="center"/>
          </w:tcPr>
          <w:p>
            <w:pPr>
              <w:keepNext w:val="0"/>
              <w:keepLines w:val="0"/>
              <w:pageBreakBefore w:val="0"/>
              <w:widowControl w:val="0"/>
              <w:kinsoku/>
              <w:overflowPunct/>
              <w:topLinePunct w:val="0"/>
              <w:autoSpaceDE/>
              <w:autoSpaceDN/>
              <w:bidi w:val="0"/>
              <w:adjustRightInd/>
              <w:snapToGrid/>
              <w:spacing w:line="300" w:lineRule="exact"/>
              <w:ind w:left="0"/>
              <w:jc w:val="center"/>
              <w:textAlignment w:val="top"/>
              <w:rPr>
                <w:rFonts w:hint="eastAsia" w:ascii="宋体" w:hAnsi="宋体" w:eastAsia="宋体" w:cs="宋体"/>
                <w:sz w:val="21"/>
                <w:szCs w:val="21"/>
              </w:rPr>
            </w:pPr>
            <w:r>
              <w:rPr>
                <w:rFonts w:hint="eastAsia" w:ascii="宋体" w:hAnsi="宋体" w:eastAsia="宋体" w:cs="宋体"/>
                <w:sz w:val="21"/>
                <w:szCs w:val="21"/>
              </w:rPr>
              <w:t>拟安排的项目负责人情况（仅限一人）</w:t>
            </w:r>
          </w:p>
        </w:tc>
        <w:tc>
          <w:tcPr>
            <w:tcW w:w="1134" w:type="dxa"/>
            <w:vAlign w:val="center"/>
          </w:tcPr>
          <w:p>
            <w:pPr>
              <w:keepNext w:val="0"/>
              <w:keepLines w:val="0"/>
              <w:pageBreakBefore w:val="0"/>
              <w:widowControl w:val="0"/>
              <w:kinsoku/>
              <w:overflowPunct/>
              <w:topLinePunct w:val="0"/>
              <w:autoSpaceDE/>
              <w:autoSpaceDN/>
              <w:bidi w:val="0"/>
              <w:adjustRightInd/>
              <w:snapToGrid/>
              <w:spacing w:line="300" w:lineRule="exact"/>
              <w:ind w:left="0"/>
              <w:jc w:val="center"/>
              <w:textAlignment w:val="top"/>
              <w:rPr>
                <w:rFonts w:hint="eastAsia" w:ascii="宋体" w:hAnsi="宋体" w:eastAsia="宋体" w:cs="宋体"/>
                <w:sz w:val="21"/>
                <w:szCs w:val="21"/>
              </w:rPr>
            </w:pPr>
            <w:r>
              <w:rPr>
                <w:rFonts w:hint="eastAsia" w:ascii="宋体" w:hAnsi="宋体" w:eastAsia="宋体" w:cs="宋体"/>
                <w:sz w:val="21"/>
                <w:szCs w:val="21"/>
              </w:rPr>
              <w:t>3</w:t>
            </w:r>
          </w:p>
        </w:tc>
        <w:tc>
          <w:tcPr>
            <w:tcW w:w="4824" w:type="dxa"/>
          </w:tcPr>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（一）评分内容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lang w:val="en-US" w:eastAsia="zh-CN"/>
              </w:rPr>
            </w:pPr>
            <w:r>
              <w:rPr>
                <w:rFonts w:hint="eastAsia" w:ascii="宋体" w:hAnsi="宋体" w:eastAsia="宋体" w:cs="宋体"/>
                <w:sz w:val="21"/>
                <w:szCs w:val="21"/>
              </w:rPr>
              <w:t>1、项目负责人具有建筑相关专业副高级或以上职称，得60分</w:t>
            </w:r>
            <w:r>
              <w:rPr>
                <w:rFonts w:hint="eastAsia" w:ascii="宋体" w:hAnsi="宋体" w:eastAsia="宋体" w:cs="宋体"/>
                <w:sz w:val="21"/>
                <w:szCs w:val="21"/>
                <w:lang w:eastAsia="zh-CN"/>
              </w:rPr>
              <w:t>；</w:t>
            </w:r>
            <w:r>
              <w:rPr>
                <w:rFonts w:hint="eastAsia" w:ascii="宋体" w:hAnsi="宋体" w:eastAsia="宋体" w:cs="宋体"/>
                <w:sz w:val="21"/>
                <w:szCs w:val="21"/>
              </w:rPr>
              <w:t>项目负责人具有建筑相关专业中级职称，得40分。</w:t>
            </w:r>
            <w:r>
              <w:rPr>
                <w:rFonts w:hint="eastAsia" w:ascii="宋体" w:hAnsi="宋体" w:eastAsia="宋体" w:cs="宋体"/>
                <w:sz w:val="21"/>
                <w:szCs w:val="21"/>
                <w:lang w:val="en-US" w:eastAsia="zh-CN"/>
              </w:rPr>
              <w:t>本小项最高得60分；</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、项目负责人2022年1月1日至投标截止前（以合同签订时间为准）有承接过改造工程同类业绩经验的，每个项目得20分，累计不超过40分。</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（二）评分依据</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1.要求提供通过投标人缴纳的</w:t>
            </w:r>
            <w:r>
              <w:rPr>
                <w:rFonts w:hint="eastAsia" w:ascii="宋体" w:hAnsi="宋体" w:eastAsia="宋体" w:cs="宋体"/>
                <w:sz w:val="21"/>
                <w:szCs w:val="21"/>
                <w:lang w:val="en-US" w:eastAsia="zh-CN"/>
              </w:rPr>
              <w:t>月份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2025年1月-3月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中</w:t>
            </w:r>
            <w:r>
              <w:rPr>
                <w:rFonts w:hint="eastAsia" w:ascii="宋体" w:hAnsi="宋体" w:eastAsia="宋体" w:cs="宋体"/>
                <w:sz w:val="21"/>
                <w:szCs w:val="21"/>
              </w:rPr>
              <w:t>任意一月的社保证明作为证明依据，如投标人为新成立企业且成立时间不足一个月可提供加盖公章的情况说明或者证明材料亦视为符合（若为退休返聘人员，提供退休证明和返聘协议）。</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2.需提供项目负责人的相关证书扫描件。</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涉及人员</w:t>
            </w:r>
            <w:r>
              <w:rPr>
                <w:rFonts w:hint="eastAsia" w:ascii="宋体" w:hAnsi="宋体" w:eastAsia="宋体" w:cs="宋体"/>
                <w:sz w:val="21"/>
                <w:szCs w:val="21"/>
              </w:rPr>
              <w:t>经验要求提供项目合同关键信息页（含签订合同双方的单位名称、合同项目名称、含签订合同双方的落款盖章、签订日期的关键页）作为得分依据，通过合同关键信息无法判断是否得分的，还需同时提供投标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00" w:lineRule="exact"/>
              <w:ind w:left="0"/>
              <w:rPr>
                <w:rFonts w:hint="eastAsia" w:ascii="宋体" w:hAnsi="宋体" w:eastAsia="宋体" w:cs="宋体"/>
                <w:b/>
                <w:bCs/>
                <w:color w:val="0000FF"/>
                <w:sz w:val="21"/>
                <w:szCs w:val="21"/>
              </w:rPr>
            </w:pPr>
          </w:p>
        </w:tc>
        <w:tc>
          <w:tcPr>
            <w:tcW w:w="709" w:type="dx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sz w:val="21"/>
                <w:szCs w:val="21"/>
              </w:rPr>
            </w:pPr>
            <w:r>
              <w:rPr>
                <w:rFonts w:hint="eastAsia" w:ascii="宋体" w:hAnsi="宋体" w:eastAsia="宋体" w:cs="宋体"/>
                <w:sz w:val="21"/>
                <w:szCs w:val="21"/>
              </w:rPr>
              <w:t>6</w:t>
            </w:r>
          </w:p>
        </w:tc>
        <w:tc>
          <w:tcPr>
            <w:tcW w:w="1701" w:type="dxa"/>
            <w:vAlign w:val="center"/>
          </w:tcPr>
          <w:p>
            <w:pPr>
              <w:keepNext w:val="0"/>
              <w:keepLines w:val="0"/>
              <w:pageBreakBefore w:val="0"/>
              <w:widowControl w:val="0"/>
              <w:kinsoku/>
              <w:overflowPunct/>
              <w:topLinePunct w:val="0"/>
              <w:autoSpaceDE/>
              <w:autoSpaceDN/>
              <w:bidi w:val="0"/>
              <w:adjustRightInd/>
              <w:snapToGrid/>
              <w:spacing w:line="300" w:lineRule="exact"/>
              <w:ind w:left="0"/>
              <w:jc w:val="center"/>
              <w:textAlignment w:val="top"/>
              <w:rPr>
                <w:rFonts w:hint="eastAsia" w:ascii="宋体" w:hAnsi="宋体" w:eastAsia="宋体" w:cs="宋体"/>
                <w:sz w:val="21"/>
                <w:szCs w:val="21"/>
              </w:rPr>
            </w:pPr>
            <w:r>
              <w:rPr>
                <w:rFonts w:hint="eastAsia" w:ascii="宋体" w:hAnsi="宋体" w:eastAsia="宋体" w:cs="宋体"/>
                <w:sz w:val="21"/>
                <w:szCs w:val="21"/>
              </w:rPr>
              <w:t>拟安排的项目主要团队成员（主要技术人员）情况（项目负责人除外）</w:t>
            </w:r>
          </w:p>
        </w:tc>
        <w:tc>
          <w:tcPr>
            <w:tcW w:w="1134" w:type="dxa"/>
            <w:vAlign w:val="center"/>
          </w:tcPr>
          <w:p>
            <w:pPr>
              <w:keepNext w:val="0"/>
              <w:keepLines w:val="0"/>
              <w:pageBreakBefore w:val="0"/>
              <w:widowControl w:val="0"/>
              <w:kinsoku/>
              <w:overflowPunct/>
              <w:topLinePunct w:val="0"/>
              <w:autoSpaceDE/>
              <w:autoSpaceDN/>
              <w:bidi w:val="0"/>
              <w:adjustRightInd/>
              <w:snapToGrid/>
              <w:spacing w:line="300" w:lineRule="exact"/>
              <w:ind w:left="0"/>
              <w:jc w:val="center"/>
              <w:textAlignment w:val="top"/>
              <w:rPr>
                <w:rFonts w:hint="eastAsia" w:ascii="宋体" w:hAnsi="宋体" w:eastAsia="宋体" w:cs="宋体"/>
                <w:sz w:val="21"/>
                <w:szCs w:val="21"/>
              </w:rPr>
            </w:pPr>
            <w:r>
              <w:rPr>
                <w:rFonts w:hint="eastAsia" w:ascii="宋体" w:hAnsi="宋体" w:eastAsia="宋体" w:cs="宋体"/>
                <w:sz w:val="21"/>
                <w:szCs w:val="21"/>
              </w:rPr>
              <w:t>2</w:t>
            </w:r>
          </w:p>
        </w:tc>
        <w:tc>
          <w:tcPr>
            <w:tcW w:w="4824" w:type="dxa"/>
          </w:tcPr>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（一）评分内容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1、具有建筑相关专业中级或以上工程师职称的，每提供1人得20分，最高60分。</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2、项目组成员具有2022年1月1日至投标截止前（以合同签订时间为准）有承接过改造工程同类业绩经验的，每名得20分，最高40分。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（二）评分依据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1.要求提供通过投标人缴纳的</w:t>
            </w:r>
            <w:r>
              <w:rPr>
                <w:rFonts w:hint="eastAsia" w:ascii="宋体" w:hAnsi="宋体" w:eastAsia="宋体" w:cs="宋体"/>
                <w:sz w:val="21"/>
                <w:szCs w:val="21"/>
                <w:lang w:val="en-US" w:eastAsia="zh-CN"/>
              </w:rPr>
              <w:t>月份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2025年1月-3月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中</w:t>
            </w:r>
            <w:r>
              <w:rPr>
                <w:rFonts w:hint="eastAsia" w:ascii="宋体" w:hAnsi="宋体" w:eastAsia="宋体" w:cs="宋体"/>
                <w:sz w:val="21"/>
                <w:szCs w:val="21"/>
              </w:rPr>
              <w:t>任意一月的社保证明作为证明依据，如投标人为新成立企业且成立时间不足一个月可提供加盖公章的情况说明或者证明材料亦视为符合（若为退休返聘人员，提供退休证明和返聘协议）。</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2.以上人员均需提供相关职称证书的扫描件。</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3.同类项目经验要求提供项目合同关键信息页（含签订合同双方的单位名称、合同项目名称、含签订合同双方的落款盖章、签订日期的关键页）作为得分依据，通过合同关键信息无法判断是否得分的，还需同时提供投标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3</w:t>
            </w:r>
          </w:p>
        </w:tc>
        <w:tc>
          <w:tcPr>
            <w:tcW w:w="3544" w:type="dxa"/>
            <w:gridSpan w:val="3"/>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综合实力部分</w:t>
            </w:r>
          </w:p>
        </w:tc>
        <w:tc>
          <w:tcPr>
            <w:tcW w:w="4824" w:type="dxa"/>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00" w:lineRule="exact"/>
              <w:ind w:left="0"/>
              <w:rPr>
                <w:rFonts w:hint="eastAsia" w:ascii="宋体" w:hAnsi="宋体" w:eastAsia="宋体" w:cs="宋体"/>
                <w:b/>
                <w:bCs/>
                <w:color w:val="0000FF"/>
                <w:sz w:val="21"/>
                <w:szCs w:val="21"/>
              </w:rPr>
            </w:pPr>
          </w:p>
        </w:tc>
        <w:tc>
          <w:tcPr>
            <w:tcW w:w="8368" w:type="dxa"/>
            <w:gridSpan w:val="4"/>
          </w:tcPr>
          <w:p>
            <w:pPr>
              <w:keepNext w:val="0"/>
              <w:keepLines w:val="0"/>
              <w:pageBreakBefore w:val="0"/>
              <w:widowControl w:val="0"/>
              <w:kinsoku/>
              <w:wordWrap w:val="0"/>
              <w:overflowPunct/>
              <w:topLinePunct w:val="0"/>
              <w:autoSpaceDE/>
              <w:autoSpaceDN/>
              <w:bidi w:val="0"/>
              <w:adjustRightInd/>
              <w:snapToGrid/>
              <w:spacing w:line="300" w:lineRule="exact"/>
              <w:ind w:lef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keepNext w:val="0"/>
              <w:keepLines w:val="0"/>
              <w:pageBreakBefore w:val="0"/>
              <w:widowControl w:val="0"/>
              <w:kinsoku/>
              <w:overflowPunct/>
              <w:topLinePunct w:val="0"/>
              <w:autoSpaceDE/>
              <w:autoSpaceDN/>
              <w:bidi w:val="0"/>
              <w:adjustRightInd/>
              <w:snapToGrid/>
              <w:spacing w:line="300" w:lineRule="exact"/>
              <w:ind w:left="0"/>
              <w:rPr>
                <w:rFonts w:hint="eastAsia" w:ascii="宋体" w:hAnsi="宋体" w:eastAsia="宋体" w:cs="宋体"/>
                <w:b/>
                <w:bCs/>
                <w:color w:val="0000FF"/>
                <w:sz w:val="21"/>
                <w:szCs w:val="21"/>
              </w:rPr>
            </w:pPr>
          </w:p>
        </w:tc>
        <w:tc>
          <w:tcPr>
            <w:tcW w:w="709"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701"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sz w:val="21"/>
                <w:szCs w:val="21"/>
              </w:rPr>
            </w:pPr>
            <w:r>
              <w:rPr>
                <w:rFonts w:hint="eastAsia" w:ascii="宋体" w:hAnsi="宋体" w:eastAsia="宋体" w:cs="宋体"/>
                <w:b/>
                <w:bCs/>
                <w:sz w:val="21"/>
                <w:szCs w:val="21"/>
              </w:rPr>
              <w:t>评审因素</w:t>
            </w:r>
          </w:p>
        </w:tc>
        <w:tc>
          <w:tcPr>
            <w:tcW w:w="1134"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sz w:val="21"/>
                <w:szCs w:val="21"/>
              </w:rPr>
            </w:pPr>
            <w:r>
              <w:rPr>
                <w:rFonts w:hint="eastAsia" w:ascii="宋体" w:hAnsi="宋体" w:eastAsia="宋体" w:cs="宋体"/>
                <w:b/>
                <w:bCs/>
                <w:sz w:val="21"/>
                <w:szCs w:val="21"/>
              </w:rPr>
              <w:t>权重(%)</w:t>
            </w:r>
          </w:p>
        </w:tc>
        <w:tc>
          <w:tcPr>
            <w:tcW w:w="4824"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sz w:val="21"/>
                <w:szCs w:val="21"/>
              </w:rPr>
            </w:pPr>
            <w:r>
              <w:rPr>
                <w:rFonts w:hint="eastAsia" w:ascii="宋体" w:hAnsi="宋体" w:eastAsia="宋体" w:cs="宋体"/>
                <w:b/>
                <w:bCs/>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00" w:lineRule="exact"/>
              <w:ind w:left="0"/>
              <w:rPr>
                <w:rFonts w:hint="eastAsia" w:ascii="宋体" w:hAnsi="宋体" w:eastAsia="宋体" w:cs="宋体"/>
                <w:b/>
                <w:bCs/>
                <w:color w:val="0000FF"/>
                <w:sz w:val="21"/>
                <w:szCs w:val="21"/>
              </w:rPr>
            </w:pPr>
          </w:p>
        </w:tc>
        <w:tc>
          <w:tcPr>
            <w:tcW w:w="709" w:type="dx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sz w:val="21"/>
                <w:szCs w:val="21"/>
              </w:rPr>
            </w:pPr>
            <w:r>
              <w:rPr>
                <w:rFonts w:hint="eastAsia" w:ascii="宋体" w:hAnsi="宋体" w:eastAsia="宋体" w:cs="宋体"/>
                <w:sz w:val="21"/>
                <w:szCs w:val="21"/>
              </w:rPr>
              <w:t>1</w:t>
            </w:r>
          </w:p>
        </w:tc>
        <w:tc>
          <w:tcPr>
            <w:tcW w:w="1701" w:type="dx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sz w:val="21"/>
                <w:szCs w:val="21"/>
              </w:rPr>
            </w:pPr>
            <w:r>
              <w:rPr>
                <w:rFonts w:hint="eastAsia" w:ascii="宋体" w:hAnsi="宋体" w:eastAsia="宋体" w:cs="宋体"/>
                <w:sz w:val="21"/>
                <w:szCs w:val="21"/>
              </w:rPr>
              <w:t>投标人同类项目业绩情况</w:t>
            </w:r>
          </w:p>
        </w:tc>
        <w:tc>
          <w:tcPr>
            <w:tcW w:w="1134" w:type="dx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sz w:val="21"/>
                <w:szCs w:val="21"/>
              </w:rPr>
            </w:pPr>
            <w:r>
              <w:rPr>
                <w:rFonts w:hint="eastAsia" w:ascii="宋体" w:hAnsi="宋体" w:eastAsia="宋体" w:cs="宋体"/>
                <w:sz w:val="21"/>
                <w:szCs w:val="21"/>
              </w:rPr>
              <w:t>2</w:t>
            </w:r>
          </w:p>
        </w:tc>
        <w:tc>
          <w:tcPr>
            <w:tcW w:w="4824" w:type="dxa"/>
          </w:tcPr>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（一）评分内容 </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投标人2022年1月1日至投标截止前（以合同签订时间为准）承担过改造工程同类业绩的，每一个得50分，最高得100分。</w:t>
            </w:r>
          </w:p>
          <w:p>
            <w:pPr>
              <w:keepNext w:val="0"/>
              <w:keepLines w:val="0"/>
              <w:pageBreakBefore w:val="0"/>
              <w:widowControl w:val="0"/>
              <w:kinsoku/>
              <w:overflowPunct/>
              <w:topLinePunct w:val="0"/>
              <w:autoSpaceDE/>
              <w:autoSpaceDN/>
              <w:bidi w:val="0"/>
              <w:adjustRightInd/>
              <w:snapToGrid/>
              <w:spacing w:line="300" w:lineRule="exact"/>
              <w:ind w:left="0"/>
              <w:textAlignment w:val="top"/>
              <w:rPr>
                <w:rFonts w:hint="eastAsia" w:ascii="宋体" w:hAnsi="宋体" w:eastAsia="宋体" w:cs="宋体"/>
                <w:sz w:val="21"/>
                <w:szCs w:val="21"/>
              </w:rPr>
            </w:pPr>
            <w:r>
              <w:rPr>
                <w:rFonts w:hint="eastAsia" w:ascii="宋体" w:hAnsi="宋体" w:eastAsia="宋体" w:cs="宋体"/>
                <w:sz w:val="21"/>
                <w:szCs w:val="21"/>
              </w:rPr>
              <w:t xml:space="preserve">（二）评分依据 </w:t>
            </w:r>
          </w:p>
          <w:p>
            <w:pPr>
              <w:keepNext w:val="0"/>
              <w:keepLines w:val="0"/>
              <w:pageBreakBefore w:val="0"/>
              <w:widowControl w:val="0"/>
              <w:kinsoku/>
              <w:overflowPunct/>
              <w:topLinePunct w:val="0"/>
              <w:autoSpaceDE/>
              <w:autoSpaceDN/>
              <w:bidi w:val="0"/>
              <w:adjustRightInd/>
              <w:snapToGrid/>
              <w:spacing w:line="30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须提供合同关键信息页（含签订合同双方的单位名称、合同项目名称、含签订合同双方的落款盖章、签订日期的关键页）的扫描件作为得分依据，否则不得分。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4</w:t>
            </w:r>
          </w:p>
        </w:tc>
        <w:tc>
          <w:tcPr>
            <w:tcW w:w="3544" w:type="dxa"/>
            <w:gridSpan w:val="3"/>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诚信情况</w:t>
            </w:r>
          </w:p>
        </w:tc>
        <w:tc>
          <w:tcPr>
            <w:tcW w:w="4824" w:type="dxa"/>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pPr>
              <w:keepNext w:val="0"/>
              <w:keepLines w:val="0"/>
              <w:pageBreakBefore w:val="0"/>
              <w:widowControl w:val="0"/>
              <w:kinsoku/>
              <w:overflowPunct/>
              <w:topLinePunct w:val="0"/>
              <w:autoSpaceDE/>
              <w:autoSpaceDN/>
              <w:bidi w:val="0"/>
              <w:adjustRightInd/>
              <w:snapToGrid/>
              <w:spacing w:line="300" w:lineRule="exact"/>
              <w:ind w:left="0"/>
              <w:rPr>
                <w:rFonts w:hint="eastAsia" w:ascii="宋体" w:hAnsi="宋体" w:eastAsia="宋体" w:cs="宋体"/>
                <w:b/>
                <w:bCs/>
                <w:color w:val="0000FF"/>
                <w:sz w:val="21"/>
                <w:szCs w:val="21"/>
              </w:rPr>
            </w:pPr>
          </w:p>
        </w:tc>
        <w:tc>
          <w:tcPr>
            <w:tcW w:w="709"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701"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sz w:val="21"/>
                <w:szCs w:val="21"/>
              </w:rPr>
            </w:pPr>
            <w:r>
              <w:rPr>
                <w:rFonts w:hint="eastAsia" w:ascii="宋体" w:hAnsi="宋体" w:eastAsia="宋体" w:cs="宋体"/>
                <w:b/>
                <w:bCs/>
                <w:sz w:val="21"/>
                <w:szCs w:val="21"/>
              </w:rPr>
              <w:t>评审因素</w:t>
            </w:r>
          </w:p>
        </w:tc>
        <w:tc>
          <w:tcPr>
            <w:tcW w:w="1134"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sz w:val="21"/>
                <w:szCs w:val="21"/>
              </w:rPr>
            </w:pPr>
            <w:r>
              <w:rPr>
                <w:rFonts w:hint="eastAsia" w:ascii="宋体" w:hAnsi="宋体" w:eastAsia="宋体" w:cs="宋体"/>
                <w:b/>
                <w:bCs/>
                <w:sz w:val="21"/>
                <w:szCs w:val="21"/>
              </w:rPr>
              <w:t>权重(%)</w:t>
            </w:r>
          </w:p>
        </w:tc>
        <w:tc>
          <w:tcPr>
            <w:tcW w:w="4824"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b/>
                <w:bCs/>
                <w:sz w:val="21"/>
                <w:szCs w:val="21"/>
              </w:rPr>
            </w:pPr>
            <w:r>
              <w:rPr>
                <w:rFonts w:hint="eastAsia" w:ascii="宋体" w:hAnsi="宋体" w:eastAsia="宋体" w:cs="宋体"/>
                <w:b/>
                <w:bCs/>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auto"/>
            <w:vAlign w:val="center"/>
          </w:tcPr>
          <w:p>
            <w:pPr>
              <w:keepNext w:val="0"/>
              <w:keepLines w:val="0"/>
              <w:pageBreakBefore w:val="0"/>
              <w:widowControl w:val="0"/>
              <w:kinsoku/>
              <w:overflowPunct/>
              <w:topLinePunct w:val="0"/>
              <w:autoSpaceDE/>
              <w:autoSpaceDN/>
              <w:bidi w:val="0"/>
              <w:adjustRightInd/>
              <w:snapToGrid/>
              <w:spacing w:line="300" w:lineRule="exact"/>
              <w:ind w:left="0"/>
              <w:rPr>
                <w:rFonts w:hint="eastAsia" w:ascii="宋体" w:hAnsi="宋体" w:eastAsia="宋体" w:cs="宋体"/>
                <w:b/>
                <w:bCs/>
                <w:color w:val="0000FF"/>
                <w:sz w:val="21"/>
                <w:szCs w:val="21"/>
              </w:rPr>
            </w:pPr>
          </w:p>
        </w:tc>
        <w:tc>
          <w:tcPr>
            <w:tcW w:w="709" w:type="dx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sz w:val="21"/>
                <w:szCs w:val="21"/>
              </w:rPr>
            </w:pPr>
            <w:r>
              <w:rPr>
                <w:rFonts w:hint="eastAsia" w:ascii="宋体" w:hAnsi="宋体" w:eastAsia="宋体" w:cs="宋体"/>
                <w:sz w:val="21"/>
                <w:szCs w:val="21"/>
              </w:rPr>
              <w:t>1</w:t>
            </w:r>
          </w:p>
        </w:tc>
        <w:tc>
          <w:tcPr>
            <w:tcW w:w="1701" w:type="dx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sz w:val="21"/>
                <w:szCs w:val="21"/>
              </w:rPr>
            </w:pPr>
            <w:r>
              <w:rPr>
                <w:rFonts w:hint="eastAsia" w:ascii="宋体" w:hAnsi="宋体" w:eastAsia="宋体" w:cs="宋体"/>
                <w:sz w:val="21"/>
                <w:szCs w:val="21"/>
              </w:rPr>
              <w:t>诚信情况</w:t>
            </w:r>
          </w:p>
        </w:tc>
        <w:tc>
          <w:tcPr>
            <w:tcW w:w="1134" w:type="dxa"/>
            <w:vAlign w:val="center"/>
          </w:tcPr>
          <w:p>
            <w:pPr>
              <w:keepNext w:val="0"/>
              <w:keepLines w:val="0"/>
              <w:pageBreakBefore w:val="0"/>
              <w:widowControl w:val="0"/>
              <w:kinsoku/>
              <w:wordWrap w:val="0"/>
              <w:overflowPunct/>
              <w:topLinePunct w:val="0"/>
              <w:autoSpaceDE/>
              <w:autoSpaceDN/>
              <w:bidi w:val="0"/>
              <w:adjustRightInd/>
              <w:snapToGrid/>
              <w:spacing w:line="300" w:lineRule="exact"/>
              <w:ind w:left="0"/>
              <w:jc w:val="center"/>
              <w:rPr>
                <w:rFonts w:hint="eastAsia" w:ascii="宋体" w:hAnsi="宋体" w:eastAsia="宋体" w:cs="宋体"/>
                <w:sz w:val="21"/>
                <w:szCs w:val="21"/>
              </w:rPr>
            </w:pPr>
            <w:r>
              <w:rPr>
                <w:rFonts w:hint="eastAsia" w:ascii="宋体" w:hAnsi="宋体" w:eastAsia="宋体" w:cs="宋体"/>
                <w:sz w:val="21"/>
                <w:szCs w:val="21"/>
              </w:rPr>
              <w:t>5</w:t>
            </w:r>
          </w:p>
        </w:tc>
        <w:tc>
          <w:tcPr>
            <w:tcW w:w="4824" w:type="dxa"/>
          </w:tcPr>
          <w:p>
            <w:pPr>
              <w:keepNext w:val="0"/>
              <w:keepLines w:val="0"/>
              <w:pageBreakBefore w:val="0"/>
              <w:widowControl w:val="0"/>
              <w:kinsoku/>
              <w:overflowPunct/>
              <w:topLinePunct w:val="0"/>
              <w:autoSpaceDE/>
              <w:autoSpaceDN/>
              <w:bidi w:val="0"/>
              <w:adjustRightInd/>
              <w:snapToGrid/>
              <w:spacing w:line="30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widowControl w:val="0"/>
              <w:kinsoku/>
              <w:overflowPunct/>
              <w:topLinePunct w:val="0"/>
              <w:autoSpaceDE/>
              <w:autoSpaceDN/>
              <w:bidi w:val="0"/>
              <w:adjustRightInd/>
              <w:snapToGrid/>
              <w:spacing w:line="30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keepNext w:val="0"/>
              <w:keepLines w:val="0"/>
              <w:pageBreakBefore w:val="0"/>
              <w:widowControl w:val="0"/>
              <w:kinsoku/>
              <w:overflowPunct/>
              <w:topLinePunct w:val="0"/>
              <w:autoSpaceDE/>
              <w:autoSpaceDN/>
              <w:bidi w:val="0"/>
              <w:adjustRightInd/>
              <w:snapToGrid/>
              <w:spacing w:line="30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（二）评分依据：</w:t>
            </w:r>
          </w:p>
          <w:p>
            <w:pPr>
              <w:keepNext w:val="0"/>
              <w:keepLines w:val="0"/>
              <w:pageBreakBefore w:val="0"/>
              <w:widowControl w:val="0"/>
              <w:kinsoku/>
              <w:overflowPunct/>
              <w:topLinePunct w:val="0"/>
              <w:autoSpaceDE/>
              <w:autoSpaceDN/>
              <w:bidi w:val="0"/>
              <w:adjustRightInd/>
              <w:snapToGrid/>
              <w:spacing w:line="30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查询渠道：通过“信用中国”（www.creditchina.gov.cn，下载信用信息报告）、“中国政府采购网”（www.ccgp.gov.cn）以及“深圳市政府采购监管网”（http://zfcg.sz.gov.cn）查询供应商信用信息，信用信息以开标当日的查询结果为准。</w:t>
            </w:r>
          </w:p>
        </w:tc>
      </w:tr>
    </w:tbl>
    <w:p>
      <w:r>
        <w:rPr>
          <w:rFonts w:hint="eastAsia"/>
        </w:rPr>
        <w:br w:type="page"/>
      </w:r>
    </w:p>
    <w:p>
      <w:pPr>
        <w:jc w:val="center"/>
        <w:rPr>
          <w:b/>
          <w:sz w:val="120"/>
          <w:szCs w:val="120"/>
        </w:rPr>
      </w:pPr>
    </w:p>
    <w:p>
      <w:pPr>
        <w:jc w:val="center"/>
        <w:rPr>
          <w:b/>
          <w:sz w:val="120"/>
          <w:szCs w:val="120"/>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采购文件</w:t>
      </w:r>
    </w:p>
    <w:p>
      <w:pPr>
        <w:jc w:val="center"/>
        <w:rPr>
          <w:b/>
          <w:sz w:val="52"/>
          <w:szCs w:val="52"/>
        </w:rPr>
      </w:pPr>
      <w:r>
        <w:rPr>
          <w:rFonts w:hint="eastAsia"/>
          <w:b/>
          <w:sz w:val="52"/>
          <w:szCs w:val="52"/>
        </w:rPr>
        <w:t>（工程类）</w:t>
      </w:r>
    </w:p>
    <w:p>
      <w:pPr>
        <w:jc w:val="center"/>
      </w:pPr>
    </w:p>
    <w:p>
      <w:pPr>
        <w:jc w:val="center"/>
      </w:pPr>
    </w:p>
    <w:p>
      <w:pPr>
        <w:jc w:val="center"/>
      </w:pPr>
    </w:p>
    <w:p>
      <w:pPr>
        <w:jc w:val="center"/>
      </w:pPr>
    </w:p>
    <w:p>
      <w:pPr>
        <w:jc w:val="cente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pPr>
        <w:jc w:val="center"/>
        <w:rPr>
          <w:rFonts w:hint="eastAsia"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pPr>
        <w:ind w:firstLine="400" w:firstLineChars="200"/>
        <w:rPr>
          <w:rFonts w:hint="eastAsia" w:ascii="宋体" w:hAnsi="宋体"/>
          <w:color w:val="FF0000"/>
          <w:sz w:val="20"/>
          <w:szCs w:val="20"/>
        </w:rPr>
      </w:pPr>
    </w:p>
    <w:p>
      <w:pPr>
        <w:ind w:firstLine="400" w:firstLineChars="200"/>
        <w:rPr>
          <w:rFonts w:hint="eastAsia"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本项目为自行采购项目，参照《深圳经济特区政府采购条例》、《深圳经济特区政府采购条例实施细则》及政府采购其他法律法规，按照采购人内控制度，通过公开征集方式确定中标供应商。</w:t>
      </w:r>
    </w:p>
    <w:p>
      <w:pP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hint="eastAsia"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hint="eastAsia"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22" w:firstLineChars="200"/>
        <w:rPr>
          <w:b/>
          <w:color w:val="FF0000"/>
        </w:rPr>
      </w:pPr>
      <w:r>
        <w:rPr>
          <w:rFonts w:hint="eastAsia"/>
          <w:b/>
          <w:color w:val="FF0000"/>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rPr>
          <w:rFonts w:hint="eastAsia" w:ascii="宋体" w:hAnsi="宋体"/>
          <w:color w:val="FF0000"/>
          <w:sz w:val="20"/>
          <w:szCs w:val="20"/>
        </w:rPr>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type="textWrapping"/>
      </w:r>
      <w:r>
        <w:rPr>
          <w:rFonts w:hint="eastAsia"/>
        </w:rPr>
        <w:t xml:space="preserve">   </w:t>
      </w:r>
      <w:r>
        <w:rPr>
          <w:rFonts w:hint="eastAsia" w:ascii="宋体" w:hAnsi="宋体"/>
          <w:color w:val="FF0000"/>
          <w:sz w:val="20"/>
          <w:szCs w:val="20"/>
        </w:rPr>
        <w:t>六、根据《中华人民共和国政府采购法实施条例》第十八条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00" w:firstLineChars="200"/>
        <w:rPr>
          <w:rFonts w:hint="eastAsia" w:ascii="宋体" w:hAnsi="宋体"/>
          <w:color w:val="FF0000"/>
          <w:sz w:val="20"/>
          <w:szCs w:val="20"/>
        </w:rPr>
      </w:pPr>
      <w:r>
        <w:rPr>
          <w:rFonts w:hint="eastAsia" w:ascii="宋体" w:hAnsi="宋体"/>
          <w:color w:val="FF0000"/>
          <w:sz w:val="20"/>
          <w:szCs w:val="20"/>
        </w:rPr>
        <w:t>本项目设计供应商：深圳市金鑫华建设集团有限公司</w:t>
      </w:r>
    </w:p>
    <w:p>
      <w:pPr>
        <w:ind w:firstLine="400" w:firstLineChars="200"/>
        <w:rPr>
          <w:rFonts w:hint="eastAsia" w:ascii="宋体" w:hAnsi="宋体"/>
          <w:color w:val="FF0000"/>
          <w:sz w:val="20"/>
          <w:szCs w:val="20"/>
        </w:rPr>
      </w:pPr>
      <w:r>
        <w:rPr>
          <w:rFonts w:hint="eastAsia" w:ascii="宋体" w:hAnsi="宋体"/>
          <w:color w:val="FF0000"/>
          <w:sz w:val="20"/>
          <w:szCs w:val="20"/>
        </w:rPr>
        <w:t>本项目造价咨询供应商：无</w:t>
      </w:r>
    </w:p>
    <w:p>
      <w:pPr>
        <w:ind w:firstLine="400" w:firstLineChars="200"/>
        <w:rPr>
          <w:rFonts w:hint="eastAsia" w:ascii="宋体" w:hAnsi="宋体"/>
          <w:color w:val="FF0000"/>
          <w:sz w:val="20"/>
          <w:szCs w:val="20"/>
        </w:rPr>
      </w:pPr>
      <w:r>
        <w:rPr>
          <w:rFonts w:hint="eastAsia" w:ascii="宋体" w:hAnsi="宋体"/>
          <w:color w:val="FF0000"/>
          <w:sz w:val="20"/>
          <w:szCs w:val="20"/>
        </w:rPr>
        <w:t>本项目监理供应商：无</w:t>
      </w:r>
    </w:p>
    <w:p>
      <w:pPr>
        <w:ind w:firstLine="400" w:firstLineChars="200"/>
      </w:pPr>
      <w:r>
        <w:rPr>
          <w:rFonts w:hint="eastAsia" w:ascii="宋体" w:hAnsi="宋体"/>
          <w:color w:val="FF0000"/>
          <w:sz w:val="20"/>
          <w:szCs w:val="20"/>
        </w:rPr>
        <w:t>本项目检测供应商：无</w:t>
      </w:r>
    </w:p>
    <w:bookmarkEnd w:id="1"/>
    <w:p>
      <w:pPr>
        <w:widowControl/>
        <w:jc w:val="left"/>
        <w:rPr>
          <w:rFonts w:hint="eastAsia" w:ascii="宋体" w:hAnsi="宋体" w:eastAsia="黑体"/>
          <w:b/>
          <w:bCs/>
          <w:kern w:val="44"/>
          <w:sz w:val="28"/>
          <w:szCs w:val="44"/>
        </w:rPr>
      </w:pPr>
      <w:r>
        <w:br w:type="page"/>
      </w:r>
    </w:p>
    <w:p>
      <w:pPr>
        <w:pStyle w:val="4"/>
        <w:rPr>
          <w:rFonts w:hint="eastAsia"/>
        </w:rPr>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hint="eastAsia" w:ascii="宋体" w:hAnsi="宋体"/>
          <w:szCs w:val="21"/>
        </w:rPr>
      </w:pPr>
      <w:r>
        <w:rPr>
          <w:rFonts w:hint="eastAsia" w:ascii="宋体" w:hAnsi="宋体"/>
          <w:szCs w:val="21"/>
        </w:rPr>
        <w:t>第一章  采购公告</w:t>
      </w:r>
    </w:p>
    <w:p>
      <w:pPr>
        <w:ind w:left="630" w:leftChars="300" w:firstLine="630" w:firstLineChars="300"/>
        <w:rPr>
          <w:rFonts w:hint="eastAsia"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hint="eastAsia"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630" w:firstLineChars="300"/>
        <w:rPr>
          <w:rFonts w:hint="eastAsia" w:ascii="宋体" w:hAnsi="宋体"/>
          <w:szCs w:val="21"/>
        </w:rPr>
      </w:pPr>
      <w:r>
        <w:rPr>
          <w:rFonts w:hint="eastAsia" w:ascii="宋体" w:hAnsi="宋体"/>
          <w:szCs w:val="21"/>
        </w:rPr>
        <w:t>第一章  总则</w:t>
      </w:r>
    </w:p>
    <w:p>
      <w:pPr>
        <w:ind w:left="630" w:leftChars="300" w:firstLine="630" w:firstLineChars="300"/>
        <w:rPr>
          <w:rFonts w:hint="eastAsia" w:ascii="宋体" w:hAnsi="宋体"/>
          <w:szCs w:val="21"/>
        </w:rPr>
      </w:pPr>
      <w:r>
        <w:rPr>
          <w:rFonts w:hint="eastAsia" w:ascii="宋体" w:hAnsi="宋体"/>
          <w:szCs w:val="21"/>
        </w:rPr>
        <w:t>第二章  采购文件</w:t>
      </w:r>
    </w:p>
    <w:p>
      <w:pPr>
        <w:ind w:left="630" w:leftChars="300" w:firstLine="630" w:firstLineChars="300"/>
        <w:rPr>
          <w:rFonts w:hint="eastAsia" w:ascii="宋体" w:hAnsi="宋体"/>
          <w:szCs w:val="21"/>
        </w:rPr>
      </w:pPr>
      <w:r>
        <w:rPr>
          <w:rFonts w:hint="eastAsia" w:ascii="宋体" w:hAnsi="宋体"/>
          <w:szCs w:val="21"/>
        </w:rPr>
        <w:t>第三章  投标文件的编制</w:t>
      </w:r>
    </w:p>
    <w:p>
      <w:pPr>
        <w:ind w:left="630" w:leftChars="300" w:firstLine="630" w:firstLineChars="300"/>
        <w:rPr>
          <w:rFonts w:hint="eastAsia" w:ascii="宋体" w:hAnsi="宋体"/>
          <w:szCs w:val="21"/>
        </w:rPr>
      </w:pPr>
      <w:r>
        <w:rPr>
          <w:rFonts w:hint="eastAsia" w:ascii="宋体" w:hAnsi="宋体"/>
          <w:szCs w:val="21"/>
        </w:rPr>
        <w:t>第四章  投标文件的递交</w:t>
      </w:r>
    </w:p>
    <w:p>
      <w:pPr>
        <w:ind w:left="630" w:leftChars="300" w:firstLine="630" w:firstLineChars="300"/>
        <w:rPr>
          <w:rFonts w:hint="eastAsia" w:ascii="宋体" w:hAnsi="宋体"/>
          <w:szCs w:val="21"/>
        </w:rPr>
      </w:pPr>
      <w:r>
        <w:rPr>
          <w:rFonts w:hint="eastAsia" w:ascii="宋体" w:hAnsi="宋体"/>
          <w:szCs w:val="21"/>
        </w:rPr>
        <w:t>第五章  开标</w:t>
      </w:r>
    </w:p>
    <w:p>
      <w:pPr>
        <w:ind w:left="630" w:leftChars="300" w:firstLine="630" w:firstLineChars="300"/>
        <w:rPr>
          <w:rFonts w:hint="eastAsia" w:ascii="宋体" w:hAnsi="宋体"/>
          <w:szCs w:val="21"/>
        </w:rPr>
      </w:pPr>
      <w:r>
        <w:rPr>
          <w:rFonts w:hint="eastAsia" w:ascii="宋体" w:hAnsi="宋体"/>
          <w:szCs w:val="21"/>
        </w:rPr>
        <w:t>第六章  评审要求</w:t>
      </w:r>
    </w:p>
    <w:p>
      <w:pPr>
        <w:ind w:left="630" w:leftChars="300" w:firstLine="630" w:firstLineChars="300"/>
        <w:rPr>
          <w:rFonts w:hint="eastAsia" w:ascii="宋体" w:hAnsi="宋体"/>
          <w:szCs w:val="21"/>
        </w:rPr>
      </w:pPr>
      <w:r>
        <w:rPr>
          <w:rFonts w:hint="eastAsia" w:ascii="宋体" w:hAnsi="宋体"/>
          <w:szCs w:val="21"/>
        </w:rPr>
        <w:t>第七章  评审程序及评审方法</w:t>
      </w:r>
    </w:p>
    <w:p>
      <w:pPr>
        <w:ind w:left="630" w:leftChars="300" w:firstLine="630" w:firstLineChars="300"/>
        <w:rPr>
          <w:rFonts w:hint="eastAsia" w:ascii="宋体" w:hAnsi="宋体"/>
          <w:szCs w:val="21"/>
        </w:rPr>
      </w:pPr>
      <w:r>
        <w:rPr>
          <w:rFonts w:hint="eastAsia" w:ascii="宋体" w:hAnsi="宋体"/>
          <w:szCs w:val="21"/>
        </w:rPr>
        <w:t>第八章  定标及公示</w:t>
      </w:r>
    </w:p>
    <w:p>
      <w:pPr>
        <w:ind w:left="630" w:leftChars="300" w:firstLine="630" w:firstLineChars="300"/>
        <w:rPr>
          <w:rFonts w:hint="eastAsia" w:ascii="宋体" w:hAnsi="宋体"/>
          <w:szCs w:val="21"/>
        </w:rPr>
      </w:pPr>
      <w:r>
        <w:rPr>
          <w:rFonts w:hint="eastAsia" w:ascii="宋体" w:hAnsi="宋体"/>
          <w:szCs w:val="21"/>
        </w:rPr>
        <w:t>第九章  公开征集失败的后续处理</w:t>
      </w:r>
    </w:p>
    <w:p>
      <w:pPr>
        <w:ind w:left="630" w:leftChars="300" w:firstLine="630" w:firstLineChars="300"/>
        <w:rPr>
          <w:rFonts w:hint="eastAsia" w:ascii="宋体" w:hAnsi="宋体"/>
          <w:szCs w:val="21"/>
        </w:rPr>
      </w:pPr>
      <w:r>
        <w:rPr>
          <w:rFonts w:hint="eastAsia" w:ascii="宋体" w:hAnsi="宋体"/>
          <w:szCs w:val="21"/>
        </w:rPr>
        <w:t>第十章  合同的授予与备案</w:t>
      </w:r>
    </w:p>
    <w:p>
      <w:pPr>
        <w:ind w:left="630" w:leftChars="300" w:firstLine="630" w:firstLineChars="300"/>
        <w:rPr>
          <w:rFonts w:hint="eastAsia" w:ascii="宋体" w:hAnsi="宋体"/>
          <w:szCs w:val="21"/>
        </w:rPr>
      </w:pPr>
      <w:r>
        <w:rPr>
          <w:rFonts w:hint="eastAsia" w:ascii="宋体" w:hAnsi="宋体"/>
          <w:szCs w:val="21"/>
        </w:rPr>
        <w:t>第十一章  质疑处理</w:t>
      </w:r>
    </w:p>
    <w:p>
      <w:pPr>
        <w:spacing w:line="360" w:lineRule="auto"/>
        <w:ind w:firstLine="420" w:firstLineChars="200"/>
        <w:jc w:val="left"/>
        <w:rPr>
          <w:rFonts w:hint="eastAsia" w:ascii="宋体" w:hAnsi="宋体"/>
          <w:szCs w:val="21"/>
        </w:rPr>
      </w:pPr>
    </w:p>
    <w:p>
      <w:pPr>
        <w:pStyle w:val="4"/>
        <w:rPr>
          <w:rFonts w:hint="eastAsia"/>
          <w:sz w:val="24"/>
        </w:rPr>
      </w:pPr>
      <w:r>
        <w:br w:type="page"/>
      </w:r>
      <w:bookmarkStart w:id="3" w:name="bt合同格式"/>
      <w:bookmarkEnd w:id="3"/>
      <w:bookmarkStart w:id="4" w:name="bt投标函"/>
      <w:bookmarkEnd w:id="4"/>
      <w:bookmarkStart w:id="5" w:name="bt合同条款"/>
      <w:bookmarkEnd w:id="5"/>
      <w:bookmarkStart w:id="6" w:name="bt投标人情况介绍"/>
      <w:bookmarkEnd w:id="6"/>
      <w:bookmarkStart w:id="7" w:name="bt投标报价汇总表"/>
      <w:bookmarkEnd w:id="7"/>
      <w:bookmarkStart w:id="8" w:name="bt其他资料由投标人自定"/>
      <w:bookmarkEnd w:id="8"/>
      <w:bookmarkStart w:id="9" w:name="合同格式"/>
      <w:bookmarkEnd w:id="9"/>
      <w:bookmarkStart w:id="10" w:name="bt技术标投标文件格式"/>
      <w:bookmarkEnd w:id="10"/>
      <w:bookmarkStart w:id="11" w:name="bt投标人须知"/>
      <w:bookmarkEnd w:id="11"/>
      <w:bookmarkStart w:id="12" w:name="bt合同条款及格式"/>
      <w:bookmarkEnd w:id="12"/>
      <w:bookmarkStart w:id="13" w:name="bt说明"/>
      <w:bookmarkEnd w:id="13"/>
      <w:bookmarkStart w:id="14" w:name="bt项目管理班子配备情况"/>
      <w:bookmarkEnd w:id="14"/>
      <w:bookmarkStart w:id="15" w:name="bt本工程承诺书"/>
      <w:bookmarkEnd w:id="15"/>
      <w:bookmarkStart w:id="16" w:name="bt商务标投标文件格式"/>
      <w:bookmarkEnd w:id="16"/>
      <w:bookmarkStart w:id="17" w:name="bt其他资料2"/>
      <w:bookmarkEnd w:id="17"/>
      <w:bookmarkStart w:id="18" w:name="bt开标一览表"/>
      <w:bookmarkEnd w:id="18"/>
      <w:bookmarkStart w:id="19" w:name="bt投标文件签署授权委托书"/>
      <w:bookmarkEnd w:id="19"/>
      <w:r>
        <w:rPr>
          <w:rFonts w:hint="eastAsia"/>
        </w:rPr>
        <w:t>第一册专用条款</w:t>
      </w:r>
    </w:p>
    <w:p>
      <w:pPr>
        <w:pStyle w:val="7"/>
        <w:rPr>
          <w:rFonts w:hint="eastAsia"/>
          <w:sz w:val="28"/>
          <w:szCs w:val="28"/>
        </w:rPr>
      </w:pPr>
      <w:r>
        <w:rPr>
          <w:rFonts w:hint="eastAsia"/>
          <w:sz w:val="28"/>
          <w:szCs w:val="28"/>
        </w:rPr>
        <w:t>第一章  采购公告</w:t>
      </w:r>
    </w:p>
    <w:p/>
    <w:p>
      <w:pPr>
        <w:spacing w:line="360" w:lineRule="auto"/>
        <w:rPr>
          <w:rFonts w:hint="eastAsia" w:ascii="宋体" w:hAnsi="宋体" w:cs="宋体"/>
          <w:b/>
          <w:bCs/>
          <w:kern w:val="0"/>
          <w:szCs w:val="21"/>
        </w:rPr>
      </w:pPr>
      <w:r>
        <w:rPr>
          <w:rFonts w:hint="eastAsia" w:ascii="宋体" w:hAnsi="宋体" w:cs="宋体"/>
          <w:b/>
          <w:bCs/>
          <w:kern w:val="0"/>
          <w:szCs w:val="21"/>
        </w:rPr>
        <w:t>投标人的资格要求：</w:t>
      </w:r>
    </w:p>
    <w:p>
      <w:pPr>
        <w:ind w:firstLine="630" w:firstLineChars="3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0"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pPr>
        <w:ind w:firstLine="630" w:firstLineChars="300"/>
        <w:rPr>
          <w:rFonts w:hint="eastAsia" w:ascii="宋体" w:hAnsi="宋体" w:cs="宋体"/>
          <w:kern w:val="0"/>
          <w:szCs w:val="21"/>
        </w:rPr>
      </w:pPr>
      <w:r>
        <w:rPr>
          <w:rFonts w:hint="eastAsia" w:ascii="宋体" w:hAnsi="宋体" w:cs="宋体"/>
          <w:color w:val="FF0000"/>
          <w:kern w:val="0"/>
          <w:szCs w:val="21"/>
        </w:rPr>
        <w:t>2.本项目不接受联合体投标，不接受投标人选用进口产品参与投标（由供应商在《采购投标及履约承诺函》中作出声明）；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p>
    <w:p>
      <w:pPr>
        <w:ind w:firstLine="630" w:firstLineChars="300"/>
        <w:rPr>
          <w:rFonts w:hint="eastAsia"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8.本项目是（否）专门面向中小企业采购：</w:t>
      </w:r>
      <w:r>
        <w:rPr>
          <w:rFonts w:hint="eastAsia" w:ascii="宋体" w:hAnsi="宋体" w:cs="宋体"/>
          <w:kern w:val="0"/>
          <w:szCs w:val="21"/>
        </w:rPr>
        <w:sym w:font="Wingdings" w:char="00FE"/>
      </w:r>
      <w:r>
        <w:rPr>
          <w:rFonts w:hint="eastAsia" w:ascii="宋体" w:hAnsi="宋体" w:cs="宋体"/>
          <w:kern w:val="0"/>
          <w:szCs w:val="21"/>
        </w:rPr>
        <w:t>否；</w:t>
      </w:r>
    </w:p>
    <w:p>
      <w:pPr>
        <w:ind w:firstLine="630" w:firstLineChars="300"/>
        <w:rPr>
          <w:rFonts w:hint="eastAsia" w:ascii="宋体" w:hAnsi="宋体" w:cs="宋体"/>
          <w:color w:val="FF0000"/>
          <w:kern w:val="0"/>
          <w:szCs w:val="21"/>
        </w:rPr>
      </w:pPr>
      <w:r>
        <w:rPr>
          <w:rFonts w:hint="eastAsia" w:ascii="宋体" w:hAnsi="宋体" w:cs="宋体"/>
          <w:color w:val="FF0000"/>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同时提供供应商社保缴纳证明材料及股权（或管理）关系证明材料（格式详见第四章投标文件组成要求及格式/三、投标人情况及资格证明文件/（三）供应商基本情况）。如供应商存在未提供《供应商基本情况表》、社保缴纳证明材料及股权（或管理）关系证明材料或所提供证明材料不符合采购文件要求的情形，按资格审查不通过处理）。</w:t>
      </w:r>
    </w:p>
    <w:p>
      <w:pPr>
        <w:wordWrap w:val="0"/>
        <w:ind w:firstLine="420" w:firstLineChars="200"/>
        <w:rPr>
          <w:rFonts w:hint="eastAsia" w:ascii="宋体" w:hAnsi="宋体" w:cs="宋体"/>
          <w:color w:val="FF0000"/>
          <w:kern w:val="0"/>
          <w:szCs w:val="21"/>
        </w:rPr>
      </w:pPr>
      <w:r>
        <w:rPr>
          <w:rFonts w:hint="eastAsia" w:ascii="宋体" w:hAnsi="宋体" w:cs="宋体"/>
          <w:color w:val="FF0000"/>
          <w:kern w:val="0"/>
          <w:szCs w:val="21"/>
        </w:rPr>
        <w:t>10.具有有效期内的建筑装修装饰工程专业承包二级及以上资质或具有有效期内的建筑工程施工总承包二级及以上资质（提供证书扫描件）。</w:t>
      </w:r>
    </w:p>
    <w:p>
      <w:pPr>
        <w:wordWrap w:val="0"/>
        <w:ind w:firstLine="420" w:firstLineChars="200"/>
        <w:rPr>
          <w:rFonts w:hint="eastAsia" w:ascii="宋体" w:hAnsi="宋体" w:cs="宋体"/>
          <w:color w:val="FF0000"/>
          <w:kern w:val="0"/>
          <w:szCs w:val="21"/>
        </w:rPr>
      </w:pPr>
      <w:r>
        <w:rPr>
          <w:rFonts w:hint="eastAsia" w:ascii="宋体" w:hAnsi="宋体" w:cs="宋体"/>
          <w:color w:val="FF0000"/>
          <w:kern w:val="0"/>
          <w:szCs w:val="21"/>
        </w:rPr>
        <w:t>11.具有有效期内的安全生产许可证（提供证书扫描件）。</w:t>
      </w:r>
    </w:p>
    <w:p>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hint="eastAsia"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（2）供应商投标（上传投标文件）必须先行办理注册手续，具体操作指引请按照深圳公共资源交易网/交易服务指南/资料下载/深圳政府采购自行采购系统用户操作指引（供应商）相关内容指引办理。</w:t>
      </w:r>
    </w:p>
    <w:p>
      <w:pPr>
        <w:wordWrap w:val="0"/>
        <w:ind w:firstLine="420" w:firstLineChars="200"/>
        <w:rPr>
          <w:rFonts w:hint="eastAsia" w:ascii="宋体" w:hAnsi="宋体" w:cs="宋体"/>
          <w:color w:val="FF0000"/>
          <w:kern w:val="0"/>
          <w:szCs w:val="21"/>
        </w:rPr>
      </w:pPr>
    </w:p>
    <w:p>
      <w:pPr>
        <w:wordWrap w:val="0"/>
        <w:jc w:val="left"/>
        <w:rPr>
          <w:sz w:val="22"/>
          <w:szCs w:val="18"/>
        </w:rPr>
      </w:pPr>
      <w:r>
        <w:rPr>
          <w:rFonts w:hint="eastAsia"/>
          <w:sz w:val="22"/>
          <w:szCs w:val="18"/>
        </w:rPr>
        <w:t>完整公告内容详见：深圳交易集团（深圳公共资源交易中心）官网https://www.szexgrp.com/jyfw/zfcg-view.html?id=zfcg</w:t>
      </w:r>
    </w:p>
    <w:p>
      <w:r>
        <w:rPr>
          <w:rFonts w:hint="eastAsia"/>
        </w:rPr>
        <w:br w:type="page"/>
      </w:r>
    </w:p>
    <w:p>
      <w:pPr>
        <w:pStyle w:val="7"/>
        <w:rPr>
          <w:rFonts w:hint="eastAsia"/>
          <w:sz w:val="28"/>
          <w:szCs w:val="28"/>
        </w:rPr>
      </w:pPr>
      <w:r>
        <w:rPr>
          <w:rFonts w:hint="eastAsia"/>
          <w:sz w:val="28"/>
          <w:szCs w:val="28"/>
        </w:rPr>
        <w:t>第二章 对通用条款的补充内容及其他关键信息</w:t>
      </w:r>
    </w:p>
    <w:p>
      <w:pPr>
        <w:pStyle w:val="7"/>
        <w:spacing w:before="120" w:beforeLines="50" w:after="120" w:afterLines="50"/>
        <w:rPr>
          <w:rFonts w:hint="eastAsia"/>
          <w:sz w:val="28"/>
          <w:szCs w:val="28"/>
        </w:rPr>
      </w:pPr>
      <w:bookmarkStart w:id="21" w:name="_Toc60631620"/>
      <w:bookmarkStart w:id="22" w:name="_Toc100052364"/>
      <w:bookmarkStart w:id="23" w:name="_Toc73521547"/>
      <w:bookmarkStart w:id="24" w:name="_Toc73517639"/>
      <w:bookmarkStart w:id="25" w:name="_Toc73518117"/>
      <w:bookmarkStart w:id="26" w:name="_Toc73521635"/>
      <w:bookmarkStart w:id="27" w:name="_Toc60560625"/>
      <w:bookmarkStart w:id="28" w:name="_Toc101074876"/>
      <w:r>
        <w:rPr>
          <w:rFonts w:hint="eastAsia"/>
          <w:szCs w:val="24"/>
        </w:rPr>
        <w:t>一、对通用条款的补充内容</w:t>
      </w:r>
    </w:p>
    <w:bookmarkEnd w:id="21"/>
    <w:bookmarkEnd w:id="22"/>
    <w:bookmarkEnd w:id="23"/>
    <w:bookmarkEnd w:id="24"/>
    <w:bookmarkEnd w:id="25"/>
    <w:bookmarkEnd w:id="26"/>
    <w:bookmarkEnd w:id="27"/>
    <w:bookmarkEnd w:id="28"/>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b/>
                <w:bCs/>
              </w:rPr>
            </w:pPr>
            <w:r>
              <w:rPr>
                <w:rFonts w:hint="eastAsia" w:ascii="宋体" w:hAnsi="宋体"/>
                <w:b/>
                <w:bCs/>
              </w:rPr>
              <w:t>通用条款序号</w:t>
            </w:r>
          </w:p>
        </w:tc>
        <w:tc>
          <w:tcPr>
            <w:tcW w:w="2526" w:type="dxa"/>
            <w:vAlign w:val="center"/>
          </w:tcPr>
          <w:p>
            <w:pPr>
              <w:jc w:val="center"/>
              <w:rPr>
                <w:rFonts w:hint="eastAsia" w:ascii="宋体" w:hAnsi="宋体"/>
                <w:b/>
                <w:bCs/>
              </w:rPr>
            </w:pPr>
            <w:r>
              <w:rPr>
                <w:rFonts w:hint="eastAsia" w:ascii="宋体" w:hAnsi="宋体"/>
                <w:b/>
                <w:bCs/>
              </w:rPr>
              <w:t>涉及事项</w:t>
            </w:r>
          </w:p>
        </w:tc>
        <w:tc>
          <w:tcPr>
            <w:tcW w:w="4871" w:type="dxa"/>
            <w:vAlign w:val="center"/>
          </w:tcPr>
          <w:p>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jc w:val="center"/>
              <w:rPr>
                <w:rFonts w:hint="eastAsia" w:ascii="宋体" w:hAnsi="宋体"/>
                <w:b/>
                <w:bCs/>
              </w:rPr>
            </w:pPr>
            <w:r>
              <w:rPr>
                <w:rFonts w:hint="eastAsia"/>
              </w:rPr>
              <w:t>本项目为自行采购项目，相关事宜按照采购文件要求及采购单位内控制度执行。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.1</w:t>
            </w:r>
          </w:p>
        </w:tc>
        <w:tc>
          <w:tcPr>
            <w:tcW w:w="2526" w:type="dxa"/>
            <w:vAlign w:val="center"/>
          </w:tcPr>
          <w:p>
            <w:pPr>
              <w:jc w:val="center"/>
            </w:pPr>
            <w:r>
              <w:rPr>
                <w:rFonts w:hint="eastAsia"/>
              </w:rPr>
              <w:t>采购人</w:t>
            </w:r>
          </w:p>
        </w:tc>
        <w:tc>
          <w:tcPr>
            <w:tcW w:w="4871" w:type="dxa"/>
            <w:vAlign w:val="center"/>
          </w:tcPr>
          <w:p>
            <w:pPr>
              <w:jc w:val="center"/>
              <w:rPr>
                <w:rFonts w:hint="eastAsia" w:ascii="宋体" w:hAnsi="宋体"/>
              </w:rPr>
            </w:pPr>
            <w:r>
              <w:rPr>
                <w:rFonts w:hint="eastAsia" w:ascii="宋体" w:hAnsi="宋体"/>
              </w:rPr>
              <w:t>深圳市公安局监所管理支队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.2</w:t>
            </w:r>
          </w:p>
        </w:tc>
        <w:tc>
          <w:tcPr>
            <w:tcW w:w="2526" w:type="dxa"/>
            <w:vAlign w:val="center"/>
          </w:tcPr>
          <w:p>
            <w:pPr>
              <w:jc w:val="center"/>
              <w:rPr>
                <w:rFonts w:hint="eastAsia" w:ascii="宋体" w:hAnsi="宋体"/>
              </w:rPr>
            </w:pPr>
            <w:r>
              <w:rPr>
                <w:rFonts w:hint="eastAsia" w:ascii="宋体" w:hAnsi="宋体"/>
              </w:rPr>
              <w:t>政府集中采购机构</w:t>
            </w:r>
          </w:p>
        </w:tc>
        <w:tc>
          <w:tcPr>
            <w:tcW w:w="4871" w:type="dxa"/>
            <w:vAlign w:val="center"/>
          </w:tcPr>
          <w:p>
            <w:pPr>
              <w:jc w:val="center"/>
              <w:rPr>
                <w:rFonts w:hint="eastAsia" w:ascii="宋体" w:hAnsi="宋体"/>
              </w:rPr>
            </w:pPr>
            <w:r>
              <w:rPr>
                <w:rFonts w:hint="eastAsia" w:ascii="宋体" w:hAnsi="宋体"/>
              </w:rPr>
              <w:t>深圳公共资源交易中心</w:t>
            </w:r>
          </w:p>
          <w:p>
            <w:pPr>
              <w:jc w:val="center"/>
              <w:rPr>
                <w:rFonts w:hint="eastAsia" w:ascii="宋体" w:hAnsi="宋体"/>
              </w:rPr>
            </w:pPr>
            <w:r>
              <w:rPr>
                <w:rFonts w:hint="eastAsia" w:ascii="宋体" w:hAnsi="宋体"/>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9</w:t>
            </w:r>
          </w:p>
        </w:tc>
        <w:tc>
          <w:tcPr>
            <w:tcW w:w="2526" w:type="dxa"/>
            <w:vAlign w:val="center"/>
          </w:tcPr>
          <w:p>
            <w:pPr>
              <w:jc w:val="center"/>
              <w:rPr>
                <w:rFonts w:hint="eastAsia" w:ascii="宋体" w:hAnsi="宋体"/>
              </w:rPr>
            </w:pPr>
            <w:r>
              <w:rPr>
                <w:rFonts w:hint="eastAsia" w:ascii="宋体" w:hAnsi="宋体"/>
              </w:rPr>
              <w:t>踏勘现场</w:t>
            </w:r>
          </w:p>
        </w:tc>
        <w:tc>
          <w:tcPr>
            <w:tcW w:w="4871" w:type="dxa"/>
            <w:vAlign w:val="center"/>
          </w:tcPr>
          <w:p>
            <w:pPr>
              <w:jc w:val="center"/>
              <w:rPr>
                <w:rFonts w:hint="eastAsia"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1</w:t>
            </w:r>
            <w:r>
              <w:rPr>
                <w:rFonts w:ascii="宋体" w:hAnsi="宋体"/>
              </w:rPr>
              <w:t>0</w:t>
            </w:r>
          </w:p>
        </w:tc>
        <w:tc>
          <w:tcPr>
            <w:tcW w:w="2526" w:type="dxa"/>
            <w:vAlign w:val="center"/>
          </w:tcPr>
          <w:p>
            <w:pPr>
              <w:jc w:val="center"/>
              <w:rPr>
                <w:rFonts w:hint="eastAsia" w:ascii="宋体" w:hAnsi="宋体"/>
              </w:rPr>
            </w:pPr>
            <w:r>
              <w:rPr>
                <w:rFonts w:hint="eastAsia" w:ascii="宋体" w:hAnsi="宋体"/>
              </w:rPr>
              <w:t>标前会议</w:t>
            </w:r>
          </w:p>
        </w:tc>
        <w:tc>
          <w:tcPr>
            <w:tcW w:w="4871" w:type="dxa"/>
            <w:vAlign w:val="center"/>
          </w:tcPr>
          <w:p>
            <w:pPr>
              <w:jc w:val="center"/>
              <w:rPr>
                <w:rFonts w:hint="eastAsia"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pPr>
              <w:jc w:val="center"/>
              <w:rPr>
                <w:rFonts w:hint="eastAsia" w:ascii="宋体" w:hAnsi="宋体"/>
              </w:rPr>
            </w:pPr>
            <w:r>
              <w:rPr>
                <w:rFonts w:hint="eastAsia" w:ascii="宋体" w:hAnsi="宋体"/>
              </w:rPr>
              <w:t>采购文件的澄清和修改</w:t>
            </w:r>
          </w:p>
        </w:tc>
        <w:tc>
          <w:tcPr>
            <w:tcW w:w="4871" w:type="dxa"/>
            <w:vAlign w:val="center"/>
          </w:tcPr>
          <w:p>
            <w:pPr>
              <w:jc w:val="left"/>
              <w:rPr>
                <w:rFonts w:hint="eastAsia" w:ascii="宋体" w:hAnsi="宋体"/>
              </w:rPr>
            </w:pPr>
            <w:r>
              <w:rPr>
                <w:rFonts w:hint="eastAsia" w:ascii="宋体" w:hAnsi="宋体"/>
              </w:rPr>
              <w:t>投标截止日三日前，投标人有义务在采购期间在政府集中采购机构网站浏览与本项目有关的澄清和修改信息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0</w:t>
            </w:r>
          </w:p>
        </w:tc>
        <w:tc>
          <w:tcPr>
            <w:tcW w:w="2526" w:type="dxa"/>
            <w:vAlign w:val="center"/>
          </w:tcPr>
          <w:p>
            <w:pPr>
              <w:jc w:val="center"/>
              <w:rPr>
                <w:rFonts w:hint="eastAsia" w:ascii="宋体" w:hAnsi="宋体"/>
              </w:rPr>
            </w:pPr>
            <w:r>
              <w:rPr>
                <w:rFonts w:hint="eastAsia" w:ascii="宋体" w:hAnsi="宋体"/>
              </w:rPr>
              <w:t>投标有效期</w:t>
            </w:r>
          </w:p>
        </w:tc>
        <w:tc>
          <w:tcPr>
            <w:tcW w:w="4871" w:type="dxa"/>
            <w:vAlign w:val="center"/>
          </w:tcPr>
          <w:p>
            <w:pPr>
              <w:jc w:val="center"/>
              <w:rPr>
                <w:rFonts w:hint="eastAsia"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2</w:t>
            </w:r>
          </w:p>
        </w:tc>
        <w:tc>
          <w:tcPr>
            <w:tcW w:w="2526" w:type="dxa"/>
            <w:vAlign w:val="center"/>
          </w:tcPr>
          <w:p>
            <w:pPr>
              <w:jc w:val="center"/>
              <w:rPr>
                <w:rFonts w:hint="eastAsia" w:ascii="宋体" w:hAnsi="宋体"/>
              </w:rPr>
            </w:pPr>
            <w:r>
              <w:rPr>
                <w:rFonts w:hint="eastAsia" w:ascii="宋体" w:hAnsi="宋体"/>
              </w:rPr>
              <w:t>投标人的替代方案</w:t>
            </w:r>
          </w:p>
        </w:tc>
        <w:tc>
          <w:tcPr>
            <w:tcW w:w="4871" w:type="dxa"/>
            <w:vAlign w:val="center"/>
          </w:tcPr>
          <w:p>
            <w:pPr>
              <w:jc w:val="center"/>
              <w:rPr>
                <w:rFonts w:hint="eastAsia"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5</w:t>
            </w:r>
          </w:p>
        </w:tc>
        <w:tc>
          <w:tcPr>
            <w:tcW w:w="2526" w:type="dxa"/>
            <w:vAlign w:val="center"/>
          </w:tcPr>
          <w:p>
            <w:pPr>
              <w:jc w:val="center"/>
              <w:rPr>
                <w:rFonts w:hint="eastAsia" w:ascii="宋体" w:hAnsi="宋体"/>
              </w:rPr>
            </w:pPr>
            <w:r>
              <w:rPr>
                <w:rFonts w:hint="eastAsia" w:ascii="宋体" w:hAnsi="宋体"/>
              </w:rPr>
              <w:t>投标文件的大小</w:t>
            </w:r>
          </w:p>
        </w:tc>
        <w:tc>
          <w:tcPr>
            <w:tcW w:w="4871" w:type="dxa"/>
            <w:vAlign w:val="center"/>
          </w:tcPr>
          <w:p>
            <w:pPr>
              <w:jc w:val="center"/>
              <w:rPr>
                <w:rFonts w:hint="eastAsia"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6</w:t>
            </w:r>
          </w:p>
        </w:tc>
        <w:tc>
          <w:tcPr>
            <w:tcW w:w="2526" w:type="dxa"/>
            <w:vAlign w:val="center"/>
          </w:tcPr>
          <w:p>
            <w:pPr>
              <w:jc w:val="center"/>
              <w:rPr>
                <w:rFonts w:hint="eastAsia" w:ascii="宋体" w:hAnsi="宋体"/>
              </w:rPr>
            </w:pPr>
            <w:bookmarkStart w:id="29" w:name="_Hlk71664860"/>
            <w:r>
              <w:rPr>
                <w:rFonts w:hint="eastAsia" w:ascii="宋体" w:hAnsi="宋体"/>
              </w:rPr>
              <w:t>样品、演示、方案讲解</w:t>
            </w:r>
            <w:bookmarkEnd w:id="29"/>
          </w:p>
        </w:tc>
        <w:tc>
          <w:tcPr>
            <w:tcW w:w="4871" w:type="dxa"/>
            <w:vAlign w:val="center"/>
          </w:tcPr>
          <w:p>
            <w:pPr>
              <w:rPr>
                <w:rFonts w:hint="eastAsia" w:ascii="宋体" w:hAnsi="宋体"/>
              </w:rPr>
            </w:pPr>
            <w:r>
              <w:rPr>
                <w:rFonts w:hint="eastAsia" w:ascii="宋体" w:hAnsi="宋体"/>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7</w:t>
            </w:r>
          </w:p>
        </w:tc>
        <w:tc>
          <w:tcPr>
            <w:tcW w:w="2526" w:type="dxa"/>
            <w:vAlign w:val="center"/>
          </w:tcPr>
          <w:p>
            <w:pPr>
              <w:jc w:val="center"/>
              <w:rPr>
                <w:rFonts w:hint="eastAsia" w:ascii="宋体" w:hAnsi="宋体"/>
              </w:rPr>
            </w:pPr>
            <w:r>
              <w:rPr>
                <w:rFonts w:hint="eastAsia" w:ascii="宋体" w:hAnsi="宋体"/>
              </w:rPr>
              <w:t>评审方法</w:t>
            </w:r>
          </w:p>
        </w:tc>
        <w:tc>
          <w:tcPr>
            <w:tcW w:w="4871" w:type="dxa"/>
            <w:vAlign w:val="center"/>
          </w:tcPr>
          <w:p>
            <w:pPr>
              <w:jc w:val="left"/>
              <w:rPr>
                <w:rFonts w:hint="eastAsia" w:ascii="宋体" w:hAnsi="宋体"/>
              </w:rPr>
            </w:pPr>
            <w:r>
              <w:rPr>
                <w:rFonts w:hint="eastAsia" w:ascii="宋体" w:hAnsi="宋体"/>
                <w:b/>
              </w:rPr>
              <w:t xml:space="preserve">☑ </w:t>
            </w: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8</w:t>
            </w:r>
          </w:p>
        </w:tc>
        <w:tc>
          <w:tcPr>
            <w:tcW w:w="2526" w:type="dxa"/>
            <w:vAlign w:val="center"/>
          </w:tcPr>
          <w:p>
            <w:pPr>
              <w:jc w:val="center"/>
              <w:rPr>
                <w:rFonts w:hint="eastAsia" w:ascii="宋体" w:hAnsi="宋体"/>
              </w:rPr>
            </w:pPr>
            <w:r>
              <w:rPr>
                <w:rFonts w:hint="eastAsia" w:ascii="宋体" w:hAnsi="宋体"/>
              </w:rPr>
              <w:t>定标方法</w:t>
            </w:r>
          </w:p>
        </w:tc>
        <w:tc>
          <w:tcPr>
            <w:tcW w:w="4871" w:type="dxa"/>
            <w:vAlign w:val="center"/>
          </w:tcPr>
          <w:p>
            <w:pPr>
              <w:jc w:val="left"/>
              <w:rPr>
                <w:rFonts w:hint="eastAsia" w:ascii="宋体" w:hAnsi="宋体"/>
              </w:rPr>
            </w:pPr>
            <w:r>
              <w:rPr>
                <w:rFonts w:hint="eastAsia" w:ascii="宋体" w:hAnsi="宋体"/>
                <w:b/>
              </w:rPr>
              <w:t xml:space="preserve">☑ </w:t>
            </w: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42</w:t>
            </w:r>
          </w:p>
        </w:tc>
        <w:tc>
          <w:tcPr>
            <w:tcW w:w="2526" w:type="dxa"/>
            <w:vAlign w:val="center"/>
          </w:tcPr>
          <w:p>
            <w:pPr>
              <w:rPr>
                <w:rFonts w:hint="eastAsia" w:ascii="宋体" w:hAnsi="宋体"/>
              </w:rPr>
            </w:pPr>
            <w:r>
              <w:rPr>
                <w:rFonts w:hint="eastAsia"/>
              </w:rPr>
              <w:t>公开征集失败的处理</w:t>
            </w:r>
          </w:p>
        </w:tc>
        <w:tc>
          <w:tcPr>
            <w:tcW w:w="4871" w:type="dxa"/>
            <w:vAlign w:val="center"/>
          </w:tcPr>
          <w:p>
            <w:r>
              <w:rPr>
                <w:rFonts w:hint="eastAsia"/>
              </w:rPr>
              <w:t>公开征集有效供应商不足三家的，项目根据以下情况开展：</w:t>
            </w:r>
          </w:p>
          <w:p>
            <w:r>
              <w:rPr>
                <w:rFonts w:hint="eastAsia"/>
              </w:rPr>
              <w:t>1.有效供应商为两家的，项目现场转为邀请竞标，评审委员会根据本项目采购文件规定的评审方法确定中标供应商；</w:t>
            </w:r>
          </w:p>
          <w:p>
            <w:r>
              <w:rPr>
                <w:rFonts w:hint="eastAsia"/>
              </w:rPr>
              <w:t>2.有效供应商为一家的，项目现场转为直接采购，评审委员会与唯一供应商进行总计不少于三轮谈判、报价（含首轮报价）；</w:t>
            </w:r>
          </w:p>
          <w:p>
            <w:pPr>
              <w:jc w:val="left"/>
              <w:rPr>
                <w:rFonts w:hint="eastAsia" w:ascii="宋体" w:hAnsi="宋体"/>
                <w:b/>
              </w:rPr>
            </w:pPr>
            <w:r>
              <w:rPr>
                <w:rFonts w:hint="eastAsia"/>
              </w:rPr>
              <w:t>3.无有效供应商的，项目公开征集失败，重新采购。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4</w:t>
            </w:r>
            <w:r>
              <w:rPr>
                <w:rFonts w:ascii="宋体" w:hAnsi="宋体"/>
              </w:rPr>
              <w:t>6</w:t>
            </w:r>
          </w:p>
        </w:tc>
        <w:tc>
          <w:tcPr>
            <w:tcW w:w="2526" w:type="dxa"/>
            <w:vAlign w:val="center"/>
          </w:tcPr>
          <w:p>
            <w:pPr>
              <w:jc w:val="center"/>
              <w:rPr>
                <w:rFonts w:hint="eastAsia" w:ascii="宋体" w:hAnsi="宋体"/>
              </w:rPr>
            </w:pPr>
            <w:r>
              <w:rPr>
                <w:rFonts w:hint="eastAsia" w:ascii="宋体" w:hAnsi="宋体"/>
              </w:rPr>
              <w:t>履约担保</w:t>
            </w:r>
          </w:p>
        </w:tc>
        <w:tc>
          <w:tcPr>
            <w:tcW w:w="4871" w:type="dxa"/>
            <w:vAlign w:val="center"/>
          </w:tcPr>
          <w:p>
            <w:pPr>
              <w:jc w:val="left"/>
              <w:rPr>
                <w:rFonts w:hint="eastAsia" w:ascii="宋体" w:hAnsi="宋体"/>
              </w:rPr>
            </w:pPr>
            <w:r>
              <w:rPr>
                <w:rFonts w:hint="eastAsia" w:ascii="宋体" w:hAnsi="宋体"/>
                <w:b/>
              </w:rPr>
              <w:t xml:space="preserve">☑ </w:t>
            </w:r>
            <w:r>
              <w:rPr>
                <w:rFonts w:hint="eastAsia" w:ascii="宋体" w:hAnsi="宋体"/>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52.8</w:t>
            </w:r>
          </w:p>
        </w:tc>
        <w:tc>
          <w:tcPr>
            <w:tcW w:w="2526" w:type="dxa"/>
            <w:vAlign w:val="center"/>
          </w:tcPr>
          <w:p>
            <w:pPr>
              <w:jc w:val="center"/>
              <w:rPr>
                <w:rFonts w:hint="eastAsia" w:ascii="宋体" w:hAnsi="宋体"/>
              </w:rPr>
            </w:pPr>
            <w:r>
              <w:rPr>
                <w:rFonts w:hint="eastAsia" w:ascii="宋体" w:hAnsi="宋体"/>
              </w:rPr>
              <w:t>争议（投诉）</w:t>
            </w:r>
          </w:p>
        </w:tc>
        <w:tc>
          <w:tcPr>
            <w:tcW w:w="4871" w:type="dxa"/>
            <w:vAlign w:val="center"/>
          </w:tcPr>
          <w:p>
            <w:pPr>
              <w:jc w:val="left"/>
              <w:rPr>
                <w:rFonts w:hint="eastAsia"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pPr>
        <w:rPr>
          <w:b/>
        </w:rPr>
      </w:pPr>
      <w:r>
        <w:rPr>
          <w:rFonts w:hint="eastAsia"/>
          <w:szCs w:val="21"/>
        </w:rPr>
        <w:t>备注：本表是通用条款相关条款的补充和明确，如与通用条款内容相冲突的，以本表为准。</w:t>
      </w:r>
    </w:p>
    <w:p>
      <w:pPr>
        <w:rPr>
          <w:b/>
        </w:rPr>
      </w:pPr>
    </w:p>
    <w:p>
      <w:pPr>
        <w:pStyle w:val="7"/>
        <w:spacing w:before="120" w:beforeLines="50" w:after="120" w:afterLines="50"/>
        <w:rPr>
          <w:rFonts w:hint="eastAsia"/>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hint="eastAsia"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5587" w:type="dxa"/>
          </w:tcPr>
          <w:p>
            <w:pPr>
              <w:jc w:val="center"/>
            </w:pPr>
            <w:r>
              <w:rPr>
                <w:rFonts w:hint="eastAsia"/>
              </w:rPr>
              <w:sym w:font="Wingdings" w:char="00FE"/>
            </w: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5587"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5587" w:type="dxa"/>
          </w:tcPr>
          <w:p>
            <w:pPr>
              <w:jc w:val="center"/>
            </w:pPr>
            <w:r>
              <w:rPr>
                <w:rFonts w:hint="eastAsia"/>
              </w:rPr>
              <w:t>1</w:t>
            </w:r>
          </w:p>
        </w:tc>
      </w:tr>
    </w:tbl>
    <w:p>
      <w:pPr>
        <w:ind w:firstLine="422" w:firstLineChars="200"/>
        <w:rPr>
          <w:rFonts w:hint="eastAsia" w:ascii="宋体" w:hAnsi="宋体"/>
          <w:b/>
        </w:rPr>
      </w:pPr>
    </w:p>
    <w:bookmarkEnd w:id="30"/>
    <w:p>
      <w:pPr>
        <w:ind w:firstLine="422" w:firstLineChars="200"/>
        <w:rPr>
          <w:b/>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pPr>
      <w:r>
        <w:rPr>
          <w:rFonts w:hint="eastAsia"/>
        </w:rPr>
        <w:t>（1）专门面向中小企业采购的项目，不再执行价格扣除比例。</w:t>
      </w:r>
    </w:p>
    <w:p>
      <w:pPr>
        <w:ind w:firstLine="420" w:firstLineChars="200"/>
      </w:pPr>
      <w:r>
        <w:rPr>
          <w:rFonts w:hint="eastAsia"/>
        </w:rPr>
        <w:t xml:space="preserve">（2）非专门面向中小企业采购的项目，应执行价格扣除比例：投标人提供的工程全部均由优惠主体承建，则对其投标总价给予 </w:t>
      </w:r>
      <w:r>
        <w:rPr>
          <w:rFonts w:hint="eastAsia"/>
          <w:color w:val="FF0000"/>
          <w:u w:val="single"/>
        </w:rPr>
        <w:t>3%</w:t>
      </w:r>
      <w:r>
        <w:rPr>
          <w:rFonts w:hint="eastAsia"/>
          <w:color w:val="FF0000"/>
        </w:rPr>
        <w:t>（3%~5%）</w:t>
      </w:r>
      <w:r>
        <w:rPr>
          <w:rFonts w:hint="eastAsia"/>
        </w:rPr>
        <w:t>的扣除，用扣除后的价格参与评审。满足多项优惠政策的供应商，不重复享受多项价格扣除政策。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pPr>
        <w:numPr>
          <w:ilvl w:val="0"/>
          <w:numId w:val="7"/>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rFonts w:hint="eastAsia"/>
          <w:color w:val="FF0000"/>
          <w:szCs w:val="21"/>
          <w:u w:val="single"/>
        </w:rPr>
        <w:t>建筑</w:t>
      </w:r>
      <w:r>
        <w:rPr>
          <w:rFonts w:hint="eastAsia"/>
          <w:szCs w:val="21"/>
        </w:rPr>
        <w:t>业。</w:t>
      </w:r>
    </w:p>
    <w:p>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采购文件第一册专用条款第四章“投标文件组成要求及格式”中“三、投标人情况介绍及资格证明文件”章节提供的格式）。</w:t>
      </w:r>
    </w:p>
    <w:p>
      <w:pPr>
        <w:ind w:firstLine="420" w:firstLineChars="200"/>
      </w:pPr>
      <w:r>
        <w:rPr>
          <w:rFonts w:hint="eastAsia"/>
        </w:rPr>
        <w:t>（5）享受价格扣除获得采购合同的，小微企业不得将合同分包给大中型企业。</w:t>
      </w:r>
    </w:p>
    <w:p>
      <w:pPr>
        <w:spacing w:line="360" w:lineRule="auto"/>
        <w:ind w:firstLine="422" w:firstLineChars="200"/>
        <w:rPr>
          <w:rFonts w:hint="eastAsia" w:ascii="宋体" w:hAnsi="宋体" w:cs="宋体"/>
          <w:b/>
          <w:bCs/>
        </w:rPr>
      </w:pPr>
    </w:p>
    <w:p>
      <w:pPr>
        <w:ind w:firstLine="422" w:firstLineChars="200"/>
        <w:rPr>
          <w:rFonts w:hint="eastAsia" w:ascii="宋体" w:hAnsi="宋体" w:cs="宋体"/>
          <w:b/>
          <w:bCs/>
        </w:rPr>
      </w:pPr>
      <w:r>
        <w:rPr>
          <w:rFonts w:hint="eastAsia" w:ascii="宋体" w:hAnsi="宋体" w:cs="宋体"/>
          <w:b/>
          <w:bCs/>
        </w:rPr>
        <w:t>2、关于采购订单融资政策</w:t>
      </w:r>
    </w:p>
    <w:p>
      <w:pPr>
        <w:wordWrap w:val="0"/>
        <w:ind w:firstLine="420" w:firstLineChars="200"/>
        <w:rPr>
          <w:rFonts w:hint="eastAsia"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640" w:firstLineChars="200"/>
        <w:rPr>
          <w:sz w:val="32"/>
          <w:szCs w:val="40"/>
        </w:rPr>
      </w:pPr>
    </w:p>
    <w:p>
      <w:pPr>
        <w:ind w:firstLine="422" w:firstLineChars="200"/>
        <w:rPr>
          <w:b/>
        </w:rPr>
      </w:pPr>
      <w:r>
        <w:rPr>
          <w:rFonts w:hint="eastAsia"/>
          <w:b/>
        </w:rPr>
        <w:t>3、</w:t>
      </w:r>
      <w:bookmarkStart w:id="31" w:name="_Hlk76855768"/>
      <w:bookmarkStart w:id="32" w:name="_Hlk72594729"/>
      <w:r>
        <w:rPr>
          <w:rFonts w:hint="eastAsia"/>
          <w:b/>
        </w:rPr>
        <w:t>本项目为代理服务项目，将向中标（成交）供应商收取代理服务费。</w:t>
      </w:r>
    </w:p>
    <w:bookmarkEnd w:id="31"/>
    <w:bookmarkEnd w:id="32"/>
    <w:p>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本项目类型为工程采购：</w:t>
      </w:r>
    </w:p>
    <w:p>
      <w:pPr>
        <w:ind w:firstLine="420" w:firstLineChars="200"/>
      </w:pPr>
      <w:r>
        <w:rPr>
          <w:rFonts w:hint="eastAsia"/>
        </w:rPr>
        <w:t>（1）代理服务费以《中标（成交）通知书》确定的中标（成交）金额作为计算基数，按差额定率累进法计算。</w:t>
      </w:r>
    </w:p>
    <w:p>
      <w:pPr>
        <w:ind w:firstLine="420" w:firstLineChars="200"/>
      </w:pPr>
      <w:r>
        <w:rPr>
          <w:rFonts w:hint="eastAsia"/>
        </w:rPr>
        <w:t>（2）中标（成交）金额的各部分费率如下表：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rPr>
          <w:rFonts w:hint="eastAsia"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3" w:name="OLE_LINK1"/>
      <w:r>
        <w:rPr>
          <w:rFonts w:hint="eastAsia"/>
        </w:rPr>
        <w:t>《付款（缴款）通知书》</w:t>
      </w:r>
      <w:bookmarkEnd w:id="33"/>
      <w:r>
        <w:rPr>
          <w:rFonts w:hint="eastAsia"/>
        </w:rPr>
        <w:t>内容为准。</w:t>
      </w:r>
    </w:p>
    <w:p>
      <w:pPr>
        <w:pStyle w:val="2"/>
      </w:pPr>
      <w:r>
        <w:rPr>
          <w:rFonts w:hint="eastAsia"/>
        </w:rPr>
        <w:br w:type="page"/>
      </w:r>
    </w:p>
    <w:p>
      <w:pPr>
        <w:pStyle w:val="7"/>
        <w:rPr>
          <w:rFonts w:hint="eastAsia"/>
          <w:sz w:val="28"/>
          <w:szCs w:val="28"/>
        </w:rPr>
      </w:pPr>
      <w:bookmarkStart w:id="34" w:name="_Toc128884461"/>
      <w:r>
        <w:rPr>
          <w:rFonts w:hint="eastAsia"/>
          <w:sz w:val="28"/>
          <w:szCs w:val="28"/>
        </w:rPr>
        <w:t>第三章 用户需求书</w:t>
      </w:r>
    </w:p>
    <w:p>
      <w:pPr>
        <w:pStyle w:val="7"/>
        <w:spacing w:before="120" w:beforeLines="50" w:after="120" w:afterLines="50"/>
        <w:rPr>
          <w:rFonts w:hint="eastAsia"/>
          <w:szCs w:val="24"/>
        </w:rPr>
      </w:pPr>
      <w:r>
        <w:rPr>
          <w:rFonts w:hint="eastAsia"/>
          <w:szCs w:val="24"/>
        </w:rPr>
        <w:t>一、项目基本信息</w:t>
      </w:r>
    </w:p>
    <w:tbl>
      <w:tblPr>
        <w:tblStyle w:val="43"/>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392"/>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vAlign w:val="center"/>
          </w:tcPr>
          <w:p>
            <w:pPr>
              <w:jc w:val="center"/>
              <w:rPr>
                <w:bCs/>
                <w:szCs w:val="21"/>
              </w:rPr>
            </w:pPr>
            <w:r>
              <w:rPr>
                <w:rFonts w:hint="eastAsia"/>
                <w:bCs/>
                <w:szCs w:val="21"/>
              </w:rPr>
              <w:t>序号</w:t>
            </w:r>
          </w:p>
        </w:tc>
        <w:tc>
          <w:tcPr>
            <w:tcW w:w="4392" w:type="dxa"/>
            <w:vAlign w:val="center"/>
          </w:tcPr>
          <w:p>
            <w:pPr>
              <w:jc w:val="center"/>
              <w:rPr>
                <w:bCs/>
                <w:szCs w:val="21"/>
              </w:rPr>
            </w:pPr>
            <w:r>
              <w:rPr>
                <w:rFonts w:hint="eastAsia"/>
                <w:bCs/>
                <w:szCs w:val="21"/>
              </w:rPr>
              <w:t>采购项目名称</w:t>
            </w:r>
          </w:p>
        </w:tc>
        <w:tc>
          <w:tcPr>
            <w:tcW w:w="3638" w:type="dxa"/>
            <w:vAlign w:val="center"/>
          </w:tcPr>
          <w:p>
            <w:pPr>
              <w:jc w:val="center"/>
              <w:rPr>
                <w:b/>
                <w:bCs/>
                <w:color w:val="FF0000"/>
                <w:szCs w:val="21"/>
              </w:rPr>
            </w:pPr>
            <w:r>
              <w:rPr>
                <w:rFonts w:hint="eastAsia"/>
                <w:b/>
                <w:bCs/>
                <w:color w:val="FF0000"/>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vAlign w:val="center"/>
          </w:tcPr>
          <w:p>
            <w:pPr>
              <w:jc w:val="center"/>
              <w:rPr>
                <w:bCs/>
                <w:color w:val="FF0000"/>
                <w:szCs w:val="21"/>
              </w:rPr>
            </w:pPr>
            <w:r>
              <w:rPr>
                <w:rFonts w:hint="eastAsia"/>
                <w:bCs/>
                <w:color w:val="FF0000"/>
                <w:szCs w:val="21"/>
              </w:rPr>
              <w:t>1</w:t>
            </w:r>
          </w:p>
        </w:tc>
        <w:tc>
          <w:tcPr>
            <w:tcW w:w="4392" w:type="dxa"/>
            <w:vAlign w:val="center"/>
          </w:tcPr>
          <w:p>
            <w:pPr>
              <w:jc w:val="center"/>
              <w:rPr>
                <w:b/>
                <w:bCs/>
                <w:color w:val="FF0000"/>
                <w:szCs w:val="21"/>
              </w:rPr>
            </w:pPr>
            <w:r>
              <w:rPr>
                <w:rFonts w:hint="eastAsia"/>
                <w:b/>
                <w:bCs/>
                <w:color w:val="FF0000"/>
                <w:szCs w:val="21"/>
              </w:rPr>
              <w:t>深圳市第一、第二看守所监区医务室改造</w:t>
            </w:r>
          </w:p>
        </w:tc>
        <w:tc>
          <w:tcPr>
            <w:tcW w:w="3638" w:type="dxa"/>
            <w:vAlign w:val="center"/>
          </w:tcPr>
          <w:p>
            <w:pPr>
              <w:jc w:val="center"/>
              <w:rPr>
                <w:bCs/>
                <w:color w:val="FF0000"/>
                <w:szCs w:val="21"/>
              </w:rPr>
            </w:pPr>
            <w:r>
              <w:rPr>
                <w:rFonts w:hint="eastAsia"/>
                <w:bCs/>
                <w:color w:val="FF0000"/>
                <w:szCs w:val="21"/>
              </w:rPr>
              <w:t>849906.33</w:t>
            </w:r>
          </w:p>
        </w:tc>
      </w:tr>
    </w:tbl>
    <w:p>
      <w:pPr>
        <w:pStyle w:val="7"/>
        <w:spacing w:before="120" w:beforeLines="50" w:after="120" w:afterLines="50"/>
        <w:rPr>
          <w:rFonts w:hint="eastAsia"/>
          <w:szCs w:val="24"/>
        </w:rPr>
      </w:pPr>
      <w:r>
        <w:rPr>
          <w:rFonts w:hint="eastAsia"/>
          <w:szCs w:val="24"/>
        </w:rPr>
        <w:t>二、项目概况</w:t>
      </w:r>
    </w:p>
    <w:p>
      <w:pPr>
        <w:ind w:firstLine="480" w:firstLineChars="200"/>
        <w:rPr>
          <w:sz w:val="24"/>
        </w:rPr>
      </w:pPr>
      <w:r>
        <w:rPr>
          <w:rFonts w:hint="eastAsia"/>
          <w:sz w:val="24"/>
        </w:rPr>
        <w:t>看守所监区急诊区、看诊区、候诊区、治疗室、抢救室、B超室、药房、医生办公室、护士办公室、档案室、会议室、仓库、卫生间、配药室、阅览室等功能区域装修改造，包括墙体拆除及新建，水电改造，地面铺设抗菌防潮地胶配踢脚线，墙面贴瓷砖、刷乳胶漆，天花吊顶，门窗安装，隔断安装，外窗加装金属防护栏栅，定制办公家具等（详见工程量清单）。</w:t>
      </w:r>
    </w:p>
    <w:p>
      <w:pPr>
        <w:rPr>
          <w:rFonts w:hint="eastAsia" w:ascii="宋体" w:hAnsi="宋体"/>
          <w:b/>
          <w:color w:val="FF0000"/>
          <w:szCs w:val="21"/>
        </w:rPr>
      </w:pPr>
    </w:p>
    <w:p>
      <w:pPr>
        <w:pStyle w:val="7"/>
        <w:spacing w:before="120" w:beforeLines="50" w:after="120" w:afterLines="50"/>
        <w:rPr>
          <w:rFonts w:hint="eastAsia"/>
          <w:szCs w:val="24"/>
        </w:rPr>
      </w:pPr>
      <w:r>
        <w:rPr>
          <w:rFonts w:hint="eastAsia"/>
          <w:szCs w:val="24"/>
        </w:rPr>
        <w:t>三、</w:t>
      </w:r>
      <w:bookmarkStart w:id="35" w:name="_Hlk72073432"/>
      <w:r>
        <w:rPr>
          <w:rFonts w:hint="eastAsia"/>
          <w:szCs w:val="24"/>
        </w:rPr>
        <w:t>需求明细</w:t>
      </w:r>
      <w:bookmarkEnd w:id="35"/>
    </w:p>
    <w:tbl>
      <w:tblPr>
        <w:tblStyle w:val="43"/>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pPr>
              <w:jc w:val="center"/>
              <w:rPr>
                <w:bCs/>
                <w:szCs w:val="21"/>
              </w:rPr>
            </w:pPr>
            <w:r>
              <w:rPr>
                <w:rFonts w:hint="eastAsia"/>
                <w:bCs/>
                <w:szCs w:val="21"/>
              </w:rPr>
              <w:t>序号</w:t>
            </w:r>
          </w:p>
        </w:tc>
        <w:tc>
          <w:tcPr>
            <w:tcW w:w="6170" w:type="dxa"/>
            <w:vAlign w:val="center"/>
          </w:tcPr>
          <w:p>
            <w:pPr>
              <w:jc w:val="center"/>
              <w:rPr>
                <w:bCs/>
                <w:szCs w:val="21"/>
              </w:rPr>
            </w:pPr>
            <w:r>
              <w:rPr>
                <w:rFonts w:hint="eastAsia"/>
                <w:bCs/>
                <w:szCs w:val="21"/>
              </w:rPr>
              <w:t>需求名称（标的名称）</w:t>
            </w:r>
          </w:p>
        </w:tc>
        <w:tc>
          <w:tcPr>
            <w:tcW w:w="851" w:type="dxa"/>
            <w:vAlign w:val="center"/>
          </w:tcPr>
          <w:p>
            <w:pPr>
              <w:jc w:val="center"/>
              <w:rPr>
                <w:bCs/>
                <w:szCs w:val="21"/>
              </w:rPr>
            </w:pPr>
            <w:r>
              <w:rPr>
                <w:rFonts w:hint="eastAsia"/>
                <w:bCs/>
                <w:szCs w:val="21"/>
              </w:rPr>
              <w:t>数量</w:t>
            </w:r>
          </w:p>
        </w:tc>
        <w:tc>
          <w:tcPr>
            <w:tcW w:w="850" w:type="dxa"/>
            <w:vAlign w:val="center"/>
          </w:tcPr>
          <w:p>
            <w:pPr>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1</w:t>
            </w:r>
          </w:p>
        </w:tc>
        <w:tc>
          <w:tcPr>
            <w:tcW w:w="6170" w:type="dxa"/>
            <w:vAlign w:val="center"/>
          </w:tcPr>
          <w:p>
            <w:pPr>
              <w:jc w:val="center"/>
              <w:rPr>
                <w:bCs/>
                <w:szCs w:val="21"/>
              </w:rPr>
            </w:pPr>
            <w:r>
              <w:rPr>
                <w:rFonts w:hint="eastAsia"/>
                <w:bCs/>
                <w:szCs w:val="21"/>
              </w:rPr>
              <w:t>深圳市第一、第二看守所监区医务室改造</w:t>
            </w:r>
          </w:p>
        </w:tc>
        <w:tc>
          <w:tcPr>
            <w:tcW w:w="851" w:type="dxa"/>
            <w:vAlign w:val="center"/>
          </w:tcPr>
          <w:p>
            <w:pPr>
              <w:jc w:val="center"/>
              <w:rPr>
                <w:bCs/>
                <w:szCs w:val="21"/>
              </w:rPr>
            </w:pPr>
            <w:r>
              <w:rPr>
                <w:rFonts w:hint="eastAsia"/>
                <w:bCs/>
                <w:szCs w:val="21"/>
              </w:rPr>
              <w:t>1</w:t>
            </w:r>
          </w:p>
        </w:tc>
        <w:tc>
          <w:tcPr>
            <w:tcW w:w="850" w:type="dxa"/>
            <w:vAlign w:val="center"/>
          </w:tcPr>
          <w:p>
            <w:pPr>
              <w:jc w:val="center"/>
              <w:rPr>
                <w:bCs/>
                <w:szCs w:val="21"/>
              </w:rPr>
            </w:pPr>
            <w:r>
              <w:rPr>
                <w:rFonts w:hint="eastAsia"/>
                <w:bCs/>
                <w:szCs w:val="21"/>
              </w:rPr>
              <w:t>项</w:t>
            </w:r>
          </w:p>
        </w:tc>
      </w:tr>
    </w:tbl>
    <w:p>
      <w:pPr>
        <w:rPr>
          <w:rFonts w:hint="eastAsia" w:ascii="宋体" w:hAnsi="宋体"/>
          <w:b/>
          <w:color w:val="FF0000"/>
          <w:szCs w:val="21"/>
        </w:rPr>
      </w:pPr>
    </w:p>
    <w:p>
      <w:pPr>
        <w:pStyle w:val="7"/>
        <w:spacing w:before="120" w:beforeLines="50" w:after="120" w:afterLines="50"/>
        <w:rPr>
          <w:rFonts w:hint="eastAsia"/>
          <w:szCs w:val="24"/>
        </w:rPr>
      </w:pPr>
      <w:r>
        <w:rPr>
          <w:rFonts w:hint="eastAsia"/>
          <w:szCs w:val="24"/>
        </w:rPr>
        <w:t>四、实质性条款</w:t>
      </w:r>
    </w:p>
    <w:tbl>
      <w:tblPr>
        <w:tblStyle w:val="43"/>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951"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951" w:type="dxa"/>
          </w:tcPr>
          <w:p>
            <w:pPr>
              <w:rPr>
                <w:rFonts w:hint="eastAsia" w:hAnsi="宋体" w:eastAsiaTheme="minorEastAsia"/>
                <w:kern w:val="0"/>
                <w:szCs w:val="21"/>
              </w:rPr>
            </w:pPr>
            <w:r>
              <w:rPr>
                <w:rFonts w:hint="eastAsia"/>
              </w:rPr>
              <w:t>满足本项目标★的条款要求</w:t>
            </w:r>
          </w:p>
        </w:tc>
      </w:tr>
      <w:bookmarkEnd w:id="34"/>
    </w:tbl>
    <w:p>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采购</w:t>
      </w:r>
      <w:r>
        <w:rPr>
          <w:rFonts w:ascii="宋体"/>
          <w:b/>
          <w:kern w:val="0"/>
          <w:sz w:val="24"/>
          <w:szCs w:val="20"/>
        </w:rPr>
        <w:t>文件要求和条件作投标无效处理。</w:t>
      </w:r>
    </w:p>
    <w:p>
      <w:pPr>
        <w:pStyle w:val="2"/>
      </w:pPr>
    </w:p>
    <w:p>
      <w:pPr>
        <w:pStyle w:val="7"/>
        <w:spacing w:before="120" w:beforeLines="50" w:after="120" w:afterLines="50"/>
        <w:rPr>
          <w:rFonts w:hint="eastAsia"/>
          <w:szCs w:val="24"/>
        </w:rPr>
      </w:pPr>
      <w:r>
        <w:rPr>
          <w:rFonts w:hint="eastAsia"/>
          <w:szCs w:val="24"/>
        </w:rPr>
        <w:t>五、技术要求</w:t>
      </w:r>
    </w:p>
    <w:p>
      <w:pPr>
        <w:spacing w:line="440" w:lineRule="exact"/>
        <w:ind w:firstLine="420" w:firstLineChars="200"/>
        <w:rPr>
          <w:rFonts w:hint="eastAsia" w:ascii="宋体" w:hAnsi="宋体"/>
          <w:color w:val="000000"/>
          <w:szCs w:val="21"/>
        </w:rPr>
      </w:pPr>
      <w:r>
        <w:rPr>
          <w:rFonts w:hint="eastAsia" w:ascii="宋体" w:hAnsi="宋体"/>
          <w:color w:val="000000"/>
          <w:szCs w:val="21"/>
        </w:rPr>
        <w:t>（一）基本要求</w:t>
      </w:r>
    </w:p>
    <w:p>
      <w:pPr>
        <w:spacing w:line="440" w:lineRule="exact"/>
        <w:ind w:firstLine="420" w:firstLineChars="200"/>
        <w:rPr>
          <w:rFonts w:hint="eastAsia" w:ascii="宋体" w:hAnsi="宋体"/>
          <w:color w:val="000000"/>
          <w:szCs w:val="21"/>
        </w:rPr>
      </w:pPr>
      <w:r>
        <w:rPr>
          <w:rFonts w:hint="eastAsia" w:ascii="宋体" w:hAnsi="宋体"/>
          <w:color w:val="000000"/>
          <w:szCs w:val="21"/>
        </w:rPr>
        <w:t>1、本工程完成需符合国家和地方现行相关质量评定标准和施工技术规范、施工图设计要求。</w:t>
      </w:r>
    </w:p>
    <w:p>
      <w:pPr>
        <w:spacing w:line="440" w:lineRule="exact"/>
        <w:ind w:firstLine="420" w:firstLineChars="200"/>
        <w:rPr>
          <w:rFonts w:hint="eastAsia" w:ascii="宋体" w:hAnsi="宋体"/>
          <w:color w:val="000000"/>
          <w:szCs w:val="21"/>
        </w:rPr>
      </w:pPr>
      <w:r>
        <w:rPr>
          <w:rFonts w:hint="eastAsia" w:ascii="宋体" w:hAnsi="宋体"/>
          <w:color w:val="000000"/>
          <w:szCs w:val="21"/>
        </w:rPr>
        <w:t>2、本工程的材料检验和质量、工艺试验按国家、地方现行相关规定执行。</w:t>
      </w:r>
    </w:p>
    <w:p>
      <w:pPr>
        <w:spacing w:line="440" w:lineRule="exact"/>
        <w:ind w:firstLine="420" w:firstLineChars="200"/>
        <w:rPr>
          <w:rFonts w:hint="eastAsia" w:ascii="宋体" w:hAnsi="宋体"/>
          <w:color w:val="000000"/>
          <w:szCs w:val="21"/>
        </w:rPr>
      </w:pPr>
      <w:r>
        <w:rPr>
          <w:rFonts w:hint="eastAsia" w:ascii="宋体" w:hAnsi="宋体"/>
          <w:color w:val="000000"/>
          <w:szCs w:val="21"/>
        </w:rPr>
        <w:t>3、本工程施工过程、施工范围、施工工艺需符合监管场所安全管理要求。</w:t>
      </w:r>
    </w:p>
    <w:p>
      <w:pPr>
        <w:spacing w:line="440" w:lineRule="exact"/>
        <w:ind w:firstLine="420" w:firstLineChars="200"/>
        <w:rPr>
          <w:rFonts w:hint="eastAsia" w:ascii="宋体" w:hAnsi="宋体"/>
          <w:color w:val="000000"/>
          <w:szCs w:val="21"/>
        </w:rPr>
      </w:pPr>
      <w:r>
        <w:rPr>
          <w:rFonts w:hint="eastAsia" w:ascii="宋体" w:hAnsi="宋体"/>
          <w:color w:val="000000"/>
          <w:szCs w:val="21"/>
        </w:rPr>
        <w:t>4、投标人需遵守及执行产品出产地以及工程所在地的设计、供应及安装规范、征集文件技术规范之各项要求，当其出现差异时，应执行标准较高部分之规范标准；技术规范包括但不限于：</w:t>
      </w:r>
    </w:p>
    <w:p>
      <w:pPr>
        <w:spacing w:line="440" w:lineRule="exact"/>
        <w:ind w:firstLine="420" w:firstLineChars="200"/>
        <w:rPr>
          <w:rFonts w:hint="eastAsia" w:ascii="宋体" w:hAnsi="宋体"/>
          <w:color w:val="000000"/>
          <w:szCs w:val="21"/>
        </w:rPr>
      </w:pPr>
      <w:r>
        <w:rPr>
          <w:rFonts w:hint="eastAsia" w:ascii="宋体" w:hAnsi="宋体"/>
          <w:color w:val="000000"/>
          <w:szCs w:val="21"/>
        </w:rPr>
        <w:t>（1）《民用建筑设计统一标准》GB 50352-2019</w:t>
      </w:r>
    </w:p>
    <w:p>
      <w:pPr>
        <w:spacing w:line="440" w:lineRule="exact"/>
        <w:ind w:firstLine="420" w:firstLineChars="200"/>
        <w:rPr>
          <w:rFonts w:hint="eastAsia" w:ascii="宋体" w:hAnsi="宋体"/>
          <w:color w:val="000000"/>
          <w:szCs w:val="21"/>
        </w:rPr>
      </w:pPr>
      <w:r>
        <w:rPr>
          <w:rFonts w:hint="eastAsia" w:ascii="宋体" w:hAnsi="宋体"/>
          <w:color w:val="000000"/>
          <w:szCs w:val="21"/>
        </w:rPr>
        <w:t>（2）《建筑设计防火规范》GB 50016-2014(2018年版)</w:t>
      </w:r>
    </w:p>
    <w:p>
      <w:pPr>
        <w:spacing w:line="440" w:lineRule="exact"/>
        <w:ind w:firstLine="420" w:firstLineChars="200"/>
        <w:rPr>
          <w:rFonts w:hint="eastAsia" w:ascii="宋体" w:hAnsi="宋体"/>
          <w:color w:val="000000"/>
          <w:szCs w:val="21"/>
        </w:rPr>
      </w:pPr>
      <w:r>
        <w:rPr>
          <w:rFonts w:hint="eastAsia" w:ascii="宋体" w:hAnsi="宋体"/>
          <w:color w:val="000000"/>
          <w:szCs w:val="21"/>
        </w:rPr>
        <w:t>（3）《建筑内部装修设计防火规范》GB50222-2017</w:t>
      </w:r>
    </w:p>
    <w:p>
      <w:pPr>
        <w:spacing w:line="440" w:lineRule="exact"/>
        <w:ind w:firstLine="420" w:firstLineChars="200"/>
        <w:rPr>
          <w:rFonts w:hint="eastAsia" w:ascii="宋体" w:hAnsi="宋体"/>
          <w:color w:val="000000"/>
          <w:szCs w:val="21"/>
        </w:rPr>
      </w:pPr>
      <w:r>
        <w:rPr>
          <w:rFonts w:hint="eastAsia" w:ascii="宋体" w:hAnsi="宋体"/>
          <w:color w:val="000000"/>
          <w:szCs w:val="21"/>
        </w:rPr>
        <w:t>（4）《屋面工程技术规范》(GB 50345-2012)</w:t>
      </w:r>
    </w:p>
    <w:p>
      <w:pPr>
        <w:spacing w:line="440" w:lineRule="exact"/>
        <w:ind w:firstLine="420" w:firstLineChars="200"/>
        <w:rPr>
          <w:rFonts w:hint="eastAsia" w:ascii="宋体" w:hAnsi="宋体"/>
          <w:color w:val="000000"/>
          <w:szCs w:val="21"/>
        </w:rPr>
      </w:pPr>
      <w:r>
        <w:rPr>
          <w:rFonts w:hint="eastAsia" w:ascii="宋体" w:hAnsi="宋体"/>
          <w:color w:val="000000"/>
          <w:szCs w:val="21"/>
        </w:rPr>
        <w:t>（6）《公共建筑节能设计标准》GB 50189-2015</w:t>
      </w:r>
    </w:p>
    <w:p>
      <w:pPr>
        <w:spacing w:line="440" w:lineRule="exact"/>
        <w:ind w:firstLine="420" w:firstLineChars="200"/>
        <w:rPr>
          <w:rFonts w:hint="eastAsia" w:ascii="宋体" w:hAnsi="宋体"/>
          <w:color w:val="000000"/>
          <w:szCs w:val="21"/>
        </w:rPr>
      </w:pPr>
      <w:r>
        <w:rPr>
          <w:rFonts w:hint="eastAsia" w:ascii="宋体" w:hAnsi="宋体"/>
          <w:color w:val="000000"/>
          <w:szCs w:val="21"/>
        </w:rPr>
        <w:t>（7）《民用建筑隔声设计规范》GB 50118-2010</w:t>
      </w:r>
    </w:p>
    <w:p>
      <w:pPr>
        <w:spacing w:line="440" w:lineRule="exact"/>
        <w:ind w:firstLine="420" w:firstLineChars="200"/>
        <w:rPr>
          <w:rFonts w:hint="eastAsia" w:ascii="宋体" w:hAnsi="宋体"/>
          <w:color w:val="000000"/>
          <w:szCs w:val="21"/>
        </w:rPr>
      </w:pPr>
      <w:r>
        <w:rPr>
          <w:rFonts w:hint="eastAsia" w:ascii="宋体" w:hAnsi="宋体"/>
          <w:color w:val="000000"/>
          <w:szCs w:val="21"/>
        </w:rPr>
        <w:t>（8）《建筑照明设计标准》GB 50034-2013</w:t>
      </w:r>
    </w:p>
    <w:p>
      <w:pPr>
        <w:spacing w:line="440" w:lineRule="exact"/>
        <w:ind w:firstLine="420" w:firstLineChars="200"/>
        <w:rPr>
          <w:rFonts w:hint="eastAsia" w:ascii="宋体" w:hAnsi="宋体"/>
          <w:color w:val="000000"/>
          <w:szCs w:val="21"/>
        </w:rPr>
      </w:pPr>
      <w:r>
        <w:rPr>
          <w:rFonts w:hint="eastAsia" w:ascii="宋体" w:hAnsi="宋体"/>
          <w:color w:val="000000"/>
          <w:szCs w:val="21"/>
        </w:rPr>
        <w:t>（9）《建筑内部装修防火施工及验收规范》GB 50354-2005</w:t>
      </w:r>
    </w:p>
    <w:p>
      <w:pPr>
        <w:spacing w:line="440" w:lineRule="exact"/>
        <w:ind w:firstLine="420" w:firstLineChars="200"/>
        <w:rPr>
          <w:rFonts w:hint="eastAsia" w:ascii="宋体" w:hAnsi="宋体"/>
          <w:color w:val="000000"/>
          <w:szCs w:val="21"/>
        </w:rPr>
      </w:pPr>
      <w:r>
        <w:rPr>
          <w:rFonts w:hint="eastAsia" w:ascii="宋体" w:hAnsi="宋体"/>
          <w:color w:val="000000"/>
          <w:szCs w:val="21"/>
        </w:rPr>
        <w:t>（10）《住宅室内装饰装修工程质量验收规范》JGJ/T304-2013</w:t>
      </w:r>
    </w:p>
    <w:p>
      <w:pPr>
        <w:spacing w:line="440" w:lineRule="exact"/>
        <w:ind w:firstLine="420" w:firstLineChars="200"/>
        <w:rPr>
          <w:rFonts w:hint="eastAsia" w:ascii="宋体" w:hAnsi="宋体"/>
          <w:color w:val="000000"/>
          <w:szCs w:val="21"/>
        </w:rPr>
      </w:pPr>
      <w:r>
        <w:rPr>
          <w:rFonts w:hint="eastAsia" w:ascii="宋体" w:hAnsi="宋体"/>
          <w:color w:val="000000"/>
          <w:szCs w:val="21"/>
        </w:rPr>
        <w:t>（11）《建筑给水排水及采暖工程施工质量验收规范》GB50242-2002</w:t>
      </w:r>
    </w:p>
    <w:p>
      <w:pPr>
        <w:spacing w:line="440" w:lineRule="exact"/>
        <w:ind w:firstLine="420" w:firstLineChars="200"/>
        <w:rPr>
          <w:rFonts w:hint="eastAsia" w:ascii="宋体" w:hAnsi="宋体"/>
          <w:color w:val="000000"/>
          <w:szCs w:val="21"/>
        </w:rPr>
      </w:pPr>
      <w:r>
        <w:rPr>
          <w:rFonts w:hint="eastAsia" w:ascii="宋体" w:hAnsi="宋体"/>
          <w:color w:val="000000"/>
          <w:szCs w:val="21"/>
        </w:rPr>
        <w:t>（12）《建筑装饰装修工程质量验收标准》GB50210-2018</w:t>
      </w:r>
    </w:p>
    <w:p>
      <w:pPr>
        <w:spacing w:line="440" w:lineRule="exact"/>
        <w:ind w:firstLine="420" w:firstLineChars="200"/>
        <w:rPr>
          <w:rFonts w:hint="eastAsia" w:ascii="宋体" w:hAnsi="宋体"/>
          <w:color w:val="000000"/>
          <w:szCs w:val="21"/>
        </w:rPr>
      </w:pPr>
      <w:r>
        <w:rPr>
          <w:rFonts w:hint="eastAsia" w:ascii="宋体" w:hAnsi="宋体"/>
          <w:color w:val="000000"/>
          <w:szCs w:val="21"/>
        </w:rPr>
        <w:t>（13）《建筑工程施工质量验收统一标准》GB 50300-2013</w:t>
      </w:r>
    </w:p>
    <w:p>
      <w:pPr>
        <w:spacing w:line="440" w:lineRule="exact"/>
        <w:ind w:firstLine="420" w:firstLineChars="200"/>
        <w:rPr>
          <w:rFonts w:hint="eastAsia" w:ascii="宋体" w:hAnsi="宋体"/>
          <w:color w:val="000000"/>
          <w:szCs w:val="21"/>
        </w:rPr>
      </w:pPr>
      <w:r>
        <w:rPr>
          <w:rFonts w:hint="eastAsia" w:ascii="宋体" w:hAnsi="宋体"/>
          <w:color w:val="000000"/>
          <w:szCs w:val="21"/>
        </w:rPr>
        <w:t>（14）《看守所建筑设计标准》GB51400-2020</w:t>
      </w:r>
    </w:p>
    <w:p>
      <w:pPr>
        <w:spacing w:line="440" w:lineRule="exact"/>
        <w:ind w:firstLine="420" w:firstLineChars="200"/>
        <w:rPr>
          <w:rFonts w:hint="eastAsia" w:ascii="宋体" w:hAnsi="宋体"/>
          <w:color w:val="000000"/>
          <w:szCs w:val="21"/>
        </w:rPr>
      </w:pPr>
      <w:r>
        <w:rPr>
          <w:rFonts w:hint="eastAsia" w:ascii="宋体" w:hAnsi="宋体"/>
          <w:color w:val="000000"/>
          <w:szCs w:val="21"/>
        </w:rPr>
        <w:t>（15）《看守所建设标准》（建标180-2010）</w:t>
      </w:r>
    </w:p>
    <w:p>
      <w:pPr>
        <w:spacing w:line="440" w:lineRule="exact"/>
        <w:ind w:firstLine="420" w:firstLineChars="200"/>
        <w:rPr>
          <w:rFonts w:hint="eastAsia" w:ascii="宋体" w:hAnsi="宋体"/>
          <w:color w:val="000000"/>
          <w:szCs w:val="21"/>
        </w:rPr>
      </w:pPr>
      <w:r>
        <w:rPr>
          <w:rFonts w:hint="eastAsia" w:ascii="宋体" w:hAnsi="宋体"/>
          <w:color w:val="000000"/>
          <w:szCs w:val="21"/>
        </w:rPr>
        <w:t>施工所用的规范及标准应采用最新版本。</w:t>
      </w:r>
    </w:p>
    <w:p>
      <w:pPr>
        <w:spacing w:line="440" w:lineRule="exact"/>
        <w:ind w:firstLine="420" w:firstLineChars="200"/>
        <w:rPr>
          <w:rFonts w:hint="eastAsia" w:ascii="宋体" w:hAnsi="宋体"/>
          <w:color w:val="000000"/>
          <w:szCs w:val="21"/>
        </w:rPr>
      </w:pPr>
      <w:r>
        <w:rPr>
          <w:rFonts w:hint="eastAsia"/>
        </w:rPr>
        <w:t>★</w:t>
      </w:r>
      <w:r>
        <w:rPr>
          <w:rFonts w:hint="eastAsia" w:ascii="宋体" w:hAnsi="宋体"/>
          <w:color w:val="000000"/>
          <w:szCs w:val="21"/>
          <w:lang w:val="en-US" w:eastAsia="zh-CN"/>
        </w:rPr>
        <w:t>5</w:t>
      </w:r>
      <w:r>
        <w:rPr>
          <w:rFonts w:hint="eastAsia" w:ascii="宋体" w:hAnsi="宋体"/>
          <w:color w:val="000000"/>
          <w:szCs w:val="21"/>
        </w:rPr>
        <w:t>、装修材料防火性能应满足相应规范要求:</w:t>
      </w:r>
    </w:p>
    <w:p>
      <w:pPr>
        <w:spacing w:line="440" w:lineRule="exact"/>
        <w:ind w:firstLine="420" w:firstLineChars="200"/>
        <w:rPr>
          <w:rFonts w:hint="eastAsia" w:ascii="宋体" w:hAnsi="宋体"/>
          <w:color w:val="000000"/>
          <w:szCs w:val="21"/>
        </w:rPr>
      </w:pPr>
      <w:r>
        <w:rPr>
          <w:rFonts w:hint="eastAsia" w:ascii="宋体" w:hAnsi="宋体"/>
          <w:color w:val="000000"/>
          <w:szCs w:val="21"/>
        </w:rPr>
        <w:t>（1）依据:《建筑内部装修设计防火规范》GB 50222-2017和《建筑材料及制品燃烧性能分级》GB8624-20122。</w:t>
      </w:r>
    </w:p>
    <w:p>
      <w:pPr>
        <w:spacing w:line="440" w:lineRule="exact"/>
        <w:ind w:firstLine="420" w:firstLineChars="200"/>
        <w:rPr>
          <w:rFonts w:hint="eastAsia" w:ascii="宋体" w:hAnsi="宋体"/>
          <w:color w:val="000000"/>
          <w:szCs w:val="21"/>
        </w:rPr>
      </w:pPr>
      <w:r>
        <w:rPr>
          <w:rFonts w:hint="eastAsia" w:ascii="宋体" w:hAnsi="宋体"/>
          <w:color w:val="000000"/>
          <w:szCs w:val="21"/>
        </w:rPr>
        <w:t>（2）木基层板、窗帘、地毯须经过国家专业检测机构检测达到 B级阻燃(GB8624-2012)或 B1级难燃(GB50222-2017)，并符合当地消防验收要求。</w:t>
      </w:r>
    </w:p>
    <w:p>
      <w:pPr>
        <w:spacing w:line="440" w:lineRule="exact"/>
        <w:ind w:firstLine="420" w:firstLineChars="200"/>
        <w:rPr>
          <w:rFonts w:hint="eastAsia" w:ascii="宋体" w:hAnsi="宋体"/>
          <w:color w:val="000000"/>
          <w:szCs w:val="21"/>
        </w:rPr>
      </w:pPr>
      <w:r>
        <w:rPr>
          <w:rFonts w:hint="eastAsia" w:ascii="宋体" w:hAnsi="宋体"/>
          <w:color w:val="000000"/>
          <w:szCs w:val="21"/>
        </w:rPr>
        <w:t>（3）所有天花必须使用 A1级不燃材料(GB8624-2012)或 A级不燃材料(GB50222-2017)。安装在轻钢龙骨上燃烧性能达到B1级的纸面石膏板、矿棉吸声板，可作为A级装修材料使用。所有墙面材料(含软包填充物)、地面材料燃烧性能不得低于B1级(GB50222-2017)。</w:t>
      </w:r>
    </w:p>
    <w:p>
      <w:pPr>
        <w:spacing w:line="440" w:lineRule="exact"/>
        <w:ind w:firstLine="422" w:firstLineChars="200"/>
        <w:rPr>
          <w:rFonts w:hint="eastAsia" w:ascii="宋体" w:hAnsi="宋体"/>
          <w:b/>
          <w:bCs/>
          <w:color w:val="FF0000"/>
          <w:szCs w:val="21"/>
        </w:rPr>
      </w:pPr>
      <w:r>
        <w:rPr>
          <w:rFonts w:hint="eastAsia" w:ascii="宋体" w:hAnsi="宋体"/>
          <w:b/>
          <w:bCs/>
          <w:color w:val="FF0000"/>
          <w:szCs w:val="21"/>
        </w:rPr>
        <w:t>★</w:t>
      </w:r>
      <w:r>
        <w:rPr>
          <w:rFonts w:hint="eastAsia" w:ascii="宋体" w:hAnsi="宋体"/>
          <w:b/>
          <w:bCs/>
          <w:color w:val="FF0000"/>
          <w:szCs w:val="21"/>
          <w:lang w:val="en-US" w:eastAsia="zh-CN"/>
        </w:rPr>
        <w:t>6</w:t>
      </w:r>
      <w:r>
        <w:rPr>
          <w:rFonts w:hint="eastAsia" w:ascii="宋体" w:hAnsi="宋体"/>
          <w:b/>
          <w:bCs/>
          <w:color w:val="FF0000"/>
          <w:szCs w:val="21"/>
        </w:rPr>
        <w:t>、投入本项目的劳动力（项目经理、管理团队）应满足相应要求：</w:t>
      </w:r>
    </w:p>
    <w:p>
      <w:pPr>
        <w:spacing w:line="440" w:lineRule="exact"/>
        <w:ind w:firstLine="422" w:firstLineChars="200"/>
        <w:rPr>
          <w:rFonts w:hint="eastAsia" w:ascii="宋体" w:hAnsi="宋体"/>
          <w:b/>
          <w:bCs/>
          <w:color w:val="FF0000"/>
          <w:szCs w:val="21"/>
        </w:rPr>
      </w:pPr>
      <w:r>
        <w:rPr>
          <w:rFonts w:hint="eastAsia" w:ascii="宋体" w:hAnsi="宋体"/>
          <w:b/>
          <w:bCs/>
          <w:color w:val="FF0000"/>
          <w:szCs w:val="21"/>
        </w:rPr>
        <w:t>（1）拟安排于本项目的项目经理必须具有二级（或以上）注册建造师证书（建筑工程专业）且具有安全生产考核B证。</w:t>
      </w:r>
    </w:p>
    <w:p>
      <w:pPr>
        <w:spacing w:line="440" w:lineRule="exact"/>
        <w:ind w:firstLine="422" w:firstLineChars="200"/>
        <w:rPr>
          <w:rFonts w:hint="eastAsia" w:ascii="宋体" w:hAnsi="宋体"/>
          <w:b/>
          <w:bCs/>
          <w:color w:val="FF0000"/>
          <w:szCs w:val="21"/>
        </w:rPr>
      </w:pPr>
      <w:r>
        <w:rPr>
          <w:rFonts w:hint="eastAsia" w:ascii="宋体" w:hAnsi="宋体"/>
          <w:b/>
          <w:bCs/>
          <w:color w:val="FF0000"/>
          <w:szCs w:val="21"/>
        </w:rPr>
        <w:t>（2）拟安排于本项目的安全员必须具备建筑施工企业专职安全生产管理人员安全生产考核合格证书。</w:t>
      </w:r>
    </w:p>
    <w:p>
      <w:pPr>
        <w:spacing w:line="440" w:lineRule="exact"/>
        <w:ind w:firstLine="422" w:firstLineChars="200"/>
        <w:rPr>
          <w:rFonts w:hint="eastAsia" w:ascii="宋体" w:hAnsi="宋体"/>
          <w:b/>
          <w:bCs/>
          <w:color w:val="FF0000"/>
          <w:szCs w:val="21"/>
        </w:rPr>
      </w:pPr>
      <w:r>
        <w:rPr>
          <w:rFonts w:hint="eastAsia" w:ascii="宋体" w:hAnsi="宋体"/>
          <w:b/>
          <w:bCs/>
          <w:color w:val="FF0000"/>
          <w:szCs w:val="21"/>
        </w:rPr>
        <w:t>（3）拟安排于本项目的电工必须具备中华人民共和国特种作业操作证（电工作业）。</w:t>
      </w:r>
    </w:p>
    <w:p>
      <w:pPr>
        <w:spacing w:line="440" w:lineRule="exact"/>
        <w:ind w:firstLine="422" w:firstLineChars="200"/>
        <w:rPr>
          <w:rFonts w:hint="eastAsia" w:ascii="宋体" w:hAnsi="宋体"/>
          <w:b/>
          <w:bCs/>
          <w:color w:val="FF0000"/>
          <w:szCs w:val="21"/>
        </w:rPr>
      </w:pPr>
      <w:r>
        <w:rPr>
          <w:rFonts w:hint="eastAsia" w:ascii="宋体" w:hAnsi="宋体"/>
          <w:b/>
          <w:bCs/>
          <w:color w:val="FF0000"/>
          <w:szCs w:val="21"/>
        </w:rPr>
        <w:t>以上项目经理、安全员、电工不得为同一人；投标文件中须提供人员的社保证明（人员通过投标单位缴纳的载有社保部门公章的近一个月的个人社保证明，如供应商为新成立单位且成立时间不足一个月的，可提供加盖公章的情况说明或者证明材料亦视为符合。如为退休返聘人员则提供劳动合同或返聘协议）及对应证书扫描件。未提供或者提供不符要求的证明、资质证书视为投标无效。</w:t>
      </w:r>
    </w:p>
    <w:p>
      <w:pPr>
        <w:spacing w:line="440" w:lineRule="exact"/>
        <w:ind w:firstLine="420" w:firstLineChars="200"/>
        <w:rPr>
          <w:rFonts w:hint="eastAsia" w:ascii="宋体" w:hAnsi="宋体"/>
          <w:color w:val="000000"/>
          <w:szCs w:val="21"/>
        </w:rPr>
      </w:pPr>
      <w:r>
        <w:rPr>
          <w:rFonts w:hint="eastAsia" w:ascii="宋体" w:hAnsi="宋体"/>
          <w:color w:val="000000"/>
          <w:szCs w:val="21"/>
        </w:rPr>
        <w:t>（二）项目管理要求</w:t>
      </w:r>
    </w:p>
    <w:p>
      <w:pPr>
        <w:spacing w:line="440" w:lineRule="exact"/>
        <w:ind w:firstLine="420" w:firstLineChars="200"/>
        <w:rPr>
          <w:rFonts w:hint="eastAsia" w:ascii="宋体" w:hAnsi="宋体"/>
          <w:color w:val="000000"/>
          <w:szCs w:val="21"/>
        </w:rPr>
      </w:pPr>
      <w:r>
        <w:rPr>
          <w:rFonts w:hint="eastAsia" w:ascii="宋体" w:hAnsi="宋体"/>
          <w:color w:val="000000"/>
          <w:szCs w:val="21"/>
        </w:rPr>
        <w:t>1、投标人需作好施工记录、隐蔽工程记录、施工资料整理、竣工资料编制等工作。</w:t>
      </w:r>
    </w:p>
    <w:p>
      <w:pPr>
        <w:spacing w:line="440" w:lineRule="exact"/>
        <w:ind w:firstLine="420" w:firstLineChars="200"/>
        <w:rPr>
          <w:rFonts w:hint="eastAsia" w:ascii="宋体" w:hAnsi="宋体"/>
          <w:color w:val="000000"/>
          <w:szCs w:val="21"/>
        </w:rPr>
      </w:pPr>
      <w:r>
        <w:rPr>
          <w:rFonts w:hint="eastAsia" w:ascii="宋体" w:hAnsi="宋体"/>
          <w:color w:val="000000"/>
          <w:szCs w:val="21"/>
        </w:rPr>
        <w:t>2、施工方不得破坏、毁损场地地面，保护好空调、窗户等成品，如有毁损，原装恢复。</w:t>
      </w:r>
    </w:p>
    <w:p>
      <w:pPr>
        <w:spacing w:line="440" w:lineRule="exact"/>
        <w:ind w:firstLine="420" w:firstLineChars="200"/>
        <w:rPr>
          <w:rFonts w:hint="eastAsia" w:ascii="宋体" w:hAnsi="宋体"/>
          <w:color w:val="000000"/>
          <w:szCs w:val="21"/>
        </w:rPr>
      </w:pPr>
      <w:r>
        <w:rPr>
          <w:rFonts w:hint="eastAsia" w:ascii="宋体" w:hAnsi="宋体"/>
          <w:color w:val="000000"/>
          <w:szCs w:val="21"/>
        </w:rPr>
        <w:t>3、投标人施工需达到有关部门规定的安全文明施工标准，服从采购人的各项管理规定要求，认真做好施工现场防护、防火、噪音、用电等安全文明施工各项管理工作，承担相应一切责任，中标单位应确保施工现场的清洁卫生，建筑垃圾应当日清理干净。</w:t>
      </w:r>
    </w:p>
    <w:p>
      <w:pPr>
        <w:spacing w:line="440" w:lineRule="exact"/>
        <w:ind w:firstLine="420" w:firstLineChars="200"/>
        <w:rPr>
          <w:rFonts w:hint="eastAsia" w:ascii="宋体" w:hAnsi="宋体"/>
          <w:color w:val="000000"/>
          <w:szCs w:val="21"/>
        </w:rPr>
      </w:pPr>
      <w:r>
        <w:rPr>
          <w:rFonts w:hint="eastAsia" w:ascii="宋体" w:hAnsi="宋体"/>
          <w:color w:val="000000"/>
          <w:szCs w:val="21"/>
        </w:rPr>
        <w:t>4、中标单位一旦进场施工，应严格遵守采购人的各项规章制度，管理人员应坚守岗位，因事需离开施工现场超过一天的，需提前向采购人请假，经采购人同意方可离开。</w:t>
      </w:r>
    </w:p>
    <w:p>
      <w:pPr>
        <w:spacing w:line="440" w:lineRule="exact"/>
        <w:ind w:firstLine="420" w:firstLineChars="200"/>
        <w:rPr>
          <w:rFonts w:hint="eastAsia" w:ascii="宋体" w:hAnsi="宋体"/>
          <w:color w:val="000000"/>
          <w:szCs w:val="21"/>
        </w:rPr>
      </w:pPr>
      <w:r>
        <w:rPr>
          <w:rFonts w:hint="eastAsia" w:ascii="宋体" w:hAnsi="宋体"/>
          <w:color w:val="000000"/>
          <w:szCs w:val="21"/>
        </w:rPr>
        <w:t>5、项目履约过程中，严禁携带手机、相机等通讯录影录像工具进入看守所监区，严禁与在押人员交流、传递信息。对接触到或知悉的采购人的资料信息承担保密责任，不得向任何第三方透露，不得在规定的合作目的之外使用或向第三方透露任何信息和材料。不管是口头的或是书面的，还是以磁盘、胶片或电子邮件等形式存在的资料和信息等内容保密的时效不受合同有效时间的限制，按照国家、省的有关法规文件规定，履行保密责任。供应商中标后需与采购人签订保密协议。</w:t>
      </w:r>
    </w:p>
    <w:p>
      <w:pPr>
        <w:spacing w:line="440" w:lineRule="exact"/>
        <w:ind w:firstLine="420" w:firstLineChars="200"/>
        <w:rPr>
          <w:rFonts w:hint="eastAsia" w:ascii="宋体" w:hAnsi="宋体"/>
          <w:color w:val="000000"/>
          <w:szCs w:val="21"/>
        </w:rPr>
      </w:pPr>
      <w:r>
        <w:rPr>
          <w:rFonts w:hint="eastAsia" w:ascii="宋体" w:hAnsi="宋体"/>
          <w:color w:val="000000"/>
          <w:szCs w:val="21"/>
        </w:rPr>
        <w:t>6、应严格落实安全生产及文明施工措施，施工期间应严格管理施工人员，保护好已完工工程产品，发生一切安全事故均由中标单位自行负责。严格加强管理，如发生盗窃，斗殴等现象，根据情节轻重，追究当事人责任。</w:t>
      </w:r>
    </w:p>
    <w:p>
      <w:pPr>
        <w:spacing w:line="440" w:lineRule="exact"/>
        <w:ind w:firstLine="420" w:firstLineChars="200"/>
        <w:rPr>
          <w:rFonts w:hint="eastAsia" w:ascii="宋体" w:hAnsi="宋体"/>
          <w:color w:val="000000"/>
          <w:szCs w:val="21"/>
        </w:rPr>
      </w:pPr>
      <w:r>
        <w:rPr>
          <w:rFonts w:hint="eastAsia" w:ascii="宋体" w:hAnsi="宋体"/>
          <w:color w:val="000000"/>
          <w:szCs w:val="21"/>
        </w:rPr>
        <w:t>7、投标人需在施工过程中注意自身及周边安全，做好现场及周边安全设施搭设，遵守有关安全保护规程，负责施工过程中的所有事故处理和费用。</w:t>
      </w:r>
    </w:p>
    <w:p>
      <w:pPr>
        <w:spacing w:line="440" w:lineRule="exact"/>
        <w:ind w:firstLine="420" w:firstLineChars="200"/>
        <w:rPr>
          <w:rFonts w:hint="eastAsia" w:ascii="宋体" w:hAnsi="宋体"/>
          <w:color w:val="000000"/>
          <w:szCs w:val="21"/>
        </w:rPr>
      </w:pPr>
      <w:r>
        <w:rPr>
          <w:rFonts w:hint="eastAsia" w:ascii="宋体" w:hAnsi="宋体"/>
          <w:color w:val="000000"/>
          <w:szCs w:val="21"/>
        </w:rPr>
        <w:t>8、投标人施工时需提供材料样板，经采购人最终确认后，方可进场使用，供应商所提供的样板或厂家应符合设计图纸要求及采购人确认要求，如供应商不能提供的可由采购人根据市场考察情况确认并实施。</w:t>
      </w:r>
    </w:p>
    <w:p>
      <w:pPr>
        <w:spacing w:line="440" w:lineRule="exact"/>
        <w:ind w:firstLine="420" w:firstLineChars="200"/>
        <w:rPr>
          <w:rFonts w:hint="eastAsia" w:ascii="宋体" w:hAnsi="宋体"/>
          <w:color w:val="000000"/>
          <w:szCs w:val="21"/>
        </w:rPr>
      </w:pPr>
      <w:r>
        <w:rPr>
          <w:rFonts w:hint="eastAsia" w:ascii="宋体" w:hAnsi="宋体"/>
          <w:color w:val="000000"/>
          <w:szCs w:val="21"/>
        </w:rPr>
        <w:t>9、投标人在工程施工前，需全面检查工地情况，若发现错误须立刻通知招标人。若未能遵从此规定，使本工程的任何项目因此等错误或缺陷而错误地建造，则投标人需自费予以拆除及重建。</w:t>
      </w:r>
    </w:p>
    <w:p>
      <w:pPr>
        <w:spacing w:line="440" w:lineRule="exact"/>
        <w:ind w:firstLine="420" w:firstLineChars="200"/>
        <w:rPr>
          <w:rFonts w:hint="eastAsia" w:ascii="宋体" w:hAnsi="宋体"/>
          <w:color w:val="000000"/>
          <w:szCs w:val="21"/>
        </w:rPr>
      </w:pPr>
      <w:r>
        <w:rPr>
          <w:rFonts w:hint="eastAsia" w:ascii="宋体" w:hAnsi="宋体"/>
          <w:color w:val="000000"/>
          <w:szCs w:val="21"/>
        </w:rPr>
        <w:t>10、建筑内部装修禁止遮挡消防设施、疏散指示标志及安全出口,并严禁妨碍消防设施和疏散走道的正常使用。因特殊要求做改动时，应符合国家有关消防规范和法规的规定。</w:t>
      </w:r>
    </w:p>
    <w:p>
      <w:pPr>
        <w:spacing w:line="440" w:lineRule="exact"/>
        <w:ind w:firstLine="420" w:firstLineChars="200"/>
        <w:rPr>
          <w:rFonts w:hint="eastAsia" w:ascii="宋体" w:hAnsi="宋体"/>
          <w:color w:val="000000"/>
          <w:szCs w:val="21"/>
        </w:rPr>
      </w:pPr>
      <w:r>
        <w:rPr>
          <w:rFonts w:hint="eastAsia" w:ascii="宋体" w:hAnsi="宋体"/>
          <w:color w:val="000000"/>
          <w:szCs w:val="21"/>
        </w:rPr>
        <w:t>11、实行项目经理负责制，并按投标文件配备项目管理团队。如未经采购人同意更换项目班子成员，采购人有权取消投标人的中标资格或单方面终止合同，由此造成的违约责任由投标人承担。</w:t>
      </w:r>
    </w:p>
    <w:p>
      <w:pPr>
        <w:spacing w:line="440" w:lineRule="exact"/>
        <w:ind w:firstLine="420" w:firstLineChars="200"/>
        <w:rPr>
          <w:rFonts w:hint="eastAsia" w:ascii="宋体" w:hAnsi="宋体"/>
          <w:color w:val="000000"/>
          <w:szCs w:val="21"/>
        </w:rPr>
      </w:pPr>
      <w:r>
        <w:rPr>
          <w:rFonts w:hint="eastAsia" w:ascii="宋体" w:hAnsi="宋体"/>
          <w:color w:val="000000"/>
          <w:szCs w:val="21"/>
        </w:rPr>
        <w:t>12、投标文件中承诺的项目经理和项目主要技术人员未经采购人同意不能随意变更。</w:t>
      </w:r>
    </w:p>
    <w:p>
      <w:pPr>
        <w:ind w:firstLine="422" w:firstLineChars="200"/>
        <w:rPr>
          <w:b/>
          <w:sz w:val="24"/>
        </w:rPr>
      </w:pPr>
      <w:r>
        <w:rPr>
          <w:rFonts w:hint="eastAsia" w:ascii="宋体" w:hAnsi="宋体"/>
          <w:b/>
          <w:bCs/>
          <w:color w:val="000000"/>
          <w:szCs w:val="21"/>
        </w:rPr>
        <w:t>（三）工程量清单（详见附件）</w:t>
      </w:r>
    </w:p>
    <w:p>
      <w:pPr>
        <w:ind w:firstLine="422" w:firstLineChars="200"/>
        <w:rPr>
          <w:b/>
          <w:sz w:val="24"/>
        </w:rPr>
      </w:pPr>
      <w:r>
        <w:rPr>
          <w:rFonts w:hint="eastAsia" w:ascii="宋体" w:hAnsi="宋体"/>
          <w:b/>
          <w:bCs/>
          <w:color w:val="000000"/>
          <w:szCs w:val="21"/>
        </w:rPr>
        <w:t>（四）图纸（详见附件）</w:t>
      </w:r>
    </w:p>
    <w:p>
      <w:pPr>
        <w:rPr>
          <w:rFonts w:hint="eastAsia" w:asciiTheme="minorEastAsia" w:hAnsiTheme="minorEastAsia" w:eastAsiaTheme="minorEastAsia"/>
          <w:b/>
          <w:szCs w:val="21"/>
        </w:rPr>
      </w:pPr>
    </w:p>
    <w:p>
      <w:pPr>
        <w:rPr>
          <w:b/>
          <w:sz w:val="24"/>
        </w:rPr>
      </w:pPr>
    </w:p>
    <w:p>
      <w:pPr>
        <w:pStyle w:val="7"/>
        <w:spacing w:before="120" w:beforeLines="50" w:after="120" w:afterLines="50"/>
        <w:rPr>
          <w:rFonts w:hint="eastAsia"/>
          <w:szCs w:val="24"/>
        </w:rPr>
      </w:pPr>
      <w:r>
        <w:rPr>
          <w:rFonts w:hint="eastAsia"/>
          <w:szCs w:val="24"/>
        </w:rPr>
        <w:t>六、商务要求</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（一）工期要求</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工期：自开工之日起70个日历日。</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（二）报价要求</w:t>
      </w:r>
    </w:p>
    <w:p>
      <w:pPr>
        <w:ind w:firstLine="420" w:firstLineChars="200"/>
        <w:rPr>
          <w:rFonts w:hint="eastAsia" w:asciiTheme="minorEastAsia" w:hAnsiTheme="minorEastAsia" w:eastAsiaTheme="minorEastAsia"/>
          <w:b/>
          <w:bCs/>
          <w:szCs w:val="21"/>
        </w:rPr>
      </w:pPr>
      <w:r>
        <w:rPr>
          <w:rFonts w:hint="eastAsia" w:asciiTheme="minorEastAsia" w:hAnsiTheme="minorEastAsia" w:eastAsiaTheme="minorEastAsia"/>
          <w:szCs w:val="21"/>
        </w:rPr>
        <w:t>1、★本项目预算控制金额为:849906.33元，超过项目预算控制金额，则投标无效。投标报价应以人民币为结算单位（含税），包工包料、包材料价差和运费及装卸费、包图纸深化、包质量、包工期、包安全文明施工等所有费用。</w:t>
      </w:r>
      <w:r>
        <w:rPr>
          <w:rFonts w:hint="eastAsia" w:asciiTheme="minorEastAsia" w:hAnsiTheme="minorEastAsia" w:eastAsiaTheme="minorEastAsia"/>
          <w:b/>
          <w:bCs/>
          <w:szCs w:val="21"/>
        </w:rPr>
        <w:t>“措施项目清单” 中安全文明施工措施费、规费、税金等，投标人应根据国家或当地相关要求填写。</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本项目采用固定单价合同，工程结算时，项目单价不做调整，按实际完成的工程量结算，工程结算总价不得超过合同总价。中标人需完成施工图纸、工程量清单、合同（含补充合同）、投标承诺函等任一项涉及到的一切工程内容，中标人不得拒绝执行为完成全部任务而可能遗漏的工程内容。</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工程量清单所列的工程量作为投标报价的共同基础，不应被理解为是对采购单位要求工作内容的全部定义，也不能作为投标人应完成的实际工程量。中标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4、投标人的投标报价，应是本项目招标范围和招标文件及合同条款上所列的各项内容中所述的全部，不得以任何理由予以重复，并以投标人在工程量清单中提出的综合单价为准。</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5、投标人不得期望通过索赔、签证等方式获取补偿，各投标人在投标报价时，应充分考虑投标报价的风险。</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6、★采购人委托中标人办理的保险事项：建设工程一切险和第三者责任险，所需的保险费应包含在投标价中，施工中若发生安全事故，一切责任及费用由施工单位负责。</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7、一切与施工相关的检验实验费（政府有关部门规定由建设单位支付的检验实验费除外）已含在投标价中。</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8、投标人的投标报价</w:t>
      </w:r>
      <w:r>
        <w:rPr>
          <w:rFonts w:hint="eastAsia" w:ascii="宋体" w:hAnsi="宋体"/>
          <w:color w:val="000000"/>
          <w:szCs w:val="21"/>
        </w:rPr>
        <w:t>需</w:t>
      </w:r>
      <w:r>
        <w:rPr>
          <w:rFonts w:hint="eastAsia" w:asciiTheme="minorEastAsia" w:hAnsiTheme="minorEastAsia" w:eastAsiaTheme="minorEastAsia"/>
          <w:szCs w:val="21"/>
        </w:rPr>
        <w:t>充分考虑监区施工特殊条件，包括位置、道路、储存空间、装卸限制、施工时间等对工程造价的影响,并在投标报价中反映出来，任何因忽视或误解工地情况而导致的索赔或工期延长申请将不获批准。</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9、本项目不接受总价优惠折扣形式的报价，投标人应将对项目的优惠直接在清单报价中体现出来。</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（三）项目验收程序、标准及期限</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1.质量要求: 按照中华人民共和国现行最新版本的设计、施工验收规范执行。</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2.按中华人民共和国现行的施工验收规范和评定标准验收，质量等级达到合格，满足国家和《深圳市建设工程质量管理条例》的各项规定和要求。</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3.工程完工后3日内，中标人应及时向采购人提出验收申请。</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4.采购人有权聘请第三方检测单位对本工程进行测试、验收，费用由中标单位支付。</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（四）付款方式</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cs="宋体"/>
          <w:szCs w:val="21"/>
        </w:rPr>
        <w:t>工程</w:t>
      </w:r>
      <w:r>
        <w:rPr>
          <w:rFonts w:hint="eastAsia" w:ascii="宋体" w:hAnsi="宋体" w:cs="宋体"/>
          <w:szCs w:val="21"/>
          <w:lang w:val="en-US" w:eastAsia="zh-CN"/>
        </w:rPr>
        <w:t>预付</w:t>
      </w:r>
      <w:r>
        <w:rPr>
          <w:rFonts w:hint="eastAsia" w:ascii="宋体" w:hAnsi="宋体" w:cs="宋体"/>
          <w:szCs w:val="21"/>
        </w:rPr>
        <w:t>款的支付：合同签署生效后15日历天内，采购人支付合同总价的30%给中标人作为合同预付款。</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2.工程结算款的支付：本工程竣工并经采购人验收合格，完成全部档案移交工作，并经第三方造价结算审核后，以最终工程审核价为准，收到发票后的10个工作日内支付结算款。</w:t>
      </w:r>
    </w:p>
    <w:p>
      <w:pPr>
        <w:ind w:firstLine="420" w:firstLineChars="200"/>
        <w:rPr>
          <w:rFonts w:eastAsiaTheme="minorEastAsia"/>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rPr>
        <w:t>以上为预计付款方式，合同订立时，采购人可根据实际情况最终确定支付方式，并在合同中予以明确。</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（五）质保期与售后服务要求</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★1.根据《住房城乡建设部  财政部关于印发建设工程质量保证金管理办法的通知(建质[2017]138号)》意见，装修保修期为二年，防水保修期为五年。</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保修期内，由于质量原因造成的任何损伤和损坏，由中标人负责修理，并由此承担责任和相关费用。中标人在限期内不履行保修义务或者拖延履行保修义务的，采购人有权另行安排其他工程单位修复，中标人应承担完全赔偿责任。</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（六）违约责任</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1、供应商工作人员违反本合同约定的保密义务，造成不良影响或对采购人造成损失的，采购人有权要求供应商消除影响，并有权解除合同。</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供应商应对自身的安全生产负责，若非因采购人原因发生的各种事故采购人不承担任何责任。服务期间因供应商管理不善或工作程序不当等责任原因或者严重违反安全生产管理制度引起安全事故的，造成人员伤害或财产损失的，构成违约，供应商除应当赔偿因以上事故给采购人及第三人造成的人身及财产损失。</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3、采购人因供应商无法履约时，有权以无法履约为由在中标服务期内单方解除合同且无需承担任何责任，不受服务期限限制。</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（七）注意事项</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1、投标人不得将项目非法分包或转包给任何单位和个人。否则，采购人有权即刻终止合同，并要求投标人赔偿相应损失。</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2、投标人使用的标准必须是国际公认或国家、或地方政府颁布的同等或更高的标准，如投标人使用的标准低于上述标准，采购人将有权不予接受。</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3、如投标人提交伪造资质证书、合同文件等响应文件的，一经发现报政府采购主管部门按有关规定进行处理。</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（八）争议解决办法</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1、因合同有关事项发生的争议，由双方友好协商解决。协商不成时，可以向有关组织申请调解。合同一方或双方不愿调解或调解不成的，可以通过仲裁或诉讼的方式解决争议。</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2、选择仲裁的，如有争议，由双方协商解决，如协商不成的，应提交采购人所在地人民法院诉讼解决。但管辖法院的约定不得违反级别管辖和专属管辖的规定。</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3、如双方有争议的事项不影响合同其他部分的履行，在争议解决期间，合同其他部分应当继续履行。</w:t>
      </w:r>
    </w:p>
    <w:p>
      <w:pPr>
        <w:ind w:firstLine="482" w:firstLineChars="200"/>
        <w:rPr>
          <w:rFonts w:hint="eastAsia" w:ascii="宋体" w:hAnsi="宋体"/>
          <w:b/>
          <w:bCs/>
          <w:kern w:val="0"/>
          <w:sz w:val="24"/>
        </w:rPr>
      </w:pPr>
    </w:p>
    <w:p/>
    <w:p>
      <w:pPr>
        <w:pStyle w:val="7"/>
        <w:spacing w:before="120" w:beforeLines="50" w:after="120" w:afterLines="50"/>
        <w:rPr>
          <w:rFonts w:hint="eastAsia"/>
          <w:szCs w:val="24"/>
        </w:rPr>
      </w:pPr>
      <w:r>
        <w:rPr>
          <w:rFonts w:hint="eastAsia"/>
          <w:szCs w:val="24"/>
        </w:rPr>
        <w:t>七、其他重要条款</w:t>
      </w:r>
    </w:p>
    <w:p>
      <w:pPr>
        <w:ind w:firstLine="420" w:firstLineChars="200"/>
        <w:rPr>
          <w:bCs/>
          <w:szCs w:val="21"/>
        </w:rPr>
      </w:pPr>
      <w:bookmarkStart w:id="36" w:name="_Hlk72257111"/>
      <w:r>
        <w:rPr>
          <w:rFonts w:hint="eastAsia"/>
          <w:bCs/>
          <w:szCs w:val="21"/>
        </w:rPr>
        <w:t>1、投标企业，在做本项工程报价书中，均以征集文件所列的工程量清单为准。本项目投标报价必须是完成本采购项目的全包价：包括所需的设备及材料等的采购、以及安装、拆除、施工、人工费、管理费、机械费、水费、电费、垃圾清运费、技术服务费、税金、保险费、利润等本采购项目所发生的一切各项费用。投标方必须按照征集文件中所要求的材料，数量及技术参数进行投标，对所投设备、材料必须注明产地、品牌、型号、规格、等级等技术参数。（如有）。</w:t>
      </w:r>
    </w:p>
    <w:p>
      <w:pPr>
        <w:pStyle w:val="9"/>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hint="eastAsia" w:ascii="宋体" w:hAnsi="宋体"/>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6"/>
      <w:r>
        <w:br w:type="page"/>
      </w:r>
    </w:p>
    <w:p>
      <w:pPr>
        <w:pStyle w:val="7"/>
        <w:rPr>
          <w:rFonts w:hint="eastAsia"/>
          <w:sz w:val="28"/>
          <w:szCs w:val="28"/>
        </w:rPr>
      </w:pPr>
      <w:r>
        <w:rPr>
          <w:rFonts w:hint="eastAsia"/>
          <w:sz w:val="28"/>
          <w:szCs w:val="28"/>
        </w:rPr>
        <w:t>第四章 投标文件组成要求及格式</w:t>
      </w:r>
    </w:p>
    <w:p>
      <w:pPr>
        <w:widowControl/>
        <w:jc w:val="left"/>
        <w:rPr>
          <w:rFonts w:hint="eastAsia" w:ascii="宋体" w:hAnsi="宋体"/>
          <w:sz w:val="24"/>
        </w:rPr>
      </w:pPr>
    </w:p>
    <w:p>
      <w:pPr>
        <w:rPr>
          <w:rFonts w:hint="eastAsia" w:ascii="宋体" w:hAnsi="宋体"/>
          <w:b/>
          <w:bCs/>
          <w:sz w:val="24"/>
        </w:rPr>
      </w:pPr>
      <w:r>
        <w:rPr>
          <w:rFonts w:hint="eastAsia" w:ascii="宋体" w:hAnsi="宋体"/>
          <w:b/>
          <w:bCs/>
          <w:sz w:val="24"/>
        </w:rPr>
        <w:t>投标文件组成主要包括以下内容：</w:t>
      </w:r>
    </w:p>
    <w:p>
      <w:pPr>
        <w:ind w:firstLine="420" w:firstLineChars="200"/>
        <w:rPr>
          <w:szCs w:val="21"/>
        </w:rPr>
      </w:pPr>
    </w:p>
    <w:p>
      <w:pPr>
        <w:ind w:firstLine="420" w:firstLineChars="200"/>
        <w:rPr>
          <w:szCs w:val="21"/>
        </w:rPr>
      </w:pPr>
      <w:r>
        <w:rPr>
          <w:rFonts w:hint="eastAsia"/>
          <w:szCs w:val="21"/>
        </w:rPr>
        <w:t>（1）</w:t>
      </w:r>
      <w:bookmarkStart w:id="37" w:name="_Hlk72070784"/>
      <w:r>
        <w:rPr>
          <w:rFonts w:hint="eastAsia"/>
          <w:szCs w:val="21"/>
        </w:rPr>
        <w:t>投标函</w:t>
      </w:r>
      <w:bookmarkEnd w:id="37"/>
    </w:p>
    <w:p>
      <w:pPr>
        <w:ind w:firstLine="420" w:firstLineChars="200"/>
        <w:rPr>
          <w:szCs w:val="21"/>
        </w:rPr>
      </w:pPr>
      <w:r>
        <w:rPr>
          <w:rFonts w:hint="eastAsia"/>
          <w:szCs w:val="21"/>
        </w:rPr>
        <w:t>（2）采购投标及履约承诺函</w:t>
      </w:r>
    </w:p>
    <w:p>
      <w:pPr>
        <w:ind w:firstLine="420" w:firstLineChars="200"/>
        <w:rPr>
          <w:szCs w:val="21"/>
        </w:rPr>
      </w:pPr>
      <w:r>
        <w:rPr>
          <w:rFonts w:hint="eastAsia"/>
          <w:szCs w:val="21"/>
        </w:rPr>
        <w:t>（</w:t>
      </w:r>
      <w:r>
        <w:rPr>
          <w:szCs w:val="21"/>
        </w:rPr>
        <w:t>3</w:t>
      </w:r>
      <w:r>
        <w:rPr>
          <w:rFonts w:hint="eastAsia"/>
          <w:szCs w:val="21"/>
        </w:rPr>
        <w:t>）投标人情况及资格证明文件</w:t>
      </w:r>
    </w:p>
    <w:p>
      <w:pPr>
        <w:ind w:firstLine="420" w:firstLineChars="200"/>
        <w:rPr>
          <w:szCs w:val="21"/>
        </w:rPr>
      </w:pPr>
      <w:bookmarkStart w:id="38" w:name="_Hlk72257201"/>
      <w:r>
        <w:rPr>
          <w:rFonts w:hint="eastAsia"/>
          <w:szCs w:val="21"/>
        </w:rPr>
        <w:t>（</w:t>
      </w:r>
      <w:r>
        <w:rPr>
          <w:szCs w:val="21"/>
        </w:rPr>
        <w:t>4</w:t>
      </w:r>
      <w:r>
        <w:rPr>
          <w:rFonts w:hint="eastAsia"/>
          <w:szCs w:val="21"/>
        </w:rPr>
        <w:t>）项目详细报价</w:t>
      </w:r>
      <w:bookmarkEnd w:id="38"/>
    </w:p>
    <w:p>
      <w:pPr>
        <w:ind w:firstLine="420" w:firstLineChars="200"/>
        <w:rPr>
          <w:szCs w:val="21"/>
        </w:rPr>
      </w:pPr>
      <w:r>
        <w:rPr>
          <w:rFonts w:hint="eastAsia"/>
          <w:szCs w:val="21"/>
        </w:rPr>
        <w:t>（5）法定代表人（负责人）证明书</w:t>
      </w:r>
    </w:p>
    <w:p>
      <w:pPr>
        <w:ind w:firstLine="420" w:firstLineChars="200"/>
        <w:rPr>
          <w:szCs w:val="21"/>
        </w:rPr>
      </w:pPr>
      <w:r>
        <w:rPr>
          <w:rFonts w:hint="eastAsia"/>
          <w:szCs w:val="21"/>
        </w:rPr>
        <w:t>（6）投标文件签署授权委托书</w:t>
      </w:r>
    </w:p>
    <w:p>
      <w:pPr>
        <w:ind w:firstLine="420" w:firstLineChars="200"/>
        <w:rPr>
          <w:szCs w:val="21"/>
        </w:rPr>
      </w:pPr>
      <w:r>
        <w:rPr>
          <w:rFonts w:hint="eastAsia"/>
          <w:szCs w:val="21"/>
        </w:rPr>
        <w:t>（7）实质性条款响应情况表</w:t>
      </w:r>
    </w:p>
    <w:p>
      <w:pPr>
        <w:ind w:firstLine="420" w:firstLineChars="200"/>
        <w:rPr>
          <w:szCs w:val="21"/>
        </w:rPr>
      </w:pPr>
      <w:r>
        <w:rPr>
          <w:rFonts w:hint="eastAsia"/>
          <w:szCs w:val="21"/>
        </w:rPr>
        <w:t>（8）施工组织计划、施工技术、施工工艺及相关的合理化建议</w:t>
      </w:r>
    </w:p>
    <w:p>
      <w:pPr>
        <w:ind w:firstLine="420" w:firstLineChars="200"/>
        <w:rPr>
          <w:szCs w:val="21"/>
        </w:rPr>
      </w:pPr>
      <w:r>
        <w:rPr>
          <w:rFonts w:hint="eastAsia"/>
          <w:szCs w:val="21"/>
        </w:rPr>
        <w:t>（9）项目实施关键施工技术（重点难点）分析及解决方案</w:t>
      </w:r>
    </w:p>
    <w:p>
      <w:pPr>
        <w:ind w:firstLine="420" w:firstLineChars="200"/>
        <w:rPr>
          <w:szCs w:val="21"/>
        </w:rPr>
      </w:pPr>
      <w:r>
        <w:rPr>
          <w:rFonts w:hint="eastAsia"/>
          <w:szCs w:val="21"/>
        </w:rPr>
        <w:t>（10）拟采用设备（材料）的性能（节能环保情况）、档次及质量可靠性</w:t>
      </w:r>
    </w:p>
    <w:p>
      <w:pPr>
        <w:ind w:firstLine="420" w:firstLineChars="200"/>
        <w:rPr>
          <w:szCs w:val="21"/>
        </w:rPr>
      </w:pPr>
      <w:r>
        <w:rPr>
          <w:rFonts w:hint="eastAsia"/>
          <w:szCs w:val="21"/>
        </w:rPr>
        <w:t>（11）施工质量（安全、环保、售后服务）保障措施及相关的违约承诺</w:t>
      </w:r>
    </w:p>
    <w:p>
      <w:pPr>
        <w:ind w:firstLine="420" w:firstLineChars="200"/>
        <w:rPr>
          <w:szCs w:val="21"/>
        </w:rPr>
      </w:pPr>
      <w:r>
        <w:rPr>
          <w:rFonts w:hint="eastAsia"/>
          <w:szCs w:val="21"/>
        </w:rPr>
        <w:t>（12）拟安排的项目负责人情况（仅限一人）</w:t>
      </w:r>
    </w:p>
    <w:p>
      <w:pPr>
        <w:ind w:firstLine="420" w:firstLineChars="200"/>
        <w:rPr>
          <w:szCs w:val="21"/>
        </w:rPr>
      </w:pPr>
      <w:r>
        <w:rPr>
          <w:rFonts w:hint="eastAsia"/>
          <w:szCs w:val="21"/>
        </w:rPr>
        <w:t>（13）拟安排的项目主要团队成员（主要技术人员）情况（项目负责人除外）（格式自定）</w:t>
      </w:r>
    </w:p>
    <w:p>
      <w:pPr>
        <w:ind w:firstLine="420" w:firstLineChars="200"/>
        <w:rPr>
          <w:szCs w:val="21"/>
        </w:rPr>
      </w:pPr>
      <w:r>
        <w:rPr>
          <w:rFonts w:hint="eastAsia"/>
          <w:szCs w:val="21"/>
        </w:rPr>
        <w:t>（14）投标人同类项目业绩情况（格式自定）</w:t>
      </w:r>
    </w:p>
    <w:p>
      <w:pPr>
        <w:ind w:firstLine="420" w:firstLineChars="200"/>
        <w:rPr>
          <w:szCs w:val="21"/>
        </w:rPr>
      </w:pPr>
      <w:r>
        <w:rPr>
          <w:rFonts w:hint="eastAsia"/>
          <w:szCs w:val="21"/>
        </w:rPr>
        <w:t>（15）投标人认为需要加以说明的其他内容（格式自定）</w:t>
      </w:r>
    </w:p>
    <w:p>
      <w:pPr>
        <w:rPr>
          <w:rFonts w:ascii="仿宋_GB2312" w:eastAsia="仿宋_GB2312"/>
          <w:sz w:val="24"/>
        </w:rPr>
      </w:pPr>
    </w:p>
    <w:p>
      <w:pPr>
        <w:ind w:firstLine="426" w:firstLineChars="202"/>
        <w:rPr>
          <w:rFonts w:hint="eastAsia" w:ascii="宋体" w:hAnsi="宋体"/>
          <w:b/>
          <w:szCs w:val="21"/>
        </w:rPr>
      </w:pPr>
      <w:r>
        <w:rPr>
          <w:rFonts w:hint="eastAsia" w:ascii="宋体" w:hAnsi="宋体"/>
          <w:b/>
          <w:szCs w:val="21"/>
        </w:rPr>
        <w:t>备注：</w:t>
      </w:r>
    </w:p>
    <w:p>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1.本项目为网上电子投标项目，投标文件不需法人或授权委托人另行签字，无需加盖单位公章，采购文件专用条款另有规定的除外。</w:t>
      </w:r>
    </w:p>
    <w:p>
      <w:pPr>
        <w:ind w:firstLine="426" w:firstLineChars="202"/>
        <w:rPr>
          <w:rFonts w:hint="eastAsia" w:ascii="宋体" w:hAnsi="宋体"/>
          <w:b/>
          <w:szCs w:val="21"/>
        </w:rPr>
      </w:pPr>
      <w:r>
        <w:rPr>
          <w:rFonts w:hint="eastAsia" w:ascii="宋体" w:hAnsi="宋体"/>
          <w:b/>
          <w:szCs w:val="21"/>
        </w:rPr>
        <w:t>2.关于填写“开标一览表”的说明：“开标一览表”中除“投标报价”外，其他信息不作评审依据。</w:t>
      </w:r>
    </w:p>
    <w:p>
      <w:pPr>
        <w:pStyle w:val="2"/>
      </w:pPr>
      <w:r>
        <w:rPr>
          <w:rFonts w:hint="eastAsia"/>
        </w:rPr>
        <w:br w:type="page"/>
      </w:r>
    </w:p>
    <w:p>
      <w:pPr>
        <w:pStyle w:val="5"/>
        <w:jc w:val="center"/>
        <w:rPr>
          <w:rFonts w:hint="eastAsia" w:ascii="黑体" w:eastAsia="黑体"/>
          <w:b w:val="0"/>
          <w:kern w:val="0"/>
          <w:sz w:val="24"/>
        </w:rPr>
      </w:pPr>
      <w:r>
        <w:rPr>
          <w:rFonts w:hint="eastAsia" w:ascii="黑体" w:eastAsia="黑体"/>
          <w:b w:val="0"/>
          <w:kern w:val="0"/>
          <w:sz w:val="24"/>
        </w:rPr>
        <w:t>一、投标函</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pPr>
        <w:ind w:firstLine="420" w:firstLineChars="200"/>
        <w:rPr>
          <w:rFonts w:hint="eastAsia" w:ascii="宋体" w:hAnsi="宋体"/>
          <w:szCs w:val="21"/>
        </w:rPr>
      </w:pPr>
      <w:bookmarkStart w:id="39"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项目的采购文件，遵照《深圳经济特区政府采购条例》和《深圳网上政府采购管理暂行办法》等有关规定，我单位经研究上述采购文件的专用条款及通用条款后，</w:t>
      </w:r>
      <w:bookmarkStart w:id="40" w:name="_Hlk72263588"/>
      <w:r>
        <w:rPr>
          <w:rFonts w:hint="eastAsia"/>
          <w:szCs w:val="21"/>
        </w:rPr>
        <w:t>愿意按照采购文件要求承包上述项目并修补其任何缺陷。</w:t>
      </w:r>
      <w:bookmarkEnd w:id="40"/>
    </w:p>
    <w:p>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pPr>
        <w:ind w:firstLine="420" w:firstLineChars="200"/>
        <w:rPr>
          <w:rFonts w:hint="eastAsia" w:ascii="宋体" w:hAnsi="宋体"/>
          <w:szCs w:val="21"/>
        </w:rPr>
      </w:pPr>
      <w:r>
        <w:rPr>
          <w:rFonts w:hint="eastAsia" w:ascii="宋体" w:hAnsi="宋体"/>
          <w:szCs w:val="21"/>
        </w:rPr>
        <w:t>3、如果我单位中标，我单位将按照采购文件的要求提交履约担保。</w:t>
      </w:r>
    </w:p>
    <w:p>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pPr>
        <w:ind w:left="525" w:leftChars="200" w:hanging="105" w:hangingChars="50"/>
        <w:rPr>
          <w:rFonts w:hint="eastAsia" w:ascii="宋体" w:hAnsi="宋体"/>
          <w:szCs w:val="21"/>
        </w:rPr>
      </w:pPr>
      <w:r>
        <w:rPr>
          <w:rFonts w:hint="eastAsia" w:ascii="宋体" w:hAnsi="宋体"/>
          <w:szCs w:val="21"/>
        </w:rPr>
        <w:t>6、我单位理解贵单位将不受必须接受所收到的最低报价或其他任何投标文件的约束。</w:t>
      </w:r>
      <w:bookmarkEnd w:id="39"/>
    </w:p>
    <w:p>
      <w:pPr>
        <w:ind w:firstLine="420" w:firstLineChars="200"/>
        <w:rPr>
          <w:rFonts w:hint="eastAsia"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pPr>
        <w:rPr>
          <w:rFonts w:hint="eastAsia" w:ascii="黑体" w:hAnsi="宋体" w:eastAsia="黑体"/>
        </w:rPr>
      </w:pPr>
    </w:p>
    <w:p>
      <w:pPr>
        <w:rPr>
          <w:rFonts w:hint="eastAsia" w:ascii="黑体" w:hAnsi="宋体" w:eastAsia="黑体"/>
        </w:rPr>
      </w:pPr>
    </w:p>
    <w:p>
      <w:pPr>
        <w:pStyle w:val="5"/>
        <w:jc w:val="center"/>
        <w:rPr>
          <w:rFonts w:hint="eastAsia" w:ascii="黑体" w:eastAsia="黑体"/>
          <w:b w:val="0"/>
          <w:kern w:val="0"/>
          <w:sz w:val="24"/>
        </w:rPr>
      </w:pPr>
      <w:r>
        <w:rPr>
          <w:rFonts w:hint="eastAsia" w:ascii="黑体" w:eastAsia="黑体"/>
          <w:b w:val="0"/>
          <w:kern w:val="0"/>
          <w:sz w:val="24"/>
        </w:rPr>
        <w:t>二、采购投标及履约承诺函</w:t>
      </w:r>
    </w:p>
    <w:p>
      <w:pPr>
        <w:rPr>
          <w:rFonts w:hint="eastAsia" w:ascii="宋体" w:hAnsi="宋体"/>
          <w:sz w:val="24"/>
        </w:rPr>
      </w:pP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pPr>
        <w:ind w:right="-815" w:firstLine="420" w:firstLineChars="200"/>
        <w:rPr>
          <w:rFonts w:hint="eastAsia" w:ascii="宋体" w:hAnsi="宋体"/>
          <w:szCs w:val="21"/>
        </w:rPr>
      </w:pPr>
      <w:r>
        <w:rPr>
          <w:rFonts w:hint="eastAsia" w:ascii="宋体" w:hAnsi="宋体"/>
          <w:szCs w:val="21"/>
        </w:rPr>
        <w:t>我单位承诺：</w:t>
      </w:r>
    </w:p>
    <w:p>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hint="eastAsia"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采购活动时不存在被有关部门禁止参与政府采购活动且在有效期内的情况。符合采购文件关于联合体及进口产品的相关资格要求。</w:t>
      </w:r>
    </w:p>
    <w:p>
      <w:pPr>
        <w:ind w:firstLine="420" w:firstLineChars="200"/>
        <w:rPr>
          <w:rFonts w:hint="eastAsia" w:ascii="宋体" w:hAnsi="宋体"/>
          <w:szCs w:val="21"/>
        </w:rPr>
      </w:pPr>
      <w:r>
        <w:rPr>
          <w:rFonts w:hint="eastAsia" w:ascii="宋体" w:hAnsi="宋体"/>
          <w:szCs w:val="21"/>
        </w:rPr>
        <w:t>3.我单位具备《中华人民共和国政府采购法》第二十二条第一款的条件。</w:t>
      </w:r>
    </w:p>
    <w:p>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pPr>
      <w:r>
        <w:rPr>
          <w:rFonts w:hint="eastAsia"/>
          <w:color w:val="FF0000"/>
        </w:rPr>
        <w:t>5.我单位不存在《深圳市财政局政府采购供应商信用信息管理办法》（深财规〔2023〕3号）列明的严重违法失信行为。</w:t>
      </w:r>
    </w:p>
    <w:p>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hint="eastAsia" w:ascii="宋体" w:hAnsi="宋体"/>
          <w:szCs w:val="21"/>
        </w:rPr>
      </w:pPr>
      <w:r>
        <w:rPr>
          <w:rFonts w:hint="eastAsia" w:ascii="宋体" w:hAnsi="宋体"/>
          <w:szCs w:val="21"/>
        </w:rPr>
        <w:t>7.我单位如果中标，做到守信，不偷工减料，依照本项目采购文件需求内容、签署的采购合同及本单位在投标中所作的一切承诺履约。我单位对本项目的报价负责，中标后将严格按照本项目采购文件需求、签署的采购合同及我单位在投标中所作的全部承诺履行。</w:t>
      </w:r>
    </w:p>
    <w:p>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pPr>
        <w:ind w:firstLine="422"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pPr>
        <w:ind w:firstLine="420" w:firstLineChars="200"/>
        <w:rPr>
          <w:rFonts w:hint="eastAsia" w:ascii="宋体" w:hAnsi="宋体"/>
          <w:szCs w:val="21"/>
        </w:rPr>
      </w:pPr>
    </w:p>
    <w:p>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pPr>
        <w:ind w:firstLine="64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
    <w:p>
      <w:pPr>
        <w:pStyle w:val="5"/>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pPr>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（特别提示：投标人须按本采购文件第一册第一章采购公告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
      <w:pPr>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rPr>
          <w:rFonts w:hint="eastAsia" w:ascii="黑体" w:hAnsi="黑体" w:eastAsia="黑体" w:cs="黑体"/>
          <w:color w:val="FF0000"/>
        </w:rPr>
      </w:pPr>
      <w:r>
        <w:rPr>
          <w:rFonts w:hint="eastAsia" w:ascii="黑体" w:hAnsi="黑体" w:eastAsia="黑体" w:cs="黑体"/>
          <w:color w:val="FF0000"/>
        </w:rPr>
        <w:t>填写指引：</w:t>
      </w:r>
    </w:p>
    <w:p>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工程承建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1"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1"/>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工程承建商本身的所属行业保持一致。对于分包方式面向中小企业采购的项目，“采购文件中明确的所属行业”应按照采购文件中注明的分包给中小企业的采购标的所属行业填写，并应确保与该分包部分采购标的涉及的工程承建商本身的所属行业保持一致。对于以联合体方式面向中小企业采购的项目，“采购文件中明确的所属行业”应按照采购文件中注明的联合体中中小企业承担的采购标的所属行业填写，并应确保与该承担部分采购标的涉及的工程承建商本身的所属行业保持一致；</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工程承建商。对于分包方式面向中小企业采购的项目，“企业名称”应填写分包部分采购标的对应的工程承建商。对于以联合体方式面向中小企业采购的项目，“企业名称”应填写联合体中中小企业承担采购标的对应的工程承建商。</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号），判断《中小企业声明函》载明的工程承建商是否属于采购文件所属行业的中型企业/小型企业/微型企业。</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rFonts w:hint="eastAsia" w:ascii="黑体" w:hAnsi="黑体" w:eastAsia="黑体" w:cs="黑体"/>
          <w:color w:val="FF0000"/>
        </w:rPr>
      </w:pPr>
    </w:p>
    <w:p>
      <w:pPr>
        <w:ind w:firstLine="420" w:firstLineChars="200"/>
        <w:rPr>
          <w:rFonts w:hint="eastAsia" w:ascii="黑体" w:hAnsi="黑体" w:eastAsia="黑体" w:cs="黑体"/>
          <w:color w:val="FF0000"/>
        </w:rPr>
      </w:pP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工程</w:t>
      </w:r>
      <w:r>
        <w:rPr>
          <w:b/>
          <w:sz w:val="24"/>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采购活动，服务全部由符合政策要求的中小企业承建。相关企业（含联合体中的中小企业、签订分包意向协议的中小企业）的具体情况如下：</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行业；承建企业为</w:t>
      </w:r>
      <w:r>
        <w:rPr>
          <w:rFonts w:hint="eastAsia" w:asciiTheme="minorEastAsia" w:hAnsiTheme="minorEastAsia" w:eastAsiaTheme="minorEastAsia" w:cstheme="minorEastAsia"/>
          <w:b/>
          <w:bCs/>
          <w:i/>
          <w:iCs/>
          <w:szCs w:val="21"/>
          <w:u w:val="single"/>
        </w:rPr>
        <w:t xml:space="preserve">    （企业名称，要求承建企业本身所属行业应当与采购文件要求的行业相一致）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行业；承建企业为</w:t>
      </w:r>
      <w:r>
        <w:rPr>
          <w:rFonts w:hint="eastAsia" w:asciiTheme="minorEastAsia" w:hAnsiTheme="minorEastAsia" w:eastAsiaTheme="minorEastAsia" w:cstheme="minorEastAsia"/>
          <w:b/>
          <w:bCs/>
          <w:i/>
          <w:iCs/>
          <w:szCs w:val="21"/>
          <w:u w:val="single"/>
        </w:rPr>
        <w:t xml:space="preserve">    （企业名称，要求承建企业本身所属行业应当与采购文件要求的行业相一致）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pPr>
        <w:ind w:firstLine="420" w:firstLineChars="200"/>
        <w:rPr>
          <w:rFonts w:hint="eastAsia" w:asciiTheme="minorEastAsia" w:hAnsiTheme="minorEastAsia" w:eastAsiaTheme="minorEastAsia" w:cstheme="minorEastAsia"/>
          <w:szCs w:val="21"/>
        </w:rPr>
      </w:pPr>
      <w:bookmarkStart w:id="42"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2"/>
    </w:p>
    <w:p>
      <w:pPr>
        <w:ind w:firstLine="420" w:firstLineChars="200"/>
      </w:pPr>
    </w:p>
    <w:p>
      <w:pPr>
        <w:jc w:val="center"/>
        <w:outlineLvl w:val="3"/>
        <w:rPr>
          <w:b/>
          <w:sz w:val="24"/>
        </w:rPr>
      </w:pPr>
      <w:r>
        <w:rPr>
          <w:rFonts w:hint="eastAsia"/>
          <w:b/>
          <w:sz w:val="24"/>
        </w:rPr>
        <w:t>2、残疾人福利性单位声明函（工程类）</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w:t>
      </w:r>
      <w:r>
        <w:rPr>
          <w:rFonts w:hint="eastAsia" w:ascii="宋体" w:hAnsi="宋体" w:cs="宋体"/>
          <w:szCs w:val="21"/>
          <w:lang w:bidi="ar"/>
        </w:rPr>
        <w:t>承担工程</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jc w:val="center"/>
        <w:outlineLvl w:val="3"/>
        <w:rPr>
          <w:b/>
          <w:sz w:val="24"/>
        </w:rPr>
      </w:pPr>
      <w:r>
        <w:rPr>
          <w:rFonts w:hint="eastAsia"/>
          <w:b/>
          <w:sz w:val="24"/>
        </w:rPr>
        <w:t>3、监狱企业声明函【工程类，监狱企业如需享受优惠政策，还须另行提供省级以上监狱管理局、戒毒管理局（含新疆生产建设兵团）出具的监狱企业证明文件】</w:t>
      </w:r>
    </w:p>
    <w:p>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工程</w:t>
      </w:r>
      <w:r>
        <w:rPr>
          <w:rFonts w:ascii="宋体" w:hAnsi="宋体"/>
          <w:szCs w:val="21"/>
        </w:rPr>
        <w:t>全部由符合政策要求的</w:t>
      </w:r>
      <w:r>
        <w:rPr>
          <w:rFonts w:hint="eastAsia" w:ascii="宋体" w:hAnsi="宋体"/>
          <w:szCs w:val="21"/>
        </w:rPr>
        <w:t>监狱企业承建</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，承建单位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，承建单位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rPr>
          <w:rFonts w:hint="eastAsia" w:ascii="宋体" w:hAnsi="宋体"/>
          <w:szCs w:val="21"/>
        </w:rPr>
      </w:pPr>
      <w:r>
        <w:rPr>
          <w:rFonts w:ascii="宋体" w:hAnsi="宋体"/>
          <w:szCs w:val="21"/>
        </w:rPr>
        <w:t xml:space="preserve">…… </w:t>
      </w:r>
    </w:p>
    <w:p>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pPr>
        <w:outlineLvl w:val="3"/>
        <w:rPr>
          <w:rFonts w:hint="eastAsia" w:ascii="黑体" w:hAnsi="宋体" w:eastAsia="黑体"/>
          <w:bCs/>
          <w:kern w:val="0"/>
          <w:sz w:val="24"/>
          <w:szCs w:val="32"/>
        </w:rPr>
      </w:pPr>
      <w:r>
        <w:rPr>
          <w:rFonts w:hint="eastAsia" w:ascii="黑体" w:hAnsi="宋体" w:eastAsia="黑体"/>
          <w:bCs/>
          <w:kern w:val="0"/>
          <w:sz w:val="24"/>
          <w:szCs w:val="32"/>
        </w:rPr>
        <w:t>（三）供应商基本情况表</w:t>
      </w:r>
    </w:p>
    <w:p>
      <w:pPr>
        <w:jc w:val="left"/>
        <w:rPr>
          <w:szCs w:val="21"/>
        </w:rPr>
      </w:pPr>
    </w:p>
    <w:p>
      <w:pPr>
        <w:adjustRightInd w:val="0"/>
        <w:spacing w:line="360" w:lineRule="auto"/>
        <w:jc w:val="center"/>
        <w:rPr>
          <w:rFonts w:hint="eastAsia" w:ascii="宋体" w:hAnsi="宋体" w:cs="宋体"/>
          <w:b/>
          <w:bCs/>
          <w:szCs w:val="21"/>
        </w:rPr>
      </w:pPr>
      <w:r>
        <w:rPr>
          <w:rFonts w:hint="eastAsia" w:ascii="宋体" w:hAnsi="宋体" w:cs="宋体"/>
          <w:b/>
          <w:bCs/>
          <w:szCs w:val="21"/>
        </w:rPr>
        <w:t>1.《供应商基本情况表》</w:t>
      </w:r>
    </w:p>
    <w:p>
      <w:pPr>
        <w:adjustRightInd w:val="0"/>
        <w:snapToGrid w:val="0"/>
        <w:spacing w:line="360" w:lineRule="auto"/>
        <w:jc w:val="left"/>
        <w:rPr>
          <w:rFonts w:hint="eastAsia" w:ascii="宋体" w:hAnsi="宋体" w:cs="宋体"/>
          <w:szCs w:val="21"/>
        </w:rPr>
      </w:pPr>
      <w:r>
        <w:rPr>
          <w:rFonts w:hint="eastAsia" w:ascii="宋体" w:hAnsi="宋体" w:cs="宋体"/>
          <w:szCs w:val="21"/>
        </w:rPr>
        <w:t>填表单位</w:t>
      </w:r>
      <w:bookmarkStart w:id="43" w:name="_Hlk189743140"/>
      <w:r>
        <w:rPr>
          <w:rFonts w:hint="eastAsia" w:ascii="宋体" w:hAnsi="宋体" w:cs="宋体"/>
          <w:szCs w:val="21"/>
        </w:rPr>
        <w:t>（</w:t>
      </w:r>
      <w:r>
        <w:rPr>
          <w:rFonts w:hint="eastAsia" w:ascii="宋体" w:hAnsi="宋体" w:cs="宋体"/>
          <w:b/>
          <w:bCs/>
          <w:color w:val="FF0000"/>
          <w:szCs w:val="21"/>
        </w:rPr>
        <w:t>加盖单位公章，必填项</w:t>
      </w:r>
      <w:r>
        <w:rPr>
          <w:rFonts w:hint="eastAsia" w:ascii="宋体" w:hAnsi="宋体" w:cs="宋体"/>
          <w:szCs w:val="21"/>
        </w:rPr>
        <w:t>）</w:t>
      </w:r>
      <w:bookmarkEnd w:id="43"/>
      <w:r>
        <w:rPr>
          <w:rFonts w:hint="eastAsia" w:ascii="宋体" w:hAnsi="宋体" w:cs="宋体"/>
          <w:szCs w:val="21"/>
        </w:rPr>
        <w:t>：</w:t>
      </w:r>
    </w:p>
    <w:p>
      <w:pPr>
        <w:adjustRightInd w:val="0"/>
        <w:snapToGrid w:val="0"/>
        <w:spacing w:line="360" w:lineRule="auto"/>
        <w:jc w:val="left"/>
        <w:rPr>
          <w:rFonts w:hint="eastAsia" w:ascii="宋体" w:hAnsi="宋体" w:cs="宋体"/>
          <w:szCs w:val="21"/>
        </w:rPr>
      </w:pPr>
      <w:r>
        <w:rPr>
          <w:rFonts w:hint="eastAsia" w:ascii="宋体" w:hAnsi="宋体" w:cs="宋体"/>
          <w:szCs w:val="21"/>
        </w:rPr>
        <w:t>填表日期（</w:t>
      </w:r>
      <w:r>
        <w:rPr>
          <w:rFonts w:hint="eastAsia" w:ascii="宋体" w:hAnsi="宋体" w:cs="宋体"/>
          <w:b/>
          <w:bCs/>
          <w:color w:val="FF0000"/>
          <w:szCs w:val="21"/>
        </w:rPr>
        <w:t>必填项</w:t>
      </w:r>
      <w:r>
        <w:rPr>
          <w:rFonts w:hint="eastAsia" w:ascii="宋体" w:hAnsi="宋体" w:cs="宋体"/>
          <w:szCs w:val="21"/>
        </w:rPr>
        <w:t>）：        年     月      日</w:t>
      </w:r>
    </w:p>
    <w:tbl>
      <w:tblPr>
        <w:tblStyle w:val="43"/>
        <w:tblW w:w="502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4"/>
        <w:gridCol w:w="1182"/>
        <w:gridCol w:w="940"/>
        <w:gridCol w:w="881"/>
        <w:gridCol w:w="574"/>
        <w:gridCol w:w="1391"/>
        <w:gridCol w:w="1359"/>
        <w:gridCol w:w="13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16" w:type="pct"/>
            <w:gridSpan w:val="2"/>
            <w:vAlign w:val="center"/>
          </w:tcPr>
          <w:p>
            <w:pPr>
              <w:adjustRightInd w:val="0"/>
              <w:snapToGrid w:val="0"/>
              <w:jc w:val="center"/>
              <w:rPr>
                <w:rFonts w:hint="eastAsia" w:ascii="宋体" w:hAnsi="宋体" w:cs="宋体"/>
                <w:b/>
                <w:bCs/>
                <w:color w:val="FF0000"/>
                <w:spacing w:val="-4"/>
                <w:szCs w:val="21"/>
                <w:lang w:eastAsia="en-US"/>
              </w:rPr>
            </w:pPr>
            <w:r>
              <w:rPr>
                <w:rFonts w:hint="eastAsia" w:ascii="宋体" w:hAnsi="宋体" w:cs="宋体"/>
                <w:b/>
                <w:bCs/>
                <w:color w:val="FF0000"/>
                <w:spacing w:val="-4"/>
                <w:szCs w:val="21"/>
                <w:lang w:eastAsia="en-US"/>
              </w:rPr>
              <w:t>采购人</w:t>
            </w:r>
          </w:p>
          <w:p>
            <w:pPr>
              <w:adjustRightInd w:val="0"/>
              <w:snapToGrid w:val="0"/>
              <w:jc w:val="center"/>
              <w:rPr>
                <w:rFonts w:hint="eastAsia" w:ascii="宋体" w:hAnsi="宋体" w:cs="宋体"/>
                <w:szCs w:val="21"/>
                <w:lang w:eastAsia="en-US"/>
              </w:rPr>
            </w:pPr>
            <w:r>
              <w:rPr>
                <w:rFonts w:hint="eastAsia" w:ascii="宋体" w:hAnsi="宋体" w:cs="宋体"/>
                <w:b/>
                <w:bCs/>
                <w:color w:val="FF0000"/>
                <w:spacing w:val="-4"/>
                <w:szCs w:val="21"/>
                <w:lang w:eastAsia="en-US"/>
              </w:rPr>
              <w:t>（必填项）</w:t>
            </w:r>
          </w:p>
        </w:tc>
        <w:tc>
          <w:tcPr>
            <w:tcW w:w="1089" w:type="pct"/>
            <w:gridSpan w:val="2"/>
            <w:vAlign w:val="center"/>
          </w:tcPr>
          <w:p>
            <w:pPr>
              <w:adjustRightInd w:val="0"/>
              <w:snapToGrid w:val="0"/>
              <w:rPr>
                <w:rFonts w:hint="eastAsia" w:ascii="宋体" w:hAnsi="宋体" w:cs="宋体"/>
                <w:szCs w:val="21"/>
              </w:rPr>
            </w:pPr>
          </w:p>
        </w:tc>
        <w:tc>
          <w:tcPr>
            <w:tcW w:w="1175" w:type="pct"/>
            <w:gridSpan w:val="2"/>
            <w:vAlign w:val="center"/>
          </w:tcPr>
          <w:p>
            <w:pPr>
              <w:adjustRightInd w:val="0"/>
              <w:snapToGrid w:val="0"/>
              <w:jc w:val="center"/>
              <w:rPr>
                <w:rFonts w:hint="eastAsia" w:ascii="宋体" w:hAnsi="宋体" w:cs="宋体"/>
                <w:b/>
                <w:bCs/>
                <w:color w:val="FF0000"/>
                <w:spacing w:val="-4"/>
                <w:szCs w:val="21"/>
                <w:lang w:eastAsia="en-US"/>
              </w:rPr>
            </w:pPr>
            <w:r>
              <w:rPr>
                <w:rFonts w:hint="eastAsia" w:ascii="宋体" w:hAnsi="宋体" w:cs="宋体"/>
                <w:b/>
                <w:bCs/>
                <w:color w:val="FF0000"/>
                <w:spacing w:val="-4"/>
                <w:szCs w:val="21"/>
                <w:lang w:eastAsia="en-US"/>
              </w:rPr>
              <w:t>项目名称</w:t>
            </w:r>
          </w:p>
          <w:p>
            <w:pPr>
              <w:adjustRightInd w:val="0"/>
              <w:snapToGrid w:val="0"/>
              <w:jc w:val="center"/>
              <w:rPr>
                <w:rFonts w:hint="eastAsia" w:ascii="宋体" w:hAnsi="宋体" w:cs="宋体"/>
                <w:spacing w:val="-3"/>
                <w:szCs w:val="21"/>
              </w:rPr>
            </w:pPr>
            <w:r>
              <w:rPr>
                <w:rFonts w:hint="eastAsia" w:ascii="宋体" w:hAnsi="宋体" w:cs="宋体"/>
                <w:b/>
                <w:bCs/>
                <w:color w:val="FF0000"/>
                <w:spacing w:val="-4"/>
                <w:szCs w:val="21"/>
                <w:lang w:eastAsia="en-US"/>
              </w:rPr>
              <w:t>（必填项）</w:t>
            </w:r>
          </w:p>
        </w:tc>
        <w:tc>
          <w:tcPr>
            <w:tcW w:w="1619" w:type="pct"/>
            <w:gridSpan w:val="2"/>
            <w:vAlign w:val="center"/>
          </w:tcPr>
          <w:p>
            <w:pPr>
              <w:adjustRightInd w:val="0"/>
              <w:snapToGrid w:val="0"/>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116" w:type="pct"/>
            <w:gridSpan w:val="2"/>
            <w:vAlign w:val="center"/>
          </w:tcPr>
          <w:p>
            <w:pPr>
              <w:adjustRightInd w:val="0"/>
              <w:snapToGrid w:val="0"/>
              <w:jc w:val="center"/>
              <w:rPr>
                <w:rFonts w:hint="eastAsia" w:ascii="宋体" w:hAnsi="宋体" w:cs="宋体"/>
                <w:b/>
                <w:bCs/>
                <w:color w:val="FF0000"/>
                <w:spacing w:val="-4"/>
                <w:szCs w:val="21"/>
              </w:rPr>
            </w:pPr>
            <w:r>
              <w:rPr>
                <w:rFonts w:hint="eastAsia" w:ascii="宋体" w:hAnsi="宋体" w:cs="宋体"/>
                <w:b/>
                <w:bCs/>
                <w:color w:val="FF0000"/>
                <w:spacing w:val="-4"/>
                <w:szCs w:val="21"/>
              </w:rPr>
              <w:t>投标（响应）供应商</w:t>
            </w:r>
          </w:p>
          <w:p>
            <w:pPr>
              <w:adjustRightInd w:val="0"/>
              <w:snapToGrid w:val="0"/>
              <w:jc w:val="center"/>
              <w:rPr>
                <w:rFonts w:hint="eastAsia" w:ascii="宋体" w:hAnsi="宋体" w:cs="宋体"/>
                <w:spacing w:val="-5"/>
                <w:szCs w:val="21"/>
              </w:rPr>
            </w:pPr>
            <w:r>
              <w:rPr>
                <w:rFonts w:hint="eastAsia" w:ascii="宋体" w:hAnsi="宋体" w:cs="宋体"/>
                <w:b/>
                <w:bCs/>
                <w:color w:val="FF0000"/>
                <w:spacing w:val="-4"/>
                <w:szCs w:val="21"/>
              </w:rPr>
              <w:t>（必填项）</w:t>
            </w:r>
          </w:p>
        </w:tc>
        <w:tc>
          <w:tcPr>
            <w:tcW w:w="1089" w:type="pct"/>
            <w:gridSpan w:val="2"/>
            <w:vAlign w:val="center"/>
          </w:tcPr>
          <w:p>
            <w:pPr>
              <w:adjustRightInd w:val="0"/>
              <w:snapToGrid w:val="0"/>
              <w:rPr>
                <w:rFonts w:hint="eastAsia" w:ascii="宋体" w:hAnsi="宋体" w:cs="宋体"/>
                <w:szCs w:val="21"/>
              </w:rPr>
            </w:pPr>
          </w:p>
        </w:tc>
        <w:tc>
          <w:tcPr>
            <w:tcW w:w="1175" w:type="pct"/>
            <w:gridSpan w:val="2"/>
            <w:vAlign w:val="center"/>
          </w:tcPr>
          <w:p>
            <w:pPr>
              <w:adjustRightInd w:val="0"/>
              <w:snapToGrid w:val="0"/>
              <w:jc w:val="center"/>
              <w:rPr>
                <w:rFonts w:hint="eastAsia" w:ascii="宋体" w:hAnsi="宋体" w:cs="宋体"/>
                <w:spacing w:val="-3"/>
                <w:szCs w:val="21"/>
              </w:rPr>
            </w:pPr>
            <w:r>
              <w:rPr>
                <w:rFonts w:hint="eastAsia" w:ascii="宋体" w:hAnsi="宋体" w:cs="宋体"/>
                <w:b/>
                <w:bCs/>
                <w:color w:val="FF0000"/>
                <w:spacing w:val="-4"/>
                <w:szCs w:val="21"/>
              </w:rPr>
              <w:t>供应商统一社会信用代码（必填项）</w:t>
            </w:r>
          </w:p>
        </w:tc>
        <w:tc>
          <w:tcPr>
            <w:tcW w:w="1619" w:type="pct"/>
            <w:gridSpan w:val="2"/>
            <w:vAlign w:val="center"/>
          </w:tcPr>
          <w:p>
            <w:pPr>
              <w:adjustRightInd w:val="0"/>
              <w:snapToGrid w:val="0"/>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adjustRightInd w:val="0"/>
              <w:snapToGrid w:val="0"/>
              <w:ind w:left="2683"/>
              <w:rPr>
                <w:rFonts w:hint="eastAsia" w:ascii="宋体" w:hAnsi="宋体" w:cs="宋体"/>
                <w:szCs w:val="21"/>
              </w:rPr>
            </w:pPr>
            <w:r>
              <w:rPr>
                <w:rFonts w:hint="eastAsia" w:ascii="宋体" w:hAnsi="宋体" w:cs="宋体"/>
                <w:b/>
                <w:bCs/>
                <w:szCs w:val="21"/>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09" w:type="pct"/>
            <w:vAlign w:val="center"/>
          </w:tcPr>
          <w:p>
            <w:pPr>
              <w:adjustRightInd w:val="0"/>
              <w:snapToGrid w:val="0"/>
              <w:ind w:left="145"/>
              <w:rPr>
                <w:rFonts w:hint="eastAsia" w:ascii="宋体" w:hAnsi="宋体" w:cs="宋体"/>
                <w:spacing w:val="-5"/>
                <w:szCs w:val="21"/>
              </w:rPr>
            </w:pPr>
            <w:r>
              <w:rPr>
                <w:rFonts w:hint="eastAsia" w:ascii="宋体" w:hAnsi="宋体" w:cs="宋体"/>
                <w:spacing w:val="-5"/>
                <w:szCs w:val="21"/>
              </w:rPr>
              <w:t>序号</w:t>
            </w:r>
          </w:p>
        </w:tc>
        <w:tc>
          <w:tcPr>
            <w:tcW w:w="1269" w:type="pct"/>
            <w:gridSpan w:val="2"/>
            <w:vAlign w:val="center"/>
          </w:tcPr>
          <w:p>
            <w:pPr>
              <w:adjustRightInd w:val="0"/>
              <w:snapToGrid w:val="0"/>
              <w:ind w:left="916"/>
              <w:rPr>
                <w:rFonts w:hint="eastAsia" w:ascii="宋体" w:hAnsi="宋体" w:cs="宋体"/>
                <w:spacing w:val="-6"/>
                <w:szCs w:val="21"/>
              </w:rPr>
            </w:pPr>
            <w:r>
              <w:rPr>
                <w:rFonts w:hint="eastAsia" w:ascii="宋体" w:hAnsi="宋体" w:cs="宋体"/>
                <w:spacing w:val="-6"/>
                <w:szCs w:val="21"/>
              </w:rPr>
              <w:t>职务</w:t>
            </w:r>
          </w:p>
        </w:tc>
        <w:tc>
          <w:tcPr>
            <w:tcW w:w="527" w:type="pct"/>
            <w:vAlign w:val="center"/>
          </w:tcPr>
          <w:p>
            <w:pPr>
              <w:adjustRightInd w:val="0"/>
              <w:snapToGrid w:val="0"/>
              <w:ind w:left="245"/>
              <w:rPr>
                <w:rFonts w:hint="eastAsia" w:ascii="宋体" w:hAnsi="宋体" w:cs="宋体"/>
                <w:spacing w:val="-4"/>
                <w:szCs w:val="21"/>
              </w:rPr>
            </w:pPr>
            <w:r>
              <w:rPr>
                <w:rFonts w:hint="eastAsia" w:ascii="宋体" w:hAnsi="宋体" w:cs="宋体"/>
                <w:spacing w:val="-4"/>
                <w:szCs w:val="21"/>
              </w:rPr>
              <w:t>姓名</w:t>
            </w:r>
          </w:p>
        </w:tc>
        <w:tc>
          <w:tcPr>
            <w:tcW w:w="1175" w:type="pct"/>
            <w:gridSpan w:val="2"/>
            <w:vAlign w:val="center"/>
          </w:tcPr>
          <w:p>
            <w:pPr>
              <w:adjustRightInd w:val="0"/>
              <w:snapToGrid w:val="0"/>
              <w:ind w:left="410"/>
              <w:rPr>
                <w:rFonts w:hint="eastAsia" w:ascii="宋体" w:hAnsi="宋体" w:cs="宋体"/>
                <w:spacing w:val="-3"/>
                <w:szCs w:val="21"/>
              </w:rPr>
            </w:pPr>
            <w:r>
              <w:rPr>
                <w:rFonts w:hint="eastAsia" w:ascii="宋体" w:hAnsi="宋体" w:cs="宋体"/>
                <w:spacing w:val="-3"/>
                <w:szCs w:val="21"/>
              </w:rPr>
              <w:t>身份证号码</w:t>
            </w:r>
          </w:p>
        </w:tc>
        <w:tc>
          <w:tcPr>
            <w:tcW w:w="813" w:type="pct"/>
            <w:vAlign w:val="center"/>
          </w:tcPr>
          <w:p>
            <w:pPr>
              <w:adjustRightInd w:val="0"/>
              <w:snapToGrid w:val="0"/>
              <w:ind w:left="288" w:right="266" w:firstLine="5"/>
              <w:rPr>
                <w:rFonts w:hint="eastAsia" w:ascii="宋体" w:hAnsi="宋体" w:cs="宋体"/>
                <w:spacing w:val="-7"/>
                <w:szCs w:val="21"/>
              </w:rPr>
            </w:pPr>
            <w:r>
              <w:rPr>
                <w:rFonts w:hint="eastAsia" w:ascii="宋体" w:hAnsi="宋体" w:cs="宋体"/>
                <w:spacing w:val="-7"/>
                <w:szCs w:val="21"/>
              </w:rPr>
              <w:t>劳动合同关系单位</w:t>
            </w:r>
          </w:p>
        </w:tc>
        <w:tc>
          <w:tcPr>
            <w:tcW w:w="806" w:type="pct"/>
            <w:vAlign w:val="center"/>
          </w:tcPr>
          <w:p>
            <w:pPr>
              <w:adjustRightInd w:val="0"/>
              <w:snapToGrid w:val="0"/>
              <w:ind w:left="271" w:right="262" w:firstLine="8"/>
              <w:rPr>
                <w:rFonts w:hint="eastAsia" w:ascii="宋体" w:hAnsi="宋体" w:cs="宋体"/>
                <w:spacing w:val="-5"/>
                <w:szCs w:val="21"/>
              </w:rPr>
            </w:pPr>
            <w:r>
              <w:rPr>
                <w:rFonts w:hint="eastAsia" w:ascii="宋体" w:hAnsi="宋体" w:cs="宋体"/>
                <w:spacing w:val="-7"/>
                <w:szCs w:val="21"/>
              </w:rPr>
              <w:t>缴纳社会保险单位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09" w:type="pct"/>
            <w:vAlign w:val="center"/>
          </w:tcPr>
          <w:p>
            <w:pPr>
              <w:adjustRightInd w:val="0"/>
              <w:snapToGrid w:val="0"/>
              <w:ind w:left="321"/>
              <w:rPr>
                <w:rFonts w:hint="eastAsia" w:ascii="宋体" w:hAnsi="宋体" w:cs="宋体"/>
                <w:szCs w:val="21"/>
                <w:lang w:eastAsia="en-US"/>
              </w:rPr>
            </w:pPr>
            <w:r>
              <w:rPr>
                <w:rFonts w:hint="eastAsia" w:ascii="宋体" w:hAnsi="宋体" w:cs="宋体"/>
                <w:szCs w:val="21"/>
                <w:lang w:eastAsia="en-US"/>
              </w:rPr>
              <w:t>1</w:t>
            </w:r>
          </w:p>
        </w:tc>
        <w:tc>
          <w:tcPr>
            <w:tcW w:w="1269" w:type="pct"/>
            <w:gridSpan w:val="2"/>
            <w:vAlign w:val="center"/>
          </w:tcPr>
          <w:p>
            <w:pPr>
              <w:adjustRightInd w:val="0"/>
              <w:snapToGrid w:val="0"/>
              <w:jc w:val="center"/>
              <w:rPr>
                <w:rFonts w:hint="eastAsia" w:ascii="宋体" w:hAnsi="宋体" w:cs="宋体"/>
                <w:b/>
                <w:bCs/>
                <w:color w:val="FF0000"/>
                <w:spacing w:val="-4"/>
                <w:szCs w:val="21"/>
              </w:rPr>
            </w:pPr>
            <w:r>
              <w:rPr>
                <w:rFonts w:hint="eastAsia" w:ascii="宋体" w:hAnsi="宋体" w:cs="宋体"/>
                <w:b/>
                <w:bCs/>
                <w:color w:val="FF0000"/>
                <w:spacing w:val="-4"/>
                <w:szCs w:val="21"/>
              </w:rPr>
              <w:t>法定代表人/单位负责人/主要经营负责人（必填项）</w:t>
            </w:r>
          </w:p>
        </w:tc>
        <w:tc>
          <w:tcPr>
            <w:tcW w:w="527" w:type="pct"/>
            <w:vAlign w:val="center"/>
          </w:tcPr>
          <w:p>
            <w:pPr>
              <w:adjustRightInd w:val="0"/>
              <w:snapToGrid w:val="0"/>
              <w:rPr>
                <w:rFonts w:hint="eastAsia" w:ascii="宋体" w:hAnsi="宋体" w:cs="宋体"/>
                <w:szCs w:val="21"/>
              </w:rPr>
            </w:pPr>
          </w:p>
        </w:tc>
        <w:tc>
          <w:tcPr>
            <w:tcW w:w="1175" w:type="pct"/>
            <w:gridSpan w:val="2"/>
            <w:vAlign w:val="center"/>
          </w:tcPr>
          <w:p>
            <w:pPr>
              <w:adjustRightInd w:val="0"/>
              <w:snapToGrid w:val="0"/>
              <w:rPr>
                <w:rFonts w:hint="eastAsia" w:ascii="宋体" w:hAnsi="宋体" w:cs="宋体"/>
                <w:szCs w:val="21"/>
              </w:rPr>
            </w:pPr>
          </w:p>
        </w:tc>
        <w:tc>
          <w:tcPr>
            <w:tcW w:w="813" w:type="pct"/>
            <w:vAlign w:val="center"/>
          </w:tcPr>
          <w:p>
            <w:pPr>
              <w:adjustRightInd w:val="0"/>
              <w:snapToGrid w:val="0"/>
              <w:rPr>
                <w:rFonts w:hint="eastAsia" w:ascii="宋体" w:hAnsi="宋体" w:cs="宋体"/>
                <w:szCs w:val="21"/>
              </w:rPr>
            </w:pPr>
          </w:p>
        </w:tc>
        <w:tc>
          <w:tcPr>
            <w:tcW w:w="806" w:type="pct"/>
            <w:vAlign w:val="center"/>
          </w:tcPr>
          <w:p>
            <w:pPr>
              <w:adjustRightInd w:val="0"/>
              <w:snapToGrid w:val="0"/>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vAlign w:val="center"/>
          </w:tcPr>
          <w:p>
            <w:pPr>
              <w:adjustRightInd w:val="0"/>
              <w:snapToGrid w:val="0"/>
              <w:ind w:left="322"/>
              <w:rPr>
                <w:rFonts w:hint="eastAsia" w:ascii="宋体" w:hAnsi="宋体" w:cs="宋体"/>
                <w:szCs w:val="21"/>
                <w:lang w:eastAsia="en-US"/>
              </w:rPr>
            </w:pPr>
            <w:r>
              <w:rPr>
                <w:rFonts w:hint="eastAsia" w:ascii="宋体" w:hAnsi="宋体" w:cs="宋体"/>
                <w:szCs w:val="21"/>
                <w:lang w:eastAsia="en-US"/>
              </w:rPr>
              <w:t>2</w:t>
            </w:r>
          </w:p>
        </w:tc>
        <w:tc>
          <w:tcPr>
            <w:tcW w:w="1269" w:type="pct"/>
            <w:gridSpan w:val="2"/>
            <w:vAlign w:val="center"/>
          </w:tcPr>
          <w:p>
            <w:pPr>
              <w:adjustRightInd w:val="0"/>
              <w:snapToGrid w:val="0"/>
              <w:jc w:val="center"/>
              <w:rPr>
                <w:rFonts w:hint="eastAsia" w:ascii="宋体" w:hAnsi="宋体" w:cs="宋体"/>
                <w:b/>
                <w:bCs/>
                <w:color w:val="FF0000"/>
                <w:spacing w:val="-4"/>
                <w:szCs w:val="21"/>
              </w:rPr>
            </w:pPr>
            <w:r>
              <w:rPr>
                <w:rFonts w:hint="eastAsia" w:ascii="宋体" w:hAnsi="宋体" w:cs="宋体"/>
                <w:b/>
                <w:bCs/>
                <w:color w:val="FF0000"/>
                <w:spacing w:val="-4"/>
                <w:szCs w:val="21"/>
              </w:rPr>
              <w:t>项目投标授权代表人（必填项）</w:t>
            </w:r>
          </w:p>
        </w:tc>
        <w:tc>
          <w:tcPr>
            <w:tcW w:w="527" w:type="pct"/>
            <w:vAlign w:val="center"/>
          </w:tcPr>
          <w:p>
            <w:pPr>
              <w:adjustRightInd w:val="0"/>
              <w:snapToGrid w:val="0"/>
              <w:rPr>
                <w:rFonts w:hint="eastAsia" w:ascii="宋体" w:hAnsi="宋体" w:cs="宋体"/>
                <w:szCs w:val="21"/>
              </w:rPr>
            </w:pPr>
          </w:p>
        </w:tc>
        <w:tc>
          <w:tcPr>
            <w:tcW w:w="1175" w:type="pct"/>
            <w:gridSpan w:val="2"/>
            <w:vAlign w:val="center"/>
          </w:tcPr>
          <w:p>
            <w:pPr>
              <w:adjustRightInd w:val="0"/>
              <w:snapToGrid w:val="0"/>
              <w:rPr>
                <w:rFonts w:hint="eastAsia" w:ascii="宋体" w:hAnsi="宋体" w:cs="宋体"/>
                <w:szCs w:val="21"/>
              </w:rPr>
            </w:pPr>
          </w:p>
        </w:tc>
        <w:tc>
          <w:tcPr>
            <w:tcW w:w="813" w:type="pct"/>
            <w:vAlign w:val="center"/>
          </w:tcPr>
          <w:p>
            <w:pPr>
              <w:adjustRightInd w:val="0"/>
              <w:snapToGrid w:val="0"/>
              <w:rPr>
                <w:rFonts w:hint="eastAsia" w:ascii="宋体" w:hAnsi="宋体" w:cs="宋体"/>
                <w:szCs w:val="21"/>
              </w:rPr>
            </w:pPr>
          </w:p>
        </w:tc>
        <w:tc>
          <w:tcPr>
            <w:tcW w:w="806" w:type="pct"/>
            <w:vAlign w:val="center"/>
          </w:tcPr>
          <w:p>
            <w:pPr>
              <w:adjustRightInd w:val="0"/>
              <w:snapToGrid w:val="0"/>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vAlign w:val="center"/>
          </w:tcPr>
          <w:p>
            <w:pPr>
              <w:adjustRightInd w:val="0"/>
              <w:snapToGrid w:val="0"/>
              <w:ind w:left="321"/>
              <w:rPr>
                <w:rFonts w:hint="eastAsia" w:ascii="宋体" w:hAnsi="宋体" w:cs="宋体"/>
                <w:szCs w:val="21"/>
                <w:lang w:eastAsia="en-US"/>
              </w:rPr>
            </w:pPr>
            <w:r>
              <w:rPr>
                <w:rFonts w:hint="eastAsia" w:ascii="宋体" w:hAnsi="宋体" w:cs="宋体"/>
                <w:szCs w:val="21"/>
                <w:lang w:eastAsia="en-US"/>
              </w:rPr>
              <w:t>3</w:t>
            </w:r>
          </w:p>
        </w:tc>
        <w:tc>
          <w:tcPr>
            <w:tcW w:w="1269" w:type="pct"/>
            <w:gridSpan w:val="2"/>
            <w:vAlign w:val="center"/>
          </w:tcPr>
          <w:p>
            <w:pPr>
              <w:adjustRightInd w:val="0"/>
              <w:snapToGrid w:val="0"/>
              <w:jc w:val="center"/>
              <w:rPr>
                <w:rFonts w:hint="eastAsia" w:ascii="宋体" w:hAnsi="宋体" w:cs="宋体"/>
                <w:szCs w:val="21"/>
              </w:rPr>
            </w:pPr>
            <w:r>
              <w:rPr>
                <w:rFonts w:hint="eastAsia" w:ascii="宋体" w:hAnsi="宋体" w:cs="宋体"/>
                <w:spacing w:val="-3"/>
                <w:szCs w:val="21"/>
              </w:rPr>
              <w:t>项目负责人（如本项目未安排，可不填写）</w:t>
            </w:r>
          </w:p>
        </w:tc>
        <w:tc>
          <w:tcPr>
            <w:tcW w:w="527" w:type="pct"/>
            <w:vAlign w:val="center"/>
          </w:tcPr>
          <w:p>
            <w:pPr>
              <w:adjustRightInd w:val="0"/>
              <w:snapToGrid w:val="0"/>
              <w:rPr>
                <w:rFonts w:hint="eastAsia" w:ascii="宋体" w:hAnsi="宋体" w:cs="宋体"/>
                <w:szCs w:val="21"/>
              </w:rPr>
            </w:pPr>
          </w:p>
        </w:tc>
        <w:tc>
          <w:tcPr>
            <w:tcW w:w="1175" w:type="pct"/>
            <w:gridSpan w:val="2"/>
            <w:vAlign w:val="center"/>
          </w:tcPr>
          <w:p>
            <w:pPr>
              <w:adjustRightInd w:val="0"/>
              <w:snapToGrid w:val="0"/>
              <w:rPr>
                <w:rFonts w:hint="eastAsia" w:ascii="宋体" w:hAnsi="宋体" w:cs="宋体"/>
                <w:szCs w:val="21"/>
              </w:rPr>
            </w:pPr>
          </w:p>
        </w:tc>
        <w:tc>
          <w:tcPr>
            <w:tcW w:w="813" w:type="pct"/>
            <w:vAlign w:val="center"/>
          </w:tcPr>
          <w:p>
            <w:pPr>
              <w:adjustRightInd w:val="0"/>
              <w:snapToGrid w:val="0"/>
              <w:rPr>
                <w:rFonts w:hint="eastAsia" w:ascii="宋体" w:hAnsi="宋体" w:cs="宋体"/>
                <w:szCs w:val="21"/>
              </w:rPr>
            </w:pPr>
          </w:p>
        </w:tc>
        <w:tc>
          <w:tcPr>
            <w:tcW w:w="806" w:type="pct"/>
            <w:vAlign w:val="center"/>
          </w:tcPr>
          <w:p>
            <w:pPr>
              <w:adjustRightInd w:val="0"/>
              <w:snapToGrid w:val="0"/>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vAlign w:val="center"/>
          </w:tcPr>
          <w:p>
            <w:pPr>
              <w:adjustRightInd w:val="0"/>
              <w:snapToGrid w:val="0"/>
              <w:ind w:left="314"/>
              <w:rPr>
                <w:rFonts w:hint="eastAsia" w:ascii="宋体" w:hAnsi="宋体" w:cs="宋体"/>
                <w:szCs w:val="21"/>
                <w:lang w:eastAsia="en-US"/>
              </w:rPr>
            </w:pPr>
            <w:r>
              <w:rPr>
                <w:rFonts w:hint="eastAsia" w:ascii="宋体" w:hAnsi="宋体" w:cs="宋体"/>
                <w:szCs w:val="21"/>
                <w:lang w:eastAsia="en-US"/>
              </w:rPr>
              <w:t>4</w:t>
            </w:r>
          </w:p>
        </w:tc>
        <w:tc>
          <w:tcPr>
            <w:tcW w:w="1269" w:type="pct"/>
            <w:gridSpan w:val="2"/>
            <w:vAlign w:val="center"/>
          </w:tcPr>
          <w:p>
            <w:pPr>
              <w:adjustRightInd w:val="0"/>
              <w:snapToGrid w:val="0"/>
              <w:jc w:val="center"/>
              <w:rPr>
                <w:rFonts w:hint="eastAsia" w:ascii="宋体" w:hAnsi="宋体" w:cs="宋体"/>
                <w:szCs w:val="21"/>
              </w:rPr>
            </w:pPr>
            <w:r>
              <w:rPr>
                <w:rFonts w:hint="eastAsia" w:ascii="宋体" w:hAnsi="宋体" w:cs="宋体"/>
                <w:spacing w:val="-3"/>
                <w:szCs w:val="21"/>
              </w:rPr>
              <w:t>主要技术人员（如本项目未安排，可不填写）</w:t>
            </w:r>
          </w:p>
        </w:tc>
        <w:tc>
          <w:tcPr>
            <w:tcW w:w="527" w:type="pct"/>
            <w:vAlign w:val="center"/>
          </w:tcPr>
          <w:p>
            <w:pPr>
              <w:adjustRightInd w:val="0"/>
              <w:snapToGrid w:val="0"/>
              <w:rPr>
                <w:rFonts w:hint="eastAsia" w:ascii="宋体" w:hAnsi="宋体" w:cs="宋体"/>
                <w:szCs w:val="21"/>
              </w:rPr>
            </w:pPr>
          </w:p>
        </w:tc>
        <w:tc>
          <w:tcPr>
            <w:tcW w:w="1175" w:type="pct"/>
            <w:gridSpan w:val="2"/>
            <w:vAlign w:val="center"/>
          </w:tcPr>
          <w:p>
            <w:pPr>
              <w:adjustRightInd w:val="0"/>
              <w:snapToGrid w:val="0"/>
              <w:rPr>
                <w:rFonts w:hint="eastAsia" w:ascii="宋体" w:hAnsi="宋体" w:cs="宋体"/>
                <w:szCs w:val="21"/>
              </w:rPr>
            </w:pPr>
          </w:p>
        </w:tc>
        <w:tc>
          <w:tcPr>
            <w:tcW w:w="813" w:type="pct"/>
            <w:vAlign w:val="center"/>
          </w:tcPr>
          <w:p>
            <w:pPr>
              <w:adjustRightInd w:val="0"/>
              <w:snapToGrid w:val="0"/>
              <w:rPr>
                <w:rFonts w:hint="eastAsia" w:ascii="宋体" w:hAnsi="宋体" w:cs="宋体"/>
                <w:szCs w:val="21"/>
              </w:rPr>
            </w:pPr>
          </w:p>
        </w:tc>
        <w:tc>
          <w:tcPr>
            <w:tcW w:w="806" w:type="pct"/>
            <w:vAlign w:val="center"/>
          </w:tcPr>
          <w:p>
            <w:pPr>
              <w:adjustRightInd w:val="0"/>
              <w:snapToGrid w:val="0"/>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vAlign w:val="center"/>
          </w:tcPr>
          <w:p>
            <w:pPr>
              <w:adjustRightInd w:val="0"/>
              <w:snapToGrid w:val="0"/>
              <w:ind w:left="325"/>
              <w:rPr>
                <w:rFonts w:hint="eastAsia" w:ascii="宋体" w:hAnsi="宋体" w:cs="宋体"/>
                <w:szCs w:val="21"/>
                <w:lang w:eastAsia="en-US"/>
              </w:rPr>
            </w:pPr>
            <w:r>
              <w:rPr>
                <w:rFonts w:hint="eastAsia" w:ascii="宋体" w:hAnsi="宋体" w:cs="宋体"/>
                <w:szCs w:val="21"/>
                <w:lang w:eastAsia="en-US"/>
              </w:rPr>
              <w:t>5</w:t>
            </w:r>
          </w:p>
        </w:tc>
        <w:tc>
          <w:tcPr>
            <w:tcW w:w="1269" w:type="pct"/>
            <w:gridSpan w:val="2"/>
            <w:vAlign w:val="center"/>
          </w:tcPr>
          <w:p>
            <w:pPr>
              <w:adjustRightInd w:val="0"/>
              <w:snapToGrid w:val="0"/>
              <w:jc w:val="center"/>
              <w:rPr>
                <w:rFonts w:hint="eastAsia" w:ascii="宋体" w:hAnsi="宋体" w:cs="宋体"/>
                <w:szCs w:val="21"/>
              </w:rPr>
            </w:pPr>
            <w:r>
              <w:rPr>
                <w:rFonts w:hint="eastAsia" w:ascii="宋体" w:hAnsi="宋体" w:cs="宋体"/>
                <w:b/>
                <w:bCs/>
                <w:color w:val="FF0000"/>
                <w:spacing w:val="-4"/>
                <w:szCs w:val="21"/>
              </w:rPr>
              <w:t>投标文件编制人员（必填项）</w:t>
            </w:r>
          </w:p>
        </w:tc>
        <w:tc>
          <w:tcPr>
            <w:tcW w:w="527" w:type="pct"/>
            <w:vAlign w:val="center"/>
          </w:tcPr>
          <w:p>
            <w:pPr>
              <w:adjustRightInd w:val="0"/>
              <w:snapToGrid w:val="0"/>
              <w:rPr>
                <w:rFonts w:hint="eastAsia" w:ascii="宋体" w:hAnsi="宋体" w:cs="宋体"/>
                <w:szCs w:val="21"/>
              </w:rPr>
            </w:pPr>
          </w:p>
        </w:tc>
        <w:tc>
          <w:tcPr>
            <w:tcW w:w="1175" w:type="pct"/>
            <w:gridSpan w:val="2"/>
            <w:vAlign w:val="center"/>
          </w:tcPr>
          <w:p>
            <w:pPr>
              <w:adjustRightInd w:val="0"/>
              <w:snapToGrid w:val="0"/>
              <w:rPr>
                <w:rFonts w:hint="eastAsia" w:ascii="宋体" w:hAnsi="宋体" w:cs="宋体"/>
                <w:szCs w:val="21"/>
              </w:rPr>
            </w:pPr>
          </w:p>
        </w:tc>
        <w:tc>
          <w:tcPr>
            <w:tcW w:w="813" w:type="pct"/>
            <w:vAlign w:val="center"/>
          </w:tcPr>
          <w:p>
            <w:pPr>
              <w:adjustRightInd w:val="0"/>
              <w:snapToGrid w:val="0"/>
              <w:rPr>
                <w:rFonts w:hint="eastAsia" w:ascii="宋体" w:hAnsi="宋体" w:cs="宋体"/>
                <w:szCs w:val="21"/>
              </w:rPr>
            </w:pPr>
          </w:p>
        </w:tc>
        <w:tc>
          <w:tcPr>
            <w:tcW w:w="806" w:type="pct"/>
            <w:vAlign w:val="center"/>
          </w:tcPr>
          <w:p>
            <w:pPr>
              <w:adjustRightInd w:val="0"/>
              <w:snapToGrid w:val="0"/>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adjustRightInd w:val="0"/>
              <w:snapToGrid w:val="0"/>
              <w:ind w:left="120"/>
              <w:rPr>
                <w:rFonts w:hint="eastAsia" w:ascii="宋体" w:hAnsi="宋体" w:cs="宋体"/>
                <w:b/>
                <w:bCs/>
                <w:spacing w:val="-1"/>
                <w:szCs w:val="21"/>
              </w:rPr>
            </w:pPr>
            <w:r>
              <w:rPr>
                <w:rFonts w:hint="eastAsia" w:ascii="宋体" w:hAnsi="宋体" w:cs="宋体"/>
                <w:b/>
                <w:bCs/>
                <w:spacing w:val="-1"/>
                <w:szCs w:val="21"/>
              </w:rPr>
              <w:t>说明：</w:t>
            </w:r>
          </w:p>
          <w:p>
            <w:pPr>
              <w:adjustRightInd w:val="0"/>
              <w:snapToGrid w:val="0"/>
              <w:ind w:left="120"/>
              <w:rPr>
                <w:rFonts w:hint="eastAsia" w:ascii="宋体" w:hAnsi="宋体" w:cs="宋体"/>
                <w:b/>
                <w:bCs/>
                <w:spacing w:val="-1"/>
                <w:szCs w:val="21"/>
              </w:rPr>
            </w:pPr>
            <w:r>
              <w:rPr>
                <w:rFonts w:hint="eastAsia" w:ascii="宋体" w:hAnsi="宋体" w:cs="宋体"/>
                <w:b/>
                <w:bCs/>
                <w:spacing w:val="-1"/>
                <w:szCs w:val="21"/>
              </w:rPr>
              <w:t>1.同一职务有多人担任（如主要技术人员</w:t>
            </w:r>
            <w:r>
              <w:rPr>
                <w:rFonts w:hint="eastAsia" w:ascii="宋体" w:hAnsi="宋体" w:cs="宋体"/>
                <w:b/>
                <w:bCs/>
                <w:spacing w:val="-42"/>
                <w:w w:val="95"/>
                <w:szCs w:val="21"/>
              </w:rPr>
              <w:t>），</w:t>
            </w:r>
            <w:r>
              <w:rPr>
                <w:rFonts w:hint="eastAsia" w:ascii="宋体" w:hAnsi="宋体" w:cs="宋体"/>
                <w:b/>
                <w:bCs/>
                <w:spacing w:val="-1"/>
                <w:szCs w:val="21"/>
              </w:rPr>
              <w:t>应分行填写。</w:t>
            </w:r>
          </w:p>
          <w:p>
            <w:pPr>
              <w:adjustRightInd w:val="0"/>
              <w:snapToGrid w:val="0"/>
              <w:ind w:left="120"/>
              <w:rPr>
                <w:rFonts w:hint="eastAsia" w:ascii="宋体" w:hAnsi="宋体" w:cs="宋体"/>
                <w:szCs w:val="21"/>
              </w:rPr>
            </w:pPr>
            <w:r>
              <w:rPr>
                <w:rFonts w:hint="eastAsia" w:ascii="宋体" w:hAnsi="宋体" w:cs="宋体"/>
                <w:b/>
                <w:bCs/>
                <w:spacing w:val="-1"/>
                <w:szCs w:val="21"/>
              </w:rPr>
              <w:t>2.上述项目负责人、主要技术人员必须为供应商本单位人员。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adjustRightInd w:val="0"/>
              <w:snapToGrid w:val="0"/>
              <w:ind w:left="2683"/>
              <w:rPr>
                <w:rFonts w:hint="eastAsia" w:ascii="宋体" w:hAnsi="宋体" w:cs="宋体"/>
                <w:szCs w:val="21"/>
              </w:rPr>
            </w:pPr>
            <w:r>
              <w:rPr>
                <w:rFonts w:hint="eastAsia" w:ascii="宋体" w:hAnsi="宋体" w:cs="宋体"/>
                <w:b/>
                <w:bCs/>
                <w:szCs w:val="21"/>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vAlign w:val="center"/>
          </w:tcPr>
          <w:p>
            <w:pPr>
              <w:adjustRightInd w:val="0"/>
              <w:snapToGrid w:val="0"/>
              <w:ind w:left="145"/>
              <w:rPr>
                <w:rFonts w:hint="eastAsia" w:ascii="宋体" w:hAnsi="宋体" w:cs="宋体"/>
                <w:szCs w:val="21"/>
                <w:lang w:eastAsia="en-US"/>
              </w:rPr>
            </w:pPr>
            <w:r>
              <w:rPr>
                <w:rFonts w:hint="eastAsia" w:ascii="宋体" w:hAnsi="宋体" w:cs="宋体"/>
                <w:spacing w:val="-5"/>
                <w:szCs w:val="21"/>
                <w:lang w:eastAsia="en-US"/>
              </w:rPr>
              <w:t>序号</w:t>
            </w:r>
          </w:p>
        </w:tc>
        <w:tc>
          <w:tcPr>
            <w:tcW w:w="1269" w:type="pct"/>
            <w:gridSpan w:val="2"/>
            <w:vAlign w:val="center"/>
          </w:tcPr>
          <w:p>
            <w:pPr>
              <w:adjustRightInd w:val="0"/>
              <w:snapToGrid w:val="0"/>
              <w:ind w:left="436"/>
              <w:rPr>
                <w:rFonts w:hint="eastAsia" w:ascii="宋体" w:hAnsi="宋体" w:cs="宋体"/>
                <w:szCs w:val="21"/>
                <w:lang w:eastAsia="en-US"/>
              </w:rPr>
            </w:pPr>
            <w:r>
              <w:rPr>
                <w:rFonts w:hint="eastAsia" w:ascii="宋体" w:hAnsi="宋体" w:cs="宋体"/>
                <w:spacing w:val="-3"/>
                <w:szCs w:val="21"/>
                <w:lang w:eastAsia="en-US"/>
              </w:rPr>
              <w:t>关联关系类型</w:t>
            </w:r>
          </w:p>
        </w:tc>
        <w:tc>
          <w:tcPr>
            <w:tcW w:w="870" w:type="pct"/>
            <w:gridSpan w:val="2"/>
            <w:vAlign w:val="center"/>
          </w:tcPr>
          <w:p>
            <w:pPr>
              <w:adjustRightInd w:val="0"/>
              <w:snapToGrid w:val="0"/>
              <w:ind w:left="166"/>
              <w:rPr>
                <w:rFonts w:hint="eastAsia" w:ascii="宋体" w:hAnsi="宋体" w:cs="宋体"/>
                <w:szCs w:val="21"/>
                <w:lang w:eastAsia="en-US"/>
              </w:rPr>
            </w:pPr>
            <w:r>
              <w:rPr>
                <w:rFonts w:hint="eastAsia" w:ascii="宋体" w:hAnsi="宋体" w:cs="宋体"/>
                <w:spacing w:val="-3"/>
                <w:szCs w:val="21"/>
                <w:lang w:eastAsia="en-US"/>
              </w:rPr>
              <w:t>关联主体名称</w:t>
            </w:r>
          </w:p>
        </w:tc>
        <w:tc>
          <w:tcPr>
            <w:tcW w:w="2451" w:type="pct"/>
            <w:gridSpan w:val="3"/>
            <w:vAlign w:val="center"/>
          </w:tcPr>
          <w:p>
            <w:pPr>
              <w:adjustRightInd w:val="0"/>
              <w:snapToGrid w:val="0"/>
              <w:ind w:left="1862"/>
              <w:rPr>
                <w:rFonts w:hint="eastAsia" w:ascii="宋体" w:hAnsi="宋体" w:cs="宋体"/>
                <w:szCs w:val="21"/>
                <w:lang w:eastAsia="en-US"/>
              </w:rPr>
            </w:pPr>
            <w:r>
              <w:rPr>
                <w:rFonts w:hint="eastAsia" w:ascii="宋体" w:hAnsi="宋体" w:cs="宋体"/>
                <w:spacing w:val="-4"/>
                <w:szCs w:val="21"/>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09" w:type="pct"/>
            <w:vAlign w:val="center"/>
          </w:tcPr>
          <w:p>
            <w:pPr>
              <w:adjustRightInd w:val="0"/>
              <w:snapToGrid w:val="0"/>
              <w:ind w:left="321"/>
              <w:rPr>
                <w:rFonts w:hint="eastAsia" w:ascii="宋体" w:hAnsi="宋体" w:cs="宋体"/>
                <w:szCs w:val="21"/>
                <w:lang w:eastAsia="en-US"/>
              </w:rPr>
            </w:pPr>
            <w:r>
              <w:rPr>
                <w:rFonts w:hint="eastAsia" w:ascii="宋体" w:hAnsi="宋体" w:cs="宋体"/>
                <w:szCs w:val="21"/>
                <w:lang w:eastAsia="en-US"/>
              </w:rPr>
              <w:t>1</w:t>
            </w:r>
          </w:p>
        </w:tc>
        <w:tc>
          <w:tcPr>
            <w:tcW w:w="1269" w:type="pct"/>
            <w:gridSpan w:val="2"/>
            <w:vAlign w:val="center"/>
          </w:tcPr>
          <w:p>
            <w:pPr>
              <w:adjustRightInd w:val="0"/>
              <w:snapToGrid w:val="0"/>
              <w:jc w:val="center"/>
              <w:rPr>
                <w:rFonts w:hint="eastAsia" w:ascii="宋体" w:hAnsi="宋体" w:cs="宋体"/>
                <w:szCs w:val="21"/>
                <w:lang w:eastAsia="en-US"/>
              </w:rPr>
            </w:pPr>
            <w:r>
              <w:rPr>
                <w:rFonts w:hint="eastAsia" w:ascii="宋体" w:hAnsi="宋体" w:cs="宋体"/>
                <w:b/>
                <w:bCs/>
                <w:color w:val="FF0000"/>
                <w:spacing w:val="-4"/>
                <w:szCs w:val="21"/>
                <w:lang w:eastAsia="en-US"/>
              </w:rPr>
              <w:t>控股股东（必填项）</w:t>
            </w:r>
          </w:p>
        </w:tc>
        <w:tc>
          <w:tcPr>
            <w:tcW w:w="870" w:type="pct"/>
            <w:gridSpan w:val="2"/>
            <w:vAlign w:val="center"/>
          </w:tcPr>
          <w:p>
            <w:pPr>
              <w:adjustRightInd w:val="0"/>
              <w:snapToGrid w:val="0"/>
              <w:rPr>
                <w:rFonts w:hint="eastAsia" w:ascii="宋体" w:hAnsi="宋体" w:cs="宋体"/>
                <w:szCs w:val="21"/>
              </w:rPr>
            </w:pPr>
          </w:p>
        </w:tc>
        <w:tc>
          <w:tcPr>
            <w:tcW w:w="2451" w:type="pct"/>
            <w:gridSpan w:val="3"/>
            <w:vAlign w:val="center"/>
          </w:tcPr>
          <w:p>
            <w:pPr>
              <w:adjustRightInd w:val="0"/>
              <w:snapToGrid w:val="0"/>
              <w:rPr>
                <w:rFonts w:hint="eastAsia" w:ascii="宋体" w:hAnsi="宋体" w:cs="宋体"/>
                <w:szCs w:val="21"/>
              </w:rPr>
            </w:pPr>
            <w:r>
              <w:rPr>
                <w:rFonts w:hint="eastAsia" w:ascii="宋体" w:hAnsi="宋体" w:cs="宋体"/>
                <w:spacing w:val="-1"/>
                <w:szCs w:val="21"/>
              </w:rPr>
              <w:t>指出资额（或持有股份）占投标（响应）供应商资</w:t>
            </w:r>
            <w:r>
              <w:rPr>
                <w:rFonts w:hint="eastAsia" w:ascii="宋体" w:hAnsi="宋体" w:cs="宋体"/>
                <w:spacing w:val="-8"/>
                <w:szCs w:val="21"/>
              </w:rPr>
              <w:t>本总额（或股本总额）50%以上的股东，以及出资额</w:t>
            </w:r>
            <w:r>
              <w:rPr>
                <w:rFonts w:hint="eastAsia" w:ascii="宋体" w:hAnsi="宋体" w:cs="宋体"/>
                <w:spacing w:val="-5"/>
                <w:szCs w:val="21"/>
              </w:rPr>
              <w:t>（或持有股份）的比例虽然不足50%，但依</w:t>
            </w:r>
            <w:r>
              <w:rPr>
                <w:rFonts w:hint="eastAsia" w:ascii="宋体" w:hAnsi="宋体" w:cs="宋体"/>
                <w:spacing w:val="-6"/>
                <w:szCs w:val="21"/>
              </w:rPr>
              <w:t>其出资</w:t>
            </w:r>
            <w:r>
              <w:rPr>
                <w:rFonts w:hint="eastAsia" w:ascii="宋体" w:hAnsi="宋体" w:cs="宋体"/>
                <w:spacing w:val="-9"/>
                <w:szCs w:val="21"/>
              </w:rPr>
              <w:t>额（或持有股份）所享有的表决权已足以对投标（响</w:t>
            </w:r>
            <w:r>
              <w:rPr>
                <w:rFonts w:hint="eastAsia" w:ascii="宋体" w:hAnsi="宋体" w:cs="宋体"/>
                <w:szCs w:val="21"/>
              </w:rPr>
              <w:t>应）供应商股东会（或股东大会）的决议产生重要</w:t>
            </w:r>
            <w:r>
              <w:rPr>
                <w:rFonts w:hint="eastAsia" w:ascii="宋体" w:hAnsi="宋体" w:cs="宋体"/>
                <w:spacing w:val="-2"/>
                <w:szCs w:val="21"/>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09" w:type="pct"/>
            <w:vAlign w:val="center"/>
          </w:tcPr>
          <w:p>
            <w:pPr>
              <w:adjustRightInd w:val="0"/>
              <w:snapToGrid w:val="0"/>
              <w:ind w:left="322"/>
              <w:rPr>
                <w:rFonts w:hint="eastAsia" w:ascii="宋体" w:hAnsi="宋体" w:cs="宋体"/>
                <w:szCs w:val="21"/>
                <w:lang w:eastAsia="en-US"/>
              </w:rPr>
            </w:pPr>
            <w:r>
              <w:rPr>
                <w:rFonts w:hint="eastAsia" w:ascii="宋体" w:hAnsi="宋体" w:cs="宋体"/>
                <w:szCs w:val="21"/>
                <w:lang w:eastAsia="en-US"/>
              </w:rPr>
              <w:t>2</w:t>
            </w:r>
          </w:p>
        </w:tc>
        <w:tc>
          <w:tcPr>
            <w:tcW w:w="1269" w:type="pct"/>
            <w:gridSpan w:val="2"/>
            <w:vAlign w:val="center"/>
          </w:tcPr>
          <w:p>
            <w:pPr>
              <w:adjustRightInd w:val="0"/>
              <w:snapToGrid w:val="0"/>
              <w:jc w:val="center"/>
              <w:rPr>
                <w:rFonts w:hint="eastAsia" w:ascii="宋体" w:hAnsi="宋体" w:cs="宋体"/>
                <w:szCs w:val="21"/>
              </w:rPr>
            </w:pPr>
            <w:r>
              <w:rPr>
                <w:rFonts w:hint="eastAsia" w:ascii="宋体" w:hAnsi="宋体" w:cs="宋体"/>
                <w:spacing w:val="-5"/>
                <w:szCs w:val="21"/>
              </w:rPr>
              <w:t>管理关系（如无，可不填写）</w:t>
            </w:r>
          </w:p>
        </w:tc>
        <w:tc>
          <w:tcPr>
            <w:tcW w:w="870" w:type="pct"/>
            <w:gridSpan w:val="2"/>
            <w:vAlign w:val="center"/>
          </w:tcPr>
          <w:p>
            <w:pPr>
              <w:adjustRightInd w:val="0"/>
              <w:snapToGrid w:val="0"/>
              <w:rPr>
                <w:rFonts w:hint="eastAsia" w:ascii="宋体" w:hAnsi="宋体" w:cs="宋体"/>
                <w:szCs w:val="21"/>
              </w:rPr>
            </w:pPr>
          </w:p>
        </w:tc>
        <w:tc>
          <w:tcPr>
            <w:tcW w:w="2451" w:type="pct"/>
            <w:gridSpan w:val="3"/>
            <w:vAlign w:val="center"/>
          </w:tcPr>
          <w:p>
            <w:pPr>
              <w:adjustRightInd w:val="0"/>
              <w:snapToGrid w:val="0"/>
              <w:ind w:right="24"/>
              <w:rPr>
                <w:rFonts w:hint="eastAsia" w:ascii="宋体" w:hAnsi="宋体" w:cs="宋体"/>
                <w:szCs w:val="21"/>
              </w:rPr>
            </w:pPr>
            <w:r>
              <w:rPr>
                <w:rFonts w:hint="eastAsia" w:ascii="宋体" w:hAnsi="宋体" w:cs="宋体"/>
                <w:spacing w:val="-8"/>
                <w:szCs w:val="21"/>
              </w:rPr>
              <w:t>指对投标（响应）供应商不具有出资持</w:t>
            </w:r>
            <w:r>
              <w:rPr>
                <w:rFonts w:hint="eastAsia" w:ascii="宋体" w:hAnsi="宋体" w:cs="宋体"/>
                <w:spacing w:val="-3"/>
                <w:szCs w:val="21"/>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000" w:type="pct"/>
            <w:gridSpan w:val="8"/>
            <w:vAlign w:val="center"/>
          </w:tcPr>
          <w:p>
            <w:pPr>
              <w:ind w:left="120"/>
              <w:rPr>
                <w:rFonts w:hint="eastAsia" w:ascii="宋体" w:hAnsi="宋体" w:cs="宋体"/>
                <w:szCs w:val="21"/>
              </w:rPr>
            </w:pPr>
            <w:r>
              <w:rPr>
                <w:rFonts w:hint="eastAsia" w:ascii="宋体" w:hAnsi="宋体" w:cs="宋体"/>
                <w:b/>
                <w:bCs/>
                <w:spacing w:val="-1"/>
                <w:szCs w:val="21"/>
              </w:rPr>
              <w:t>说明：同一关联关系类型有多个主体的，应分行填写。</w:t>
            </w:r>
          </w:p>
        </w:tc>
      </w:tr>
    </w:tbl>
    <w:p>
      <w:pPr>
        <w:rPr>
          <w:rFonts w:hint="eastAsia" w:ascii="宋体" w:hAnsi="宋体" w:cs="宋体"/>
          <w:b/>
          <w:bCs/>
          <w:color w:val="FF0000"/>
          <w:szCs w:val="21"/>
        </w:rPr>
      </w:pPr>
      <w:r>
        <w:rPr>
          <w:rFonts w:hint="eastAsia" w:ascii="宋体" w:hAnsi="宋体" w:cs="宋体"/>
          <w:b/>
          <w:bCs/>
          <w:color w:val="FF0000"/>
          <w:szCs w:val="21"/>
        </w:rPr>
        <w:t>备注：注明“必填项”的必须填写；未注明“必填项”的，如供应商未填写则视为未安排（或无）。</w:t>
      </w:r>
    </w:p>
    <w:p>
      <w:pPr>
        <w:spacing w:line="560" w:lineRule="exact"/>
        <w:jc w:val="center"/>
        <w:rPr>
          <w:rFonts w:hint="eastAsia" w:ascii="宋体" w:hAnsi="宋体" w:cs="宋体"/>
          <w:b/>
          <w:bCs/>
          <w:szCs w:val="21"/>
        </w:rPr>
      </w:pPr>
      <w:r>
        <w:rPr>
          <w:rFonts w:hint="eastAsia" w:ascii="宋体" w:hAnsi="宋体" w:cs="宋体"/>
          <w:b/>
          <w:bCs/>
          <w:szCs w:val="21"/>
        </w:rPr>
        <w:t>2. 社保缴纳证明材料</w:t>
      </w:r>
    </w:p>
    <w:p>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2.1法定代表人/单位负责人/主要经营负责人开标前近一个月社保缴纳证明：</w:t>
      </w:r>
    </w:p>
    <w:p>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2.2投标授权代表人开标前近一个月的社保缴纳证明：</w:t>
      </w:r>
    </w:p>
    <w:p>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2.3项目负责人（如本项目未安排，可不提供）开标前近一个月的社保缴纳证明：</w:t>
      </w:r>
    </w:p>
    <w:p>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4.4主要技术人员（如本项目未安排，可不提供）开标前近一个月的社保缴纳证明：</w:t>
      </w:r>
    </w:p>
    <w:p>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2.5投标文件编制人员开标前近一个月的社保缴纳证明：</w:t>
      </w:r>
    </w:p>
    <w:p>
      <w:pPr>
        <w:spacing w:line="560" w:lineRule="exact"/>
        <w:ind w:firstLine="408" w:firstLineChars="200"/>
        <w:rPr>
          <w:rFonts w:hint="eastAsia" w:ascii="宋体" w:hAnsi="宋体" w:cs="宋体"/>
          <w:spacing w:val="-3"/>
          <w:szCs w:val="21"/>
        </w:rPr>
      </w:pPr>
      <w:r>
        <w:rPr>
          <w:rFonts w:hint="eastAsia" w:ascii="宋体" w:hAnsi="宋体" w:cs="宋体"/>
          <w:spacing w:val="-3"/>
          <w:szCs w:val="21"/>
        </w:rPr>
        <w:t>注：</w:t>
      </w:r>
    </w:p>
    <w:p>
      <w:pPr>
        <w:spacing w:line="560" w:lineRule="exact"/>
        <w:ind w:firstLine="408" w:firstLineChars="200"/>
        <w:rPr>
          <w:rFonts w:hint="eastAsia" w:ascii="宋体" w:hAnsi="宋体" w:cs="宋体"/>
          <w:spacing w:val="-3"/>
          <w:szCs w:val="21"/>
        </w:rPr>
      </w:pPr>
      <w:r>
        <w:rPr>
          <w:rFonts w:hint="eastAsia" w:ascii="宋体" w:hAnsi="宋体" w:cs="宋体"/>
          <w:spacing w:val="-3"/>
          <w:szCs w:val="21"/>
        </w:rPr>
        <w:t>1.</w:t>
      </w:r>
      <w:r>
        <w:rPr>
          <w:rFonts w:hint="eastAsia" w:ascii="宋体" w:hAnsi="宋体" w:cs="宋体"/>
          <w:b/>
          <w:bCs/>
          <w:color w:val="FF0000"/>
          <w:szCs w:val="21"/>
        </w:rPr>
        <w:t>上述社保证明材料对应的人员须与《供应商基本情况表》保持一致</w:t>
      </w:r>
      <w:r>
        <w:rPr>
          <w:rFonts w:hint="eastAsia" w:ascii="宋体" w:hAnsi="宋体" w:cs="宋体"/>
          <w:spacing w:val="-3"/>
          <w:szCs w:val="21"/>
        </w:rPr>
        <w:t>，请供应商认真填报，并保证所填信息的真实、准确和完整。</w:t>
      </w:r>
    </w:p>
    <w:p>
      <w:pPr>
        <w:spacing w:line="560" w:lineRule="exact"/>
        <w:ind w:firstLine="408" w:firstLineChars="200"/>
        <w:rPr>
          <w:rFonts w:hint="eastAsia" w:ascii="宋体" w:hAnsi="宋体" w:cs="宋体"/>
          <w:spacing w:val="-3"/>
          <w:szCs w:val="21"/>
        </w:rPr>
      </w:pPr>
      <w:r>
        <w:rPr>
          <w:rFonts w:hint="eastAsia" w:ascii="宋体" w:hAnsi="宋体" w:cs="宋体"/>
          <w:spacing w:val="-3"/>
          <w:szCs w:val="21"/>
        </w:rPr>
        <w:t>2.如开标前近一个月的社保材料因社保部门原因暂时无法取得，则可以往前顺延一个月。</w:t>
      </w:r>
    </w:p>
    <w:p>
      <w:pPr>
        <w:spacing w:line="560" w:lineRule="exact"/>
        <w:ind w:firstLine="408" w:firstLineChars="200"/>
        <w:rPr>
          <w:rFonts w:hint="eastAsia" w:ascii="宋体" w:hAnsi="宋体" w:cs="宋体"/>
          <w:spacing w:val="-3"/>
          <w:szCs w:val="21"/>
        </w:rPr>
      </w:pPr>
      <w:r>
        <w:rPr>
          <w:rFonts w:hint="eastAsia" w:ascii="宋体" w:hAnsi="宋体" w:cs="宋体"/>
          <w:spacing w:val="-3"/>
          <w:szCs w:val="21"/>
        </w:rPr>
        <w:t>3.如无法按上述要求提供人员社会保险证明材料的，提交以下材料亦视为符合：</w:t>
      </w:r>
    </w:p>
    <w:p>
      <w:pPr>
        <w:widowControl/>
        <w:spacing w:line="560" w:lineRule="exact"/>
        <w:ind w:firstLine="408" w:firstLineChars="200"/>
        <w:jc w:val="left"/>
        <w:rPr>
          <w:rFonts w:hint="eastAsia" w:ascii="宋体" w:hAnsi="宋体" w:cs="宋体"/>
          <w:b/>
          <w:bCs/>
          <w:szCs w:val="21"/>
        </w:rPr>
      </w:pPr>
      <w:r>
        <w:rPr>
          <w:rFonts w:hint="eastAsia" w:ascii="宋体" w:hAnsi="宋体" w:cs="宋体"/>
          <w:spacing w:val="-3"/>
          <w:szCs w:val="21"/>
        </w:rPr>
        <w:t>若供应商为新成立企业且成立时间不足一个月，</w:t>
      </w:r>
      <w:r>
        <w:rPr>
          <w:rFonts w:hint="eastAsia" w:ascii="宋体" w:hAnsi="宋体" w:cs="宋体"/>
          <w:b/>
          <w:bCs/>
          <w:color w:val="FF0000"/>
          <w:spacing w:val="-3"/>
          <w:szCs w:val="21"/>
        </w:rPr>
        <w:t>提供加盖投标人公章的情况</w:t>
      </w:r>
      <w:r>
        <w:rPr>
          <w:rFonts w:hint="eastAsia" w:ascii="宋体" w:hAnsi="宋体" w:cs="宋体"/>
          <w:spacing w:val="-3"/>
          <w:szCs w:val="21"/>
        </w:rPr>
        <w:t>说明或者证明材料。若为退休人员，提供退休证明。如依法不需要缴纳社会保险的，应提供相应文件证明。若因为社保部门原因无法提供的，需提供劳动合同及社保部门官方通知证明(或官网公告截图)。</w:t>
      </w:r>
    </w:p>
    <w:p>
      <w:pPr>
        <w:spacing w:line="560" w:lineRule="exact"/>
        <w:jc w:val="center"/>
        <w:rPr>
          <w:rFonts w:hint="eastAsia" w:ascii="宋体" w:hAnsi="宋体" w:cs="宋体"/>
          <w:b/>
          <w:bCs/>
          <w:szCs w:val="21"/>
        </w:rPr>
      </w:pPr>
      <w:r>
        <w:rPr>
          <w:rFonts w:hint="eastAsia" w:ascii="宋体" w:hAnsi="宋体" w:cs="宋体"/>
          <w:b/>
          <w:bCs/>
          <w:szCs w:val="21"/>
        </w:rPr>
        <w:t>3.</w:t>
      </w:r>
      <w:r>
        <w:rPr>
          <w:rFonts w:hint="eastAsia" w:ascii="宋体" w:hAnsi="宋体" w:cs="宋体"/>
          <w:szCs w:val="21"/>
        </w:rPr>
        <w:t xml:space="preserve"> </w:t>
      </w:r>
      <w:r>
        <w:rPr>
          <w:rFonts w:hint="eastAsia" w:ascii="宋体" w:hAnsi="宋体" w:cs="宋体"/>
          <w:b/>
          <w:bCs/>
          <w:szCs w:val="21"/>
        </w:rPr>
        <w:t>股权或管理关系证明材料</w:t>
      </w:r>
    </w:p>
    <w:p>
      <w:pPr>
        <w:adjustRightInd w:val="0"/>
        <w:snapToGrid w:val="0"/>
        <w:spacing w:after="160" w:line="560" w:lineRule="exact"/>
        <w:ind w:firstLine="422" w:firstLineChars="200"/>
        <w:rPr>
          <w:rFonts w:hint="eastAsia" w:ascii="宋体" w:hAnsi="宋体" w:cs="宋体"/>
          <w:b/>
          <w:bCs/>
          <w:szCs w:val="21"/>
        </w:rPr>
      </w:pPr>
      <w:r>
        <w:rPr>
          <w:rFonts w:hint="eastAsia" w:ascii="宋体" w:hAnsi="宋体" w:cs="宋体"/>
          <w:b/>
          <w:bCs/>
          <w:szCs w:val="21"/>
        </w:rPr>
        <w:t>3.1股权或管理关系证明截图</w:t>
      </w:r>
    </w:p>
    <w:p>
      <w:pPr>
        <w:adjustRightInd w:val="0"/>
        <w:snapToGrid w:val="0"/>
        <w:spacing w:after="160" w:line="560" w:lineRule="exact"/>
        <w:ind w:firstLine="408" w:firstLineChars="200"/>
        <w:rPr>
          <w:rFonts w:hint="eastAsia" w:ascii="宋体" w:hAnsi="宋体" w:cs="宋体"/>
          <w:spacing w:val="-3"/>
          <w:szCs w:val="21"/>
        </w:rPr>
      </w:pPr>
      <w:r>
        <w:rPr>
          <w:rFonts w:hint="eastAsia" w:ascii="宋体" w:hAnsi="宋体" w:cs="宋体"/>
          <w:spacing w:val="-3"/>
          <w:szCs w:val="21"/>
        </w:rPr>
        <w:t>（通过国家企业信用信息公示系统(https://www.gsxt.gov.cn/index.html）、或机关赋码和事业单位登记管理网（http://gjsy.gov.cn/sydwfrxxcx/)、或全国社会组织信用信息公示平台（https://xxgs.chinanpo.mca.gov.cn/gsxt/newList 等网站查询的股权或管理关系截图）</w:t>
      </w:r>
    </w:p>
    <w:p>
      <w:pPr>
        <w:adjustRightInd w:val="0"/>
        <w:snapToGrid w:val="0"/>
        <w:spacing w:after="160" w:line="560" w:lineRule="exact"/>
        <w:ind w:firstLine="422" w:firstLineChars="200"/>
        <w:jc w:val="left"/>
        <w:rPr>
          <w:rFonts w:hint="eastAsia" w:ascii="宋体" w:hAnsi="宋体" w:cs="宋体"/>
          <w:color w:val="FF0000"/>
          <w:szCs w:val="21"/>
        </w:rPr>
      </w:pPr>
      <w:r>
        <w:rPr>
          <w:rFonts w:hint="eastAsia" w:ascii="宋体" w:hAnsi="宋体" w:cs="宋体"/>
          <w:b/>
          <w:bCs/>
          <w:color w:val="FF0000"/>
          <w:szCs w:val="21"/>
        </w:rPr>
        <w:t>注：上述股权或管理关系证明截图对应的信息须与《供应商基本情况表》保持一致。</w:t>
      </w:r>
    </w:p>
    <w:p>
      <w:pPr>
        <w:adjustRightInd w:val="0"/>
        <w:snapToGrid w:val="0"/>
        <w:spacing w:after="160" w:line="560" w:lineRule="exact"/>
        <w:ind w:firstLine="422" w:firstLineChars="200"/>
        <w:rPr>
          <w:rFonts w:hint="eastAsia" w:ascii="宋体" w:hAnsi="宋体" w:cs="宋体"/>
          <w:b/>
          <w:bCs/>
          <w:szCs w:val="21"/>
        </w:rPr>
      </w:pPr>
      <w:r>
        <w:rPr>
          <w:rFonts w:hint="eastAsia" w:ascii="宋体" w:hAnsi="宋体" w:cs="宋体"/>
          <w:b/>
          <w:bCs/>
          <w:szCs w:val="21"/>
        </w:rPr>
        <w:t>3.2承诺函</w:t>
      </w:r>
    </w:p>
    <w:p>
      <w:pPr>
        <w:adjustRightInd w:val="0"/>
        <w:snapToGrid w:val="0"/>
        <w:spacing w:after="160" w:line="560" w:lineRule="exact"/>
        <w:jc w:val="left"/>
        <w:rPr>
          <w:rFonts w:hint="eastAsia" w:ascii="宋体" w:hAnsi="宋体" w:cs="宋体"/>
          <w:spacing w:val="-3"/>
          <w:szCs w:val="21"/>
        </w:rPr>
      </w:pPr>
      <w:r>
        <w:rPr>
          <w:rFonts w:hint="eastAsia" w:ascii="宋体" w:hAnsi="宋体" w:cs="宋体"/>
          <w:spacing w:val="-3"/>
          <w:szCs w:val="21"/>
        </w:rPr>
        <w:t>致：采购人</w:t>
      </w:r>
    </w:p>
    <w:p>
      <w:pPr>
        <w:adjustRightInd w:val="0"/>
        <w:snapToGrid w:val="0"/>
        <w:spacing w:after="160" w:line="560" w:lineRule="exact"/>
        <w:ind w:firstLine="408" w:firstLineChars="200"/>
        <w:jc w:val="left"/>
        <w:rPr>
          <w:rFonts w:hint="eastAsia" w:ascii="宋体" w:hAnsi="宋体" w:cs="宋体"/>
          <w:spacing w:val="-3"/>
          <w:szCs w:val="21"/>
        </w:rPr>
      </w:pPr>
      <w:r>
        <w:rPr>
          <w:rFonts w:hint="eastAsia" w:ascii="宋体" w:hAnsi="宋体" w:cs="宋体"/>
          <w:spacing w:val="-3"/>
          <w:szCs w:val="21"/>
        </w:rPr>
        <w:t>我公司申请参加</w:t>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rPr>
        <w:t>项目（此处填写项目名称） ，项目编号为</w:t>
      </w:r>
      <w:r>
        <w:rPr>
          <w:rFonts w:hint="eastAsia" w:ascii="宋体" w:hAnsi="宋体" w:cs="宋体"/>
          <w:spacing w:val="-3"/>
          <w:szCs w:val="21"/>
        </w:rPr>
        <w:tab/>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rPr>
        <w:t>（此处填写项目编号）的项目投标，并作出如下承诺：</w:t>
      </w:r>
    </w:p>
    <w:p>
      <w:pPr>
        <w:adjustRightInd w:val="0"/>
        <w:snapToGrid w:val="0"/>
        <w:spacing w:after="160" w:line="560" w:lineRule="exact"/>
        <w:ind w:firstLine="408" w:firstLineChars="200"/>
        <w:jc w:val="left"/>
        <w:rPr>
          <w:rFonts w:hint="eastAsia" w:ascii="宋体" w:hAnsi="宋体" w:cs="宋体"/>
          <w:spacing w:val="-3"/>
          <w:szCs w:val="21"/>
        </w:rPr>
      </w:pPr>
      <w:r>
        <w:rPr>
          <w:rFonts w:hint="eastAsia" w:ascii="宋体" w:hAnsi="宋体" w:cs="宋体"/>
          <w:spacing w:val="-3"/>
          <w:szCs w:val="21"/>
        </w:rPr>
        <w:t>我公司承诺所填的股权关系情况真实、准确、完整。</w:t>
      </w:r>
    </w:p>
    <w:p>
      <w:pPr>
        <w:adjustRightInd w:val="0"/>
        <w:snapToGrid w:val="0"/>
        <w:spacing w:after="160" w:line="560" w:lineRule="exact"/>
        <w:ind w:firstLine="408" w:firstLineChars="200"/>
        <w:jc w:val="left"/>
        <w:rPr>
          <w:rFonts w:hint="eastAsia" w:ascii="宋体" w:hAnsi="宋体" w:cs="宋体"/>
          <w:spacing w:val="-3"/>
          <w:szCs w:val="21"/>
        </w:rPr>
      </w:pPr>
      <w:r>
        <w:rPr>
          <w:rFonts w:hint="eastAsia" w:ascii="宋体" w:hAnsi="宋体" w:cs="宋体"/>
          <w:spacing w:val="-3"/>
          <w:szCs w:val="21"/>
        </w:rPr>
        <w:t>我公司承诺自股权或管理关系证明材料查询之日起至本项目投标截止日止，股权或管理关系不会发生变更。如发生变更，将在投标文件中另行申明并附证明材料，保证不出现违背《中华人民共和国政府采购法实施条例》第十八条规定的情形。否则，自愿承担因此产生的不利后果而无异议。</w:t>
      </w:r>
    </w:p>
    <w:p>
      <w:pPr>
        <w:adjustRightInd w:val="0"/>
        <w:snapToGrid w:val="0"/>
        <w:spacing w:after="160" w:line="560" w:lineRule="exact"/>
        <w:ind w:firstLine="408" w:firstLineChars="200"/>
        <w:jc w:val="left"/>
        <w:rPr>
          <w:rFonts w:hint="eastAsia" w:ascii="宋体" w:hAnsi="宋体" w:cs="宋体"/>
          <w:spacing w:val="-3"/>
          <w:szCs w:val="21"/>
        </w:rPr>
      </w:pPr>
      <w:r>
        <w:rPr>
          <w:rFonts w:hint="eastAsia" w:ascii="宋体" w:hAnsi="宋体" w:cs="宋体"/>
          <w:spacing w:val="-3"/>
          <w:szCs w:val="21"/>
        </w:rPr>
        <w:t>特此承诺！</w:t>
      </w:r>
    </w:p>
    <w:p>
      <w:pPr>
        <w:adjustRightInd w:val="0"/>
        <w:snapToGrid w:val="0"/>
        <w:spacing w:after="160" w:line="560" w:lineRule="exact"/>
        <w:jc w:val="left"/>
        <w:rPr>
          <w:rFonts w:hint="eastAsia" w:ascii="宋体" w:hAnsi="宋体" w:cs="宋体"/>
          <w:spacing w:val="-3"/>
          <w:szCs w:val="21"/>
        </w:rPr>
      </w:pPr>
    </w:p>
    <w:p>
      <w:pPr>
        <w:adjustRightInd w:val="0"/>
        <w:snapToGrid w:val="0"/>
        <w:spacing w:after="160" w:line="560" w:lineRule="exact"/>
        <w:jc w:val="center"/>
        <w:rPr>
          <w:rFonts w:hint="eastAsia" w:ascii="宋体" w:hAnsi="宋体" w:cs="宋体"/>
          <w:spacing w:val="-3"/>
          <w:szCs w:val="21"/>
        </w:rPr>
      </w:pPr>
      <w:r>
        <w:rPr>
          <w:rFonts w:hint="eastAsia" w:ascii="宋体" w:hAnsi="宋体" w:cs="宋体"/>
          <w:spacing w:val="-3"/>
          <w:szCs w:val="21"/>
        </w:rPr>
        <w:t xml:space="preserve">                                                供应商名称： </w:t>
      </w:r>
    </w:p>
    <w:p>
      <w:pPr>
        <w:adjustRightInd w:val="0"/>
        <w:snapToGrid w:val="0"/>
        <w:spacing w:after="160" w:line="560" w:lineRule="exact"/>
        <w:jc w:val="right"/>
      </w:pPr>
      <w:r>
        <w:rPr>
          <w:rFonts w:hint="eastAsia" w:ascii="宋体" w:hAnsi="宋体" w:cs="宋体"/>
          <w:spacing w:val="-3"/>
          <w:szCs w:val="21"/>
        </w:rPr>
        <w:t>日  期：       年    月   日</w:t>
      </w:r>
    </w:p>
    <w:p>
      <w:pPr>
        <w:pStyle w:val="5"/>
        <w:jc w:val="center"/>
        <w:rPr>
          <w:rFonts w:hint="eastAsia" w:ascii="黑体" w:eastAsia="黑体"/>
          <w:b w:val="0"/>
          <w:sz w:val="24"/>
          <w:szCs w:val="24"/>
        </w:rPr>
      </w:pPr>
      <w:r>
        <w:rPr>
          <w:rFonts w:hint="eastAsia" w:ascii="黑体" w:eastAsia="黑体"/>
          <w:b w:val="0"/>
          <w:sz w:val="24"/>
          <w:szCs w:val="24"/>
        </w:rPr>
        <w:t>四、项目详细报价</w:t>
      </w:r>
    </w:p>
    <w:p>
      <w:pPr>
        <w:pStyle w:val="3"/>
        <w:jc w:val="center"/>
      </w:pPr>
      <w:r>
        <w:rPr>
          <w:rFonts w:hint="eastAsia"/>
          <w:b/>
          <w:bCs/>
        </w:rPr>
        <w:t>（一）</w:t>
      </w:r>
      <w:r>
        <w:rPr>
          <w:rFonts w:hint="eastAsia"/>
          <w:b/>
        </w:rPr>
        <w:t>分项报价表</w:t>
      </w:r>
    </w:p>
    <w:tbl>
      <w:tblPr>
        <w:tblStyle w:val="4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投标报价（元）</w:t>
            </w:r>
          </w:p>
        </w:tc>
        <w:tc>
          <w:tcPr>
            <w:tcW w:w="2034"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2625" w:type="dxa"/>
            <w:tcBorders>
              <w:top w:val="single" w:color="auto" w:sz="4" w:space="0"/>
            </w:tcBorders>
            <w:vAlign w:val="center"/>
          </w:tcPr>
          <w:p>
            <w:pPr>
              <w:widowControl/>
              <w:adjustRightInd w:val="0"/>
              <w:snapToGrid w:val="0"/>
              <w:spacing w:line="300" w:lineRule="auto"/>
              <w:jc w:val="left"/>
              <w:rPr>
                <w:rFonts w:hint="eastAsia" w:ascii="宋体" w:hAnsi="宋体"/>
                <w:snapToGrid w:val="0"/>
                <w:kern w:val="0"/>
                <w:sz w:val="24"/>
                <w:szCs w:val="21"/>
              </w:rPr>
            </w:pPr>
            <w:r>
              <w:rPr>
                <w:rFonts w:hint="eastAsia" w:ascii="宋体" w:hAnsi="宋体"/>
                <w:snapToGrid w:val="0"/>
                <w:kern w:val="0"/>
                <w:sz w:val="24"/>
                <w:szCs w:val="21"/>
              </w:rPr>
              <w:t>大写：</w:t>
            </w:r>
          </w:p>
          <w:p>
            <w:pPr>
              <w:widowControl/>
              <w:adjustRightInd w:val="0"/>
              <w:snapToGrid w:val="0"/>
              <w:spacing w:line="300" w:lineRule="auto"/>
              <w:jc w:val="left"/>
            </w:pPr>
            <w:r>
              <w:rPr>
                <w:rFonts w:hint="eastAsia" w:ascii="宋体" w:hAnsi="宋体"/>
                <w:snapToGrid w:val="0"/>
                <w:kern w:val="0"/>
                <w:sz w:val="24"/>
                <w:szCs w:val="21"/>
              </w:rPr>
              <w:t>小写：</w:t>
            </w:r>
          </w:p>
        </w:tc>
        <w:tc>
          <w:tcPr>
            <w:tcW w:w="2034" w:type="dxa"/>
            <w:tcBorders>
              <w:top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p>
        </w:tc>
      </w:tr>
    </w:tbl>
    <w:p>
      <w:pPr>
        <w:widowControl/>
        <w:snapToGrid w:val="0"/>
        <w:ind w:firstLine="422" w:firstLineChars="200"/>
        <w:jc w:val="left"/>
        <w:rPr>
          <w:rFonts w:hint="eastAsia" w:ascii="宋体" w:hAnsi="宋体"/>
          <w:color w:val="0000FF"/>
          <w:kern w:val="0"/>
          <w:szCs w:val="21"/>
        </w:rPr>
      </w:pPr>
      <w:r>
        <w:rPr>
          <w:rFonts w:hint="eastAsia"/>
          <w:b/>
          <w:color w:val="0000FF"/>
          <w:szCs w:val="21"/>
        </w:rPr>
        <w:t>注：</w:t>
      </w:r>
      <w:r>
        <w:rPr>
          <w:rFonts w:hint="eastAsia" w:ascii="宋体" w:hAnsi="宋体"/>
          <w:color w:val="0000FF"/>
          <w:kern w:val="0"/>
          <w:szCs w:val="21"/>
        </w:rPr>
        <w:t>投标人的投标报价不得超过预算金额，否则将导致投标无效。</w:t>
      </w:r>
    </w:p>
    <w:p>
      <w:pPr>
        <w:tabs>
          <w:tab w:val="left" w:pos="720"/>
        </w:tabs>
        <w:jc w:val="center"/>
        <w:rPr>
          <w:b/>
          <w:sz w:val="24"/>
        </w:rPr>
      </w:pPr>
    </w:p>
    <w:p>
      <w:pPr>
        <w:rPr>
          <w:b/>
          <w:bCs/>
        </w:rPr>
      </w:pPr>
      <w:r>
        <w:rPr>
          <w:rFonts w:hint="eastAsia"/>
          <w:b/>
          <w:bCs/>
        </w:rPr>
        <w:br w:type="page"/>
      </w:r>
    </w:p>
    <w:p>
      <w:pPr>
        <w:pStyle w:val="3"/>
        <w:jc w:val="center"/>
        <w:rPr>
          <w:b/>
          <w:bCs/>
        </w:rPr>
      </w:pPr>
      <w:r>
        <w:rPr>
          <w:rFonts w:hint="eastAsia"/>
          <w:b/>
          <w:bCs/>
        </w:rPr>
        <w:t>投标报价明细表</w:t>
      </w:r>
    </w:p>
    <w:p>
      <w:pPr>
        <w:spacing w:line="440" w:lineRule="exact"/>
        <w:rPr>
          <w:rFonts w:hint="eastAsia" w:ascii="宋体" w:hAnsi="宋体"/>
          <w:bCs/>
          <w:color w:val="000000"/>
          <w:szCs w:val="21"/>
        </w:rPr>
      </w:pPr>
      <w:r>
        <w:rPr>
          <w:rFonts w:hint="eastAsia" w:ascii="宋体" w:hAnsi="宋体"/>
          <w:bCs/>
          <w:color w:val="000000"/>
          <w:szCs w:val="21"/>
        </w:rPr>
        <w:t>投标方名称：</w:t>
      </w:r>
    </w:p>
    <w:p>
      <w:pPr>
        <w:spacing w:line="440" w:lineRule="exact"/>
        <w:rPr>
          <w:rFonts w:hint="eastAsia" w:ascii="宋体" w:hAnsi="宋体"/>
          <w:bCs/>
          <w:color w:val="000000"/>
          <w:szCs w:val="21"/>
        </w:rPr>
      </w:pPr>
      <w:r>
        <w:rPr>
          <w:rFonts w:hint="eastAsia" w:ascii="宋体" w:hAnsi="宋体"/>
          <w:bCs/>
          <w:color w:val="000000"/>
          <w:szCs w:val="21"/>
        </w:rPr>
        <w:t xml:space="preserve">项目编号： </w:t>
      </w:r>
    </w:p>
    <w:p>
      <w:pPr>
        <w:spacing w:line="440" w:lineRule="exact"/>
        <w:rPr>
          <w:rFonts w:hint="eastAsia" w:ascii="宋体" w:hAnsi="宋体"/>
          <w:bCs/>
          <w:color w:val="000000"/>
          <w:szCs w:val="21"/>
        </w:rPr>
      </w:pPr>
      <w:r>
        <w:rPr>
          <w:rFonts w:hint="eastAsia" w:ascii="宋体" w:hAnsi="宋体"/>
          <w:bCs/>
          <w:color w:val="000000"/>
          <w:szCs w:val="21"/>
        </w:rPr>
        <w:t>投标项目：                                               货币单位：人民币元</w:t>
      </w:r>
    </w:p>
    <w:tbl>
      <w:tblPr>
        <w:tblStyle w:val="43"/>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9215" w:type="dxa"/>
            <w:vAlign w:val="center"/>
          </w:tcPr>
          <w:p>
            <w:pPr>
              <w:spacing w:line="440" w:lineRule="exact"/>
              <w:jc w:val="center"/>
              <w:rPr>
                <w:rFonts w:hint="eastAsia" w:ascii="宋体" w:hAnsi="宋体"/>
                <w:b/>
                <w:color w:val="0000FF"/>
                <w:szCs w:val="21"/>
              </w:rPr>
            </w:pPr>
            <w:r>
              <w:rPr>
                <w:rFonts w:hint="eastAsia" w:ascii="宋体" w:hAnsi="宋体"/>
                <w:b/>
                <w:color w:val="0000FF"/>
                <w:szCs w:val="21"/>
              </w:rPr>
              <w:t>注：投标人按照第三章</w:t>
            </w:r>
            <w:r>
              <w:rPr>
                <w:rFonts w:hint="eastAsia" w:ascii="宋体" w:hAnsi="宋体"/>
                <w:b/>
                <w:color w:val="0000FF"/>
                <w:szCs w:val="21"/>
                <w:highlight w:val="none"/>
              </w:rPr>
              <w:t>用户需求书“五、技术要求”中“（三）工程量清单”所列表格进</w:t>
            </w:r>
            <w:r>
              <w:rPr>
                <w:rFonts w:hint="eastAsia" w:ascii="宋体" w:hAnsi="宋体"/>
                <w:b/>
                <w:color w:val="0000FF"/>
                <w:szCs w:val="21"/>
              </w:rPr>
              <w:t>行报价。</w:t>
            </w:r>
          </w:p>
        </w:tc>
      </w:tr>
    </w:tbl>
    <w:p>
      <w:pPr>
        <w:tabs>
          <w:tab w:val="left" w:pos="720"/>
        </w:tabs>
        <w:jc w:val="center"/>
        <w:rPr>
          <w:b/>
          <w:sz w:val="24"/>
        </w:rPr>
      </w:pPr>
    </w:p>
    <w:p>
      <w:pPr>
        <w:tabs>
          <w:tab w:val="left" w:pos="720"/>
        </w:tabs>
        <w:jc w:val="center"/>
        <w:rPr>
          <w:b/>
          <w:sz w:val="24"/>
        </w:rPr>
      </w:pPr>
      <w:r>
        <w:rPr>
          <w:rFonts w:hint="eastAsia"/>
          <w:b/>
          <w:sz w:val="24"/>
        </w:rPr>
        <w:t>（二）</w:t>
      </w:r>
      <w:bookmarkStart w:id="44" w:name="_Hlk72073235"/>
      <w:r>
        <w:rPr>
          <w:rFonts w:hint="eastAsia"/>
          <w:b/>
          <w:sz w:val="24"/>
        </w:rPr>
        <w:t>投标人认为需要涉及的其他内容报价清单</w:t>
      </w:r>
      <w:bookmarkEnd w:id="44"/>
    </w:p>
    <w:p>
      <w:pPr>
        <w:rPr>
          <w:b/>
          <w:bCs/>
        </w:rPr>
      </w:pPr>
    </w:p>
    <w:p>
      <w:pPr>
        <w:pStyle w:val="5"/>
        <w:jc w:val="center"/>
        <w:rPr>
          <w:rFonts w:hint="eastAsia" w:ascii="黑体" w:eastAsia="黑体"/>
          <w:b w:val="0"/>
          <w:sz w:val="24"/>
        </w:rPr>
      </w:pPr>
      <w:r>
        <w:rPr>
          <w:rFonts w:hint="eastAsia" w:ascii="黑体" w:eastAsia="黑体"/>
          <w:b w:val="0"/>
          <w:sz w:val="24"/>
        </w:rPr>
        <w:t>五、</w:t>
      </w:r>
      <w:bookmarkStart w:id="45" w:name="_Hlk72092499"/>
      <w:r>
        <w:rPr>
          <w:rFonts w:hint="eastAsia" w:ascii="黑体" w:eastAsia="黑体"/>
          <w:b w:val="0"/>
          <w:sz w:val="24"/>
        </w:rPr>
        <w:t>法定代表人（负责人）证明书</w:t>
      </w:r>
      <w:bookmarkEnd w:id="45"/>
    </w:p>
    <w:p>
      <w:pPr>
        <w:rPr>
          <w:sz w:val="24"/>
        </w:rPr>
      </w:pPr>
    </w:p>
    <w:p>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ind w:firstLine="420" w:firstLineChars="200"/>
        <w:rPr>
          <w:szCs w:val="21"/>
        </w:rPr>
      </w:pPr>
      <w:r>
        <w:rPr>
          <w:rFonts w:hint="eastAsia"/>
          <w:szCs w:val="21"/>
        </w:rPr>
        <w:t>特此证明。</w:t>
      </w:r>
    </w:p>
    <w:p>
      <w:pPr>
        <w:ind w:firstLine="420" w:firstLineChars="200"/>
        <w:rPr>
          <w:szCs w:val="21"/>
        </w:rPr>
      </w:pPr>
      <w:r>
        <w:rPr>
          <w:rFonts w:hint="eastAsia"/>
          <w:szCs w:val="21"/>
        </w:rPr>
        <w:t>说明：1、法定代表人为投标人（企业事业单位、国家机关、社会团体）的主要行政负责人。</w:t>
      </w:r>
    </w:p>
    <w:p>
      <w:pPr>
        <w:numPr>
          <w:ilvl w:val="0"/>
          <w:numId w:val="8"/>
        </w:numPr>
        <w:ind w:left="420"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pPr>
        <w:numPr>
          <w:ilvl w:val="0"/>
          <w:numId w:val="8"/>
        </w:numPr>
        <w:ind w:left="420"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pPr>
        <w:numPr>
          <w:ilvl w:val="0"/>
          <w:numId w:val="8"/>
        </w:numPr>
        <w:ind w:left="420"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2"/>
              <w:spacing w:line="240" w:lineRule="auto"/>
              <w:jc w:val="center"/>
            </w:pPr>
          </w:p>
          <w:p>
            <w:pPr>
              <w:pStyle w:val="3"/>
              <w:spacing w:line="240" w:lineRule="auto"/>
              <w:jc w:val="center"/>
            </w:pPr>
          </w:p>
        </w:tc>
        <w:tc>
          <w:tcPr>
            <w:tcW w:w="4265" w:type="dxa"/>
          </w:tcPr>
          <w:p>
            <w:pPr>
              <w:jc w:val="center"/>
            </w:pPr>
            <w:r>
              <w:rPr>
                <w:rFonts w:hint="eastAsia"/>
              </w:rPr>
              <w:t>证件扫描件反面</w:t>
            </w:r>
          </w:p>
          <w:p>
            <w:pPr>
              <w:pStyle w:val="2"/>
              <w:spacing w:line="240" w:lineRule="auto"/>
              <w:jc w:val="center"/>
            </w:pPr>
          </w:p>
          <w:p>
            <w:pPr>
              <w:pStyle w:val="3"/>
              <w:spacing w:line="240" w:lineRule="auto"/>
              <w:jc w:val="center"/>
            </w:pPr>
          </w:p>
        </w:tc>
      </w:tr>
    </w:tbl>
    <w:p>
      <w:pPr>
        <w:ind w:firstLine="480" w:firstLineChars="200"/>
        <w:rPr>
          <w:sz w:val="24"/>
        </w:rPr>
      </w:pPr>
    </w:p>
    <w:p>
      <w:pPr>
        <w:rPr>
          <w:b/>
          <w:bCs/>
          <w:sz w:val="24"/>
        </w:rPr>
      </w:pPr>
    </w:p>
    <w:p>
      <w:pPr>
        <w:pStyle w:val="5"/>
        <w:spacing w:before="120" w:after="120"/>
        <w:jc w:val="center"/>
        <w:rPr>
          <w:rFonts w:hint="eastAsia" w:ascii="黑体" w:eastAsia="黑体"/>
          <w:b w:val="0"/>
          <w:sz w:val="24"/>
        </w:rPr>
      </w:pPr>
      <w:r>
        <w:rPr>
          <w:rFonts w:hint="eastAsia" w:ascii="黑体" w:eastAsia="黑体"/>
          <w:b w:val="0"/>
          <w:sz w:val="24"/>
        </w:rPr>
        <w:t>六、投标文件签署授权委托书</w:t>
      </w:r>
    </w:p>
    <w:p>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ind w:firstLine="420" w:firstLineChars="200"/>
        <w:rPr>
          <w:szCs w:val="21"/>
        </w:rPr>
      </w:pPr>
      <w:r>
        <w:rPr>
          <w:rFonts w:hint="eastAsia"/>
          <w:szCs w:val="21"/>
        </w:rPr>
        <w:t>代理人无转委托权，特此委托。</w:t>
      </w:r>
    </w:p>
    <w:p>
      <w:pPr>
        <w:ind w:firstLine="420" w:firstLineChars="200"/>
        <w:rPr>
          <w:szCs w:val="21"/>
        </w:rPr>
      </w:pPr>
    </w:p>
    <w:p>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2"/>
              <w:spacing w:line="240" w:lineRule="auto"/>
              <w:jc w:val="center"/>
            </w:pPr>
          </w:p>
          <w:p>
            <w:pPr>
              <w:pStyle w:val="3"/>
              <w:spacing w:line="240" w:lineRule="auto"/>
              <w:jc w:val="center"/>
            </w:pPr>
          </w:p>
        </w:tc>
        <w:tc>
          <w:tcPr>
            <w:tcW w:w="4265" w:type="dxa"/>
          </w:tcPr>
          <w:p>
            <w:pPr>
              <w:jc w:val="center"/>
            </w:pPr>
            <w:r>
              <w:rPr>
                <w:rFonts w:hint="eastAsia"/>
              </w:rPr>
              <w:t>证件扫描件反面</w:t>
            </w:r>
          </w:p>
          <w:p>
            <w:pPr>
              <w:pStyle w:val="2"/>
              <w:spacing w:line="240" w:lineRule="auto"/>
              <w:jc w:val="center"/>
            </w:pPr>
          </w:p>
          <w:p>
            <w:pPr>
              <w:pStyle w:val="3"/>
              <w:spacing w:line="240" w:lineRule="auto"/>
              <w:jc w:val="center"/>
            </w:pPr>
          </w:p>
        </w:tc>
      </w:tr>
    </w:tbl>
    <w:p>
      <w:pPr>
        <w:pStyle w:val="5"/>
        <w:jc w:val="center"/>
        <w:rPr>
          <w:rFonts w:hint="eastAsia" w:ascii="黑体" w:eastAsia="黑体"/>
          <w:b w:val="0"/>
          <w:kern w:val="0"/>
          <w:sz w:val="24"/>
          <w:szCs w:val="24"/>
        </w:rPr>
      </w:pPr>
      <w:r>
        <w:rPr>
          <w:rFonts w:hint="eastAsia" w:ascii="黑体" w:eastAsia="黑体"/>
          <w:b w:val="0"/>
          <w:kern w:val="0"/>
          <w:sz w:val="24"/>
          <w:szCs w:val="24"/>
        </w:rPr>
        <w:t>七、</w:t>
      </w:r>
      <w:bookmarkStart w:id="46" w:name="_Hlk72092634"/>
      <w:r>
        <w:rPr>
          <w:rFonts w:hint="eastAsia" w:ascii="黑体" w:eastAsia="黑体"/>
          <w:b w:val="0"/>
          <w:kern w:val="0"/>
          <w:sz w:val="24"/>
          <w:szCs w:val="24"/>
        </w:rPr>
        <w:t>实质性条款响应情况表</w:t>
      </w:r>
      <w:bookmarkEnd w:id="46"/>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hint="eastAsia" w:ascii="宋体" w:hAnsi="宋体"/>
                <w:kern w:val="0"/>
                <w:szCs w:val="21"/>
              </w:rPr>
            </w:pPr>
            <w:bookmarkStart w:id="47" w:name="_Hlk72092651"/>
            <w:r>
              <w:rPr>
                <w:rFonts w:hint="eastAsia" w:ascii="宋体" w:hAnsi="宋体"/>
                <w:kern w:val="0"/>
                <w:szCs w:val="21"/>
              </w:rPr>
              <w:t>序号</w:t>
            </w:r>
          </w:p>
        </w:tc>
        <w:tc>
          <w:tcPr>
            <w:tcW w:w="3514" w:type="dxa"/>
            <w:vAlign w:val="center"/>
          </w:tcPr>
          <w:p>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1559" w:type="dxa"/>
            <w:vAlign w:val="center"/>
          </w:tcPr>
          <w:p>
            <w:pPr>
              <w:adjustRightInd w:val="0"/>
              <w:snapToGrid w:val="0"/>
              <w:spacing w:line="360" w:lineRule="auto"/>
              <w:jc w:val="center"/>
              <w:rPr>
                <w:rFonts w:hint="eastAsia" w:ascii="宋体" w:hAnsi="宋体"/>
                <w:kern w:val="0"/>
                <w:szCs w:val="21"/>
              </w:rPr>
            </w:pPr>
            <w:r>
              <w:rPr>
                <w:rFonts w:hint="eastAsia"/>
              </w:rPr>
              <w:t>投标响应</w:t>
            </w:r>
          </w:p>
        </w:tc>
        <w:tc>
          <w:tcPr>
            <w:tcW w:w="1276" w:type="dxa"/>
            <w:vAlign w:val="center"/>
          </w:tcPr>
          <w:p>
            <w:pPr>
              <w:adjustRightInd w:val="0"/>
              <w:snapToGrid w:val="0"/>
              <w:spacing w:line="360" w:lineRule="auto"/>
              <w:jc w:val="center"/>
              <w:rPr>
                <w:rFonts w:hint="eastAsia" w:ascii="宋体" w:hAnsi="宋体"/>
                <w:kern w:val="0"/>
                <w:szCs w:val="21"/>
              </w:rPr>
            </w:pPr>
            <w:r>
              <w:rPr>
                <w:rFonts w:hint="eastAsia"/>
              </w:rPr>
              <w:t>偏离情况</w:t>
            </w:r>
          </w:p>
        </w:tc>
        <w:tc>
          <w:tcPr>
            <w:tcW w:w="1163" w:type="dxa"/>
            <w:vAlign w:val="center"/>
          </w:tcPr>
          <w:p>
            <w:pPr>
              <w:adjustRightInd w:val="0"/>
              <w:snapToGrid w:val="0"/>
              <w:spacing w:line="360" w:lineRule="auto"/>
              <w:jc w:val="center"/>
              <w:rPr>
                <w:rFonts w:hint="eastAsia" w:ascii="宋体" w:hAnsi="宋体"/>
                <w:kern w:val="0"/>
                <w:szCs w:val="21"/>
              </w:rPr>
            </w:pPr>
            <w:r>
              <w:rPr>
                <w:rFonts w:hint="eastAsia"/>
              </w:rPr>
              <w:t>说明</w:t>
            </w:r>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3514" w:type="dxa"/>
          </w:tcPr>
          <w:p>
            <w:pPr>
              <w:adjustRightInd w:val="0"/>
              <w:snapToGrid w:val="0"/>
              <w:spacing w:line="360" w:lineRule="auto"/>
              <w:jc w:val="left"/>
              <w:rPr>
                <w:rFonts w:hint="eastAsia" w:hAnsi="宋体"/>
                <w:kern w:val="0"/>
                <w:szCs w:val="21"/>
              </w:rPr>
            </w:pPr>
            <w:r>
              <w:rPr>
                <w:rFonts w:hint="eastAsia"/>
              </w:rPr>
              <w:t>满足本项目标★的条款要求</w:t>
            </w:r>
          </w:p>
        </w:tc>
        <w:tc>
          <w:tcPr>
            <w:tcW w:w="1559" w:type="dxa"/>
          </w:tcPr>
          <w:p>
            <w:pPr>
              <w:adjustRightInd w:val="0"/>
              <w:snapToGrid w:val="0"/>
              <w:spacing w:line="360" w:lineRule="auto"/>
              <w:rPr>
                <w:rFonts w:hint="eastAsia" w:ascii="宋体" w:hAnsi="宋体"/>
                <w:kern w:val="0"/>
                <w:szCs w:val="21"/>
              </w:rPr>
            </w:pPr>
          </w:p>
        </w:tc>
        <w:tc>
          <w:tcPr>
            <w:tcW w:w="1276" w:type="dxa"/>
          </w:tcPr>
          <w:p>
            <w:pPr>
              <w:adjustRightInd w:val="0"/>
              <w:snapToGrid w:val="0"/>
              <w:spacing w:line="360" w:lineRule="auto"/>
              <w:rPr>
                <w:rFonts w:hint="eastAsia" w:ascii="宋体" w:hAnsi="宋体"/>
                <w:kern w:val="0"/>
                <w:szCs w:val="21"/>
              </w:rPr>
            </w:pPr>
          </w:p>
        </w:tc>
        <w:tc>
          <w:tcPr>
            <w:tcW w:w="1163" w:type="dxa"/>
          </w:tcPr>
          <w:p>
            <w:pPr>
              <w:adjustRightInd w:val="0"/>
              <w:snapToGrid w:val="0"/>
              <w:spacing w:line="360" w:lineRule="auto"/>
              <w:rPr>
                <w:rFonts w:hint="eastAsia"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2" w:firstLineChars="200"/>
        <w:rPr>
          <w:b/>
          <w:sz w:val="24"/>
          <w:szCs w:val="22"/>
        </w:rPr>
      </w:pPr>
      <w:r>
        <w:rPr>
          <w:rFonts w:hint="eastAsia"/>
          <w:b/>
          <w:sz w:val="24"/>
          <w:szCs w:val="22"/>
        </w:rPr>
        <w:t>4.评审委员会有权对投标响应情况作出判断（作出评审结论）。</w:t>
      </w:r>
    </w:p>
    <w:p>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pPr>
        <w:rPr>
          <w:b/>
          <w:bCs/>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八、施工组织计划、施工技术、施工工艺及相关的合理化建议（格式自定）</w:t>
      </w:r>
    </w:p>
    <w:p>
      <w:pPr>
        <w:pStyle w:val="9"/>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9"/>
        <w:ind w:firstLine="0"/>
        <w:rPr>
          <w:rFonts w:hint="eastAsia" w:asciiTheme="minorEastAsia" w:hAnsiTheme="minorEastAsia" w:eastAsiaTheme="minorEastAsia" w:cstheme="minorEastAsia"/>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九、项目实施关键施工技术（重点难点）分析及解决方案（格式自定）</w:t>
      </w:r>
    </w:p>
    <w:p>
      <w:pPr>
        <w:pStyle w:val="9"/>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9"/>
        <w:ind w:firstLine="0"/>
        <w:rPr>
          <w:rFonts w:hint="eastAsia" w:asciiTheme="minorEastAsia" w:hAnsiTheme="minorEastAsia" w:eastAsiaTheme="minorEastAsia" w:cstheme="minorEastAsia"/>
          <w:sz w:val="24"/>
        </w:rPr>
      </w:pPr>
    </w:p>
    <w:p>
      <w:pPr>
        <w:pStyle w:val="5"/>
        <w:jc w:val="center"/>
        <w:rPr>
          <w:rFonts w:hint="eastAsia" w:ascii="黑体" w:eastAsia="黑体"/>
          <w:sz w:val="24"/>
        </w:rPr>
      </w:pPr>
      <w:r>
        <w:rPr>
          <w:rFonts w:hint="eastAsia" w:ascii="黑体" w:eastAsia="黑体"/>
          <w:b w:val="0"/>
          <w:kern w:val="0"/>
          <w:sz w:val="24"/>
          <w:szCs w:val="24"/>
        </w:rPr>
        <w:t>十、拟采用设备（材料）的性能（节能环保情况）、档次及质量可靠性（格式自定）</w:t>
      </w:r>
    </w:p>
    <w:p>
      <w:pPr>
        <w:pStyle w:val="9"/>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9"/>
        <w:ind w:firstLine="0"/>
        <w:rPr>
          <w:rFonts w:hint="eastAsia" w:asciiTheme="minorEastAsia" w:hAnsiTheme="minorEastAsia" w:eastAsiaTheme="minorEastAsia" w:cstheme="minorEastAsia"/>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十一、施工质量（安全、环保、售后服务）保障措施及相关的违约承诺（格式自定）</w:t>
      </w:r>
    </w:p>
    <w:p>
      <w:pPr>
        <w:pStyle w:val="9"/>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9"/>
        <w:ind w:firstLine="0"/>
        <w:rPr>
          <w:rFonts w:hint="eastAsia" w:asciiTheme="minorEastAsia" w:hAnsiTheme="minorEastAsia" w:eastAsiaTheme="minorEastAsia" w:cstheme="minorEastAsia"/>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十二、拟安排的项目负责人情况（仅限一人）（格式自定）</w:t>
      </w:r>
    </w:p>
    <w:p>
      <w:pPr>
        <w:pStyle w:val="9"/>
        <w:spacing w:before="60" w:beforeLines="25" w:after="60" w:afterLines="25"/>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9"/>
        <w:spacing w:before="60" w:beforeLines="25" w:after="60" w:afterLines="25"/>
        <w:ind w:firstLine="0"/>
        <w:rPr>
          <w:rFonts w:hint="eastAsia" w:asciiTheme="minorEastAsia" w:hAnsiTheme="minorEastAsia" w:eastAsiaTheme="minorEastAsia" w:cstheme="minorEastAsia"/>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十三、拟安排的项目主要团队成员（主要技术人员）情况（项目负责人除外）（格式自定）</w:t>
      </w:r>
    </w:p>
    <w:p>
      <w:pPr>
        <w:pStyle w:val="9"/>
        <w:spacing w:before="60" w:beforeLines="25" w:after="60" w:afterLines="25"/>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9"/>
        <w:spacing w:before="60" w:beforeLines="25" w:after="60" w:afterLines="25"/>
        <w:ind w:firstLine="0"/>
        <w:rPr>
          <w:rFonts w:hint="eastAsia" w:asciiTheme="minorEastAsia" w:hAnsiTheme="minorEastAsia" w:eastAsiaTheme="minorEastAsia" w:cstheme="minorEastAsia"/>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十四、投标人同类项目业绩情况（格式自定）</w:t>
      </w:r>
    </w:p>
    <w:p>
      <w:pPr>
        <w:pStyle w:val="9"/>
        <w:spacing w:before="60" w:beforeLines="25" w:after="60" w:afterLines="25"/>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5"/>
        <w:jc w:val="center"/>
        <w:rPr>
          <w:rFonts w:hint="eastAsia" w:ascii="黑体" w:eastAsia="黑体"/>
          <w:b w:val="0"/>
          <w:kern w:val="0"/>
          <w:sz w:val="24"/>
          <w:szCs w:val="24"/>
        </w:rPr>
      </w:pPr>
      <w:r>
        <w:rPr>
          <w:rFonts w:hint="eastAsia" w:ascii="黑体" w:eastAsia="黑体"/>
          <w:b w:val="0"/>
          <w:kern w:val="0"/>
          <w:sz w:val="24"/>
          <w:szCs w:val="24"/>
        </w:rPr>
        <w:t>十五、投标人认为需要加以说明的其他内容（格式自定）</w:t>
      </w:r>
    </w:p>
    <w:p>
      <w:pPr>
        <w:pStyle w:val="2"/>
      </w:pPr>
    </w:p>
    <w:p>
      <w:pPr>
        <w:widowControl/>
        <w:jc w:val="center"/>
        <w:rPr>
          <w:rFonts w:hint="eastAsia" w:ascii="黑体" w:hAnsi="宋体" w:eastAsia="黑体"/>
          <w:kern w:val="0"/>
          <w:sz w:val="24"/>
          <w:szCs w:val="20"/>
        </w:rPr>
      </w:pPr>
      <w:r>
        <w:rPr>
          <w:rFonts w:hint="eastAsia" w:ascii="黑体" w:hAnsi="宋体" w:eastAsia="黑体"/>
          <w:kern w:val="0"/>
          <w:sz w:val="24"/>
          <w:szCs w:val="20"/>
        </w:rPr>
        <w:t>（一）采购违法行为风险知悉确认书</w:t>
      </w:r>
    </w:p>
    <w:p>
      <w:pPr>
        <w:widowControl/>
        <w:jc w:val="center"/>
        <w:rPr>
          <w:rFonts w:hint="eastAsia" w:ascii="黑体" w:hAnsi="宋体" w:eastAsia="黑体"/>
          <w:kern w:val="0"/>
          <w:sz w:val="24"/>
          <w:szCs w:val="20"/>
        </w:rPr>
      </w:pPr>
    </w:p>
    <w:p>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采购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2"/>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hint="eastAsia"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hint="eastAsia"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hint="eastAsia"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hint="eastAsia"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hint="eastAsia"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pPr>
        <w:widowControl/>
        <w:spacing w:line="360" w:lineRule="auto"/>
        <w:jc w:val="left"/>
        <w:rPr>
          <w:rFonts w:eastAsiaTheme="minorEastAsia"/>
          <w:b/>
          <w:bCs/>
          <w:kern w:val="0"/>
          <w:sz w:val="24"/>
        </w:rPr>
      </w:pPr>
    </w:p>
    <w:p>
      <w:pPr>
        <w:pStyle w:val="2"/>
      </w:pPr>
      <w:r>
        <w:rPr>
          <w:rFonts w:hint="eastAsia" w:ascii="黑体" w:hAnsi="宋体" w:eastAsia="黑体"/>
          <w:kern w:val="0"/>
          <w:szCs w:val="20"/>
        </w:rPr>
        <w:t>（二）投标人认为需要加以说明的其他内容（格式自定）</w:t>
      </w:r>
    </w:p>
    <w:p>
      <w:pPr>
        <w:pStyle w:val="3"/>
      </w:pPr>
    </w:p>
    <w:p>
      <w:pPr>
        <w:widowControl/>
        <w:jc w:val="left"/>
        <w:rPr>
          <w:rFonts w:hint="eastAsia" w:ascii="宋体" w:hAnsi="宋体"/>
          <w:b/>
          <w:bCs/>
          <w:kern w:val="0"/>
          <w:sz w:val="24"/>
          <w:szCs w:val="20"/>
        </w:rPr>
      </w:pPr>
      <w:r>
        <w:br w:type="page"/>
      </w:r>
    </w:p>
    <w:p>
      <w:pPr>
        <w:pStyle w:val="7"/>
        <w:rPr>
          <w:rFonts w:hint="eastAsia"/>
          <w:sz w:val="28"/>
          <w:szCs w:val="28"/>
        </w:rPr>
      </w:pPr>
      <w:r>
        <w:rPr>
          <w:rFonts w:hint="eastAsia"/>
          <w:sz w:val="28"/>
          <w:szCs w:val="28"/>
        </w:rPr>
        <w:t>第五章  合同条款及格式</w:t>
      </w:r>
    </w:p>
    <w:p>
      <w:pPr>
        <w:jc w:val="center"/>
        <w:outlineLvl w:val="0"/>
      </w:pPr>
      <w:r>
        <w:rPr>
          <w:rFonts w:hint="eastAsia"/>
          <w:b/>
          <w:sz w:val="24"/>
        </w:rPr>
        <w:t>（仅供参考，具体以项目需求及实际签订为准）</w:t>
      </w:r>
    </w:p>
    <w:p>
      <w:pPr>
        <w:ind w:firstLine="411" w:firstLineChars="196"/>
      </w:pPr>
    </w:p>
    <w:p>
      <w:pPr>
        <w:rPr>
          <w:rFonts w:hint="eastAsia" w:ascii="宋体" w:hAnsi="宋体"/>
          <w:b/>
          <w:bCs/>
          <w:szCs w:val="21"/>
        </w:rPr>
      </w:pPr>
      <w:r>
        <w:rPr>
          <w:rFonts w:hint="eastAsia" w:ascii="宋体" w:hAnsi="宋体"/>
          <w:b/>
          <w:bCs/>
          <w:szCs w:val="21"/>
        </w:rPr>
        <w:t>甲方：</w:t>
      </w:r>
    </w:p>
    <w:p>
      <w:pPr>
        <w:rPr>
          <w:rFonts w:hint="eastAsia" w:ascii="宋体" w:hAnsi="宋体"/>
          <w:szCs w:val="21"/>
        </w:rPr>
      </w:pPr>
      <w:r>
        <w:rPr>
          <w:rFonts w:hint="eastAsia" w:ascii="宋体" w:hAnsi="宋体"/>
          <w:szCs w:val="21"/>
        </w:rPr>
        <w:t>地址：</w:t>
      </w:r>
    </w:p>
    <w:p>
      <w:pPr>
        <w:rPr>
          <w:rFonts w:hint="eastAsia" w:ascii="宋体" w:hAnsi="宋体"/>
          <w:szCs w:val="21"/>
        </w:rPr>
      </w:pPr>
      <w:r>
        <w:rPr>
          <w:rFonts w:hint="eastAsia" w:ascii="宋体" w:hAnsi="宋体"/>
          <w:szCs w:val="21"/>
        </w:rPr>
        <w:t>联系人：</w:t>
      </w:r>
      <w:r>
        <w:rPr>
          <w:rFonts w:ascii="宋体" w:hAnsi="宋体"/>
          <w:szCs w:val="21"/>
        </w:rPr>
        <w:t xml:space="preserve">                          </w:t>
      </w:r>
    </w:p>
    <w:p>
      <w:pPr>
        <w:rPr>
          <w:rFonts w:hint="eastAsia" w:ascii="宋体" w:hAnsi="宋体"/>
          <w:b/>
          <w:bCs/>
          <w:szCs w:val="21"/>
        </w:rPr>
      </w:pPr>
      <w:r>
        <w:rPr>
          <w:rFonts w:hint="eastAsia" w:ascii="宋体" w:hAnsi="宋体"/>
          <w:szCs w:val="21"/>
        </w:rPr>
        <w:t>联系电话：</w:t>
      </w:r>
    </w:p>
    <w:p>
      <w:pPr>
        <w:rPr>
          <w:rFonts w:hint="eastAsia"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hint="eastAsia" w:ascii="宋体" w:hAnsi="宋体"/>
          <w:b/>
          <w:bCs/>
          <w:szCs w:val="21"/>
        </w:rPr>
      </w:pPr>
      <w:r>
        <w:rPr>
          <w:rFonts w:hint="eastAsia" w:ascii="宋体" w:hAnsi="宋体"/>
          <w:b/>
          <w:bCs/>
          <w:szCs w:val="21"/>
        </w:rPr>
        <w:t>乙方：</w:t>
      </w:r>
    </w:p>
    <w:p>
      <w:pPr>
        <w:rPr>
          <w:rFonts w:hint="eastAsia" w:ascii="宋体" w:hAnsi="宋体"/>
          <w:szCs w:val="21"/>
        </w:rPr>
      </w:pPr>
      <w:r>
        <w:rPr>
          <w:rFonts w:hint="eastAsia" w:ascii="宋体" w:hAnsi="宋体"/>
          <w:szCs w:val="21"/>
        </w:rPr>
        <w:t>地址：</w:t>
      </w:r>
    </w:p>
    <w:p>
      <w:pPr>
        <w:rPr>
          <w:rFonts w:hint="eastAsia" w:ascii="宋体" w:hAnsi="宋体"/>
          <w:szCs w:val="21"/>
        </w:rPr>
      </w:pPr>
      <w:r>
        <w:rPr>
          <w:rFonts w:hint="eastAsia" w:ascii="宋体" w:hAnsi="宋体"/>
          <w:szCs w:val="21"/>
        </w:rPr>
        <w:t>联系人：</w:t>
      </w:r>
      <w:r>
        <w:rPr>
          <w:rFonts w:ascii="宋体" w:hAnsi="宋体"/>
          <w:szCs w:val="21"/>
        </w:rPr>
        <w:t xml:space="preserve">                          </w:t>
      </w:r>
    </w:p>
    <w:p>
      <w:pPr>
        <w:rPr>
          <w:rFonts w:hint="eastAsia" w:ascii="宋体" w:hAnsi="宋体"/>
          <w:b/>
          <w:bCs/>
          <w:szCs w:val="21"/>
        </w:rPr>
      </w:pPr>
      <w:r>
        <w:rPr>
          <w:rFonts w:hint="eastAsia" w:ascii="宋体" w:hAnsi="宋体"/>
          <w:szCs w:val="21"/>
        </w:rPr>
        <w:t>联系电话：</w:t>
      </w:r>
    </w:p>
    <w:p>
      <w:pPr>
        <w:rPr>
          <w:rFonts w:hint="eastAsia" w:ascii="宋体" w:hAnsi="宋体"/>
          <w:szCs w:val="21"/>
        </w:rPr>
      </w:pPr>
      <w:r>
        <w:rPr>
          <w:rFonts w:ascii="宋体" w:hAnsi="宋体"/>
          <w:b/>
          <w:bCs/>
          <w:szCs w:val="21"/>
        </w:rPr>
        <w:t xml:space="preserve">            </w:t>
      </w:r>
      <w:r>
        <w:rPr>
          <w:rFonts w:hint="eastAsia" w:ascii="宋体" w:hAnsi="宋体"/>
          <w:b/>
          <w:bCs/>
          <w:szCs w:val="21"/>
        </w:rPr>
        <w:t xml:space="preserve">          </w:t>
      </w:r>
    </w:p>
    <w:p>
      <w:pPr>
        <w:rPr>
          <w:rFonts w:hint="eastAsia" w:ascii="宋体" w:hAnsi="宋体"/>
          <w:szCs w:val="21"/>
        </w:rPr>
      </w:pPr>
    </w:p>
    <w:p>
      <w:pPr>
        <w:spacing w:line="480" w:lineRule="exact"/>
        <w:ind w:firstLine="420" w:firstLineChars="200"/>
        <w:rPr>
          <w:rFonts w:hint="eastAsia" w:ascii="宋体" w:hAnsi="宋体"/>
          <w:color w:val="000000"/>
          <w:szCs w:val="21"/>
        </w:rPr>
      </w:pPr>
      <w:r>
        <w:rPr>
          <w:rFonts w:ascii="宋体" w:hAnsi="宋体"/>
          <w:color w:val="000000"/>
          <w:szCs w:val="21"/>
        </w:rPr>
        <w:t>根据《中华人民共和国</w:t>
      </w:r>
      <w:r>
        <w:rPr>
          <w:rFonts w:hint="eastAsia" w:ascii="宋体" w:hAnsi="宋体"/>
          <w:color w:val="000000"/>
          <w:szCs w:val="21"/>
        </w:rPr>
        <w:t>民法典</w:t>
      </w:r>
      <w:r>
        <w:rPr>
          <w:rFonts w:ascii="宋体" w:hAnsi="宋体"/>
          <w:color w:val="000000"/>
          <w:szCs w:val="21"/>
        </w:rPr>
        <w:t>》、《中华人民共和国建筑法》及有关法律规定，遵循平等、自愿、公平和诚实信用的原则，双方就</w:t>
      </w:r>
      <w:r>
        <w:rPr>
          <w:rFonts w:hint="eastAsia" w:ascii="宋体" w:hAnsi="宋体"/>
          <w:color w:val="000000"/>
          <w:szCs w:val="21"/>
          <w:u w:val="single"/>
        </w:rPr>
        <w:t>深圳市第一、第二看守所监区医务室改造项目</w:t>
      </w:r>
      <w:r>
        <w:rPr>
          <w:rFonts w:ascii="宋体" w:hAnsi="宋体"/>
          <w:color w:val="000000"/>
          <w:szCs w:val="21"/>
        </w:rPr>
        <w:t>施工及有关事项协商一致</w:t>
      </w:r>
      <w:r>
        <w:rPr>
          <w:rFonts w:hint="eastAsia" w:ascii="宋体" w:hAnsi="宋体"/>
          <w:color w:val="000000"/>
          <w:szCs w:val="21"/>
        </w:rPr>
        <w:t>，</w:t>
      </w:r>
      <w:r>
        <w:rPr>
          <w:rFonts w:ascii="宋体" w:hAnsi="宋体"/>
          <w:color w:val="000000"/>
          <w:szCs w:val="21"/>
        </w:rPr>
        <w:t>共同达成如下协议：</w:t>
      </w:r>
    </w:p>
    <w:p>
      <w:pPr>
        <w:spacing w:line="480" w:lineRule="exact"/>
        <w:ind w:firstLine="420" w:firstLineChars="200"/>
        <w:rPr>
          <w:rFonts w:hint="eastAsia" w:ascii="宋体" w:hAnsi="宋体"/>
          <w:color w:val="000000"/>
          <w:szCs w:val="21"/>
        </w:rPr>
      </w:pPr>
      <w:bookmarkStart w:id="48" w:name="_Toc351203481"/>
      <w:r>
        <w:rPr>
          <w:rFonts w:ascii="宋体" w:hAnsi="宋体"/>
          <w:color w:val="000000"/>
          <w:szCs w:val="21"/>
        </w:rPr>
        <w:t>一、项目概况</w:t>
      </w:r>
      <w:bookmarkEnd w:id="48"/>
    </w:p>
    <w:p>
      <w:pPr>
        <w:spacing w:line="480" w:lineRule="exact"/>
        <w:ind w:firstLine="420" w:firstLineChars="200"/>
        <w:rPr>
          <w:rFonts w:hint="eastAsia" w:ascii="宋体" w:hAnsi="宋体"/>
          <w:color w:val="000000"/>
          <w:szCs w:val="21"/>
        </w:rPr>
      </w:pPr>
      <w:r>
        <w:rPr>
          <w:rFonts w:ascii="宋体" w:hAnsi="宋体"/>
          <w:color w:val="000000"/>
          <w:szCs w:val="21"/>
        </w:rPr>
        <w:t>1.项目名称：</w:t>
      </w:r>
      <w:r>
        <w:rPr>
          <w:rFonts w:hint="eastAsia" w:ascii="宋体" w:hAnsi="宋体"/>
          <w:color w:val="000000"/>
          <w:szCs w:val="21"/>
        </w:rPr>
        <w:t>深圳市第一、第二看守所监区医务室改造项目。</w:t>
      </w:r>
    </w:p>
    <w:p>
      <w:pPr>
        <w:spacing w:line="480" w:lineRule="exact"/>
        <w:ind w:firstLine="420" w:firstLineChars="200"/>
        <w:rPr>
          <w:rFonts w:hint="eastAsia" w:ascii="宋体" w:hAnsi="宋体"/>
          <w:color w:val="000000"/>
          <w:szCs w:val="21"/>
        </w:rPr>
      </w:pPr>
      <w:r>
        <w:rPr>
          <w:rFonts w:ascii="宋体" w:hAnsi="宋体"/>
          <w:color w:val="000000"/>
          <w:szCs w:val="21"/>
        </w:rPr>
        <w:t>2.项目地点：</w:t>
      </w:r>
      <w:r>
        <w:rPr>
          <w:rFonts w:hint="eastAsia" w:ascii="宋体" w:hAnsi="宋体"/>
          <w:color w:val="000000"/>
          <w:szCs w:val="21"/>
        </w:rPr>
        <w:t>深圳市第一、第二看守所</w:t>
      </w:r>
      <w:r>
        <w:rPr>
          <w:rFonts w:ascii="宋体" w:hAnsi="宋体"/>
          <w:color w:val="000000"/>
          <w:szCs w:val="21"/>
        </w:rPr>
        <w:t>。</w:t>
      </w:r>
    </w:p>
    <w:p>
      <w:pPr>
        <w:spacing w:line="480" w:lineRule="exact"/>
        <w:ind w:firstLine="420" w:firstLineChars="200"/>
        <w:rPr>
          <w:rFonts w:hint="eastAsia" w:ascii="宋体" w:hAnsi="宋体"/>
          <w:color w:val="000000"/>
          <w:szCs w:val="21"/>
        </w:rPr>
      </w:pPr>
      <w:r>
        <w:rPr>
          <w:rFonts w:hint="eastAsia" w:ascii="宋体" w:hAnsi="宋体"/>
          <w:color w:val="000000"/>
          <w:szCs w:val="21"/>
        </w:rPr>
        <w:t>3.</w:t>
      </w:r>
      <w:r>
        <w:rPr>
          <w:rFonts w:ascii="宋体" w:hAnsi="宋体"/>
          <w:color w:val="000000"/>
          <w:szCs w:val="21"/>
        </w:rPr>
        <w:t>项目</w:t>
      </w:r>
      <w:r>
        <w:rPr>
          <w:rFonts w:hint="eastAsia" w:ascii="宋体" w:hAnsi="宋体"/>
          <w:color w:val="000000"/>
          <w:szCs w:val="21"/>
        </w:rPr>
        <w:t>内容：看守所监区医务室功能区域装修改造，包括墙体拆除及新建，水电改造，地面铺设抗菌防潮地胶配踢脚线，墙面贴瓷砖、刷乳胶漆，天花吊顶，门窗安装，隔断安装，外窗加装金属防护栏栅，定制办公家具等</w:t>
      </w:r>
      <w:r>
        <w:rPr>
          <w:rFonts w:ascii="宋体" w:hAnsi="宋体"/>
          <w:color w:val="000000"/>
          <w:szCs w:val="21"/>
        </w:rPr>
        <w:t>。</w:t>
      </w:r>
    </w:p>
    <w:p>
      <w:pPr>
        <w:spacing w:line="480" w:lineRule="exact"/>
        <w:ind w:firstLine="420" w:firstLineChars="200"/>
        <w:rPr>
          <w:rFonts w:hint="eastAsia" w:ascii="宋体" w:hAnsi="宋体"/>
          <w:color w:val="000000"/>
          <w:szCs w:val="21"/>
        </w:rPr>
      </w:pPr>
      <w:bookmarkStart w:id="49" w:name="_Toc351203482"/>
      <w:r>
        <w:rPr>
          <w:rFonts w:ascii="宋体" w:hAnsi="宋体"/>
          <w:color w:val="000000"/>
          <w:szCs w:val="21"/>
        </w:rPr>
        <w:t>二、合同工期</w:t>
      </w:r>
      <w:bookmarkEnd w:id="49"/>
    </w:p>
    <w:p>
      <w:pPr>
        <w:spacing w:line="480" w:lineRule="exact"/>
        <w:ind w:firstLine="420" w:firstLineChars="200"/>
        <w:rPr>
          <w:rFonts w:hint="eastAsia" w:ascii="宋体" w:hAnsi="宋体"/>
          <w:color w:val="000000"/>
          <w:szCs w:val="21"/>
        </w:rPr>
      </w:pPr>
      <w:r>
        <w:rPr>
          <w:rFonts w:ascii="宋体" w:hAnsi="宋体"/>
          <w:color w:val="000000"/>
          <w:szCs w:val="21"/>
        </w:rPr>
        <w:t>计划开工日期：</w:t>
      </w:r>
      <w:r>
        <w:rPr>
          <w:rFonts w:ascii="宋体" w:hAnsi="宋体"/>
          <w:color w:val="000000"/>
          <w:szCs w:val="21"/>
        </w:rPr>
        <w:sym w:font="宋体" w:char="E5E5"/>
      </w:r>
      <w:r>
        <w:rPr>
          <w:rFonts w:ascii="宋体" w:hAnsi="宋体"/>
          <w:color w:val="000000"/>
          <w:szCs w:val="21"/>
        </w:rPr>
        <w:sym w:font="宋体" w:char="E5E5"/>
      </w:r>
      <w:r>
        <w:rPr>
          <w:rFonts w:ascii="宋体" w:hAnsi="宋体"/>
          <w:color w:val="000000"/>
          <w:szCs w:val="21"/>
        </w:rPr>
        <w:sym w:font="宋体" w:char="E5E5"/>
      </w:r>
      <w:r>
        <w:rPr>
          <w:rFonts w:ascii="宋体" w:hAnsi="宋体"/>
          <w:color w:val="000000"/>
          <w:szCs w:val="21"/>
        </w:rPr>
        <w:sym w:font="宋体" w:char="E5E5"/>
      </w:r>
      <w:r>
        <w:rPr>
          <w:rFonts w:ascii="宋体" w:hAnsi="宋体"/>
          <w:color w:val="000000"/>
          <w:szCs w:val="21"/>
        </w:rPr>
        <w:sym w:font="宋体" w:char="E5E5"/>
      </w:r>
      <w:r>
        <w:rPr>
          <w:rFonts w:ascii="宋体" w:hAnsi="宋体"/>
          <w:color w:val="000000"/>
          <w:szCs w:val="21"/>
        </w:rPr>
        <w:t>年</w:t>
      </w:r>
      <w:r>
        <w:rPr>
          <w:rFonts w:ascii="宋体" w:hAnsi="宋体"/>
          <w:color w:val="000000"/>
          <w:szCs w:val="21"/>
        </w:rPr>
        <w:sym w:font="宋体" w:char="E5E5"/>
      </w:r>
      <w:r>
        <w:rPr>
          <w:rFonts w:ascii="宋体" w:hAnsi="宋体"/>
          <w:color w:val="000000"/>
          <w:szCs w:val="21"/>
        </w:rPr>
        <w:sym w:font="宋体" w:char="E5E5"/>
      </w:r>
      <w:r>
        <w:rPr>
          <w:rFonts w:ascii="宋体" w:hAnsi="宋体"/>
          <w:color w:val="000000"/>
          <w:szCs w:val="21"/>
        </w:rPr>
        <w:sym w:font="宋体" w:char="E5E5"/>
      </w:r>
      <w:r>
        <w:rPr>
          <w:rFonts w:ascii="宋体" w:hAnsi="宋体"/>
          <w:color w:val="000000"/>
          <w:szCs w:val="21"/>
        </w:rPr>
        <w:t>月</w:t>
      </w:r>
      <w:r>
        <w:rPr>
          <w:rFonts w:ascii="宋体" w:hAnsi="宋体"/>
          <w:color w:val="000000"/>
          <w:szCs w:val="21"/>
        </w:rPr>
        <w:sym w:font="宋体" w:char="E5E5"/>
      </w:r>
      <w:r>
        <w:rPr>
          <w:rFonts w:ascii="宋体" w:hAnsi="宋体"/>
          <w:color w:val="000000"/>
          <w:szCs w:val="21"/>
        </w:rPr>
        <w:sym w:font="宋体" w:char="E5E5"/>
      </w:r>
      <w:r>
        <w:rPr>
          <w:rFonts w:ascii="宋体" w:hAnsi="宋体"/>
          <w:color w:val="000000"/>
          <w:szCs w:val="21"/>
        </w:rPr>
        <w:sym w:font="宋体" w:char="E5E5"/>
      </w:r>
      <w:r>
        <w:rPr>
          <w:rFonts w:ascii="宋体" w:hAnsi="宋体"/>
          <w:color w:val="000000"/>
          <w:szCs w:val="21"/>
        </w:rPr>
        <w:t>日。</w:t>
      </w:r>
    </w:p>
    <w:p>
      <w:pPr>
        <w:spacing w:line="480" w:lineRule="exact"/>
        <w:ind w:firstLine="420" w:firstLineChars="200"/>
        <w:rPr>
          <w:rFonts w:hint="eastAsia" w:ascii="宋体" w:hAnsi="宋体"/>
          <w:color w:val="000000"/>
          <w:szCs w:val="21"/>
        </w:rPr>
      </w:pPr>
      <w:r>
        <w:rPr>
          <w:rFonts w:ascii="宋体" w:hAnsi="宋体"/>
          <w:color w:val="000000"/>
          <w:szCs w:val="21"/>
        </w:rPr>
        <w:t>计划竣工日期：</w:t>
      </w:r>
      <w:r>
        <w:rPr>
          <w:rFonts w:ascii="宋体" w:hAnsi="宋体"/>
          <w:color w:val="000000"/>
          <w:szCs w:val="21"/>
        </w:rPr>
        <w:sym w:font="宋体" w:char="E5E5"/>
      </w:r>
      <w:r>
        <w:rPr>
          <w:rFonts w:ascii="宋体" w:hAnsi="宋体"/>
          <w:color w:val="000000"/>
          <w:szCs w:val="21"/>
        </w:rPr>
        <w:sym w:font="宋体" w:char="E5E5"/>
      </w:r>
      <w:r>
        <w:rPr>
          <w:rFonts w:ascii="宋体" w:hAnsi="宋体"/>
          <w:color w:val="000000"/>
          <w:szCs w:val="21"/>
        </w:rPr>
        <w:sym w:font="宋体" w:char="E5E5"/>
      </w:r>
      <w:r>
        <w:rPr>
          <w:rFonts w:ascii="宋体" w:hAnsi="宋体"/>
          <w:color w:val="000000"/>
          <w:szCs w:val="21"/>
        </w:rPr>
        <w:sym w:font="宋体" w:char="E5E5"/>
      </w:r>
      <w:r>
        <w:rPr>
          <w:rFonts w:ascii="宋体" w:hAnsi="宋体"/>
          <w:color w:val="000000"/>
          <w:szCs w:val="21"/>
        </w:rPr>
        <w:sym w:font="宋体" w:char="E5E5"/>
      </w:r>
      <w:r>
        <w:rPr>
          <w:rFonts w:ascii="宋体" w:hAnsi="宋体"/>
          <w:color w:val="000000"/>
          <w:szCs w:val="21"/>
        </w:rPr>
        <w:t>年</w:t>
      </w:r>
      <w:r>
        <w:rPr>
          <w:rFonts w:ascii="宋体" w:hAnsi="宋体"/>
          <w:color w:val="000000"/>
          <w:szCs w:val="21"/>
        </w:rPr>
        <w:sym w:font="宋体" w:char="E5E5"/>
      </w:r>
      <w:r>
        <w:rPr>
          <w:rFonts w:ascii="宋体" w:hAnsi="宋体"/>
          <w:color w:val="000000"/>
          <w:szCs w:val="21"/>
        </w:rPr>
        <w:sym w:font="宋体" w:char="E5E5"/>
      </w:r>
      <w:r>
        <w:rPr>
          <w:rFonts w:ascii="宋体" w:hAnsi="宋体"/>
          <w:color w:val="000000"/>
          <w:szCs w:val="21"/>
        </w:rPr>
        <w:sym w:font="宋体" w:char="E5E5"/>
      </w:r>
      <w:r>
        <w:rPr>
          <w:rFonts w:ascii="宋体" w:hAnsi="宋体"/>
          <w:color w:val="000000"/>
          <w:szCs w:val="21"/>
        </w:rPr>
        <w:t>月</w:t>
      </w:r>
      <w:r>
        <w:rPr>
          <w:rFonts w:ascii="宋体" w:hAnsi="宋体"/>
          <w:color w:val="000000"/>
          <w:szCs w:val="21"/>
        </w:rPr>
        <w:sym w:font="宋体" w:char="E5E5"/>
      </w:r>
      <w:r>
        <w:rPr>
          <w:rFonts w:ascii="宋体" w:hAnsi="宋体"/>
          <w:color w:val="000000"/>
          <w:szCs w:val="21"/>
        </w:rPr>
        <w:sym w:font="宋体" w:char="E5E5"/>
      </w:r>
      <w:r>
        <w:rPr>
          <w:rFonts w:ascii="宋体" w:hAnsi="宋体"/>
          <w:color w:val="000000"/>
          <w:szCs w:val="21"/>
        </w:rPr>
        <w:sym w:font="宋体" w:char="E5E5"/>
      </w:r>
      <w:r>
        <w:rPr>
          <w:rFonts w:ascii="宋体" w:hAnsi="宋体"/>
          <w:color w:val="000000"/>
          <w:szCs w:val="21"/>
        </w:rPr>
        <w:t>日。</w:t>
      </w:r>
    </w:p>
    <w:p>
      <w:pPr>
        <w:spacing w:line="480" w:lineRule="exact"/>
        <w:ind w:firstLine="420" w:firstLineChars="200"/>
        <w:rPr>
          <w:rFonts w:hint="eastAsia" w:ascii="宋体" w:hAnsi="宋体"/>
          <w:color w:val="000000"/>
          <w:szCs w:val="21"/>
        </w:rPr>
      </w:pPr>
      <w:r>
        <w:rPr>
          <w:rFonts w:ascii="宋体" w:hAnsi="宋体"/>
          <w:color w:val="000000"/>
          <w:szCs w:val="21"/>
        </w:rPr>
        <w:t>工期总日历天数：</w:t>
      </w:r>
      <w:r>
        <w:rPr>
          <w:rFonts w:hint="eastAsia" w:ascii="宋体" w:hAnsi="宋体"/>
          <w:color w:val="000000"/>
          <w:szCs w:val="21"/>
        </w:rPr>
        <w:t>70</w:t>
      </w:r>
      <w:r>
        <w:rPr>
          <w:rFonts w:ascii="宋体" w:hAnsi="宋体"/>
          <w:color w:val="000000"/>
          <w:szCs w:val="21"/>
        </w:rPr>
        <w:t>天。工期总日历天数与根据前述计划开竣工日期计算的工期天数不一致的，以工期总日历天数为准。</w:t>
      </w:r>
    </w:p>
    <w:p>
      <w:pPr>
        <w:spacing w:line="480" w:lineRule="exact"/>
        <w:ind w:firstLine="420" w:firstLineChars="200"/>
        <w:rPr>
          <w:rFonts w:hint="eastAsia" w:ascii="宋体" w:hAnsi="宋体"/>
          <w:color w:val="000000"/>
          <w:szCs w:val="21"/>
        </w:rPr>
      </w:pPr>
      <w:bookmarkStart w:id="50" w:name="_Toc351203483"/>
      <w:r>
        <w:rPr>
          <w:rFonts w:ascii="宋体" w:hAnsi="宋体"/>
          <w:color w:val="000000"/>
          <w:szCs w:val="21"/>
        </w:rPr>
        <w:t>三、质量标准</w:t>
      </w:r>
      <w:bookmarkEnd w:id="50"/>
    </w:p>
    <w:p>
      <w:pPr>
        <w:spacing w:line="480" w:lineRule="exact"/>
        <w:ind w:firstLine="420" w:firstLineChars="200"/>
        <w:rPr>
          <w:rFonts w:hint="eastAsia" w:ascii="宋体" w:hAnsi="宋体"/>
          <w:color w:val="000000"/>
          <w:szCs w:val="21"/>
        </w:rPr>
      </w:pPr>
      <w:r>
        <w:rPr>
          <w:rFonts w:ascii="宋体" w:hAnsi="宋体"/>
          <w:color w:val="000000"/>
          <w:szCs w:val="21"/>
        </w:rPr>
        <w:t>项目质量符合</w:t>
      </w:r>
      <w:r>
        <w:rPr>
          <w:rFonts w:hint="eastAsia" w:ascii="宋体" w:hAnsi="宋体"/>
          <w:color w:val="000000"/>
          <w:szCs w:val="21"/>
        </w:rPr>
        <w:t>国家和地方现行相关质量评定标准和施工技术规范</w:t>
      </w:r>
      <w:r>
        <w:rPr>
          <w:rFonts w:ascii="宋体" w:hAnsi="宋体"/>
          <w:color w:val="000000"/>
          <w:szCs w:val="21"/>
        </w:rPr>
        <w:t>标准。</w:t>
      </w:r>
    </w:p>
    <w:p>
      <w:pPr>
        <w:spacing w:line="480" w:lineRule="exact"/>
        <w:ind w:firstLine="420" w:firstLineChars="200"/>
        <w:rPr>
          <w:rFonts w:hint="eastAsia" w:ascii="宋体" w:hAnsi="宋体"/>
          <w:color w:val="000000"/>
          <w:szCs w:val="21"/>
        </w:rPr>
      </w:pPr>
      <w:bookmarkStart w:id="51" w:name="_Toc351203484"/>
      <w:r>
        <w:rPr>
          <w:rFonts w:ascii="宋体" w:hAnsi="宋体"/>
          <w:color w:val="000000"/>
          <w:szCs w:val="21"/>
        </w:rPr>
        <w:t>四、签约合同价与合同价格形式</w:t>
      </w:r>
      <w:bookmarkEnd w:id="51"/>
      <w:r>
        <w:rPr>
          <w:rFonts w:ascii="宋体" w:hAnsi="宋体"/>
          <w:color w:val="000000"/>
          <w:szCs w:val="21"/>
        </w:rPr>
        <w:tab/>
      </w:r>
    </w:p>
    <w:p>
      <w:pPr>
        <w:spacing w:line="48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签约合同价为：不含税金额为人民币      元，税额为人民币      元，含税总额为人民币      元；开具合规有效的税率为</w:t>
      </w:r>
      <w:r>
        <w:rPr>
          <w:rFonts w:ascii="宋体" w:hAnsi="宋体"/>
          <w:color w:val="000000"/>
          <w:szCs w:val="21"/>
        </w:rPr>
        <w:t>9%</w:t>
      </w:r>
      <w:r>
        <w:rPr>
          <w:rFonts w:hint="eastAsia" w:ascii="宋体" w:hAnsi="宋体"/>
          <w:color w:val="000000"/>
          <w:szCs w:val="21"/>
        </w:rPr>
        <w:t>的增值税专用发票。</w:t>
      </w:r>
    </w:p>
    <w:p>
      <w:pPr>
        <w:spacing w:line="480" w:lineRule="exact"/>
        <w:ind w:firstLine="420" w:firstLineChars="200"/>
        <w:rPr>
          <w:rFonts w:hint="eastAsia" w:ascii="宋体" w:hAnsi="宋体"/>
          <w:color w:val="000000"/>
          <w:szCs w:val="21"/>
        </w:rPr>
      </w:pPr>
      <w:r>
        <w:rPr>
          <w:rFonts w:hint="eastAsia" w:ascii="宋体" w:hAnsi="宋体"/>
          <w:color w:val="000000"/>
          <w:szCs w:val="21"/>
        </w:rPr>
        <w:t>含税总额</w:t>
      </w:r>
      <w:r>
        <w:rPr>
          <w:rFonts w:ascii="宋体" w:hAnsi="宋体"/>
          <w:color w:val="000000"/>
          <w:szCs w:val="21"/>
        </w:rPr>
        <w:t xml:space="preserve">人民币（大写）    </w:t>
      </w:r>
      <w:r>
        <w:rPr>
          <w:rFonts w:hint="eastAsia" w:ascii="宋体" w:hAnsi="宋体"/>
          <w:color w:val="000000"/>
          <w:szCs w:val="21"/>
        </w:rPr>
        <w:t xml:space="preserve">           </w:t>
      </w:r>
      <w:r>
        <w:rPr>
          <w:rFonts w:ascii="宋体" w:hAnsi="宋体"/>
          <w:color w:val="000000"/>
          <w:szCs w:val="21"/>
        </w:rPr>
        <w:t xml:space="preserve">  (¥    </w:t>
      </w:r>
      <w:r>
        <w:rPr>
          <w:rFonts w:hint="eastAsia" w:ascii="宋体" w:hAnsi="宋体"/>
          <w:color w:val="000000"/>
          <w:szCs w:val="21"/>
        </w:rPr>
        <w:t xml:space="preserve">      </w:t>
      </w:r>
      <w:r>
        <w:rPr>
          <w:rFonts w:ascii="宋体" w:hAnsi="宋体"/>
          <w:color w:val="000000"/>
          <w:szCs w:val="21"/>
        </w:rPr>
        <w:t xml:space="preserve">  元)；</w:t>
      </w:r>
    </w:p>
    <w:p>
      <w:pPr>
        <w:spacing w:line="48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 xml:space="preserve">合同价格形式：                                </w:t>
      </w:r>
      <w:r>
        <w:rPr>
          <w:rFonts w:ascii="宋体" w:hAnsi="宋体"/>
          <w:color w:val="000000"/>
          <w:szCs w:val="21"/>
        </w:rPr>
        <w:sym w:font="宋体" w:char="E5E5"/>
      </w:r>
      <w:r>
        <w:rPr>
          <w:rFonts w:hint="eastAsia" w:ascii="宋体" w:hAnsi="宋体"/>
          <w:color w:val="000000"/>
          <w:szCs w:val="21"/>
        </w:rPr>
        <w:t>。</w:t>
      </w:r>
    </w:p>
    <w:p>
      <w:pPr>
        <w:spacing w:line="480" w:lineRule="exact"/>
        <w:ind w:firstLine="420" w:firstLineChars="200"/>
        <w:rPr>
          <w:rFonts w:hint="eastAsia" w:ascii="宋体" w:hAnsi="宋体"/>
          <w:color w:val="000000"/>
          <w:szCs w:val="21"/>
        </w:rPr>
      </w:pPr>
      <w:r>
        <w:rPr>
          <w:rFonts w:hint="eastAsia" w:ascii="宋体" w:hAnsi="宋体"/>
          <w:color w:val="000000"/>
          <w:szCs w:val="21"/>
        </w:rPr>
        <w:t>遇国家税收政策变化，需要调整增值税税率情况时：按签订原合同时税率计算不含税单价，及国家税收政策规定的适用税率，重新计算含税单价作为结算单价。（调整后）含税单价计算公式=原合同不含税单价×（1+调整后规定税率）。</w:t>
      </w:r>
    </w:p>
    <w:p>
      <w:pPr>
        <w:spacing w:line="480" w:lineRule="exact"/>
        <w:ind w:firstLine="420" w:firstLineChars="200"/>
        <w:rPr>
          <w:rFonts w:hint="eastAsia" w:ascii="宋体" w:hAnsi="宋体"/>
          <w:color w:val="000000"/>
          <w:szCs w:val="21"/>
        </w:rPr>
      </w:pPr>
      <w:bookmarkStart w:id="52" w:name="_Toc351203485"/>
      <w:r>
        <w:rPr>
          <w:rFonts w:ascii="宋体" w:hAnsi="宋体"/>
          <w:color w:val="000000"/>
          <w:szCs w:val="21"/>
        </w:rPr>
        <w:t>五、</w:t>
      </w:r>
      <w:bookmarkEnd w:id="52"/>
      <w:r>
        <w:rPr>
          <w:rFonts w:ascii="宋体" w:hAnsi="宋体"/>
          <w:color w:val="000000"/>
          <w:szCs w:val="21"/>
        </w:rPr>
        <w:t>项目经理</w:t>
      </w:r>
    </w:p>
    <w:p>
      <w:pPr>
        <w:spacing w:line="480" w:lineRule="exact"/>
        <w:ind w:firstLine="420" w:firstLineChars="200"/>
        <w:rPr>
          <w:rFonts w:hint="eastAsia" w:ascii="宋体" w:hAnsi="宋体"/>
          <w:color w:val="000000"/>
          <w:szCs w:val="21"/>
        </w:rPr>
      </w:pPr>
      <w:r>
        <w:rPr>
          <w:rFonts w:ascii="宋体" w:hAnsi="宋体"/>
          <w:color w:val="000000"/>
          <w:szCs w:val="21"/>
        </w:rPr>
        <w:t>承包人项目经理：</w:t>
      </w:r>
      <w:r>
        <w:rPr>
          <w:rFonts w:ascii="宋体" w:hAnsi="宋体"/>
          <w:color w:val="000000"/>
          <w:szCs w:val="21"/>
        </w:rPr>
        <w:sym w:font="宋体" w:char="E5E5"/>
      </w:r>
      <w:r>
        <w:rPr>
          <w:rFonts w:ascii="宋体" w:hAnsi="宋体"/>
          <w:color w:val="000000"/>
          <w:szCs w:val="21"/>
        </w:rPr>
        <w:sym w:font="宋体" w:char="E5E5"/>
      </w:r>
      <w:r>
        <w:rPr>
          <w:rFonts w:ascii="宋体" w:hAnsi="宋体"/>
          <w:color w:val="000000"/>
          <w:szCs w:val="21"/>
        </w:rPr>
        <w:sym w:font="宋体" w:char="E5E5"/>
      </w:r>
      <w:r>
        <w:rPr>
          <w:rFonts w:ascii="宋体" w:hAnsi="宋体"/>
          <w:color w:val="000000"/>
          <w:szCs w:val="21"/>
        </w:rPr>
        <w:sym w:font="宋体" w:char="0020"/>
      </w:r>
      <w:r>
        <w:rPr>
          <w:rFonts w:ascii="宋体" w:hAnsi="宋体"/>
          <w:color w:val="000000"/>
          <w:szCs w:val="21"/>
        </w:rPr>
        <w:sym w:font="宋体" w:char="0020"/>
      </w:r>
      <w:r>
        <w:rPr>
          <w:rFonts w:ascii="宋体" w:hAnsi="宋体"/>
          <w:color w:val="000000"/>
          <w:szCs w:val="21"/>
        </w:rPr>
        <w:sym w:font="宋体" w:char="0020"/>
      </w:r>
      <w:r>
        <w:rPr>
          <w:rFonts w:ascii="宋体" w:hAnsi="宋体"/>
          <w:color w:val="000000"/>
          <w:szCs w:val="21"/>
        </w:rPr>
        <w:sym w:font="宋体" w:char="0020"/>
      </w:r>
      <w:r>
        <w:rPr>
          <w:rFonts w:ascii="宋体" w:hAnsi="宋体"/>
          <w:color w:val="000000"/>
          <w:szCs w:val="21"/>
        </w:rPr>
        <w:sym w:font="宋体" w:char="0020"/>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sym w:font="宋体" w:char="E5E5"/>
      </w:r>
      <w:r>
        <w:rPr>
          <w:rFonts w:ascii="宋体" w:hAnsi="宋体"/>
          <w:color w:val="000000"/>
          <w:szCs w:val="21"/>
        </w:rPr>
        <w:sym w:font="宋体" w:char="0020"/>
      </w:r>
      <w:r>
        <w:rPr>
          <w:rFonts w:ascii="宋体" w:hAnsi="宋体"/>
          <w:color w:val="000000"/>
          <w:szCs w:val="21"/>
        </w:rPr>
        <w:sym w:font="宋体" w:char="0020"/>
      </w:r>
      <w:r>
        <w:rPr>
          <w:rFonts w:ascii="宋体" w:hAnsi="宋体"/>
          <w:color w:val="000000"/>
          <w:szCs w:val="21"/>
        </w:rPr>
        <w:sym w:font="宋体" w:char="0020"/>
      </w:r>
      <w:r>
        <w:rPr>
          <w:rFonts w:ascii="宋体" w:hAnsi="宋体"/>
          <w:color w:val="000000"/>
          <w:szCs w:val="21"/>
        </w:rPr>
        <w:sym w:font="宋体" w:char="0020"/>
      </w:r>
      <w:r>
        <w:rPr>
          <w:rFonts w:ascii="宋体" w:hAnsi="宋体"/>
          <w:color w:val="000000"/>
          <w:szCs w:val="21"/>
        </w:rPr>
        <w:sym w:font="宋体" w:char="E5E5"/>
      </w:r>
      <w:r>
        <w:rPr>
          <w:rFonts w:ascii="宋体" w:hAnsi="宋体"/>
          <w:color w:val="000000"/>
          <w:szCs w:val="21"/>
        </w:rPr>
        <w:t>。</w:t>
      </w:r>
    </w:p>
    <w:p>
      <w:pPr>
        <w:spacing w:line="480" w:lineRule="exact"/>
        <w:ind w:firstLine="420" w:firstLineChars="200"/>
        <w:rPr>
          <w:rFonts w:hint="eastAsia" w:ascii="宋体" w:hAnsi="宋体"/>
          <w:color w:val="000000"/>
          <w:szCs w:val="21"/>
        </w:rPr>
      </w:pPr>
      <w:bookmarkStart w:id="53" w:name="_Toc351203486"/>
      <w:r>
        <w:rPr>
          <w:rFonts w:ascii="宋体" w:hAnsi="宋体"/>
          <w:color w:val="000000"/>
          <w:szCs w:val="21"/>
        </w:rPr>
        <w:t>六、合同文件构成</w:t>
      </w:r>
      <w:bookmarkEnd w:id="53"/>
    </w:p>
    <w:p>
      <w:pPr>
        <w:spacing w:line="480" w:lineRule="exact"/>
        <w:ind w:firstLine="420" w:firstLineChars="200"/>
        <w:rPr>
          <w:rFonts w:hint="eastAsia" w:ascii="宋体" w:hAnsi="宋体"/>
          <w:color w:val="000000"/>
          <w:szCs w:val="21"/>
        </w:rPr>
      </w:pPr>
      <w:r>
        <w:rPr>
          <w:rFonts w:ascii="宋体" w:hAnsi="宋体"/>
          <w:color w:val="000000"/>
          <w:szCs w:val="21"/>
        </w:rPr>
        <w:t>本协议书与下列文件一起构成合同文件：</w:t>
      </w:r>
    </w:p>
    <w:p>
      <w:pPr>
        <w:spacing w:line="480" w:lineRule="exact"/>
        <w:ind w:firstLine="420" w:firstLineChars="200"/>
        <w:rPr>
          <w:rFonts w:hint="eastAsia" w:ascii="宋体" w:hAnsi="宋体"/>
          <w:color w:val="000000"/>
          <w:szCs w:val="21"/>
        </w:rPr>
      </w:pPr>
      <w:r>
        <w:rPr>
          <w:rFonts w:hint="eastAsia" w:ascii="宋体" w:hAnsi="宋体"/>
          <w:color w:val="000000"/>
          <w:szCs w:val="21"/>
        </w:rPr>
        <w:t>（1）本合同协议书（含合同订立、履行期间，发包人和承包人有关工程的洽商、变更等书面协议或文件）；</w:t>
      </w:r>
    </w:p>
    <w:p>
      <w:pPr>
        <w:spacing w:line="480" w:lineRule="exact"/>
        <w:ind w:firstLine="420" w:firstLineChars="200"/>
        <w:rPr>
          <w:rFonts w:hint="eastAsia" w:ascii="宋体" w:hAnsi="宋体"/>
          <w:color w:val="000000"/>
          <w:szCs w:val="21"/>
        </w:rPr>
      </w:pPr>
      <w:r>
        <w:rPr>
          <w:rFonts w:hint="eastAsia" w:ascii="宋体" w:hAnsi="宋体"/>
          <w:color w:val="000000"/>
          <w:szCs w:val="21"/>
        </w:rPr>
        <w:t>（2）中标通知书；</w:t>
      </w:r>
    </w:p>
    <w:p>
      <w:pPr>
        <w:spacing w:line="480" w:lineRule="exact"/>
        <w:ind w:firstLine="420" w:firstLineChars="200"/>
        <w:rPr>
          <w:rFonts w:hint="eastAsia" w:ascii="宋体" w:hAnsi="宋体"/>
          <w:color w:val="000000"/>
          <w:szCs w:val="21"/>
        </w:rPr>
      </w:pPr>
      <w:r>
        <w:rPr>
          <w:rFonts w:hint="eastAsia" w:ascii="宋体" w:hAnsi="宋体"/>
          <w:color w:val="000000"/>
          <w:szCs w:val="21"/>
        </w:rPr>
        <w:t>（3）专用合同条款及其附件；</w:t>
      </w:r>
    </w:p>
    <w:p>
      <w:pPr>
        <w:spacing w:line="480" w:lineRule="exact"/>
        <w:ind w:firstLine="420" w:firstLineChars="200"/>
        <w:rPr>
          <w:rFonts w:hint="eastAsia" w:ascii="宋体" w:hAnsi="宋体"/>
          <w:color w:val="000000"/>
          <w:szCs w:val="21"/>
        </w:rPr>
      </w:pPr>
      <w:r>
        <w:rPr>
          <w:rFonts w:hint="eastAsia" w:ascii="宋体" w:hAnsi="宋体"/>
          <w:color w:val="000000"/>
          <w:szCs w:val="21"/>
        </w:rPr>
        <w:t>（4）通用合同条款；</w:t>
      </w:r>
    </w:p>
    <w:p>
      <w:pPr>
        <w:spacing w:line="480" w:lineRule="exact"/>
        <w:ind w:firstLine="420" w:firstLineChars="200"/>
        <w:rPr>
          <w:rFonts w:hint="eastAsia" w:ascii="宋体" w:hAnsi="宋体"/>
          <w:color w:val="000000"/>
          <w:szCs w:val="21"/>
        </w:rPr>
      </w:pPr>
      <w:r>
        <w:rPr>
          <w:rFonts w:hint="eastAsia" w:ascii="宋体" w:hAnsi="宋体"/>
          <w:color w:val="000000"/>
          <w:szCs w:val="21"/>
        </w:rPr>
        <w:t>（5）投标书及其附件（投标文件澄清等）；</w:t>
      </w:r>
    </w:p>
    <w:p>
      <w:pPr>
        <w:spacing w:line="480" w:lineRule="exact"/>
        <w:ind w:firstLine="420" w:firstLineChars="200"/>
        <w:rPr>
          <w:rFonts w:hint="eastAsia" w:ascii="宋体" w:hAnsi="宋体"/>
          <w:color w:val="000000"/>
          <w:szCs w:val="21"/>
        </w:rPr>
      </w:pPr>
      <w:r>
        <w:rPr>
          <w:rFonts w:hint="eastAsia" w:ascii="宋体" w:hAnsi="宋体"/>
          <w:color w:val="000000"/>
          <w:szCs w:val="21"/>
        </w:rPr>
        <w:t>（6）招标文件及招标工程量清单（含招标文件补充文件、澄清文件、答疑文件等）；</w:t>
      </w:r>
    </w:p>
    <w:p>
      <w:pPr>
        <w:spacing w:line="480" w:lineRule="exact"/>
        <w:ind w:firstLine="420" w:firstLineChars="200"/>
        <w:rPr>
          <w:rFonts w:hint="eastAsia" w:ascii="宋体" w:hAnsi="宋体"/>
          <w:color w:val="000000"/>
          <w:szCs w:val="21"/>
        </w:rPr>
      </w:pPr>
      <w:r>
        <w:rPr>
          <w:rFonts w:hint="eastAsia" w:ascii="宋体" w:hAnsi="宋体"/>
          <w:color w:val="000000"/>
          <w:szCs w:val="21"/>
        </w:rPr>
        <w:t>（7）图纸；</w:t>
      </w:r>
    </w:p>
    <w:p>
      <w:pPr>
        <w:spacing w:line="480" w:lineRule="exact"/>
        <w:ind w:firstLine="420" w:firstLineChars="200"/>
        <w:rPr>
          <w:rFonts w:hint="eastAsia" w:ascii="宋体" w:hAnsi="宋体"/>
          <w:color w:val="000000"/>
          <w:szCs w:val="21"/>
        </w:rPr>
      </w:pPr>
      <w:r>
        <w:rPr>
          <w:rFonts w:hint="eastAsia" w:ascii="宋体" w:hAnsi="宋体"/>
          <w:color w:val="000000"/>
          <w:szCs w:val="21"/>
        </w:rPr>
        <w:t>（8）标准、规范及有关技术文件；</w:t>
      </w:r>
    </w:p>
    <w:p>
      <w:pPr>
        <w:spacing w:line="480" w:lineRule="exact"/>
        <w:ind w:firstLine="420" w:firstLineChars="200"/>
        <w:rPr>
          <w:rFonts w:hint="eastAsia" w:ascii="宋体" w:hAnsi="宋体"/>
          <w:color w:val="000000"/>
          <w:szCs w:val="21"/>
        </w:rPr>
      </w:pPr>
      <w:r>
        <w:rPr>
          <w:rFonts w:hint="eastAsia" w:ascii="宋体" w:hAnsi="宋体"/>
          <w:color w:val="000000"/>
          <w:szCs w:val="21"/>
        </w:rPr>
        <w:t>（9）其他合同文件。</w:t>
      </w:r>
    </w:p>
    <w:p>
      <w:pPr>
        <w:spacing w:line="480" w:lineRule="exact"/>
        <w:ind w:firstLine="420" w:firstLineChars="200"/>
        <w:rPr>
          <w:rFonts w:hint="eastAsia" w:ascii="宋体" w:hAnsi="宋体"/>
          <w:color w:val="000000"/>
          <w:szCs w:val="21"/>
        </w:rPr>
      </w:pPr>
      <w:r>
        <w:rPr>
          <w:rFonts w:ascii="宋体" w:hAnsi="宋体"/>
          <w:color w:val="000000"/>
          <w:szCs w:val="21"/>
        </w:rPr>
        <w:t>在合同订立及履行过程中形成的与合同有关的文件均构成合同文件组成部分。</w:t>
      </w:r>
    </w:p>
    <w:p>
      <w:pPr>
        <w:spacing w:line="480" w:lineRule="exact"/>
        <w:ind w:firstLine="420" w:firstLineChars="200"/>
        <w:rPr>
          <w:rFonts w:hint="eastAsia" w:ascii="宋体" w:hAnsi="宋体"/>
          <w:color w:val="000000"/>
          <w:szCs w:val="21"/>
        </w:rPr>
      </w:pPr>
      <w:r>
        <w:rPr>
          <w:rFonts w:ascii="宋体" w:hAnsi="宋体"/>
          <w:color w:val="000000"/>
          <w:szCs w:val="21"/>
        </w:rPr>
        <w:t>上述各项合同文件包括合同当事人就该项合同文件所作出的补充和修改，属于同一类内容的文件，应以最新签署的为准。</w:t>
      </w:r>
      <w:r>
        <w:rPr>
          <w:rFonts w:hint="eastAsia" w:ascii="宋体" w:hAnsi="宋体"/>
          <w:color w:val="000000"/>
          <w:szCs w:val="21"/>
        </w:rPr>
        <w:t>专用合同条款及其附件须经合同当事人签字或盖章。</w:t>
      </w:r>
    </w:p>
    <w:p>
      <w:pPr>
        <w:spacing w:line="480" w:lineRule="exact"/>
        <w:ind w:firstLine="420" w:firstLineChars="200"/>
        <w:rPr>
          <w:rFonts w:hint="eastAsia" w:ascii="宋体" w:hAnsi="宋体"/>
          <w:color w:val="000000"/>
          <w:szCs w:val="21"/>
        </w:rPr>
      </w:pPr>
      <w:bookmarkStart w:id="54" w:name="_Toc351203487"/>
      <w:r>
        <w:rPr>
          <w:rFonts w:ascii="宋体" w:hAnsi="宋体"/>
          <w:color w:val="000000"/>
          <w:szCs w:val="21"/>
        </w:rPr>
        <w:t>七、承诺</w:t>
      </w:r>
      <w:bookmarkEnd w:id="54"/>
    </w:p>
    <w:p>
      <w:pPr>
        <w:spacing w:line="480" w:lineRule="exact"/>
        <w:ind w:firstLine="420" w:firstLineChars="200"/>
        <w:rPr>
          <w:rFonts w:hint="eastAsia" w:ascii="宋体" w:hAnsi="宋体"/>
          <w:color w:val="000000"/>
          <w:szCs w:val="21"/>
        </w:rPr>
      </w:pPr>
      <w:r>
        <w:rPr>
          <w:rFonts w:hint="eastAsia" w:ascii="宋体" w:hAnsi="宋体"/>
          <w:color w:val="000000"/>
          <w:szCs w:val="21"/>
        </w:rPr>
        <w:t>1、施工总承包向发包人承诺，按照法律规定及合同约定进行施工、竣工，确保工程质量和安全，不进行转包及违法分包，并在质量保修期内承担工程质量保修责任，并履行本合同所约定的全部义务。</w:t>
      </w:r>
    </w:p>
    <w:p>
      <w:pPr>
        <w:spacing w:line="480" w:lineRule="exact"/>
        <w:ind w:firstLine="420" w:firstLineChars="200"/>
        <w:rPr>
          <w:rFonts w:hint="eastAsia" w:ascii="宋体" w:hAnsi="宋体"/>
          <w:color w:val="000000"/>
          <w:szCs w:val="21"/>
        </w:rPr>
      </w:pPr>
      <w:r>
        <w:rPr>
          <w:rFonts w:hint="eastAsia" w:ascii="宋体" w:hAnsi="宋体"/>
          <w:color w:val="000000"/>
          <w:szCs w:val="21"/>
        </w:rPr>
        <w:t>2、发包人向施工总承包承诺，按照合同约定的期限和方式支付合同价款及其他应当支付的款项，并履行本合同所约定的全部义务。</w:t>
      </w:r>
    </w:p>
    <w:p>
      <w:pPr>
        <w:spacing w:line="480" w:lineRule="exact"/>
        <w:ind w:firstLine="420" w:firstLineChars="200"/>
        <w:rPr>
          <w:rFonts w:hint="eastAsia" w:ascii="宋体" w:hAnsi="宋体"/>
          <w:color w:val="000000"/>
          <w:szCs w:val="21"/>
        </w:rPr>
      </w:pPr>
      <w:bookmarkStart w:id="55" w:name="_Toc351203488"/>
      <w:r>
        <w:rPr>
          <w:rFonts w:ascii="宋体" w:hAnsi="宋体"/>
          <w:color w:val="000000"/>
          <w:szCs w:val="21"/>
        </w:rPr>
        <w:t>八、词语含义</w:t>
      </w:r>
      <w:bookmarkEnd w:id="55"/>
    </w:p>
    <w:p>
      <w:pPr>
        <w:spacing w:line="480" w:lineRule="exact"/>
        <w:ind w:firstLine="420" w:firstLineChars="200"/>
        <w:rPr>
          <w:rFonts w:hint="eastAsia" w:ascii="宋体" w:hAnsi="宋体"/>
          <w:color w:val="000000"/>
          <w:szCs w:val="21"/>
        </w:rPr>
      </w:pPr>
      <w:r>
        <w:rPr>
          <w:rFonts w:ascii="宋体" w:hAnsi="宋体"/>
          <w:color w:val="000000"/>
          <w:szCs w:val="21"/>
        </w:rPr>
        <w:t>本协议书中词语含义与第二部分通用合同条款中赋予的含义相同。</w:t>
      </w:r>
    </w:p>
    <w:p>
      <w:pPr>
        <w:spacing w:line="480" w:lineRule="exact"/>
        <w:ind w:firstLine="420" w:firstLineChars="200"/>
        <w:rPr>
          <w:rFonts w:hint="eastAsia" w:ascii="宋体" w:hAnsi="宋体"/>
          <w:color w:val="000000"/>
          <w:szCs w:val="21"/>
        </w:rPr>
      </w:pPr>
      <w:bookmarkStart w:id="56" w:name="_Toc351203489"/>
      <w:r>
        <w:rPr>
          <w:rFonts w:ascii="宋体" w:hAnsi="宋体"/>
          <w:color w:val="000000"/>
          <w:szCs w:val="21"/>
        </w:rPr>
        <w:t>九、签订时间</w:t>
      </w:r>
      <w:bookmarkEnd w:id="56"/>
    </w:p>
    <w:p>
      <w:pPr>
        <w:spacing w:line="480" w:lineRule="exact"/>
        <w:ind w:firstLine="420" w:firstLineChars="200"/>
        <w:rPr>
          <w:rFonts w:hint="eastAsia" w:ascii="宋体" w:hAnsi="宋体"/>
          <w:color w:val="000000"/>
          <w:szCs w:val="21"/>
        </w:rPr>
      </w:pPr>
      <w:r>
        <w:rPr>
          <w:rFonts w:ascii="宋体" w:hAnsi="宋体"/>
          <w:color w:val="000000"/>
          <w:szCs w:val="21"/>
        </w:rPr>
        <w:t>本合同于         年    月    日签订。</w:t>
      </w:r>
    </w:p>
    <w:p>
      <w:pPr>
        <w:spacing w:line="480" w:lineRule="exact"/>
        <w:ind w:firstLine="420" w:firstLineChars="200"/>
        <w:rPr>
          <w:rFonts w:hint="eastAsia" w:ascii="宋体" w:hAnsi="宋体"/>
          <w:color w:val="000000"/>
          <w:szCs w:val="21"/>
        </w:rPr>
      </w:pPr>
      <w:bookmarkStart w:id="57" w:name="_Toc351203490"/>
      <w:r>
        <w:rPr>
          <w:rFonts w:ascii="宋体" w:hAnsi="宋体"/>
          <w:color w:val="000000"/>
          <w:szCs w:val="21"/>
        </w:rPr>
        <w:t>十、签订地点</w:t>
      </w:r>
      <w:bookmarkEnd w:id="57"/>
    </w:p>
    <w:p>
      <w:pPr>
        <w:spacing w:line="480" w:lineRule="exact"/>
        <w:ind w:firstLine="420" w:firstLineChars="200"/>
        <w:rPr>
          <w:rFonts w:hint="eastAsia" w:ascii="宋体" w:hAnsi="宋体"/>
          <w:color w:val="000000"/>
          <w:szCs w:val="21"/>
        </w:rPr>
      </w:pPr>
      <w:r>
        <w:rPr>
          <w:rFonts w:ascii="宋体" w:hAnsi="宋体"/>
          <w:color w:val="000000"/>
          <w:szCs w:val="21"/>
        </w:rPr>
        <w:t>本合同在                       签订。</w:t>
      </w:r>
    </w:p>
    <w:p>
      <w:pPr>
        <w:spacing w:line="480" w:lineRule="exact"/>
        <w:ind w:firstLine="420" w:firstLineChars="200"/>
        <w:rPr>
          <w:rFonts w:hint="eastAsia" w:ascii="宋体" w:hAnsi="宋体"/>
          <w:color w:val="000000"/>
          <w:szCs w:val="21"/>
        </w:rPr>
      </w:pPr>
      <w:bookmarkStart w:id="58" w:name="_Toc351203492"/>
      <w:r>
        <w:rPr>
          <w:rFonts w:ascii="宋体" w:hAnsi="宋体"/>
          <w:color w:val="000000"/>
          <w:szCs w:val="21"/>
        </w:rPr>
        <w:t>十</w:t>
      </w:r>
      <w:r>
        <w:rPr>
          <w:rFonts w:hint="eastAsia" w:ascii="宋体" w:hAnsi="宋体"/>
          <w:color w:val="000000"/>
          <w:szCs w:val="21"/>
        </w:rPr>
        <w:t>一</w:t>
      </w:r>
      <w:r>
        <w:rPr>
          <w:rFonts w:ascii="宋体" w:hAnsi="宋体"/>
          <w:color w:val="000000"/>
          <w:szCs w:val="21"/>
        </w:rPr>
        <w:t>、合同生效</w:t>
      </w:r>
      <w:bookmarkEnd w:id="58"/>
    </w:p>
    <w:p>
      <w:pPr>
        <w:spacing w:line="480" w:lineRule="exact"/>
        <w:ind w:firstLine="420" w:firstLineChars="200"/>
        <w:rPr>
          <w:rFonts w:hint="eastAsia" w:ascii="宋体" w:hAnsi="宋体"/>
          <w:color w:val="000000"/>
          <w:szCs w:val="21"/>
        </w:rPr>
      </w:pPr>
      <w:r>
        <w:rPr>
          <w:rFonts w:hint="eastAsia" w:ascii="宋体" w:hAnsi="宋体"/>
          <w:color w:val="000000"/>
          <w:szCs w:val="21"/>
        </w:rPr>
        <w:t>本合同经双方法定代表人或其委托代理人签署并加盖公章或合同专用章后生效</w:t>
      </w:r>
      <w:r>
        <w:rPr>
          <w:rFonts w:ascii="宋体" w:hAnsi="宋体"/>
          <w:color w:val="000000"/>
          <w:szCs w:val="21"/>
        </w:rPr>
        <w:t>。</w:t>
      </w:r>
    </w:p>
    <w:p>
      <w:pPr>
        <w:spacing w:line="480" w:lineRule="exact"/>
        <w:ind w:firstLine="420" w:firstLineChars="200"/>
        <w:rPr>
          <w:rFonts w:hint="eastAsia" w:ascii="宋体" w:hAnsi="宋体"/>
          <w:color w:val="000000"/>
          <w:szCs w:val="21"/>
        </w:rPr>
      </w:pPr>
      <w:bookmarkStart w:id="59" w:name="_Toc351203493"/>
      <w:r>
        <w:rPr>
          <w:rFonts w:ascii="宋体" w:hAnsi="宋体"/>
          <w:color w:val="000000"/>
          <w:szCs w:val="21"/>
        </w:rPr>
        <w:t>十三、合同份数</w:t>
      </w:r>
      <w:bookmarkEnd w:id="59"/>
    </w:p>
    <w:p>
      <w:pPr>
        <w:spacing w:line="480" w:lineRule="exact"/>
        <w:ind w:firstLine="420" w:firstLineChars="200"/>
        <w:rPr>
          <w:rFonts w:hint="eastAsia" w:ascii="宋体" w:hAnsi="宋体"/>
          <w:color w:val="000000"/>
          <w:szCs w:val="21"/>
        </w:rPr>
      </w:pPr>
      <w:r>
        <w:rPr>
          <w:rFonts w:ascii="宋体" w:hAnsi="宋体"/>
          <w:color w:val="000000"/>
          <w:szCs w:val="21"/>
        </w:rPr>
        <w:t xml:space="preserve">本合同一式  </w:t>
      </w:r>
      <w:r>
        <w:rPr>
          <w:rFonts w:hint="eastAsia" w:ascii="宋体" w:hAnsi="宋体"/>
          <w:color w:val="000000"/>
          <w:szCs w:val="21"/>
        </w:rPr>
        <w:t xml:space="preserve"> </w:t>
      </w:r>
      <w:r>
        <w:rPr>
          <w:rFonts w:ascii="宋体" w:hAnsi="宋体"/>
          <w:color w:val="000000"/>
          <w:szCs w:val="21"/>
        </w:rPr>
        <w:t xml:space="preserve"> 份，均具有同等法律效力，发包人执  </w:t>
      </w:r>
      <w:r>
        <w:rPr>
          <w:rFonts w:hint="eastAsia" w:ascii="宋体" w:hAnsi="宋体"/>
          <w:color w:val="000000"/>
          <w:szCs w:val="21"/>
        </w:rPr>
        <w:t xml:space="preserve"> </w:t>
      </w:r>
      <w:r>
        <w:rPr>
          <w:rFonts w:ascii="宋体" w:hAnsi="宋体"/>
          <w:color w:val="000000"/>
          <w:szCs w:val="21"/>
        </w:rPr>
        <w:t xml:space="preserve"> 份，承包人执  </w:t>
      </w:r>
      <w:r>
        <w:rPr>
          <w:rFonts w:hint="eastAsia" w:ascii="宋体" w:hAnsi="宋体"/>
          <w:color w:val="000000"/>
          <w:szCs w:val="21"/>
        </w:rPr>
        <w:t xml:space="preserve"> </w:t>
      </w:r>
      <w:r>
        <w:rPr>
          <w:rFonts w:ascii="宋体" w:hAnsi="宋体"/>
          <w:color w:val="000000"/>
          <w:szCs w:val="21"/>
        </w:rPr>
        <w:t xml:space="preserve"> 份。</w:t>
      </w:r>
    </w:p>
    <w:p>
      <w:pPr>
        <w:spacing w:line="480" w:lineRule="exact"/>
        <w:ind w:firstLine="420" w:firstLineChars="200"/>
        <w:rPr>
          <w:rFonts w:hint="eastAsia" w:ascii="宋体" w:hAnsi="宋体"/>
          <w:color w:val="000000"/>
          <w:szCs w:val="21"/>
        </w:rPr>
      </w:pPr>
    </w:p>
    <w:p>
      <w:pPr>
        <w:spacing w:line="480" w:lineRule="exact"/>
        <w:ind w:firstLine="420" w:firstLineChars="200"/>
        <w:rPr>
          <w:rFonts w:hint="eastAsia" w:ascii="宋体" w:hAnsi="宋体"/>
          <w:color w:val="000000"/>
          <w:szCs w:val="21"/>
        </w:rPr>
      </w:pPr>
    </w:p>
    <w:p>
      <w:pPr>
        <w:spacing w:line="480" w:lineRule="exact"/>
        <w:ind w:firstLine="420" w:firstLineChars="200"/>
        <w:rPr>
          <w:rFonts w:hint="eastAsia" w:ascii="宋体" w:hAnsi="宋体"/>
          <w:color w:val="000000"/>
          <w:szCs w:val="21"/>
        </w:rPr>
      </w:pPr>
      <w:r>
        <w:rPr>
          <w:rFonts w:ascii="宋体" w:hAnsi="宋体"/>
          <w:color w:val="000000"/>
          <w:szCs w:val="21"/>
        </w:rPr>
        <w:t>甲方（公章）</w:t>
      </w: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乙方（公章）</w:t>
      </w:r>
      <w:r>
        <w:rPr>
          <w:rFonts w:hint="eastAsia" w:ascii="宋体" w:hAnsi="宋体"/>
          <w:color w:val="000000"/>
          <w:szCs w:val="21"/>
        </w:rPr>
        <w:t>：</w:t>
      </w:r>
    </w:p>
    <w:p>
      <w:pPr>
        <w:spacing w:line="480" w:lineRule="exact"/>
        <w:ind w:firstLine="420" w:firstLineChars="200"/>
        <w:rPr>
          <w:rFonts w:hint="eastAsia" w:ascii="宋体" w:hAnsi="宋体"/>
          <w:color w:val="000000"/>
          <w:szCs w:val="21"/>
        </w:rPr>
      </w:pPr>
      <w:r>
        <w:rPr>
          <w:rFonts w:ascii="宋体" w:hAnsi="宋体"/>
          <w:color w:val="000000"/>
          <w:szCs w:val="21"/>
        </w:rPr>
        <w:t>法定代表人（签章）</w:t>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hint="eastAsia" w:ascii="宋体" w:hAnsi="宋体"/>
          <w:color w:val="000000"/>
          <w:szCs w:val="21"/>
        </w:rPr>
        <w:t xml:space="preserve">  </w:t>
      </w:r>
      <w:r>
        <w:rPr>
          <w:rFonts w:ascii="宋体" w:hAnsi="宋体"/>
          <w:color w:val="000000"/>
          <w:szCs w:val="21"/>
        </w:rPr>
        <w:t>法定代表人（签章）</w:t>
      </w:r>
    </w:p>
    <w:p>
      <w:pPr>
        <w:spacing w:line="480" w:lineRule="exact"/>
        <w:ind w:firstLine="420" w:firstLineChars="200"/>
        <w:rPr>
          <w:rFonts w:hint="eastAsia" w:ascii="宋体" w:hAnsi="宋体"/>
          <w:color w:val="000000"/>
          <w:szCs w:val="21"/>
        </w:rPr>
      </w:pPr>
      <w:r>
        <w:rPr>
          <w:rFonts w:ascii="宋体" w:hAnsi="宋体"/>
          <w:color w:val="000000"/>
          <w:szCs w:val="21"/>
        </w:rPr>
        <w:t>或授权代表：</w:t>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hint="eastAsia" w:ascii="宋体" w:hAnsi="宋体"/>
          <w:color w:val="000000"/>
          <w:szCs w:val="21"/>
        </w:rPr>
        <w:t xml:space="preserve">     </w:t>
      </w:r>
      <w:r>
        <w:rPr>
          <w:rFonts w:ascii="宋体" w:hAnsi="宋体"/>
          <w:color w:val="000000"/>
          <w:szCs w:val="21"/>
        </w:rPr>
        <w:t>或授权代表：</w:t>
      </w:r>
    </w:p>
    <w:p>
      <w:pPr>
        <w:spacing w:line="480" w:lineRule="exact"/>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 xml:space="preserve">年   月   日     </w:t>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hint="eastAsia" w:ascii="宋体" w:hAnsi="宋体"/>
          <w:color w:val="000000"/>
          <w:szCs w:val="21"/>
        </w:rPr>
        <w:t xml:space="preserve">  </w:t>
      </w:r>
      <w:r>
        <w:rPr>
          <w:rFonts w:ascii="宋体" w:hAnsi="宋体"/>
          <w:color w:val="000000"/>
          <w:szCs w:val="21"/>
        </w:rPr>
        <w:tab/>
      </w:r>
      <w:r>
        <w:rPr>
          <w:rFonts w:hint="eastAsia" w:ascii="宋体" w:hAnsi="宋体"/>
          <w:color w:val="000000"/>
          <w:szCs w:val="21"/>
        </w:rPr>
        <w:t xml:space="preserve">  </w:t>
      </w:r>
      <w:r>
        <w:rPr>
          <w:rFonts w:ascii="宋体" w:hAnsi="宋体"/>
          <w:color w:val="000000"/>
          <w:szCs w:val="21"/>
        </w:rPr>
        <w:t>年   月   日</w:t>
      </w:r>
    </w:p>
    <w:p>
      <w:pPr>
        <w:spacing w:line="480" w:lineRule="exact"/>
        <w:ind w:firstLine="420" w:firstLineChars="200"/>
        <w:rPr>
          <w:rFonts w:hint="eastAsia" w:ascii="宋体" w:hAnsi="宋体"/>
          <w:color w:val="000000"/>
          <w:szCs w:val="21"/>
        </w:rPr>
      </w:pPr>
    </w:p>
    <w:p>
      <w:pPr>
        <w:pStyle w:val="3"/>
      </w:pPr>
    </w:p>
    <w:p>
      <w:pPr>
        <w:pStyle w:val="3"/>
        <w:rPr>
          <w:rFonts w:hint="eastAsia" w:ascii="宋体" w:hAnsi="宋体"/>
          <w:bCs/>
          <w:color w:val="000000"/>
          <w:szCs w:val="21"/>
        </w:rPr>
      </w:pPr>
    </w:p>
    <w:p>
      <w:pPr>
        <w:snapToGrid w:val="0"/>
        <w:spacing w:line="360" w:lineRule="auto"/>
        <w:rPr>
          <w:rFonts w:hint="eastAsia" w:ascii="宋体" w:hAnsi="宋体"/>
          <w:szCs w:val="21"/>
        </w:rPr>
      </w:pPr>
    </w:p>
    <w:p>
      <w:pPr>
        <w:spacing w:line="360" w:lineRule="auto"/>
        <w:ind w:firstLine="560"/>
        <w:jc w:val="left"/>
        <w:rPr>
          <w:rFonts w:hint="eastAsia" w:ascii="宋体" w:hAnsi="宋体"/>
          <w:szCs w:val="21"/>
        </w:rPr>
      </w:pPr>
    </w:p>
    <w:p>
      <w:pPr>
        <w:widowControl/>
        <w:jc w:val="left"/>
        <w:rPr>
          <w:rFonts w:hint="eastAsia" w:ascii="宋体" w:hAnsi="宋体"/>
          <w:szCs w:val="21"/>
        </w:rPr>
      </w:pPr>
      <w:r>
        <w:rPr>
          <w:rFonts w:ascii="宋体" w:hAnsi="宋体"/>
          <w:szCs w:val="21"/>
        </w:rPr>
        <w:br w:type="page"/>
      </w:r>
    </w:p>
    <w:p>
      <w:pPr>
        <w:pStyle w:val="7"/>
        <w:spacing w:before="120" w:beforeLines="50" w:after="120" w:afterLines="50"/>
        <w:ind w:left="562"/>
        <w:rPr>
          <w:rFonts w:hint="eastAsia"/>
          <w:sz w:val="28"/>
          <w:szCs w:val="28"/>
        </w:rPr>
      </w:pPr>
      <w:r>
        <w:rPr>
          <w:rFonts w:hint="eastAsia"/>
          <w:sz w:val="28"/>
          <w:szCs w:val="28"/>
        </w:rPr>
        <w:t>第二册  通用条款（公开征集）</w:t>
      </w:r>
    </w:p>
    <w:p>
      <w:pPr>
        <w:pStyle w:val="79"/>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60" w:name="_Hlk72399513"/>
      <w:bookmarkStart w:id="61" w:name="_Hlk72439706"/>
      <w:r>
        <w:rPr>
          <w:rFonts w:hint="eastAsia" w:asciiTheme="majorHAnsi" w:hAnsiTheme="majorHAnsi" w:eastAsiaTheme="majorEastAsia" w:cstheme="majorBidi"/>
          <w:b/>
          <w:bCs/>
          <w:sz w:val="28"/>
          <w:szCs w:val="28"/>
        </w:rPr>
        <w:t>总则</w:t>
      </w:r>
    </w:p>
    <w:bookmarkEnd w:id="60"/>
    <w:p>
      <w:pPr>
        <w:ind w:firstLine="420" w:firstLineChars="200"/>
        <w:rPr>
          <w:rFonts w:hint="eastAsia" w:ascii="黑体" w:hAnsi="宋体" w:eastAsia="黑体"/>
          <w:szCs w:val="21"/>
        </w:rPr>
      </w:pPr>
      <w:r>
        <w:rPr>
          <w:rFonts w:hint="eastAsia" w:ascii="黑体" w:hAnsi="宋体" w:eastAsia="黑体"/>
          <w:szCs w:val="21"/>
        </w:rPr>
        <w:t>1. 通用条款说明</w:t>
      </w:r>
    </w:p>
    <w:p>
      <w:pPr>
        <w:ind w:firstLine="420" w:firstLineChars="200"/>
        <w:rPr>
          <w:rFonts w:hint="eastAsia" w:ascii="宋体" w:hAnsi="宋体"/>
          <w:szCs w:val="21"/>
        </w:rPr>
      </w:pPr>
      <w:r>
        <w:rPr>
          <w:rFonts w:hint="eastAsia" w:ascii="宋体" w:hAnsi="宋体"/>
          <w:szCs w:val="21"/>
        </w:rPr>
        <w:t>1.1政府集中采购机构发出采购文件通用条款版本，列出深圳市自行采购项目进行采购所适用的通用条款内容。</w:t>
      </w:r>
      <w:bookmarkStart w:id="62" w:name="_Hlk72399729"/>
      <w:r>
        <w:rPr>
          <w:rFonts w:hint="eastAsia" w:ascii="宋体" w:hAnsi="宋体"/>
          <w:szCs w:val="21"/>
        </w:rPr>
        <w:t>如有需要，政府集中采购机构可以对通用条款的内容进行补充。</w:t>
      </w:r>
      <w:bookmarkEnd w:id="62"/>
    </w:p>
    <w:p>
      <w:pPr>
        <w:ind w:firstLine="420" w:firstLineChars="200"/>
        <w:rPr>
          <w:rFonts w:hint="eastAsia" w:ascii="宋体" w:hAnsi="宋体"/>
          <w:szCs w:val="21"/>
        </w:rPr>
      </w:pPr>
      <w:r>
        <w:rPr>
          <w:rFonts w:hint="eastAsia" w:ascii="宋体" w:hAnsi="宋体"/>
          <w:szCs w:val="21"/>
        </w:rPr>
        <w:t>1.2采购文件分为第一册“专用条款”和第二册“通用条款”。</w:t>
      </w:r>
    </w:p>
    <w:p>
      <w:pPr>
        <w:ind w:firstLine="420" w:firstLineChars="200"/>
        <w:rPr>
          <w:rFonts w:hint="eastAsia" w:ascii="宋体" w:hAnsi="宋体"/>
          <w:szCs w:val="21"/>
        </w:rPr>
      </w:pPr>
      <w:r>
        <w:rPr>
          <w:rFonts w:hint="eastAsia" w:ascii="宋体" w:hAnsi="宋体"/>
          <w:szCs w:val="21"/>
        </w:rPr>
        <w:t>1.3“专用条款”是对本次采购项目的具体要求，包含采购公告、对通用条款的补充内容及其他关键信息、用户需求书、投标文件格式及附件、合同条款及格式等内容。</w:t>
      </w:r>
    </w:p>
    <w:p>
      <w:pPr>
        <w:ind w:firstLine="420" w:firstLineChars="200"/>
        <w:rPr>
          <w:rFonts w:hint="eastAsia" w:ascii="宋体" w:hAnsi="宋体"/>
          <w:szCs w:val="21"/>
        </w:rPr>
      </w:pPr>
      <w:r>
        <w:rPr>
          <w:rFonts w:hint="eastAsia" w:ascii="宋体" w:hAnsi="宋体"/>
          <w:szCs w:val="21"/>
        </w:rPr>
        <w:t>1.4“通用条款”是适用于自行采购公开征集项目的基础性条款，具有普遍性和通用性。</w:t>
      </w:r>
    </w:p>
    <w:p>
      <w:pPr>
        <w:ind w:firstLine="420" w:firstLineChars="200"/>
        <w:rPr>
          <w:rFonts w:hint="eastAsia" w:ascii="宋体" w:hAnsi="宋体"/>
          <w:szCs w:val="21"/>
        </w:rPr>
      </w:pPr>
      <w:r>
        <w:rPr>
          <w:rFonts w:hint="eastAsia" w:ascii="宋体" w:hAnsi="宋体"/>
          <w:szCs w:val="21"/>
        </w:rPr>
        <w:t>1.5 “专用条款”和“通用条款”表述不一致或有冲突时，以“专用条款”为准。</w:t>
      </w:r>
    </w:p>
    <w:p>
      <w:pPr>
        <w:ind w:firstLine="420" w:firstLineChars="200"/>
        <w:rPr>
          <w:rFonts w:hint="eastAsia"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采购说明</w:t>
      </w:r>
    </w:p>
    <w:p>
      <w:pPr>
        <w:ind w:firstLine="422" w:firstLineChars="200"/>
        <w:rPr>
          <w:rFonts w:hint="eastAsia"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按照采购人内控制度要求，通过公开征集方式确定中标供应商。公开征集，是指在采购代理机构平台公开发布征集文件，市场潜在供应商参加投标，由社会招标代理机构组织采购单位代表、评审专家成立评审组，按照征集文件规定的评审标准进行综合评审并确定中标供应商的采购方式。</w:t>
      </w:r>
    </w:p>
    <w:p>
      <w:pPr>
        <w:ind w:firstLine="420" w:firstLineChars="200"/>
        <w:rPr>
          <w:rFonts w:hint="eastAsia" w:ascii="黑体" w:hAnsi="宋体" w:eastAsia="黑体"/>
          <w:szCs w:val="21"/>
        </w:rPr>
      </w:pPr>
      <w:r>
        <w:rPr>
          <w:rFonts w:hint="eastAsia" w:ascii="黑体" w:hAnsi="宋体" w:eastAsia="黑体"/>
          <w:szCs w:val="21"/>
        </w:rPr>
        <w:t>3．定义</w:t>
      </w:r>
    </w:p>
    <w:p>
      <w:pPr>
        <w:ind w:firstLine="420" w:firstLineChars="200"/>
        <w:rPr>
          <w:rFonts w:hint="eastAsia" w:ascii="宋体" w:hAnsi="宋体"/>
          <w:szCs w:val="21"/>
        </w:rPr>
      </w:pPr>
      <w:r>
        <w:rPr>
          <w:rFonts w:hint="eastAsia" w:ascii="宋体" w:hAnsi="宋体"/>
          <w:szCs w:val="21"/>
        </w:rPr>
        <w:t>采购</w:t>
      </w:r>
      <w:r>
        <w:rPr>
          <w:rFonts w:ascii="宋体" w:hAnsi="宋体"/>
          <w:szCs w:val="21"/>
        </w:rPr>
        <w:t>文件中下列术语应解释为：</w:t>
      </w:r>
    </w:p>
    <w:p>
      <w:pPr>
        <w:ind w:firstLine="420" w:firstLineChars="200"/>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3.3“投标人”，即供应商，指参加投标竞争并愿意按照采购文件要求向采购人提供货物、工程或者服务的依法成立的法人、其他组织或者自然人；</w:t>
      </w:r>
    </w:p>
    <w:p>
      <w:pPr>
        <w:ind w:firstLine="420" w:firstLineChars="200"/>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3.4“评审委员会”是依据《深圳经济特区政府采购条例》、《深圳经济特区政府采购条例实施细则》等有关规定组建的专门负责本次采购其评审工作的临时性机构；</w:t>
      </w:r>
    </w:p>
    <w:p>
      <w:pPr>
        <w:ind w:firstLine="420" w:firstLineChars="200"/>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20" w:firstLineChars="200"/>
        <w:rPr>
          <w:rFonts w:hint="eastAsia" w:ascii="宋体" w:hAnsi="宋体"/>
          <w:szCs w:val="21"/>
        </w:rPr>
      </w:pPr>
      <w:r>
        <w:rPr>
          <w:rFonts w:hint="eastAsia" w:ascii="宋体" w:hAnsi="宋体"/>
          <w:szCs w:val="21"/>
        </w:rPr>
        <w:t>3.6“合同”指由本次采购所产生的合同或合约文件；</w:t>
      </w:r>
    </w:p>
    <w:p>
      <w:pPr>
        <w:ind w:firstLine="420" w:firstLineChars="200"/>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ind w:firstLine="420" w:firstLineChars="200"/>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深圳政府采购自行采购系统</w:t>
      </w:r>
      <w:r>
        <w:rPr>
          <w:rFonts w:hint="eastAsia" w:ascii="宋体" w:hAnsi="宋体"/>
          <w:szCs w:val="21"/>
        </w:rPr>
        <w:t>网站上传电子投标文件；</w:t>
      </w:r>
    </w:p>
    <w:p>
      <w:pPr>
        <w:ind w:firstLine="420" w:firstLineChars="200"/>
        <w:rPr>
          <w:rFonts w:hint="eastAsia" w:ascii="宋体" w:hAnsi="宋体"/>
          <w:szCs w:val="21"/>
        </w:rPr>
      </w:pPr>
      <w:r>
        <w:rPr>
          <w:rFonts w:hint="eastAsia" w:ascii="宋体" w:hAnsi="宋体"/>
          <w:szCs w:val="21"/>
        </w:rPr>
        <w:t>3.9采购文件中的标题或题名仅起引导作用，而不应视为对采购文件内容的理解和解释。</w:t>
      </w:r>
    </w:p>
    <w:p>
      <w:pPr>
        <w:ind w:firstLine="420" w:firstLineChars="200"/>
        <w:rPr>
          <w:rFonts w:hint="eastAsia" w:ascii="黑体" w:hAnsi="宋体" w:eastAsia="黑体"/>
          <w:szCs w:val="21"/>
        </w:rPr>
      </w:pPr>
      <w:r>
        <w:rPr>
          <w:rFonts w:hint="eastAsia" w:ascii="黑体" w:hAnsi="宋体" w:eastAsia="黑体"/>
          <w:szCs w:val="21"/>
        </w:rPr>
        <w:t xml:space="preserve">4. </w:t>
      </w:r>
      <w:bookmarkStart w:id="63" w:name="_Hlk72398643"/>
      <w:r>
        <w:rPr>
          <w:rFonts w:hint="eastAsia" w:ascii="黑体" w:hAnsi="宋体" w:eastAsia="黑体"/>
          <w:szCs w:val="21"/>
        </w:rPr>
        <w:t>自行采购供应商责任</w:t>
      </w:r>
    </w:p>
    <w:p>
      <w:pPr>
        <w:ind w:firstLine="420" w:firstLineChars="200"/>
        <w:rPr>
          <w:rFonts w:hint="eastAsia" w:ascii="宋体" w:hAnsi="宋体"/>
          <w:szCs w:val="21"/>
        </w:rPr>
      </w:pPr>
      <w:r>
        <w:rPr>
          <w:rFonts w:hint="eastAsia" w:ascii="宋体" w:hAnsi="宋体"/>
          <w:szCs w:val="21"/>
        </w:rPr>
        <w:t>4.1欢迎诚信、有实力和有社会责任心的供应商参与自行采购事业。</w:t>
      </w:r>
    </w:p>
    <w:p>
      <w:pPr>
        <w:ind w:firstLine="420" w:firstLineChars="200"/>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hint="eastAsia" w:ascii="黑体" w:hAnsi="宋体" w:eastAsia="黑体"/>
          <w:szCs w:val="21"/>
        </w:rPr>
      </w:pPr>
      <w:r>
        <w:rPr>
          <w:rFonts w:hint="eastAsia" w:ascii="黑体" w:hAnsi="宋体" w:eastAsia="黑体"/>
          <w:szCs w:val="21"/>
        </w:rPr>
        <w:t>5．投标人参加自行采购的条件</w:t>
      </w:r>
    </w:p>
    <w:p>
      <w:pPr>
        <w:ind w:firstLine="420" w:firstLineChars="200"/>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深圳政府采购自行采购系统（具体在深圳交易集团有限公司政府采购业务分公司进行办理）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pPr>
        <w:ind w:firstLine="420" w:firstLineChars="200"/>
        <w:rPr>
          <w:rFonts w:hint="eastAsia" w:ascii="宋体" w:hAnsi="宋体"/>
          <w:szCs w:val="21"/>
        </w:rPr>
      </w:pPr>
      <w:r>
        <w:rPr>
          <w:rFonts w:hint="eastAsia" w:ascii="宋体" w:hAnsi="宋体"/>
          <w:szCs w:val="21"/>
        </w:rPr>
        <w:t>5.2投标人资格要求</w:t>
      </w:r>
    </w:p>
    <w:p>
      <w:pPr>
        <w:ind w:firstLine="420" w:firstLineChars="200"/>
        <w:rPr>
          <w:rFonts w:hint="eastAsia" w:ascii="宋体" w:hAnsi="宋体"/>
          <w:szCs w:val="21"/>
        </w:rPr>
      </w:pPr>
      <w:r>
        <w:rPr>
          <w:rFonts w:hint="eastAsia" w:ascii="宋体" w:hAnsi="宋体"/>
          <w:szCs w:val="21"/>
        </w:rPr>
        <w:t>参加本项目的投标人应具备的资格条件详见本项目采购公告中 “投标人资格要求”的内容。</w:t>
      </w:r>
    </w:p>
    <w:p>
      <w:pPr>
        <w:ind w:firstLine="420" w:firstLineChars="200"/>
        <w:rPr>
          <w:rFonts w:hint="eastAsia" w:ascii="宋体" w:hAnsi="宋体"/>
          <w:szCs w:val="21"/>
        </w:rPr>
      </w:pPr>
      <w:r>
        <w:rPr>
          <w:rFonts w:hint="eastAsia" w:ascii="宋体" w:hAnsi="宋体"/>
          <w:szCs w:val="21"/>
        </w:rPr>
        <w:t>5.3联合体投标</w:t>
      </w:r>
    </w:p>
    <w:p>
      <w:pPr>
        <w:ind w:firstLine="420" w:firstLineChars="200"/>
        <w:rPr>
          <w:rFonts w:hint="eastAsia" w:ascii="宋体" w:hAnsi="宋体"/>
          <w:szCs w:val="21"/>
        </w:rPr>
      </w:pPr>
      <w:r>
        <w:rPr>
          <w:rFonts w:hint="eastAsia" w:ascii="宋体" w:hAnsi="宋体"/>
          <w:szCs w:val="21"/>
        </w:rPr>
        <w:t>5.3.1　以下有关联合体投标的条款仅适用于允许投标人组成联合体投标的项目。</w:t>
      </w:r>
    </w:p>
    <w:p>
      <w:pPr>
        <w:ind w:firstLine="420" w:firstLineChars="200"/>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20" w:firstLineChars="200"/>
        <w:rPr>
          <w:rFonts w:hint="eastAsia"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1、具有独立承担民事责任的能力；</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6、法律、行政法规规定的其他条件。</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深圳政府采购自行采购系统</w:t>
      </w:r>
      <w:r>
        <w:rPr>
          <w:rFonts w:hint="eastAsia" w:ascii="宋体" w:hAnsi="宋体"/>
          <w:szCs w:val="21"/>
        </w:rPr>
        <w:t>供应商；</w:t>
      </w:r>
    </w:p>
    <w:p>
      <w:pPr>
        <w:ind w:firstLine="420" w:firstLineChars="200"/>
        <w:rPr>
          <w:rFonts w:hint="eastAsia"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（4）是否允许联合体参加投标，应当由采购人和采购代理机构根据项目的实际情况和潜在供应商的数量自主决定，如果决定接受联合体投标则应当在采购公告中明示；</w:t>
      </w:r>
    </w:p>
    <w:p>
      <w:pPr>
        <w:ind w:firstLine="420" w:firstLineChars="200"/>
        <w:rPr>
          <w:rFonts w:hint="eastAsia" w:ascii="宋体" w:hAnsi="宋体"/>
          <w:szCs w:val="21"/>
        </w:rPr>
      </w:pPr>
      <w:r>
        <w:rPr>
          <w:rFonts w:hint="eastAsia" w:ascii="宋体" w:hAnsi="宋体"/>
          <w:szCs w:val="21"/>
        </w:rPr>
        <w:t>（5）投标人的投标文件及中标后签署的合同协议对联合体各方均具法律约束力；</w:t>
      </w:r>
    </w:p>
    <w:p>
      <w:pPr>
        <w:ind w:firstLine="420" w:firstLineChars="200"/>
        <w:rPr>
          <w:rFonts w:hint="eastAsia"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pPr>
        <w:ind w:firstLine="420" w:firstLineChars="200"/>
        <w:rPr>
          <w:rFonts w:hint="eastAsia" w:ascii="宋体" w:hAnsi="宋体"/>
          <w:szCs w:val="21"/>
        </w:rPr>
      </w:pPr>
      <w:r>
        <w:rPr>
          <w:rFonts w:hint="eastAsia" w:ascii="宋体" w:hAnsi="宋体"/>
          <w:szCs w:val="21"/>
        </w:rPr>
        <w:t>（7）联合体中标后，联合体各方应当共同与采购人签订合同，就中标项目向采购人承担连带责任；</w:t>
      </w:r>
    </w:p>
    <w:p>
      <w:pPr>
        <w:ind w:firstLine="420" w:firstLineChars="200"/>
        <w:rPr>
          <w:rFonts w:hint="eastAsia"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ind w:firstLine="420" w:firstLineChars="200"/>
        <w:rPr>
          <w:rFonts w:hint="eastAsia" w:ascii="宋体" w:hAnsi="宋体"/>
          <w:szCs w:val="21"/>
        </w:rPr>
      </w:pPr>
      <w:r>
        <w:rPr>
          <w:rFonts w:hint="eastAsia" w:ascii="宋体" w:hAnsi="宋体"/>
          <w:szCs w:val="21"/>
        </w:rPr>
        <w:t>（9）本通用条款中“投标人”一词亦指联合体各方，专用条款另有规定或说明的除外。</w:t>
      </w:r>
    </w:p>
    <w:p>
      <w:pPr>
        <w:ind w:firstLine="420" w:firstLineChars="200"/>
        <w:rPr>
          <w:rFonts w:hint="eastAsia" w:ascii="黑体" w:hAnsi="宋体" w:eastAsia="黑体"/>
          <w:szCs w:val="21"/>
        </w:rPr>
      </w:pPr>
      <w:r>
        <w:rPr>
          <w:rFonts w:hint="eastAsia" w:ascii="黑体" w:hAnsi="宋体" w:eastAsia="黑体"/>
          <w:szCs w:val="21"/>
        </w:rPr>
        <w:t>6．政策导向</w:t>
      </w:r>
    </w:p>
    <w:p>
      <w:pPr>
        <w:ind w:firstLine="420" w:firstLineChars="200"/>
        <w:rPr>
          <w:rFonts w:hint="eastAsia"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pPr>
        <w:ind w:firstLine="420" w:firstLineChars="200"/>
        <w:rPr>
          <w:rFonts w:hint="eastAsia" w:ascii="黑体" w:hAnsi="宋体" w:eastAsia="黑体"/>
          <w:szCs w:val="21"/>
        </w:rPr>
      </w:pPr>
      <w:r>
        <w:rPr>
          <w:rFonts w:hint="eastAsia" w:ascii="黑体" w:hAnsi="宋体" w:eastAsia="黑体"/>
          <w:szCs w:val="21"/>
        </w:rPr>
        <w:t>7. 本项目若涉及采购货物，则合格的货物及相应服务应满足以下要求：</w:t>
      </w:r>
    </w:p>
    <w:p>
      <w:pPr>
        <w:ind w:firstLine="420" w:firstLineChars="200"/>
        <w:rPr>
          <w:rFonts w:hint="eastAsia"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pPr>
        <w:ind w:firstLine="420" w:firstLineChars="200"/>
        <w:rPr>
          <w:rFonts w:hint="eastAsia" w:ascii="宋体" w:hAnsi="宋体"/>
          <w:szCs w:val="21"/>
        </w:rPr>
      </w:pPr>
      <w:r>
        <w:rPr>
          <w:rFonts w:hint="eastAsia" w:ascii="宋体" w:hAnsi="宋体"/>
          <w:szCs w:val="21"/>
        </w:rPr>
        <w:t>7.2  国产的货物及其有关服务必须符合中华人民共和国的设计、制造生产标准及行业标准。采购公告有其他要求的，亦应符合其要求。</w:t>
      </w:r>
    </w:p>
    <w:p>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采购公告有其他要求的，亦应符合其要求。</w:t>
      </w:r>
    </w:p>
    <w:p>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64"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4"/>
    </w:p>
    <w:p>
      <w:pPr>
        <w:ind w:firstLine="420" w:firstLineChars="200"/>
        <w:rPr>
          <w:rFonts w:hint="eastAsia"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hint="eastAsia"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pPr>
        <w:ind w:firstLine="420" w:firstLineChars="200"/>
        <w:rPr>
          <w:rFonts w:hint="eastAsia" w:ascii="宋体" w:hAnsi="宋体"/>
          <w:szCs w:val="21"/>
        </w:rPr>
      </w:pPr>
      <w:r>
        <w:rPr>
          <w:rFonts w:hint="eastAsia" w:ascii="宋体" w:hAnsi="宋体"/>
          <w:szCs w:val="21"/>
        </w:rPr>
        <w:t>7.7  投标人必须承担的设备运输、安装调试、验收检测和提供设备操作说明书、图纸等其他相关及类似的义务。</w:t>
      </w:r>
    </w:p>
    <w:p>
      <w:pPr>
        <w:ind w:firstLine="420" w:firstLineChars="200"/>
        <w:rPr>
          <w:rFonts w:hint="eastAsia" w:ascii="黑体" w:hAnsi="宋体" w:eastAsia="黑体"/>
          <w:szCs w:val="21"/>
        </w:rPr>
      </w:pPr>
      <w:r>
        <w:rPr>
          <w:rFonts w:hint="eastAsia" w:ascii="黑体" w:hAnsi="宋体" w:eastAsia="黑体"/>
          <w:szCs w:val="21"/>
        </w:rPr>
        <w:t>8．投标费用</w:t>
      </w:r>
    </w:p>
    <w:p>
      <w:pPr>
        <w:ind w:firstLine="420" w:firstLineChars="200"/>
        <w:rPr>
          <w:rFonts w:hint="eastAsia" w:ascii="宋体" w:hAnsi="宋体"/>
          <w:szCs w:val="21"/>
        </w:rPr>
      </w:pPr>
      <w:r>
        <w:rPr>
          <w:rFonts w:hint="eastAsia" w:ascii="宋体" w:hAnsi="宋体"/>
          <w:szCs w:val="21"/>
        </w:rPr>
        <w:t>不论投标结果如何，投标人应承担其编制投标文件与递交投标文件所涉及的一切费用。</w:t>
      </w:r>
    </w:p>
    <w:p>
      <w:pPr>
        <w:ind w:firstLine="420" w:firstLineChars="200"/>
        <w:rPr>
          <w:rFonts w:hint="eastAsia" w:ascii="黑体" w:hAnsi="宋体" w:eastAsia="黑体"/>
          <w:szCs w:val="21"/>
        </w:rPr>
      </w:pPr>
      <w:r>
        <w:rPr>
          <w:rFonts w:hint="eastAsia" w:ascii="黑体" w:hAnsi="宋体" w:eastAsia="黑体"/>
          <w:szCs w:val="21"/>
        </w:rPr>
        <w:t>9．踏勘现场</w:t>
      </w:r>
    </w:p>
    <w:p>
      <w:pPr>
        <w:ind w:firstLine="420" w:firstLineChars="200"/>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采购文件所约定的时间、地点踏勘现场。</w:t>
      </w:r>
    </w:p>
    <w:p>
      <w:pPr>
        <w:ind w:firstLine="420" w:firstLineChars="200"/>
        <w:rPr>
          <w:rFonts w:hint="eastAsia" w:ascii="宋体" w:hAnsi="宋体"/>
          <w:szCs w:val="21"/>
        </w:rPr>
      </w:pPr>
      <w:r>
        <w:rPr>
          <w:rFonts w:hint="eastAsia" w:ascii="宋体" w:hAnsi="宋体"/>
          <w:szCs w:val="21"/>
        </w:rPr>
        <w:t>9.2投标人及其人员经过采购人的允许，可以进入采购人的项目现场踏勘。若采购文件要求投标人于统一时间地点踏勘现场的，投标人应当按时前往。</w:t>
      </w:r>
    </w:p>
    <w:p>
      <w:pPr>
        <w:ind w:firstLine="420" w:firstLineChars="200"/>
        <w:rPr>
          <w:rFonts w:hint="eastAsia" w:ascii="宋体" w:hAnsi="宋体"/>
          <w:szCs w:val="21"/>
        </w:rPr>
      </w:pPr>
      <w:r>
        <w:rPr>
          <w:rFonts w:hint="eastAsia" w:ascii="宋体" w:hAnsi="宋体"/>
          <w:szCs w:val="21"/>
        </w:rPr>
        <w:t>9.3采购人应当通过政府集中采购机构向投标人提供有关现场的书面资料和数据。</w:t>
      </w:r>
    </w:p>
    <w:p>
      <w:pPr>
        <w:ind w:firstLine="420" w:firstLineChars="200"/>
        <w:rPr>
          <w:rFonts w:hint="eastAsia"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pPr>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ind w:firstLine="420" w:firstLineChars="200"/>
        <w:rPr>
          <w:rFonts w:hint="eastAsia"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采购文件规定的时间或政府集中采购机构另行书面通知（包括政府集中采购机构网站发布方式，如更正公告等）的时间和地点，参与标前会议。</w:t>
      </w:r>
    </w:p>
    <w:p>
      <w:pPr>
        <w:ind w:firstLine="420" w:firstLineChars="200"/>
        <w:rPr>
          <w:rFonts w:hint="eastAsia"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63"/>
    <w:p>
      <w:pPr>
        <w:ind w:firstLine="411" w:firstLineChars="196"/>
        <w:rPr>
          <w:rFonts w:hint="eastAsia" w:ascii="宋体" w:hAnsi="宋体"/>
        </w:rPr>
      </w:pPr>
    </w:p>
    <w:p>
      <w:pPr>
        <w:pStyle w:val="79"/>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采购文件</w:t>
      </w:r>
    </w:p>
    <w:p>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65" w:name="_Hlk72399819"/>
      <w:r>
        <w:rPr>
          <w:rFonts w:hint="eastAsia" w:ascii="黑体" w:hAnsi="宋体" w:eastAsia="黑体"/>
          <w:szCs w:val="21"/>
        </w:rPr>
        <w:t>采购文件的编制与组成</w:t>
      </w:r>
    </w:p>
    <w:p>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.1采购文件除以下内容外，政府集中采购机构在采购期间发出的澄清或修改等相关公告或通知内容，均是采购文件的组成部分，对投标人起约束作用；</w:t>
      </w:r>
    </w:p>
    <w:p>
      <w:pPr>
        <w:ind w:firstLine="420" w:firstLineChars="200"/>
        <w:rPr>
          <w:rFonts w:hint="eastAsia" w:ascii="宋体" w:hAnsi="宋体"/>
          <w:szCs w:val="21"/>
        </w:rPr>
      </w:pPr>
      <w:r>
        <w:rPr>
          <w:rFonts w:hint="eastAsia" w:ascii="宋体" w:hAnsi="宋体"/>
          <w:szCs w:val="21"/>
        </w:rPr>
        <w:t>采购文件包括下列内容：</w:t>
      </w:r>
    </w:p>
    <w:p>
      <w:pPr>
        <w:ind w:firstLine="422" w:firstLineChars="200"/>
        <w:rPr>
          <w:rFonts w:hint="eastAsia" w:ascii="宋体" w:hAnsi="宋体"/>
          <w:b/>
          <w:szCs w:val="21"/>
        </w:rPr>
      </w:pPr>
      <w:r>
        <w:rPr>
          <w:rFonts w:hint="eastAsia" w:ascii="宋体" w:hAnsi="宋体"/>
          <w:b/>
          <w:szCs w:val="21"/>
        </w:rPr>
        <w:t>第一册  专用条款</w:t>
      </w:r>
    </w:p>
    <w:p>
      <w:pPr>
        <w:ind w:firstLine="422" w:firstLineChars="200"/>
        <w:rPr>
          <w:rFonts w:hint="eastAsia" w:ascii="宋体" w:hAnsi="宋体"/>
          <w:b/>
          <w:szCs w:val="21"/>
        </w:rPr>
      </w:pPr>
      <w:r>
        <w:rPr>
          <w:rFonts w:hint="eastAsia" w:ascii="宋体" w:hAnsi="宋体"/>
          <w:b/>
          <w:szCs w:val="21"/>
        </w:rPr>
        <w:t>关键信息</w:t>
      </w:r>
    </w:p>
    <w:p>
      <w:pPr>
        <w:ind w:firstLine="420" w:firstLineChars="200"/>
        <w:rPr>
          <w:rFonts w:hint="eastAsia" w:ascii="宋体" w:hAnsi="宋体"/>
          <w:szCs w:val="21"/>
        </w:rPr>
      </w:pPr>
      <w:r>
        <w:rPr>
          <w:rFonts w:hint="eastAsia" w:ascii="宋体" w:hAnsi="宋体"/>
          <w:szCs w:val="21"/>
        </w:rPr>
        <w:t>第一章  采购公告</w:t>
      </w:r>
    </w:p>
    <w:p>
      <w:pPr>
        <w:ind w:firstLine="420" w:firstLineChars="200"/>
        <w:rPr>
          <w:rFonts w:hint="eastAsia" w:ascii="宋体" w:hAnsi="宋体"/>
          <w:szCs w:val="21"/>
        </w:rPr>
      </w:pPr>
      <w:r>
        <w:rPr>
          <w:rFonts w:hint="eastAsia" w:ascii="宋体" w:hAnsi="宋体"/>
          <w:szCs w:val="21"/>
        </w:rPr>
        <w:t>第二章  对通用条款的补充内容及其他关键信息</w:t>
      </w:r>
    </w:p>
    <w:p>
      <w:pPr>
        <w:ind w:firstLine="420" w:firstLineChars="200"/>
        <w:rPr>
          <w:rFonts w:hint="eastAsia" w:ascii="宋体" w:hAnsi="宋体"/>
          <w:szCs w:val="21"/>
        </w:rPr>
      </w:pPr>
      <w:r>
        <w:rPr>
          <w:rFonts w:hint="eastAsia" w:ascii="宋体" w:hAnsi="宋体"/>
          <w:szCs w:val="21"/>
        </w:rPr>
        <w:t>第三章  用户需求书</w:t>
      </w:r>
    </w:p>
    <w:p>
      <w:pPr>
        <w:ind w:firstLine="420" w:firstLineChars="200"/>
        <w:rPr>
          <w:rFonts w:hint="eastAsia" w:ascii="宋体" w:hAnsi="宋体"/>
          <w:szCs w:val="21"/>
        </w:rPr>
      </w:pPr>
      <w:r>
        <w:rPr>
          <w:rFonts w:hint="eastAsia"/>
          <w:szCs w:val="21"/>
        </w:rPr>
        <w:t xml:space="preserve">第四章 </w:t>
      </w:r>
      <w:r>
        <w:rPr>
          <w:szCs w:val="21"/>
        </w:rPr>
        <w:t xml:space="preserve"> </w:t>
      </w:r>
      <w:r>
        <w:rPr>
          <w:rFonts w:hint="eastAsia"/>
          <w:szCs w:val="21"/>
        </w:rPr>
        <w:t>投标文件格式及附件</w:t>
      </w:r>
    </w:p>
    <w:p>
      <w:pPr>
        <w:ind w:firstLine="420" w:firstLineChars="200"/>
        <w:rPr>
          <w:rFonts w:hint="eastAsia" w:ascii="宋体" w:hAnsi="宋体"/>
          <w:szCs w:val="21"/>
        </w:rPr>
      </w:pPr>
      <w:r>
        <w:rPr>
          <w:rFonts w:hint="eastAsia" w:ascii="宋体" w:hAnsi="宋体"/>
          <w:szCs w:val="21"/>
        </w:rPr>
        <w:t>第五章  合同条款及格式</w:t>
      </w:r>
    </w:p>
    <w:p>
      <w:pPr>
        <w:ind w:firstLine="422" w:firstLineChars="200"/>
        <w:rPr>
          <w:rFonts w:hint="eastAsia" w:ascii="宋体" w:hAnsi="宋体"/>
          <w:b/>
          <w:szCs w:val="21"/>
        </w:rPr>
      </w:pPr>
      <w:r>
        <w:rPr>
          <w:rFonts w:hint="eastAsia" w:ascii="宋体" w:hAnsi="宋体"/>
          <w:b/>
          <w:szCs w:val="21"/>
        </w:rPr>
        <w:t>第二册  通用条款</w:t>
      </w:r>
    </w:p>
    <w:p>
      <w:pPr>
        <w:ind w:firstLine="420" w:firstLineChars="200"/>
        <w:rPr>
          <w:rFonts w:hint="eastAsia" w:ascii="宋体" w:hAnsi="宋体"/>
          <w:szCs w:val="21"/>
        </w:rPr>
      </w:pPr>
      <w:r>
        <w:rPr>
          <w:rFonts w:hint="eastAsia" w:ascii="宋体" w:hAnsi="宋体"/>
          <w:szCs w:val="21"/>
        </w:rPr>
        <w:t>第一章  总则</w:t>
      </w:r>
    </w:p>
    <w:p>
      <w:pPr>
        <w:ind w:firstLine="420" w:firstLineChars="200"/>
        <w:rPr>
          <w:rFonts w:hint="eastAsia" w:ascii="宋体" w:hAnsi="宋体"/>
          <w:szCs w:val="21"/>
        </w:rPr>
      </w:pPr>
      <w:r>
        <w:rPr>
          <w:rFonts w:hint="eastAsia" w:ascii="宋体" w:hAnsi="宋体"/>
          <w:szCs w:val="21"/>
        </w:rPr>
        <w:t>第二章  采购文件</w:t>
      </w:r>
    </w:p>
    <w:p>
      <w:pPr>
        <w:ind w:firstLine="420" w:firstLineChars="200"/>
        <w:rPr>
          <w:rFonts w:hint="eastAsia" w:ascii="宋体" w:hAnsi="宋体"/>
          <w:szCs w:val="21"/>
        </w:rPr>
      </w:pPr>
      <w:r>
        <w:rPr>
          <w:rFonts w:hint="eastAsia" w:ascii="宋体" w:hAnsi="宋体"/>
          <w:szCs w:val="21"/>
        </w:rPr>
        <w:t>第三章  投标文件的编制</w:t>
      </w:r>
    </w:p>
    <w:p>
      <w:pPr>
        <w:ind w:firstLine="420" w:firstLineChars="200"/>
        <w:rPr>
          <w:rFonts w:hint="eastAsia" w:ascii="宋体" w:hAnsi="宋体"/>
          <w:szCs w:val="21"/>
        </w:rPr>
      </w:pPr>
      <w:r>
        <w:rPr>
          <w:rFonts w:hint="eastAsia" w:ascii="宋体" w:hAnsi="宋体"/>
          <w:szCs w:val="21"/>
        </w:rPr>
        <w:t>第四章  投标文件的递交</w:t>
      </w:r>
    </w:p>
    <w:p>
      <w:pPr>
        <w:ind w:firstLine="420" w:firstLineChars="200"/>
        <w:rPr>
          <w:rFonts w:hint="eastAsia" w:ascii="宋体" w:hAnsi="宋体"/>
          <w:szCs w:val="21"/>
        </w:rPr>
      </w:pPr>
      <w:r>
        <w:rPr>
          <w:rFonts w:hint="eastAsia" w:ascii="宋体" w:hAnsi="宋体"/>
          <w:szCs w:val="21"/>
        </w:rPr>
        <w:t>第五章  开标</w:t>
      </w:r>
    </w:p>
    <w:p>
      <w:pPr>
        <w:ind w:firstLine="420" w:firstLineChars="200"/>
        <w:rPr>
          <w:rFonts w:hint="eastAsia" w:ascii="宋体" w:hAnsi="宋体"/>
          <w:szCs w:val="21"/>
        </w:rPr>
      </w:pPr>
      <w:r>
        <w:rPr>
          <w:rFonts w:hint="eastAsia" w:ascii="宋体" w:hAnsi="宋体"/>
          <w:szCs w:val="21"/>
        </w:rPr>
        <w:t>第六章  评审要求</w:t>
      </w:r>
    </w:p>
    <w:p>
      <w:pPr>
        <w:ind w:firstLine="420" w:firstLineChars="200"/>
        <w:rPr>
          <w:rFonts w:hint="eastAsia" w:ascii="宋体" w:hAnsi="宋体"/>
          <w:szCs w:val="21"/>
        </w:rPr>
      </w:pPr>
      <w:r>
        <w:rPr>
          <w:rFonts w:hint="eastAsia" w:ascii="宋体" w:hAnsi="宋体"/>
          <w:szCs w:val="21"/>
        </w:rPr>
        <w:t>第七章  评审程序及评审方法</w:t>
      </w:r>
    </w:p>
    <w:p>
      <w:pPr>
        <w:ind w:firstLine="420" w:firstLineChars="200"/>
        <w:rPr>
          <w:rFonts w:hint="eastAsia" w:ascii="宋体" w:hAnsi="宋体"/>
          <w:szCs w:val="21"/>
        </w:rPr>
      </w:pPr>
      <w:r>
        <w:rPr>
          <w:rFonts w:hint="eastAsia" w:ascii="宋体" w:hAnsi="宋体"/>
          <w:szCs w:val="21"/>
        </w:rPr>
        <w:t>第八章  定标及公示</w:t>
      </w:r>
    </w:p>
    <w:p>
      <w:pPr>
        <w:ind w:firstLine="420" w:firstLineChars="200"/>
        <w:rPr>
          <w:rFonts w:hint="eastAsia" w:ascii="宋体" w:hAnsi="宋体"/>
          <w:szCs w:val="21"/>
        </w:rPr>
      </w:pPr>
      <w:r>
        <w:rPr>
          <w:rFonts w:hint="eastAsia" w:ascii="宋体" w:hAnsi="宋体"/>
          <w:szCs w:val="21"/>
        </w:rPr>
        <w:t>第九章  公开征集失败的后续处理</w:t>
      </w:r>
    </w:p>
    <w:p>
      <w:pPr>
        <w:ind w:firstLine="420" w:firstLineChars="200"/>
        <w:rPr>
          <w:rFonts w:hint="eastAsia" w:ascii="宋体" w:hAnsi="宋体"/>
          <w:szCs w:val="21"/>
        </w:rPr>
      </w:pPr>
      <w:r>
        <w:rPr>
          <w:rFonts w:hint="eastAsia" w:ascii="宋体" w:hAnsi="宋体"/>
          <w:szCs w:val="21"/>
        </w:rPr>
        <w:t>第十章  合同的授予与备案</w:t>
      </w:r>
    </w:p>
    <w:p>
      <w:pPr>
        <w:ind w:firstLine="420" w:firstLineChars="200"/>
        <w:rPr>
          <w:rFonts w:hint="eastAsia" w:ascii="宋体" w:hAnsi="宋体"/>
          <w:szCs w:val="21"/>
        </w:rPr>
      </w:pPr>
      <w:r>
        <w:rPr>
          <w:rFonts w:hint="eastAsia" w:ascii="宋体" w:hAnsi="宋体"/>
          <w:szCs w:val="21"/>
        </w:rPr>
        <w:t>第十一章  质疑处理</w:t>
      </w:r>
    </w:p>
    <w:p>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采购文件后，应仔细检查采购文件的所有内容，如有疑问应在答疑截止时间之前向政府集中采购机构提出，否则，由此引起的投标损失自负；投标人同时应认真审阅采购文件所有的事项、格式、条款和规范要求等，如果投标人的投标文件未按采购文件要求提交全部资料或者投标文件未对采购文件做出实质性响应，其风险由投标人自行承担。</w:t>
      </w:r>
    </w:p>
    <w:p>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采购文件的组成部分。政府集中采购机构对投标人由此而做出的推论、理解和结论概不负责。</w:t>
      </w:r>
    </w:p>
    <w:p>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．采购文件的澄清</w:t>
      </w:r>
    </w:p>
    <w:p>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.1采购文件澄清的目的是澄清、解答投标人在查阅采购文件后或现场踏勘中可能提出的与投标有关的疑问或询问。</w:t>
      </w:r>
    </w:p>
    <w:p>
      <w:pPr>
        <w:ind w:firstLine="420" w:firstLineChars="200"/>
        <w:rPr>
          <w:rFonts w:hint="eastAsia"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.2投标人如对采购文件内容有疑问，应当在采购公告规定的澄清（提问）截止时间前将疑问内容加盖公章书面提交至政府集中采购机构。</w:t>
      </w:r>
    </w:p>
    <w:p>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采购文件进行必要的澄清或是根据投标人的要求对采购文件做出澄清，政府集中采购机构都将在投标截止日期前以书面形式（包括政府集中采购机构网站发布方式）答复或发送给所有投标人。答复内容是采购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ind w:firstLine="420" w:firstLineChars="200"/>
        <w:rPr>
          <w:rFonts w:hint="eastAsia" w:ascii="黑体" w:hAnsi="宋体" w:eastAsia="黑体"/>
          <w:szCs w:val="21"/>
        </w:rPr>
      </w:pPr>
      <w:r>
        <w:rPr>
          <w:rFonts w:ascii="黑体" w:hAnsi="宋体" w:eastAsia="黑体"/>
          <w:szCs w:val="21"/>
        </w:rPr>
        <w:t>1</w:t>
      </w:r>
      <w:r>
        <w:rPr>
          <w:rFonts w:hint="eastAsia" w:ascii="黑体" w:hAnsi="宋体" w:eastAsia="黑体"/>
          <w:szCs w:val="21"/>
        </w:rPr>
        <w:t>3．采购文件的修改</w:t>
      </w:r>
    </w:p>
    <w:p>
      <w:pPr>
        <w:ind w:firstLine="420" w:firstLineChars="200"/>
        <w:rPr>
          <w:rFonts w:hint="eastAsia" w:ascii="宋体" w:hAnsi="宋体"/>
          <w:szCs w:val="21"/>
        </w:rPr>
      </w:pPr>
      <w:r>
        <w:rPr>
          <w:rFonts w:ascii="宋体" w:hAnsi="宋体"/>
          <w:szCs w:val="21"/>
        </w:rPr>
        <w:t>1</w:t>
      </w:r>
      <w:r>
        <w:rPr>
          <w:rFonts w:hint="eastAsia" w:ascii="宋体" w:hAnsi="宋体"/>
          <w:szCs w:val="21"/>
        </w:rPr>
        <w:t>3.1采购文件发出后，在投标截止日期前任何时候，确需要变更采购文件内容的，政府集中采购机构可主动或在解答投标人提出的澄清问题时对采购文件进行修改。</w:t>
      </w:r>
    </w:p>
    <w:p>
      <w:pPr>
        <w:ind w:firstLine="420" w:firstLineChars="200"/>
        <w:rPr>
          <w:rFonts w:hint="eastAsia" w:ascii="宋体" w:hAnsi="宋体"/>
          <w:szCs w:val="21"/>
        </w:rPr>
      </w:pPr>
      <w:r>
        <w:rPr>
          <w:rFonts w:ascii="宋体" w:hAnsi="宋体"/>
          <w:szCs w:val="21"/>
        </w:rPr>
        <w:t>1</w:t>
      </w:r>
      <w:r>
        <w:rPr>
          <w:rFonts w:hint="eastAsia" w:ascii="宋体" w:hAnsi="宋体"/>
          <w:szCs w:val="21"/>
        </w:rPr>
        <w:t>3.2采购文件的修改以书面形式（包括政府集中采购机构网站发布方式，如更正公告等）发送给所有投标人，采购文件的修改内容作为采购文件的组成部分，并具有约束力。</w:t>
      </w:r>
    </w:p>
    <w:p>
      <w:pPr>
        <w:ind w:firstLine="420" w:firstLineChars="200"/>
        <w:rPr>
          <w:rFonts w:hint="eastAsia" w:ascii="宋体" w:hAnsi="宋体"/>
          <w:szCs w:val="21"/>
        </w:rPr>
      </w:pPr>
      <w:r>
        <w:rPr>
          <w:rFonts w:ascii="宋体" w:hAnsi="宋体"/>
          <w:szCs w:val="21"/>
        </w:rPr>
        <w:t>1</w:t>
      </w:r>
      <w:r>
        <w:rPr>
          <w:rFonts w:hint="eastAsia" w:ascii="宋体" w:hAnsi="宋体"/>
          <w:szCs w:val="21"/>
        </w:rPr>
        <w:t>3.3采购文件、采购文件澄清答复内容、采购文件修改补充内容均以书面形式（包括政府集中采购机构网站公开发布方式，如更正公告等）明确的内容为准。当采购文件、修改补充通知、采购文件澄清答复内容相互矛盾时，以最后发出的内容为准。</w:t>
      </w:r>
    </w:p>
    <w:p>
      <w:pPr>
        <w:ind w:firstLine="420" w:firstLineChars="200"/>
        <w:rPr>
          <w:rFonts w:hint="eastAsia" w:ascii="宋体" w:hAnsi="宋体"/>
          <w:szCs w:val="21"/>
        </w:rPr>
      </w:pPr>
      <w:r>
        <w:rPr>
          <w:rFonts w:ascii="宋体" w:hAnsi="宋体"/>
          <w:szCs w:val="21"/>
        </w:rPr>
        <w:t>1</w:t>
      </w:r>
      <w:r>
        <w:rPr>
          <w:rFonts w:hint="eastAsia" w:ascii="宋体" w:hAnsi="宋体"/>
          <w:szCs w:val="21"/>
        </w:rPr>
        <w:t>3.4政府集中采购机构保证采购文件澄清答复内容和采购文件修改补充内容在投标截止时间前以书面形式（包括政府集中采购机构网站发布方式，如更正公告等）发送给所有投标人。为使投标人在编制投标文件时有充分时间对采购文件的修改部分进行研究，政府集中采购机构可以酌情延长递交投标文件的截止日期。</w:t>
      </w:r>
      <w:bookmarkEnd w:id="65"/>
    </w:p>
    <w:p>
      <w:pPr>
        <w:rPr>
          <w:rFonts w:hint="eastAsia" w:ascii="宋体" w:hAnsi="宋体"/>
          <w:szCs w:val="21"/>
        </w:rPr>
      </w:pPr>
    </w:p>
    <w:p>
      <w:pPr>
        <w:pStyle w:val="79"/>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pPr>
        <w:ind w:firstLine="420" w:firstLineChars="200"/>
        <w:rPr>
          <w:rFonts w:hint="eastAsia" w:ascii="黑体" w:hAnsi="宋体" w:eastAsia="黑体"/>
          <w:szCs w:val="21"/>
        </w:rPr>
      </w:pPr>
      <w:r>
        <w:rPr>
          <w:rFonts w:hint="eastAsia" w:ascii="黑体" w:hAnsi="宋体" w:eastAsia="黑体"/>
          <w:szCs w:val="21"/>
        </w:rPr>
        <w:t>14．</w:t>
      </w:r>
      <w:bookmarkStart w:id="66" w:name="_Hlk72400236"/>
      <w:r>
        <w:rPr>
          <w:rFonts w:hint="eastAsia" w:ascii="黑体" w:hAnsi="宋体" w:eastAsia="黑体"/>
          <w:szCs w:val="21"/>
        </w:rPr>
        <w:t>投标文件的语言及度量单位</w:t>
      </w:r>
    </w:p>
    <w:p>
      <w:pPr>
        <w:ind w:firstLine="420" w:firstLineChars="200"/>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ind w:firstLine="420" w:firstLineChars="200"/>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66"/>
    <w:p>
      <w:pPr>
        <w:ind w:firstLine="420" w:firstLineChars="200"/>
        <w:rPr>
          <w:rFonts w:hint="eastAsia" w:ascii="黑体" w:hAnsi="宋体" w:eastAsia="黑体"/>
          <w:szCs w:val="21"/>
        </w:rPr>
      </w:pPr>
      <w:r>
        <w:rPr>
          <w:rFonts w:hint="eastAsia" w:ascii="黑体" w:hAnsi="宋体" w:eastAsia="黑体"/>
          <w:szCs w:val="21"/>
        </w:rPr>
        <w:t>15．</w:t>
      </w:r>
      <w:bookmarkStart w:id="67" w:name="_Hlk72401567"/>
      <w:r>
        <w:rPr>
          <w:rFonts w:hint="eastAsia" w:ascii="黑体" w:hAnsi="宋体" w:eastAsia="黑体"/>
          <w:szCs w:val="21"/>
        </w:rPr>
        <w:t>投标文件的组成</w:t>
      </w:r>
    </w:p>
    <w:p>
      <w:pPr>
        <w:ind w:firstLine="420" w:firstLineChars="200"/>
        <w:rPr>
          <w:rFonts w:hint="eastAsia" w:ascii="宋体" w:hAnsi="宋体"/>
          <w:szCs w:val="21"/>
        </w:rPr>
      </w:pPr>
      <w:r>
        <w:rPr>
          <w:rFonts w:hint="eastAsia" w:ascii="宋体" w:hAnsi="宋体"/>
          <w:szCs w:val="21"/>
        </w:rPr>
        <w:t>具体内容在采购文件专用条款中进行规定。</w:t>
      </w:r>
    </w:p>
    <w:p>
      <w:pPr>
        <w:ind w:firstLine="420" w:firstLineChars="200"/>
        <w:rPr>
          <w:rFonts w:hint="eastAsia" w:ascii="黑体" w:hAnsi="宋体" w:eastAsia="黑体"/>
          <w:szCs w:val="21"/>
        </w:rPr>
      </w:pPr>
      <w:r>
        <w:rPr>
          <w:rFonts w:ascii="黑体" w:hAnsi="宋体" w:eastAsia="黑体"/>
          <w:szCs w:val="21"/>
        </w:rPr>
        <w:t>16．投标文件格式</w:t>
      </w:r>
    </w:p>
    <w:p>
      <w:pPr>
        <w:ind w:firstLine="420" w:firstLineChars="200"/>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采购</w:t>
      </w:r>
      <w:r>
        <w:rPr>
          <w:rFonts w:ascii="宋体" w:hAnsi="宋体"/>
          <w:szCs w:val="21"/>
        </w:rPr>
        <w:t>文件提供了投标文件格式，则</w:t>
      </w:r>
      <w:r>
        <w:rPr>
          <w:rFonts w:hint="eastAsia" w:ascii="宋体" w:hAnsi="宋体"/>
          <w:b/>
          <w:bCs/>
          <w:szCs w:val="21"/>
        </w:rPr>
        <w:t>投标人提交的投标文件应毫无例外地使用采购文件所提供的相应格式</w:t>
      </w:r>
      <w:r>
        <w:rPr>
          <w:rFonts w:hint="eastAsia" w:ascii="宋体" w:hAnsi="宋体"/>
          <w:szCs w:val="21"/>
        </w:rPr>
        <w:t>（表格均可按同样格式扩展）。</w:t>
      </w:r>
    </w:p>
    <w:p>
      <w:pPr>
        <w:ind w:firstLine="420" w:firstLineChars="200"/>
        <w:rPr>
          <w:rFonts w:hint="eastAsia" w:ascii="黑体" w:hAnsi="宋体" w:eastAsia="黑体"/>
          <w:szCs w:val="21"/>
        </w:rPr>
      </w:pPr>
      <w:r>
        <w:rPr>
          <w:rFonts w:hint="eastAsia" w:ascii="黑体" w:hAnsi="宋体" w:eastAsia="黑体"/>
          <w:szCs w:val="21"/>
        </w:rPr>
        <w:t>17．投标货币</w:t>
      </w:r>
    </w:p>
    <w:p>
      <w:pPr>
        <w:ind w:firstLine="420" w:firstLineChars="200"/>
        <w:rPr>
          <w:rFonts w:hint="eastAsia" w:ascii="宋体" w:hAnsi="宋体"/>
          <w:szCs w:val="21"/>
        </w:rPr>
      </w:pPr>
      <w:r>
        <w:rPr>
          <w:rFonts w:hint="eastAsia" w:ascii="宋体" w:hAnsi="宋体"/>
          <w:szCs w:val="21"/>
        </w:rPr>
        <w:t>本项目的投标报价应以人民币计。</w:t>
      </w:r>
    </w:p>
    <w:bookmarkEnd w:id="67"/>
    <w:p>
      <w:pPr>
        <w:ind w:firstLine="420" w:firstLineChars="200"/>
        <w:rPr>
          <w:rFonts w:hint="eastAsia" w:ascii="黑体" w:hAnsi="宋体" w:eastAsia="黑体"/>
          <w:szCs w:val="21"/>
        </w:rPr>
      </w:pPr>
      <w:r>
        <w:rPr>
          <w:rFonts w:hint="eastAsia" w:ascii="黑体" w:hAnsi="宋体" w:eastAsia="黑体"/>
          <w:szCs w:val="21"/>
        </w:rPr>
        <w:t>18．</w:t>
      </w:r>
      <w:bookmarkStart w:id="68" w:name="_Hlk72401735"/>
      <w:r>
        <w:rPr>
          <w:rFonts w:hint="eastAsia" w:ascii="黑体" w:hAnsi="宋体" w:eastAsia="黑体"/>
          <w:szCs w:val="21"/>
        </w:rPr>
        <w:t>证明投标文件投标技术方案的合格性和符合采购文件规定的文件要求</w:t>
      </w:r>
    </w:p>
    <w:p>
      <w:pPr>
        <w:ind w:firstLine="420" w:firstLineChars="200"/>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投标人应提交证明文件，证明其投标技术方案项下的货物和服务的合格性符合采购文件规定。该投标技术方案及其证明文件均作为投标文件组成部分。</w:t>
      </w:r>
    </w:p>
    <w:p>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采购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hint="eastAsia" w:ascii="宋体" w:hAnsi="宋体"/>
          <w:szCs w:val="21"/>
        </w:rPr>
      </w:pPr>
      <w:r>
        <w:rPr>
          <w:rFonts w:hint="eastAsia" w:ascii="宋体" w:hAnsi="宋体"/>
          <w:szCs w:val="21"/>
        </w:rPr>
        <w:t>18.2.1主要技术指标和性能的详细说明。</w:t>
      </w:r>
    </w:p>
    <w:p>
      <w:pPr>
        <w:ind w:firstLine="420" w:firstLineChars="200"/>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投标产品从采购人开始使用至采购文件中规定的周期内正常、连续地使用所必须的备件和专用工具清单，包括备件和专用工具的货源及现行价格。</w:t>
      </w:r>
    </w:p>
    <w:p>
      <w:pPr>
        <w:ind w:firstLine="420" w:firstLineChars="200"/>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采购文件技术规格，逐条说明投标技术方案已对采购人的技术规格做出了实质性的响应，或申明与技术规格条文的偏差和例外。投标人应详细说明投标技术方案中产品的具体参数，不得不合理照搬照抄采购文件的技术要求。</w:t>
      </w:r>
    </w:p>
    <w:p>
      <w:pPr>
        <w:ind w:firstLine="420" w:firstLineChars="200"/>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采购文件中技术规格的要求，是否</w:t>
      </w:r>
      <w:r>
        <w:rPr>
          <w:rFonts w:hint="eastAsia"/>
          <w:szCs w:val="21"/>
        </w:rPr>
        <w:t>满足要求</w:t>
      </w:r>
      <w:r>
        <w:rPr>
          <w:rFonts w:hint="eastAsia" w:ascii="宋体" w:hAnsi="宋体"/>
          <w:szCs w:val="21"/>
        </w:rPr>
        <w:t>，由评审委员会来评判。</w:t>
      </w:r>
    </w:p>
    <w:p>
      <w:pPr>
        <w:ind w:firstLine="420" w:firstLineChars="200"/>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68"/>
    <w:p>
      <w:pPr>
        <w:ind w:firstLine="420" w:firstLineChars="200"/>
        <w:rPr>
          <w:rFonts w:hint="eastAsia" w:ascii="黑体" w:hAnsi="宋体" w:eastAsia="黑体"/>
          <w:szCs w:val="21"/>
        </w:rPr>
      </w:pPr>
      <w:r>
        <w:rPr>
          <w:rFonts w:hint="eastAsia" w:ascii="黑体" w:hAnsi="宋体" w:eastAsia="黑体"/>
          <w:szCs w:val="21"/>
        </w:rPr>
        <w:t>19．</w:t>
      </w:r>
      <w:bookmarkStart w:id="69" w:name="_Hlk72402034"/>
      <w:r>
        <w:rPr>
          <w:rFonts w:hint="eastAsia" w:ascii="黑体" w:hAnsi="宋体" w:eastAsia="黑体"/>
          <w:szCs w:val="21"/>
        </w:rPr>
        <w:t>投标文件其他证明文件的要求</w:t>
      </w:r>
    </w:p>
    <w:p>
      <w:pPr>
        <w:ind w:firstLine="420" w:firstLineChars="200"/>
        <w:rPr>
          <w:rFonts w:hint="eastAsia" w:ascii="宋体" w:hAnsi="宋体"/>
          <w:color w:val="FF0000"/>
          <w:szCs w:val="21"/>
        </w:rPr>
      </w:pPr>
      <w:r>
        <w:rPr>
          <w:rFonts w:hint="eastAsia" w:ascii="宋体" w:hAnsi="宋体"/>
          <w:szCs w:val="21"/>
        </w:rPr>
        <w:t>19.1采用综合评分法的项目，对项目采购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采购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0" w:name="_Hlk71407299"/>
    </w:p>
    <w:bookmarkEnd w:id="70"/>
    <w:p>
      <w:pPr>
        <w:ind w:firstLine="420" w:firstLineChars="200"/>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hint="eastAsia" w:ascii="黑体" w:hAnsi="宋体" w:eastAsia="黑体"/>
          <w:szCs w:val="21"/>
        </w:rPr>
      </w:pPr>
      <w:r>
        <w:rPr>
          <w:rFonts w:hint="eastAsia" w:ascii="黑体" w:hAnsi="宋体" w:eastAsia="黑体"/>
          <w:szCs w:val="21"/>
        </w:rPr>
        <w:t>20．投标有效期</w:t>
      </w:r>
    </w:p>
    <w:bookmarkEnd w:id="69"/>
    <w:p>
      <w:pPr>
        <w:ind w:firstLine="420" w:firstLineChars="200"/>
        <w:rPr>
          <w:rFonts w:hint="eastAsia" w:ascii="宋体" w:hAnsi="宋体"/>
          <w:szCs w:val="21"/>
        </w:rPr>
      </w:pPr>
      <w:bookmarkStart w:id="71"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20" w:firstLineChars="200"/>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20" w:firstLineChars="200"/>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中标供应商的投标文件有效期，截止于完成本采购文件规定的全部项目内容，并通过竣工验收及保修期结束。</w:t>
      </w:r>
    </w:p>
    <w:bookmarkEnd w:id="71"/>
    <w:p>
      <w:pPr>
        <w:ind w:firstLine="420" w:firstLineChars="200"/>
        <w:rPr>
          <w:rFonts w:hint="eastAsia" w:ascii="黑体" w:hAnsi="宋体" w:eastAsia="黑体"/>
          <w:szCs w:val="21"/>
        </w:rPr>
      </w:pPr>
      <w:r>
        <w:rPr>
          <w:rFonts w:hint="eastAsia" w:ascii="黑体" w:hAnsi="宋体" w:eastAsia="黑体"/>
          <w:szCs w:val="21"/>
        </w:rPr>
        <w:t>21．</w:t>
      </w:r>
      <w:bookmarkStart w:id="72" w:name="_Hlk72402325"/>
      <w:r>
        <w:rPr>
          <w:rFonts w:hint="eastAsia" w:ascii="黑体" w:hAnsi="宋体" w:eastAsia="黑体"/>
          <w:szCs w:val="21"/>
        </w:rPr>
        <w:t xml:space="preserve">关于投标保证金 </w:t>
      </w:r>
    </w:p>
    <w:p>
      <w:pPr>
        <w:ind w:firstLine="420" w:firstLineChars="200"/>
        <w:rPr>
          <w:rFonts w:hint="eastAsia"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pPr>
        <w:ind w:firstLine="420" w:firstLineChars="200"/>
        <w:rPr>
          <w:rFonts w:hint="eastAsia" w:ascii="黑体" w:hAnsi="宋体" w:eastAsia="黑体"/>
          <w:szCs w:val="21"/>
        </w:rPr>
      </w:pPr>
      <w:r>
        <w:rPr>
          <w:rFonts w:hint="eastAsia" w:ascii="黑体" w:hAnsi="宋体" w:eastAsia="黑体"/>
          <w:szCs w:val="21"/>
        </w:rPr>
        <w:t>22．投标人的替代方案</w:t>
      </w:r>
    </w:p>
    <w:p>
      <w:pPr>
        <w:ind w:firstLine="420" w:firstLineChars="200"/>
        <w:rPr>
          <w:rFonts w:hint="eastAsia" w:ascii="宋体" w:hAnsi="宋体"/>
          <w:szCs w:val="21"/>
        </w:rPr>
      </w:pPr>
      <w:r>
        <w:rPr>
          <w:rFonts w:hint="eastAsia" w:ascii="宋体" w:hAnsi="宋体"/>
          <w:szCs w:val="21"/>
        </w:rPr>
        <w:t>22.1投标人所提交的投标文件应完全满足采购文件（包括图纸和技术规范所示的基本技术设计）的要求。除非项目明确允许投标人提交替代方案，否则投标人有关替代方案的条款将初审不通过，作投标无效处理。</w:t>
      </w:r>
    </w:p>
    <w:p>
      <w:pPr>
        <w:ind w:firstLine="420" w:firstLineChars="200"/>
        <w:rPr>
          <w:rFonts w:hint="eastAsia" w:ascii="宋体" w:hAnsi="宋体"/>
          <w:szCs w:val="21"/>
        </w:rPr>
      </w:pPr>
      <w:r>
        <w:rPr>
          <w:rFonts w:hint="eastAsia" w:ascii="宋体" w:hAnsi="宋体"/>
          <w:szCs w:val="21"/>
        </w:rPr>
        <w:t>22.2 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他详细资料。</w:t>
      </w:r>
    </w:p>
    <w:bookmarkEnd w:id="72"/>
    <w:p>
      <w:pPr>
        <w:ind w:firstLine="420" w:firstLineChars="200"/>
        <w:rPr>
          <w:rFonts w:hint="eastAsia" w:ascii="黑体" w:hAnsi="宋体" w:eastAsia="黑体"/>
          <w:szCs w:val="21"/>
        </w:rPr>
      </w:pPr>
      <w:r>
        <w:rPr>
          <w:rFonts w:hint="eastAsia" w:ascii="黑体" w:hAnsi="宋体" w:eastAsia="黑体"/>
          <w:szCs w:val="21"/>
        </w:rPr>
        <w:t>23．</w:t>
      </w:r>
      <w:bookmarkStart w:id="73"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pPr>
        <w:ind w:firstLine="420" w:firstLineChars="200"/>
        <w:rPr>
          <w:rFonts w:hint="eastAsia" w:ascii="宋体" w:hAnsi="宋体"/>
          <w:szCs w:val="21"/>
        </w:rPr>
      </w:pPr>
      <w:r>
        <w:rPr>
          <w:rFonts w:hint="eastAsia" w:ascii="宋体" w:hAnsi="宋体"/>
          <w:szCs w:val="21"/>
        </w:rPr>
        <w:t>23.1投标人应准备所投项目的电子投标文件一份。</w:t>
      </w:r>
    </w:p>
    <w:p>
      <w:pPr>
        <w:ind w:firstLine="420" w:firstLineChars="200"/>
        <w:rPr>
          <w:rFonts w:hint="eastAsia" w:ascii="宋体" w:hAnsi="宋体"/>
          <w:szCs w:val="21"/>
        </w:rPr>
      </w:pPr>
      <w:r>
        <w:rPr>
          <w:rFonts w:hint="eastAsia" w:ascii="宋体" w:hAnsi="宋体"/>
          <w:szCs w:val="21"/>
        </w:rPr>
        <w:t>23.2投标人在使用《投标书编制软件》编制投标书时须注意：</w:t>
      </w:r>
    </w:p>
    <w:p>
      <w:pPr>
        <w:ind w:firstLine="420" w:firstLineChars="200"/>
        <w:rPr>
          <w:rFonts w:hint="eastAsia" w:ascii="宋体" w:hAnsi="宋体"/>
          <w:szCs w:val="21"/>
        </w:rPr>
      </w:pPr>
      <w:r>
        <w:rPr>
          <w:rFonts w:hint="eastAsia" w:ascii="宋体" w:hAnsi="宋体"/>
          <w:szCs w:val="21"/>
        </w:rPr>
        <w:t>23.2.1导入《投标书编制软件》的采购文件项目编号、包号应与以此制作的投标文件项目编号、包号一致。例如，不能将甲项目A包的采购文件导入《投标书编制软件》，制作乙项目B包的投标书。</w:t>
      </w:r>
    </w:p>
    <w:p>
      <w:pPr>
        <w:ind w:firstLine="420" w:firstLineChars="200"/>
        <w:rPr>
          <w:rFonts w:hint="eastAsia" w:ascii="宋体" w:hAnsi="宋体"/>
          <w:szCs w:val="21"/>
        </w:rPr>
      </w:pPr>
      <w:r>
        <w:rPr>
          <w:rFonts w:hint="eastAsia" w:ascii="宋体" w:hAnsi="宋体"/>
          <w:szCs w:val="21"/>
        </w:rPr>
        <w:t>23.2.2不能用非本公司的电子密钥加密本公司的投标文件，或者用其他公司的登录用户上传本公司的投标文件。</w:t>
      </w:r>
    </w:p>
    <w:p>
      <w:pPr>
        <w:ind w:firstLine="420" w:firstLineChars="200"/>
        <w:rPr>
          <w:rFonts w:hint="eastAsia" w:ascii="宋体" w:hAnsi="宋体"/>
          <w:szCs w:val="21"/>
        </w:rPr>
      </w:pPr>
      <w:r>
        <w:rPr>
          <w:rFonts w:hint="eastAsia" w:ascii="宋体" w:hAnsi="宋体"/>
          <w:szCs w:val="21"/>
        </w:rPr>
        <w:t>23.2.3要求用《投标书编制软件》编制投标书的包，不能用其他方式编制投标书。编制投标文件时，电脑须连通互联网。</w:t>
      </w:r>
    </w:p>
    <w:p>
      <w:pPr>
        <w:ind w:firstLine="420" w:firstLineChars="200"/>
        <w:rPr>
          <w:rFonts w:hint="eastAsia"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pPr>
        <w:ind w:firstLine="420" w:firstLineChars="200"/>
        <w:rPr>
          <w:rFonts w:hint="eastAsia"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pPr>
        <w:ind w:firstLine="420" w:firstLineChars="200"/>
        <w:rPr>
          <w:rFonts w:hint="eastAsia"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20" w:firstLineChars="200"/>
        <w:rPr>
          <w:rFonts w:hint="eastAsia"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pPr>
        <w:ind w:firstLine="420" w:firstLineChars="200"/>
        <w:rPr>
          <w:rFonts w:hint="eastAsia" w:ascii="宋体" w:hAnsi="宋体"/>
          <w:szCs w:val="21"/>
        </w:rPr>
      </w:pPr>
      <w:r>
        <w:rPr>
          <w:rFonts w:hint="eastAsia" w:ascii="宋体" w:hAnsi="宋体"/>
          <w:szCs w:val="21"/>
        </w:rPr>
        <w:t>23.3电报、电话、传真形式的投标概不接受。</w:t>
      </w:r>
    </w:p>
    <w:p>
      <w:pPr>
        <w:ind w:firstLine="422" w:firstLineChars="200"/>
        <w:rPr>
          <w:rFonts w:hint="eastAsia"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pPr>
        <w:ind w:firstLine="422" w:firstLineChars="200"/>
        <w:rPr>
          <w:rFonts w:hint="eastAsia"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73"/>
    </w:p>
    <w:p>
      <w:pPr>
        <w:ind w:firstLine="411" w:firstLineChars="196"/>
        <w:rPr>
          <w:rFonts w:hint="eastAsia" w:ascii="宋体" w:hAnsi="宋体"/>
          <w:szCs w:val="21"/>
        </w:rPr>
      </w:pPr>
    </w:p>
    <w:p>
      <w:pPr>
        <w:pStyle w:val="79"/>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pPr>
        <w:ind w:firstLine="420" w:firstLineChars="200"/>
        <w:rPr>
          <w:rFonts w:hint="eastAsia" w:ascii="黑体" w:hAnsi="宋体" w:eastAsia="黑体"/>
          <w:szCs w:val="21"/>
        </w:rPr>
      </w:pPr>
      <w:bookmarkStart w:id="74" w:name="_Hlk72405459"/>
      <w:r>
        <w:rPr>
          <w:rFonts w:hint="eastAsia" w:ascii="黑体" w:hAnsi="宋体" w:eastAsia="黑体"/>
          <w:szCs w:val="21"/>
        </w:rPr>
        <w:t>24．投标文件的保密</w:t>
      </w:r>
    </w:p>
    <w:p>
      <w:pPr>
        <w:ind w:firstLine="420" w:firstLineChars="200"/>
        <w:rPr>
          <w:rFonts w:hint="eastAsia"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2" w:firstLineChars="200"/>
        <w:rPr>
          <w:rFonts w:hint="eastAsia" w:ascii="宋体" w:hAnsi="宋体"/>
          <w:b/>
          <w:szCs w:val="21"/>
        </w:rPr>
      </w:pPr>
      <w:r>
        <w:rPr>
          <w:rFonts w:hint="eastAsia" w:ascii="宋体" w:hAnsi="宋体"/>
          <w:b/>
          <w:szCs w:val="21"/>
        </w:rPr>
        <w:t>24.2若采购项目出现延期情况：</w:t>
      </w:r>
    </w:p>
    <w:p>
      <w:pPr>
        <w:ind w:firstLine="422" w:firstLineChars="200"/>
        <w:rPr>
          <w:rFonts w:hint="eastAsia" w:ascii="黑体" w:hAnsi="宋体" w:eastAsia="黑体"/>
          <w:b/>
          <w:szCs w:val="21"/>
        </w:rPr>
      </w:pPr>
      <w:r>
        <w:rPr>
          <w:rFonts w:hint="eastAsia" w:ascii="宋体" w:hAnsi="宋体"/>
          <w:b/>
          <w:szCs w:val="21"/>
        </w:rPr>
        <w:t>如果供下载的采购文件有更新，投标人必须重新下载采购文件、重新制作投标文件、重新加密投标文件、重新上传投标文件。</w:t>
      </w:r>
    </w:p>
    <w:p>
      <w:pPr>
        <w:ind w:firstLine="420" w:firstLineChars="200"/>
        <w:rPr>
          <w:rFonts w:hint="eastAsia" w:ascii="黑体" w:hAnsi="宋体" w:eastAsia="黑体"/>
          <w:szCs w:val="21"/>
        </w:rPr>
      </w:pPr>
      <w:r>
        <w:rPr>
          <w:rFonts w:hint="eastAsia" w:ascii="黑体" w:hAnsi="宋体" w:eastAsia="黑体"/>
          <w:szCs w:val="21"/>
        </w:rPr>
        <w:t>25．上传投标文件及投标截止日期</w:t>
      </w:r>
    </w:p>
    <w:p>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在采购</w:t>
      </w:r>
      <w:r>
        <w:rPr>
          <w:rFonts w:ascii="宋体" w:hAnsi="宋体"/>
          <w:szCs w:val="21"/>
        </w:rPr>
        <w:t>文件规定的投标截止时间前</w:t>
      </w:r>
      <w:r>
        <w:rPr>
          <w:rFonts w:hint="eastAsia" w:ascii="宋体" w:hAnsi="宋体"/>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25.2政府集中采购机构可以按本通用条款第13条规定，通过修改采购文件自行决定酌情延长投标截止期。在此情况下，政府集中采购机构、采购人和投标人受投标截止期制约的所有权利和义务均应延长至新的截止期。</w:t>
      </w:r>
    </w:p>
    <w:p>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74"/>
    <w:p>
      <w:pPr>
        <w:ind w:firstLine="420" w:firstLineChars="200"/>
        <w:rPr>
          <w:rFonts w:hint="eastAsia" w:ascii="黑体" w:hAnsi="宋体" w:eastAsia="黑体"/>
          <w:szCs w:val="21"/>
        </w:rPr>
      </w:pPr>
      <w:r>
        <w:rPr>
          <w:rFonts w:hint="eastAsia" w:ascii="黑体" w:hAnsi="宋体" w:eastAsia="黑体"/>
          <w:szCs w:val="21"/>
        </w:rPr>
        <w:t>26. 样品、现场演示、方案讲解</w:t>
      </w:r>
    </w:p>
    <w:p>
      <w:pPr>
        <w:ind w:firstLine="420" w:firstLineChars="200"/>
        <w:rPr>
          <w:rFonts w:hint="eastAsia" w:ascii="宋体" w:hAnsi="宋体"/>
          <w:szCs w:val="21"/>
        </w:rPr>
      </w:pPr>
      <w:r>
        <w:rPr>
          <w:rFonts w:hint="eastAsia" w:ascii="宋体" w:hAnsi="宋体"/>
          <w:szCs w:val="21"/>
        </w:rPr>
        <w:t>26.1 样品、现场演示、方案讲解等事项在采购文件专用条款中进行规定。</w:t>
      </w:r>
    </w:p>
    <w:p>
      <w:pPr>
        <w:ind w:firstLine="420" w:firstLineChars="200"/>
        <w:rPr>
          <w:rFonts w:hint="eastAsia" w:ascii="黑体" w:hAnsi="宋体" w:eastAsia="黑体"/>
          <w:szCs w:val="21"/>
        </w:rPr>
      </w:pPr>
      <w:bookmarkStart w:id="75"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pPr>
        <w:ind w:firstLine="420" w:firstLineChars="200"/>
        <w:rPr>
          <w:rFonts w:hint="eastAsia" w:ascii="宋体" w:hAnsi="宋体"/>
          <w:szCs w:val="21"/>
        </w:rPr>
      </w:pPr>
      <w:r>
        <w:rPr>
          <w:rFonts w:hint="eastAsia" w:ascii="宋体" w:hAnsi="宋体"/>
          <w:szCs w:val="21"/>
        </w:rPr>
        <w:t>27.4政府集中采购机构不退还投标文件，专用条款另有规定的除外。</w:t>
      </w:r>
    </w:p>
    <w:bookmarkEnd w:id="75"/>
    <w:p>
      <w:pPr>
        <w:pStyle w:val="79"/>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pPr>
        <w:ind w:firstLine="420" w:firstLineChars="200"/>
        <w:rPr>
          <w:rFonts w:hint="eastAsia" w:ascii="黑体" w:hAnsi="宋体" w:eastAsia="黑体"/>
          <w:szCs w:val="21"/>
        </w:rPr>
      </w:pPr>
      <w:r>
        <w:rPr>
          <w:rFonts w:hint="eastAsia" w:ascii="黑体" w:hAnsi="宋体" w:eastAsia="黑体"/>
          <w:szCs w:val="21"/>
        </w:rPr>
        <w:t>28．开标</w:t>
      </w:r>
    </w:p>
    <w:p>
      <w:pPr>
        <w:wordWrap w:val="0"/>
        <w:ind w:firstLine="420" w:firstLineChars="200"/>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ordWrap w:val="0"/>
        <w:ind w:firstLine="420" w:firstLineChars="20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hint="eastAsia" w:ascii="宋体" w:hAnsi="宋体"/>
          <w:szCs w:val="21"/>
        </w:rPr>
      </w:pPr>
    </w:p>
    <w:p>
      <w:pPr>
        <w:pStyle w:val="79"/>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pPr>
        <w:ind w:firstLine="420" w:firstLineChars="200"/>
        <w:rPr>
          <w:rFonts w:hint="eastAsia" w:ascii="黑体" w:hAnsi="宋体" w:eastAsia="黑体"/>
          <w:szCs w:val="21"/>
        </w:rPr>
      </w:pPr>
      <w:r>
        <w:rPr>
          <w:rFonts w:hint="eastAsia" w:ascii="黑体" w:hAnsi="宋体" w:eastAsia="黑体"/>
          <w:szCs w:val="21"/>
        </w:rPr>
        <w:t>29．评审委员会组成</w:t>
      </w:r>
    </w:p>
    <w:p>
      <w:pPr>
        <w:ind w:firstLine="420" w:firstLineChars="200"/>
        <w:rPr>
          <w:rFonts w:hint="eastAsia" w:ascii="宋体" w:hAnsi="宋体"/>
          <w:szCs w:val="21"/>
        </w:rPr>
      </w:pPr>
      <w:r>
        <w:rPr>
          <w:rFonts w:hint="eastAsia" w:ascii="宋体" w:hAnsi="宋体"/>
          <w:szCs w:val="21"/>
        </w:rPr>
        <w:t>29.1网上开标结束后召开评审会议，评审委员会由政府集中采购机构依法组建，负责评审活动。</w:t>
      </w:r>
    </w:p>
    <w:p>
      <w:pPr>
        <w:ind w:firstLine="420" w:firstLineChars="200"/>
        <w:rPr>
          <w:rFonts w:hint="eastAsia" w:ascii="宋体" w:hAnsi="宋体"/>
          <w:szCs w:val="21"/>
        </w:rPr>
      </w:pPr>
      <w:bookmarkStart w:id="76"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76"/>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pPr>
        <w:ind w:firstLine="420" w:firstLineChars="200"/>
        <w:rPr>
          <w:rFonts w:hint="eastAsia" w:ascii="宋体" w:hAnsi="宋体"/>
          <w:szCs w:val="21"/>
        </w:rPr>
      </w:pPr>
      <w:r>
        <w:rPr>
          <w:rFonts w:hint="eastAsia" w:ascii="宋体" w:hAnsi="宋体"/>
          <w:szCs w:val="21"/>
        </w:rPr>
        <w:t>29.2评审定标应当遵循公平、公正、科学、择优的原则。</w:t>
      </w:r>
    </w:p>
    <w:p>
      <w:pPr>
        <w:ind w:firstLine="420" w:firstLineChars="200"/>
        <w:rPr>
          <w:rFonts w:hint="eastAsia" w:ascii="宋体" w:hAnsi="宋体"/>
          <w:szCs w:val="21"/>
        </w:rPr>
      </w:pPr>
      <w:r>
        <w:rPr>
          <w:rFonts w:hint="eastAsia" w:ascii="宋体" w:hAnsi="宋体"/>
          <w:szCs w:val="21"/>
        </w:rPr>
        <w:t>29.3评审活动依法进行，任何单位和个人不得非法干预评标过程和结果。</w:t>
      </w:r>
    </w:p>
    <w:p>
      <w:pPr>
        <w:ind w:firstLine="420" w:firstLineChars="200"/>
        <w:rPr>
          <w:rFonts w:hint="eastAsia" w:ascii="宋体" w:hAnsi="宋体"/>
          <w:szCs w:val="21"/>
        </w:rPr>
      </w:pPr>
      <w:r>
        <w:rPr>
          <w:rFonts w:hint="eastAsia" w:ascii="宋体" w:hAnsi="宋体"/>
          <w:szCs w:val="21"/>
        </w:rPr>
        <w:t>29.4评审过程中不允许违背评标程序或采用采购文件未载明的评标方法或评标因素进行评标。</w:t>
      </w:r>
    </w:p>
    <w:p>
      <w:pPr>
        <w:ind w:firstLine="420" w:firstLineChars="200"/>
        <w:rPr>
          <w:rFonts w:hint="eastAsia"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pPr>
        <w:ind w:firstLine="420" w:firstLineChars="200"/>
        <w:rPr>
          <w:rFonts w:hint="eastAsia" w:ascii="黑体" w:hAnsi="宋体" w:eastAsia="黑体"/>
          <w:szCs w:val="21"/>
        </w:rPr>
      </w:pPr>
      <w:r>
        <w:rPr>
          <w:rFonts w:hint="eastAsia" w:ascii="黑体" w:hAnsi="宋体" w:eastAsia="黑体"/>
          <w:szCs w:val="21"/>
        </w:rPr>
        <w:t>30．向评审委员会提供的资料</w:t>
      </w:r>
    </w:p>
    <w:p>
      <w:pPr>
        <w:ind w:firstLine="420" w:firstLineChars="200"/>
        <w:rPr>
          <w:rFonts w:hint="eastAsia" w:ascii="宋体" w:hAnsi="宋体"/>
          <w:szCs w:val="21"/>
        </w:rPr>
      </w:pPr>
      <w:r>
        <w:rPr>
          <w:rFonts w:hint="eastAsia" w:ascii="宋体" w:hAnsi="宋体"/>
          <w:szCs w:val="21"/>
        </w:rPr>
        <w:t>30.1公开发布的采购文件，包括图纸、服务清单、答疑文件等；</w:t>
      </w:r>
    </w:p>
    <w:p>
      <w:pPr>
        <w:ind w:firstLine="420" w:firstLineChars="200"/>
        <w:rPr>
          <w:rFonts w:hint="eastAsia" w:ascii="宋体" w:hAnsi="宋体"/>
          <w:szCs w:val="21"/>
        </w:rPr>
      </w:pPr>
      <w:r>
        <w:rPr>
          <w:rFonts w:hint="eastAsia" w:ascii="宋体" w:hAnsi="宋体"/>
          <w:szCs w:val="21"/>
        </w:rPr>
        <w:t>30.2其他评标必须的资料。</w:t>
      </w:r>
    </w:p>
    <w:p>
      <w:pPr>
        <w:ind w:firstLine="420" w:firstLineChars="200"/>
        <w:rPr>
          <w:rFonts w:hint="eastAsia" w:ascii="宋体" w:hAnsi="宋体"/>
          <w:szCs w:val="21"/>
        </w:rPr>
      </w:pPr>
      <w:r>
        <w:rPr>
          <w:rFonts w:hint="eastAsia" w:ascii="宋体" w:hAnsi="宋体"/>
          <w:szCs w:val="21"/>
        </w:rPr>
        <w:t>30.3评审委员会应当认真研究采购文件，至少应了解熟悉以下内容：</w:t>
      </w:r>
    </w:p>
    <w:p>
      <w:pPr>
        <w:ind w:firstLine="420" w:firstLineChars="200"/>
        <w:rPr>
          <w:rFonts w:hint="eastAsia" w:ascii="宋体" w:hAnsi="宋体"/>
          <w:szCs w:val="21"/>
        </w:rPr>
      </w:pPr>
      <w:r>
        <w:rPr>
          <w:rFonts w:hint="eastAsia" w:ascii="宋体" w:hAnsi="宋体"/>
          <w:szCs w:val="21"/>
        </w:rPr>
        <w:t>（1）采购的目的；</w:t>
      </w:r>
    </w:p>
    <w:p>
      <w:pPr>
        <w:ind w:firstLine="420" w:firstLineChars="200"/>
        <w:rPr>
          <w:rFonts w:hint="eastAsia" w:ascii="宋体" w:hAnsi="宋体"/>
          <w:szCs w:val="21"/>
        </w:rPr>
      </w:pPr>
      <w:r>
        <w:rPr>
          <w:rFonts w:hint="eastAsia" w:ascii="宋体" w:hAnsi="宋体"/>
          <w:szCs w:val="21"/>
        </w:rPr>
        <w:t>（2）采购项目需求的范围和性质；</w:t>
      </w:r>
    </w:p>
    <w:p>
      <w:pPr>
        <w:ind w:firstLine="420" w:firstLineChars="200"/>
        <w:rPr>
          <w:rFonts w:hint="eastAsia" w:ascii="宋体" w:hAnsi="宋体"/>
          <w:szCs w:val="21"/>
        </w:rPr>
      </w:pPr>
      <w:r>
        <w:rPr>
          <w:rFonts w:hint="eastAsia" w:ascii="宋体" w:hAnsi="宋体"/>
          <w:szCs w:val="21"/>
        </w:rPr>
        <w:t>（3）采购文件规定的投标人的资格、财政预算限额、商务条款；</w:t>
      </w:r>
    </w:p>
    <w:p>
      <w:pPr>
        <w:ind w:firstLine="420" w:firstLineChars="200"/>
        <w:rPr>
          <w:rFonts w:hint="eastAsia" w:ascii="宋体" w:hAnsi="宋体"/>
          <w:szCs w:val="21"/>
        </w:rPr>
      </w:pPr>
      <w:r>
        <w:rPr>
          <w:rFonts w:hint="eastAsia" w:ascii="宋体" w:hAnsi="宋体"/>
          <w:szCs w:val="21"/>
        </w:rPr>
        <w:t>（4）采购文件规定的评标程序、评标方法和评标因素；</w:t>
      </w:r>
    </w:p>
    <w:p>
      <w:pPr>
        <w:ind w:firstLine="420" w:firstLineChars="200"/>
        <w:rPr>
          <w:rFonts w:hint="eastAsia" w:ascii="宋体" w:hAnsi="宋体"/>
          <w:szCs w:val="21"/>
        </w:rPr>
      </w:pPr>
      <w:r>
        <w:rPr>
          <w:rFonts w:hint="eastAsia" w:ascii="宋体" w:hAnsi="宋体"/>
          <w:szCs w:val="21"/>
        </w:rPr>
        <w:t>（5）采购文件所列示的资格性审查表及符合性审查表。</w:t>
      </w:r>
    </w:p>
    <w:p>
      <w:pPr>
        <w:ind w:firstLine="420" w:firstLineChars="200"/>
        <w:rPr>
          <w:rFonts w:hint="eastAsia" w:ascii="黑体" w:hAnsi="宋体" w:eastAsia="黑体"/>
          <w:szCs w:val="21"/>
        </w:rPr>
      </w:pPr>
      <w:r>
        <w:rPr>
          <w:rFonts w:hint="eastAsia" w:ascii="黑体" w:hAnsi="宋体" w:eastAsia="黑体"/>
          <w:szCs w:val="21"/>
        </w:rPr>
        <w:t>31．独立评审</w:t>
      </w:r>
    </w:p>
    <w:p>
      <w:pPr>
        <w:ind w:firstLine="420" w:firstLineChars="200"/>
        <w:rPr>
          <w:rFonts w:hint="eastAsia"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pPr>
        <w:ind w:firstLine="411" w:firstLineChars="196"/>
        <w:rPr>
          <w:rFonts w:hint="eastAsia" w:ascii="宋体" w:hAnsi="宋体"/>
          <w:bCs/>
          <w:szCs w:val="21"/>
        </w:rPr>
      </w:pPr>
    </w:p>
    <w:p>
      <w:pPr>
        <w:pStyle w:val="79"/>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pPr>
        <w:ind w:firstLine="420" w:firstLineChars="200"/>
        <w:rPr>
          <w:rFonts w:hint="eastAsia" w:ascii="黑体" w:hAnsi="宋体" w:eastAsia="黑体"/>
          <w:szCs w:val="21"/>
        </w:rPr>
      </w:pPr>
      <w:r>
        <w:rPr>
          <w:rFonts w:hint="eastAsia" w:ascii="黑体" w:hAnsi="宋体" w:eastAsia="黑体"/>
          <w:szCs w:val="21"/>
        </w:rPr>
        <w:t>32．投标文件初审</w:t>
      </w:r>
    </w:p>
    <w:p>
      <w:pPr>
        <w:ind w:firstLine="420" w:firstLineChars="200"/>
        <w:rPr>
          <w:rFonts w:hint="eastAsia" w:ascii="宋体" w:hAnsi="宋体"/>
          <w:szCs w:val="21"/>
        </w:rPr>
      </w:pPr>
      <w:r>
        <w:rPr>
          <w:rFonts w:hint="eastAsia" w:ascii="宋体" w:hAnsi="宋体"/>
          <w:szCs w:val="21"/>
        </w:rPr>
        <w:t>32.1投标文件初审包括资格性审查和符合性审查。</w:t>
      </w:r>
    </w:p>
    <w:p>
      <w:pPr>
        <w:ind w:firstLine="420" w:firstLineChars="200"/>
        <w:rPr>
          <w:rFonts w:hint="eastAsia" w:ascii="宋体" w:hAnsi="宋体"/>
          <w:szCs w:val="21"/>
        </w:rPr>
      </w:pPr>
      <w:r>
        <w:rPr>
          <w:rFonts w:hint="eastAsia" w:ascii="宋体" w:hAnsi="宋体"/>
          <w:szCs w:val="21"/>
        </w:rPr>
        <w:t>资格性审查：依据法律法规和采购文件的规定，对投标文件中的资格证明等进行审查，以确定投标供应商是否具备投标资格。</w:t>
      </w:r>
    </w:p>
    <w:p>
      <w:pPr>
        <w:ind w:firstLine="420" w:firstLineChars="200"/>
        <w:rPr>
          <w:rFonts w:hint="eastAsia" w:ascii="宋体" w:hAnsi="宋体"/>
          <w:szCs w:val="21"/>
        </w:rPr>
      </w:pPr>
      <w:r>
        <w:rPr>
          <w:rFonts w:hint="eastAsia" w:ascii="宋体" w:hAnsi="宋体"/>
          <w:szCs w:val="21"/>
        </w:rPr>
        <w:t>符合性审查：依据采购文件的规定，对投标文件的有效性、完整性和对采购文件的响应程度进行审查，以确定是否满足符合性审查的要求。</w:t>
      </w:r>
    </w:p>
    <w:p>
      <w:pPr>
        <w:ind w:firstLine="420" w:firstLineChars="200"/>
        <w:rPr>
          <w:rFonts w:hint="eastAsia"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pPr>
        <w:ind w:firstLine="420" w:firstLineChars="200"/>
        <w:rPr>
          <w:rFonts w:hint="eastAsia" w:ascii="宋体" w:hAnsi="宋体"/>
          <w:bCs/>
          <w:szCs w:val="21"/>
        </w:rPr>
      </w:pPr>
      <w:r>
        <w:rPr>
          <w:rFonts w:hint="eastAsia" w:ascii="宋体" w:hAnsi="宋体"/>
          <w:bCs/>
          <w:szCs w:val="21"/>
        </w:rPr>
        <w:t>32.3 投标文件初审中关于供应商家数的计算:</w:t>
      </w:r>
    </w:p>
    <w:p>
      <w:pPr>
        <w:ind w:firstLine="420" w:firstLineChars="200"/>
        <w:rPr>
          <w:rFonts w:hint="eastAsia"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采购文件规定的方式确定一个参加评审的投标人，采购文件未规定的采取随机抽取方式确定，其他投标无效。</w:t>
      </w:r>
    </w:p>
    <w:p>
      <w:pPr>
        <w:ind w:firstLine="420" w:firstLineChars="200"/>
        <w:rPr>
          <w:rFonts w:hint="eastAsia"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ind w:firstLine="420" w:firstLineChars="200"/>
        <w:rPr>
          <w:rFonts w:hint="eastAsia" w:ascii="宋体" w:hAnsi="宋体"/>
          <w:bCs/>
          <w:szCs w:val="21"/>
        </w:rPr>
      </w:pPr>
      <w:r>
        <w:rPr>
          <w:rFonts w:hint="eastAsia" w:ascii="宋体" w:hAnsi="宋体"/>
          <w:bCs/>
          <w:szCs w:val="21"/>
        </w:rPr>
        <w:t>32.3.3非单一产品采购项目，采购人应当根据采购项目技术构成、产品价格比重等合理确定核心产品，并在采购文件中载明。多家投标人提供的核心产品品牌相同的，按前两款规定处理。</w:t>
      </w:r>
    </w:p>
    <w:p>
      <w:pPr>
        <w:ind w:firstLine="420" w:firstLineChars="200"/>
        <w:rPr>
          <w:rFonts w:hint="eastAsia" w:ascii="宋体" w:hAnsi="宋体"/>
          <w:szCs w:val="21"/>
        </w:rPr>
      </w:pPr>
      <w:r>
        <w:rPr>
          <w:rFonts w:hint="eastAsia" w:ascii="宋体" w:hAnsi="宋体"/>
          <w:szCs w:val="21"/>
        </w:rPr>
        <w:t>32.4投标人投标文件作无效处理的情形，具体包括但不限于以下：</w:t>
      </w:r>
    </w:p>
    <w:p>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pPr>
        <w:ind w:firstLine="420" w:firstLineChars="200"/>
        <w:rPr>
          <w:rFonts w:hint="eastAsia" w:ascii="宋体" w:hAnsi="宋体"/>
          <w:szCs w:val="21"/>
        </w:rPr>
      </w:pPr>
      <w:r>
        <w:rPr>
          <w:rFonts w:hint="eastAsia" w:ascii="宋体" w:hAnsi="宋体"/>
          <w:szCs w:val="21"/>
        </w:rPr>
        <w:t>32.4.3不同投标人的投标文件载明的项目管理成员或者联系人员为同一人；</w:t>
      </w:r>
    </w:p>
    <w:p>
      <w:pPr>
        <w:ind w:firstLine="420" w:firstLineChars="200"/>
        <w:rPr>
          <w:rFonts w:hint="eastAsia" w:ascii="宋体" w:hAnsi="宋体"/>
          <w:szCs w:val="21"/>
        </w:rPr>
      </w:pPr>
      <w:r>
        <w:rPr>
          <w:rFonts w:hint="eastAsia" w:ascii="宋体" w:hAnsi="宋体"/>
          <w:szCs w:val="21"/>
        </w:rPr>
        <w:t>32.4.4不同投标人的投标文件异常一致或者投标报价呈规律性差异；</w:t>
      </w:r>
    </w:p>
    <w:p>
      <w:pPr>
        <w:ind w:firstLine="420" w:firstLineChars="200"/>
        <w:rPr>
          <w:rFonts w:hint="eastAsia"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32.4.6投标供应商之间相互约定给予未中标的供应商利益补偿；</w:t>
      </w:r>
    </w:p>
    <w:p>
      <w:pPr>
        <w:ind w:firstLine="420" w:firstLineChars="200"/>
        <w:rPr>
          <w:rFonts w:hint="eastAsia"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pPr>
        <w:ind w:firstLine="420" w:firstLineChars="200"/>
        <w:rPr>
          <w:rFonts w:hint="eastAsia" w:ascii="宋体" w:hAnsi="宋体"/>
          <w:szCs w:val="21"/>
        </w:rPr>
      </w:pPr>
      <w:r>
        <w:rPr>
          <w:rFonts w:hint="eastAsia" w:ascii="宋体" w:hAnsi="宋体"/>
          <w:szCs w:val="21"/>
        </w:rPr>
        <w:t>32.4.8不同投标供应商的投标文件内容存在非正常一致；</w:t>
      </w:r>
    </w:p>
    <w:p>
      <w:pPr>
        <w:ind w:firstLine="420" w:firstLineChars="200"/>
        <w:rPr>
          <w:rFonts w:hint="eastAsia" w:ascii="宋体" w:hAnsi="宋体"/>
          <w:szCs w:val="21"/>
        </w:rPr>
      </w:pPr>
      <w:r>
        <w:rPr>
          <w:rFonts w:hint="eastAsia" w:ascii="宋体" w:hAnsi="宋体"/>
          <w:szCs w:val="21"/>
        </w:rPr>
        <w:t>32.4.9在同一单位工作人员为两家以上（含两家）供应商进行同一项投标活动；</w:t>
      </w:r>
    </w:p>
    <w:p>
      <w:pPr>
        <w:ind w:firstLine="420" w:firstLineChars="200"/>
        <w:rPr>
          <w:rFonts w:hint="eastAsia" w:ascii="宋体" w:hAnsi="宋体"/>
          <w:szCs w:val="21"/>
        </w:rPr>
      </w:pPr>
      <w:r>
        <w:rPr>
          <w:rFonts w:hint="eastAsia" w:ascii="宋体" w:hAnsi="宋体"/>
          <w:szCs w:val="21"/>
        </w:rPr>
        <w:t>32.4.10主管部门依照法律、法规认定的其他情形。</w:t>
      </w:r>
    </w:p>
    <w:p>
      <w:pPr>
        <w:ind w:firstLine="420" w:firstLineChars="200"/>
        <w:rPr>
          <w:rFonts w:hint="eastAsia"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pPr>
        <w:ind w:firstLine="420" w:firstLineChars="200"/>
        <w:rPr>
          <w:rFonts w:hint="eastAsia" w:ascii="黑体" w:hAnsi="宋体" w:eastAsia="黑体"/>
          <w:szCs w:val="21"/>
        </w:rPr>
      </w:pPr>
      <w:r>
        <w:rPr>
          <w:rFonts w:hint="eastAsia" w:ascii="黑体" w:hAnsi="宋体" w:eastAsia="黑体"/>
          <w:szCs w:val="21"/>
        </w:rPr>
        <w:t>33．澄清有关问题</w:t>
      </w:r>
    </w:p>
    <w:p>
      <w:pPr>
        <w:ind w:firstLine="420" w:firstLineChars="200"/>
        <w:rPr>
          <w:rFonts w:hint="eastAsia" w:ascii="宋体" w:hAnsi="宋体"/>
          <w:szCs w:val="21"/>
        </w:rPr>
      </w:pPr>
      <w:bookmarkStart w:id="77" w:name="_Hlk71407321"/>
      <w:r>
        <w:rPr>
          <w:rFonts w:hint="eastAsia" w:ascii="宋体" w:hAnsi="宋体"/>
          <w:szCs w:val="21"/>
        </w:rPr>
        <w:t>3</w:t>
      </w:r>
      <w:r>
        <w:rPr>
          <w:rFonts w:ascii="宋体" w:hAnsi="宋体"/>
          <w:szCs w:val="21"/>
        </w:rPr>
        <w:t>3.1</w:t>
      </w:r>
      <w:r>
        <w:rPr>
          <w:rFonts w:hint="eastAsia" w:ascii="宋体" w:hAnsi="宋体"/>
          <w:szCs w:val="21"/>
        </w:rPr>
        <w:t>对采购文件中描述有歧义或前后不一致的地方（不含</w:t>
      </w:r>
      <w:r>
        <w:rPr>
          <w:rFonts w:hint="eastAsia"/>
          <w:szCs w:val="21"/>
        </w:rPr>
        <w:t>采购</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77"/>
    </w:p>
    <w:p>
      <w:pPr>
        <w:ind w:firstLine="420" w:firstLineChars="200"/>
        <w:rPr>
          <w:rFonts w:hint="eastAsia"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采购</w:t>
      </w:r>
      <w:r>
        <w:rPr>
          <w:szCs w:val="21"/>
        </w:rPr>
        <w:t>文件存在歧义、重大缺陷导致评</w:t>
      </w:r>
      <w:r>
        <w:rPr>
          <w:rFonts w:hint="eastAsia"/>
          <w:szCs w:val="21"/>
        </w:rPr>
        <w:t>审</w:t>
      </w:r>
      <w:r>
        <w:rPr>
          <w:szCs w:val="21"/>
        </w:rPr>
        <w:t>工作无法进行，或者</w:t>
      </w:r>
      <w:r>
        <w:rPr>
          <w:rFonts w:hint="eastAsia"/>
          <w:szCs w:val="21"/>
        </w:rPr>
        <w:t>采购</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采购</w:t>
      </w:r>
      <w:r>
        <w:rPr>
          <w:szCs w:val="21"/>
        </w:rPr>
        <w:t>文件，重新组织采购活动。</w:t>
      </w:r>
    </w:p>
    <w:p>
      <w:pPr>
        <w:ind w:firstLine="420" w:firstLineChars="200"/>
        <w:rPr>
          <w:rFonts w:hint="eastAsia"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20" w:firstLineChars="200"/>
        <w:rPr>
          <w:rFonts w:hint="eastAsia"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pPr>
        <w:ind w:firstLine="420" w:firstLineChars="200"/>
        <w:rPr>
          <w:rFonts w:hint="eastAsia" w:ascii="黑体" w:hAnsi="宋体" w:eastAsia="黑体"/>
          <w:szCs w:val="21"/>
        </w:rPr>
      </w:pPr>
      <w:bookmarkStart w:id="78" w:name="_Toc73517673"/>
      <w:bookmarkStart w:id="79" w:name="_Toc73521581"/>
      <w:bookmarkStart w:id="80" w:name="_Toc73521669"/>
      <w:bookmarkStart w:id="81" w:name="_Toc73518151"/>
      <w:bookmarkStart w:id="82" w:name="_Toc100052400"/>
      <w:r>
        <w:rPr>
          <w:rFonts w:hint="eastAsia" w:ascii="黑体" w:hAnsi="宋体" w:eastAsia="黑体"/>
          <w:szCs w:val="21"/>
        </w:rPr>
        <w:t>34．错误的修正</w:t>
      </w:r>
      <w:bookmarkEnd w:id="78"/>
      <w:bookmarkEnd w:id="79"/>
      <w:bookmarkEnd w:id="80"/>
      <w:bookmarkEnd w:id="81"/>
      <w:bookmarkEnd w:id="82"/>
    </w:p>
    <w:p>
      <w:pPr>
        <w:ind w:firstLine="420" w:firstLineChars="200"/>
        <w:rPr>
          <w:rFonts w:hint="eastAsia" w:ascii="宋体" w:hAnsi="宋体"/>
          <w:szCs w:val="21"/>
        </w:rPr>
      </w:pPr>
      <w:r>
        <w:rPr>
          <w:rFonts w:hint="eastAsia" w:ascii="宋体" w:hAnsi="宋体"/>
          <w:szCs w:val="21"/>
        </w:rPr>
        <w:t>投标文件报价出现前后不一致的，除专用条款另有规定外，按照下列规定修正：</w:t>
      </w:r>
    </w:p>
    <w:p>
      <w:pPr>
        <w:ind w:firstLine="420" w:firstLineChars="200"/>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20" w:firstLineChars="200"/>
        <w:rPr>
          <w:rFonts w:hint="eastAsia" w:ascii="宋体" w:hAnsi="宋体"/>
          <w:szCs w:val="21"/>
        </w:rPr>
      </w:pPr>
      <w:r>
        <w:rPr>
          <w:rFonts w:hint="eastAsia" w:ascii="宋体" w:hAnsi="宋体"/>
          <w:szCs w:val="21"/>
        </w:rPr>
        <w:t>34.2大写金额和小写金额不一致的，以大写金额为准；</w:t>
      </w:r>
    </w:p>
    <w:p>
      <w:pPr>
        <w:ind w:firstLine="420" w:firstLineChars="200"/>
        <w:rPr>
          <w:rFonts w:hint="eastAsia" w:ascii="宋体" w:hAnsi="宋体"/>
          <w:szCs w:val="21"/>
        </w:rPr>
      </w:pPr>
      <w:r>
        <w:rPr>
          <w:rFonts w:hint="eastAsia" w:ascii="宋体" w:hAnsi="宋体"/>
          <w:szCs w:val="21"/>
        </w:rPr>
        <w:t>34.3单价金额小数点或者百分比有明显错位，以开标一览表的总价为准，并修改单价；</w:t>
      </w:r>
    </w:p>
    <w:p>
      <w:pPr>
        <w:ind w:firstLine="420" w:firstLineChars="200"/>
        <w:rPr>
          <w:rFonts w:hint="eastAsia" w:ascii="宋体" w:hAnsi="宋体"/>
          <w:szCs w:val="21"/>
        </w:rPr>
      </w:pPr>
      <w:r>
        <w:rPr>
          <w:rFonts w:hint="eastAsia" w:ascii="宋体" w:hAnsi="宋体"/>
          <w:szCs w:val="21"/>
        </w:rPr>
        <w:t>34.4总价金额与按单价汇总金额不一致的，以单价金额计算结果为准。</w:t>
      </w:r>
    </w:p>
    <w:p>
      <w:pPr>
        <w:ind w:firstLine="420" w:firstLineChars="200"/>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hint="eastAsia" w:ascii="黑体" w:hAnsi="宋体" w:eastAsia="黑体"/>
          <w:szCs w:val="21"/>
        </w:rPr>
      </w:pPr>
      <w:r>
        <w:rPr>
          <w:rFonts w:hint="eastAsia" w:ascii="黑体" w:hAnsi="宋体" w:eastAsia="黑体"/>
          <w:szCs w:val="21"/>
        </w:rPr>
        <w:t>35．投标文件的比较与评价</w:t>
      </w:r>
    </w:p>
    <w:p>
      <w:pPr>
        <w:ind w:firstLine="420" w:firstLineChars="200"/>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hint="eastAsia" w:ascii="黑体" w:hAnsi="宋体" w:eastAsia="黑体"/>
          <w:szCs w:val="21"/>
        </w:rPr>
      </w:pPr>
      <w:r>
        <w:rPr>
          <w:rFonts w:hint="eastAsia" w:ascii="黑体" w:hAnsi="宋体" w:eastAsia="黑体"/>
          <w:szCs w:val="21"/>
        </w:rPr>
        <w:t>36. 实地考察或资料查验</w:t>
      </w:r>
    </w:p>
    <w:p>
      <w:pPr>
        <w:ind w:firstLine="420" w:firstLineChars="200"/>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ind w:firstLine="420" w:firstLineChars="200"/>
        <w:rPr>
          <w:rFonts w:hint="eastAsia" w:ascii="黑体" w:hAnsi="宋体" w:eastAsia="黑体"/>
          <w:szCs w:val="21"/>
        </w:rPr>
      </w:pPr>
      <w:r>
        <w:rPr>
          <w:rFonts w:hint="eastAsia" w:ascii="黑体" w:hAnsi="宋体" w:eastAsia="黑体"/>
          <w:szCs w:val="21"/>
        </w:rPr>
        <w:t>37．评审方法</w:t>
      </w:r>
    </w:p>
    <w:p>
      <w:pPr>
        <w:ind w:firstLine="422" w:firstLineChars="200"/>
        <w:rPr>
          <w:rFonts w:hint="eastAsia" w:ascii="宋体" w:hAnsi="宋体"/>
          <w:b/>
          <w:bCs/>
          <w:szCs w:val="21"/>
        </w:rPr>
      </w:pPr>
      <w:r>
        <w:rPr>
          <w:rFonts w:hint="eastAsia" w:ascii="宋体" w:hAnsi="宋体"/>
          <w:b/>
          <w:bCs/>
          <w:szCs w:val="21"/>
        </w:rPr>
        <w:t>37.1.1最低价法</w:t>
      </w:r>
    </w:p>
    <w:p>
      <w:pPr>
        <w:ind w:firstLine="420" w:firstLineChars="200"/>
        <w:rPr>
          <w:rFonts w:hint="eastAsia" w:ascii="ˎ̥" w:hAnsi="ˎ̥"/>
          <w:szCs w:val="21"/>
        </w:rPr>
      </w:pPr>
      <w:bookmarkStart w:id="83"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采购</w:t>
      </w:r>
      <w:r>
        <w:rPr>
          <w:rFonts w:ascii="ˎ̥" w:hAnsi="ˎ̥"/>
          <w:szCs w:val="21"/>
        </w:rPr>
        <w:t>文件实质性要求，</w:t>
      </w:r>
      <w:r>
        <w:rPr>
          <w:rFonts w:hint="eastAsia" w:ascii="ˎ̥" w:hAnsi="ˎ̥"/>
          <w:szCs w:val="21"/>
        </w:rPr>
        <w:t>按照报价由低到高的顺序，依据采购文件中规定的数量或者比例推荐候选中标供应商。</w:t>
      </w:r>
    </w:p>
    <w:p>
      <w:pPr>
        <w:ind w:firstLine="422" w:firstLineChars="200"/>
        <w:rPr>
          <w:rFonts w:hint="eastAsia" w:ascii="宋体" w:hAnsi="宋体"/>
          <w:b/>
          <w:bCs/>
          <w:szCs w:val="21"/>
        </w:rPr>
      </w:pPr>
      <w:r>
        <w:rPr>
          <w:rFonts w:hint="eastAsia" w:ascii="宋体" w:hAnsi="宋体"/>
          <w:b/>
          <w:bCs/>
          <w:szCs w:val="21"/>
        </w:rPr>
        <w:t>37.1.2综合评分法</w:t>
      </w:r>
    </w:p>
    <w:p>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采购</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按照采购文件中规定的各项因素进行综合评审，评审总得分排名前列的投标人，作为推荐的候选中标供应商。</w:t>
      </w:r>
      <w:bookmarkEnd w:id="83"/>
      <w:r>
        <w:rPr>
          <w:rFonts w:hint="eastAsia" w:ascii="宋体" w:hAnsi="宋体"/>
          <w:bCs/>
          <w:color w:val="FF0000"/>
          <w:szCs w:val="21"/>
        </w:rPr>
        <w:t xml:space="preserve">  </w:t>
      </w:r>
      <w:r>
        <w:rPr>
          <w:rFonts w:hint="eastAsia" w:ascii="宋体" w:hAnsi="宋体"/>
          <w:bCs/>
          <w:szCs w:val="21"/>
        </w:rPr>
        <w:t xml:space="preserve">                                                                                                                                                                                                                                                                                                                                                                                                                                                                                                                                                                                                                                                                                                                                                                                                                                                                                                                                                                                                                                                                                                                                                                                                                                                                                                                                                                                                                                                                                                                                                                                                                                                                                                                                                                                                                                                                                                                                                                                                                                                                                                                                                                                                                                                                                                                                                                                                                                                                                                                                                                                                                                                                                                                                                                                                                                                                                                                                                                                                                           </w:t>
      </w:r>
    </w:p>
    <w:p>
      <w:pPr>
        <w:ind w:firstLine="422" w:firstLineChars="200"/>
        <w:rPr>
          <w:rFonts w:hint="eastAsia" w:ascii="宋体" w:hAnsi="宋体"/>
          <w:b/>
          <w:bCs/>
          <w:szCs w:val="21"/>
        </w:rPr>
      </w:pPr>
      <w:r>
        <w:rPr>
          <w:rFonts w:hint="eastAsia" w:ascii="宋体" w:hAnsi="宋体"/>
          <w:b/>
          <w:bCs/>
          <w:szCs w:val="21"/>
        </w:rPr>
        <w:t>37.2 本项目采用的评审方法见本项目采购文件第一册“专用条款”的相关内容。</w:t>
      </w:r>
    </w:p>
    <w:p>
      <w:pPr>
        <w:ind w:firstLine="422" w:firstLineChars="200"/>
        <w:rPr>
          <w:rFonts w:hint="eastAsia" w:ascii="宋体" w:hAnsi="宋体"/>
          <w:b/>
          <w:bCs/>
          <w:szCs w:val="21"/>
        </w:rPr>
      </w:pPr>
      <w:r>
        <w:rPr>
          <w:rFonts w:hint="eastAsia" w:ascii="宋体" w:hAnsi="宋体"/>
          <w:b/>
          <w:bCs/>
          <w:szCs w:val="21"/>
        </w:rPr>
        <w:t>37.3重新评审的情形</w:t>
      </w:r>
    </w:p>
    <w:p>
      <w:pPr>
        <w:ind w:firstLine="420" w:firstLineChars="200"/>
        <w:rPr>
          <w:rFonts w:hint="eastAsia" w:ascii="宋体" w:hAnsi="宋体"/>
          <w:b/>
          <w:bCs/>
          <w:szCs w:val="21"/>
        </w:rPr>
      </w:pPr>
      <w:r>
        <w:rPr>
          <w:rFonts w:hint="eastAsia" w:ascii="宋体" w:hAnsi="宋体" w:cs="宋体"/>
          <w:kern w:val="0"/>
          <w:szCs w:val="21"/>
        </w:rPr>
        <w:t>评审结果汇总完成后，除下列情形外，任何人不得修改评审结果：</w:t>
      </w:r>
    </w:p>
    <w:p>
      <w:pPr>
        <w:ind w:firstLine="420" w:firstLineChars="200"/>
        <w:rPr>
          <w:rFonts w:hint="eastAsia" w:ascii="宋体" w:hAnsi="宋体" w:cs="宋体"/>
          <w:kern w:val="0"/>
          <w:szCs w:val="21"/>
        </w:rPr>
      </w:pPr>
      <w:r>
        <w:rPr>
          <w:rFonts w:hint="eastAsia" w:ascii="宋体" w:hAnsi="宋体" w:cs="宋体"/>
          <w:kern w:val="0"/>
          <w:szCs w:val="21"/>
        </w:rPr>
        <w:t>37.3.1分值汇总计算错误的；</w:t>
      </w:r>
    </w:p>
    <w:p>
      <w:pPr>
        <w:ind w:firstLine="420" w:firstLineChars="200"/>
        <w:rPr>
          <w:rFonts w:hint="eastAsia" w:ascii="宋体" w:hAnsi="宋体" w:cs="宋体"/>
          <w:kern w:val="0"/>
          <w:szCs w:val="21"/>
        </w:rPr>
      </w:pPr>
      <w:r>
        <w:rPr>
          <w:rFonts w:hint="eastAsia" w:ascii="宋体" w:hAnsi="宋体" w:cs="宋体"/>
          <w:kern w:val="0"/>
          <w:szCs w:val="21"/>
        </w:rPr>
        <w:t>37.3.2分项评分超出评分标准范围的；</w:t>
      </w:r>
    </w:p>
    <w:p>
      <w:pPr>
        <w:ind w:firstLine="420" w:firstLineChars="200"/>
        <w:rPr>
          <w:rFonts w:hint="eastAsia" w:ascii="宋体" w:hAnsi="宋体" w:cs="宋体"/>
          <w:kern w:val="0"/>
          <w:szCs w:val="21"/>
        </w:rPr>
      </w:pPr>
      <w:r>
        <w:rPr>
          <w:rFonts w:hint="eastAsia" w:ascii="宋体" w:hAnsi="宋体" w:cs="宋体"/>
          <w:kern w:val="0"/>
          <w:szCs w:val="21"/>
        </w:rPr>
        <w:t>37.3.3评审委员会成员对客观评审因素评分不一致的；</w:t>
      </w:r>
    </w:p>
    <w:p>
      <w:pPr>
        <w:ind w:firstLine="420" w:firstLineChars="200"/>
        <w:rPr>
          <w:rFonts w:hint="eastAsia" w:ascii="宋体" w:hAnsi="宋体" w:cs="宋体"/>
          <w:kern w:val="0"/>
          <w:szCs w:val="21"/>
        </w:rPr>
      </w:pPr>
      <w:r>
        <w:rPr>
          <w:rFonts w:hint="eastAsia" w:ascii="宋体" w:hAnsi="宋体" w:cs="宋体"/>
          <w:kern w:val="0"/>
          <w:szCs w:val="21"/>
        </w:rPr>
        <w:t>37.3.4经评审委员会认定评分畸高、畸低的。</w:t>
      </w:r>
    </w:p>
    <w:p>
      <w:pPr>
        <w:ind w:firstLine="420" w:firstLineChars="200"/>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22" w:firstLineChars="200"/>
        <w:rPr>
          <w:rFonts w:hint="eastAsia" w:ascii="宋体" w:hAnsi="宋体"/>
          <w:b/>
          <w:bCs/>
          <w:szCs w:val="21"/>
        </w:rPr>
      </w:pPr>
      <w:r>
        <w:rPr>
          <w:rFonts w:hint="eastAsia" w:ascii="宋体" w:hAnsi="宋体"/>
          <w:b/>
          <w:bCs/>
          <w:szCs w:val="21"/>
        </w:rPr>
        <w:t xml:space="preserve"> 37.4重新组建评审委员会的情形</w:t>
      </w:r>
    </w:p>
    <w:p>
      <w:pPr>
        <w:ind w:firstLine="420" w:firstLineChars="200"/>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20" w:firstLineChars="200"/>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20" w:firstLineChars="200"/>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20" w:firstLineChars="200"/>
        <w:rPr>
          <w:rFonts w:hint="eastAsia" w:ascii="宋体" w:hAnsi="宋体" w:cs="宋体"/>
          <w:kern w:val="0"/>
          <w:szCs w:val="21"/>
        </w:rPr>
      </w:pPr>
      <w:r>
        <w:rPr>
          <w:rFonts w:hint="eastAsia" w:ascii="宋体" w:hAnsi="宋体" w:cs="宋体"/>
          <w:kern w:val="0"/>
          <w:szCs w:val="21"/>
        </w:rPr>
        <w:t>37.4.3评审委员会及其成员独立评标受到非法干预的；</w:t>
      </w:r>
    </w:p>
    <w:p>
      <w:pPr>
        <w:ind w:firstLine="420" w:firstLineChars="200"/>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pPr>
        <w:ind w:firstLine="420" w:firstLineChars="200"/>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hint="eastAsia" w:ascii="宋体" w:hAnsi="宋体"/>
          <w:szCs w:val="21"/>
        </w:rPr>
      </w:pPr>
    </w:p>
    <w:p>
      <w:pPr>
        <w:pStyle w:val="79"/>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pPr>
        <w:ind w:firstLine="420" w:firstLineChars="200"/>
        <w:rPr>
          <w:rFonts w:hint="eastAsia" w:ascii="黑体" w:hAnsi="宋体" w:eastAsia="黑体"/>
          <w:szCs w:val="21"/>
        </w:rPr>
      </w:pPr>
      <w:r>
        <w:rPr>
          <w:rFonts w:hint="eastAsia" w:ascii="黑体" w:hAnsi="宋体" w:eastAsia="黑体"/>
          <w:szCs w:val="21"/>
        </w:rPr>
        <w:t>38．定标方法</w:t>
      </w:r>
    </w:p>
    <w:p>
      <w:pPr>
        <w:ind w:firstLine="420" w:firstLineChars="200"/>
        <w:rPr>
          <w:rFonts w:hint="eastAsia" w:ascii="宋体" w:hAnsi="宋体"/>
          <w:szCs w:val="21"/>
        </w:rPr>
      </w:pPr>
      <w:bookmarkStart w:id="84" w:name="_Hlk73782795"/>
      <w:r>
        <w:rPr>
          <w:rFonts w:hint="eastAsia" w:ascii="宋体" w:hAnsi="宋体"/>
          <w:szCs w:val="21"/>
        </w:rPr>
        <w:t>38.1非评定分离项目定标方法</w:t>
      </w:r>
    </w:p>
    <w:p>
      <w:pPr>
        <w:ind w:firstLine="420" w:firstLineChars="200"/>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1.1评审委员会依据本项目采购文件所约定的评审方法进行评审和比较，向政府集中采购机构提交书面评审报告，并根据评审方法比较评价结果从优到劣进行排序，确定候选中标供应商。</w:t>
      </w:r>
    </w:p>
    <w:p>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采购</w:t>
      </w:r>
      <w:r>
        <w:rPr>
          <w:rFonts w:ascii="ˎ̥" w:hAnsi="ˎ̥"/>
          <w:szCs w:val="21"/>
        </w:rPr>
        <w:t>文件全部实质性要求且投标报价最低的</w:t>
      </w:r>
      <w:r>
        <w:rPr>
          <w:rFonts w:hint="eastAsia" w:ascii="ˎ̥" w:hAnsi="ˎ̥"/>
          <w:szCs w:val="21"/>
        </w:rPr>
        <w:t>投标人为</w:t>
      </w:r>
      <w:bookmarkStart w:id="85" w:name="_Hlk73821177"/>
      <w:r>
        <w:rPr>
          <w:rFonts w:hint="eastAsia" w:ascii="ˎ̥" w:hAnsi="ˎ̥"/>
          <w:szCs w:val="21"/>
        </w:rPr>
        <w:t>唯一候选中标供应商</w:t>
      </w:r>
      <w:bookmarkEnd w:id="85"/>
      <w:r>
        <w:rPr>
          <w:rFonts w:ascii="ˎ̥" w:hAnsi="ˎ̥"/>
          <w:szCs w:val="21"/>
        </w:rPr>
        <w:t>。</w:t>
      </w:r>
    </w:p>
    <w:p>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采购</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hint="eastAsia" w:ascii="宋体" w:hAnsi="宋体"/>
          <w:szCs w:val="21"/>
        </w:rPr>
      </w:pPr>
      <w:r>
        <w:rPr>
          <w:rFonts w:hint="eastAsia" w:ascii="宋体" w:hAnsi="宋体"/>
          <w:szCs w:val="21"/>
        </w:rPr>
        <w:t>38.2评定分离项目定标方法</w:t>
      </w:r>
    </w:p>
    <w:p>
      <w:pPr>
        <w:ind w:firstLine="420" w:firstLineChars="200"/>
        <w:rPr>
          <w:rFonts w:hint="eastAsia" w:ascii="宋体" w:hAnsi="宋体"/>
          <w:szCs w:val="21"/>
        </w:rPr>
      </w:pPr>
      <w:r>
        <w:rPr>
          <w:rFonts w:hint="eastAsia" w:ascii="宋体" w:hAnsi="宋体"/>
          <w:szCs w:val="21"/>
        </w:rPr>
        <w:t>38.2.1评定分离是指在政府集中采购程序中，以公开征集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szCs w:val="21"/>
        </w:rPr>
      </w:pPr>
      <w:r>
        <w:rPr>
          <w:rFonts w:ascii="宋体" w:hAnsi="宋体"/>
          <w:szCs w:val="21"/>
        </w:rPr>
        <w:t xml:space="preserve">38.2.2 </w:t>
      </w:r>
      <w:bookmarkStart w:id="86"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pPr>
        <w:ind w:firstLine="420" w:firstLineChars="200"/>
        <w:rPr>
          <w:rFonts w:hint="eastAsia" w:ascii="宋体" w:hAnsi="宋体"/>
          <w:szCs w:val="21"/>
        </w:rPr>
      </w:pPr>
      <w:r>
        <w:rPr>
          <w:rFonts w:hint="eastAsia" w:ascii="宋体" w:hAnsi="宋体"/>
          <w:szCs w:val="21"/>
        </w:rPr>
        <w:t>38.2.3</w:t>
      </w:r>
      <w:bookmarkStart w:id="87"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86"/>
      <w:bookmarkEnd w:id="87"/>
    </w:p>
    <w:p>
      <w:pPr>
        <w:ind w:firstLine="420" w:firstLineChars="200"/>
        <w:rPr>
          <w:rFonts w:hint="eastAsia"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pPr>
        <w:ind w:firstLine="420" w:firstLineChars="200"/>
        <w:rPr>
          <w:rFonts w:hint="eastAsia" w:ascii="宋体" w:hAnsi="宋体"/>
          <w:szCs w:val="21"/>
        </w:rPr>
      </w:pPr>
      <w:r>
        <w:rPr>
          <w:rFonts w:hint="eastAsia" w:ascii="宋体" w:hAnsi="宋体"/>
          <w:szCs w:val="21"/>
        </w:rPr>
        <w:t>说明：采购人及投标供应商应按照上述方法提前做好相关准备。</w:t>
      </w:r>
    </w:p>
    <w:p>
      <w:pPr>
        <w:ind w:firstLine="420" w:firstLineChars="200"/>
        <w:rPr>
          <w:rFonts w:hint="eastAsia" w:ascii="宋体" w:hAnsi="宋体"/>
          <w:szCs w:val="21"/>
        </w:rPr>
      </w:pPr>
      <w:r>
        <w:rPr>
          <w:rFonts w:hint="eastAsia" w:ascii="宋体" w:hAnsi="宋体"/>
          <w:szCs w:val="21"/>
        </w:rPr>
        <w:t>38.3专用条款另有规定的，按专用条款相关要求定标。</w:t>
      </w:r>
      <w:bookmarkEnd w:id="84"/>
    </w:p>
    <w:p>
      <w:pPr>
        <w:ind w:firstLine="420" w:firstLineChars="200"/>
        <w:rPr>
          <w:rFonts w:hint="eastAsia" w:ascii="黑体" w:hAnsi="宋体" w:eastAsia="黑体"/>
          <w:szCs w:val="21"/>
        </w:rPr>
      </w:pPr>
      <w:r>
        <w:rPr>
          <w:rFonts w:hint="eastAsia" w:ascii="黑体" w:hAnsi="宋体" w:eastAsia="黑体"/>
          <w:szCs w:val="21"/>
        </w:rPr>
        <w:t>39．编写评审报告</w:t>
      </w:r>
    </w:p>
    <w:p>
      <w:pPr>
        <w:ind w:firstLine="420" w:firstLineChars="200"/>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hint="eastAsia" w:ascii="黑体" w:hAnsi="宋体" w:eastAsia="黑体"/>
          <w:szCs w:val="21"/>
        </w:rPr>
      </w:pPr>
      <w:r>
        <w:rPr>
          <w:rFonts w:hint="eastAsia" w:ascii="黑体" w:hAnsi="宋体" w:eastAsia="黑体"/>
          <w:szCs w:val="21"/>
        </w:rPr>
        <w:t>40．中标（成交）公告</w:t>
      </w:r>
    </w:p>
    <w:p>
      <w:pPr>
        <w:ind w:firstLine="420" w:firstLineChars="200"/>
        <w:rPr>
          <w:rFonts w:hint="eastAsia" w:ascii="宋体" w:hAnsi="宋体"/>
          <w:szCs w:val="21"/>
        </w:rPr>
      </w:pPr>
      <w:r>
        <w:rPr>
          <w:rFonts w:hint="eastAsia" w:ascii="宋体" w:hAnsi="宋体"/>
          <w:szCs w:val="21"/>
        </w:rPr>
        <w:t>40.1</w:t>
      </w:r>
      <w:bookmarkStart w:id="88"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88"/>
      <w:bookmarkStart w:id="89" w:name="_Hlk72438751"/>
      <w:r>
        <w:rPr>
          <w:rFonts w:hint="eastAsia" w:ascii="宋体" w:hAnsi="宋体"/>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89"/>
    <w:p>
      <w:pPr>
        <w:ind w:firstLine="420" w:firstLineChars="200"/>
        <w:rPr>
          <w:rFonts w:hint="eastAsia" w:ascii="宋体" w:hAnsi="宋体"/>
          <w:szCs w:val="21"/>
        </w:rPr>
      </w:pPr>
      <w:r>
        <w:rPr>
          <w:rFonts w:hint="eastAsia" w:ascii="宋体" w:hAnsi="宋体"/>
          <w:szCs w:val="21"/>
        </w:rPr>
        <w:t>40.2质疑、投诉供应商应保证质疑、投诉内容的真实性和可靠性，并承担相应的法律责任。</w:t>
      </w:r>
    </w:p>
    <w:p>
      <w:pPr>
        <w:ind w:firstLine="420" w:firstLineChars="200"/>
        <w:rPr>
          <w:rFonts w:hint="eastAsia" w:ascii="黑体" w:hAnsi="宋体" w:eastAsia="黑体"/>
          <w:szCs w:val="21"/>
        </w:rPr>
      </w:pPr>
      <w:r>
        <w:rPr>
          <w:rFonts w:hint="eastAsia" w:ascii="黑体" w:hAnsi="宋体" w:eastAsia="黑体"/>
          <w:szCs w:val="21"/>
        </w:rPr>
        <w:t>41．中标通知书</w:t>
      </w:r>
    </w:p>
    <w:p>
      <w:pPr>
        <w:ind w:firstLine="420" w:firstLineChars="200"/>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90"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90"/>
    </w:p>
    <w:p>
      <w:pPr>
        <w:ind w:firstLine="420" w:firstLineChars="200"/>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20" w:firstLineChars="200"/>
        <w:rPr>
          <w:rFonts w:hint="eastAsia" w:ascii="宋体" w:hAnsi="宋体"/>
          <w:szCs w:val="21"/>
        </w:rPr>
      </w:pPr>
      <w:bookmarkStart w:id="91" w:name="_Hlk71407340"/>
      <w:r>
        <w:rPr>
          <w:rFonts w:hint="eastAsia" w:ascii="宋体" w:hAnsi="宋体"/>
          <w:szCs w:val="21"/>
        </w:rPr>
        <w:t>41.3因质疑投诉或其他原因导致项目结果变更或采购终止的，政府集中采购机构有权吊销中标通知书。</w:t>
      </w:r>
    </w:p>
    <w:bookmarkEnd w:id="91"/>
    <w:p>
      <w:pPr>
        <w:ind w:firstLine="411" w:firstLineChars="196"/>
        <w:rPr>
          <w:rFonts w:hint="eastAsia" w:ascii="宋体" w:hAnsi="宋体"/>
          <w:szCs w:val="21"/>
        </w:rPr>
      </w:pPr>
    </w:p>
    <w:p>
      <w:pPr>
        <w:pStyle w:val="79"/>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公开征集失败的后续处理</w:t>
      </w:r>
    </w:p>
    <w:p>
      <w:pPr>
        <w:ind w:firstLine="420" w:firstLineChars="200"/>
        <w:rPr>
          <w:rFonts w:hint="eastAsia" w:ascii="黑体" w:hAnsi="宋体" w:eastAsia="黑体"/>
          <w:szCs w:val="21"/>
        </w:rPr>
      </w:pPr>
      <w:r>
        <w:rPr>
          <w:rFonts w:hint="eastAsia" w:ascii="黑体" w:hAnsi="宋体" w:eastAsia="黑体"/>
          <w:szCs w:val="21"/>
        </w:rPr>
        <w:t>42．公开征集失败的处理</w:t>
      </w:r>
    </w:p>
    <w:p>
      <w:pPr>
        <w:ind w:firstLine="420" w:firstLineChars="200"/>
        <w:rPr>
          <w:rFonts w:hint="eastAsia" w:ascii="宋体" w:hAnsi="宋体"/>
          <w:szCs w:val="21"/>
        </w:rPr>
      </w:pPr>
      <w:r>
        <w:rPr>
          <w:rFonts w:hint="eastAsia" w:ascii="宋体" w:hAnsi="宋体"/>
          <w:szCs w:val="21"/>
        </w:rPr>
        <w:t>42.1本项目公开征集过程中若出现投标截止后实际递交</w:t>
      </w:r>
      <w:r>
        <w:rPr>
          <w:rFonts w:ascii="宋体" w:hAnsi="宋体"/>
          <w:szCs w:val="21"/>
        </w:rPr>
        <w:t>投标</w:t>
      </w:r>
      <w:r>
        <w:rPr>
          <w:rFonts w:hint="eastAsia" w:ascii="宋体" w:hAnsi="宋体"/>
          <w:szCs w:val="21"/>
        </w:rPr>
        <w:t>文件的供应商数量不足、经评审委员会评审对征集文件作实质响应的供应商不足等情况，公开征集有效供应商不足三家的，</w:t>
      </w:r>
      <w:r>
        <w:rPr>
          <w:rFonts w:hint="eastAsia" w:ascii="宋体" w:hAnsi="宋体"/>
          <w:b/>
          <w:bCs/>
          <w:color w:val="FF0000"/>
          <w:szCs w:val="21"/>
        </w:rPr>
        <w:t>项目可选择重新采购，也可根据以下情况开展（根据以下情况开展的需在专用条款中明确）</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42.1.1有效供应商为两家的，项目现场转为邀请竞标，评审委员会根据本项目采购文件规定的评审方法确定中标供应商；</w:t>
      </w:r>
    </w:p>
    <w:p>
      <w:pPr>
        <w:ind w:firstLine="420" w:firstLineChars="200"/>
        <w:rPr>
          <w:rFonts w:hint="eastAsia" w:ascii="宋体" w:hAnsi="宋体"/>
          <w:szCs w:val="21"/>
        </w:rPr>
      </w:pPr>
      <w:r>
        <w:rPr>
          <w:rFonts w:hint="eastAsia" w:ascii="宋体" w:hAnsi="宋体"/>
          <w:szCs w:val="21"/>
        </w:rPr>
        <w:t>42.1.2有效供应商为一家的，项目现场转为直接采购，评审委员会与唯一供应商进行总计不少于三轮谈判、报价（含首轮报价）；</w:t>
      </w:r>
    </w:p>
    <w:p>
      <w:pPr>
        <w:ind w:firstLine="420" w:firstLineChars="200"/>
        <w:rPr>
          <w:rFonts w:hint="eastAsia" w:ascii="宋体" w:hAnsi="宋体"/>
          <w:szCs w:val="21"/>
        </w:rPr>
      </w:pPr>
      <w:r>
        <w:rPr>
          <w:rFonts w:hint="eastAsia" w:ascii="宋体" w:hAnsi="宋体"/>
          <w:szCs w:val="21"/>
        </w:rPr>
        <w:t>42.1.3无有效供应商的，项目公开征集失败，重新组织公开征集。</w:t>
      </w:r>
    </w:p>
    <w:p>
      <w:pPr>
        <w:ind w:firstLine="420" w:firstLineChars="200"/>
        <w:rPr>
          <w:rFonts w:hint="eastAsia" w:ascii="宋体" w:hAnsi="宋体"/>
          <w:szCs w:val="21"/>
        </w:rPr>
      </w:pPr>
      <w:r>
        <w:rPr>
          <w:rFonts w:hint="eastAsia" w:ascii="宋体" w:hAnsi="宋体"/>
          <w:szCs w:val="21"/>
        </w:rPr>
        <w:t>42.2对公开征集失败的项目，评审委员会在出具该项目征集失败结论的同时，可以提出重新采购组织形式的建议，以及进一步完善征集文件的资格、技术、商务要求的修改建议。</w:t>
      </w:r>
    </w:p>
    <w:p>
      <w:pPr>
        <w:ind w:firstLine="420" w:firstLineChars="200"/>
        <w:rPr>
          <w:rFonts w:hint="eastAsia" w:ascii="宋体" w:hAnsi="宋体"/>
          <w:szCs w:val="21"/>
        </w:rPr>
      </w:pPr>
      <w:r>
        <w:rPr>
          <w:rFonts w:hint="eastAsia" w:ascii="宋体" w:hAnsi="宋体"/>
          <w:szCs w:val="21"/>
        </w:rPr>
        <w:t>42.3公开征集失败的采购项目重新组织公开征集，由政府集中采购机构重新按公开征集流程组织采购活动。</w:t>
      </w:r>
    </w:p>
    <w:p>
      <w:pPr>
        <w:ind w:firstLine="420" w:firstLineChars="200"/>
        <w:rPr>
          <w:rFonts w:hint="eastAsia" w:ascii="宋体" w:hAnsi="宋体"/>
          <w:szCs w:val="21"/>
        </w:rPr>
      </w:pPr>
      <w:r>
        <w:rPr>
          <w:rFonts w:hint="eastAsia" w:ascii="宋体" w:hAnsi="宋体"/>
          <w:szCs w:val="21"/>
        </w:rPr>
        <w:t>公开征集失败的采购项目转为邀请竞标或直接采购方式采购的，不另行制作谈判文件，政府集中采购代理机构可就原征集文件中资质、技术及评标方法等变动情况向拟谈判对象作出补充说明，与原征集文件具同等效力，变动部分以补充说明文件为准。转为邀请竞标或直接采购方式采购的，供应商的原投标文件转为谈判应答文件。</w:t>
      </w:r>
    </w:p>
    <w:p>
      <w:pPr>
        <w:ind w:firstLine="420" w:firstLineChars="200"/>
        <w:rPr>
          <w:rFonts w:hint="eastAsia" w:ascii="黑体" w:hAnsi="宋体" w:eastAsia="黑体"/>
          <w:szCs w:val="21"/>
        </w:rPr>
      </w:pPr>
      <w:r>
        <w:rPr>
          <w:rFonts w:hint="eastAsia" w:ascii="黑体" w:hAnsi="宋体" w:eastAsia="黑体"/>
          <w:szCs w:val="21"/>
        </w:rPr>
        <w:t>43．公开征集失败项目转为邀请竞标方式采购</w:t>
      </w:r>
    </w:p>
    <w:p>
      <w:pPr>
        <w:ind w:firstLine="420" w:firstLineChars="200"/>
        <w:rPr>
          <w:rFonts w:hint="eastAsia" w:ascii="宋体" w:hAnsi="宋体"/>
          <w:szCs w:val="21"/>
        </w:rPr>
      </w:pPr>
      <w:r>
        <w:rPr>
          <w:rFonts w:hint="eastAsia" w:ascii="宋体" w:hAnsi="宋体"/>
          <w:szCs w:val="21"/>
        </w:rPr>
        <w:t>43.1谈判小组</w:t>
      </w:r>
    </w:p>
    <w:p>
      <w:pPr>
        <w:ind w:firstLine="420" w:firstLineChars="200"/>
        <w:rPr>
          <w:rFonts w:hint="eastAsia" w:ascii="宋体" w:hAnsi="宋体"/>
          <w:szCs w:val="21"/>
        </w:rPr>
      </w:pPr>
      <w:r>
        <w:rPr>
          <w:rFonts w:hint="eastAsia" w:ascii="宋体" w:hAnsi="宋体"/>
          <w:szCs w:val="21"/>
        </w:rPr>
        <w:t>43.1.1公开征集重新招标失败项目转为邀请竞标方式采购后，评审委员会转为谈判小组，谈判小组成员由采购单位代表和有关专家共3人以上（含3人）的单数组成；专家可重新抽取也可继续采用评审委员会内专家。</w:t>
      </w:r>
    </w:p>
    <w:p>
      <w:pPr>
        <w:ind w:firstLine="420" w:firstLineChars="200"/>
        <w:rPr>
          <w:rFonts w:hint="eastAsia" w:ascii="宋体" w:hAnsi="宋体"/>
          <w:szCs w:val="21"/>
        </w:rPr>
      </w:pPr>
      <w:r>
        <w:rPr>
          <w:rFonts w:hint="eastAsia" w:ascii="宋体" w:hAnsi="宋体"/>
          <w:szCs w:val="21"/>
        </w:rPr>
        <w:t>43.1.2谈判前，谈判小组将对各供应商的谈判应答文件进行审查，当谈判应答文件出现否决的将视为无效，按废标处理，不得进入谈判，具体否决内容见原征集文件中投标文件初审表的《资格性检查表》部分以及谈判邀请中相应的变动部分。</w:t>
      </w:r>
    </w:p>
    <w:p>
      <w:pPr>
        <w:ind w:firstLine="420" w:firstLineChars="200"/>
        <w:rPr>
          <w:rFonts w:hint="eastAsia" w:ascii="宋体" w:hAnsi="宋体"/>
          <w:szCs w:val="21"/>
        </w:rPr>
      </w:pPr>
      <w:r>
        <w:rPr>
          <w:rFonts w:hint="eastAsia" w:ascii="宋体" w:hAnsi="宋体"/>
          <w:szCs w:val="21"/>
        </w:rPr>
        <w:t>43.2谈判程序</w:t>
      </w:r>
    </w:p>
    <w:p>
      <w:pPr>
        <w:ind w:firstLine="420" w:firstLineChars="200"/>
        <w:rPr>
          <w:rFonts w:hint="eastAsia" w:ascii="宋体" w:hAnsi="宋体"/>
          <w:szCs w:val="21"/>
        </w:rPr>
      </w:pPr>
      <w:r>
        <w:rPr>
          <w:rFonts w:hint="eastAsia" w:ascii="宋体" w:hAnsi="宋体"/>
          <w:szCs w:val="21"/>
        </w:rPr>
        <w:t>43.2.1参加谈判的供应商和谈判小组成员填写谈判登记表，并交验证明文件（法定代表人证明书、法人授权委托书、被授权的谈判代表身份证原件）。</w:t>
      </w:r>
    </w:p>
    <w:p>
      <w:pPr>
        <w:ind w:firstLine="420" w:firstLineChars="200"/>
        <w:rPr>
          <w:rFonts w:hint="eastAsia" w:ascii="宋体" w:hAnsi="宋体"/>
          <w:szCs w:val="21"/>
        </w:rPr>
      </w:pPr>
      <w:r>
        <w:rPr>
          <w:rFonts w:hint="eastAsia" w:ascii="宋体" w:hAnsi="宋体"/>
          <w:szCs w:val="21"/>
        </w:rPr>
        <w:t>43.2.2谈判小组主持人宣布谈判规则和谈判纪律。</w:t>
      </w:r>
    </w:p>
    <w:p>
      <w:pPr>
        <w:ind w:firstLine="420" w:firstLineChars="200"/>
        <w:rPr>
          <w:rFonts w:hint="eastAsia" w:ascii="宋体" w:hAnsi="宋体"/>
          <w:szCs w:val="21"/>
        </w:rPr>
      </w:pPr>
      <w:r>
        <w:rPr>
          <w:rFonts w:hint="eastAsia" w:ascii="宋体" w:hAnsi="宋体"/>
          <w:szCs w:val="21"/>
        </w:rPr>
        <w:t>43.2.3在谈判中，谈判小组将就以下谈判内容跟供应商进行谈判：</w:t>
      </w:r>
    </w:p>
    <w:p>
      <w:pPr>
        <w:ind w:firstLine="420" w:firstLineChars="200"/>
        <w:rPr>
          <w:rFonts w:hint="eastAsia" w:ascii="宋体" w:hAnsi="宋体"/>
          <w:szCs w:val="21"/>
        </w:rPr>
      </w:pPr>
      <w:r>
        <w:rPr>
          <w:rFonts w:hint="eastAsia" w:ascii="宋体" w:hAnsi="宋体"/>
          <w:szCs w:val="21"/>
        </w:rPr>
        <w:t>（1）项目方案；</w:t>
      </w:r>
    </w:p>
    <w:p>
      <w:pPr>
        <w:ind w:firstLine="420" w:firstLineChars="200"/>
        <w:rPr>
          <w:rFonts w:hint="eastAsia" w:ascii="宋体" w:hAnsi="宋体"/>
          <w:szCs w:val="21"/>
        </w:rPr>
      </w:pPr>
      <w:r>
        <w:rPr>
          <w:rFonts w:hint="eastAsia" w:ascii="宋体" w:hAnsi="宋体"/>
          <w:szCs w:val="21"/>
        </w:rPr>
        <w:t>（2）报价；</w:t>
      </w:r>
    </w:p>
    <w:p>
      <w:pPr>
        <w:ind w:firstLine="420" w:firstLineChars="200"/>
        <w:rPr>
          <w:rFonts w:hint="eastAsia" w:ascii="宋体" w:hAnsi="宋体"/>
          <w:szCs w:val="21"/>
        </w:rPr>
      </w:pPr>
      <w:r>
        <w:rPr>
          <w:rFonts w:hint="eastAsia" w:ascii="宋体" w:hAnsi="宋体"/>
          <w:szCs w:val="21"/>
        </w:rPr>
        <w:t>（3）其它相关事项。</w:t>
      </w:r>
    </w:p>
    <w:p>
      <w:pPr>
        <w:ind w:firstLine="420" w:firstLineChars="200"/>
        <w:rPr>
          <w:rFonts w:hint="eastAsia" w:ascii="宋体" w:hAnsi="宋体"/>
          <w:szCs w:val="21"/>
        </w:rPr>
      </w:pPr>
      <w:r>
        <w:rPr>
          <w:rFonts w:hint="eastAsia" w:ascii="宋体" w:hAnsi="宋体"/>
          <w:szCs w:val="21"/>
        </w:rPr>
        <w:t>原征集文件或谈判邀请文件有实质性变动的，谈判小组应当通过政府集中采购代理机构通知所有参加谈判的供应商。</w:t>
      </w:r>
    </w:p>
    <w:p>
      <w:pPr>
        <w:ind w:firstLine="420" w:firstLineChars="200"/>
        <w:rPr>
          <w:rFonts w:hint="eastAsia" w:ascii="宋体" w:hAnsi="宋体"/>
          <w:szCs w:val="21"/>
        </w:rPr>
      </w:pPr>
      <w:r>
        <w:rPr>
          <w:rFonts w:hint="eastAsia" w:ascii="宋体" w:hAnsi="宋体"/>
          <w:szCs w:val="21"/>
        </w:rPr>
        <w:t>43.2.4谈判小组可以用书面形式要求各供应商对其谈判应答文件含义不明确的内容作必要的澄清或者说明，重要问题供应商应以书面形式进行澄清、说明。</w:t>
      </w:r>
    </w:p>
    <w:p>
      <w:pPr>
        <w:ind w:firstLine="420" w:firstLineChars="200"/>
        <w:rPr>
          <w:rFonts w:hint="eastAsia" w:ascii="宋体" w:hAnsi="宋体"/>
          <w:szCs w:val="21"/>
        </w:rPr>
      </w:pPr>
      <w:r>
        <w:rPr>
          <w:rFonts w:hint="eastAsia" w:ascii="宋体" w:hAnsi="宋体"/>
          <w:szCs w:val="21"/>
        </w:rPr>
        <w:t>43.2.5 允许供应商在谈判结束之前根据谈判小组提出的内容进行澄清、修改或完善，或对项目方案进行相应的调整。</w:t>
      </w:r>
    </w:p>
    <w:p>
      <w:pPr>
        <w:ind w:firstLine="420" w:firstLineChars="200"/>
        <w:rPr>
          <w:rFonts w:hint="eastAsia" w:ascii="宋体" w:hAnsi="宋体"/>
          <w:szCs w:val="21"/>
        </w:rPr>
      </w:pPr>
      <w:r>
        <w:rPr>
          <w:rFonts w:hint="eastAsia" w:ascii="宋体" w:hAnsi="宋体"/>
          <w:szCs w:val="21"/>
        </w:rPr>
        <w:t>43.2.6供应商对谈判应答文件进行修改，都应形成文字材料，并经供应商谈判授权人签字认可。</w:t>
      </w:r>
    </w:p>
    <w:p>
      <w:pPr>
        <w:ind w:firstLine="420" w:firstLineChars="200"/>
        <w:rPr>
          <w:rFonts w:hint="eastAsia" w:ascii="宋体" w:hAnsi="宋体"/>
          <w:szCs w:val="21"/>
        </w:rPr>
      </w:pPr>
      <w:r>
        <w:rPr>
          <w:rFonts w:hint="eastAsia" w:ascii="宋体" w:hAnsi="宋体"/>
          <w:szCs w:val="21"/>
        </w:rPr>
        <w:t>43.2.7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ind w:firstLine="420" w:firstLineChars="200"/>
        <w:rPr>
          <w:rFonts w:hint="eastAsia" w:ascii="宋体" w:hAnsi="宋体"/>
          <w:szCs w:val="21"/>
        </w:rPr>
      </w:pPr>
      <w:r>
        <w:rPr>
          <w:rFonts w:hint="eastAsia" w:ascii="宋体" w:hAnsi="宋体"/>
          <w:szCs w:val="21"/>
        </w:rPr>
        <w:t>43.2.8有下列情形之一的，该供应商的谈判结果作废标处理，具体内容见原征集文件中投标文件初审表的《符合性检查表》部分以及谈判邀请中相应的变动部分。</w:t>
      </w:r>
    </w:p>
    <w:p>
      <w:pPr>
        <w:ind w:firstLine="420" w:firstLineChars="200"/>
        <w:rPr>
          <w:rFonts w:hint="eastAsia" w:ascii="宋体" w:hAnsi="宋体"/>
          <w:szCs w:val="21"/>
        </w:rPr>
      </w:pPr>
      <w:r>
        <w:rPr>
          <w:rFonts w:hint="eastAsia" w:ascii="宋体" w:hAnsi="宋体"/>
          <w:szCs w:val="21"/>
        </w:rPr>
        <w:t>43.2.9谈判结束后，谈判小组根据供应商提供的谈判应答文件、谈判过程中产生的相关资料，对供应商谈判应答文件进行评估与比较，提出书面评审意见。</w:t>
      </w:r>
    </w:p>
    <w:p>
      <w:pPr>
        <w:ind w:firstLine="420" w:firstLineChars="200"/>
        <w:rPr>
          <w:rFonts w:hint="eastAsia" w:ascii="宋体" w:hAnsi="宋体"/>
          <w:szCs w:val="21"/>
        </w:rPr>
      </w:pPr>
      <w:r>
        <w:rPr>
          <w:rFonts w:hint="eastAsia" w:ascii="宋体" w:hAnsi="宋体"/>
          <w:szCs w:val="21"/>
        </w:rPr>
        <w:t>43.2.10谈判小组将对谈判过程进行记录，以存档备查。</w:t>
      </w:r>
    </w:p>
    <w:p>
      <w:pPr>
        <w:ind w:firstLine="420" w:firstLineChars="200"/>
        <w:rPr>
          <w:rFonts w:hint="eastAsia" w:ascii="黑体" w:hAnsi="宋体" w:eastAsia="黑体"/>
          <w:szCs w:val="21"/>
        </w:rPr>
      </w:pPr>
      <w:r>
        <w:rPr>
          <w:rFonts w:hint="eastAsia" w:ascii="黑体" w:hAnsi="宋体" w:eastAsia="黑体"/>
          <w:szCs w:val="21"/>
        </w:rPr>
        <w:t>43.3评标方法和定标原则</w:t>
      </w:r>
    </w:p>
    <w:p>
      <w:pPr>
        <w:ind w:firstLine="420" w:firstLineChars="200"/>
        <w:rPr>
          <w:rFonts w:hint="eastAsia" w:ascii="宋体" w:hAnsi="宋体"/>
          <w:szCs w:val="21"/>
        </w:rPr>
      </w:pPr>
      <w:r>
        <w:rPr>
          <w:rFonts w:hint="eastAsia" w:ascii="宋体" w:hAnsi="宋体"/>
          <w:szCs w:val="21"/>
        </w:rPr>
        <w:t>43.3.1邀请竞标采购项目的评标方法要依照原招标文件的评标方法，转为邀请竞标后，评标方法应采用相应的评标方式。</w:t>
      </w:r>
    </w:p>
    <w:p>
      <w:pPr>
        <w:ind w:firstLine="420" w:firstLineChars="200"/>
        <w:rPr>
          <w:rFonts w:hint="eastAsia" w:ascii="宋体" w:hAnsi="宋体"/>
          <w:szCs w:val="21"/>
        </w:rPr>
      </w:pPr>
      <w:r>
        <w:rPr>
          <w:rFonts w:hint="eastAsia" w:ascii="宋体" w:hAnsi="宋体"/>
          <w:szCs w:val="21"/>
        </w:rPr>
        <w:t>43.3.2对公开征集失败转为邀请竞标方式采购的项目，谈判小组对谈判应答文件进行评审和比较，综合各家供应商最终的方案、服务和投资等谈判结果并按原公开征集文件评审方法进行评审。</w:t>
      </w:r>
    </w:p>
    <w:p>
      <w:pPr>
        <w:ind w:firstLine="420" w:firstLineChars="200"/>
        <w:rPr>
          <w:rFonts w:hint="eastAsia" w:ascii="宋体" w:hAnsi="宋体"/>
          <w:szCs w:val="21"/>
        </w:rPr>
      </w:pPr>
      <w:r>
        <w:rPr>
          <w:rFonts w:hint="eastAsia" w:ascii="宋体" w:hAnsi="宋体"/>
          <w:szCs w:val="21"/>
        </w:rPr>
        <w:t>43.3.3若要采用其他评标方法的，谈判小组按文件中列明的评标方法进行评审。谈判邀请文件中应注明批准的评标方法。</w:t>
      </w:r>
    </w:p>
    <w:p>
      <w:pPr>
        <w:ind w:firstLine="480" w:firstLineChars="200"/>
        <w:rPr>
          <w:rFonts w:hint="eastAsia" w:ascii="黑体" w:hAnsi="宋体" w:eastAsia="黑体"/>
          <w:sz w:val="24"/>
        </w:rPr>
      </w:pPr>
      <w:r>
        <w:rPr>
          <w:rFonts w:hint="eastAsia" w:ascii="黑体" w:hAnsi="宋体" w:eastAsia="黑体"/>
          <w:sz w:val="24"/>
        </w:rPr>
        <w:t>44.</w:t>
      </w:r>
      <w:r>
        <w:rPr>
          <w:rFonts w:hint="eastAsia" w:ascii="黑体" w:hAnsi="宋体" w:eastAsia="黑体"/>
          <w:szCs w:val="21"/>
        </w:rPr>
        <w:t>公开征集失败项目转为直接采购的相关流程参照43.1与43.2条款执行。</w:t>
      </w:r>
    </w:p>
    <w:p>
      <w:pPr>
        <w:ind w:firstLine="420" w:firstLineChars="200"/>
        <w:rPr>
          <w:rFonts w:hint="eastAsia" w:ascii="宋体" w:hAnsi="宋体"/>
          <w:szCs w:val="21"/>
        </w:rPr>
      </w:pPr>
    </w:p>
    <w:p>
      <w:pPr>
        <w:pStyle w:val="79"/>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92" w:name="_Hlk72439043"/>
      <w:r>
        <w:rPr>
          <w:rFonts w:hint="eastAsia" w:asciiTheme="majorHAnsi" w:hAnsiTheme="majorHAnsi" w:eastAsiaTheme="majorEastAsia" w:cstheme="majorBidi"/>
          <w:b/>
          <w:bCs/>
          <w:sz w:val="28"/>
          <w:szCs w:val="28"/>
        </w:rPr>
        <w:t>合同的授予与备案</w:t>
      </w:r>
      <w:bookmarkEnd w:id="92"/>
    </w:p>
    <w:p>
      <w:pPr>
        <w:ind w:firstLine="420" w:firstLineChars="200"/>
        <w:rPr>
          <w:rFonts w:hint="eastAsia" w:ascii="黑体" w:hAnsi="宋体" w:eastAsia="黑体"/>
          <w:szCs w:val="21"/>
        </w:rPr>
      </w:pPr>
      <w:bookmarkStart w:id="93" w:name="_Toc100052408"/>
      <w:bookmarkStart w:id="94" w:name="_Toc73518157"/>
      <w:bookmarkStart w:id="95" w:name="_Toc73521674"/>
      <w:bookmarkStart w:id="96" w:name="_Toc73521586"/>
      <w:bookmarkStart w:id="97" w:name="_Toc73517679"/>
      <w:bookmarkStart w:id="98" w:name="_Hlk72439088"/>
      <w:r>
        <w:rPr>
          <w:rFonts w:hint="eastAsia" w:ascii="黑体" w:hAnsi="宋体" w:eastAsia="黑体"/>
          <w:szCs w:val="21"/>
        </w:rPr>
        <w:t>43．合同授予标准</w:t>
      </w:r>
      <w:bookmarkEnd w:id="93"/>
      <w:bookmarkEnd w:id="94"/>
      <w:bookmarkEnd w:id="95"/>
      <w:bookmarkEnd w:id="96"/>
      <w:bookmarkEnd w:id="97"/>
    </w:p>
    <w:p>
      <w:pPr>
        <w:ind w:firstLine="420" w:firstLineChars="200"/>
        <w:rPr>
          <w:rFonts w:hint="eastAsia" w:ascii="宋体" w:hAnsi="宋体"/>
          <w:szCs w:val="21"/>
        </w:rPr>
      </w:pPr>
      <w:r>
        <w:rPr>
          <w:rFonts w:hint="eastAsia" w:ascii="宋体" w:hAnsi="宋体"/>
          <w:szCs w:val="21"/>
        </w:rPr>
        <w:t>本项目的合同将授予经本采购文件规定评审确定的中标供应商。</w:t>
      </w:r>
    </w:p>
    <w:p>
      <w:pPr>
        <w:ind w:firstLine="420" w:firstLineChars="200"/>
        <w:rPr>
          <w:rFonts w:hint="eastAsia" w:ascii="黑体" w:hAnsi="宋体" w:eastAsia="黑体"/>
          <w:szCs w:val="21"/>
        </w:rPr>
      </w:pPr>
      <w:bookmarkStart w:id="99" w:name="_Toc73521587"/>
      <w:bookmarkStart w:id="100" w:name="_Toc73517680"/>
      <w:bookmarkStart w:id="101" w:name="_Toc100052409"/>
      <w:bookmarkStart w:id="102" w:name="_Toc73518158"/>
      <w:bookmarkStart w:id="103" w:name="_Toc73521675"/>
      <w:r>
        <w:rPr>
          <w:rFonts w:hint="eastAsia" w:ascii="黑体" w:hAnsi="宋体" w:eastAsia="黑体"/>
          <w:szCs w:val="21"/>
        </w:rPr>
        <w:t>44．</w:t>
      </w:r>
      <w:bookmarkEnd w:id="99"/>
      <w:bookmarkEnd w:id="100"/>
      <w:bookmarkEnd w:id="101"/>
      <w:bookmarkEnd w:id="102"/>
      <w:bookmarkEnd w:id="103"/>
      <w:r>
        <w:rPr>
          <w:rFonts w:hint="eastAsia" w:ascii="黑体" w:hAnsi="宋体" w:eastAsia="黑体"/>
          <w:szCs w:val="21"/>
        </w:rPr>
        <w:t>接受和拒绝任何或所有投标的权力</w:t>
      </w:r>
    </w:p>
    <w:p>
      <w:pPr>
        <w:ind w:firstLine="420" w:firstLineChars="200"/>
        <w:rPr>
          <w:rFonts w:hint="eastAsia" w:ascii="宋体" w:hAnsi="宋体"/>
          <w:szCs w:val="21"/>
        </w:rPr>
      </w:pPr>
      <w:r>
        <w:rPr>
          <w:rFonts w:hint="eastAsia" w:ascii="宋体" w:hAnsi="宋体"/>
          <w:szCs w:val="21"/>
        </w:rPr>
        <w:t>政府集中采购机构和采购人保留在投标之前任何时候接受或拒绝任何投标或所有投标，以及宣布采购无效的权力，对受影响的投标人不承担任何责任，也无义务向受影响的投标人解释采取这一行动的理由。</w:t>
      </w:r>
    </w:p>
    <w:p>
      <w:pPr>
        <w:ind w:firstLine="420" w:firstLineChars="200"/>
        <w:rPr>
          <w:rFonts w:hint="eastAsia" w:ascii="黑体" w:hAnsi="宋体" w:eastAsia="黑体"/>
          <w:szCs w:val="21"/>
        </w:rPr>
      </w:pPr>
      <w:bookmarkStart w:id="104" w:name="_Toc73521677"/>
      <w:bookmarkStart w:id="105" w:name="_Toc73521589"/>
      <w:bookmarkStart w:id="106" w:name="_Toc73518160"/>
      <w:bookmarkStart w:id="107" w:name="_Toc100052410"/>
      <w:bookmarkStart w:id="108" w:name="_Toc73517682"/>
      <w:r>
        <w:rPr>
          <w:rFonts w:hint="eastAsia" w:ascii="黑体" w:hAnsi="宋体" w:eastAsia="黑体"/>
          <w:szCs w:val="21"/>
        </w:rPr>
        <w:t>45．合同的签订</w:t>
      </w:r>
      <w:bookmarkEnd w:id="104"/>
      <w:bookmarkEnd w:id="105"/>
      <w:bookmarkEnd w:id="106"/>
      <w:bookmarkEnd w:id="107"/>
      <w:bookmarkEnd w:id="108"/>
    </w:p>
    <w:p>
      <w:pPr>
        <w:ind w:firstLine="420" w:firstLineChars="200"/>
        <w:rPr>
          <w:rFonts w:hint="eastAsia" w:ascii="宋体" w:hAnsi="宋体"/>
          <w:szCs w:val="21"/>
        </w:rPr>
      </w:pPr>
      <w:r>
        <w:rPr>
          <w:rFonts w:hint="eastAsia" w:ascii="宋体" w:hAnsi="宋体"/>
          <w:szCs w:val="21"/>
        </w:rPr>
        <w:t>45.1中标人将于中标通知书发出之日起十个工作日内，按照采购文件（采购文件和投标文件等）内容与采购人签订采购合同；合同的实质性内容应当符合采购文件的规定；</w:t>
      </w:r>
    </w:p>
    <w:p>
      <w:pPr>
        <w:ind w:firstLine="420" w:firstLineChars="200"/>
        <w:rPr>
          <w:rFonts w:hint="eastAsia" w:ascii="宋体" w:hAnsi="宋体"/>
          <w:szCs w:val="21"/>
        </w:rPr>
      </w:pPr>
      <w:r>
        <w:rPr>
          <w:rFonts w:hint="eastAsia" w:ascii="宋体" w:hAnsi="宋体"/>
          <w:szCs w:val="21"/>
        </w:rPr>
        <w:t>45.2中标人应当按照合同约定履行义务，完成中标项目，不得将中标项目转让（转包）给他人。</w:t>
      </w:r>
    </w:p>
    <w:p>
      <w:pPr>
        <w:ind w:firstLine="420" w:firstLineChars="200"/>
        <w:rPr>
          <w:rFonts w:hint="eastAsia" w:ascii="黑体" w:hAnsi="宋体" w:eastAsia="黑体"/>
          <w:szCs w:val="21"/>
        </w:rPr>
      </w:pPr>
      <w:bookmarkStart w:id="109" w:name="_Toc100052411"/>
      <w:bookmarkStart w:id="110" w:name="_Toc73521678"/>
      <w:bookmarkStart w:id="111" w:name="_Toc73518161"/>
      <w:bookmarkStart w:id="112" w:name="_Toc73517683"/>
      <w:bookmarkStart w:id="113" w:name="_Toc73521590"/>
      <w:r>
        <w:rPr>
          <w:rFonts w:hint="eastAsia" w:ascii="黑体" w:hAnsi="宋体" w:eastAsia="黑体"/>
          <w:szCs w:val="21"/>
        </w:rPr>
        <w:t>46．履约担保</w:t>
      </w:r>
      <w:bookmarkEnd w:id="109"/>
      <w:bookmarkEnd w:id="110"/>
      <w:bookmarkEnd w:id="111"/>
      <w:bookmarkEnd w:id="112"/>
      <w:bookmarkEnd w:id="113"/>
    </w:p>
    <w:p>
      <w:pPr>
        <w:ind w:firstLine="420" w:firstLineChars="200"/>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20" w:firstLineChars="200"/>
        <w:rPr>
          <w:rFonts w:hint="eastAsia"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pPr>
        <w:ind w:firstLine="420" w:firstLineChars="200"/>
        <w:rPr>
          <w:rFonts w:hint="eastAsia" w:ascii="黑体" w:hAnsi="宋体" w:eastAsia="黑体"/>
          <w:szCs w:val="21"/>
        </w:rPr>
      </w:pPr>
      <w:r>
        <w:rPr>
          <w:rFonts w:hint="eastAsia" w:ascii="黑体" w:hAnsi="宋体" w:eastAsia="黑体"/>
          <w:szCs w:val="21"/>
        </w:rPr>
        <w:t>47. 合同备案</w:t>
      </w:r>
    </w:p>
    <w:p>
      <w:pPr>
        <w:ind w:firstLine="420" w:firstLineChars="200"/>
        <w:rPr>
          <w:rFonts w:hint="eastAsia"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pPr>
        <w:ind w:firstLine="420" w:firstLineChars="200"/>
        <w:rPr>
          <w:rFonts w:hint="eastAsia" w:ascii="黑体" w:hAnsi="宋体" w:eastAsia="黑体"/>
          <w:szCs w:val="21"/>
        </w:rPr>
      </w:pPr>
      <w:r>
        <w:rPr>
          <w:rFonts w:hint="eastAsia" w:ascii="黑体" w:hAnsi="宋体" w:eastAsia="黑体"/>
          <w:szCs w:val="21"/>
        </w:rPr>
        <w:t>48. 合同变更</w:t>
      </w:r>
    </w:p>
    <w:p>
      <w:pPr>
        <w:ind w:firstLine="420" w:firstLineChars="200"/>
        <w:rPr>
          <w:rFonts w:hint="eastAsia"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pPr>
        <w:ind w:firstLine="420" w:firstLineChars="200"/>
        <w:rPr>
          <w:rFonts w:hint="eastAsia" w:ascii="黑体" w:hAnsi="宋体" w:eastAsia="黑体"/>
          <w:szCs w:val="21"/>
        </w:rPr>
      </w:pPr>
      <w:r>
        <w:rPr>
          <w:rFonts w:hint="eastAsia" w:ascii="黑体" w:hAnsi="宋体" w:eastAsia="黑体"/>
          <w:szCs w:val="21"/>
        </w:rPr>
        <w:t>49. 项目验收</w:t>
      </w:r>
    </w:p>
    <w:p>
      <w:pPr>
        <w:widowControl/>
        <w:ind w:firstLine="420" w:firstLineChars="200"/>
        <w:jc w:val="left"/>
        <w:rPr>
          <w:rFonts w:hint="eastAsia" w:ascii="宋体" w:hAnsi="宋体"/>
          <w:szCs w:val="21"/>
        </w:rPr>
      </w:pPr>
      <w:r>
        <w:rPr>
          <w:rFonts w:hint="eastAsia" w:ascii="宋体" w:hAnsi="宋体"/>
          <w:szCs w:val="21"/>
        </w:rPr>
        <w:t>49.1采购人应当按照采购文件和合同规定的标准和方法，及时组织验收。</w:t>
      </w:r>
      <w:r>
        <w:rPr>
          <w:rFonts w:ascii="宋体" w:hAnsi="宋体"/>
          <w:szCs w:val="21"/>
        </w:rPr>
        <w:t xml:space="preserve"> </w:t>
      </w:r>
    </w:p>
    <w:p>
      <w:pPr>
        <w:ind w:firstLine="420" w:firstLineChars="200"/>
        <w:rPr>
          <w:rFonts w:hint="eastAsia" w:ascii="黑体" w:hAnsi="宋体" w:eastAsia="黑体"/>
          <w:szCs w:val="21"/>
        </w:rPr>
      </w:pPr>
      <w:r>
        <w:rPr>
          <w:rFonts w:hint="eastAsia" w:ascii="黑体" w:hAnsi="宋体" w:eastAsia="黑体"/>
          <w:szCs w:val="21"/>
        </w:rPr>
        <w:t>50. 宣传</w:t>
      </w:r>
    </w:p>
    <w:p>
      <w:pPr>
        <w:ind w:firstLine="420" w:firstLineChars="200"/>
        <w:rPr>
          <w:rFonts w:hint="eastAsia"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hint="eastAsia" w:ascii="宋体" w:hAnsi="宋体"/>
          <w:szCs w:val="21"/>
        </w:rPr>
      </w:pPr>
      <w:r>
        <w:rPr>
          <w:rFonts w:hint="eastAsia" w:ascii="宋体" w:hAnsi="宋体"/>
          <w:szCs w:val="21"/>
        </w:rPr>
        <w:t>a.名片、宣传册、广告标语等；</w:t>
      </w:r>
    </w:p>
    <w:p>
      <w:pPr>
        <w:ind w:firstLine="420" w:firstLineChars="200"/>
        <w:rPr>
          <w:rFonts w:hint="eastAsia" w:ascii="宋体" w:hAnsi="宋体"/>
          <w:szCs w:val="21"/>
        </w:rPr>
      </w:pPr>
      <w:r>
        <w:rPr>
          <w:rFonts w:hint="eastAsia" w:ascii="宋体" w:hAnsi="宋体"/>
          <w:szCs w:val="21"/>
        </w:rPr>
        <w:t>b.案例介绍、推广等；</w:t>
      </w:r>
    </w:p>
    <w:p>
      <w:pPr>
        <w:ind w:firstLine="420" w:firstLineChars="200"/>
        <w:rPr>
          <w:rFonts w:hint="eastAsia" w:ascii="宋体" w:hAnsi="宋体"/>
          <w:szCs w:val="21"/>
        </w:rPr>
      </w:pPr>
      <w:r>
        <w:rPr>
          <w:rFonts w:hint="eastAsia" w:ascii="宋体" w:hAnsi="宋体"/>
          <w:szCs w:val="21"/>
        </w:rPr>
        <w:t>c.工作人员向其他消费群体宣传。</w:t>
      </w:r>
    </w:p>
    <w:p>
      <w:pPr>
        <w:ind w:firstLine="420" w:firstLineChars="200"/>
        <w:rPr>
          <w:rFonts w:hint="eastAsia" w:ascii="黑体" w:hAnsi="宋体" w:eastAsia="黑体"/>
          <w:szCs w:val="21"/>
        </w:rPr>
      </w:pPr>
      <w:r>
        <w:rPr>
          <w:rFonts w:hint="eastAsia" w:ascii="黑体" w:hAnsi="宋体" w:eastAsia="黑体"/>
          <w:szCs w:val="21"/>
        </w:rPr>
        <w:t>51. 供应商违法责任</w:t>
      </w:r>
    </w:p>
    <w:p>
      <w:pPr>
        <w:ind w:firstLine="420" w:firstLineChars="200"/>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hint="eastAsia" w:ascii="宋体" w:hAnsi="宋体"/>
          <w:szCs w:val="21"/>
        </w:rPr>
      </w:pPr>
      <w:r>
        <w:rPr>
          <w:rFonts w:hint="eastAsia" w:ascii="宋体" w:hAnsi="宋体"/>
          <w:szCs w:val="21"/>
        </w:rPr>
        <w:t>（1）在采购活动中应当回避而未回避的；</w:t>
      </w:r>
    </w:p>
    <w:p>
      <w:pPr>
        <w:ind w:firstLine="420" w:firstLineChars="200"/>
        <w:rPr>
          <w:rFonts w:hint="eastAsia" w:ascii="宋体" w:hAnsi="宋体"/>
          <w:szCs w:val="21"/>
        </w:rPr>
      </w:pPr>
      <w:r>
        <w:rPr>
          <w:rFonts w:hint="eastAsia" w:ascii="宋体" w:hAnsi="宋体"/>
          <w:szCs w:val="21"/>
        </w:rPr>
        <w:t>（2）未按本条例规定签订、履行采购合同，造成严重后果的；</w:t>
      </w:r>
    </w:p>
    <w:p>
      <w:pPr>
        <w:ind w:firstLine="420" w:firstLineChars="200"/>
        <w:rPr>
          <w:rFonts w:hint="eastAsia" w:ascii="宋体" w:hAnsi="宋体"/>
          <w:szCs w:val="21"/>
        </w:rPr>
      </w:pPr>
      <w:r>
        <w:rPr>
          <w:rFonts w:hint="eastAsia" w:ascii="宋体" w:hAnsi="宋体"/>
          <w:szCs w:val="21"/>
        </w:rPr>
        <w:t>（3）隐瞒真实情况，提供虚假资料的；</w:t>
      </w:r>
    </w:p>
    <w:p>
      <w:pPr>
        <w:ind w:firstLine="420" w:firstLineChars="200"/>
        <w:rPr>
          <w:rFonts w:hint="eastAsia" w:ascii="宋体" w:hAnsi="宋体"/>
          <w:szCs w:val="21"/>
        </w:rPr>
      </w:pPr>
      <w:r>
        <w:rPr>
          <w:rFonts w:hint="eastAsia" w:ascii="宋体" w:hAnsi="宋体"/>
          <w:szCs w:val="21"/>
        </w:rPr>
        <w:t>（4）以非法手段排斥其他供应商参与竞争的；</w:t>
      </w:r>
    </w:p>
    <w:p>
      <w:pPr>
        <w:ind w:firstLine="420" w:firstLineChars="200"/>
        <w:rPr>
          <w:rFonts w:hint="eastAsia" w:ascii="宋体" w:hAnsi="宋体"/>
          <w:szCs w:val="21"/>
        </w:rPr>
      </w:pPr>
      <w:r>
        <w:rPr>
          <w:rFonts w:hint="eastAsia" w:ascii="宋体" w:hAnsi="宋体"/>
          <w:szCs w:val="21"/>
        </w:rPr>
        <w:t>（5）与其他采购参加人串通投标的；</w:t>
      </w:r>
    </w:p>
    <w:p>
      <w:pPr>
        <w:ind w:firstLine="420" w:firstLineChars="200"/>
        <w:rPr>
          <w:rFonts w:hint="eastAsia" w:ascii="宋体" w:hAnsi="宋体"/>
          <w:szCs w:val="21"/>
        </w:rPr>
      </w:pPr>
      <w:r>
        <w:rPr>
          <w:rFonts w:hint="eastAsia" w:ascii="宋体" w:hAnsi="宋体"/>
          <w:szCs w:val="21"/>
        </w:rPr>
        <w:t>（6）恶意投诉的；</w:t>
      </w:r>
    </w:p>
    <w:p>
      <w:pPr>
        <w:ind w:firstLine="420" w:firstLineChars="200"/>
        <w:rPr>
          <w:rFonts w:hint="eastAsia" w:ascii="宋体" w:hAnsi="宋体"/>
          <w:szCs w:val="21"/>
        </w:rPr>
      </w:pPr>
      <w:r>
        <w:rPr>
          <w:rFonts w:hint="eastAsia" w:ascii="宋体" w:hAnsi="宋体"/>
          <w:szCs w:val="21"/>
        </w:rPr>
        <w:t>（7）向采购项目相关人行贿或者提供其他不当利益的；</w:t>
      </w:r>
    </w:p>
    <w:p>
      <w:pPr>
        <w:ind w:firstLine="420" w:firstLineChars="200"/>
        <w:rPr>
          <w:rFonts w:hint="eastAsia" w:ascii="宋体" w:hAnsi="宋体"/>
          <w:szCs w:val="21"/>
        </w:rPr>
      </w:pPr>
      <w:r>
        <w:rPr>
          <w:rFonts w:hint="eastAsia" w:ascii="宋体" w:hAnsi="宋体"/>
          <w:szCs w:val="21"/>
        </w:rPr>
        <w:t>（8）阻碍、抗拒主管部门监督检查的；</w:t>
      </w:r>
    </w:p>
    <w:p>
      <w:pPr>
        <w:ind w:firstLine="420" w:firstLineChars="200"/>
        <w:rPr>
          <w:rFonts w:hint="eastAsia" w:ascii="宋体" w:hAnsi="宋体"/>
          <w:szCs w:val="21"/>
        </w:rPr>
      </w:pPr>
      <w:r>
        <w:rPr>
          <w:rFonts w:hint="eastAsia" w:ascii="宋体" w:hAnsi="宋体"/>
          <w:szCs w:val="21"/>
        </w:rPr>
        <w:t>（9）其他违反本条例规定的行为。</w:t>
      </w:r>
    </w:p>
    <w:p>
      <w:pPr>
        <w:ind w:firstLine="420" w:firstLineChars="200"/>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14" w:name="_Hlk72440769"/>
      <w:r>
        <w:rPr>
          <w:rFonts w:hint="eastAsia" w:ascii="宋体" w:hAnsi="宋体"/>
          <w:szCs w:val="21"/>
        </w:rPr>
        <w:t>政府集中采购机构或采购人不予退还其交纳的谈判保证金，情节严重的，并由主管部门</w:t>
      </w:r>
      <w:bookmarkEnd w:id="114"/>
      <w:r>
        <w:rPr>
          <w:rFonts w:hint="eastAsia" w:ascii="宋体" w:hAnsi="宋体"/>
          <w:szCs w:val="21"/>
        </w:rPr>
        <w:t>记入供应商诚信档案，予以通报：</w:t>
      </w:r>
    </w:p>
    <w:p>
      <w:pPr>
        <w:ind w:firstLine="420" w:firstLineChars="200"/>
        <w:rPr>
          <w:rFonts w:hint="eastAsia" w:ascii="宋体" w:hAnsi="宋体"/>
          <w:szCs w:val="21"/>
        </w:rPr>
      </w:pPr>
      <w:r>
        <w:rPr>
          <w:rFonts w:hint="eastAsia" w:ascii="宋体" w:hAnsi="宋体"/>
          <w:szCs w:val="21"/>
        </w:rPr>
        <w:t>（1</w:t>
      </w:r>
      <w:r>
        <w:rPr>
          <w:rFonts w:ascii="宋体" w:hAnsi="宋体"/>
          <w:szCs w:val="21"/>
        </w:rPr>
        <w:t>）投标截止后，撤销投标的；</w:t>
      </w:r>
    </w:p>
    <w:p>
      <w:pPr>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代理</w:t>
      </w:r>
      <w:r>
        <w:rPr>
          <w:rFonts w:ascii="宋体" w:hAnsi="宋体"/>
          <w:szCs w:val="21"/>
        </w:rPr>
        <w:t>机构同意，将中标项目分包给他人的；</w:t>
      </w:r>
    </w:p>
    <w:p>
      <w:pPr>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pPr>
        <w:pStyle w:val="2"/>
      </w:pPr>
    </w:p>
    <w:bookmarkEnd w:id="98"/>
    <w:p>
      <w:pPr>
        <w:pStyle w:val="79"/>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pPr>
        <w:ind w:firstLine="420" w:firstLineChars="200"/>
        <w:rPr>
          <w:rFonts w:hint="eastAsia" w:ascii="黑体" w:hAnsi="宋体" w:eastAsia="黑体"/>
          <w:szCs w:val="21"/>
        </w:rPr>
      </w:pPr>
      <w:r>
        <w:rPr>
          <w:rFonts w:hint="eastAsia" w:ascii="黑体" w:hAnsi="宋体" w:eastAsia="黑体"/>
          <w:szCs w:val="21"/>
        </w:rPr>
        <w:t>52.质疑提出与答复</w:t>
      </w:r>
    </w:p>
    <w:p>
      <w:pPr>
        <w:ind w:firstLine="420" w:firstLineChars="200"/>
        <w:rPr>
          <w:rFonts w:hint="eastAsia" w:ascii="宋体" w:hAnsi="宋体"/>
          <w:szCs w:val="21"/>
        </w:rPr>
      </w:pPr>
      <w:r>
        <w:rPr>
          <w:rFonts w:hint="eastAsia" w:ascii="宋体" w:hAnsi="宋体"/>
          <w:szCs w:val="21"/>
        </w:rPr>
        <w:t>52.1提出质疑</w:t>
      </w:r>
    </w:p>
    <w:p>
      <w:pPr>
        <w:ind w:firstLine="420" w:firstLineChars="200"/>
        <w:rPr>
          <w:rFonts w:hint="eastAsia"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hint="eastAsia" w:ascii="宋体" w:hAnsi="宋体"/>
          <w:szCs w:val="21"/>
        </w:rPr>
      </w:pPr>
      <w:r>
        <w:rPr>
          <w:rFonts w:hint="eastAsia" w:ascii="宋体" w:hAnsi="宋体"/>
          <w:szCs w:val="21"/>
        </w:rPr>
        <w:t>52.2</w:t>
      </w:r>
      <w:r>
        <w:rPr>
          <w:rFonts w:ascii="宋体" w:hAnsi="宋体"/>
          <w:szCs w:val="21"/>
        </w:rPr>
        <w:t>法律依据</w:t>
      </w:r>
    </w:p>
    <w:p>
      <w:pPr>
        <w:ind w:firstLine="420" w:firstLineChars="200"/>
        <w:rPr>
          <w:rFonts w:hint="eastAsia"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ind w:firstLine="420" w:firstLineChars="200"/>
        <w:rPr>
          <w:rFonts w:hint="eastAsia" w:ascii="宋体" w:hAnsi="宋体"/>
          <w:szCs w:val="21"/>
        </w:rPr>
      </w:pPr>
      <w:r>
        <w:rPr>
          <w:rFonts w:hint="eastAsia" w:ascii="宋体" w:hAnsi="宋体"/>
          <w:szCs w:val="21"/>
        </w:rPr>
        <w:t>52.3质疑条件</w:t>
      </w:r>
    </w:p>
    <w:p>
      <w:pPr>
        <w:ind w:firstLine="420" w:firstLineChars="200"/>
        <w:rPr>
          <w:rFonts w:hint="eastAsia" w:ascii="宋体" w:hAnsi="宋体"/>
          <w:szCs w:val="21"/>
        </w:rPr>
      </w:pPr>
      <w:r>
        <w:rPr>
          <w:rFonts w:hint="eastAsia" w:ascii="宋体" w:hAnsi="宋体"/>
          <w:szCs w:val="21"/>
        </w:rPr>
        <w:t>52.3.1提出质疑的供应商应当是参与所质疑项目采购活动的供应商；</w:t>
      </w:r>
      <w:bookmarkStart w:id="115" w:name="_Hlk75374941"/>
      <w:r>
        <w:rPr>
          <w:rFonts w:hint="eastAsia" w:ascii="宋体" w:hAnsi="宋体"/>
          <w:szCs w:val="21"/>
        </w:rPr>
        <w:t>以联合体形式参与的，质疑应当由组成联合体的所有成员共同提出</w:t>
      </w:r>
      <w:bookmarkEnd w:id="115"/>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结果以及评审委员会组成人员的质疑，为中标结果公示之日；</w:t>
      </w:r>
    </w:p>
    <w:p>
      <w:pPr>
        <w:ind w:firstLine="420" w:firstLineChars="20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（1）供应商的名称（或者姓名）、地址、邮编、邮箱、联系人及联系电话；</w:t>
      </w:r>
    </w:p>
    <w:p>
      <w:pPr>
        <w:ind w:firstLine="420" w:firstLineChars="200"/>
        <w:rPr>
          <w:rFonts w:hint="eastAsia" w:ascii="宋体" w:hAnsi="宋体"/>
          <w:szCs w:val="21"/>
        </w:rPr>
      </w:pPr>
      <w:r>
        <w:rPr>
          <w:rFonts w:hint="eastAsia" w:ascii="宋体" w:hAnsi="宋体"/>
          <w:szCs w:val="21"/>
        </w:rPr>
        <w:t>（2）质疑项目的名称、编号；</w:t>
      </w:r>
    </w:p>
    <w:p>
      <w:pPr>
        <w:ind w:firstLine="420" w:firstLineChars="200"/>
        <w:rPr>
          <w:rFonts w:hint="eastAsia" w:ascii="宋体" w:hAnsi="宋体"/>
          <w:szCs w:val="21"/>
        </w:rPr>
      </w:pPr>
      <w:r>
        <w:rPr>
          <w:rFonts w:hint="eastAsia" w:ascii="宋体" w:hAnsi="宋体"/>
          <w:szCs w:val="21"/>
        </w:rPr>
        <w:t>（3）具体、明确的质疑对象、质疑事项和质疑请求；</w:t>
      </w:r>
    </w:p>
    <w:p>
      <w:pPr>
        <w:ind w:firstLine="420" w:firstLineChars="200"/>
        <w:rPr>
          <w:rFonts w:hint="eastAsia" w:ascii="宋体" w:hAnsi="宋体"/>
          <w:szCs w:val="21"/>
        </w:rPr>
      </w:pPr>
      <w:r>
        <w:rPr>
          <w:rFonts w:hint="eastAsia" w:ascii="宋体" w:hAnsi="宋体"/>
          <w:szCs w:val="21"/>
        </w:rPr>
        <w:t>（4）因质疑事项而受损害的权益；</w:t>
      </w:r>
    </w:p>
    <w:p>
      <w:pPr>
        <w:ind w:firstLine="420" w:firstLineChars="200"/>
        <w:rPr>
          <w:rFonts w:hint="eastAsia" w:ascii="宋体" w:hAnsi="宋体"/>
          <w:szCs w:val="21"/>
        </w:rPr>
      </w:pPr>
      <w:r>
        <w:rPr>
          <w:rFonts w:hint="eastAsia" w:ascii="宋体" w:hAnsi="宋体"/>
          <w:szCs w:val="21"/>
        </w:rPr>
        <w:t>（5）事实依据；</w:t>
      </w:r>
    </w:p>
    <w:p>
      <w:pPr>
        <w:ind w:firstLine="420" w:firstLineChars="200"/>
        <w:rPr>
          <w:rFonts w:hint="eastAsia" w:ascii="宋体" w:hAnsi="宋体"/>
          <w:szCs w:val="21"/>
        </w:rPr>
      </w:pPr>
      <w:r>
        <w:rPr>
          <w:rFonts w:hint="eastAsia" w:ascii="宋体" w:hAnsi="宋体"/>
          <w:szCs w:val="21"/>
        </w:rPr>
        <w:t>（6）必要的法律依据；</w:t>
      </w:r>
    </w:p>
    <w:p>
      <w:pPr>
        <w:ind w:firstLine="420" w:firstLineChars="200"/>
        <w:rPr>
          <w:rFonts w:hint="eastAsia" w:ascii="宋体" w:hAnsi="宋体"/>
          <w:szCs w:val="21"/>
        </w:rPr>
      </w:pPr>
      <w:r>
        <w:rPr>
          <w:rFonts w:hint="eastAsia" w:ascii="宋体" w:hAnsi="宋体"/>
          <w:szCs w:val="21"/>
        </w:rPr>
        <w:t>（7）提出质疑的日期。</w:t>
      </w:r>
    </w:p>
    <w:p>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hint="eastAsia" w:ascii="宋体" w:hAnsi="宋体"/>
          <w:szCs w:val="21"/>
        </w:rPr>
      </w:pPr>
      <w:r>
        <w:rPr>
          <w:rFonts w:hint="eastAsia" w:ascii="宋体" w:hAnsi="宋体"/>
          <w:szCs w:val="21"/>
        </w:rPr>
        <w:t>52.5收文地点</w:t>
      </w:r>
    </w:p>
    <w:p>
      <w:pPr>
        <w:ind w:firstLine="422"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hint="eastAsia" w:ascii="仿宋" w:hAnsi="仿宋" w:eastAsia="仿宋"/>
          <w:szCs w:val="21"/>
        </w:rPr>
      </w:pPr>
      <w:r>
        <w:rPr>
          <w:rFonts w:hint="eastAsia" w:ascii="宋体" w:hAnsi="宋体"/>
          <w:szCs w:val="21"/>
        </w:rPr>
        <w:t>52.6.2供应商提交的质疑材料不符合质疑条件的，视情况处理：</w:t>
      </w:r>
    </w:p>
    <w:p>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hint="eastAsia" w:ascii="宋体" w:hAnsi="宋体"/>
          <w:szCs w:val="21"/>
        </w:rPr>
      </w:pPr>
      <w:r>
        <w:rPr>
          <w:rFonts w:hint="eastAsia" w:ascii="宋体" w:hAnsi="宋体"/>
          <w:szCs w:val="21"/>
        </w:rPr>
        <w:t>供应商提交的质疑存在下列情形之一的，不予受理：</w:t>
      </w:r>
    </w:p>
    <w:p>
      <w:pPr>
        <w:ind w:firstLine="420" w:firstLineChars="200"/>
        <w:rPr>
          <w:rFonts w:hint="eastAsia" w:ascii="宋体" w:hAnsi="宋体"/>
          <w:szCs w:val="21"/>
        </w:rPr>
      </w:pPr>
      <w:r>
        <w:rPr>
          <w:rFonts w:hint="eastAsia" w:ascii="宋体" w:hAnsi="宋体"/>
          <w:szCs w:val="21"/>
        </w:rPr>
        <w:t>（1）质疑主体不满足要求的；</w:t>
      </w:r>
    </w:p>
    <w:p>
      <w:pPr>
        <w:ind w:firstLine="420" w:firstLineChars="200"/>
        <w:rPr>
          <w:rFonts w:hint="eastAsia" w:ascii="宋体" w:hAnsi="宋体"/>
          <w:szCs w:val="21"/>
        </w:rPr>
      </w:pPr>
      <w:r>
        <w:rPr>
          <w:rFonts w:hint="eastAsia" w:ascii="宋体" w:hAnsi="宋体"/>
          <w:szCs w:val="21"/>
        </w:rPr>
        <w:t>（2）供应商自身权益未受到损害的；</w:t>
      </w:r>
    </w:p>
    <w:p>
      <w:pPr>
        <w:ind w:firstLine="420" w:firstLineChars="200"/>
        <w:rPr>
          <w:rFonts w:hint="eastAsia" w:ascii="宋体" w:hAnsi="宋体"/>
          <w:szCs w:val="21"/>
        </w:rPr>
      </w:pPr>
      <w:r>
        <w:rPr>
          <w:rFonts w:hint="eastAsia" w:ascii="宋体" w:hAnsi="宋体"/>
          <w:szCs w:val="21"/>
        </w:rPr>
        <w:t>（3）供应商未在法定质疑期限内提出质疑的；</w:t>
      </w:r>
    </w:p>
    <w:p>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hint="eastAsia" w:ascii="宋体" w:hAnsi="宋体"/>
          <w:szCs w:val="21"/>
        </w:rPr>
      </w:pPr>
      <w:r>
        <w:rPr>
          <w:rFonts w:hint="eastAsia" w:ascii="宋体" w:hAnsi="宋体"/>
          <w:szCs w:val="21"/>
        </w:rPr>
        <w:t>（5）其他不符合受理条件情形的。</w:t>
      </w:r>
    </w:p>
    <w:p>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pPr>
        <w:ind w:firstLine="420" w:firstLineChars="200"/>
        <w:rPr>
          <w:rFonts w:hint="eastAsia" w:ascii="宋体" w:hAnsi="宋体"/>
          <w:szCs w:val="21"/>
        </w:rPr>
      </w:pPr>
      <w:r>
        <w:rPr>
          <w:rFonts w:hint="eastAsia" w:ascii="宋体" w:hAnsi="宋体"/>
          <w:szCs w:val="21"/>
        </w:rPr>
        <w:t>52.7质疑答复时限</w:t>
      </w:r>
    </w:p>
    <w:p>
      <w:pPr>
        <w:ind w:firstLine="420" w:firstLineChars="200"/>
        <w:rPr>
          <w:rFonts w:hint="eastAsia" w:ascii="宋体" w:hAnsi="宋体"/>
          <w:szCs w:val="21"/>
        </w:rPr>
      </w:pPr>
      <w:r>
        <w:rPr>
          <w:rFonts w:hint="eastAsia" w:ascii="宋体" w:hAnsi="宋体"/>
          <w:szCs w:val="21"/>
        </w:rPr>
        <w:t>自收文之日起七个工作日内。</w:t>
      </w:r>
    </w:p>
    <w:p>
      <w:pPr>
        <w:ind w:firstLine="420" w:firstLineChars="200"/>
        <w:rPr>
          <w:rFonts w:hint="eastAsia" w:ascii="宋体" w:hAnsi="宋体"/>
          <w:szCs w:val="21"/>
        </w:rPr>
      </w:pPr>
      <w:r>
        <w:rPr>
          <w:rFonts w:hint="eastAsia" w:ascii="宋体" w:hAnsi="宋体"/>
          <w:szCs w:val="21"/>
        </w:rPr>
        <w:t>52.8争议（投诉）</w:t>
      </w:r>
    </w:p>
    <w:p>
      <w:pPr>
        <w:ind w:firstLine="420" w:firstLineChars="200"/>
        <w:rPr>
          <w:rFonts w:hint="eastAsia"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pPr>
        <w:ind w:firstLine="420" w:firstLineChars="200"/>
        <w:rPr>
          <w:rFonts w:hint="eastAsia" w:ascii="黑体" w:hAnsi="宋体" w:eastAsia="黑体"/>
          <w:szCs w:val="21"/>
        </w:rPr>
      </w:pPr>
      <w:r>
        <w:rPr>
          <w:rFonts w:hint="eastAsia" w:ascii="黑体" w:hAnsi="宋体" w:eastAsia="黑体"/>
          <w:szCs w:val="21"/>
        </w:rPr>
        <w:t>53. 质疑后续处理</w:t>
      </w:r>
    </w:p>
    <w:p>
      <w:pPr>
        <w:ind w:firstLine="420" w:firstLineChars="200"/>
        <w:rPr>
          <w:rFonts w:hint="eastAsia" w:ascii="宋体" w:hAnsi="宋体"/>
          <w:szCs w:val="21"/>
        </w:rPr>
      </w:pPr>
      <w:r>
        <w:rPr>
          <w:rFonts w:hint="eastAsia" w:ascii="宋体" w:hAnsi="宋体"/>
          <w:szCs w:val="21"/>
        </w:rPr>
        <w:t>53.1供应商质疑不成立，或者成立但未对中标、成交结果构成影响的，继续开展采购活动。</w:t>
      </w:r>
    </w:p>
    <w:p>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61"/>
    </w:p>
    <w:p>
      <w:pPr>
        <w:rPr>
          <w:rFonts w:hint="eastAsia" w:ascii="宋体" w:hAnsi="宋体"/>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
    <w:altName w:val="Segoe Print"/>
    <w:panose1 w:val="00000000000000000000"/>
    <w:charset w:val="00"/>
    <w:family w:val="roman"/>
    <w:pitch w:val="default"/>
    <w:sig w:usb0="00000000" w:usb1="00000000" w:usb2="00000000" w:usb3="00000000" w:csb0="0000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t xml:space="preserve">- </w:t>
    </w:r>
    <w:r>
      <w:fldChar w:fldCharType="begin"/>
    </w:r>
    <w:r>
      <w:instrText xml:space="preserve"> PAGE </w:instrText>
    </w:r>
    <w:r>
      <w:fldChar w:fldCharType="separate"/>
    </w:r>
    <w:r>
      <w:t>2</w:t>
    </w:r>
    <w:r>
      <w:fldChar w:fldCharType="end"/>
    </w:r>
    <w:r>
      <w:t xml:space="preserve"> -</w: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rPr>
        <w:rStyle w:val="47"/>
      </w:rPr>
      <w:fldChar w:fldCharType="begin"/>
    </w:r>
    <w:r>
      <w:rPr>
        <w:rStyle w:val="47"/>
      </w:rPr>
      <w:instrText xml:space="preserve">PAGE  </w:instrText>
    </w:r>
    <w:r>
      <w:rPr>
        <w:rStyle w:val="47"/>
      </w:rPr>
      <w:fldChar w:fldCharType="separate"/>
    </w:r>
    <w:r>
      <w:rPr>
        <w:rStyle w:val="47"/>
      </w:rPr>
      <w:t>10</w:t>
    </w:r>
    <w:r>
      <w:rPr>
        <w:rStyle w:val="47"/>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13"/>
      <w:lvlText w:val=""/>
      <w:lvlJc w:val="left"/>
      <w:pPr>
        <w:tabs>
          <w:tab w:val="left" w:pos="420"/>
        </w:tabs>
        <w:ind w:left="420" w:hanging="420"/>
      </w:pPr>
      <w:rPr>
        <w:rFonts w:hint="default" w:ascii="Wingdings" w:hAnsi="Wingdings"/>
      </w:rPr>
    </w:lvl>
    <w:lvl w:ilvl="1" w:tentative="0">
      <w:start w:val="1"/>
      <w:numFmt w:val="bullet"/>
      <w:pStyle w:val="11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81"/>
      <w:lvlText w:val=""/>
      <w:lvlJc w:val="left"/>
      <w:pPr>
        <w:tabs>
          <w:tab w:val="left" w:pos="840"/>
        </w:tabs>
        <w:ind w:left="840" w:hanging="420"/>
      </w:pPr>
      <w:rPr>
        <w:rFonts w:hint="default" w:ascii="Wingdings" w:hAnsi="Wingdings"/>
      </w:rPr>
    </w:lvl>
    <w:lvl w:ilvl="1" w:tentative="0">
      <w:start w:val="1"/>
      <w:numFmt w:val="bullet"/>
      <w:pStyle w:val="8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3"/>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EF7716"/>
    <w:multiLevelType w:val="multilevel"/>
    <w:tmpl w:val="7AEF7716"/>
    <w:lvl w:ilvl="0" w:tentative="0">
      <w:start w:val="1"/>
      <w:numFmt w:val="chineseCountingThousand"/>
      <w:pStyle w:val="126"/>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6B60"/>
    <w:rsid w:val="000770EC"/>
    <w:rsid w:val="00081E95"/>
    <w:rsid w:val="00082667"/>
    <w:rsid w:val="00082AD2"/>
    <w:rsid w:val="00083DC6"/>
    <w:rsid w:val="000840D4"/>
    <w:rsid w:val="00084857"/>
    <w:rsid w:val="00084F26"/>
    <w:rsid w:val="0008503C"/>
    <w:rsid w:val="000850AF"/>
    <w:rsid w:val="0008517A"/>
    <w:rsid w:val="00085263"/>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16B"/>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207"/>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29"/>
    <w:rsid w:val="00160ACE"/>
    <w:rsid w:val="00161C4F"/>
    <w:rsid w:val="00161C84"/>
    <w:rsid w:val="00161F2A"/>
    <w:rsid w:val="00161FDF"/>
    <w:rsid w:val="001626BD"/>
    <w:rsid w:val="00162C33"/>
    <w:rsid w:val="0016340E"/>
    <w:rsid w:val="001645C4"/>
    <w:rsid w:val="00164E23"/>
    <w:rsid w:val="0016595F"/>
    <w:rsid w:val="001668E5"/>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00E"/>
    <w:rsid w:val="00246305"/>
    <w:rsid w:val="00246C63"/>
    <w:rsid w:val="002472C1"/>
    <w:rsid w:val="00247355"/>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5D"/>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52C"/>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442"/>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4033"/>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696F"/>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355B"/>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61E2"/>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4779"/>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404E"/>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851"/>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8AE"/>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019"/>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4A7B"/>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43B"/>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2A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0ADF"/>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165F"/>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2D9C"/>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216"/>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174D4"/>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0CE"/>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2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2C1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E8C"/>
    <w:rsid w:val="00D54F79"/>
    <w:rsid w:val="00D55A05"/>
    <w:rsid w:val="00D562A8"/>
    <w:rsid w:val="00D562D9"/>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0C8E"/>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F3534A"/>
    <w:rsid w:val="045B6255"/>
    <w:rsid w:val="05D11D1B"/>
    <w:rsid w:val="05D91AB7"/>
    <w:rsid w:val="05DB34C6"/>
    <w:rsid w:val="05FA7789"/>
    <w:rsid w:val="067D4F9E"/>
    <w:rsid w:val="07AF301F"/>
    <w:rsid w:val="08204893"/>
    <w:rsid w:val="08505170"/>
    <w:rsid w:val="086E43E4"/>
    <w:rsid w:val="086F7E62"/>
    <w:rsid w:val="08E27D9B"/>
    <w:rsid w:val="093A1D5C"/>
    <w:rsid w:val="099512B1"/>
    <w:rsid w:val="09F07824"/>
    <w:rsid w:val="0A40746F"/>
    <w:rsid w:val="0B0104DC"/>
    <w:rsid w:val="0B5C3E34"/>
    <w:rsid w:val="0B60651B"/>
    <w:rsid w:val="0B9340C0"/>
    <w:rsid w:val="0BB26C18"/>
    <w:rsid w:val="0BDF6813"/>
    <w:rsid w:val="0CBA3508"/>
    <w:rsid w:val="0D1077DD"/>
    <w:rsid w:val="0D32334D"/>
    <w:rsid w:val="0D5F347D"/>
    <w:rsid w:val="0D646E2A"/>
    <w:rsid w:val="0ECD6BB9"/>
    <w:rsid w:val="0F5170F1"/>
    <w:rsid w:val="102A1CBB"/>
    <w:rsid w:val="107C061C"/>
    <w:rsid w:val="109C2F25"/>
    <w:rsid w:val="10AF5CC3"/>
    <w:rsid w:val="111451B1"/>
    <w:rsid w:val="11205904"/>
    <w:rsid w:val="114A387E"/>
    <w:rsid w:val="11543BAC"/>
    <w:rsid w:val="11A5013E"/>
    <w:rsid w:val="11A5684D"/>
    <w:rsid w:val="12042B30"/>
    <w:rsid w:val="120E7E09"/>
    <w:rsid w:val="123D4E07"/>
    <w:rsid w:val="138D5987"/>
    <w:rsid w:val="13F74556"/>
    <w:rsid w:val="14B85A81"/>
    <w:rsid w:val="14F90946"/>
    <w:rsid w:val="151469B7"/>
    <w:rsid w:val="152850C5"/>
    <w:rsid w:val="15956C4F"/>
    <w:rsid w:val="159F2DAC"/>
    <w:rsid w:val="16B94475"/>
    <w:rsid w:val="17853B61"/>
    <w:rsid w:val="17BE3B06"/>
    <w:rsid w:val="17E70F2A"/>
    <w:rsid w:val="188B0E43"/>
    <w:rsid w:val="19006747"/>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7BF3329"/>
    <w:rsid w:val="27D72D69"/>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2F727CE6"/>
    <w:rsid w:val="2FCA01E7"/>
    <w:rsid w:val="30006A18"/>
    <w:rsid w:val="30045057"/>
    <w:rsid w:val="30667B76"/>
    <w:rsid w:val="307410C2"/>
    <w:rsid w:val="30A91AF4"/>
    <w:rsid w:val="313C5E2A"/>
    <w:rsid w:val="31967B93"/>
    <w:rsid w:val="33052E4F"/>
    <w:rsid w:val="34CC52D7"/>
    <w:rsid w:val="34FF745B"/>
    <w:rsid w:val="356644BD"/>
    <w:rsid w:val="3569702C"/>
    <w:rsid w:val="359A6798"/>
    <w:rsid w:val="35AA6E20"/>
    <w:rsid w:val="35AF558A"/>
    <w:rsid w:val="364A5420"/>
    <w:rsid w:val="37FA3B07"/>
    <w:rsid w:val="38125841"/>
    <w:rsid w:val="38BA5C68"/>
    <w:rsid w:val="393435C0"/>
    <w:rsid w:val="3A660185"/>
    <w:rsid w:val="3AC0767B"/>
    <w:rsid w:val="3B2B2A20"/>
    <w:rsid w:val="3BDD4E74"/>
    <w:rsid w:val="3BF16943"/>
    <w:rsid w:val="3C254167"/>
    <w:rsid w:val="3C54617F"/>
    <w:rsid w:val="3CA8662A"/>
    <w:rsid w:val="3D9C10CD"/>
    <w:rsid w:val="3DC6005E"/>
    <w:rsid w:val="3DF02037"/>
    <w:rsid w:val="3E734A16"/>
    <w:rsid w:val="3E80785E"/>
    <w:rsid w:val="3EDE6333"/>
    <w:rsid w:val="3FA34647"/>
    <w:rsid w:val="40A229C7"/>
    <w:rsid w:val="411529FB"/>
    <w:rsid w:val="41CA2D0D"/>
    <w:rsid w:val="41CF23DC"/>
    <w:rsid w:val="41DB399D"/>
    <w:rsid w:val="42A11473"/>
    <w:rsid w:val="447D6078"/>
    <w:rsid w:val="454C7069"/>
    <w:rsid w:val="458F0387"/>
    <w:rsid w:val="45E17242"/>
    <w:rsid w:val="46634A89"/>
    <w:rsid w:val="46BE3798"/>
    <w:rsid w:val="47462CC7"/>
    <w:rsid w:val="4764220C"/>
    <w:rsid w:val="47833F1C"/>
    <w:rsid w:val="47B6656B"/>
    <w:rsid w:val="47C542E0"/>
    <w:rsid w:val="48DF3CF4"/>
    <w:rsid w:val="49F76548"/>
    <w:rsid w:val="4A8907BB"/>
    <w:rsid w:val="4B110B90"/>
    <w:rsid w:val="4C2149E6"/>
    <w:rsid w:val="4D986247"/>
    <w:rsid w:val="4DAD0AEE"/>
    <w:rsid w:val="4DE33966"/>
    <w:rsid w:val="4E8135B3"/>
    <w:rsid w:val="4EC6706B"/>
    <w:rsid w:val="4F267444"/>
    <w:rsid w:val="4FA0501B"/>
    <w:rsid w:val="503C40AD"/>
    <w:rsid w:val="508D27A6"/>
    <w:rsid w:val="50B8727F"/>
    <w:rsid w:val="51C4760A"/>
    <w:rsid w:val="53083749"/>
    <w:rsid w:val="55B84EAE"/>
    <w:rsid w:val="56382C47"/>
    <w:rsid w:val="59171178"/>
    <w:rsid w:val="597B4491"/>
    <w:rsid w:val="59A57D21"/>
    <w:rsid w:val="5A9B6510"/>
    <w:rsid w:val="5C1B17B8"/>
    <w:rsid w:val="5C8A1451"/>
    <w:rsid w:val="5CE11669"/>
    <w:rsid w:val="5D0A42CB"/>
    <w:rsid w:val="5D1F12B1"/>
    <w:rsid w:val="5D3726E4"/>
    <w:rsid w:val="5E577D66"/>
    <w:rsid w:val="5ED8763C"/>
    <w:rsid w:val="5F0E70B0"/>
    <w:rsid w:val="5F6D308F"/>
    <w:rsid w:val="5FFC7D0A"/>
    <w:rsid w:val="60515EE8"/>
    <w:rsid w:val="61250170"/>
    <w:rsid w:val="61603C1A"/>
    <w:rsid w:val="61910E2C"/>
    <w:rsid w:val="62324D67"/>
    <w:rsid w:val="62854069"/>
    <w:rsid w:val="62A241F2"/>
    <w:rsid w:val="62AF7126"/>
    <w:rsid w:val="63331D15"/>
    <w:rsid w:val="64220BB4"/>
    <w:rsid w:val="64F40429"/>
    <w:rsid w:val="651E6376"/>
    <w:rsid w:val="660D7080"/>
    <w:rsid w:val="6658788B"/>
    <w:rsid w:val="67297071"/>
    <w:rsid w:val="67E1648C"/>
    <w:rsid w:val="69A9410F"/>
    <w:rsid w:val="6A217DF6"/>
    <w:rsid w:val="6A371DEF"/>
    <w:rsid w:val="6B100175"/>
    <w:rsid w:val="6B122952"/>
    <w:rsid w:val="6B37721A"/>
    <w:rsid w:val="6BEB3CFE"/>
    <w:rsid w:val="6C662F7C"/>
    <w:rsid w:val="6C804AB4"/>
    <w:rsid w:val="6D904C50"/>
    <w:rsid w:val="6DE55656"/>
    <w:rsid w:val="6DFD472A"/>
    <w:rsid w:val="6E261BA7"/>
    <w:rsid w:val="732E2E41"/>
    <w:rsid w:val="73762E92"/>
    <w:rsid w:val="74B75416"/>
    <w:rsid w:val="751050E8"/>
    <w:rsid w:val="76414A7E"/>
    <w:rsid w:val="76574066"/>
    <w:rsid w:val="768C6099"/>
    <w:rsid w:val="77736FF8"/>
    <w:rsid w:val="784576F8"/>
    <w:rsid w:val="78767A5E"/>
    <w:rsid w:val="79960562"/>
    <w:rsid w:val="79FA5A10"/>
    <w:rsid w:val="7A2307C6"/>
    <w:rsid w:val="7A54626B"/>
    <w:rsid w:val="7BF02C60"/>
    <w:rsid w:val="7C050DEC"/>
    <w:rsid w:val="7C8D66C7"/>
    <w:rsid w:val="7D0050EB"/>
    <w:rsid w:val="7DFD76C5"/>
    <w:rsid w:val="7DFF53A3"/>
    <w:rsid w:val="7E816BC7"/>
    <w:rsid w:val="7ECA59B1"/>
    <w:rsid w:val="7F6C2EA6"/>
    <w:rsid w:val="7FD45025"/>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2"/>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7"/>
    <w:qFormat/>
    <w:uiPriority w:val="0"/>
    <w:pPr>
      <w:adjustRightInd w:val="0"/>
      <w:jc w:val="center"/>
      <w:textAlignment w:val="baseline"/>
      <w:outlineLvl w:val="1"/>
    </w:pPr>
    <w:rPr>
      <w:kern w:val="0"/>
      <w:sz w:val="24"/>
      <w:szCs w:val="20"/>
    </w:rPr>
  </w:style>
  <w:style w:type="paragraph" w:styleId="5">
    <w:name w:val="heading 3"/>
    <w:basedOn w:val="6"/>
    <w:next w:val="1"/>
    <w:link w:val="61"/>
    <w:qFormat/>
    <w:uiPriority w:val="9"/>
    <w:pPr>
      <w:spacing w:before="260" w:after="260" w:line="240" w:lineRule="auto"/>
      <w:outlineLvl w:val="2"/>
    </w:pPr>
    <w:rPr>
      <w:rFonts w:ascii="宋体" w:hAnsi="宋体" w:eastAsia="宋体"/>
      <w:szCs w:val="32"/>
    </w:rPr>
  </w:style>
  <w:style w:type="paragraph" w:styleId="6">
    <w:name w:val="heading 4"/>
    <w:basedOn w:val="1"/>
    <w:next w:val="1"/>
    <w:link w:val="59"/>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6"/>
    <w:qFormat/>
    <w:uiPriority w:val="0"/>
    <w:pPr>
      <w:keepNext/>
      <w:keepLines/>
      <w:spacing w:before="280" w:after="290" w:line="376" w:lineRule="auto"/>
      <w:outlineLvl w:val="4"/>
    </w:pPr>
    <w:rPr>
      <w:b/>
      <w:sz w:val="28"/>
      <w:szCs w:val="20"/>
    </w:rPr>
  </w:style>
  <w:style w:type="paragraph" w:styleId="10">
    <w:name w:val="heading 6"/>
    <w:basedOn w:val="1"/>
    <w:next w:val="9"/>
    <w:link w:val="89"/>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90"/>
    <w:qFormat/>
    <w:uiPriority w:val="0"/>
    <w:pPr>
      <w:keepNext/>
      <w:keepLines/>
      <w:spacing w:before="240" w:after="64" w:line="320" w:lineRule="auto"/>
      <w:outlineLvl w:val="6"/>
    </w:pPr>
    <w:rPr>
      <w:b/>
      <w:sz w:val="24"/>
      <w:szCs w:val="20"/>
    </w:rPr>
  </w:style>
  <w:style w:type="paragraph" w:styleId="12">
    <w:name w:val="heading 8"/>
    <w:basedOn w:val="1"/>
    <w:next w:val="9"/>
    <w:link w:val="91"/>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2"/>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8"/>
    <w:qFormat/>
    <w:uiPriority w:val="0"/>
    <w:pPr>
      <w:spacing w:line="360" w:lineRule="auto"/>
    </w:pPr>
    <w:rPr>
      <w:b/>
      <w:bCs/>
      <w:sz w:val="24"/>
    </w:rPr>
  </w:style>
  <w:style w:type="paragraph" w:styleId="3">
    <w:name w:val="Body Text 2"/>
    <w:basedOn w:val="1"/>
    <w:link w:val="102"/>
    <w:qFormat/>
    <w:uiPriority w:val="0"/>
    <w:pPr>
      <w:spacing w:line="360" w:lineRule="auto"/>
    </w:pPr>
    <w:rPr>
      <w:sz w:val="24"/>
    </w:rPr>
  </w:style>
  <w:style w:type="paragraph" w:styleId="9">
    <w:name w:val="Normal Indent"/>
    <w:basedOn w:val="1"/>
    <w:link w:val="63"/>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90"/>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104"/>
    <w:qFormat/>
    <w:uiPriority w:val="0"/>
    <w:pPr>
      <w:spacing w:after="120"/>
    </w:pPr>
    <w:rPr>
      <w:sz w:val="16"/>
      <w:szCs w:val="16"/>
    </w:rPr>
  </w:style>
  <w:style w:type="paragraph" w:styleId="20">
    <w:name w:val="Body Text Indent"/>
    <w:basedOn w:val="1"/>
    <w:link w:val="85"/>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6"/>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4"/>
    <w:qFormat/>
    <w:uiPriority w:val="0"/>
    <w:rPr>
      <w:rFonts w:ascii="宋体" w:hAnsi="Courier New"/>
      <w:sz w:val="32"/>
      <w:szCs w:val="20"/>
    </w:rPr>
  </w:style>
  <w:style w:type="paragraph" w:styleId="26">
    <w:name w:val="Body Text Indent 2"/>
    <w:basedOn w:val="1"/>
    <w:link w:val="99"/>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5"/>
    <w:semiHidden/>
    <w:qFormat/>
    <w:uiPriority w:val="99"/>
    <w:rPr>
      <w:sz w:val="18"/>
      <w:szCs w:val="18"/>
    </w:rPr>
  </w:style>
  <w:style w:type="paragraph" w:styleId="28">
    <w:name w:val="footer"/>
    <w:basedOn w:val="1"/>
    <w:link w:val="103"/>
    <w:qFormat/>
    <w:uiPriority w:val="0"/>
    <w:pPr>
      <w:tabs>
        <w:tab w:val="center" w:pos="4153"/>
        <w:tab w:val="right" w:pos="8306"/>
      </w:tabs>
      <w:snapToGrid w:val="0"/>
      <w:jc w:val="left"/>
    </w:pPr>
    <w:rPr>
      <w:sz w:val="18"/>
      <w:szCs w:val="18"/>
    </w:rPr>
  </w:style>
  <w:style w:type="paragraph" w:styleId="29">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1"/>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6"/>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3"/>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1"/>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6"/>
    <w:qFormat/>
    <w:uiPriority w:val="0"/>
    <w:pPr>
      <w:spacing w:after="120" w:line="240" w:lineRule="auto"/>
      <w:ind w:firstLine="420" w:firstLineChars="100"/>
    </w:pPr>
    <w:rPr>
      <w:sz w:val="21"/>
    </w:rPr>
  </w:style>
  <w:style w:type="paragraph" w:styleId="42">
    <w:name w:val="Body Text First Indent 2"/>
    <w:basedOn w:val="20"/>
    <w:qFormat/>
    <w:uiPriority w:val="0"/>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TML Definition"/>
    <w:basedOn w:val="45"/>
    <w:semiHidden/>
    <w:unhideWhenUsed/>
    <w:qFormat/>
    <w:uiPriority w:val="0"/>
  </w:style>
  <w:style w:type="character" w:styleId="50">
    <w:name w:val="HTML Typewriter"/>
    <w:basedOn w:val="45"/>
    <w:semiHidden/>
    <w:unhideWhenUsed/>
    <w:qFormat/>
    <w:uiPriority w:val="0"/>
    <w:rPr>
      <w:rFonts w:hint="default" w:ascii="monospace" w:hAnsi="monospace" w:eastAsia="monospace" w:cs="monospace"/>
      <w:sz w:val="20"/>
    </w:rPr>
  </w:style>
  <w:style w:type="character" w:styleId="51">
    <w:name w:val="HTML Acronym"/>
    <w:basedOn w:val="45"/>
    <w:semiHidden/>
    <w:unhideWhenUsed/>
    <w:qFormat/>
    <w:uiPriority w:val="0"/>
  </w:style>
  <w:style w:type="character" w:styleId="52">
    <w:name w:val="HTML Variable"/>
    <w:basedOn w:val="45"/>
    <w:semiHidden/>
    <w:unhideWhenUsed/>
    <w:qFormat/>
    <w:uiPriority w:val="0"/>
  </w:style>
  <w:style w:type="character" w:styleId="53">
    <w:name w:val="Hyperlink"/>
    <w:qFormat/>
    <w:uiPriority w:val="0"/>
    <w:rPr>
      <w:color w:val="0000FF"/>
      <w:u w:val="single"/>
    </w:rPr>
  </w:style>
  <w:style w:type="character" w:styleId="54">
    <w:name w:val="HTML Code"/>
    <w:basedOn w:val="45"/>
    <w:semiHidden/>
    <w:unhideWhenUsed/>
    <w:qFormat/>
    <w:uiPriority w:val="0"/>
    <w:rPr>
      <w:rFonts w:hint="default" w:ascii="monospace" w:hAnsi="monospace" w:eastAsia="monospace" w:cs="monospace"/>
      <w:sz w:val="20"/>
    </w:rPr>
  </w:style>
  <w:style w:type="character" w:styleId="55">
    <w:name w:val="annotation reference"/>
    <w:basedOn w:val="45"/>
    <w:qFormat/>
    <w:uiPriority w:val="99"/>
    <w:rPr>
      <w:sz w:val="21"/>
      <w:szCs w:val="21"/>
    </w:rPr>
  </w:style>
  <w:style w:type="character" w:styleId="56">
    <w:name w:val="HTML Cite"/>
    <w:basedOn w:val="45"/>
    <w:semiHidden/>
    <w:unhideWhenUsed/>
    <w:qFormat/>
    <w:uiPriority w:val="0"/>
  </w:style>
  <w:style w:type="character" w:styleId="57">
    <w:name w:val="HTML Keyboard"/>
    <w:basedOn w:val="45"/>
    <w:semiHidden/>
    <w:unhideWhenUsed/>
    <w:qFormat/>
    <w:uiPriority w:val="0"/>
    <w:rPr>
      <w:rFonts w:hint="default" w:ascii="monospace" w:hAnsi="monospace" w:eastAsia="monospace" w:cs="monospace"/>
      <w:sz w:val="20"/>
    </w:rPr>
  </w:style>
  <w:style w:type="character" w:styleId="58">
    <w:name w:val="HTML Sample"/>
    <w:basedOn w:val="45"/>
    <w:semiHidden/>
    <w:unhideWhenUsed/>
    <w:qFormat/>
    <w:uiPriority w:val="0"/>
    <w:rPr>
      <w:rFonts w:ascii="monospace" w:hAnsi="monospace" w:eastAsia="monospace" w:cs="monospace"/>
    </w:rPr>
  </w:style>
  <w:style w:type="character" w:customStyle="1" w:styleId="59">
    <w:name w:val="标题 4 字符"/>
    <w:link w:val="6"/>
    <w:qFormat/>
    <w:uiPriority w:val="9"/>
    <w:rPr>
      <w:rFonts w:ascii="Arial" w:hAnsi="Arial" w:eastAsia="黑体"/>
      <w:b/>
      <w:bCs/>
      <w:kern w:val="2"/>
      <w:sz w:val="28"/>
      <w:szCs w:val="28"/>
      <w:lang w:val="en-US" w:eastAsia="zh-CN" w:bidi="ar-SA"/>
    </w:rPr>
  </w:style>
  <w:style w:type="paragraph" w:customStyle="1" w:styleId="6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1">
    <w:name w:val="标题 3 字符"/>
    <w:link w:val="5"/>
    <w:qFormat/>
    <w:uiPriority w:val="9"/>
    <w:rPr>
      <w:rFonts w:ascii="宋体" w:hAnsi="宋体" w:eastAsia="宋体"/>
      <w:b/>
      <w:bCs/>
      <w:kern w:val="2"/>
      <w:sz w:val="28"/>
      <w:szCs w:val="32"/>
      <w:lang w:val="en-US" w:eastAsia="zh-CN" w:bidi="ar-SA"/>
    </w:rPr>
  </w:style>
  <w:style w:type="character" w:customStyle="1" w:styleId="62">
    <w:name w:val="标题 1 字符"/>
    <w:link w:val="4"/>
    <w:qFormat/>
    <w:uiPriority w:val="0"/>
    <w:rPr>
      <w:rFonts w:ascii="宋体" w:hAnsi="宋体" w:eastAsia="黑体"/>
      <w:b/>
      <w:bCs/>
      <w:kern w:val="44"/>
      <w:sz w:val="28"/>
      <w:szCs w:val="44"/>
      <w:lang w:val="en-US" w:eastAsia="zh-CN" w:bidi="ar-SA"/>
    </w:rPr>
  </w:style>
  <w:style w:type="character" w:customStyle="1" w:styleId="63">
    <w:name w:val="正文缩进 字符"/>
    <w:link w:val="9"/>
    <w:qFormat/>
    <w:uiPriority w:val="0"/>
    <w:rPr>
      <w:rFonts w:eastAsia="宋体"/>
      <w:kern w:val="2"/>
      <w:sz w:val="21"/>
      <w:lang w:val="en-US" w:eastAsia="zh-CN" w:bidi="ar-SA"/>
    </w:rPr>
  </w:style>
  <w:style w:type="character" w:customStyle="1" w:styleId="64">
    <w:name w:val="标题 3 Char"/>
    <w:qFormat/>
    <w:uiPriority w:val="0"/>
    <w:rPr>
      <w:rFonts w:ascii="黑体" w:eastAsia="黑体"/>
      <w:bCs/>
      <w:sz w:val="30"/>
    </w:rPr>
  </w:style>
  <w:style w:type="paragraph" w:customStyle="1" w:styleId="65">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
    <w:name w:val="自定义正文"/>
    <w:basedOn w:val="1"/>
    <w:qFormat/>
    <w:uiPriority w:val="0"/>
    <w:pPr>
      <w:spacing w:afterLines="50"/>
      <w:ind w:left="600" w:leftChars="600"/>
    </w:pPr>
  </w:style>
  <w:style w:type="paragraph" w:customStyle="1" w:styleId="73">
    <w:name w:val="Char Char Char Char Char"/>
    <w:basedOn w:val="1"/>
    <w:qFormat/>
    <w:uiPriority w:val="0"/>
    <w:rPr>
      <w:rFonts w:ascii="Tahoma" w:hAnsi="Tahoma"/>
      <w:sz w:val="24"/>
      <w:szCs w:val="20"/>
    </w:rPr>
  </w:style>
  <w:style w:type="paragraph" w:customStyle="1" w:styleId="7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5">
    <w:name w:val="Char Char"/>
    <w:basedOn w:val="1"/>
    <w:qFormat/>
    <w:uiPriority w:val="0"/>
    <w:rPr>
      <w:rFonts w:ascii="Tahoma" w:hAnsi="Tahoma"/>
      <w:sz w:val="24"/>
      <w:szCs w:val="20"/>
    </w:rPr>
  </w:style>
  <w:style w:type="paragraph" w:customStyle="1" w:styleId="76">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7">
    <w:name w:val="标题 2 字符"/>
    <w:link w:val="7"/>
    <w:qFormat/>
    <w:uiPriority w:val="0"/>
    <w:rPr>
      <w:rFonts w:ascii="宋体" w:hAnsi="宋体" w:eastAsia="宋体"/>
      <w:b/>
      <w:bCs/>
      <w:sz w:val="24"/>
      <w:lang w:val="en-US" w:eastAsia="zh-CN" w:bidi="ar-SA"/>
    </w:rPr>
  </w:style>
  <w:style w:type="paragraph" w:customStyle="1" w:styleId="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9">
    <w:name w:val="List Paragraph"/>
    <w:basedOn w:val="1"/>
    <w:qFormat/>
    <w:uiPriority w:val="34"/>
    <w:pPr>
      <w:ind w:firstLine="420" w:firstLineChars="200"/>
    </w:pPr>
    <w:rPr>
      <w:rFonts w:ascii="Calibri" w:hAnsi="Calibri"/>
      <w:szCs w:val="22"/>
    </w:rPr>
  </w:style>
  <w:style w:type="paragraph" w:customStyle="1" w:styleId="80">
    <w:name w:val="USE 1"/>
    <w:basedOn w:val="1"/>
    <w:qFormat/>
    <w:uiPriority w:val="0"/>
    <w:pPr>
      <w:spacing w:line="200" w:lineRule="atLeast"/>
      <w:jc w:val="left"/>
    </w:pPr>
    <w:rPr>
      <w:rFonts w:ascii="宋体" w:hAnsi="宋体"/>
      <w:b/>
      <w:sz w:val="24"/>
      <w:szCs w:val="28"/>
    </w:rPr>
  </w:style>
  <w:style w:type="paragraph" w:customStyle="1" w:styleId="81">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2">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3">
    <w:name w:val="样式 标题 2 + 段前: 13 磅 段后: 13 磅 行距: 单倍行距"/>
    <w:basedOn w:val="7"/>
    <w:qFormat/>
    <w:uiPriority w:val="0"/>
    <w:pPr>
      <w:adjustRightInd/>
      <w:jc w:val="both"/>
      <w:textAlignment w:val="auto"/>
    </w:pPr>
    <w:rPr>
      <w:rFonts w:ascii="Cambria" w:hAnsi="Cambria" w:cs="宋体"/>
      <w:kern w:val="2"/>
      <w:sz w:val="32"/>
    </w:rPr>
  </w:style>
  <w:style w:type="character" w:customStyle="1" w:styleId="84">
    <w:name w:val="H4 Char2"/>
    <w:qFormat/>
    <w:uiPriority w:val="0"/>
    <w:rPr>
      <w:rFonts w:ascii="Arial" w:hAnsi="Arial" w:eastAsia="黑体"/>
      <w:b/>
      <w:bCs/>
      <w:kern w:val="2"/>
      <w:sz w:val="28"/>
      <w:szCs w:val="28"/>
      <w:lang w:val="en-US" w:eastAsia="zh-CN" w:bidi="ar-SA"/>
    </w:rPr>
  </w:style>
  <w:style w:type="character" w:customStyle="1" w:styleId="85">
    <w:name w:val="正文文本缩进 字符"/>
    <w:link w:val="20"/>
    <w:qFormat/>
    <w:uiPriority w:val="0"/>
    <w:rPr>
      <w:rFonts w:eastAsia="宋体"/>
      <w:kern w:val="2"/>
      <w:sz w:val="21"/>
      <w:szCs w:val="24"/>
      <w:lang w:val="en-US" w:eastAsia="zh-CN" w:bidi="ar-SA"/>
    </w:rPr>
  </w:style>
  <w:style w:type="character" w:customStyle="1" w:styleId="86">
    <w:name w:val="标题 5 字符"/>
    <w:link w:val="8"/>
    <w:qFormat/>
    <w:uiPriority w:val="0"/>
    <w:rPr>
      <w:rFonts w:eastAsia="宋体"/>
      <w:b/>
      <w:kern w:val="2"/>
      <w:sz w:val="28"/>
      <w:lang w:val="en-US" w:eastAsia="zh-CN" w:bidi="ar-SA"/>
    </w:rPr>
  </w:style>
  <w:style w:type="character" w:customStyle="1" w:styleId="87">
    <w:name w:val="第*章 Char"/>
    <w:qFormat/>
    <w:uiPriority w:val="0"/>
    <w:rPr>
      <w:rFonts w:ascii="Arial" w:hAnsi="Arial" w:eastAsia="黑体"/>
      <w:b/>
      <w:bCs/>
      <w:kern w:val="2"/>
      <w:sz w:val="32"/>
      <w:szCs w:val="32"/>
    </w:rPr>
  </w:style>
  <w:style w:type="character" w:customStyle="1" w:styleId="88">
    <w:name w:val="章标题1 Char"/>
    <w:qFormat/>
    <w:uiPriority w:val="0"/>
    <w:rPr>
      <w:rFonts w:eastAsia="宋体"/>
      <w:b/>
      <w:bCs/>
      <w:kern w:val="2"/>
      <w:sz w:val="32"/>
      <w:szCs w:val="32"/>
      <w:lang w:val="en-US" w:eastAsia="zh-CN" w:bidi="ar-SA"/>
    </w:rPr>
  </w:style>
  <w:style w:type="character" w:customStyle="1" w:styleId="89">
    <w:name w:val="标题 6 字符"/>
    <w:link w:val="10"/>
    <w:qFormat/>
    <w:uiPriority w:val="0"/>
    <w:rPr>
      <w:rFonts w:ascii="Arial" w:hAnsi="Arial" w:eastAsia="黑体"/>
      <w:b/>
      <w:kern w:val="2"/>
      <w:sz w:val="24"/>
      <w:lang w:val="en-US" w:eastAsia="zh-CN" w:bidi="ar-SA"/>
    </w:rPr>
  </w:style>
  <w:style w:type="character" w:customStyle="1" w:styleId="90">
    <w:name w:val="标题 7 字符"/>
    <w:link w:val="11"/>
    <w:qFormat/>
    <w:uiPriority w:val="0"/>
    <w:rPr>
      <w:rFonts w:eastAsia="宋体"/>
      <w:b/>
      <w:kern w:val="2"/>
      <w:sz w:val="24"/>
      <w:lang w:val="en-US" w:eastAsia="zh-CN" w:bidi="ar-SA"/>
    </w:rPr>
  </w:style>
  <w:style w:type="character" w:customStyle="1" w:styleId="91">
    <w:name w:val="标题 8 字符"/>
    <w:link w:val="12"/>
    <w:qFormat/>
    <w:uiPriority w:val="0"/>
    <w:rPr>
      <w:rFonts w:ascii="Arial" w:hAnsi="Arial" w:eastAsia="黑体"/>
      <w:kern w:val="2"/>
      <w:sz w:val="24"/>
      <w:lang w:val="en-US" w:eastAsia="zh-CN" w:bidi="ar-SA"/>
    </w:rPr>
  </w:style>
  <w:style w:type="character" w:customStyle="1" w:styleId="92">
    <w:name w:val="标题 9 字符"/>
    <w:link w:val="13"/>
    <w:qFormat/>
    <w:uiPriority w:val="0"/>
    <w:rPr>
      <w:rFonts w:ascii="Arial" w:hAnsi="Arial" w:eastAsia="黑体"/>
      <w:kern w:val="2"/>
      <w:sz w:val="21"/>
      <w:lang w:val="en-US" w:eastAsia="zh-CN" w:bidi="ar-SA"/>
    </w:rPr>
  </w:style>
  <w:style w:type="character" w:customStyle="1" w:styleId="93">
    <w:name w:val="标题 字符"/>
    <w:link w:val="39"/>
    <w:qFormat/>
    <w:uiPriority w:val="0"/>
    <w:rPr>
      <w:rFonts w:ascii="Arial" w:hAnsi="Arial" w:eastAsia="隶书" w:cs="Arial"/>
      <w:b/>
      <w:bCs/>
      <w:kern w:val="2"/>
      <w:sz w:val="32"/>
      <w:szCs w:val="32"/>
      <w:lang w:val="en-US" w:eastAsia="zh-CN" w:bidi="ar-SA"/>
    </w:rPr>
  </w:style>
  <w:style w:type="character" w:customStyle="1" w:styleId="94">
    <w:name w:val="日期 字符"/>
    <w:link w:val="25"/>
    <w:qFormat/>
    <w:uiPriority w:val="0"/>
    <w:rPr>
      <w:rFonts w:ascii="宋体" w:hAnsi="Courier New" w:eastAsia="宋体"/>
      <w:kern w:val="2"/>
      <w:sz w:val="32"/>
      <w:lang w:val="en-US" w:eastAsia="zh-CN" w:bidi="ar-SA"/>
    </w:rPr>
  </w:style>
  <w:style w:type="character" w:customStyle="1" w:styleId="95">
    <w:name w:val="HTML 预设格式 字符"/>
    <w:link w:val="36"/>
    <w:qFormat/>
    <w:uiPriority w:val="0"/>
    <w:rPr>
      <w:rFonts w:ascii="Arial Unicode MS" w:hAnsi="Arial Unicode MS" w:eastAsia="Arial Unicode MS"/>
      <w:color w:val="000000"/>
      <w:lang w:val="en-US" w:eastAsia="zh-CN" w:bidi="ar-SA"/>
    </w:rPr>
  </w:style>
  <w:style w:type="character" w:customStyle="1" w:styleId="96">
    <w:name w:val="纯文本 字符"/>
    <w:link w:val="23"/>
    <w:qFormat/>
    <w:uiPriority w:val="0"/>
    <w:rPr>
      <w:rFonts w:ascii="宋体" w:hAnsi="Courier New" w:eastAsia="宋体"/>
      <w:kern w:val="2"/>
      <w:sz w:val="21"/>
      <w:lang w:val="en-US" w:eastAsia="zh-CN" w:bidi="ar-SA"/>
    </w:rPr>
  </w:style>
  <w:style w:type="character" w:customStyle="1" w:styleId="97">
    <w:name w:val="正文文字首行缩进 Char"/>
    <w:qFormat/>
    <w:uiPriority w:val="0"/>
    <w:rPr>
      <w:kern w:val="2"/>
      <w:sz w:val="21"/>
      <w:szCs w:val="24"/>
    </w:rPr>
  </w:style>
  <w:style w:type="character" w:customStyle="1" w:styleId="98">
    <w:name w:val="正文文本 字符"/>
    <w:link w:val="2"/>
    <w:qFormat/>
    <w:uiPriority w:val="0"/>
    <w:rPr>
      <w:rFonts w:eastAsia="宋体"/>
      <w:b/>
      <w:bCs/>
      <w:kern w:val="2"/>
      <w:sz w:val="24"/>
      <w:szCs w:val="24"/>
      <w:lang w:val="en-US" w:eastAsia="zh-CN" w:bidi="ar-SA"/>
    </w:rPr>
  </w:style>
  <w:style w:type="character" w:customStyle="1" w:styleId="99">
    <w:name w:val="正文文本缩进 2 字符"/>
    <w:link w:val="26"/>
    <w:qFormat/>
    <w:uiPriority w:val="0"/>
    <w:rPr>
      <w:rFonts w:ascii="宋体" w:hAnsi="宋体" w:eastAsia="宋体"/>
      <w:kern w:val="2"/>
      <w:sz w:val="21"/>
      <w:szCs w:val="24"/>
      <w:lang w:val="en-US" w:eastAsia="zh-CN" w:bidi="ar-SA"/>
    </w:rPr>
  </w:style>
  <w:style w:type="character" w:customStyle="1" w:styleId="100">
    <w:name w:val="页眉 字符"/>
    <w:link w:val="29"/>
    <w:qFormat/>
    <w:uiPriority w:val="99"/>
    <w:rPr>
      <w:rFonts w:eastAsia="宋体"/>
      <w:kern w:val="2"/>
      <w:sz w:val="18"/>
      <w:szCs w:val="18"/>
      <w:lang w:val="en-US" w:eastAsia="zh-CN" w:bidi="ar-SA"/>
    </w:rPr>
  </w:style>
  <w:style w:type="character" w:customStyle="1" w:styleId="101">
    <w:name w:val="正文文本缩进 3 字符"/>
    <w:link w:val="33"/>
    <w:qFormat/>
    <w:uiPriority w:val="0"/>
    <w:rPr>
      <w:rFonts w:ascii="宋体" w:eastAsia="宋体"/>
      <w:b/>
      <w:bCs/>
      <w:kern w:val="2"/>
      <w:sz w:val="24"/>
      <w:szCs w:val="24"/>
      <w:lang w:val="en-US" w:eastAsia="zh-CN" w:bidi="ar-SA"/>
    </w:rPr>
  </w:style>
  <w:style w:type="character" w:customStyle="1" w:styleId="102">
    <w:name w:val="正文文本 2 字符"/>
    <w:link w:val="3"/>
    <w:qFormat/>
    <w:uiPriority w:val="0"/>
    <w:rPr>
      <w:rFonts w:eastAsia="宋体"/>
      <w:kern w:val="2"/>
      <w:sz w:val="24"/>
      <w:szCs w:val="24"/>
      <w:lang w:val="en-US" w:eastAsia="zh-CN" w:bidi="ar-SA"/>
    </w:rPr>
  </w:style>
  <w:style w:type="character" w:customStyle="1" w:styleId="103">
    <w:name w:val="页脚 字符"/>
    <w:link w:val="28"/>
    <w:qFormat/>
    <w:uiPriority w:val="0"/>
    <w:rPr>
      <w:rFonts w:eastAsia="宋体"/>
      <w:kern w:val="2"/>
      <w:sz w:val="18"/>
      <w:szCs w:val="18"/>
      <w:lang w:val="en-US" w:eastAsia="zh-CN" w:bidi="ar-SA"/>
    </w:rPr>
  </w:style>
  <w:style w:type="character" w:customStyle="1" w:styleId="104">
    <w:name w:val="正文文本 3 字符"/>
    <w:link w:val="19"/>
    <w:qFormat/>
    <w:uiPriority w:val="0"/>
    <w:rPr>
      <w:rFonts w:eastAsia="宋体"/>
      <w:kern w:val="2"/>
      <w:sz w:val="16"/>
      <w:szCs w:val="16"/>
      <w:lang w:val="en-US" w:eastAsia="zh-CN" w:bidi="ar-SA"/>
    </w:rPr>
  </w:style>
  <w:style w:type="character" w:customStyle="1" w:styleId="105">
    <w:name w:val="批注框文本 字符"/>
    <w:link w:val="27"/>
    <w:semiHidden/>
    <w:qFormat/>
    <w:uiPriority w:val="99"/>
    <w:rPr>
      <w:rFonts w:eastAsia="宋体"/>
      <w:kern w:val="2"/>
      <w:sz w:val="18"/>
      <w:szCs w:val="18"/>
      <w:lang w:val="en-US" w:eastAsia="zh-CN" w:bidi="ar-SA"/>
    </w:rPr>
  </w:style>
  <w:style w:type="paragraph" w:customStyle="1" w:styleId="106">
    <w:name w:val="样式1"/>
    <w:basedOn w:val="39"/>
    <w:qFormat/>
    <w:uiPriority w:val="0"/>
    <w:pPr>
      <w:spacing w:before="120" w:after="120"/>
    </w:pPr>
    <w:rPr>
      <w:rFonts w:eastAsia="黑体"/>
      <w:b w:val="0"/>
      <w:sz w:val="30"/>
      <w:szCs w:val="21"/>
    </w:rPr>
  </w:style>
  <w:style w:type="paragraph" w:customStyle="1" w:styleId="107">
    <w:name w:val="样式2"/>
    <w:basedOn w:val="39"/>
    <w:next w:val="106"/>
    <w:qFormat/>
    <w:uiPriority w:val="0"/>
    <w:pPr>
      <w:spacing w:before="120" w:after="120"/>
    </w:pPr>
    <w:rPr>
      <w:rFonts w:eastAsia="黑体"/>
      <w:b w:val="0"/>
      <w:sz w:val="30"/>
      <w:szCs w:val="30"/>
    </w:rPr>
  </w:style>
  <w:style w:type="character" w:customStyle="1" w:styleId="108">
    <w:name w:val="标题 3 Char Char"/>
    <w:qFormat/>
    <w:uiPriority w:val="0"/>
    <w:rPr>
      <w:rFonts w:eastAsia="宋体"/>
      <w:b/>
      <w:bCs/>
      <w:kern w:val="2"/>
      <w:sz w:val="32"/>
      <w:szCs w:val="32"/>
      <w:lang w:val="en-US" w:eastAsia="zh-CN" w:bidi="ar-SA"/>
    </w:rPr>
  </w:style>
  <w:style w:type="paragraph" w:customStyle="1" w:styleId="10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0">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1">
    <w:name w:val="--规划正文"/>
    <w:basedOn w:val="1"/>
    <w:qFormat/>
    <w:uiPriority w:val="0"/>
    <w:pPr>
      <w:spacing w:line="360" w:lineRule="auto"/>
      <w:ind w:firstLine="200" w:firstLineChars="200"/>
    </w:pPr>
    <w:rPr>
      <w:szCs w:val="20"/>
    </w:rPr>
  </w:style>
  <w:style w:type="paragraph" w:customStyle="1" w:styleId="112">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3">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4">
    <w:name w:val="样式4"/>
    <w:basedOn w:val="1"/>
    <w:qFormat/>
    <w:uiPriority w:val="0"/>
    <w:pPr>
      <w:tabs>
        <w:tab w:val="left" w:pos="842"/>
      </w:tabs>
      <w:spacing w:line="360" w:lineRule="auto"/>
      <w:ind w:left="842" w:hanging="420"/>
    </w:pPr>
    <w:rPr>
      <w:sz w:val="24"/>
    </w:rPr>
  </w:style>
  <w:style w:type="paragraph" w:customStyle="1" w:styleId="115">
    <w:name w:val="文字"/>
    <w:basedOn w:val="1"/>
    <w:qFormat/>
    <w:uiPriority w:val="0"/>
    <w:pPr>
      <w:tabs>
        <w:tab w:val="left" w:pos="8520"/>
      </w:tabs>
      <w:spacing w:line="312" w:lineRule="auto"/>
      <w:ind w:right="-210" w:firstLine="556"/>
    </w:pPr>
    <w:rPr>
      <w:rFonts w:ascii="宋体"/>
      <w:sz w:val="28"/>
      <w:szCs w:val="20"/>
    </w:rPr>
  </w:style>
  <w:style w:type="paragraph" w:customStyle="1" w:styleId="116">
    <w:name w:val="--规划-表格-居左"/>
    <w:basedOn w:val="111"/>
    <w:qFormat/>
    <w:uiPriority w:val="0"/>
    <w:pPr>
      <w:spacing w:line="240" w:lineRule="auto"/>
      <w:ind w:firstLine="0" w:firstLineChars="0"/>
    </w:pPr>
    <w:rPr>
      <w:sz w:val="20"/>
    </w:rPr>
  </w:style>
  <w:style w:type="paragraph" w:customStyle="1" w:styleId="117">
    <w:name w:val="--规划-表格-居中"/>
    <w:basedOn w:val="111"/>
    <w:qFormat/>
    <w:uiPriority w:val="0"/>
    <w:pPr>
      <w:spacing w:line="240" w:lineRule="auto"/>
      <w:ind w:firstLine="0" w:firstLineChars="0"/>
      <w:jc w:val="center"/>
    </w:pPr>
    <w:rPr>
      <w:sz w:val="20"/>
    </w:rPr>
  </w:style>
  <w:style w:type="paragraph" w:customStyle="1" w:styleId="118">
    <w:name w:val="--编号内缩进"/>
    <w:basedOn w:val="1"/>
    <w:qFormat/>
    <w:uiPriority w:val="0"/>
    <w:pPr>
      <w:spacing w:line="360" w:lineRule="auto"/>
      <w:ind w:left="420" w:firstLine="200" w:firstLineChars="200"/>
    </w:pPr>
    <w:rPr>
      <w:szCs w:val="21"/>
    </w:rPr>
  </w:style>
  <w:style w:type="paragraph" w:customStyle="1" w:styleId="119">
    <w:name w:val="--规划-题注"/>
    <w:basedOn w:val="1"/>
    <w:next w:val="111"/>
    <w:qFormat/>
    <w:uiPriority w:val="0"/>
    <w:pPr>
      <w:spacing w:line="360" w:lineRule="auto"/>
      <w:jc w:val="center"/>
    </w:pPr>
    <w:rPr>
      <w:rFonts w:eastAsia="黑体"/>
    </w:rPr>
  </w:style>
  <w:style w:type="paragraph" w:customStyle="1" w:styleId="120">
    <w:name w:val="--规划-图和表"/>
    <w:next w:val="111"/>
    <w:qFormat/>
    <w:uiPriority w:val="0"/>
    <w:pPr>
      <w:jc w:val="center"/>
    </w:pPr>
    <w:rPr>
      <w:rFonts w:ascii="Times New Roman" w:hAnsi="Times New Roman" w:eastAsia="宋体" w:cs="Times New Roman"/>
      <w:kern w:val="2"/>
      <w:sz w:val="21"/>
      <w:lang w:val="en-US" w:eastAsia="zh-CN" w:bidi="ar-SA"/>
    </w:rPr>
  </w:style>
  <w:style w:type="paragraph" w:customStyle="1" w:styleId="121">
    <w:name w:val="--规划-小标题"/>
    <w:basedOn w:val="1"/>
    <w:next w:val="111"/>
    <w:qFormat/>
    <w:uiPriority w:val="0"/>
    <w:pPr>
      <w:keepNext/>
      <w:keepLines/>
      <w:spacing w:line="360" w:lineRule="auto"/>
      <w:outlineLvl w:val="4"/>
    </w:pPr>
    <w:rPr>
      <w:rFonts w:eastAsia="黑体"/>
    </w:rPr>
  </w:style>
  <w:style w:type="paragraph" w:customStyle="1" w:styleId="122">
    <w:name w:val="--规划正文 Char"/>
    <w:basedOn w:val="1"/>
    <w:qFormat/>
    <w:uiPriority w:val="0"/>
    <w:pPr>
      <w:spacing w:line="360" w:lineRule="auto"/>
      <w:ind w:firstLine="200" w:firstLineChars="200"/>
    </w:pPr>
    <w:rPr>
      <w:sz w:val="24"/>
    </w:rPr>
  </w:style>
  <w:style w:type="paragraph" w:customStyle="1" w:styleId="123">
    <w:name w:val="缺省文本"/>
    <w:basedOn w:val="1"/>
    <w:qFormat/>
    <w:uiPriority w:val="0"/>
    <w:pPr>
      <w:autoSpaceDE w:val="0"/>
      <w:autoSpaceDN w:val="0"/>
      <w:adjustRightInd w:val="0"/>
      <w:jc w:val="left"/>
    </w:pPr>
    <w:rPr>
      <w:kern w:val="0"/>
    </w:rPr>
  </w:style>
  <w:style w:type="paragraph" w:customStyle="1" w:styleId="124">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5">
    <w:name w:val="--规划正文 Char Char"/>
    <w:qFormat/>
    <w:uiPriority w:val="0"/>
    <w:rPr>
      <w:rFonts w:eastAsia="宋体"/>
      <w:kern w:val="2"/>
      <w:sz w:val="24"/>
      <w:szCs w:val="24"/>
      <w:lang w:val="en-US" w:eastAsia="zh-CN" w:bidi="ar-SA"/>
    </w:rPr>
  </w:style>
  <w:style w:type="paragraph" w:customStyle="1" w:styleId="126">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7">
    <w:name w:val="--规划正文 Char1"/>
    <w:qFormat/>
    <w:uiPriority w:val="0"/>
    <w:rPr>
      <w:rFonts w:eastAsia="宋体"/>
      <w:kern w:val="2"/>
      <w:sz w:val="21"/>
      <w:lang w:val="en-US" w:eastAsia="zh-CN" w:bidi="ar-SA"/>
    </w:rPr>
  </w:style>
  <w:style w:type="paragraph" w:customStyle="1" w:styleId="128">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9">
    <w:name w:val="列表项目"/>
    <w:basedOn w:val="1"/>
    <w:qFormat/>
    <w:uiPriority w:val="0"/>
    <w:pPr>
      <w:tabs>
        <w:tab w:val="left" w:pos="420"/>
        <w:tab w:val="left" w:pos="1080"/>
      </w:tabs>
      <w:spacing w:line="288" w:lineRule="auto"/>
      <w:ind w:left="1080" w:hanging="360"/>
    </w:pPr>
    <w:rPr>
      <w:sz w:val="24"/>
      <w:szCs w:val="20"/>
    </w:rPr>
  </w:style>
  <w:style w:type="character" w:customStyle="1" w:styleId="130">
    <w:name w:val="content1"/>
    <w:qFormat/>
    <w:uiPriority w:val="0"/>
    <w:rPr>
      <w:rFonts w:hint="default" w:ascii="??" w:hAnsi="??"/>
      <w:sz w:val="16"/>
      <w:szCs w:val="16"/>
      <w:u w:val="none"/>
    </w:rPr>
  </w:style>
  <w:style w:type="character" w:customStyle="1" w:styleId="131">
    <w:name w:val="unnamed4"/>
    <w:basedOn w:val="45"/>
    <w:qFormat/>
    <w:uiPriority w:val="0"/>
  </w:style>
  <w:style w:type="character" w:customStyle="1" w:styleId="132">
    <w:name w:val="font2"/>
    <w:basedOn w:val="45"/>
    <w:qFormat/>
    <w:uiPriority w:val="0"/>
  </w:style>
  <w:style w:type="character" w:customStyle="1" w:styleId="133">
    <w:name w:val="font41"/>
    <w:qFormat/>
    <w:uiPriority w:val="0"/>
    <w:rPr>
      <w:color w:val="000000"/>
      <w:spacing w:val="260"/>
      <w:sz w:val="18"/>
      <w:szCs w:val="18"/>
      <w:u w:val="none"/>
    </w:rPr>
  </w:style>
  <w:style w:type="paragraph" w:customStyle="1" w:styleId="134">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5">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6">
    <w:name w:val="正文文本首行缩进 字符"/>
    <w:link w:val="41"/>
    <w:qFormat/>
    <w:uiPriority w:val="0"/>
    <w:rPr>
      <w:rFonts w:eastAsia="宋体"/>
      <w:b/>
      <w:bCs/>
      <w:kern w:val="2"/>
      <w:sz w:val="21"/>
      <w:szCs w:val="24"/>
      <w:lang w:val="en-US" w:eastAsia="zh-CN" w:bidi="ar-SA"/>
    </w:rPr>
  </w:style>
  <w:style w:type="paragraph" w:customStyle="1" w:styleId="13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8">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0">
    <w:name w:val="mode"/>
    <w:basedOn w:val="45"/>
    <w:qFormat/>
    <w:uiPriority w:val="0"/>
  </w:style>
  <w:style w:type="paragraph" w:customStyle="1" w:styleId="141">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2">
    <w:name w:val="unnamed3"/>
    <w:basedOn w:val="45"/>
    <w:qFormat/>
    <w:uiPriority w:val="0"/>
  </w:style>
  <w:style w:type="paragraph" w:customStyle="1" w:styleId="143">
    <w:name w:val="8"/>
    <w:basedOn w:val="1"/>
    <w:next w:val="20"/>
    <w:qFormat/>
    <w:uiPriority w:val="0"/>
    <w:pPr>
      <w:spacing w:after="120"/>
      <w:ind w:left="420" w:leftChars="200"/>
    </w:pPr>
  </w:style>
  <w:style w:type="paragraph" w:customStyle="1" w:styleId="144">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5">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6">
    <w:name w:val="5"/>
    <w:basedOn w:val="1"/>
    <w:qFormat/>
    <w:uiPriority w:val="0"/>
    <w:pPr>
      <w:autoSpaceDE w:val="0"/>
      <w:autoSpaceDN w:val="0"/>
      <w:adjustRightInd w:val="0"/>
      <w:jc w:val="left"/>
    </w:pPr>
    <w:rPr>
      <w:rFonts w:ascii="宋体"/>
      <w:b/>
      <w:bCs/>
      <w:kern w:val="0"/>
      <w:sz w:val="18"/>
      <w:szCs w:val="18"/>
    </w:rPr>
  </w:style>
  <w:style w:type="paragraph" w:customStyle="1" w:styleId="147">
    <w:name w:val="6"/>
    <w:basedOn w:val="146"/>
    <w:qFormat/>
    <w:uiPriority w:val="0"/>
    <w:pPr>
      <w:spacing w:line="270" w:lineRule="atLeast"/>
      <w:jc w:val="both"/>
    </w:pPr>
    <w:rPr>
      <w:b w:val="0"/>
      <w:bCs w:val="0"/>
    </w:rPr>
  </w:style>
  <w:style w:type="paragraph" w:customStyle="1" w:styleId="1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9">
    <w:name w:val="姜文清定义的正文"/>
    <w:basedOn w:val="1"/>
    <w:qFormat/>
    <w:uiPriority w:val="0"/>
    <w:pPr>
      <w:spacing w:line="240" w:lineRule="atLeast"/>
      <w:ind w:firstLine="567"/>
    </w:pPr>
    <w:rPr>
      <w:szCs w:val="20"/>
    </w:rPr>
  </w:style>
  <w:style w:type="paragraph" w:customStyle="1" w:styleId="150">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1">
    <w:name w:val="CM2"/>
    <w:basedOn w:val="150"/>
    <w:next w:val="150"/>
    <w:qFormat/>
    <w:uiPriority w:val="0"/>
    <w:pPr>
      <w:spacing w:line="200" w:lineRule="atLeast"/>
    </w:pPr>
    <w:rPr>
      <w:rFonts w:ascii="Arial" w:hAnsi="Arial" w:eastAsia="宋体" w:cs="Times New Roman"/>
      <w:color w:val="auto"/>
    </w:rPr>
  </w:style>
  <w:style w:type="paragraph" w:customStyle="1" w:styleId="152">
    <w:name w:val="Normal Paragraph"/>
    <w:basedOn w:val="1"/>
    <w:qFormat/>
    <w:uiPriority w:val="0"/>
    <w:pPr>
      <w:widowControl/>
      <w:spacing w:before="120" w:line="360" w:lineRule="auto"/>
      <w:ind w:firstLine="425"/>
    </w:pPr>
    <w:rPr>
      <w:kern w:val="0"/>
      <w:sz w:val="24"/>
    </w:rPr>
  </w:style>
  <w:style w:type="character" w:customStyle="1" w:styleId="153">
    <w:name w:val="blue"/>
    <w:basedOn w:val="45"/>
    <w:qFormat/>
    <w:uiPriority w:val="0"/>
  </w:style>
  <w:style w:type="paragraph" w:customStyle="1" w:styleId="154">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5">
    <w:name w:val="font"/>
    <w:basedOn w:val="45"/>
    <w:qFormat/>
    <w:uiPriority w:val="0"/>
  </w:style>
  <w:style w:type="character" w:customStyle="1" w:styleId="156">
    <w:name w:val="font11"/>
    <w:qFormat/>
    <w:uiPriority w:val="0"/>
    <w:rPr>
      <w:rFonts w:hint="default" w:ascii="ˎ̥" w:hAnsi="ˎ̥"/>
    </w:rPr>
  </w:style>
  <w:style w:type="paragraph" w:customStyle="1" w:styleId="157">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8">
    <w:name w:val="proddescription"/>
    <w:basedOn w:val="45"/>
    <w:qFormat/>
    <w:uiPriority w:val="0"/>
  </w:style>
  <w:style w:type="character" w:customStyle="1" w:styleId="159">
    <w:name w:val="prodheadlines"/>
    <w:basedOn w:val="45"/>
    <w:qFormat/>
    <w:uiPriority w:val="0"/>
  </w:style>
  <w:style w:type="character" w:customStyle="1" w:styleId="160">
    <w:name w:val="text"/>
    <w:basedOn w:val="45"/>
    <w:qFormat/>
    <w:uiPriority w:val="0"/>
  </w:style>
  <w:style w:type="paragraph" w:customStyle="1" w:styleId="16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3">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4">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5">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段落正文"/>
    <w:basedOn w:val="23"/>
    <w:qFormat/>
    <w:uiPriority w:val="0"/>
    <w:pPr>
      <w:ind w:firstLine="560" w:firstLineChars="200"/>
    </w:pPr>
    <w:rPr>
      <w:sz w:val="28"/>
    </w:rPr>
  </w:style>
  <w:style w:type="character" w:customStyle="1" w:styleId="167">
    <w:name w:val="gray6"/>
    <w:basedOn w:val="45"/>
    <w:qFormat/>
    <w:uiPriority w:val="0"/>
  </w:style>
  <w:style w:type="character" w:customStyle="1" w:styleId="168">
    <w:name w:val="style9"/>
    <w:basedOn w:val="45"/>
    <w:qFormat/>
    <w:uiPriority w:val="0"/>
  </w:style>
  <w:style w:type="paragraph" w:customStyle="1" w:styleId="169">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0">
    <w:name w:val="grame"/>
    <w:basedOn w:val="45"/>
    <w:qFormat/>
    <w:uiPriority w:val="0"/>
  </w:style>
  <w:style w:type="paragraph" w:customStyle="1" w:styleId="171">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Char1"/>
    <w:basedOn w:val="1"/>
    <w:qFormat/>
    <w:uiPriority w:val="0"/>
    <w:pPr>
      <w:jc w:val="left"/>
    </w:pPr>
    <w:rPr>
      <w:rFonts w:ascii="Tahoma" w:hAnsi="Tahoma"/>
      <w:sz w:val="24"/>
      <w:szCs w:val="20"/>
    </w:rPr>
  </w:style>
  <w:style w:type="paragraph" w:customStyle="1" w:styleId="173">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7">
    <w:name w:val="font6"/>
    <w:basedOn w:val="1"/>
    <w:qFormat/>
    <w:uiPriority w:val="0"/>
    <w:pPr>
      <w:widowControl/>
      <w:spacing w:before="100" w:beforeAutospacing="1" w:after="100" w:afterAutospacing="1"/>
      <w:jc w:val="left"/>
    </w:pPr>
    <w:rPr>
      <w:kern w:val="0"/>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0">
    <w:name w:val="表格字"/>
    <w:basedOn w:val="1"/>
    <w:qFormat/>
    <w:uiPriority w:val="0"/>
    <w:pPr>
      <w:adjustRightInd w:val="0"/>
      <w:jc w:val="center"/>
    </w:pPr>
    <w:rPr>
      <w:rFonts w:ascii="宋体"/>
      <w:sz w:val="24"/>
      <w:szCs w:val="20"/>
    </w:rPr>
  </w:style>
  <w:style w:type="character" w:customStyle="1" w:styleId="181">
    <w:name w:val="样式 小三 加粗"/>
    <w:qFormat/>
    <w:uiPriority w:val="0"/>
    <w:rPr>
      <w:rFonts w:eastAsia="宋体"/>
      <w:b/>
      <w:bCs/>
      <w:sz w:val="32"/>
    </w:rPr>
  </w:style>
  <w:style w:type="paragraph" w:customStyle="1" w:styleId="1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4">
    <w:name w:val="Char Char Char"/>
    <w:basedOn w:val="1"/>
    <w:qFormat/>
    <w:uiPriority w:val="0"/>
    <w:rPr>
      <w:rFonts w:ascii="Tahoma" w:hAnsi="Tahoma"/>
      <w:sz w:val="24"/>
      <w:szCs w:val="20"/>
    </w:rPr>
  </w:style>
  <w:style w:type="paragraph" w:customStyle="1" w:styleId="185">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6">
    <w:name w:val="info4"/>
    <w:basedOn w:val="45"/>
    <w:qFormat/>
    <w:uiPriority w:val="0"/>
  </w:style>
  <w:style w:type="paragraph" w:customStyle="1" w:styleId="187">
    <w:name w:val="缩进正文"/>
    <w:basedOn w:val="1"/>
    <w:link w:val="188"/>
    <w:qFormat/>
    <w:uiPriority w:val="0"/>
    <w:pPr>
      <w:ind w:firstLine="560" w:firstLineChars="200"/>
    </w:pPr>
    <w:rPr>
      <w:rFonts w:eastAsia="仿宋_GB2312" w:cs="宋体"/>
      <w:sz w:val="28"/>
      <w:szCs w:val="20"/>
    </w:rPr>
  </w:style>
  <w:style w:type="character" w:customStyle="1" w:styleId="188">
    <w:name w:val="缩进正文 Char"/>
    <w:link w:val="187"/>
    <w:qFormat/>
    <w:uiPriority w:val="0"/>
    <w:rPr>
      <w:rFonts w:eastAsia="仿宋_GB2312" w:cs="宋体"/>
      <w:kern w:val="2"/>
      <w:sz w:val="28"/>
      <w:lang w:val="en-US" w:eastAsia="zh-CN" w:bidi="ar-SA"/>
    </w:rPr>
  </w:style>
  <w:style w:type="paragraph" w:customStyle="1" w:styleId="189">
    <w:name w:val="列出段落1"/>
    <w:basedOn w:val="1"/>
    <w:qFormat/>
    <w:uiPriority w:val="0"/>
    <w:pPr>
      <w:ind w:firstLine="420" w:firstLineChars="200"/>
    </w:pPr>
    <w:rPr>
      <w:rFonts w:ascii="Calibri" w:hAnsi="Calibri" w:cs="Calibri"/>
      <w:szCs w:val="21"/>
    </w:rPr>
  </w:style>
  <w:style w:type="character" w:customStyle="1" w:styleId="190">
    <w:name w:val="批注文字 字符"/>
    <w:basedOn w:val="45"/>
    <w:link w:val="18"/>
    <w:qFormat/>
    <w:uiPriority w:val="0"/>
    <w:rPr>
      <w:rFonts w:ascii="宋体"/>
      <w:sz w:val="34"/>
    </w:rPr>
  </w:style>
  <w:style w:type="character" w:customStyle="1" w:styleId="191">
    <w:name w:val="批注主题 字符"/>
    <w:basedOn w:val="190"/>
    <w:link w:val="40"/>
    <w:qFormat/>
    <w:uiPriority w:val="99"/>
    <w:rPr>
      <w:rFonts w:ascii="宋体"/>
      <w:sz w:val="34"/>
    </w:rPr>
  </w:style>
  <w:style w:type="paragraph" w:customStyle="1" w:styleId="192">
    <w:name w:val="评价"/>
    <w:basedOn w:val="1"/>
    <w:qFormat/>
    <w:uiPriority w:val="0"/>
    <w:pPr>
      <w:spacing w:afterLines="20"/>
      <w:ind w:firstLine="1446" w:firstLineChars="200"/>
    </w:pPr>
    <w:rPr>
      <w:rFonts w:ascii="Calibri" w:hAnsi="Calibri"/>
      <w:sz w:val="24"/>
    </w:rPr>
  </w:style>
  <w:style w:type="paragraph" w:customStyle="1" w:styleId="19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4">
    <w:name w:val="alt-edited1"/>
    <w:qFormat/>
    <w:uiPriority w:val="0"/>
    <w:rPr>
      <w:color w:val="4D90F0"/>
    </w:rPr>
  </w:style>
  <w:style w:type="character" w:customStyle="1" w:styleId="195">
    <w:name w:val="body text Char1"/>
    <w:qFormat/>
    <w:uiPriority w:val="0"/>
    <w:rPr>
      <w:rFonts w:eastAsia="宋体"/>
      <w:kern w:val="2"/>
      <w:sz w:val="21"/>
      <w:lang w:val="en-US" w:eastAsia="zh-CN" w:bidi="ar-SA"/>
    </w:rPr>
  </w:style>
  <w:style w:type="character" w:customStyle="1" w:styleId="196">
    <w:name w:val="普通(网站) 字符"/>
    <w:link w:val="37"/>
    <w:qFormat/>
    <w:uiPriority w:val="0"/>
    <w:rPr>
      <w:kern w:val="2"/>
      <w:sz w:val="24"/>
      <w:szCs w:val="24"/>
    </w:rPr>
  </w:style>
  <w:style w:type="character" w:customStyle="1" w:styleId="197">
    <w:name w:val="批注文字 Char1"/>
    <w:qFormat/>
    <w:uiPriority w:val="99"/>
    <w:rPr>
      <w:rFonts w:ascii="宋体"/>
      <w:sz w:val="34"/>
    </w:rPr>
  </w:style>
  <w:style w:type="character" w:customStyle="1" w:styleId="198">
    <w:name w:val="正文缩进 Char1"/>
    <w:qFormat/>
    <w:uiPriority w:val="0"/>
    <w:rPr>
      <w:rFonts w:eastAsia="宋体"/>
      <w:kern w:val="2"/>
      <w:sz w:val="21"/>
      <w:lang w:val="en-US" w:eastAsia="zh-CN" w:bidi="ar-SA"/>
    </w:rPr>
  </w:style>
  <w:style w:type="character" w:customStyle="1" w:styleId="199">
    <w:name w:val="layui-this"/>
    <w:basedOn w:val="45"/>
    <w:qFormat/>
    <w:uiPriority w:val="0"/>
    <w:rPr>
      <w:bdr w:val="single" w:color="EEEEEE" w:sz="4" w:space="0"/>
      <w:shd w:val="clear" w:color="auto" w:fill="FFFFFF"/>
    </w:rPr>
  </w:style>
  <w:style w:type="character" w:customStyle="1" w:styleId="200">
    <w:name w:val="first-child"/>
    <w:basedOn w:val="45"/>
    <w:qFormat/>
    <w:uiPriority w:val="0"/>
  </w:style>
  <w:style w:type="paragraph" w:customStyle="1" w:styleId="201">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2">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4">
    <w:name w:val="Table Text"/>
    <w:basedOn w:val="1"/>
    <w:semiHidden/>
    <w:qFormat/>
    <w:uiPriority w:val="0"/>
    <w:rPr>
      <w:rFonts w:ascii="微软雅黑" w:hAnsi="微软雅黑" w:eastAsia="微软雅黑" w:cs="微软雅黑"/>
      <w:sz w:val="24"/>
      <w:lang w:eastAsia="en-US"/>
    </w:rPr>
  </w:style>
  <w:style w:type="table" w:customStyle="1" w:styleId="205">
    <w:name w:val="Table Normal"/>
    <w:semiHidden/>
    <w:unhideWhenUsed/>
    <w:qFormat/>
    <w:uiPriority w:val="0"/>
    <w:tblPr>
      <w:tblCellMar>
        <w:top w:w="0" w:type="dxa"/>
        <w:left w:w="0" w:type="dxa"/>
        <w:bottom w:w="0" w:type="dxa"/>
        <w:right w:w="0" w:type="dxa"/>
      </w:tblCellMar>
    </w:tblPr>
  </w:style>
  <w:style w:type="paragraph" w:customStyle="1" w:styleId="20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07">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0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7635</Words>
  <Characters>43524</Characters>
  <Lines>362</Lines>
  <Paragraphs>102</Paragraphs>
  <TotalTime>28</TotalTime>
  <ScaleCrop>false</ScaleCrop>
  <LinksUpToDate>false</LinksUpToDate>
  <CharactersWithSpaces>51057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2025-04-18T07:34:00Z</dcterms:created>
  <dc:creator>thsware</dc:creator>
  <cp:lastModifiedBy>政府采购业务部</cp:lastModifiedBy>
  <cp:lastPrinted>2021-05-09T08:02:00Z</cp:lastPrinted>
  <dcterms:modified xsi:type="dcterms:W3CDTF">2025-04-28T02:30:29Z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D597DBAF1AE5436683FC0FF7EEBFB3DF_13</vt:lpwstr>
  </property>
  <property fmtid="{D5CDD505-2E9C-101B-9397-08002B2CF9AE}" pid="4" name="KSOTemplateDocerSaveRecord">
    <vt:lpwstr>eyJoZGlkIjoiNzZlYzE4MWU1MTBkNjM5ODBiMTA2NDUxMTk2YmQxZDMiLCJ1c2VySWQiOiI4Njc5OTI2ODUifQ==</vt:lpwstr>
  </property>
</Properties>
</file>